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0A51FEED"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r w:rsidRPr="005C2892">
        <w:rPr>
          <w:rFonts w:ascii="Arial" w:hAnsi="Arial" w:cs="Arial"/>
          <w:spacing w:val="-4"/>
        </w:rPr>
        <w:t xml:space="preserve">entered into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559B553B"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2026-00</w:t>
      </w:r>
      <w:r w:rsidR="00CB6D9F">
        <w:rPr>
          <w:rFonts w:ascii="Arial" w:hAnsi="Arial" w:cs="Arial"/>
        </w:rPr>
        <w:t>2</w:t>
      </w:r>
      <w:r w:rsidR="00F74EB2"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CB6D9F">
        <w:rPr>
          <w:rFonts w:ascii="Arial" w:hAnsi="Arial" w:cs="Arial"/>
        </w:rPr>
        <w:t xml:space="preserve">October </w:t>
      </w:r>
      <w:r w:rsidR="00B46C91">
        <w:rPr>
          <w:rFonts w:ascii="Arial" w:hAnsi="Arial" w:cs="Arial"/>
        </w:rPr>
        <w:t>6</w:t>
      </w:r>
      <w:r w:rsidR="00F74EB2" w:rsidRPr="00F74EB2">
        <w:rPr>
          <w:rFonts w:ascii="Arial" w:hAnsi="Arial" w:cs="Arial"/>
        </w:rPr>
        <w:t>, 2025</w:t>
      </w:r>
      <w:r w:rsidRPr="00F74EB2">
        <w:rPr>
          <w:rFonts w:ascii="Arial" w:hAnsi="Arial" w:cs="Arial"/>
        </w:rPr>
        <w:t xml:space="preserve"> Titled </w:t>
      </w:r>
      <w:r w:rsidR="00F74EB2" w:rsidRPr="00F74EB2">
        <w:rPr>
          <w:rFonts w:ascii="Arial" w:hAnsi="Arial" w:cs="Arial"/>
        </w:rPr>
        <w:t xml:space="preserve">On-Call / As Needed Services for Facilities Management, </w:t>
      </w:r>
      <w:r w:rsidR="003A5EBD" w:rsidRPr="003A5EBD">
        <w:rPr>
          <w:rFonts w:ascii="Arial" w:hAnsi="Arial" w:cs="Arial"/>
        </w:rPr>
        <w:t xml:space="preserve">Cleaning, Remediation, Restoration, Testing &amp; Pest </w:t>
      </w:r>
      <w:proofErr w:type="spellStart"/>
      <w:r w:rsidR="003A5EBD" w:rsidRPr="003A5EBD">
        <w:rPr>
          <w:rFonts w:ascii="Arial" w:hAnsi="Arial" w:cs="Arial"/>
        </w:rPr>
        <w:t>Mgmt</w:t>
      </w:r>
      <w:proofErr w:type="spellEnd"/>
      <w:r w:rsidR="003A5EBD" w:rsidRPr="003A5EBD">
        <w:rPr>
          <w:rFonts w:ascii="Arial" w:hAnsi="Arial" w:cs="Arial"/>
        </w:rPr>
        <w:t xml:space="preserve"> Services</w:t>
      </w:r>
    </w:p>
    <w:p w14:paraId="704A0E9F" w14:textId="320E2087"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2026-00</w:t>
      </w:r>
      <w:r w:rsidR="00CB6D9F">
        <w:rPr>
          <w:rFonts w:ascii="Arial" w:hAnsi="Arial" w:cs="Arial"/>
        </w:rPr>
        <w:t>2</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CB6D9F">
        <w:rPr>
          <w:rFonts w:ascii="Arial" w:hAnsi="Arial" w:cs="Arial"/>
        </w:rPr>
        <w:t>October</w:t>
      </w:r>
      <w:r w:rsidR="00CB6D9F">
        <w:rPr>
          <w:rFonts w:ascii="Arial" w:hAnsi="Arial" w:cs="Arial"/>
        </w:rPr>
        <w:t xml:space="preserve"> 23</w:t>
      </w:r>
      <w:r w:rsidR="00F74EB2" w:rsidRPr="003A5EBD">
        <w:rPr>
          <w:rFonts w:ascii="Arial" w:hAnsi="Arial" w:cs="Arial"/>
        </w:rPr>
        <w:t>, 2025</w:t>
      </w:r>
      <w:r w:rsidR="00A5493C" w:rsidRPr="003A5EBD">
        <w:rPr>
          <w:rFonts w:ascii="Arial" w:hAnsi="Arial" w:cs="Arial"/>
        </w:rPr>
        <w:t xml:space="preserve"> Titled </w:t>
      </w:r>
      <w:r w:rsidR="00F74EB2" w:rsidRPr="003A5EBD">
        <w:rPr>
          <w:rFonts w:ascii="Arial" w:hAnsi="Arial" w:cs="Arial"/>
        </w:rPr>
        <w:t xml:space="preserve">On-Call / As Needed Services for Facilities Management, </w:t>
      </w:r>
      <w:r w:rsidR="003A5EBD" w:rsidRPr="003A5EBD">
        <w:rPr>
          <w:rFonts w:ascii="Arial" w:hAnsi="Arial" w:cs="Arial"/>
        </w:rPr>
        <w:t xml:space="preserve">Cleaning, Remediation, Restoration, Testing &amp; Pest </w:t>
      </w:r>
      <w:proofErr w:type="spellStart"/>
      <w:r w:rsidR="003A5EBD" w:rsidRPr="003A5EBD">
        <w:rPr>
          <w:rFonts w:ascii="Arial" w:hAnsi="Arial" w:cs="Arial"/>
        </w:rPr>
        <w:t>Mgmt</w:t>
      </w:r>
      <w:proofErr w:type="spellEnd"/>
      <w:r w:rsidR="003A5EBD" w:rsidRPr="003A5EBD">
        <w:rPr>
          <w:rFonts w:ascii="Arial" w:hAnsi="Arial" w:cs="Arial"/>
        </w:rPr>
        <w:t xml:space="preserve"> Service</w:t>
      </w:r>
      <w:r w:rsidR="003A5EBD">
        <w:rPr>
          <w:rFonts w:ascii="Arial" w:hAnsi="Arial" w:cs="Arial"/>
        </w:rPr>
        <w:t>s</w:t>
      </w:r>
    </w:p>
    <w:p w14:paraId="641FCB3E" w14:textId="48B048B9"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160F8A6B"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CB6D9F">
        <w:rPr>
          <w:rFonts w:ascii="Arial" w:hAnsi="Arial" w:cs="Arial"/>
          <w:u w:val="single"/>
        </w:rPr>
        <w:t>Novembe</w:t>
      </w:r>
      <w:r w:rsidR="00F74EB2" w:rsidRPr="00F74EB2">
        <w:rPr>
          <w:rFonts w:ascii="Arial" w:hAnsi="Arial" w:cs="Arial"/>
          <w:u w:val="single"/>
        </w:rPr>
        <w:t>r 10, 2025</w:t>
      </w:r>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effected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AD4BA6" w14:textId="77777777" w:rsidR="00CB6D9F" w:rsidRDefault="009A1E8C" w:rsidP="00CB6D9F">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0020136C" w14:textId="77777777" w:rsidR="00CB6D9F" w:rsidRDefault="00CB6D9F" w:rsidP="00CB6D9F">
      <w:pPr>
        <w:pStyle w:val="ListParagraph"/>
        <w:numPr>
          <w:ilvl w:val="1"/>
          <w:numId w:val="1"/>
        </w:numPr>
        <w:spacing w:before="100" w:beforeAutospacing="1" w:after="100" w:afterAutospacing="1" w:line="259" w:lineRule="auto"/>
        <w:rPr>
          <w:rFonts w:ascii="Arial" w:hAnsi="Arial" w:cs="Arial"/>
        </w:rPr>
      </w:pPr>
      <w:r w:rsidRPr="00CB6D9F">
        <w:rPr>
          <w:rFonts w:ascii="Arial" w:hAnsi="Arial" w:cs="Arial"/>
          <w:b/>
          <w:bCs/>
        </w:rPr>
        <w:t>Request for Proposal #</w:t>
      </w:r>
      <w:r w:rsidRPr="00CB6D9F">
        <w:rPr>
          <w:rFonts w:ascii="Arial" w:hAnsi="Arial" w:cs="Arial"/>
        </w:rPr>
        <w:t xml:space="preserve">2026-002 Issue Date October 6, 2025 Titled On-Call / As Needed Services for Facilities Management, Cleaning, Remediation, Restoration, Testing &amp; Pest </w:t>
      </w:r>
      <w:proofErr w:type="spellStart"/>
      <w:r w:rsidRPr="00CB6D9F">
        <w:rPr>
          <w:rFonts w:ascii="Arial" w:hAnsi="Arial" w:cs="Arial"/>
        </w:rPr>
        <w:t>Mgmt</w:t>
      </w:r>
      <w:proofErr w:type="spellEnd"/>
      <w:r w:rsidRPr="00CB6D9F">
        <w:rPr>
          <w:rFonts w:ascii="Arial" w:hAnsi="Arial" w:cs="Arial"/>
        </w:rPr>
        <w:t xml:space="preserve"> Services</w:t>
      </w:r>
    </w:p>
    <w:p w14:paraId="2C1BF103" w14:textId="237FFD2B" w:rsidR="00CB6D9F" w:rsidRPr="00CB6D9F" w:rsidRDefault="00CB6D9F" w:rsidP="00CB6D9F">
      <w:pPr>
        <w:pStyle w:val="ListParagraph"/>
        <w:numPr>
          <w:ilvl w:val="1"/>
          <w:numId w:val="1"/>
        </w:numPr>
        <w:spacing w:before="100" w:beforeAutospacing="1" w:after="100" w:afterAutospacing="1" w:line="259" w:lineRule="auto"/>
        <w:rPr>
          <w:rFonts w:ascii="Arial" w:hAnsi="Arial" w:cs="Arial"/>
        </w:rPr>
      </w:pPr>
      <w:r w:rsidRPr="00CB6D9F">
        <w:rPr>
          <w:rFonts w:ascii="Arial" w:hAnsi="Arial" w:cs="Arial"/>
          <w:b/>
          <w:bCs/>
        </w:rPr>
        <w:t>Contractor’s Bid in Response to Request for Proposal #</w:t>
      </w:r>
      <w:r w:rsidRPr="00CB6D9F">
        <w:rPr>
          <w:rFonts w:ascii="Arial" w:hAnsi="Arial" w:cs="Arial"/>
        </w:rPr>
        <w:t xml:space="preserve">2026-002 Proposal Submission Date October 23, 2025 Titled On-Call / As Needed Services for Facilities Management, Cleaning, Remediation, Restoration, Testing &amp; Pest </w:t>
      </w:r>
      <w:proofErr w:type="spellStart"/>
      <w:r w:rsidRPr="00CB6D9F">
        <w:rPr>
          <w:rFonts w:ascii="Arial" w:hAnsi="Arial" w:cs="Arial"/>
        </w:rPr>
        <w:t>Mgmt</w:t>
      </w:r>
      <w:proofErr w:type="spellEnd"/>
      <w:r w:rsidRPr="00CB6D9F">
        <w:rPr>
          <w:rFonts w:ascii="Arial" w:hAnsi="Arial" w:cs="Arial"/>
        </w:rPr>
        <w:t xml:space="preserve">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The Contractor agrees to further provide the products and services, with all the same terms and conditions applicable,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Time is of the Essence</w:t>
      </w:r>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w:t>
      </w:r>
      <w:r w:rsidRPr="00672857">
        <w:rPr>
          <w:rFonts w:ascii="Arial" w:hAnsi="Arial" w:cs="Arial"/>
          <w:shd w:val="clear" w:color="auto" w:fill="FFFFFF"/>
        </w:rPr>
        <w:lastRenderedPageBreak/>
        <w:t>System Information Technology (USIT) standards.  A site plan for each separate Master Agreement, Customer Engagement Agreement (Rider E) will be developed in coordination with, and final approval by the University facilities director responsible for the location, and US:IT.  Upon initiation of the 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The Contractor shall develop and implement a site specific safety plan that addresses the specific hazards, controls, safety procedures, training, enforcement, and reporting requirements for all personnel.  A Site Specific Work Practice and Safety Plan shall be provided to the Facilities Management Shop Manager for work performed prior to the start of each phase of work.  The Site Specific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Precautions or procedures the University has implemented for the protection of University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lastRenderedPageBreak/>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during the course of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off-hours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provided and applicable work practices and procedures will be included in the Contractor’s Site Specific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University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have backup equipment available at all times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w:t>
      </w:r>
      <w:r w:rsidRPr="00375AB9">
        <w:rPr>
          <w:rFonts w:ascii="Arial" w:hAnsi="Arial"/>
          <w:szCs w:val="22"/>
        </w:rPr>
        <w:lastRenderedPageBreak/>
        <w:t>or workmanship for one (1) year from the date of final acceptance of the project by the University.  Within two weeks’ notification of defects by the University, the contractor shall correct all defects and 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7777777" w:rsidR="00C6145E" w:rsidRDefault="00C6145E" w:rsidP="00C6145E">
      <w:pPr>
        <w:jc w:val="both"/>
        <w:rPr>
          <w:rFonts w:ascii="Arial" w:hAnsi="Arial" w:cs="Arial"/>
          <w:sz w:val="22"/>
          <w:szCs w:val="22"/>
        </w:rPr>
      </w:pPr>
      <w:r w:rsidRPr="00185854">
        <w:rPr>
          <w:rFonts w:ascii="Arial" w:hAnsi="Arial" w:cs="Arial"/>
          <w:sz w:val="22"/>
          <w:szCs w:val="22"/>
        </w:rPr>
        <w:t xml:space="preserve">The University of Maine System,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f</w:t>
      </w:r>
      <w:r>
        <w:rPr>
          <w:rFonts w:ascii="Arial" w:hAnsi="Arial" w:cs="Arial"/>
          <w:sz w:val="22"/>
          <w:szCs w:val="22"/>
        </w:rPr>
        <w:t>acilities maintenance services.  This Agreement covers the following trade services:</w:t>
      </w:r>
    </w:p>
    <w:p w14:paraId="4D9E3FB5" w14:textId="0BB0198D" w:rsidR="009A3519" w:rsidRPr="009A3519" w:rsidRDefault="009A3519" w:rsidP="00C6145E">
      <w:pPr>
        <w:jc w:val="both"/>
        <w:rPr>
          <w:rFonts w:ascii="Arial" w:hAnsi="Arial" w:cs="Arial"/>
          <w:color w:val="FF0000"/>
          <w:sz w:val="22"/>
          <w:szCs w:val="22"/>
        </w:rPr>
      </w:pPr>
      <w:r w:rsidRPr="009A3519">
        <w:rPr>
          <w:rFonts w:ascii="Arial" w:hAnsi="Arial" w:cs="Arial"/>
          <w:color w:val="FF0000"/>
          <w:sz w:val="22"/>
          <w:szCs w:val="22"/>
          <w:highlight w:val="yellow"/>
        </w:rPr>
        <w:t>&lt;Remove those that do not apply in table below:&gt;</w:t>
      </w:r>
    </w:p>
    <w:p w14:paraId="03C80B3E" w14:textId="42015A64" w:rsidR="00375AB9" w:rsidRDefault="00375AB9" w:rsidP="00375AB9">
      <w:pPr>
        <w:jc w:val="both"/>
        <w:rPr>
          <w:rFonts w:ascii="Arial" w:hAnsi="Arial" w:cs="Arial"/>
          <w:sz w:val="22"/>
          <w:szCs w:val="22"/>
        </w:rPr>
      </w:pPr>
    </w:p>
    <w:tbl>
      <w:tblPr>
        <w:tblW w:w="46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
        <w:gridCol w:w="3700"/>
      </w:tblGrid>
      <w:tr w:rsidR="00C6145E" w:rsidRPr="006409C1" w14:paraId="43CB88D7" w14:textId="77777777" w:rsidTr="00C6145E">
        <w:trPr>
          <w:trHeight w:val="585"/>
        </w:trPr>
        <w:tc>
          <w:tcPr>
            <w:tcW w:w="960" w:type="dxa"/>
            <w:shd w:val="clear" w:color="000000" w:fill="D9D9D9"/>
            <w:vAlign w:val="bottom"/>
            <w:hideMark/>
          </w:tcPr>
          <w:p w14:paraId="070BDD22" w14:textId="77777777" w:rsidR="00C6145E" w:rsidRPr="006409C1" w:rsidRDefault="00C6145E" w:rsidP="00217917">
            <w:pPr>
              <w:jc w:val="center"/>
              <w:rPr>
                <w:rFonts w:ascii="Arial" w:hAnsi="Arial" w:cs="Arial"/>
                <w:b/>
                <w:bCs/>
                <w:color w:val="000000"/>
                <w:sz w:val="16"/>
                <w:szCs w:val="16"/>
              </w:rPr>
            </w:pPr>
            <w:r w:rsidRPr="006409C1">
              <w:rPr>
                <w:rFonts w:ascii="Arial" w:hAnsi="Arial" w:cs="Arial"/>
                <w:b/>
                <w:bCs/>
                <w:color w:val="000000"/>
                <w:sz w:val="16"/>
                <w:szCs w:val="16"/>
              </w:rPr>
              <w:t>TRADE GROUP</w:t>
            </w:r>
          </w:p>
        </w:tc>
        <w:tc>
          <w:tcPr>
            <w:tcW w:w="3700" w:type="dxa"/>
            <w:shd w:val="clear" w:color="000000" w:fill="D9D9D9"/>
            <w:vAlign w:val="bottom"/>
            <w:hideMark/>
          </w:tcPr>
          <w:p w14:paraId="6D2F1F2A" w14:textId="77777777" w:rsidR="00C6145E" w:rsidRPr="006409C1" w:rsidRDefault="00C6145E" w:rsidP="00217917">
            <w:pPr>
              <w:rPr>
                <w:rFonts w:ascii="Arial" w:hAnsi="Arial" w:cs="Arial"/>
                <w:b/>
                <w:bCs/>
                <w:color w:val="000000"/>
                <w:sz w:val="16"/>
                <w:szCs w:val="16"/>
              </w:rPr>
            </w:pPr>
            <w:r w:rsidRPr="006409C1">
              <w:rPr>
                <w:rFonts w:ascii="Arial" w:hAnsi="Arial" w:cs="Arial"/>
                <w:b/>
                <w:bCs/>
                <w:color w:val="000000"/>
                <w:sz w:val="16"/>
                <w:szCs w:val="16"/>
              </w:rPr>
              <w:t>TRADE DESCRIPTION</w:t>
            </w:r>
          </w:p>
        </w:tc>
      </w:tr>
      <w:tr w:rsidR="00565C39" w:rsidRPr="006409C1" w14:paraId="2C59B4D9" w14:textId="77777777" w:rsidTr="00C6145E">
        <w:trPr>
          <w:trHeight w:val="264"/>
        </w:trPr>
        <w:tc>
          <w:tcPr>
            <w:tcW w:w="960" w:type="dxa"/>
            <w:shd w:val="clear" w:color="auto" w:fill="auto"/>
            <w:noWrap/>
            <w:vAlign w:val="bottom"/>
            <w:hideMark/>
          </w:tcPr>
          <w:p w14:paraId="724D803C" w14:textId="233A7D5D" w:rsidR="00565C39" w:rsidRPr="006409C1" w:rsidRDefault="00565C39" w:rsidP="00565C39">
            <w:pPr>
              <w:jc w:val="center"/>
              <w:rPr>
                <w:rFonts w:ascii="Arial" w:hAnsi="Arial" w:cs="Arial"/>
                <w:color w:val="000000"/>
                <w:sz w:val="16"/>
                <w:szCs w:val="16"/>
              </w:rPr>
            </w:pPr>
            <w:r>
              <w:rPr>
                <w:rFonts w:ascii="Arial" w:hAnsi="Arial" w:cs="Arial"/>
                <w:color w:val="000000"/>
              </w:rPr>
              <w:t>C-1</w:t>
            </w:r>
          </w:p>
        </w:tc>
        <w:tc>
          <w:tcPr>
            <w:tcW w:w="3700" w:type="dxa"/>
            <w:shd w:val="clear" w:color="auto" w:fill="auto"/>
            <w:vAlign w:val="bottom"/>
            <w:hideMark/>
          </w:tcPr>
          <w:p w14:paraId="223D7FBA" w14:textId="07163F5F" w:rsidR="00565C39" w:rsidRPr="006409C1" w:rsidRDefault="00565C39" w:rsidP="00565C39">
            <w:pPr>
              <w:rPr>
                <w:rFonts w:ascii="Arial" w:hAnsi="Arial" w:cs="Arial"/>
                <w:color w:val="000000"/>
                <w:sz w:val="16"/>
                <w:szCs w:val="16"/>
              </w:rPr>
            </w:pPr>
            <w:r>
              <w:rPr>
                <w:rFonts w:ascii="Arial" w:hAnsi="Arial" w:cs="Arial"/>
                <w:color w:val="000000"/>
              </w:rPr>
              <w:t>Cleaning Services</w:t>
            </w:r>
          </w:p>
        </w:tc>
      </w:tr>
      <w:tr w:rsidR="00565C39" w:rsidRPr="006409C1" w14:paraId="31462697" w14:textId="77777777" w:rsidTr="00C6145E">
        <w:trPr>
          <w:trHeight w:val="264"/>
        </w:trPr>
        <w:tc>
          <w:tcPr>
            <w:tcW w:w="960" w:type="dxa"/>
            <w:shd w:val="clear" w:color="auto" w:fill="auto"/>
            <w:noWrap/>
            <w:vAlign w:val="bottom"/>
            <w:hideMark/>
          </w:tcPr>
          <w:p w14:paraId="087BBE1B" w14:textId="711409B8" w:rsidR="00565C39" w:rsidRPr="006409C1" w:rsidRDefault="00565C39" w:rsidP="00565C39">
            <w:pPr>
              <w:jc w:val="center"/>
              <w:rPr>
                <w:rFonts w:ascii="Arial" w:hAnsi="Arial" w:cs="Arial"/>
                <w:color w:val="000000"/>
                <w:sz w:val="16"/>
                <w:szCs w:val="16"/>
              </w:rPr>
            </w:pPr>
            <w:r>
              <w:rPr>
                <w:rFonts w:ascii="Arial" w:hAnsi="Arial" w:cs="Arial"/>
                <w:color w:val="000000"/>
              </w:rPr>
              <w:t>C-2</w:t>
            </w:r>
          </w:p>
        </w:tc>
        <w:tc>
          <w:tcPr>
            <w:tcW w:w="3700" w:type="dxa"/>
            <w:shd w:val="clear" w:color="auto" w:fill="auto"/>
            <w:vAlign w:val="bottom"/>
            <w:hideMark/>
          </w:tcPr>
          <w:p w14:paraId="0E38BA0C" w14:textId="45B6BBDF" w:rsidR="00565C39" w:rsidRPr="006409C1" w:rsidRDefault="00565C39" w:rsidP="00565C39">
            <w:pPr>
              <w:rPr>
                <w:rFonts w:ascii="Arial" w:hAnsi="Arial" w:cs="Arial"/>
                <w:color w:val="000000"/>
                <w:sz w:val="16"/>
                <w:szCs w:val="16"/>
              </w:rPr>
            </w:pPr>
            <w:r>
              <w:rPr>
                <w:rFonts w:ascii="Arial" w:hAnsi="Arial" w:cs="Arial"/>
                <w:color w:val="000000"/>
              </w:rPr>
              <w:t>Carpet Cleaning Services</w:t>
            </w:r>
          </w:p>
        </w:tc>
      </w:tr>
      <w:tr w:rsidR="00565C39" w:rsidRPr="006409C1" w14:paraId="576F8D18" w14:textId="77777777" w:rsidTr="00C6145E">
        <w:trPr>
          <w:trHeight w:val="264"/>
        </w:trPr>
        <w:tc>
          <w:tcPr>
            <w:tcW w:w="960" w:type="dxa"/>
            <w:shd w:val="clear" w:color="auto" w:fill="auto"/>
            <w:noWrap/>
            <w:vAlign w:val="bottom"/>
            <w:hideMark/>
          </w:tcPr>
          <w:p w14:paraId="6B434C97" w14:textId="7FF2C284" w:rsidR="00565C39" w:rsidRPr="006409C1" w:rsidRDefault="00565C39" w:rsidP="00565C39">
            <w:pPr>
              <w:jc w:val="center"/>
              <w:rPr>
                <w:rFonts w:ascii="Arial" w:hAnsi="Arial" w:cs="Arial"/>
                <w:color w:val="000000"/>
                <w:sz w:val="16"/>
                <w:szCs w:val="16"/>
              </w:rPr>
            </w:pPr>
            <w:r>
              <w:rPr>
                <w:rFonts w:ascii="Arial" w:hAnsi="Arial" w:cs="Arial"/>
                <w:color w:val="000000"/>
              </w:rPr>
              <w:t>C-3</w:t>
            </w:r>
          </w:p>
        </w:tc>
        <w:tc>
          <w:tcPr>
            <w:tcW w:w="3700" w:type="dxa"/>
            <w:shd w:val="clear" w:color="auto" w:fill="auto"/>
            <w:vAlign w:val="bottom"/>
            <w:hideMark/>
          </w:tcPr>
          <w:p w14:paraId="0FDE1F9D" w14:textId="3D524ECE" w:rsidR="00565C39" w:rsidRPr="006409C1" w:rsidRDefault="00565C39" w:rsidP="00565C39">
            <w:pPr>
              <w:rPr>
                <w:rFonts w:ascii="Arial" w:hAnsi="Arial" w:cs="Arial"/>
                <w:color w:val="000000"/>
                <w:sz w:val="16"/>
                <w:szCs w:val="16"/>
              </w:rPr>
            </w:pPr>
            <w:r>
              <w:rPr>
                <w:rFonts w:ascii="Arial" w:hAnsi="Arial" w:cs="Arial"/>
                <w:color w:val="000000"/>
              </w:rPr>
              <w:t>Floor Finishing Services</w:t>
            </w:r>
          </w:p>
        </w:tc>
      </w:tr>
      <w:tr w:rsidR="00565C39" w:rsidRPr="006409C1" w14:paraId="63BE4787" w14:textId="77777777" w:rsidTr="00845E12">
        <w:trPr>
          <w:trHeight w:val="264"/>
        </w:trPr>
        <w:tc>
          <w:tcPr>
            <w:tcW w:w="960" w:type="dxa"/>
            <w:shd w:val="clear" w:color="auto" w:fill="auto"/>
            <w:noWrap/>
            <w:vAlign w:val="bottom"/>
          </w:tcPr>
          <w:p w14:paraId="34B96DC6" w14:textId="19A5F73A" w:rsidR="00565C39" w:rsidRPr="006409C1" w:rsidRDefault="00565C39" w:rsidP="00565C39">
            <w:pPr>
              <w:jc w:val="center"/>
              <w:rPr>
                <w:rFonts w:ascii="Arial" w:hAnsi="Arial" w:cs="Arial"/>
                <w:color w:val="000000"/>
                <w:sz w:val="16"/>
                <w:szCs w:val="16"/>
              </w:rPr>
            </w:pPr>
            <w:r>
              <w:rPr>
                <w:rFonts w:ascii="Arial" w:hAnsi="Arial" w:cs="Arial"/>
                <w:color w:val="000000"/>
              </w:rPr>
              <w:t>C-4</w:t>
            </w:r>
          </w:p>
        </w:tc>
        <w:tc>
          <w:tcPr>
            <w:tcW w:w="3700" w:type="dxa"/>
            <w:shd w:val="clear" w:color="auto" w:fill="auto"/>
            <w:noWrap/>
            <w:vAlign w:val="bottom"/>
          </w:tcPr>
          <w:p w14:paraId="48B50644" w14:textId="0F0A1D00" w:rsidR="00565C39" w:rsidRPr="006409C1" w:rsidRDefault="00565C39" w:rsidP="00565C39">
            <w:pPr>
              <w:rPr>
                <w:rFonts w:ascii="Arial" w:hAnsi="Arial" w:cs="Arial"/>
                <w:color w:val="000000"/>
                <w:sz w:val="16"/>
                <w:szCs w:val="16"/>
              </w:rPr>
            </w:pPr>
            <w:r>
              <w:rPr>
                <w:rFonts w:ascii="Arial" w:hAnsi="Arial" w:cs="Arial"/>
                <w:color w:val="000000"/>
              </w:rPr>
              <w:t>Window Washing Services</w:t>
            </w:r>
          </w:p>
        </w:tc>
      </w:tr>
      <w:tr w:rsidR="00565C39" w:rsidRPr="006409C1" w14:paraId="6A633168" w14:textId="77777777" w:rsidTr="00C6145E">
        <w:trPr>
          <w:trHeight w:val="264"/>
        </w:trPr>
        <w:tc>
          <w:tcPr>
            <w:tcW w:w="960" w:type="dxa"/>
            <w:shd w:val="clear" w:color="auto" w:fill="auto"/>
            <w:noWrap/>
            <w:vAlign w:val="center"/>
            <w:hideMark/>
          </w:tcPr>
          <w:p w14:paraId="6D84C15C" w14:textId="3E2B9D83" w:rsidR="00565C39" w:rsidRPr="006409C1" w:rsidRDefault="00565C39" w:rsidP="00565C39">
            <w:pPr>
              <w:jc w:val="center"/>
              <w:rPr>
                <w:rFonts w:ascii="Arial" w:hAnsi="Arial" w:cs="Arial"/>
                <w:color w:val="000000"/>
                <w:sz w:val="16"/>
                <w:szCs w:val="16"/>
              </w:rPr>
            </w:pPr>
            <w:r>
              <w:rPr>
                <w:rFonts w:ascii="Arial" w:hAnsi="Arial" w:cs="Arial"/>
                <w:color w:val="000000"/>
              </w:rPr>
              <w:t>C-5</w:t>
            </w:r>
          </w:p>
        </w:tc>
        <w:tc>
          <w:tcPr>
            <w:tcW w:w="3700" w:type="dxa"/>
            <w:shd w:val="clear" w:color="auto" w:fill="auto"/>
            <w:noWrap/>
            <w:vAlign w:val="center"/>
            <w:hideMark/>
          </w:tcPr>
          <w:p w14:paraId="18FAD8FD" w14:textId="706CC972" w:rsidR="00565C39" w:rsidRPr="006409C1" w:rsidRDefault="00565C39" w:rsidP="00565C39">
            <w:pPr>
              <w:rPr>
                <w:rFonts w:ascii="Arial" w:hAnsi="Arial" w:cs="Arial"/>
                <w:color w:val="000000"/>
                <w:sz w:val="16"/>
                <w:szCs w:val="16"/>
              </w:rPr>
            </w:pPr>
            <w:r>
              <w:rPr>
                <w:rFonts w:ascii="Arial" w:hAnsi="Arial" w:cs="Arial"/>
                <w:color w:val="000000"/>
              </w:rPr>
              <w:t>Specialized Deep Cleaning</w:t>
            </w:r>
          </w:p>
        </w:tc>
      </w:tr>
      <w:tr w:rsidR="00565C39" w:rsidRPr="006409C1" w14:paraId="68E82A71" w14:textId="77777777" w:rsidTr="00C6145E">
        <w:trPr>
          <w:trHeight w:val="264"/>
        </w:trPr>
        <w:tc>
          <w:tcPr>
            <w:tcW w:w="960" w:type="dxa"/>
            <w:shd w:val="clear" w:color="auto" w:fill="auto"/>
            <w:noWrap/>
            <w:vAlign w:val="center"/>
            <w:hideMark/>
          </w:tcPr>
          <w:p w14:paraId="7A6B5844" w14:textId="786C57AA" w:rsidR="00565C39" w:rsidRPr="006409C1" w:rsidRDefault="00565C39" w:rsidP="00565C39">
            <w:pPr>
              <w:jc w:val="center"/>
              <w:rPr>
                <w:rFonts w:ascii="Arial" w:hAnsi="Arial" w:cs="Arial"/>
                <w:color w:val="000000"/>
                <w:sz w:val="16"/>
                <w:szCs w:val="16"/>
              </w:rPr>
            </w:pPr>
            <w:r>
              <w:rPr>
                <w:rFonts w:ascii="Arial" w:hAnsi="Arial" w:cs="Arial"/>
                <w:color w:val="000000"/>
              </w:rPr>
              <w:t>C-6</w:t>
            </w:r>
          </w:p>
        </w:tc>
        <w:tc>
          <w:tcPr>
            <w:tcW w:w="3700" w:type="dxa"/>
            <w:shd w:val="clear" w:color="auto" w:fill="auto"/>
            <w:noWrap/>
            <w:vAlign w:val="center"/>
            <w:hideMark/>
          </w:tcPr>
          <w:p w14:paraId="032621B7" w14:textId="1D5C367F" w:rsidR="00565C39" w:rsidRPr="006409C1" w:rsidRDefault="00565C39" w:rsidP="00565C39">
            <w:pPr>
              <w:rPr>
                <w:rFonts w:ascii="Arial" w:hAnsi="Arial" w:cs="Arial"/>
                <w:color w:val="000000"/>
                <w:sz w:val="16"/>
                <w:szCs w:val="16"/>
              </w:rPr>
            </w:pPr>
            <w:r>
              <w:rPr>
                <w:rFonts w:ascii="Arial" w:hAnsi="Arial" w:cs="Arial"/>
                <w:color w:val="000000"/>
              </w:rPr>
              <w:t>Mold Remediation Services</w:t>
            </w:r>
          </w:p>
        </w:tc>
      </w:tr>
      <w:tr w:rsidR="00565C39" w:rsidRPr="006409C1" w14:paraId="685F112E" w14:textId="77777777" w:rsidTr="00C6145E">
        <w:trPr>
          <w:trHeight w:val="264"/>
        </w:trPr>
        <w:tc>
          <w:tcPr>
            <w:tcW w:w="960" w:type="dxa"/>
            <w:shd w:val="clear" w:color="auto" w:fill="auto"/>
            <w:noWrap/>
            <w:vAlign w:val="center"/>
            <w:hideMark/>
          </w:tcPr>
          <w:p w14:paraId="2DB11D67" w14:textId="1A9A00B4" w:rsidR="00565C39" w:rsidRPr="006409C1" w:rsidRDefault="00565C39" w:rsidP="00565C39">
            <w:pPr>
              <w:jc w:val="center"/>
              <w:rPr>
                <w:rFonts w:ascii="Arial" w:hAnsi="Arial" w:cs="Arial"/>
                <w:color w:val="000000"/>
                <w:sz w:val="16"/>
                <w:szCs w:val="16"/>
              </w:rPr>
            </w:pPr>
            <w:r>
              <w:rPr>
                <w:rFonts w:ascii="Arial" w:hAnsi="Arial" w:cs="Arial"/>
                <w:color w:val="000000"/>
              </w:rPr>
              <w:t>C-7</w:t>
            </w:r>
          </w:p>
        </w:tc>
        <w:tc>
          <w:tcPr>
            <w:tcW w:w="3700" w:type="dxa"/>
            <w:shd w:val="clear" w:color="auto" w:fill="auto"/>
            <w:noWrap/>
            <w:vAlign w:val="center"/>
            <w:hideMark/>
          </w:tcPr>
          <w:p w14:paraId="7EC1B58E" w14:textId="748A69F8" w:rsidR="00565C39" w:rsidRPr="006409C1" w:rsidRDefault="00565C39" w:rsidP="00565C39">
            <w:pPr>
              <w:rPr>
                <w:rFonts w:ascii="Arial" w:hAnsi="Arial" w:cs="Arial"/>
                <w:color w:val="000000"/>
                <w:sz w:val="16"/>
                <w:szCs w:val="16"/>
              </w:rPr>
            </w:pPr>
            <w:r>
              <w:rPr>
                <w:rFonts w:ascii="Arial" w:hAnsi="Arial" w:cs="Arial"/>
                <w:color w:val="000000"/>
              </w:rPr>
              <w:t>Other Remediation Services</w:t>
            </w:r>
          </w:p>
        </w:tc>
      </w:tr>
      <w:tr w:rsidR="00565C39" w:rsidRPr="006409C1" w14:paraId="2F5AA6FA" w14:textId="77777777" w:rsidTr="00C6145E">
        <w:trPr>
          <w:trHeight w:val="264"/>
        </w:trPr>
        <w:tc>
          <w:tcPr>
            <w:tcW w:w="960" w:type="dxa"/>
            <w:shd w:val="clear" w:color="auto" w:fill="auto"/>
            <w:noWrap/>
            <w:vAlign w:val="center"/>
          </w:tcPr>
          <w:p w14:paraId="174096DF" w14:textId="7D103B10" w:rsidR="00565C39" w:rsidRPr="006409C1" w:rsidRDefault="00565C39" w:rsidP="00565C39">
            <w:pPr>
              <w:jc w:val="center"/>
              <w:rPr>
                <w:rFonts w:ascii="Arial" w:hAnsi="Arial" w:cs="Arial"/>
                <w:color w:val="000000"/>
                <w:sz w:val="16"/>
                <w:szCs w:val="16"/>
              </w:rPr>
            </w:pPr>
            <w:r>
              <w:rPr>
                <w:rFonts w:ascii="Arial" w:hAnsi="Arial" w:cs="Arial"/>
                <w:color w:val="000000"/>
              </w:rPr>
              <w:t>C-8</w:t>
            </w:r>
          </w:p>
        </w:tc>
        <w:tc>
          <w:tcPr>
            <w:tcW w:w="3700" w:type="dxa"/>
            <w:shd w:val="clear" w:color="auto" w:fill="auto"/>
            <w:noWrap/>
            <w:vAlign w:val="center"/>
          </w:tcPr>
          <w:p w14:paraId="23E8A6FB" w14:textId="72B6CB45" w:rsidR="00565C39" w:rsidRPr="006409C1" w:rsidRDefault="00565C39" w:rsidP="00565C39">
            <w:pPr>
              <w:rPr>
                <w:rFonts w:ascii="Arial" w:hAnsi="Arial" w:cs="Arial"/>
                <w:color w:val="000000"/>
                <w:sz w:val="16"/>
                <w:szCs w:val="16"/>
              </w:rPr>
            </w:pPr>
            <w:r>
              <w:rPr>
                <w:rFonts w:ascii="Arial" w:hAnsi="Arial" w:cs="Arial"/>
                <w:color w:val="000000"/>
              </w:rPr>
              <w:t>Restoration Services</w:t>
            </w:r>
          </w:p>
        </w:tc>
      </w:tr>
      <w:tr w:rsidR="00565C39" w:rsidRPr="006409C1" w14:paraId="64F9F613" w14:textId="77777777" w:rsidTr="00C6145E">
        <w:trPr>
          <w:trHeight w:val="264"/>
        </w:trPr>
        <w:tc>
          <w:tcPr>
            <w:tcW w:w="960" w:type="dxa"/>
            <w:shd w:val="clear" w:color="auto" w:fill="auto"/>
            <w:noWrap/>
            <w:vAlign w:val="center"/>
          </w:tcPr>
          <w:p w14:paraId="2E482369" w14:textId="69A11D03" w:rsidR="00565C39" w:rsidRPr="006409C1" w:rsidRDefault="00565C39" w:rsidP="00565C39">
            <w:pPr>
              <w:jc w:val="center"/>
              <w:rPr>
                <w:rFonts w:ascii="Arial" w:hAnsi="Arial" w:cs="Arial"/>
                <w:color w:val="000000"/>
                <w:sz w:val="16"/>
                <w:szCs w:val="16"/>
              </w:rPr>
            </w:pPr>
            <w:r>
              <w:rPr>
                <w:rFonts w:ascii="Arial" w:hAnsi="Arial" w:cs="Arial"/>
                <w:color w:val="000000"/>
              </w:rPr>
              <w:t>C-9</w:t>
            </w:r>
          </w:p>
        </w:tc>
        <w:tc>
          <w:tcPr>
            <w:tcW w:w="3700" w:type="dxa"/>
            <w:shd w:val="clear" w:color="auto" w:fill="auto"/>
            <w:noWrap/>
            <w:vAlign w:val="center"/>
          </w:tcPr>
          <w:p w14:paraId="208337A2" w14:textId="64E2DB2C" w:rsidR="00565C39" w:rsidRPr="006409C1" w:rsidRDefault="00565C39" w:rsidP="00565C39">
            <w:pPr>
              <w:rPr>
                <w:rFonts w:ascii="Arial" w:hAnsi="Arial" w:cs="Arial"/>
                <w:color w:val="000000"/>
                <w:sz w:val="16"/>
                <w:szCs w:val="16"/>
              </w:rPr>
            </w:pPr>
            <w:r>
              <w:rPr>
                <w:rFonts w:ascii="Arial" w:hAnsi="Arial" w:cs="Arial"/>
                <w:color w:val="000000"/>
              </w:rPr>
              <w:t>Hazardous Material Testing Services</w:t>
            </w:r>
          </w:p>
        </w:tc>
      </w:tr>
      <w:tr w:rsidR="00565C39" w:rsidRPr="006409C1" w14:paraId="500460D6" w14:textId="77777777" w:rsidTr="00C6145E">
        <w:trPr>
          <w:trHeight w:val="264"/>
        </w:trPr>
        <w:tc>
          <w:tcPr>
            <w:tcW w:w="960" w:type="dxa"/>
            <w:shd w:val="clear" w:color="auto" w:fill="auto"/>
            <w:noWrap/>
            <w:vAlign w:val="center"/>
          </w:tcPr>
          <w:p w14:paraId="5BEFC844" w14:textId="6DFF1414" w:rsidR="00565C39" w:rsidRPr="006409C1" w:rsidRDefault="00565C39" w:rsidP="00565C39">
            <w:pPr>
              <w:jc w:val="center"/>
              <w:rPr>
                <w:rFonts w:ascii="Arial" w:hAnsi="Arial" w:cs="Arial"/>
                <w:color w:val="000000"/>
                <w:sz w:val="16"/>
                <w:szCs w:val="16"/>
              </w:rPr>
            </w:pPr>
            <w:r>
              <w:rPr>
                <w:rFonts w:ascii="Arial" w:hAnsi="Arial" w:cs="Arial"/>
                <w:color w:val="000000"/>
              </w:rPr>
              <w:t>C-10</w:t>
            </w:r>
          </w:p>
        </w:tc>
        <w:tc>
          <w:tcPr>
            <w:tcW w:w="3700" w:type="dxa"/>
            <w:shd w:val="clear" w:color="auto" w:fill="auto"/>
            <w:noWrap/>
            <w:vAlign w:val="center"/>
          </w:tcPr>
          <w:p w14:paraId="18E2CDF8" w14:textId="6DB22F16" w:rsidR="00565C39" w:rsidRPr="006409C1" w:rsidRDefault="00565C39" w:rsidP="00565C39">
            <w:pPr>
              <w:rPr>
                <w:rFonts w:ascii="Arial" w:hAnsi="Arial" w:cs="Arial"/>
                <w:color w:val="000000"/>
                <w:sz w:val="16"/>
                <w:szCs w:val="16"/>
              </w:rPr>
            </w:pPr>
            <w:r>
              <w:rPr>
                <w:rFonts w:ascii="Arial" w:hAnsi="Arial" w:cs="Arial"/>
                <w:color w:val="000000"/>
              </w:rPr>
              <w:t>Pest Management Services</w:t>
            </w:r>
          </w:p>
        </w:tc>
      </w:tr>
    </w:tbl>
    <w:p w14:paraId="2B9613D2" w14:textId="66E3D541" w:rsidR="003D655D" w:rsidRPr="005C2892" w:rsidRDefault="003D655D">
      <w:pPr>
        <w:rPr>
          <w:rFonts w:ascii="Arial" w:hAnsi="Arial" w:cs="Arial"/>
        </w:rPr>
      </w:pPr>
    </w:p>
    <w:p w14:paraId="17EA51D6" w14:textId="53000593" w:rsidR="003D655D" w:rsidRDefault="003D655D">
      <w:pPr>
        <w:rPr>
          <w:rFonts w:ascii="Arial" w:hAnsi="Arial" w:cs="Arial"/>
        </w:rPr>
      </w:pPr>
    </w:p>
    <w:p w14:paraId="0A06FB73" w14:textId="77777777" w:rsidR="00C6145E" w:rsidRPr="006959B0" w:rsidRDefault="00C6145E" w:rsidP="00C6145E">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48E9205A" w14:textId="77777777" w:rsidR="00C6145E" w:rsidRPr="006959B0" w:rsidRDefault="00C6145E" w:rsidP="00C6145E">
      <w:pPr>
        <w:rPr>
          <w:rFonts w:ascii="Arial" w:hAnsi="Arial" w:cs="Arial"/>
          <w:sz w:val="22"/>
          <w:szCs w:val="22"/>
        </w:rPr>
      </w:pPr>
    </w:p>
    <w:p w14:paraId="328AF1AA" w14:textId="77777777" w:rsidR="00C6145E" w:rsidRPr="006959B0" w:rsidRDefault="00C6145E" w:rsidP="00C6145E">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7531BEFF" w14:textId="77777777" w:rsidR="006959B0" w:rsidRPr="005C2892" w:rsidRDefault="006959B0" w:rsidP="006959B0">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2FAA518B" w14:textId="5F8178D7" w:rsidR="003D655D" w:rsidRDefault="003D655D">
      <w:pPr>
        <w:rPr>
          <w:rFonts w:ascii="Arial" w:hAnsi="Arial" w:cs="Arial"/>
          <w:color w:val="FF0000"/>
        </w:rPr>
      </w:pPr>
    </w:p>
    <w:p w14:paraId="41E29730" w14:textId="76C61D7A" w:rsidR="00375AB9" w:rsidRPr="00375AB9" w:rsidRDefault="00375AB9" w:rsidP="00375AB9">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23050FA0" w14:textId="4EEB54EE" w:rsidR="00375AB9" w:rsidRPr="00375AB9" w:rsidRDefault="00375AB9" w:rsidP="00375AB9">
      <w:pPr>
        <w:pStyle w:val="ListParagraph"/>
        <w:autoSpaceDE w:val="0"/>
        <w:autoSpaceDN w:val="0"/>
        <w:ind w:left="360"/>
        <w:rPr>
          <w:rFonts w:ascii="Arial" w:hAnsi="Arial" w:cs="Arial"/>
          <w:b/>
          <w:sz w:val="22"/>
          <w:szCs w:val="22"/>
        </w:rPr>
      </w:pPr>
    </w:p>
    <w:p w14:paraId="2CCEF3B1" w14:textId="57960752" w:rsidR="00375AB9" w:rsidRDefault="00375AB9" w:rsidP="00375AB9">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w:t>
      </w:r>
      <w:r w:rsidR="00E93CD1">
        <w:rPr>
          <w:rFonts w:ascii="Arial" w:hAnsi="Arial" w:cs="Arial"/>
          <w:b/>
          <w:sz w:val="22"/>
          <w:szCs w:val="22"/>
        </w:rPr>
        <w:t>2</w:t>
      </w:r>
      <w:r w:rsidRPr="00AB72A2">
        <w:rPr>
          <w:rFonts w:ascii="Arial" w:hAnsi="Arial" w:cs="Arial"/>
          <w:sz w:val="22"/>
          <w:szCs w:val="22"/>
        </w:rPr>
        <w: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(Yes or No)</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Emergency Contact Number:________________________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73FC8A1" w14:textId="2FEF2F3E" w:rsidR="003D655D" w:rsidRPr="005C2892" w:rsidRDefault="00C5489C" w:rsidP="00C5489C">
      <w:pPr>
        <w:autoSpaceDE w:val="0"/>
        <w:autoSpaceDN w:val="0"/>
        <w:rPr>
          <w:rFonts w:ascii="Arial" w:hAnsi="Arial" w:cs="Arial"/>
          <w:b/>
        </w:rPr>
      </w:pPr>
      <w:r w:rsidRPr="005C2892">
        <w:rPr>
          <w:rFonts w:ascii="Arial" w:hAnsi="Arial" w:cs="Arial"/>
          <w:b/>
        </w:rPr>
        <w:lastRenderedPageBreak/>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6971BA0E" w14:textId="77777777" w:rsidR="00C16D0D" w:rsidRDefault="00C16D0D" w:rsidP="002E363F">
      <w:pPr>
        <w:jc w:val="both"/>
        <w:rPr>
          <w:rFonts w:ascii="Arial" w:hAnsi="Arial" w:cs="Arial"/>
          <w:b/>
          <w:szCs w:val="22"/>
          <w:u w:val="single"/>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495ED8" w14:paraId="631FC85F" w14:textId="1CC62CD7" w:rsidTr="00311F29">
        <w:tc>
          <w:tcPr>
            <w:tcW w:w="5490" w:type="dxa"/>
            <w:gridSpan w:val="3"/>
            <w:shd w:val="clear" w:color="auto" w:fill="D9D9D9" w:themeFill="background1" w:themeFillShade="D9"/>
            <w:vAlign w:val="center"/>
          </w:tcPr>
          <w:p w14:paraId="212DE05E" w14:textId="77777777" w:rsidR="00495ED8" w:rsidRPr="00495ED8"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495ED8" w:rsidRDefault="00495ED8" w:rsidP="0063767F">
            <w:pPr>
              <w:pStyle w:val="NoSpacing"/>
              <w:jc w:val="center"/>
              <w:rPr>
                <w:rFonts w:ascii="Arial" w:hAnsi="Arial" w:cs="Arial"/>
                <w:b/>
                <w:sz w:val="16"/>
                <w:szCs w:val="16"/>
              </w:rPr>
            </w:pPr>
            <w:r>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Rates</w:t>
            </w:r>
          </w:p>
        </w:tc>
      </w:tr>
      <w:tr w:rsidR="00495ED8" w:rsidRPr="00495ED8" w14:paraId="2F4176DA" w14:textId="5FA1AE58" w:rsidTr="00495ED8">
        <w:tc>
          <w:tcPr>
            <w:tcW w:w="759" w:type="dxa"/>
            <w:shd w:val="clear" w:color="auto" w:fill="D9D9D9" w:themeFill="background1" w:themeFillShade="D9"/>
            <w:vAlign w:val="center"/>
          </w:tcPr>
          <w:p w14:paraId="58E51531" w14:textId="54D4DCA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495ED8" w:rsidRDefault="00495ED8" w:rsidP="0063767F">
            <w:pPr>
              <w:pStyle w:val="NoSpacing"/>
              <w:jc w:val="center"/>
              <w:rPr>
                <w:rFonts w:ascii="Arial" w:hAnsi="Arial" w:cs="Arial"/>
                <w:b/>
                <w:sz w:val="16"/>
                <w:szCs w:val="16"/>
              </w:rPr>
            </w:pPr>
            <w:r>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Overtime / Weekend / Holiday</w:t>
            </w:r>
            <w:r>
              <w:rPr>
                <w:rFonts w:ascii="Arial" w:hAnsi="Arial" w:cs="Arial"/>
                <w:b/>
                <w:sz w:val="16"/>
                <w:szCs w:val="16"/>
              </w:rPr>
              <w:t xml:space="preserve"> Hours</w:t>
            </w:r>
          </w:p>
        </w:tc>
        <w:tc>
          <w:tcPr>
            <w:tcW w:w="1195" w:type="dxa"/>
            <w:shd w:val="clear" w:color="auto" w:fill="D9D9D9" w:themeFill="background1" w:themeFillShade="D9"/>
            <w:vAlign w:val="center"/>
          </w:tcPr>
          <w:p w14:paraId="5590CE26" w14:textId="5AF31C59"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for Emergency Call-Ins</w:t>
            </w:r>
          </w:p>
        </w:tc>
      </w:tr>
      <w:tr w:rsidR="00C6145E" w:rsidRPr="00495ED8" w14:paraId="3318B535" w14:textId="1613FD3D" w:rsidTr="00CC15D5">
        <w:tc>
          <w:tcPr>
            <w:tcW w:w="759" w:type="dxa"/>
            <w:vAlign w:val="bottom"/>
          </w:tcPr>
          <w:p w14:paraId="07EED174" w14:textId="45C97A63"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C-1</w:t>
            </w:r>
          </w:p>
        </w:tc>
        <w:tc>
          <w:tcPr>
            <w:tcW w:w="2260" w:type="dxa"/>
            <w:vAlign w:val="bottom"/>
          </w:tcPr>
          <w:p w14:paraId="56097960" w14:textId="5D691403"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Cleaning Services</w:t>
            </w:r>
          </w:p>
        </w:tc>
        <w:tc>
          <w:tcPr>
            <w:tcW w:w="2471" w:type="dxa"/>
          </w:tcPr>
          <w:p w14:paraId="7D794403" w14:textId="6593113F" w:rsidR="00C6145E" w:rsidRPr="00495ED8" w:rsidRDefault="00C6145E" w:rsidP="00C6145E">
            <w:pPr>
              <w:spacing w:after="160" w:line="259" w:lineRule="auto"/>
              <w:jc w:val="both"/>
              <w:rPr>
                <w:rFonts w:ascii="Arial" w:hAnsi="Arial" w:cs="Arial"/>
                <w:sz w:val="16"/>
                <w:szCs w:val="16"/>
              </w:rPr>
            </w:pPr>
          </w:p>
        </w:tc>
        <w:tc>
          <w:tcPr>
            <w:tcW w:w="936" w:type="dxa"/>
          </w:tcPr>
          <w:p w14:paraId="6BCC791E"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FCB0122"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3033177C" w14:textId="3D8AC597" w:rsidR="00C6145E" w:rsidRPr="00495ED8" w:rsidRDefault="00C6145E" w:rsidP="00C6145E">
            <w:pPr>
              <w:spacing w:after="160" w:line="259" w:lineRule="auto"/>
              <w:jc w:val="both"/>
              <w:rPr>
                <w:rFonts w:ascii="Arial" w:hAnsi="Arial" w:cs="Arial"/>
                <w:sz w:val="16"/>
                <w:szCs w:val="16"/>
              </w:rPr>
            </w:pPr>
          </w:p>
        </w:tc>
        <w:tc>
          <w:tcPr>
            <w:tcW w:w="1079" w:type="dxa"/>
          </w:tcPr>
          <w:p w14:paraId="17E6B83F"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F350D12" w14:textId="09370D60" w:rsidTr="00495ED8">
        <w:tc>
          <w:tcPr>
            <w:tcW w:w="759" w:type="dxa"/>
          </w:tcPr>
          <w:p w14:paraId="64EE255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5EC7ED4" w14:textId="44822966" w:rsidR="00495ED8" w:rsidRPr="00495ED8"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495ED8"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1D704C8" w14:textId="0D244014" w:rsidTr="00495ED8">
        <w:tc>
          <w:tcPr>
            <w:tcW w:w="759" w:type="dxa"/>
          </w:tcPr>
          <w:p w14:paraId="0EA1D54C"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2143442E" w14:textId="18C2C6B2" w:rsidR="00495ED8" w:rsidRPr="00495ED8"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495ED8"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52203D4D" w14:textId="1880BA63" w:rsidTr="00FE06B5">
        <w:tc>
          <w:tcPr>
            <w:tcW w:w="759" w:type="dxa"/>
            <w:vAlign w:val="bottom"/>
          </w:tcPr>
          <w:p w14:paraId="69F5E55E" w14:textId="744594B5"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C-2</w:t>
            </w:r>
          </w:p>
        </w:tc>
        <w:tc>
          <w:tcPr>
            <w:tcW w:w="2260" w:type="dxa"/>
            <w:vAlign w:val="bottom"/>
          </w:tcPr>
          <w:p w14:paraId="43715CCF" w14:textId="2C66D067"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Carpet Cleaning Services</w:t>
            </w:r>
          </w:p>
        </w:tc>
        <w:tc>
          <w:tcPr>
            <w:tcW w:w="2471" w:type="dxa"/>
          </w:tcPr>
          <w:p w14:paraId="10DF5B41" w14:textId="4B422424" w:rsidR="00C6145E" w:rsidRPr="00495ED8" w:rsidRDefault="00C6145E" w:rsidP="00C6145E">
            <w:pPr>
              <w:spacing w:after="160" w:line="259" w:lineRule="auto"/>
              <w:jc w:val="both"/>
              <w:rPr>
                <w:rFonts w:ascii="Arial" w:hAnsi="Arial" w:cs="Arial"/>
                <w:sz w:val="16"/>
                <w:szCs w:val="16"/>
              </w:rPr>
            </w:pPr>
          </w:p>
        </w:tc>
        <w:tc>
          <w:tcPr>
            <w:tcW w:w="936" w:type="dxa"/>
          </w:tcPr>
          <w:p w14:paraId="188DC792"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139B697"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BC83FC" w14:textId="5D95A722" w:rsidR="00C6145E" w:rsidRPr="00495ED8" w:rsidRDefault="00C6145E" w:rsidP="00C6145E">
            <w:pPr>
              <w:spacing w:after="160" w:line="259" w:lineRule="auto"/>
              <w:jc w:val="both"/>
              <w:rPr>
                <w:rFonts w:ascii="Arial" w:hAnsi="Arial" w:cs="Arial"/>
                <w:sz w:val="16"/>
                <w:szCs w:val="16"/>
              </w:rPr>
            </w:pPr>
          </w:p>
        </w:tc>
        <w:tc>
          <w:tcPr>
            <w:tcW w:w="1079" w:type="dxa"/>
          </w:tcPr>
          <w:p w14:paraId="1D7B36DE"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73CDE1A9" w14:textId="1AF4A064" w:rsidTr="00495ED8">
        <w:tc>
          <w:tcPr>
            <w:tcW w:w="759" w:type="dxa"/>
          </w:tcPr>
          <w:p w14:paraId="0D323D95"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9DC9C3F" w14:textId="6F0258F9" w:rsidR="00495ED8" w:rsidRPr="00495ED8"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495ED8"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DA2A809" w14:textId="3842B705" w:rsidTr="00495ED8">
        <w:tc>
          <w:tcPr>
            <w:tcW w:w="759" w:type="dxa"/>
          </w:tcPr>
          <w:p w14:paraId="20C4379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C57056F" w14:textId="7DA6C963" w:rsidR="00495ED8" w:rsidRPr="00495ED8"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495ED8"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116E401D" w14:textId="6A7D005F" w:rsidTr="00576C55">
        <w:tc>
          <w:tcPr>
            <w:tcW w:w="759" w:type="dxa"/>
            <w:vAlign w:val="bottom"/>
          </w:tcPr>
          <w:p w14:paraId="513FED85" w14:textId="379AEAB4"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C-3</w:t>
            </w:r>
          </w:p>
        </w:tc>
        <w:tc>
          <w:tcPr>
            <w:tcW w:w="2260" w:type="dxa"/>
            <w:vAlign w:val="bottom"/>
          </w:tcPr>
          <w:p w14:paraId="76B5219A" w14:textId="4D2ABDDA"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Floor Finishing Services</w:t>
            </w:r>
          </w:p>
        </w:tc>
        <w:tc>
          <w:tcPr>
            <w:tcW w:w="2471" w:type="dxa"/>
          </w:tcPr>
          <w:p w14:paraId="54153C4E" w14:textId="548112A5" w:rsidR="00C6145E" w:rsidRPr="00495ED8" w:rsidRDefault="00C6145E" w:rsidP="00C6145E">
            <w:pPr>
              <w:spacing w:after="160" w:line="259" w:lineRule="auto"/>
              <w:jc w:val="both"/>
              <w:rPr>
                <w:rFonts w:ascii="Arial" w:hAnsi="Arial" w:cs="Arial"/>
                <w:sz w:val="16"/>
                <w:szCs w:val="16"/>
              </w:rPr>
            </w:pPr>
          </w:p>
        </w:tc>
        <w:tc>
          <w:tcPr>
            <w:tcW w:w="936" w:type="dxa"/>
          </w:tcPr>
          <w:p w14:paraId="6C453120"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D1AA665"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DB770C6" w14:textId="06DB10A8" w:rsidR="00C6145E" w:rsidRPr="00495ED8" w:rsidRDefault="00C6145E" w:rsidP="00C6145E">
            <w:pPr>
              <w:spacing w:after="160" w:line="259" w:lineRule="auto"/>
              <w:jc w:val="both"/>
              <w:rPr>
                <w:rFonts w:ascii="Arial" w:hAnsi="Arial" w:cs="Arial"/>
                <w:sz w:val="16"/>
                <w:szCs w:val="16"/>
              </w:rPr>
            </w:pPr>
          </w:p>
        </w:tc>
        <w:tc>
          <w:tcPr>
            <w:tcW w:w="1079" w:type="dxa"/>
          </w:tcPr>
          <w:p w14:paraId="58843ED0"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1FB5B29" w14:textId="646A8687" w:rsidTr="00495ED8">
        <w:tc>
          <w:tcPr>
            <w:tcW w:w="759" w:type="dxa"/>
          </w:tcPr>
          <w:p w14:paraId="26C6AB52"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78CC5D6F" w14:textId="1DD703BD" w:rsidR="00495ED8" w:rsidRPr="00495ED8"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D8EF25C" w14:textId="5B5F28DA" w:rsidTr="00495ED8">
        <w:tc>
          <w:tcPr>
            <w:tcW w:w="759" w:type="dxa"/>
          </w:tcPr>
          <w:p w14:paraId="60CDF681"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42E4E798" w14:textId="79780747" w:rsidR="00495ED8" w:rsidRPr="00495ED8"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4F786BB1" w14:textId="12EFDFCE" w:rsidTr="00495ED8">
        <w:tc>
          <w:tcPr>
            <w:tcW w:w="759" w:type="dxa"/>
          </w:tcPr>
          <w:p w14:paraId="5A594086" w14:textId="2E36A3C3" w:rsidR="00495ED8" w:rsidRPr="00495ED8" w:rsidRDefault="00C6145E" w:rsidP="002E563E">
            <w:pPr>
              <w:spacing w:after="160" w:line="259" w:lineRule="auto"/>
              <w:jc w:val="both"/>
              <w:rPr>
                <w:rFonts w:ascii="Arial" w:hAnsi="Arial" w:cs="Arial"/>
                <w:sz w:val="16"/>
                <w:szCs w:val="16"/>
              </w:rPr>
            </w:pPr>
            <w:r>
              <w:rPr>
                <w:rFonts w:ascii="Arial" w:hAnsi="Arial" w:cs="Arial"/>
                <w:sz w:val="16"/>
                <w:szCs w:val="16"/>
              </w:rPr>
              <w:t>C-4</w:t>
            </w:r>
          </w:p>
        </w:tc>
        <w:tc>
          <w:tcPr>
            <w:tcW w:w="2260" w:type="dxa"/>
          </w:tcPr>
          <w:p w14:paraId="1C64D4CE" w14:textId="70450FD4" w:rsidR="00495ED8" w:rsidRPr="00495ED8" w:rsidRDefault="00C6145E" w:rsidP="002E563E">
            <w:pPr>
              <w:spacing w:after="160" w:line="259" w:lineRule="auto"/>
              <w:jc w:val="both"/>
              <w:rPr>
                <w:rFonts w:ascii="Arial" w:hAnsi="Arial" w:cs="Arial"/>
                <w:sz w:val="16"/>
                <w:szCs w:val="16"/>
              </w:rPr>
            </w:pPr>
            <w:r w:rsidRPr="00C6145E">
              <w:rPr>
                <w:rFonts w:ascii="Arial" w:hAnsi="Arial" w:cs="Arial"/>
                <w:sz w:val="16"/>
                <w:szCs w:val="16"/>
              </w:rPr>
              <w:t>Window Washing Services</w:t>
            </w:r>
          </w:p>
        </w:tc>
        <w:tc>
          <w:tcPr>
            <w:tcW w:w="2471" w:type="dxa"/>
          </w:tcPr>
          <w:p w14:paraId="1FF4B4AD" w14:textId="2A1901BF" w:rsidR="00495ED8" w:rsidRPr="00495ED8" w:rsidRDefault="00495ED8" w:rsidP="002E563E">
            <w:pPr>
              <w:spacing w:after="160" w:line="259" w:lineRule="auto"/>
              <w:jc w:val="both"/>
              <w:rPr>
                <w:rFonts w:ascii="Arial" w:hAnsi="Arial" w:cs="Arial"/>
                <w:sz w:val="16"/>
                <w:szCs w:val="16"/>
              </w:rPr>
            </w:pPr>
          </w:p>
        </w:tc>
        <w:tc>
          <w:tcPr>
            <w:tcW w:w="936" w:type="dxa"/>
          </w:tcPr>
          <w:p w14:paraId="09C41111"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41CF5FD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4B9C8A74"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1769AA98"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6B52563" w14:textId="4BC24B01" w:rsidTr="00495ED8">
        <w:tc>
          <w:tcPr>
            <w:tcW w:w="759" w:type="dxa"/>
          </w:tcPr>
          <w:p w14:paraId="6D9BF78A"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B289331" w14:textId="6344A333" w:rsidR="00495ED8" w:rsidRPr="00495ED8"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E31DAFA" w14:textId="417C9FC0" w:rsidTr="00495ED8">
        <w:tc>
          <w:tcPr>
            <w:tcW w:w="759" w:type="dxa"/>
          </w:tcPr>
          <w:p w14:paraId="6FD249D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0E680502" w14:textId="36A6C6E2" w:rsidR="00495ED8" w:rsidRPr="00495ED8"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778DBC16" w14:textId="3194297F" w:rsidTr="00944A9F">
        <w:tc>
          <w:tcPr>
            <w:tcW w:w="759" w:type="dxa"/>
            <w:vAlign w:val="center"/>
          </w:tcPr>
          <w:p w14:paraId="2D9AF926" w14:textId="781F0B0B"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C-5</w:t>
            </w:r>
          </w:p>
        </w:tc>
        <w:tc>
          <w:tcPr>
            <w:tcW w:w="2260" w:type="dxa"/>
            <w:vAlign w:val="center"/>
          </w:tcPr>
          <w:p w14:paraId="4152D0FA" w14:textId="59F798FC"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Specialized Deep Cleaning</w:t>
            </w:r>
          </w:p>
        </w:tc>
        <w:tc>
          <w:tcPr>
            <w:tcW w:w="2471" w:type="dxa"/>
          </w:tcPr>
          <w:p w14:paraId="59AAA56D" w14:textId="29DDE97B" w:rsidR="00C6145E" w:rsidRPr="00495ED8" w:rsidRDefault="00C6145E" w:rsidP="00C6145E">
            <w:pPr>
              <w:spacing w:after="160" w:line="259" w:lineRule="auto"/>
              <w:jc w:val="both"/>
              <w:rPr>
                <w:rFonts w:ascii="Arial" w:hAnsi="Arial" w:cs="Arial"/>
                <w:sz w:val="16"/>
                <w:szCs w:val="16"/>
              </w:rPr>
            </w:pPr>
          </w:p>
        </w:tc>
        <w:tc>
          <w:tcPr>
            <w:tcW w:w="936" w:type="dxa"/>
          </w:tcPr>
          <w:p w14:paraId="02992323"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E5B5B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27898E0"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C08C8ED"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60F1D844" w14:textId="1810F322" w:rsidTr="00495ED8">
        <w:tc>
          <w:tcPr>
            <w:tcW w:w="759" w:type="dxa"/>
          </w:tcPr>
          <w:p w14:paraId="2EC7A57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3759BB8" w14:textId="2127D0A0" w:rsidR="00495ED8" w:rsidRPr="00495ED8"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4B53BCFC" w14:textId="77777777" w:rsidTr="00495ED8">
        <w:tc>
          <w:tcPr>
            <w:tcW w:w="759" w:type="dxa"/>
          </w:tcPr>
          <w:p w14:paraId="088CED81" w14:textId="77777777" w:rsidR="00C6145E" w:rsidRPr="00495ED8"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495ED8" w:rsidRDefault="00C6145E" w:rsidP="002E563E">
            <w:pPr>
              <w:spacing w:after="160" w:line="259" w:lineRule="auto"/>
              <w:jc w:val="both"/>
              <w:rPr>
                <w:rFonts w:ascii="Arial" w:hAnsi="Arial" w:cs="Arial"/>
                <w:sz w:val="16"/>
                <w:szCs w:val="16"/>
              </w:rPr>
            </w:pPr>
          </w:p>
        </w:tc>
        <w:tc>
          <w:tcPr>
            <w:tcW w:w="2471" w:type="dxa"/>
          </w:tcPr>
          <w:p w14:paraId="4BC83590" w14:textId="77777777" w:rsidR="00C6145E" w:rsidRPr="00495ED8"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495ED8"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495ED8"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495ED8"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495ED8" w:rsidRDefault="00C6145E" w:rsidP="002E563E">
            <w:pPr>
              <w:spacing w:after="160" w:line="259" w:lineRule="auto"/>
              <w:jc w:val="both"/>
              <w:rPr>
                <w:rFonts w:ascii="Arial" w:hAnsi="Arial" w:cs="Arial"/>
                <w:sz w:val="16"/>
                <w:szCs w:val="16"/>
              </w:rPr>
            </w:pPr>
          </w:p>
        </w:tc>
      </w:tr>
      <w:tr w:rsidR="00C6145E" w:rsidRPr="00495ED8" w14:paraId="36F1A5B3" w14:textId="77777777" w:rsidTr="00B26242">
        <w:tc>
          <w:tcPr>
            <w:tcW w:w="759" w:type="dxa"/>
            <w:vAlign w:val="center"/>
          </w:tcPr>
          <w:p w14:paraId="0EC16075" w14:textId="5B19D787"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C-6</w:t>
            </w:r>
          </w:p>
        </w:tc>
        <w:tc>
          <w:tcPr>
            <w:tcW w:w="2260" w:type="dxa"/>
            <w:vAlign w:val="center"/>
          </w:tcPr>
          <w:p w14:paraId="2B9E1516" w14:textId="096E2CD0" w:rsidR="00C6145E" w:rsidRPr="00495ED8" w:rsidRDefault="00C6145E" w:rsidP="00C6145E">
            <w:pPr>
              <w:spacing w:after="160" w:line="259" w:lineRule="auto"/>
              <w:jc w:val="both"/>
              <w:rPr>
                <w:rFonts w:ascii="Arial" w:hAnsi="Arial" w:cs="Arial"/>
                <w:sz w:val="16"/>
                <w:szCs w:val="16"/>
              </w:rPr>
            </w:pPr>
            <w:r w:rsidRPr="006409C1">
              <w:rPr>
                <w:rFonts w:ascii="Arial" w:hAnsi="Arial" w:cs="Arial"/>
                <w:color w:val="000000"/>
                <w:sz w:val="16"/>
                <w:szCs w:val="16"/>
              </w:rPr>
              <w:t>Mold Remediation Services</w:t>
            </w:r>
          </w:p>
        </w:tc>
        <w:tc>
          <w:tcPr>
            <w:tcW w:w="2471" w:type="dxa"/>
          </w:tcPr>
          <w:p w14:paraId="6A9BC9C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7597C60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A940CD9"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7CBDBDA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62224FC"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15D2A9C0" w14:textId="77777777" w:rsidTr="00B26242">
        <w:tc>
          <w:tcPr>
            <w:tcW w:w="759" w:type="dxa"/>
            <w:vAlign w:val="center"/>
          </w:tcPr>
          <w:p w14:paraId="716EC3D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73F335C"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E31F8F1" w14:textId="77777777" w:rsidTr="00B26242">
        <w:tc>
          <w:tcPr>
            <w:tcW w:w="759" w:type="dxa"/>
            <w:vAlign w:val="center"/>
          </w:tcPr>
          <w:p w14:paraId="093BE091"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298A65F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F4EE8AE" w14:textId="77777777" w:rsidTr="00B26242">
        <w:tc>
          <w:tcPr>
            <w:tcW w:w="759" w:type="dxa"/>
            <w:vAlign w:val="center"/>
          </w:tcPr>
          <w:p w14:paraId="0CDA03B8" w14:textId="03B3A18F" w:rsidR="00C6145E" w:rsidRPr="006409C1" w:rsidRDefault="00C6145E" w:rsidP="00C6145E">
            <w:pPr>
              <w:spacing w:after="160" w:line="259" w:lineRule="auto"/>
              <w:jc w:val="both"/>
              <w:rPr>
                <w:rFonts w:ascii="Arial" w:hAnsi="Arial" w:cs="Arial"/>
                <w:color w:val="000000"/>
                <w:sz w:val="16"/>
                <w:szCs w:val="16"/>
              </w:rPr>
            </w:pPr>
            <w:r>
              <w:rPr>
                <w:rFonts w:ascii="Arial" w:hAnsi="Arial" w:cs="Arial"/>
                <w:color w:val="000000"/>
                <w:sz w:val="16"/>
                <w:szCs w:val="16"/>
              </w:rPr>
              <w:t>C-7</w:t>
            </w:r>
          </w:p>
        </w:tc>
        <w:tc>
          <w:tcPr>
            <w:tcW w:w="2260" w:type="dxa"/>
            <w:vAlign w:val="center"/>
          </w:tcPr>
          <w:p w14:paraId="22CD4F76" w14:textId="360115B6" w:rsidR="00C6145E" w:rsidRPr="006409C1" w:rsidRDefault="00C6145E" w:rsidP="00C6145E">
            <w:pPr>
              <w:spacing w:after="160" w:line="259" w:lineRule="auto"/>
              <w:jc w:val="both"/>
              <w:rPr>
                <w:rFonts w:ascii="Arial" w:hAnsi="Arial" w:cs="Arial"/>
                <w:color w:val="000000"/>
                <w:sz w:val="16"/>
                <w:szCs w:val="16"/>
              </w:rPr>
            </w:pPr>
            <w:r w:rsidRPr="00C6145E">
              <w:rPr>
                <w:rFonts w:ascii="Arial" w:hAnsi="Arial" w:cs="Arial"/>
                <w:color w:val="000000"/>
                <w:sz w:val="16"/>
                <w:szCs w:val="16"/>
              </w:rPr>
              <w:t>Other Remediation Services</w:t>
            </w:r>
          </w:p>
        </w:tc>
        <w:tc>
          <w:tcPr>
            <w:tcW w:w="2471" w:type="dxa"/>
          </w:tcPr>
          <w:p w14:paraId="396E1C63"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5043D67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58828B0"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8DD961"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53D9383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2BEDE32" w14:textId="77777777" w:rsidTr="00B26242">
        <w:tc>
          <w:tcPr>
            <w:tcW w:w="759" w:type="dxa"/>
            <w:vAlign w:val="center"/>
          </w:tcPr>
          <w:p w14:paraId="4C0E2F64"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92B4CE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56C7AB2B" w14:textId="77777777" w:rsidTr="00B26242">
        <w:tc>
          <w:tcPr>
            <w:tcW w:w="759" w:type="dxa"/>
            <w:vAlign w:val="center"/>
          </w:tcPr>
          <w:p w14:paraId="1AFF609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1A690F3B"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32803A7" w14:textId="77777777" w:rsidTr="00B26242">
        <w:tc>
          <w:tcPr>
            <w:tcW w:w="759" w:type="dxa"/>
            <w:vAlign w:val="center"/>
          </w:tcPr>
          <w:p w14:paraId="723EF898" w14:textId="5363C4C4" w:rsidR="00C6145E" w:rsidRPr="006409C1" w:rsidRDefault="00C6145E" w:rsidP="00C6145E">
            <w:pPr>
              <w:spacing w:after="160" w:line="259" w:lineRule="auto"/>
              <w:jc w:val="both"/>
              <w:rPr>
                <w:rFonts w:ascii="Arial" w:hAnsi="Arial" w:cs="Arial"/>
                <w:color w:val="000000"/>
                <w:sz w:val="16"/>
                <w:szCs w:val="16"/>
              </w:rPr>
            </w:pPr>
            <w:r>
              <w:rPr>
                <w:rFonts w:ascii="Arial" w:hAnsi="Arial" w:cs="Arial"/>
                <w:color w:val="000000"/>
                <w:sz w:val="16"/>
                <w:szCs w:val="16"/>
              </w:rPr>
              <w:t>C-8</w:t>
            </w:r>
          </w:p>
        </w:tc>
        <w:tc>
          <w:tcPr>
            <w:tcW w:w="2260" w:type="dxa"/>
            <w:vAlign w:val="center"/>
          </w:tcPr>
          <w:p w14:paraId="74D3DF1E" w14:textId="1B753A1A" w:rsidR="00C6145E" w:rsidRPr="006409C1" w:rsidRDefault="00C6145E" w:rsidP="00C6145E">
            <w:pPr>
              <w:spacing w:after="160" w:line="259" w:lineRule="auto"/>
              <w:jc w:val="both"/>
              <w:rPr>
                <w:rFonts w:ascii="Arial" w:hAnsi="Arial" w:cs="Arial"/>
                <w:color w:val="000000"/>
                <w:sz w:val="16"/>
                <w:szCs w:val="16"/>
              </w:rPr>
            </w:pPr>
            <w:r w:rsidRPr="00C6145E">
              <w:rPr>
                <w:rFonts w:ascii="Arial" w:hAnsi="Arial" w:cs="Arial"/>
                <w:color w:val="000000"/>
                <w:sz w:val="16"/>
                <w:szCs w:val="16"/>
              </w:rPr>
              <w:t>Restoration Services</w:t>
            </w:r>
          </w:p>
        </w:tc>
        <w:tc>
          <w:tcPr>
            <w:tcW w:w="2471" w:type="dxa"/>
          </w:tcPr>
          <w:p w14:paraId="7F23847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09EED0F"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3BF901BC"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AC4665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B97A1D4"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97EA646" w14:textId="77777777" w:rsidTr="00B26242">
        <w:tc>
          <w:tcPr>
            <w:tcW w:w="759" w:type="dxa"/>
            <w:vAlign w:val="center"/>
          </w:tcPr>
          <w:p w14:paraId="7120FC00"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BF0AD8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2F1D3221" w14:textId="77777777" w:rsidTr="00B26242">
        <w:tc>
          <w:tcPr>
            <w:tcW w:w="759" w:type="dxa"/>
            <w:vAlign w:val="center"/>
          </w:tcPr>
          <w:p w14:paraId="5ABD795C"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20BDD1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2A0CACC6" w14:textId="77777777" w:rsidTr="00B26242">
        <w:tc>
          <w:tcPr>
            <w:tcW w:w="759" w:type="dxa"/>
            <w:vAlign w:val="center"/>
          </w:tcPr>
          <w:p w14:paraId="76FE02C4" w14:textId="6E32CE55" w:rsidR="00C6145E" w:rsidRDefault="00C6145E" w:rsidP="00C6145E">
            <w:pPr>
              <w:spacing w:after="160" w:line="259" w:lineRule="auto"/>
              <w:jc w:val="both"/>
              <w:rPr>
                <w:rFonts w:ascii="Arial" w:hAnsi="Arial" w:cs="Arial"/>
                <w:color w:val="000000"/>
                <w:sz w:val="16"/>
                <w:szCs w:val="16"/>
              </w:rPr>
            </w:pPr>
            <w:r>
              <w:rPr>
                <w:rFonts w:ascii="Arial" w:hAnsi="Arial" w:cs="Arial"/>
                <w:color w:val="000000"/>
                <w:sz w:val="16"/>
                <w:szCs w:val="16"/>
              </w:rPr>
              <w:t>C-9</w:t>
            </w:r>
          </w:p>
        </w:tc>
        <w:tc>
          <w:tcPr>
            <w:tcW w:w="2260" w:type="dxa"/>
            <w:vAlign w:val="center"/>
          </w:tcPr>
          <w:p w14:paraId="09BD0E65" w14:textId="664A6626" w:rsidR="00C6145E" w:rsidRDefault="001A79D3" w:rsidP="00C6145E">
            <w:pPr>
              <w:spacing w:after="160" w:line="259" w:lineRule="auto"/>
              <w:jc w:val="both"/>
              <w:rPr>
                <w:rFonts w:ascii="Arial" w:hAnsi="Arial" w:cs="Arial"/>
                <w:color w:val="000000"/>
                <w:sz w:val="16"/>
                <w:szCs w:val="16"/>
              </w:rPr>
            </w:pPr>
            <w:r w:rsidRPr="001A79D3">
              <w:rPr>
                <w:rFonts w:ascii="Arial" w:hAnsi="Arial" w:cs="Arial"/>
                <w:color w:val="000000"/>
                <w:sz w:val="16"/>
                <w:szCs w:val="16"/>
              </w:rPr>
              <w:t>Hazardous Material Testing Services</w:t>
            </w:r>
          </w:p>
        </w:tc>
        <w:tc>
          <w:tcPr>
            <w:tcW w:w="2471" w:type="dxa"/>
          </w:tcPr>
          <w:p w14:paraId="34DDEF77"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138799A"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E9DECD3"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7B93395C"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5A0C6F0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135A3BEB" w14:textId="77777777" w:rsidTr="00B26242">
        <w:tc>
          <w:tcPr>
            <w:tcW w:w="759" w:type="dxa"/>
            <w:vAlign w:val="center"/>
          </w:tcPr>
          <w:p w14:paraId="434CEF1D" w14:textId="77777777" w:rsidR="00C6145E" w:rsidRDefault="00C6145E" w:rsidP="00C6145E">
            <w:pPr>
              <w:spacing w:after="160" w:line="259" w:lineRule="auto"/>
              <w:jc w:val="both"/>
              <w:rPr>
                <w:rFonts w:ascii="Arial" w:hAnsi="Arial" w:cs="Arial"/>
                <w:color w:val="000000"/>
                <w:sz w:val="16"/>
                <w:szCs w:val="16"/>
              </w:rPr>
            </w:pPr>
          </w:p>
        </w:tc>
        <w:tc>
          <w:tcPr>
            <w:tcW w:w="2260" w:type="dxa"/>
            <w:vAlign w:val="center"/>
          </w:tcPr>
          <w:p w14:paraId="797DF470" w14:textId="77777777" w:rsidR="00C6145E" w:rsidRDefault="00C6145E" w:rsidP="00C6145E">
            <w:pPr>
              <w:spacing w:after="160" w:line="259" w:lineRule="auto"/>
              <w:jc w:val="both"/>
              <w:rPr>
                <w:rFonts w:ascii="Arial" w:hAnsi="Arial" w:cs="Arial"/>
                <w:color w:val="000000"/>
                <w:sz w:val="16"/>
                <w:szCs w:val="16"/>
              </w:rPr>
            </w:pPr>
          </w:p>
        </w:tc>
        <w:tc>
          <w:tcPr>
            <w:tcW w:w="2471" w:type="dxa"/>
          </w:tcPr>
          <w:p w14:paraId="701762C6"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C3529F5"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E9788BA"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665108E"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6E38C7E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2AC46E3" w14:textId="77777777" w:rsidTr="00B26242">
        <w:tc>
          <w:tcPr>
            <w:tcW w:w="759" w:type="dxa"/>
            <w:vAlign w:val="center"/>
          </w:tcPr>
          <w:p w14:paraId="07B96D08" w14:textId="77777777" w:rsidR="00C6145E" w:rsidRDefault="00C6145E" w:rsidP="00C6145E">
            <w:pPr>
              <w:spacing w:after="160" w:line="259" w:lineRule="auto"/>
              <w:jc w:val="both"/>
              <w:rPr>
                <w:rFonts w:ascii="Arial" w:hAnsi="Arial" w:cs="Arial"/>
                <w:color w:val="000000"/>
                <w:sz w:val="16"/>
                <w:szCs w:val="16"/>
              </w:rPr>
            </w:pPr>
          </w:p>
        </w:tc>
        <w:tc>
          <w:tcPr>
            <w:tcW w:w="2260" w:type="dxa"/>
            <w:vAlign w:val="center"/>
          </w:tcPr>
          <w:p w14:paraId="6F988A65" w14:textId="77777777" w:rsidR="00C6145E" w:rsidRDefault="00C6145E" w:rsidP="00C6145E">
            <w:pPr>
              <w:spacing w:after="160" w:line="259" w:lineRule="auto"/>
              <w:jc w:val="both"/>
              <w:rPr>
                <w:rFonts w:ascii="Arial" w:hAnsi="Arial" w:cs="Arial"/>
                <w:color w:val="000000"/>
                <w:sz w:val="16"/>
                <w:szCs w:val="16"/>
              </w:rPr>
            </w:pPr>
          </w:p>
        </w:tc>
        <w:tc>
          <w:tcPr>
            <w:tcW w:w="2471" w:type="dxa"/>
          </w:tcPr>
          <w:p w14:paraId="4A023143"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5128B8D2"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2473632"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20F6D0D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7B6962E"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600BF05F" w14:textId="77777777" w:rsidTr="00B26242">
        <w:tc>
          <w:tcPr>
            <w:tcW w:w="759" w:type="dxa"/>
            <w:vAlign w:val="center"/>
          </w:tcPr>
          <w:p w14:paraId="38989016" w14:textId="7FF32502" w:rsidR="00C6145E" w:rsidRPr="006409C1" w:rsidRDefault="00C6145E" w:rsidP="00C6145E">
            <w:pPr>
              <w:spacing w:after="160" w:line="259" w:lineRule="auto"/>
              <w:jc w:val="both"/>
              <w:rPr>
                <w:rFonts w:ascii="Arial" w:hAnsi="Arial" w:cs="Arial"/>
                <w:color w:val="000000"/>
                <w:sz w:val="16"/>
                <w:szCs w:val="16"/>
              </w:rPr>
            </w:pPr>
            <w:r>
              <w:rPr>
                <w:rFonts w:ascii="Arial" w:hAnsi="Arial" w:cs="Arial"/>
                <w:color w:val="000000"/>
                <w:sz w:val="16"/>
                <w:szCs w:val="16"/>
              </w:rPr>
              <w:t>C-10</w:t>
            </w:r>
          </w:p>
        </w:tc>
        <w:tc>
          <w:tcPr>
            <w:tcW w:w="2260" w:type="dxa"/>
            <w:vAlign w:val="center"/>
          </w:tcPr>
          <w:p w14:paraId="4FDC5CE1" w14:textId="53DFB669" w:rsidR="00C6145E" w:rsidRPr="006409C1" w:rsidRDefault="00C6145E" w:rsidP="00C6145E">
            <w:pPr>
              <w:spacing w:after="160" w:line="259" w:lineRule="auto"/>
              <w:jc w:val="both"/>
              <w:rPr>
                <w:rFonts w:ascii="Arial" w:hAnsi="Arial" w:cs="Arial"/>
                <w:color w:val="000000"/>
                <w:sz w:val="16"/>
                <w:szCs w:val="16"/>
              </w:rPr>
            </w:pPr>
            <w:r>
              <w:rPr>
                <w:rFonts w:ascii="Arial" w:hAnsi="Arial" w:cs="Arial"/>
                <w:color w:val="000000"/>
                <w:sz w:val="16"/>
                <w:szCs w:val="16"/>
              </w:rPr>
              <w:t>Pest Management Services</w:t>
            </w:r>
          </w:p>
        </w:tc>
        <w:tc>
          <w:tcPr>
            <w:tcW w:w="2471" w:type="dxa"/>
          </w:tcPr>
          <w:p w14:paraId="53E4091E"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E3E9485"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71D49D3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4A10ECC"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1C14F4C"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550C1EF3" w14:textId="77777777" w:rsidTr="00B26242">
        <w:tc>
          <w:tcPr>
            <w:tcW w:w="759" w:type="dxa"/>
            <w:vAlign w:val="center"/>
          </w:tcPr>
          <w:p w14:paraId="45115D94"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463FD447"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19BF75A5"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1110A37"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65C1C090"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5053352"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438EB6EB"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F913B41" w14:textId="77777777" w:rsidTr="00B26242">
        <w:tc>
          <w:tcPr>
            <w:tcW w:w="759" w:type="dxa"/>
            <w:vAlign w:val="center"/>
          </w:tcPr>
          <w:p w14:paraId="4D0C385A"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68DAB9FF"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2A1E5BA8"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9AF04B6"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7A549B4C"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AD6A301"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7382286" w14:textId="77777777" w:rsidR="00C6145E" w:rsidRPr="00495ED8" w:rsidRDefault="00C6145E" w:rsidP="00C6145E">
            <w:pPr>
              <w:spacing w:after="160" w:line="259" w:lineRule="auto"/>
              <w:jc w:val="both"/>
              <w:rPr>
                <w:rFonts w:ascii="Arial" w:hAnsi="Arial" w:cs="Arial"/>
                <w:sz w:val="16"/>
                <w:szCs w:val="16"/>
              </w:rPr>
            </w:pPr>
          </w:p>
        </w:tc>
      </w:tr>
    </w:tbl>
    <w:p w14:paraId="0DC579B1" w14:textId="77777777" w:rsidR="00B760EB" w:rsidRDefault="00B760EB" w:rsidP="00495ED8">
      <w:pPr>
        <w:jc w:val="both"/>
        <w:rPr>
          <w:rFonts w:ascii="Arial" w:hAnsi="Arial" w:cs="Arial"/>
          <w:b/>
          <w:szCs w:val="22"/>
          <w:u w:val="single"/>
        </w:rPr>
      </w:pPr>
    </w:p>
    <w:p w14:paraId="2ED67C39" w14:textId="77777777" w:rsidR="00B760EB" w:rsidRDefault="00B760EB" w:rsidP="00495ED8">
      <w:pPr>
        <w:jc w:val="both"/>
        <w:rPr>
          <w:rFonts w:ascii="Arial" w:hAnsi="Arial" w:cs="Arial"/>
          <w:b/>
          <w:szCs w:val="22"/>
          <w:u w:val="single"/>
        </w:rPr>
      </w:pPr>
    </w:p>
    <w:p w14:paraId="7D3551CE" w14:textId="77777777" w:rsidR="00C6145E" w:rsidRDefault="00C6145E" w:rsidP="00495ED8">
      <w:pPr>
        <w:jc w:val="both"/>
        <w:rPr>
          <w:rFonts w:ascii="Arial" w:hAnsi="Arial" w:cs="Arial"/>
          <w:b/>
          <w:szCs w:val="22"/>
          <w:u w:val="single"/>
        </w:rPr>
      </w:pPr>
    </w:p>
    <w:p w14:paraId="3F97CA4C" w14:textId="2DDFC92B"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Certificates of Insurance for all of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A73B" w14:textId="77777777" w:rsidR="006E41A1" w:rsidRDefault="006E41A1" w:rsidP="000B28D4">
      <w:r>
        <w:separator/>
      </w:r>
    </w:p>
  </w:endnote>
  <w:endnote w:type="continuationSeparator" w:id="0">
    <w:p w14:paraId="1D165050" w14:textId="77777777" w:rsidR="006E41A1" w:rsidRDefault="006E41A1"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1BB2A45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C6145E">
      <w:rPr>
        <w:rFonts w:ascii="Arial" w:hAnsi="Arial" w:cs="Arial"/>
        <w:spacing w:val="60"/>
        <w:sz w:val="16"/>
        <w:szCs w:val="16"/>
      </w:rPr>
      <w:t>November 10</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42C28095"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C6145E">
      <w:rPr>
        <w:rFonts w:ascii="Arial" w:hAnsi="Arial" w:cs="Arial"/>
        <w:spacing w:val="60"/>
        <w:sz w:val="16"/>
        <w:szCs w:val="16"/>
      </w:rPr>
      <w:t>November</w:t>
    </w:r>
    <w:r w:rsidR="00F74EB2" w:rsidRPr="00F74EB2">
      <w:rPr>
        <w:rFonts w:ascii="Arial" w:hAnsi="Arial" w:cs="Arial"/>
        <w:spacing w:val="60"/>
        <w:sz w:val="16"/>
        <w:szCs w:val="16"/>
      </w:rPr>
      <w:t xml:space="preserve"> 10, 2025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1E76" w14:textId="77777777" w:rsidR="006E41A1" w:rsidRDefault="006E41A1" w:rsidP="000B28D4">
      <w:r>
        <w:separator/>
      </w:r>
    </w:p>
  </w:footnote>
  <w:footnote w:type="continuationSeparator" w:id="0">
    <w:p w14:paraId="30F35FDB" w14:textId="77777777" w:rsidR="006E41A1" w:rsidRDefault="006E41A1"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5DCE"/>
    <w:rsid w:val="00011E55"/>
    <w:rsid w:val="0002055E"/>
    <w:rsid w:val="00020F18"/>
    <w:rsid w:val="00033F44"/>
    <w:rsid w:val="0004086E"/>
    <w:rsid w:val="00043B08"/>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22A03"/>
    <w:rsid w:val="00223111"/>
    <w:rsid w:val="00225566"/>
    <w:rsid w:val="00230375"/>
    <w:rsid w:val="00231623"/>
    <w:rsid w:val="00232D90"/>
    <w:rsid w:val="00241BFF"/>
    <w:rsid w:val="00241DA9"/>
    <w:rsid w:val="00245EBA"/>
    <w:rsid w:val="002526B7"/>
    <w:rsid w:val="00253CB3"/>
    <w:rsid w:val="00256147"/>
    <w:rsid w:val="00257815"/>
    <w:rsid w:val="00282098"/>
    <w:rsid w:val="002821E2"/>
    <w:rsid w:val="00286AE8"/>
    <w:rsid w:val="002930C4"/>
    <w:rsid w:val="0029468D"/>
    <w:rsid w:val="00296416"/>
    <w:rsid w:val="0029688B"/>
    <w:rsid w:val="002B075A"/>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5463"/>
    <w:rsid w:val="00337708"/>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5C39"/>
    <w:rsid w:val="00567B65"/>
    <w:rsid w:val="0057071A"/>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E0613"/>
    <w:rsid w:val="007E1DBD"/>
    <w:rsid w:val="007E590A"/>
    <w:rsid w:val="007E7E66"/>
    <w:rsid w:val="007F042D"/>
    <w:rsid w:val="007F490B"/>
    <w:rsid w:val="00810765"/>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67AB"/>
    <w:rsid w:val="008956EC"/>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C0503"/>
    <w:rsid w:val="009D1F3B"/>
    <w:rsid w:val="009D2CA2"/>
    <w:rsid w:val="009D60A1"/>
    <w:rsid w:val="009D6306"/>
    <w:rsid w:val="009E3B7A"/>
    <w:rsid w:val="009E7BEA"/>
    <w:rsid w:val="009F29A5"/>
    <w:rsid w:val="009F3FCD"/>
    <w:rsid w:val="009F7C44"/>
    <w:rsid w:val="00A06A1D"/>
    <w:rsid w:val="00A23CE0"/>
    <w:rsid w:val="00A24FC5"/>
    <w:rsid w:val="00A25A11"/>
    <w:rsid w:val="00A44504"/>
    <w:rsid w:val="00A446E2"/>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35A0"/>
    <w:rsid w:val="00BC095B"/>
    <w:rsid w:val="00BC23E2"/>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5DBF"/>
    <w:rsid w:val="00D11324"/>
    <w:rsid w:val="00D11D61"/>
    <w:rsid w:val="00D14674"/>
    <w:rsid w:val="00D1596F"/>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4EB2"/>
    <w:rsid w:val="00F91C79"/>
    <w:rsid w:val="00F93579"/>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2.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3.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32C12-9F30-4E8A-96CD-22780CA1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6555</Words>
  <Characters>37366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24</cp:revision>
  <cp:lastPrinted>2025-10-01T20:18:00Z</cp:lastPrinted>
  <dcterms:created xsi:type="dcterms:W3CDTF">2023-10-03T19:29:00Z</dcterms:created>
  <dcterms:modified xsi:type="dcterms:W3CDTF">2025-10-01T20:18:00Z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