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D1E4" w14:textId="77777777" w:rsidR="004458A6" w:rsidRDefault="00000000">
      <w:pPr>
        <w:spacing w:after="0"/>
        <w:rPr>
          <w:rFonts w:ascii="Arial" w:eastAsia="Arial" w:hAnsi="Arial" w:cs="Arial"/>
          <w:sz w:val="44"/>
          <w:szCs w:val="44"/>
        </w:rPr>
      </w:pPr>
      <w:r>
        <w:rPr>
          <w:noProof/>
        </w:rPr>
        <w:drawing>
          <wp:anchor distT="0" distB="0" distL="114300" distR="114300" simplePos="0" relativeHeight="251658240" behindDoc="0" locked="0" layoutInCell="1" hidden="0" allowOverlap="1" wp14:anchorId="4BE3E670" wp14:editId="010C4476">
            <wp:simplePos x="0" y="0"/>
            <wp:positionH relativeFrom="column">
              <wp:posOffset>-143508</wp:posOffset>
            </wp:positionH>
            <wp:positionV relativeFrom="paragraph">
              <wp:posOffset>0</wp:posOffset>
            </wp:positionV>
            <wp:extent cx="1927860" cy="907415"/>
            <wp:effectExtent l="0" t="0" r="0" b="0"/>
            <wp:wrapSquare wrapText="bothSides" distT="0" distB="0" distL="114300" distR="114300"/>
            <wp:docPr id="2" name="image1.jpg" descr="C:\Users\robin.cyr\Downloads\ums_logo (1).jpg"/>
            <wp:cNvGraphicFramePr/>
            <a:graphic xmlns:a="http://schemas.openxmlformats.org/drawingml/2006/main">
              <a:graphicData uri="http://schemas.openxmlformats.org/drawingml/2006/picture">
                <pic:pic xmlns:pic="http://schemas.openxmlformats.org/drawingml/2006/picture">
                  <pic:nvPicPr>
                    <pic:cNvPr id="0" name="image1.jpg" descr="C:\Users\robin.cyr\Downloads\ums_logo (1).jpg"/>
                    <pic:cNvPicPr preferRelativeResize="0"/>
                  </pic:nvPicPr>
                  <pic:blipFill>
                    <a:blip r:embed="rId8"/>
                    <a:srcRect/>
                    <a:stretch>
                      <a:fillRect/>
                    </a:stretch>
                  </pic:blipFill>
                  <pic:spPr>
                    <a:xfrm>
                      <a:off x="0" y="0"/>
                      <a:ext cx="1927860" cy="907415"/>
                    </a:xfrm>
                    <a:prstGeom prst="rect">
                      <a:avLst/>
                    </a:prstGeom>
                    <a:ln/>
                  </pic:spPr>
                </pic:pic>
              </a:graphicData>
            </a:graphic>
          </wp:anchor>
        </w:drawing>
      </w:r>
    </w:p>
    <w:p w14:paraId="76D7ED2B" w14:textId="77777777" w:rsidR="004458A6" w:rsidRDefault="004458A6">
      <w:pPr>
        <w:spacing w:after="0"/>
        <w:rPr>
          <w:rFonts w:ascii="Arial" w:eastAsia="Arial" w:hAnsi="Arial" w:cs="Arial"/>
          <w:sz w:val="44"/>
          <w:szCs w:val="44"/>
        </w:rPr>
      </w:pPr>
    </w:p>
    <w:p w14:paraId="54B2868D" w14:textId="77777777" w:rsidR="004458A6" w:rsidRDefault="004458A6">
      <w:pPr>
        <w:spacing w:after="0"/>
        <w:jc w:val="center"/>
        <w:rPr>
          <w:rFonts w:ascii="Arial" w:eastAsia="Arial" w:hAnsi="Arial" w:cs="Arial"/>
          <w:sz w:val="44"/>
          <w:szCs w:val="44"/>
        </w:rPr>
      </w:pPr>
    </w:p>
    <w:p w14:paraId="5FE0B9D8" w14:textId="77777777" w:rsidR="004458A6" w:rsidRDefault="004458A6">
      <w:pPr>
        <w:spacing w:after="0"/>
        <w:jc w:val="center"/>
        <w:rPr>
          <w:rFonts w:ascii="Arial" w:eastAsia="Arial" w:hAnsi="Arial" w:cs="Arial"/>
          <w:sz w:val="44"/>
          <w:szCs w:val="44"/>
        </w:rPr>
      </w:pPr>
    </w:p>
    <w:p w14:paraId="4B467F84" w14:textId="77777777" w:rsidR="004458A6" w:rsidRDefault="00000000">
      <w:pPr>
        <w:spacing w:after="0"/>
        <w:jc w:val="center"/>
        <w:rPr>
          <w:rFonts w:ascii="Arial" w:eastAsia="Arial" w:hAnsi="Arial" w:cs="Arial"/>
          <w:sz w:val="44"/>
          <w:szCs w:val="44"/>
        </w:rPr>
      </w:pPr>
      <w:r>
        <w:rPr>
          <w:rFonts w:ascii="Arial" w:eastAsia="Arial" w:hAnsi="Arial" w:cs="Arial"/>
          <w:sz w:val="44"/>
          <w:szCs w:val="44"/>
        </w:rPr>
        <w:t>Administered by University of Maine System</w:t>
      </w:r>
    </w:p>
    <w:p w14:paraId="6A96C1F1" w14:textId="77777777" w:rsidR="004458A6" w:rsidRDefault="00000000">
      <w:pPr>
        <w:spacing w:after="0"/>
        <w:jc w:val="center"/>
        <w:rPr>
          <w:rFonts w:ascii="Arial" w:eastAsia="Arial" w:hAnsi="Arial" w:cs="Arial"/>
          <w:sz w:val="44"/>
          <w:szCs w:val="44"/>
        </w:rPr>
      </w:pPr>
      <w:r>
        <w:rPr>
          <w:rFonts w:ascii="Arial" w:eastAsia="Arial" w:hAnsi="Arial" w:cs="Arial"/>
          <w:sz w:val="44"/>
          <w:szCs w:val="44"/>
        </w:rPr>
        <w:t>Office of Strategic Procurement</w:t>
      </w:r>
    </w:p>
    <w:p w14:paraId="349B3655" w14:textId="77777777" w:rsidR="004458A6" w:rsidRDefault="00000000">
      <w:pPr>
        <w:jc w:val="center"/>
        <w:rPr>
          <w:rFonts w:ascii="Arial" w:eastAsia="Arial" w:hAnsi="Arial" w:cs="Arial"/>
          <w:sz w:val="44"/>
          <w:szCs w:val="44"/>
        </w:rPr>
      </w:pPr>
      <w:r>
        <w:rPr>
          <w:rFonts w:ascii="Arial" w:eastAsia="Arial" w:hAnsi="Arial" w:cs="Arial"/>
          <w:sz w:val="44"/>
          <w:szCs w:val="44"/>
        </w:rPr>
        <w:t>Request for Bid (RFB)</w:t>
      </w:r>
    </w:p>
    <w:p w14:paraId="4180376A" w14:textId="77777777" w:rsidR="004458A6" w:rsidRDefault="004458A6">
      <w:pPr>
        <w:jc w:val="center"/>
        <w:rPr>
          <w:rFonts w:ascii="Arial" w:eastAsia="Arial" w:hAnsi="Arial" w:cs="Arial"/>
          <w:color w:val="FF0000"/>
          <w:sz w:val="44"/>
          <w:szCs w:val="44"/>
        </w:rPr>
      </w:pPr>
    </w:p>
    <w:p w14:paraId="6EDAC3DB" w14:textId="77777777" w:rsidR="004458A6" w:rsidRDefault="00000000">
      <w:pPr>
        <w:jc w:val="center"/>
        <w:rPr>
          <w:rFonts w:ascii="Arial" w:eastAsia="Arial" w:hAnsi="Arial" w:cs="Arial"/>
          <w:color w:val="002060"/>
          <w:sz w:val="44"/>
          <w:szCs w:val="44"/>
        </w:rPr>
      </w:pPr>
      <w:r>
        <w:rPr>
          <w:rFonts w:ascii="Arial" w:eastAsia="Arial" w:hAnsi="Arial" w:cs="Arial"/>
          <w:b/>
          <w:color w:val="002060"/>
          <w:sz w:val="44"/>
          <w:szCs w:val="44"/>
        </w:rPr>
        <w:t>Data Modeling &amp; ETL Consulting Services</w:t>
      </w:r>
      <w:r>
        <w:rPr>
          <w:rFonts w:ascii="Arial" w:eastAsia="Arial" w:hAnsi="Arial" w:cs="Arial"/>
          <w:color w:val="002060"/>
          <w:sz w:val="44"/>
          <w:szCs w:val="44"/>
        </w:rPr>
        <w:t xml:space="preserve"> </w:t>
      </w:r>
    </w:p>
    <w:p w14:paraId="5998AD68" w14:textId="77777777" w:rsidR="004458A6" w:rsidRDefault="00000000">
      <w:pPr>
        <w:jc w:val="center"/>
        <w:rPr>
          <w:rFonts w:ascii="Arial" w:eastAsia="Arial" w:hAnsi="Arial" w:cs="Arial"/>
          <w:color w:val="002060"/>
          <w:sz w:val="44"/>
          <w:szCs w:val="44"/>
        </w:rPr>
      </w:pPr>
      <w:r>
        <w:rPr>
          <w:rFonts w:ascii="Arial" w:eastAsia="Arial" w:hAnsi="Arial" w:cs="Arial"/>
          <w:color w:val="002060"/>
          <w:sz w:val="44"/>
          <w:szCs w:val="44"/>
        </w:rPr>
        <w:t>RFB #2024-005</w:t>
      </w:r>
    </w:p>
    <w:p w14:paraId="51414A91" w14:textId="227E845D" w:rsidR="004458A6" w:rsidRDefault="00000000">
      <w:pPr>
        <w:jc w:val="center"/>
        <w:rPr>
          <w:rFonts w:ascii="Arial" w:eastAsia="Arial" w:hAnsi="Arial" w:cs="Arial"/>
          <w:color w:val="002060"/>
          <w:sz w:val="32"/>
          <w:szCs w:val="32"/>
        </w:rPr>
      </w:pPr>
      <w:r>
        <w:rPr>
          <w:rFonts w:ascii="Arial" w:eastAsia="Arial" w:hAnsi="Arial" w:cs="Arial"/>
          <w:b/>
          <w:sz w:val="28"/>
          <w:szCs w:val="28"/>
        </w:rPr>
        <w:t>Issued</w:t>
      </w:r>
      <w:r>
        <w:rPr>
          <w:rFonts w:ascii="Arial" w:eastAsia="Arial" w:hAnsi="Arial" w:cs="Arial"/>
          <w:b/>
          <w:sz w:val="32"/>
          <w:szCs w:val="32"/>
        </w:rPr>
        <w:t xml:space="preserve"> Date:</w:t>
      </w:r>
      <w:r>
        <w:rPr>
          <w:rFonts w:ascii="Arial" w:eastAsia="Arial" w:hAnsi="Arial" w:cs="Arial"/>
          <w:sz w:val="32"/>
          <w:szCs w:val="32"/>
        </w:rPr>
        <w:t xml:space="preserve">  </w:t>
      </w:r>
      <w:r w:rsidR="00510DBF">
        <w:rPr>
          <w:rFonts w:ascii="Arial" w:eastAsia="Arial" w:hAnsi="Arial" w:cs="Arial"/>
          <w:color w:val="002060"/>
          <w:sz w:val="32"/>
          <w:szCs w:val="32"/>
        </w:rPr>
        <w:t>July 20</w:t>
      </w:r>
      <w:r>
        <w:rPr>
          <w:rFonts w:ascii="Arial" w:eastAsia="Arial" w:hAnsi="Arial" w:cs="Arial"/>
          <w:color w:val="002060"/>
          <w:sz w:val="32"/>
          <w:szCs w:val="32"/>
        </w:rPr>
        <w:t>, 2023</w:t>
      </w:r>
    </w:p>
    <w:p w14:paraId="50D68A12" w14:textId="77777777" w:rsidR="004458A6" w:rsidRDefault="004458A6">
      <w:pPr>
        <w:jc w:val="center"/>
        <w:rPr>
          <w:rFonts w:ascii="Arial" w:eastAsia="Arial" w:hAnsi="Arial" w:cs="Arial"/>
          <w:color w:val="002060"/>
          <w:sz w:val="32"/>
          <w:szCs w:val="32"/>
        </w:rPr>
      </w:pPr>
    </w:p>
    <w:p w14:paraId="517BB5DF" w14:textId="177273E9" w:rsidR="004458A6" w:rsidRDefault="00000000">
      <w:pPr>
        <w:jc w:val="center"/>
        <w:rPr>
          <w:rFonts w:ascii="Arial" w:eastAsia="Arial" w:hAnsi="Arial" w:cs="Arial"/>
          <w:color w:val="002060"/>
          <w:sz w:val="32"/>
          <w:szCs w:val="32"/>
        </w:rPr>
      </w:pPr>
      <w:r>
        <w:rPr>
          <w:rFonts w:ascii="Arial" w:eastAsia="Arial" w:hAnsi="Arial" w:cs="Arial"/>
          <w:b/>
          <w:sz w:val="28"/>
          <w:szCs w:val="28"/>
        </w:rPr>
        <w:t>Response</w:t>
      </w:r>
      <w:r>
        <w:rPr>
          <w:rFonts w:ascii="Arial" w:eastAsia="Arial" w:hAnsi="Arial" w:cs="Arial"/>
          <w:b/>
          <w:sz w:val="32"/>
          <w:szCs w:val="32"/>
        </w:rPr>
        <w:t xml:space="preserve"> </w:t>
      </w:r>
      <w:r>
        <w:rPr>
          <w:rFonts w:ascii="Arial" w:eastAsia="Arial" w:hAnsi="Arial" w:cs="Arial"/>
          <w:b/>
          <w:sz w:val="32"/>
          <w:szCs w:val="32"/>
          <w:u w:val="single"/>
        </w:rPr>
        <w:t>Deadline</w:t>
      </w:r>
      <w:r>
        <w:rPr>
          <w:rFonts w:ascii="Arial" w:eastAsia="Arial" w:hAnsi="Arial" w:cs="Arial"/>
          <w:b/>
          <w:sz w:val="32"/>
          <w:szCs w:val="32"/>
        </w:rPr>
        <w:t xml:space="preserve"> Date/Time:</w:t>
      </w:r>
      <w:r>
        <w:rPr>
          <w:rFonts w:ascii="Arial" w:eastAsia="Arial" w:hAnsi="Arial" w:cs="Arial"/>
          <w:sz w:val="32"/>
          <w:szCs w:val="32"/>
        </w:rPr>
        <w:t xml:space="preserve">  </w:t>
      </w:r>
      <w:r w:rsidR="00510DBF">
        <w:rPr>
          <w:rFonts w:ascii="Arial" w:eastAsia="Arial" w:hAnsi="Arial" w:cs="Arial"/>
          <w:b/>
          <w:color w:val="002060"/>
          <w:sz w:val="28"/>
          <w:szCs w:val="28"/>
          <w:highlight w:val="yellow"/>
        </w:rPr>
        <w:t>August 8</w:t>
      </w:r>
      <w:r>
        <w:rPr>
          <w:rFonts w:ascii="Arial" w:eastAsia="Arial" w:hAnsi="Arial" w:cs="Arial"/>
          <w:b/>
          <w:color w:val="002060"/>
          <w:sz w:val="28"/>
          <w:szCs w:val="28"/>
          <w:highlight w:val="yellow"/>
        </w:rPr>
        <w:t>, 2023, 11:59 p.m. EST</w:t>
      </w:r>
    </w:p>
    <w:p w14:paraId="11FD03FB" w14:textId="77777777" w:rsidR="004458A6" w:rsidRDefault="004458A6">
      <w:pPr>
        <w:spacing w:after="0"/>
        <w:jc w:val="center"/>
        <w:rPr>
          <w:rFonts w:ascii="Arial" w:eastAsia="Arial" w:hAnsi="Arial" w:cs="Arial"/>
          <w:b/>
          <w:sz w:val="28"/>
          <w:szCs w:val="28"/>
        </w:rPr>
      </w:pPr>
    </w:p>
    <w:p w14:paraId="328E711A" w14:textId="77777777" w:rsidR="004458A6" w:rsidRDefault="004458A6">
      <w:pPr>
        <w:spacing w:after="0"/>
        <w:jc w:val="center"/>
        <w:rPr>
          <w:rFonts w:ascii="Arial" w:eastAsia="Arial" w:hAnsi="Arial" w:cs="Arial"/>
          <w:b/>
          <w:sz w:val="28"/>
          <w:szCs w:val="28"/>
        </w:rPr>
      </w:pPr>
    </w:p>
    <w:p w14:paraId="1D95BFC6" w14:textId="77777777" w:rsidR="004458A6" w:rsidRDefault="00000000">
      <w:pPr>
        <w:spacing w:after="0"/>
        <w:jc w:val="center"/>
        <w:rPr>
          <w:rFonts w:ascii="Arial" w:eastAsia="Arial" w:hAnsi="Arial" w:cs="Arial"/>
          <w:b/>
          <w:sz w:val="28"/>
          <w:szCs w:val="28"/>
        </w:rPr>
      </w:pPr>
      <w:r>
        <w:rPr>
          <w:rFonts w:ascii="Arial" w:eastAsia="Arial" w:hAnsi="Arial" w:cs="Arial"/>
          <w:b/>
          <w:sz w:val="28"/>
          <w:szCs w:val="28"/>
        </w:rPr>
        <w:t>Response Submission Information:</w:t>
      </w:r>
    </w:p>
    <w:p w14:paraId="14EAD3CB" w14:textId="77777777" w:rsidR="004458A6" w:rsidRDefault="00000000">
      <w:pPr>
        <w:spacing w:after="0"/>
        <w:jc w:val="center"/>
        <w:rPr>
          <w:rFonts w:ascii="Arial" w:eastAsia="Arial" w:hAnsi="Arial" w:cs="Arial"/>
          <w:color w:val="002060"/>
          <w:sz w:val="28"/>
          <w:szCs w:val="28"/>
        </w:rPr>
      </w:pPr>
      <w:r>
        <w:rPr>
          <w:rFonts w:ascii="Arial" w:eastAsia="Arial" w:hAnsi="Arial" w:cs="Arial"/>
          <w:color w:val="002060"/>
          <w:sz w:val="28"/>
          <w:szCs w:val="28"/>
        </w:rPr>
        <w:t>Submitted electronically to UMSResponses@maine.edu</w:t>
      </w:r>
    </w:p>
    <w:p w14:paraId="0FCBC374" w14:textId="77777777" w:rsidR="004458A6" w:rsidRDefault="00000000">
      <w:pPr>
        <w:jc w:val="center"/>
        <w:rPr>
          <w:rFonts w:ascii="Arial" w:eastAsia="Arial" w:hAnsi="Arial" w:cs="Arial"/>
          <w:b/>
          <w:color w:val="002060"/>
          <w:sz w:val="28"/>
          <w:szCs w:val="28"/>
        </w:rPr>
      </w:pPr>
      <w:r>
        <w:rPr>
          <w:rFonts w:ascii="Arial" w:eastAsia="Arial" w:hAnsi="Arial" w:cs="Arial"/>
          <w:color w:val="002060"/>
          <w:sz w:val="28"/>
          <w:szCs w:val="28"/>
        </w:rPr>
        <w:t>Email Subject Line – RC: Data &amp; ETL Consulting - RFB#2024-005</w:t>
      </w:r>
    </w:p>
    <w:p w14:paraId="1715EF2B" w14:textId="77777777" w:rsidR="004458A6" w:rsidRDefault="004458A6">
      <w:pPr>
        <w:rPr>
          <w:rFonts w:ascii="Arial" w:eastAsia="Arial" w:hAnsi="Arial" w:cs="Arial"/>
          <w:b/>
          <w:sz w:val="28"/>
          <w:szCs w:val="28"/>
        </w:rPr>
      </w:pPr>
    </w:p>
    <w:p w14:paraId="3F84F6AC" w14:textId="77777777" w:rsidR="004458A6" w:rsidRDefault="004458A6">
      <w:pPr>
        <w:rPr>
          <w:rFonts w:ascii="Arial" w:eastAsia="Arial" w:hAnsi="Arial" w:cs="Arial"/>
          <w:b/>
          <w:sz w:val="28"/>
          <w:szCs w:val="28"/>
        </w:rPr>
      </w:pPr>
    </w:p>
    <w:p w14:paraId="6AF80B35" w14:textId="77777777" w:rsidR="004458A6" w:rsidRDefault="00000000">
      <w:pPr>
        <w:jc w:val="center"/>
        <w:rPr>
          <w:rFonts w:ascii="Arial" w:eastAsia="Arial" w:hAnsi="Arial" w:cs="Arial"/>
          <w:b/>
          <w:sz w:val="28"/>
          <w:szCs w:val="28"/>
        </w:rPr>
      </w:pPr>
      <w:r>
        <w:rPr>
          <w:rFonts w:ascii="Arial" w:eastAsia="Arial" w:hAnsi="Arial" w:cs="Arial"/>
          <w:b/>
          <w:sz w:val="28"/>
          <w:szCs w:val="28"/>
        </w:rPr>
        <w:t>Response Contact Information:</w:t>
      </w:r>
    </w:p>
    <w:p w14:paraId="48D2F194" w14:textId="77777777" w:rsidR="004458A6" w:rsidRDefault="00000000">
      <w:pPr>
        <w:spacing w:after="0"/>
        <w:jc w:val="center"/>
        <w:rPr>
          <w:rFonts w:ascii="Arial" w:eastAsia="Arial" w:hAnsi="Arial" w:cs="Arial"/>
          <w:color w:val="002060"/>
          <w:sz w:val="28"/>
          <w:szCs w:val="28"/>
        </w:rPr>
      </w:pPr>
      <w:r>
        <w:rPr>
          <w:rFonts w:ascii="Arial" w:eastAsia="Arial" w:hAnsi="Arial" w:cs="Arial"/>
          <w:color w:val="002060"/>
          <w:sz w:val="28"/>
          <w:szCs w:val="28"/>
        </w:rPr>
        <w:t>Strategic Sourcing Manager (SSM):  Robin Cyr</w:t>
      </w:r>
    </w:p>
    <w:p w14:paraId="5F8AA862" w14:textId="77777777" w:rsidR="004458A6" w:rsidRDefault="00000000">
      <w:pPr>
        <w:spacing w:after="0"/>
        <w:jc w:val="center"/>
        <w:rPr>
          <w:rFonts w:ascii="Arial" w:eastAsia="Arial" w:hAnsi="Arial" w:cs="Arial"/>
          <w:color w:val="002060"/>
          <w:sz w:val="28"/>
          <w:szCs w:val="28"/>
        </w:rPr>
      </w:pPr>
      <w:r>
        <w:rPr>
          <w:rFonts w:ascii="Arial" w:eastAsia="Arial" w:hAnsi="Arial" w:cs="Arial"/>
          <w:color w:val="002060"/>
          <w:sz w:val="28"/>
          <w:szCs w:val="28"/>
        </w:rPr>
        <w:t>Email: UMSResponses@maine.edu and robin.cyr@maine.edu</w:t>
      </w:r>
      <w:r>
        <w:rPr>
          <w:color w:val="002060"/>
        </w:rPr>
        <w:t xml:space="preserve"> </w:t>
      </w:r>
      <w:r>
        <w:rPr>
          <w:rFonts w:ascii="Arial" w:eastAsia="Arial" w:hAnsi="Arial" w:cs="Arial"/>
          <w:color w:val="002060"/>
          <w:sz w:val="28"/>
          <w:szCs w:val="28"/>
        </w:rPr>
        <w:t xml:space="preserve">  </w:t>
      </w:r>
    </w:p>
    <w:p w14:paraId="656AADD6" w14:textId="77777777" w:rsidR="004458A6" w:rsidRDefault="00000000">
      <w:pPr>
        <w:spacing w:after="0"/>
        <w:jc w:val="center"/>
        <w:rPr>
          <w:rFonts w:ascii="Arial" w:eastAsia="Arial" w:hAnsi="Arial" w:cs="Arial"/>
          <w:color w:val="002060"/>
          <w:sz w:val="28"/>
          <w:szCs w:val="28"/>
        </w:rPr>
      </w:pPr>
      <w:r>
        <w:rPr>
          <w:rFonts w:ascii="Arial" w:eastAsia="Arial" w:hAnsi="Arial" w:cs="Arial"/>
          <w:color w:val="002060"/>
          <w:sz w:val="28"/>
          <w:szCs w:val="28"/>
        </w:rPr>
        <w:t>Phone: (207) 649-0111</w:t>
      </w:r>
    </w:p>
    <w:p w14:paraId="489BDCB5" w14:textId="77777777" w:rsidR="004458A6" w:rsidRDefault="00000000">
      <w:pPr>
        <w:rPr>
          <w:rFonts w:ascii="Arial" w:eastAsia="Arial" w:hAnsi="Arial" w:cs="Arial"/>
          <w:b/>
          <w:sz w:val="32"/>
          <w:szCs w:val="32"/>
        </w:rPr>
      </w:pPr>
      <w:bookmarkStart w:id="0" w:name="_heading=h.gjdgxs" w:colFirst="0" w:colLast="0"/>
      <w:bookmarkEnd w:id="0"/>
      <w:r>
        <w:br w:type="page"/>
      </w:r>
    </w:p>
    <w:p w14:paraId="1E6EF029" w14:textId="77777777" w:rsidR="004458A6" w:rsidRDefault="00000000">
      <w:pPr>
        <w:rPr>
          <w:rFonts w:ascii="Arial" w:eastAsia="Arial" w:hAnsi="Arial" w:cs="Arial"/>
          <w:b/>
          <w:sz w:val="20"/>
          <w:szCs w:val="20"/>
          <w:u w:val="single"/>
        </w:rPr>
      </w:pPr>
      <w:r>
        <w:rPr>
          <w:rFonts w:ascii="Arial" w:eastAsia="Arial" w:hAnsi="Arial" w:cs="Arial"/>
          <w:b/>
          <w:sz w:val="20"/>
          <w:szCs w:val="20"/>
          <w:u w:val="single"/>
        </w:rPr>
        <w:lastRenderedPageBreak/>
        <w:t>PURPOSE AND SCOPE OF SERVICES</w:t>
      </w:r>
    </w:p>
    <w:p w14:paraId="210017A8" w14:textId="77777777" w:rsidR="004458A6" w:rsidRDefault="00000000">
      <w:pPr>
        <w:rPr>
          <w:rFonts w:ascii="Arial" w:eastAsia="Arial" w:hAnsi="Arial" w:cs="Arial"/>
          <w:sz w:val="18"/>
          <w:szCs w:val="18"/>
        </w:rPr>
      </w:pPr>
      <w:bookmarkStart w:id="1" w:name="_heading=h.30j0zll" w:colFirst="0" w:colLast="0"/>
      <w:bookmarkEnd w:id="1"/>
      <w:r>
        <w:rPr>
          <w:rFonts w:ascii="Arial" w:eastAsia="Arial" w:hAnsi="Arial" w:cs="Arial"/>
          <w:sz w:val="18"/>
          <w:szCs w:val="18"/>
        </w:rPr>
        <w:t>The University of Maine System (UMS) Information Technology (UMS:IT) department is in the process of building out a reporting environment for its institutional, human resources, and financial data. UMS:IT uses Peoplesoft Campus Solutions for its student information system, and is currently in the process of transitioning from Peoplesoft HCM and Financials to Oracle HCM Cloud and Oracle ERP Cloud, respectively. Previous attempts to build custom data warehouse objects have stalled due to lack of experience and resources. UMS:IT has experience working with Informatica IICS and Talend Open Studio for ETL transformations, and uses custom SQL Server databases to house data warehousing objects.</w:t>
      </w:r>
    </w:p>
    <w:p w14:paraId="1B985BCE" w14:textId="77777777" w:rsidR="004458A6" w:rsidRDefault="00000000">
      <w:pPr>
        <w:rPr>
          <w:rFonts w:ascii="Arial" w:eastAsia="Arial" w:hAnsi="Arial" w:cs="Arial"/>
          <w:sz w:val="18"/>
          <w:szCs w:val="18"/>
        </w:rPr>
      </w:pPr>
      <w:r>
        <w:rPr>
          <w:rFonts w:ascii="Arial" w:eastAsia="Arial" w:hAnsi="Arial" w:cs="Arial"/>
          <w:sz w:val="18"/>
          <w:szCs w:val="18"/>
        </w:rPr>
        <w:t>We are seeking to partner with a firm with previous experience in consulting and contracting with institutions of higher education to design and build data warehouse objects. UMS:IT will work alongside the vendor to ensure appropriate transfer of knowledge to UMS:IT staff. The contracting/consulting services the vendor will provide include the following:</w:t>
      </w:r>
    </w:p>
    <w:p w14:paraId="3F06A429" w14:textId="77777777" w:rsidR="004458A6" w:rsidRDefault="00000000">
      <w:pPr>
        <w:numPr>
          <w:ilvl w:val="0"/>
          <w:numId w:val="2"/>
        </w:numPr>
        <w:spacing w:after="0" w:line="276" w:lineRule="auto"/>
        <w:rPr>
          <w:rFonts w:ascii="Arial" w:eastAsia="Arial" w:hAnsi="Arial" w:cs="Arial"/>
          <w:sz w:val="18"/>
          <w:szCs w:val="18"/>
        </w:rPr>
      </w:pPr>
      <w:r>
        <w:rPr>
          <w:rFonts w:ascii="Arial" w:eastAsia="Arial" w:hAnsi="Arial" w:cs="Arial"/>
          <w:sz w:val="18"/>
          <w:szCs w:val="18"/>
        </w:rPr>
        <w:t>Review of the current data warehousing architecture in use in the UMS environment,</w:t>
      </w:r>
    </w:p>
    <w:p w14:paraId="7CD486D1" w14:textId="77777777" w:rsidR="004458A6" w:rsidRDefault="00000000">
      <w:pPr>
        <w:numPr>
          <w:ilvl w:val="0"/>
          <w:numId w:val="2"/>
        </w:numPr>
        <w:spacing w:after="0" w:line="276" w:lineRule="auto"/>
        <w:rPr>
          <w:rFonts w:ascii="Arial" w:eastAsia="Arial" w:hAnsi="Arial" w:cs="Arial"/>
          <w:sz w:val="18"/>
          <w:szCs w:val="18"/>
        </w:rPr>
      </w:pPr>
      <w:r>
        <w:rPr>
          <w:rFonts w:ascii="Arial" w:eastAsia="Arial" w:hAnsi="Arial" w:cs="Arial"/>
          <w:sz w:val="18"/>
          <w:szCs w:val="18"/>
        </w:rPr>
        <w:t>Review of the current ETL and data modeling tools for the UMS resources, and</w:t>
      </w:r>
    </w:p>
    <w:p w14:paraId="0044FC89" w14:textId="77777777" w:rsidR="004458A6" w:rsidRDefault="00000000">
      <w:pPr>
        <w:numPr>
          <w:ilvl w:val="0"/>
          <w:numId w:val="2"/>
        </w:numPr>
        <w:spacing w:after="0" w:line="276" w:lineRule="auto"/>
        <w:rPr>
          <w:rFonts w:ascii="Arial" w:eastAsia="Arial" w:hAnsi="Arial" w:cs="Arial"/>
          <w:sz w:val="18"/>
          <w:szCs w:val="18"/>
        </w:rPr>
      </w:pPr>
      <w:r>
        <w:rPr>
          <w:rFonts w:ascii="Arial" w:eastAsia="Arial" w:hAnsi="Arial" w:cs="Arial"/>
          <w:sz w:val="18"/>
          <w:szCs w:val="18"/>
        </w:rPr>
        <w:t>Data modeling and ETL pipeline assistance in building out initial data warehouse objects in service of the delivery of both a small scale student information data mart (or similar appropriate structure) and small scale human resource data mart (or similar appropriate structure). The focus of those structures will be determined during this engagement.</w:t>
      </w:r>
    </w:p>
    <w:p w14:paraId="7198C9F1" w14:textId="77777777" w:rsidR="004458A6" w:rsidRDefault="004458A6">
      <w:pPr>
        <w:spacing w:after="0" w:line="276" w:lineRule="auto"/>
        <w:ind w:left="720"/>
        <w:rPr>
          <w:rFonts w:ascii="Arial" w:eastAsia="Arial" w:hAnsi="Arial" w:cs="Arial"/>
          <w:sz w:val="18"/>
          <w:szCs w:val="18"/>
        </w:rPr>
      </w:pPr>
    </w:p>
    <w:p w14:paraId="0D8808E8" w14:textId="77777777" w:rsidR="004458A6" w:rsidRDefault="00000000">
      <w:pPr>
        <w:rPr>
          <w:rFonts w:ascii="Arial" w:eastAsia="Arial" w:hAnsi="Arial" w:cs="Arial"/>
          <w:sz w:val="18"/>
          <w:szCs w:val="18"/>
        </w:rPr>
      </w:pPr>
      <w:r>
        <w:rPr>
          <w:rFonts w:ascii="Arial" w:eastAsia="Arial" w:hAnsi="Arial" w:cs="Arial"/>
          <w:sz w:val="18"/>
          <w:szCs w:val="18"/>
        </w:rPr>
        <w:t>The expected deliverables for this engagement are mapped to the above and should enable UMS:IT to define a strategy for continuing to build out the reporting environment. They will include:</w:t>
      </w:r>
    </w:p>
    <w:p w14:paraId="36CA72CA" w14:textId="77777777" w:rsidR="004458A6" w:rsidRDefault="00000000">
      <w:pPr>
        <w:numPr>
          <w:ilvl w:val="0"/>
          <w:numId w:val="1"/>
        </w:numPr>
        <w:spacing w:after="0" w:line="276" w:lineRule="auto"/>
        <w:rPr>
          <w:rFonts w:ascii="Arial" w:eastAsia="Arial" w:hAnsi="Arial" w:cs="Arial"/>
          <w:sz w:val="18"/>
          <w:szCs w:val="18"/>
        </w:rPr>
      </w:pPr>
      <w:r>
        <w:rPr>
          <w:rFonts w:ascii="Arial" w:eastAsia="Arial" w:hAnsi="Arial" w:cs="Arial"/>
          <w:sz w:val="18"/>
          <w:szCs w:val="18"/>
        </w:rPr>
        <w:t>Delivered assessment and recommendations for a data warehousing structure/architecture, using Informatica IICS and integrations using Oracle Integration Cloud.</w:t>
      </w:r>
    </w:p>
    <w:p w14:paraId="0FA2864E" w14:textId="77777777" w:rsidR="004458A6" w:rsidRDefault="00000000">
      <w:pPr>
        <w:numPr>
          <w:ilvl w:val="0"/>
          <w:numId w:val="1"/>
        </w:numPr>
        <w:spacing w:after="0" w:line="276" w:lineRule="auto"/>
        <w:rPr>
          <w:rFonts w:ascii="Arial" w:eastAsia="Arial" w:hAnsi="Arial" w:cs="Arial"/>
          <w:sz w:val="18"/>
          <w:szCs w:val="18"/>
        </w:rPr>
      </w:pPr>
      <w:r>
        <w:rPr>
          <w:rFonts w:ascii="Arial" w:eastAsia="Arial" w:hAnsi="Arial" w:cs="Arial"/>
          <w:sz w:val="18"/>
          <w:szCs w:val="18"/>
        </w:rPr>
        <w:t>Delivered assessment and recommendations for tooling regarding ETL pipelines and data modeling,</w:t>
      </w:r>
    </w:p>
    <w:p w14:paraId="6907066C" w14:textId="77777777" w:rsidR="004458A6" w:rsidRDefault="00000000">
      <w:pPr>
        <w:numPr>
          <w:ilvl w:val="0"/>
          <w:numId w:val="1"/>
        </w:numPr>
        <w:spacing w:after="0" w:line="276" w:lineRule="auto"/>
        <w:rPr>
          <w:rFonts w:ascii="Arial" w:eastAsia="Arial" w:hAnsi="Arial" w:cs="Arial"/>
          <w:sz w:val="18"/>
          <w:szCs w:val="18"/>
        </w:rPr>
      </w:pPr>
      <w:r>
        <w:rPr>
          <w:rFonts w:ascii="Arial" w:eastAsia="Arial" w:hAnsi="Arial" w:cs="Arial"/>
          <w:sz w:val="18"/>
          <w:szCs w:val="18"/>
        </w:rPr>
        <w:t>One completed data mart (or structure in line with recommendations above) for student information and similar for human resources data. The scope of these deliverables will be determined as part of the engagement.</w:t>
      </w:r>
    </w:p>
    <w:p w14:paraId="4D8E3DE4" w14:textId="77777777" w:rsidR="004458A6" w:rsidRDefault="004458A6">
      <w:pPr>
        <w:spacing w:after="0" w:line="276" w:lineRule="auto"/>
        <w:ind w:left="720"/>
        <w:rPr>
          <w:rFonts w:ascii="Arial" w:eastAsia="Arial" w:hAnsi="Arial" w:cs="Arial"/>
          <w:sz w:val="18"/>
          <w:szCs w:val="18"/>
        </w:rPr>
      </w:pPr>
    </w:p>
    <w:p w14:paraId="64E939CE" w14:textId="77777777" w:rsidR="004458A6" w:rsidRDefault="00000000">
      <w:pPr>
        <w:rPr>
          <w:rFonts w:ascii="Arial" w:eastAsia="Arial" w:hAnsi="Arial" w:cs="Arial"/>
          <w:sz w:val="18"/>
          <w:szCs w:val="18"/>
        </w:rPr>
      </w:pPr>
      <w:r>
        <w:rPr>
          <w:rFonts w:ascii="Arial" w:eastAsia="Arial" w:hAnsi="Arial" w:cs="Arial"/>
          <w:sz w:val="18"/>
          <w:szCs w:val="18"/>
        </w:rPr>
        <w:t>The engagement should last 6-9 months, with potential for extension as budgetary resources allow.  Resulting agreement will allow for a five (5) year term.</w:t>
      </w:r>
    </w:p>
    <w:p w14:paraId="625B75D7" w14:textId="77777777" w:rsidR="004458A6" w:rsidRDefault="004458A6">
      <w:pPr>
        <w:rPr>
          <w:rFonts w:ascii="Arial" w:eastAsia="Arial" w:hAnsi="Arial" w:cs="Arial"/>
          <w:sz w:val="18"/>
          <w:szCs w:val="18"/>
        </w:rPr>
      </w:pPr>
    </w:p>
    <w:p w14:paraId="69C4A96C" w14:textId="77777777" w:rsidR="004458A6" w:rsidRDefault="00000000">
      <w:pPr>
        <w:rPr>
          <w:rFonts w:ascii="Arial" w:eastAsia="Arial" w:hAnsi="Arial" w:cs="Arial"/>
          <w:b/>
          <w:sz w:val="18"/>
          <w:szCs w:val="18"/>
          <w:u w:val="single"/>
        </w:rPr>
      </w:pPr>
      <w:r>
        <w:rPr>
          <w:rFonts w:ascii="Arial" w:eastAsia="Arial" w:hAnsi="Arial" w:cs="Arial"/>
          <w:b/>
          <w:sz w:val="18"/>
          <w:szCs w:val="18"/>
          <w:u w:val="single"/>
        </w:rPr>
        <w:t>SUBMISISON REQUIREMENTS</w:t>
      </w:r>
    </w:p>
    <w:p w14:paraId="38A478CA" w14:textId="47BB1A52" w:rsidR="004458A6" w:rsidRDefault="00000000">
      <w:p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Submissions are due by </w:t>
      </w:r>
      <w:r w:rsidR="00510DBF">
        <w:rPr>
          <w:rFonts w:ascii="Arial" w:eastAsia="Arial" w:hAnsi="Arial" w:cs="Arial"/>
          <w:color w:val="000000"/>
          <w:sz w:val="18"/>
          <w:szCs w:val="18"/>
          <w:highlight w:val="yellow"/>
        </w:rPr>
        <w:t>August 8</w:t>
      </w:r>
      <w:r>
        <w:rPr>
          <w:rFonts w:ascii="Arial" w:eastAsia="Arial" w:hAnsi="Arial" w:cs="Arial"/>
          <w:color w:val="000000"/>
          <w:sz w:val="18"/>
          <w:szCs w:val="18"/>
          <w:highlight w:val="yellow"/>
        </w:rPr>
        <w:t>, 2023 on or before 11:59 p.m. EST</w:t>
      </w:r>
      <w:r>
        <w:rPr>
          <w:rFonts w:ascii="Arial" w:eastAsia="Arial" w:hAnsi="Arial" w:cs="Arial"/>
          <w:color w:val="000000"/>
          <w:sz w:val="18"/>
          <w:szCs w:val="18"/>
        </w:rPr>
        <w:t xml:space="preserve">.  </w:t>
      </w:r>
    </w:p>
    <w:p w14:paraId="18BAAE15" w14:textId="77777777" w:rsidR="004458A6" w:rsidRDefault="004458A6">
      <w:pPr>
        <w:pBdr>
          <w:top w:val="nil"/>
          <w:left w:val="nil"/>
          <w:bottom w:val="nil"/>
          <w:right w:val="nil"/>
          <w:between w:val="nil"/>
        </w:pBdr>
        <w:spacing w:after="0"/>
        <w:jc w:val="both"/>
        <w:rPr>
          <w:rFonts w:ascii="Arial" w:eastAsia="Arial" w:hAnsi="Arial" w:cs="Arial"/>
          <w:color w:val="000000"/>
          <w:sz w:val="18"/>
          <w:szCs w:val="18"/>
        </w:rPr>
      </w:pPr>
    </w:p>
    <w:p w14:paraId="4CB52728" w14:textId="77777777" w:rsidR="004458A6" w:rsidRDefault="00000000">
      <w:p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Submissions will include:</w:t>
      </w:r>
    </w:p>
    <w:p w14:paraId="5CAC06F7" w14:textId="77777777" w:rsidR="004458A6" w:rsidRDefault="00000000">
      <w:pPr>
        <w:numPr>
          <w:ilvl w:val="0"/>
          <w:numId w:val="3"/>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Pricing for each role/position title offered with the fully burdened hourly rate.</w:t>
      </w:r>
    </w:p>
    <w:p w14:paraId="4E941EFA" w14:textId="77777777" w:rsidR="004458A6" w:rsidRDefault="004458A6">
      <w:pPr>
        <w:pBdr>
          <w:top w:val="nil"/>
          <w:left w:val="nil"/>
          <w:bottom w:val="nil"/>
          <w:right w:val="nil"/>
          <w:between w:val="nil"/>
        </w:pBdr>
        <w:ind w:left="775"/>
        <w:jc w:val="center"/>
        <w:rPr>
          <w:rFonts w:ascii="Arial" w:eastAsia="Arial" w:hAnsi="Arial" w:cs="Arial"/>
          <w:b/>
          <w:color w:val="000000"/>
          <w:sz w:val="18"/>
          <w:szCs w:val="18"/>
        </w:rPr>
      </w:pPr>
    </w:p>
    <w:tbl>
      <w:tblPr>
        <w:tblStyle w:val="a"/>
        <w:tblW w:w="8575"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6390"/>
        <w:gridCol w:w="1795"/>
      </w:tblGrid>
      <w:tr w:rsidR="004458A6" w14:paraId="77D36376" w14:textId="77777777">
        <w:tc>
          <w:tcPr>
            <w:tcW w:w="390" w:type="dxa"/>
          </w:tcPr>
          <w:p w14:paraId="23753038" w14:textId="77777777" w:rsidR="004458A6" w:rsidRDefault="00000000">
            <w:pPr>
              <w:pBdr>
                <w:top w:val="nil"/>
                <w:left w:val="nil"/>
                <w:bottom w:val="nil"/>
                <w:right w:val="nil"/>
                <w:between w:val="nil"/>
              </w:pBd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w:t>
            </w:r>
          </w:p>
        </w:tc>
        <w:tc>
          <w:tcPr>
            <w:tcW w:w="6390" w:type="dxa"/>
          </w:tcPr>
          <w:p w14:paraId="61C78E30" w14:textId="77777777" w:rsidR="004458A6" w:rsidRDefault="00000000">
            <w:pPr>
              <w:pBdr>
                <w:top w:val="nil"/>
                <w:left w:val="nil"/>
                <w:bottom w:val="nil"/>
                <w:right w:val="nil"/>
                <w:between w:val="nil"/>
              </w:pBd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Role of Individual/Position Title</w:t>
            </w:r>
          </w:p>
        </w:tc>
        <w:tc>
          <w:tcPr>
            <w:tcW w:w="1795" w:type="dxa"/>
          </w:tcPr>
          <w:p w14:paraId="3FA6A9F8" w14:textId="77777777" w:rsidR="004458A6" w:rsidRDefault="00000000">
            <w:pPr>
              <w:pBdr>
                <w:top w:val="nil"/>
                <w:left w:val="nil"/>
                <w:bottom w:val="nil"/>
                <w:right w:val="nil"/>
                <w:between w:val="nil"/>
              </w:pBd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Hourly Rate</w:t>
            </w:r>
          </w:p>
        </w:tc>
      </w:tr>
      <w:tr w:rsidR="004458A6" w14:paraId="0AEE22C7" w14:textId="77777777">
        <w:tc>
          <w:tcPr>
            <w:tcW w:w="390" w:type="dxa"/>
          </w:tcPr>
          <w:p w14:paraId="039B93F1"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6390" w:type="dxa"/>
          </w:tcPr>
          <w:p w14:paraId="02873196"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1795" w:type="dxa"/>
          </w:tcPr>
          <w:p w14:paraId="17860157"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r>
      <w:tr w:rsidR="004458A6" w14:paraId="13BBD1E6" w14:textId="77777777">
        <w:tc>
          <w:tcPr>
            <w:tcW w:w="390" w:type="dxa"/>
          </w:tcPr>
          <w:p w14:paraId="6CB8F14D"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6390" w:type="dxa"/>
          </w:tcPr>
          <w:p w14:paraId="0E0DFBFB"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1795" w:type="dxa"/>
          </w:tcPr>
          <w:p w14:paraId="498879F7"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r>
      <w:tr w:rsidR="004458A6" w14:paraId="5DFC6392" w14:textId="77777777">
        <w:tc>
          <w:tcPr>
            <w:tcW w:w="390" w:type="dxa"/>
          </w:tcPr>
          <w:p w14:paraId="27701DE0"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6390" w:type="dxa"/>
          </w:tcPr>
          <w:p w14:paraId="1336F27E"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1795" w:type="dxa"/>
          </w:tcPr>
          <w:p w14:paraId="3E0196A1"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r>
      <w:tr w:rsidR="004458A6" w14:paraId="58534E10" w14:textId="77777777">
        <w:tc>
          <w:tcPr>
            <w:tcW w:w="390" w:type="dxa"/>
          </w:tcPr>
          <w:p w14:paraId="3684C403"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6390" w:type="dxa"/>
          </w:tcPr>
          <w:p w14:paraId="1E60771E"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1795" w:type="dxa"/>
          </w:tcPr>
          <w:p w14:paraId="75C66D12"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r>
      <w:tr w:rsidR="004458A6" w14:paraId="3AA14BA9" w14:textId="77777777">
        <w:tc>
          <w:tcPr>
            <w:tcW w:w="390" w:type="dxa"/>
          </w:tcPr>
          <w:p w14:paraId="0EE6A5D7"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6390" w:type="dxa"/>
          </w:tcPr>
          <w:p w14:paraId="4174DD68"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1795" w:type="dxa"/>
          </w:tcPr>
          <w:p w14:paraId="3B5EB061"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r>
      <w:tr w:rsidR="004458A6" w14:paraId="22C2E47F" w14:textId="77777777">
        <w:tc>
          <w:tcPr>
            <w:tcW w:w="390" w:type="dxa"/>
          </w:tcPr>
          <w:p w14:paraId="58E064BD"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6390" w:type="dxa"/>
          </w:tcPr>
          <w:p w14:paraId="33859867"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1795" w:type="dxa"/>
          </w:tcPr>
          <w:p w14:paraId="273476EB"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r>
      <w:tr w:rsidR="004458A6" w14:paraId="4DA00617" w14:textId="77777777">
        <w:tc>
          <w:tcPr>
            <w:tcW w:w="390" w:type="dxa"/>
          </w:tcPr>
          <w:p w14:paraId="29C4AEC9"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6390" w:type="dxa"/>
          </w:tcPr>
          <w:p w14:paraId="797215E7"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c>
          <w:tcPr>
            <w:tcW w:w="1795" w:type="dxa"/>
          </w:tcPr>
          <w:p w14:paraId="28BF4AA9" w14:textId="77777777" w:rsidR="004458A6" w:rsidRDefault="004458A6">
            <w:pPr>
              <w:pBdr>
                <w:top w:val="nil"/>
                <w:left w:val="nil"/>
                <w:bottom w:val="nil"/>
                <w:right w:val="nil"/>
                <w:between w:val="nil"/>
              </w:pBdr>
              <w:spacing w:after="160" w:line="259" w:lineRule="auto"/>
              <w:jc w:val="both"/>
              <w:rPr>
                <w:rFonts w:ascii="Arial" w:eastAsia="Arial" w:hAnsi="Arial" w:cs="Arial"/>
                <w:color w:val="000000"/>
                <w:sz w:val="18"/>
                <w:szCs w:val="18"/>
              </w:rPr>
            </w:pPr>
          </w:p>
        </w:tc>
      </w:tr>
    </w:tbl>
    <w:p w14:paraId="0F169240" w14:textId="77777777" w:rsidR="004458A6" w:rsidRDefault="004458A6">
      <w:pPr>
        <w:pBdr>
          <w:top w:val="nil"/>
          <w:left w:val="nil"/>
          <w:bottom w:val="nil"/>
          <w:right w:val="nil"/>
          <w:between w:val="nil"/>
        </w:pBdr>
        <w:spacing w:after="0"/>
        <w:ind w:left="775"/>
        <w:jc w:val="both"/>
        <w:rPr>
          <w:rFonts w:ascii="Arial" w:eastAsia="Arial" w:hAnsi="Arial" w:cs="Arial"/>
          <w:color w:val="000000"/>
          <w:sz w:val="18"/>
          <w:szCs w:val="18"/>
        </w:rPr>
      </w:pPr>
    </w:p>
    <w:p w14:paraId="6FF55852" w14:textId="25E6776C" w:rsidR="004458A6" w:rsidRDefault="00000000">
      <w:pPr>
        <w:numPr>
          <w:ilvl w:val="0"/>
          <w:numId w:val="3"/>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Agreement that the consulting professional must start by </w:t>
      </w:r>
      <w:r w:rsidR="00510DBF">
        <w:rPr>
          <w:rFonts w:ascii="Arial" w:eastAsia="Arial" w:hAnsi="Arial" w:cs="Arial"/>
          <w:color w:val="000000"/>
          <w:sz w:val="18"/>
          <w:szCs w:val="18"/>
        </w:rPr>
        <w:t>September 05, 2023</w:t>
      </w:r>
      <w:r>
        <w:rPr>
          <w:rFonts w:ascii="Arial" w:eastAsia="Arial" w:hAnsi="Arial" w:cs="Arial"/>
          <w:color w:val="000000"/>
          <w:sz w:val="18"/>
          <w:szCs w:val="18"/>
        </w:rPr>
        <w:t>.</w:t>
      </w:r>
    </w:p>
    <w:p w14:paraId="324A2F09" w14:textId="77777777" w:rsidR="004458A6" w:rsidRDefault="00000000">
      <w:pPr>
        <w:numPr>
          <w:ilvl w:val="0"/>
          <w:numId w:val="3"/>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Copies of resumes detailing how the candidates meet the consulting skill requirements.</w:t>
      </w:r>
    </w:p>
    <w:p w14:paraId="62FB3FD0" w14:textId="77777777" w:rsidR="004458A6" w:rsidRDefault="004458A6">
      <w:pPr>
        <w:pBdr>
          <w:top w:val="nil"/>
          <w:left w:val="nil"/>
          <w:bottom w:val="nil"/>
          <w:right w:val="nil"/>
          <w:between w:val="nil"/>
        </w:pBdr>
        <w:spacing w:after="0"/>
        <w:jc w:val="both"/>
        <w:rPr>
          <w:rFonts w:ascii="Arial" w:eastAsia="Arial" w:hAnsi="Arial" w:cs="Arial"/>
          <w:color w:val="000000"/>
          <w:sz w:val="18"/>
          <w:szCs w:val="18"/>
        </w:rPr>
      </w:pPr>
    </w:p>
    <w:p w14:paraId="5BCBFCB5" w14:textId="77777777" w:rsidR="004458A6" w:rsidRDefault="004458A6">
      <w:pPr>
        <w:pBdr>
          <w:top w:val="nil"/>
          <w:left w:val="nil"/>
          <w:bottom w:val="nil"/>
          <w:right w:val="nil"/>
          <w:between w:val="nil"/>
        </w:pBdr>
        <w:spacing w:after="0"/>
        <w:jc w:val="both"/>
        <w:rPr>
          <w:rFonts w:ascii="Arial" w:eastAsia="Arial" w:hAnsi="Arial" w:cs="Arial"/>
          <w:b/>
          <w:color w:val="000000"/>
          <w:sz w:val="18"/>
          <w:szCs w:val="18"/>
          <w:u w:val="single"/>
        </w:rPr>
      </w:pPr>
    </w:p>
    <w:p w14:paraId="3BAA860B" w14:textId="77777777" w:rsidR="004458A6" w:rsidRDefault="004458A6">
      <w:pPr>
        <w:pBdr>
          <w:top w:val="nil"/>
          <w:left w:val="nil"/>
          <w:bottom w:val="nil"/>
          <w:right w:val="nil"/>
          <w:between w:val="nil"/>
        </w:pBdr>
        <w:spacing w:after="0"/>
        <w:jc w:val="both"/>
        <w:rPr>
          <w:rFonts w:ascii="Arial" w:eastAsia="Arial" w:hAnsi="Arial" w:cs="Arial"/>
          <w:b/>
          <w:color w:val="000000"/>
          <w:sz w:val="18"/>
          <w:szCs w:val="18"/>
          <w:u w:val="single"/>
        </w:rPr>
      </w:pPr>
    </w:p>
    <w:p w14:paraId="17E5291E" w14:textId="77777777" w:rsidR="004458A6" w:rsidRDefault="004458A6">
      <w:pPr>
        <w:pBdr>
          <w:top w:val="nil"/>
          <w:left w:val="nil"/>
          <w:bottom w:val="nil"/>
          <w:right w:val="nil"/>
          <w:between w:val="nil"/>
        </w:pBdr>
        <w:spacing w:after="0"/>
        <w:jc w:val="both"/>
        <w:rPr>
          <w:rFonts w:ascii="Arial" w:eastAsia="Arial" w:hAnsi="Arial" w:cs="Arial"/>
          <w:b/>
          <w:color w:val="000000"/>
          <w:sz w:val="18"/>
          <w:szCs w:val="18"/>
          <w:u w:val="single"/>
        </w:rPr>
      </w:pPr>
    </w:p>
    <w:p w14:paraId="4D672490" w14:textId="77777777" w:rsidR="004458A6" w:rsidRDefault="00000000">
      <w:pPr>
        <w:pBdr>
          <w:top w:val="nil"/>
          <w:left w:val="nil"/>
          <w:bottom w:val="nil"/>
          <w:right w:val="nil"/>
          <w:between w:val="nil"/>
        </w:pBdr>
        <w:jc w:val="both"/>
        <w:rPr>
          <w:rFonts w:ascii="Arial" w:eastAsia="Arial" w:hAnsi="Arial" w:cs="Arial"/>
          <w:b/>
          <w:color w:val="000000"/>
          <w:sz w:val="18"/>
          <w:szCs w:val="18"/>
          <w:u w:val="single"/>
        </w:rPr>
      </w:pPr>
      <w:r>
        <w:rPr>
          <w:rFonts w:ascii="Arial" w:eastAsia="Arial" w:hAnsi="Arial" w:cs="Arial"/>
          <w:b/>
          <w:color w:val="000000"/>
          <w:sz w:val="18"/>
          <w:szCs w:val="18"/>
          <w:u w:val="single"/>
        </w:rPr>
        <w:br/>
        <w:t>EVALUATION AND AWARD PROCESS</w:t>
      </w:r>
    </w:p>
    <w:p w14:paraId="08F278CA" w14:textId="56BF2D5A" w:rsidR="004458A6" w:rsidRDefault="008A284B">
      <w:pPr>
        <w:rPr>
          <w:rFonts w:ascii="Arial" w:eastAsia="Arial" w:hAnsi="Arial" w:cs="Arial"/>
          <w:sz w:val="18"/>
          <w:szCs w:val="18"/>
        </w:rPr>
      </w:pPr>
      <w:r>
        <w:rPr>
          <w:rFonts w:ascii="Arial" w:eastAsia="Arial" w:hAnsi="Arial" w:cs="Arial"/>
          <w:sz w:val="18"/>
          <w:szCs w:val="18"/>
        </w:rPr>
        <w:t>PART 1:  To be considered, the Respondent must meet the following:</w:t>
      </w:r>
    </w:p>
    <w:p w14:paraId="59109401" w14:textId="77777777" w:rsidR="004458A6" w:rsidRDefault="00000000">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Agreement that the consulting professional must start by September 05, 2023.</w:t>
      </w:r>
    </w:p>
    <w:p w14:paraId="6C0AD429" w14:textId="71A3F850" w:rsidR="004458A6" w:rsidRDefault="00000000">
      <w:pPr>
        <w:numPr>
          <w:ilvl w:val="0"/>
          <w:numId w:val="4"/>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sz w:val="18"/>
          <w:szCs w:val="18"/>
        </w:rPr>
        <w:t xml:space="preserve">Demonstrated success, expertise and responsiveness to client's needs and deliverables as stated in the Purposes and Scope of Services above. </w:t>
      </w:r>
      <w:r>
        <w:rPr>
          <w:rFonts w:ascii="Arial" w:eastAsia="Arial" w:hAnsi="Arial" w:cs="Arial"/>
          <w:color w:val="000000"/>
          <w:sz w:val="18"/>
          <w:szCs w:val="18"/>
        </w:rPr>
        <w:t xml:space="preserve"> Evaluation and confirmation of previous experience and skills</w:t>
      </w:r>
      <w:r>
        <w:rPr>
          <w:rFonts w:ascii="Arial" w:eastAsia="Arial" w:hAnsi="Arial" w:cs="Arial"/>
          <w:sz w:val="18"/>
          <w:szCs w:val="18"/>
        </w:rPr>
        <w:t>, through</w:t>
      </w:r>
      <w:r>
        <w:rPr>
          <w:rFonts w:ascii="Arial" w:eastAsia="Arial" w:hAnsi="Arial" w:cs="Arial"/>
          <w:color w:val="000000"/>
          <w:sz w:val="18"/>
          <w:szCs w:val="18"/>
        </w:rPr>
        <w:t xml:space="preserve"> interviews</w:t>
      </w:r>
      <w:r>
        <w:rPr>
          <w:rFonts w:ascii="Arial" w:eastAsia="Arial" w:hAnsi="Arial" w:cs="Arial"/>
          <w:sz w:val="18"/>
          <w:szCs w:val="18"/>
        </w:rPr>
        <w:t xml:space="preserve"> with recent clients, will be required.  </w:t>
      </w:r>
      <w:r>
        <w:rPr>
          <w:rFonts w:ascii="Arial" w:eastAsia="Arial" w:hAnsi="Arial" w:cs="Arial"/>
          <w:color w:val="000000"/>
          <w:sz w:val="18"/>
          <w:szCs w:val="18"/>
        </w:rPr>
        <w:t xml:space="preserve"> A </w:t>
      </w:r>
      <w:r w:rsidR="008A284B">
        <w:rPr>
          <w:rFonts w:ascii="Arial" w:eastAsia="Arial" w:hAnsi="Arial" w:cs="Arial"/>
          <w:color w:val="000000"/>
          <w:sz w:val="18"/>
          <w:szCs w:val="18"/>
        </w:rPr>
        <w:t>PASS</w:t>
      </w:r>
      <w:r>
        <w:rPr>
          <w:rFonts w:ascii="Arial" w:eastAsia="Arial" w:hAnsi="Arial" w:cs="Arial"/>
          <w:color w:val="000000"/>
          <w:sz w:val="18"/>
          <w:szCs w:val="18"/>
        </w:rPr>
        <w:t xml:space="preserve"> will indicate the vendor meets or exceeds the consulting skill requirements provided in this document per the interviews. A </w:t>
      </w:r>
      <w:r w:rsidR="008A284B">
        <w:rPr>
          <w:rFonts w:ascii="Arial" w:eastAsia="Arial" w:hAnsi="Arial" w:cs="Arial"/>
          <w:color w:val="000000"/>
          <w:sz w:val="18"/>
          <w:szCs w:val="18"/>
        </w:rPr>
        <w:t>FAIL</w:t>
      </w:r>
      <w:r>
        <w:rPr>
          <w:rFonts w:ascii="Arial" w:eastAsia="Arial" w:hAnsi="Arial" w:cs="Arial"/>
          <w:sz w:val="18"/>
          <w:szCs w:val="18"/>
        </w:rPr>
        <w:t xml:space="preserve"> will indicate the vendor did not meet the consulting skill requirements provided in this document per the interviews.</w:t>
      </w:r>
      <w:r w:rsidR="008A284B">
        <w:rPr>
          <w:rFonts w:ascii="Arial" w:eastAsia="Arial" w:hAnsi="Arial" w:cs="Arial"/>
          <w:sz w:val="18"/>
          <w:szCs w:val="18"/>
        </w:rPr>
        <w:t xml:space="preserve">  A FAIL will be recorded and the </w:t>
      </w:r>
      <w:r w:rsidR="00EE4072">
        <w:rPr>
          <w:rFonts w:ascii="Arial" w:eastAsia="Arial" w:hAnsi="Arial" w:cs="Arial"/>
          <w:sz w:val="18"/>
          <w:szCs w:val="18"/>
        </w:rPr>
        <w:t xml:space="preserve">Respondent’s </w:t>
      </w:r>
      <w:r w:rsidR="008A284B">
        <w:rPr>
          <w:rFonts w:ascii="Arial" w:eastAsia="Arial" w:hAnsi="Arial" w:cs="Arial"/>
          <w:sz w:val="18"/>
          <w:szCs w:val="18"/>
        </w:rPr>
        <w:t xml:space="preserve">submission will not be considered for award or be considered for </w:t>
      </w:r>
      <w:r w:rsidR="00EE4072">
        <w:rPr>
          <w:rFonts w:ascii="Arial" w:eastAsia="Arial" w:hAnsi="Arial" w:cs="Arial"/>
          <w:sz w:val="18"/>
          <w:szCs w:val="18"/>
        </w:rPr>
        <w:t>P</w:t>
      </w:r>
      <w:r w:rsidR="008A284B">
        <w:rPr>
          <w:rFonts w:ascii="Arial" w:eastAsia="Arial" w:hAnsi="Arial" w:cs="Arial"/>
          <w:sz w:val="18"/>
          <w:szCs w:val="18"/>
        </w:rPr>
        <w:t>art 2 of the evaluation.</w:t>
      </w:r>
    </w:p>
    <w:p w14:paraId="767A1503" w14:textId="182CD467" w:rsidR="004458A6" w:rsidRDefault="008A284B">
      <w:pPr>
        <w:rPr>
          <w:rFonts w:ascii="Arial" w:eastAsia="Arial" w:hAnsi="Arial" w:cs="Arial"/>
          <w:b/>
          <w:sz w:val="18"/>
          <w:szCs w:val="18"/>
        </w:rPr>
      </w:pPr>
      <w:r>
        <w:rPr>
          <w:rFonts w:ascii="Arial" w:eastAsia="Arial" w:hAnsi="Arial" w:cs="Arial"/>
          <w:sz w:val="18"/>
          <w:szCs w:val="18"/>
        </w:rPr>
        <w:t>PART 2:  Respondent’s meeting the criteria listed directly above will be evaluated based on a 100-point scale each.</w:t>
      </w:r>
    </w:p>
    <w:p w14:paraId="4485187D" w14:textId="3E808C05" w:rsidR="004458A6" w:rsidRDefault="00000000">
      <w:pPr>
        <w:ind w:left="720"/>
        <w:rPr>
          <w:rFonts w:ascii="Arial" w:eastAsia="Arial" w:hAnsi="Arial" w:cs="Arial"/>
          <w:b/>
          <w:sz w:val="18"/>
          <w:szCs w:val="18"/>
        </w:rPr>
      </w:pPr>
      <w:r>
        <w:rPr>
          <w:rFonts w:ascii="Arial" w:eastAsia="Arial" w:hAnsi="Arial" w:cs="Arial"/>
          <w:b/>
          <w:sz w:val="18"/>
          <w:szCs w:val="18"/>
        </w:rPr>
        <w:t xml:space="preserve">Cost Evaluation:  </w:t>
      </w:r>
      <w:r>
        <w:rPr>
          <w:rFonts w:ascii="Arial" w:eastAsia="Arial" w:hAnsi="Arial" w:cs="Arial"/>
          <w:sz w:val="18"/>
          <w:szCs w:val="18"/>
        </w:rPr>
        <w:t>The total cost proposed for conducting all the functions specified in this document will be assigned a score according to a mathematical formula.  For purposes of clarification the price evaluation will be completed on longer term pricing provided.  The lowest cost response will be awarded the total points</w:t>
      </w:r>
      <w:r w:rsidR="008A284B">
        <w:rPr>
          <w:rFonts w:ascii="Arial" w:eastAsia="Arial" w:hAnsi="Arial" w:cs="Arial"/>
          <w:sz w:val="18"/>
          <w:szCs w:val="18"/>
        </w:rPr>
        <w:t xml:space="preserve">.  </w:t>
      </w:r>
      <w:r>
        <w:rPr>
          <w:rFonts w:ascii="Arial" w:eastAsia="Arial" w:hAnsi="Arial" w:cs="Arial"/>
          <w:sz w:val="18"/>
          <w:szCs w:val="18"/>
        </w:rPr>
        <w:t>Responses with higher cost response values will be awarded proportionately fewer points calculated in comparison with the lowest cost response.</w:t>
      </w:r>
    </w:p>
    <w:p w14:paraId="41094BC0" w14:textId="77777777" w:rsidR="004458A6" w:rsidRDefault="00000000">
      <w:pPr>
        <w:ind w:left="720"/>
        <w:jc w:val="both"/>
        <w:rPr>
          <w:rFonts w:ascii="Arial" w:eastAsia="Arial" w:hAnsi="Arial" w:cs="Arial"/>
          <w:sz w:val="18"/>
          <w:szCs w:val="18"/>
        </w:rPr>
      </w:pPr>
      <w:r>
        <w:rPr>
          <w:rFonts w:ascii="Arial" w:eastAsia="Arial" w:hAnsi="Arial" w:cs="Arial"/>
          <w:sz w:val="18"/>
          <w:szCs w:val="18"/>
        </w:rPr>
        <w:t>The scoring formula is:</w:t>
      </w:r>
    </w:p>
    <w:p w14:paraId="1CABE483" w14:textId="2D2D8DEB" w:rsidR="004458A6" w:rsidRDefault="00000000">
      <w:pPr>
        <w:ind w:left="720"/>
        <w:jc w:val="both"/>
        <w:rPr>
          <w:rFonts w:ascii="Arial" w:eastAsia="Arial" w:hAnsi="Arial" w:cs="Arial"/>
          <w:sz w:val="18"/>
          <w:szCs w:val="18"/>
        </w:rPr>
      </w:pPr>
      <w:r>
        <w:rPr>
          <w:rFonts w:ascii="Arial" w:eastAsia="Arial" w:hAnsi="Arial" w:cs="Arial"/>
          <w:sz w:val="18"/>
          <w:szCs w:val="18"/>
        </w:rPr>
        <w:t xml:space="preserve">(Lowest submitted cost response / cost of response being scored) x </w:t>
      </w:r>
      <w:r>
        <w:rPr>
          <w:rFonts w:ascii="Arial" w:eastAsia="Arial" w:hAnsi="Arial" w:cs="Arial"/>
          <w:b/>
          <w:sz w:val="18"/>
          <w:szCs w:val="18"/>
        </w:rPr>
        <w:t>Points</w:t>
      </w:r>
      <w:r>
        <w:rPr>
          <w:rFonts w:ascii="Arial" w:eastAsia="Arial" w:hAnsi="Arial" w:cs="Arial"/>
          <w:color w:val="C00000"/>
          <w:sz w:val="18"/>
          <w:szCs w:val="18"/>
        </w:rPr>
        <w:t xml:space="preserve"> </w:t>
      </w:r>
      <w:r>
        <w:rPr>
          <w:rFonts w:ascii="Arial" w:eastAsia="Arial" w:hAnsi="Arial" w:cs="Arial"/>
          <w:sz w:val="18"/>
          <w:szCs w:val="18"/>
        </w:rPr>
        <w:t>= pro-rated score</w:t>
      </w:r>
    </w:p>
    <w:p w14:paraId="096A2E50" w14:textId="77777777" w:rsidR="004458A6" w:rsidRDefault="00000000">
      <w:pPr>
        <w:ind w:left="720"/>
        <w:jc w:val="both"/>
        <w:rPr>
          <w:rFonts w:ascii="Arial" w:eastAsia="Arial" w:hAnsi="Arial" w:cs="Arial"/>
          <w:sz w:val="18"/>
          <w:szCs w:val="18"/>
        </w:rPr>
      </w:pPr>
      <w:r>
        <w:rPr>
          <w:rFonts w:ascii="Arial" w:eastAsia="Arial" w:hAnsi="Arial" w:cs="Arial"/>
          <w:sz w:val="18"/>
          <w:szCs w:val="18"/>
        </w:rPr>
        <w:t xml:space="preserve">The University will </w:t>
      </w:r>
      <w:r>
        <w:rPr>
          <w:rFonts w:ascii="Arial" w:eastAsia="Arial" w:hAnsi="Arial" w:cs="Arial"/>
          <w:sz w:val="18"/>
          <w:szCs w:val="18"/>
          <w:u w:val="single"/>
        </w:rPr>
        <w:t>NOT</w:t>
      </w:r>
      <w:r>
        <w:rPr>
          <w:rFonts w:ascii="Arial" w:eastAsia="Arial" w:hAnsi="Arial" w:cs="Arial"/>
          <w:sz w:val="18"/>
          <w:szCs w:val="18"/>
        </w:rPr>
        <w:t xml:space="preserve"> seek a best and final offer (BAFO) from any Respondent in this procurement process.  All Respondents are expected to provide their best value pricing with the submission of their response. Respondents will </w:t>
      </w:r>
      <w:r>
        <w:rPr>
          <w:rFonts w:ascii="Arial" w:eastAsia="Arial" w:hAnsi="Arial" w:cs="Arial"/>
          <w:sz w:val="18"/>
          <w:szCs w:val="18"/>
          <w:u w:val="single"/>
        </w:rPr>
        <w:t>NOT</w:t>
      </w:r>
      <w:r>
        <w:rPr>
          <w:rFonts w:ascii="Arial" w:eastAsia="Arial" w:hAnsi="Arial" w:cs="Arial"/>
          <w:sz w:val="18"/>
          <w:szCs w:val="18"/>
        </w:rPr>
        <w:t xml:space="preserve"> be given another opportunity to modify pricing once submitted. </w:t>
      </w:r>
    </w:p>
    <w:p w14:paraId="497F79CB" w14:textId="77777777" w:rsidR="004458A6" w:rsidRDefault="004458A6">
      <w:pPr>
        <w:rPr>
          <w:rFonts w:ascii="Arial" w:eastAsia="Arial" w:hAnsi="Arial" w:cs="Arial"/>
          <w:b/>
          <w:sz w:val="18"/>
          <w:szCs w:val="18"/>
        </w:rPr>
      </w:pPr>
    </w:p>
    <w:p w14:paraId="3A704C92" w14:textId="77777777" w:rsidR="004458A6" w:rsidRDefault="00000000">
      <w:pPr>
        <w:rPr>
          <w:rFonts w:ascii="Arial" w:eastAsia="Arial" w:hAnsi="Arial" w:cs="Arial"/>
          <w:b/>
          <w:sz w:val="18"/>
          <w:szCs w:val="18"/>
          <w:u w:val="single"/>
        </w:rPr>
      </w:pPr>
      <w:r>
        <w:rPr>
          <w:rFonts w:ascii="Arial" w:eastAsia="Arial" w:hAnsi="Arial" w:cs="Arial"/>
          <w:b/>
          <w:sz w:val="18"/>
          <w:szCs w:val="18"/>
          <w:u w:val="single"/>
        </w:rPr>
        <w:t>AWARD</w:t>
      </w:r>
    </w:p>
    <w:p w14:paraId="01363F21" w14:textId="77777777" w:rsidR="004458A6" w:rsidRDefault="00000000">
      <w:pPr>
        <w:jc w:val="both"/>
        <w:rPr>
          <w:rFonts w:ascii="Arial" w:eastAsia="Arial" w:hAnsi="Arial" w:cs="Arial"/>
          <w:sz w:val="18"/>
          <w:szCs w:val="18"/>
        </w:rPr>
      </w:pPr>
      <w:r>
        <w:rPr>
          <w:rFonts w:ascii="Arial" w:eastAsia="Arial" w:hAnsi="Arial" w:cs="Arial"/>
          <w:sz w:val="18"/>
          <w:szCs w:val="18"/>
        </w:rPr>
        <w:t xml:space="preserve">The University reserves the right to award Agreement(s) to one or multiple Respondents, if such award is in the best interest of the University.  The University also reserves the right to award only one solution if such an action is in the best interest of the University.  </w:t>
      </w:r>
    </w:p>
    <w:p w14:paraId="19209069" w14:textId="77777777" w:rsidR="004458A6" w:rsidRDefault="00000000">
      <w:pPr>
        <w:jc w:val="both"/>
        <w:rPr>
          <w:rFonts w:ascii="Arial" w:eastAsia="Arial" w:hAnsi="Arial" w:cs="Arial"/>
          <w:b/>
          <w:sz w:val="18"/>
          <w:szCs w:val="18"/>
        </w:rPr>
      </w:pPr>
      <w:r>
        <w:rPr>
          <w:rFonts w:ascii="Arial" w:eastAsia="Arial" w:hAnsi="Arial" w:cs="Arial"/>
          <w:sz w:val="18"/>
          <w:szCs w:val="18"/>
        </w:rPr>
        <w:t>The University reserves the right to waive minor irregularities, which may include contacting the Respondent to resolve the irregularity. Scholarships, donations, or gifts to the University, will not be considered in the evaluation of responses. The University reserves the right to reject any or all bid/proposal/submission, in whole or in part, and is not necessarily bound to accept the lowest cost response if that bid/proposal/submission is contrary to the best interests of the University. The University may cancel this request or reject any or all responses in whole or in part. Should the University determine in its sole discretion that only one Respondent is fully qualified, or that one Respondent is clearly more qualified than any other under consideration, an Agreement may be awarded to that Respondent without further action.</w:t>
      </w:r>
    </w:p>
    <w:p w14:paraId="1150C133" w14:textId="77777777" w:rsidR="004458A6" w:rsidRDefault="00000000">
      <w:pPr>
        <w:rPr>
          <w:rFonts w:ascii="Arial" w:eastAsia="Arial" w:hAnsi="Arial" w:cs="Arial"/>
          <w:b/>
          <w:sz w:val="18"/>
          <w:szCs w:val="18"/>
          <w:u w:val="single"/>
        </w:rPr>
      </w:pPr>
      <w:bookmarkStart w:id="2" w:name="_heading=h.1fob9te" w:colFirst="0" w:colLast="0"/>
      <w:bookmarkEnd w:id="2"/>
      <w:r>
        <w:rPr>
          <w:rFonts w:ascii="Arial" w:eastAsia="Arial" w:hAnsi="Arial" w:cs="Arial"/>
          <w:b/>
          <w:sz w:val="18"/>
          <w:szCs w:val="18"/>
          <w:u w:val="single"/>
        </w:rPr>
        <w:t>NEGOTIATIONS</w:t>
      </w:r>
    </w:p>
    <w:p w14:paraId="62107138" w14:textId="77777777" w:rsidR="004458A6" w:rsidRDefault="00000000">
      <w:pPr>
        <w:jc w:val="both"/>
        <w:rPr>
          <w:rFonts w:ascii="Arial" w:eastAsia="Arial" w:hAnsi="Arial" w:cs="Arial"/>
          <w:sz w:val="18"/>
          <w:szCs w:val="18"/>
        </w:rPr>
      </w:pPr>
      <w:r>
        <w:rPr>
          <w:rFonts w:ascii="Arial" w:eastAsia="Arial" w:hAnsi="Arial" w:cs="Arial"/>
          <w:sz w:val="18"/>
          <w:szCs w:val="18"/>
        </w:rPr>
        <w:t>The University reserves the right to negotiate with the successful Respondent to finalize a contract.  In the event that an acceptable contract cannot be negotiated, the University may withdraw its award.  Alternatively, the University may cancel the RFB, at its sole discretion.</w:t>
      </w:r>
    </w:p>
    <w:p w14:paraId="2BD44F91" w14:textId="77777777" w:rsidR="004458A6" w:rsidRDefault="00000000">
      <w:pPr>
        <w:rPr>
          <w:rFonts w:ascii="Arial" w:eastAsia="Arial" w:hAnsi="Arial" w:cs="Arial"/>
          <w:b/>
          <w:sz w:val="18"/>
          <w:szCs w:val="18"/>
          <w:u w:val="single"/>
        </w:rPr>
      </w:pPr>
      <w:r>
        <w:rPr>
          <w:rFonts w:ascii="Arial" w:eastAsia="Arial" w:hAnsi="Arial" w:cs="Arial"/>
          <w:b/>
          <w:sz w:val="18"/>
          <w:szCs w:val="18"/>
          <w:u w:val="single"/>
        </w:rPr>
        <w:t>AWARD PROTEST</w:t>
      </w:r>
    </w:p>
    <w:p w14:paraId="0AFD4426" w14:textId="77777777" w:rsidR="004458A6" w:rsidRDefault="00000000">
      <w:pPr>
        <w:jc w:val="both"/>
        <w:rPr>
          <w:rFonts w:ascii="Arial" w:eastAsia="Arial" w:hAnsi="Arial" w:cs="Arial"/>
          <w:color w:val="222222"/>
          <w:sz w:val="18"/>
          <w:szCs w:val="18"/>
          <w:highlight w:val="white"/>
        </w:rPr>
      </w:pPr>
      <w:r>
        <w:rPr>
          <w:rFonts w:ascii="Arial" w:eastAsia="Arial" w:hAnsi="Arial" w:cs="Arial"/>
          <w:sz w:val="18"/>
          <w:szCs w:val="18"/>
        </w:rPr>
        <w:lastRenderedPageBreak/>
        <w:t xml:space="preserve">Respondents may appeal the award decision by submitting a written protest to the University of Maine System’s </w:t>
      </w:r>
      <w:r>
        <w:rPr>
          <w:rFonts w:ascii="Arial" w:eastAsia="Arial" w:hAnsi="Arial" w:cs="Arial"/>
          <w:color w:val="000000"/>
          <w:sz w:val="18"/>
          <w:szCs w:val="18"/>
          <w:shd w:val="clear" w:color="auto" w:fill="F8F8F8"/>
        </w:rPr>
        <w:t>Chief General Services Officer</w:t>
      </w:r>
      <w:r>
        <w:rPr>
          <w:rFonts w:ascii="Arial" w:eastAsia="Arial" w:hAnsi="Arial" w:cs="Arial"/>
          <w:sz w:val="18"/>
          <w:szCs w:val="18"/>
        </w:rPr>
        <w:t xml:space="preserve"> within five (5) business days of the date of the award notice, with a copy of the protest to the successful Respondent. </w:t>
      </w:r>
      <w:r>
        <w:rPr>
          <w:rFonts w:ascii="Arial" w:eastAsia="Arial" w:hAnsi="Arial" w:cs="Arial"/>
          <w:color w:val="000000"/>
          <w:sz w:val="18"/>
          <w:szCs w:val="18"/>
          <w:highlight w:val="white"/>
        </w:rPr>
        <w:t>The protest must contain a statement of the basis for the challenge.   F</w:t>
      </w:r>
      <w:r>
        <w:rPr>
          <w:rFonts w:ascii="Arial" w:eastAsia="Arial" w:hAnsi="Arial" w:cs="Arial"/>
          <w:color w:val="222222"/>
          <w:sz w:val="18"/>
          <w:szCs w:val="18"/>
          <w:highlight w:val="white"/>
        </w:rPr>
        <w:t>urther information regarding the appeal process can be found at </w:t>
      </w:r>
    </w:p>
    <w:p w14:paraId="312C0A72" w14:textId="77777777" w:rsidR="004458A6" w:rsidRDefault="00000000">
      <w:pPr>
        <w:jc w:val="both"/>
        <w:rPr>
          <w:rFonts w:ascii="Arial" w:eastAsia="Arial" w:hAnsi="Arial" w:cs="Arial"/>
          <w:color w:val="000000"/>
          <w:sz w:val="18"/>
          <w:szCs w:val="18"/>
          <w:highlight w:val="white"/>
        </w:rPr>
      </w:pPr>
      <w:hyperlink r:id="rId9">
        <w:r>
          <w:rPr>
            <w:rFonts w:ascii="Arial" w:eastAsia="Arial" w:hAnsi="Arial" w:cs="Arial"/>
            <w:color w:val="0563C1"/>
            <w:sz w:val="18"/>
            <w:szCs w:val="18"/>
            <w:highlight w:val="white"/>
            <w:u w:val="single"/>
          </w:rPr>
          <w:t>http://staticweb.maine.edu/wp-content/uploads/2015/07/APL_VII-A_20150630-FINAL.pdf?565a1d</w:t>
        </w:r>
      </w:hyperlink>
    </w:p>
    <w:p w14:paraId="01998A70" w14:textId="77777777" w:rsidR="004458A6" w:rsidRDefault="00000000">
      <w:pPr>
        <w:jc w:val="both"/>
        <w:rPr>
          <w:rFonts w:ascii="Arial" w:eastAsia="Arial" w:hAnsi="Arial" w:cs="Arial"/>
          <w:sz w:val="18"/>
          <w:szCs w:val="18"/>
        </w:rPr>
      </w:pPr>
      <w:r>
        <w:rPr>
          <w:rFonts w:ascii="Arial" w:eastAsia="Arial" w:hAnsi="Arial" w:cs="Arial"/>
          <w:sz w:val="18"/>
          <w:szCs w:val="18"/>
        </w:rPr>
        <w:t>If this RFB results in the creation of a pre-qualified or pre-approved list of vendors, then the appeal procedures mentioned above are available upon the original determination of that vendor list, but not during subsequent competitive procedures involving only the pre-qualified or pre-approved list participants.</w:t>
      </w:r>
    </w:p>
    <w:p w14:paraId="7A60A80D" w14:textId="77777777" w:rsidR="004458A6" w:rsidRDefault="004458A6">
      <w:pPr>
        <w:jc w:val="both"/>
        <w:rPr>
          <w:rFonts w:ascii="Arial" w:eastAsia="Arial" w:hAnsi="Arial" w:cs="Arial"/>
          <w:sz w:val="18"/>
          <w:szCs w:val="18"/>
        </w:rPr>
      </w:pPr>
    </w:p>
    <w:p w14:paraId="691BF1DC" w14:textId="77777777" w:rsidR="004458A6" w:rsidRDefault="00000000">
      <w:pPr>
        <w:jc w:val="both"/>
        <w:rPr>
          <w:rFonts w:ascii="Arial" w:eastAsia="Arial" w:hAnsi="Arial" w:cs="Arial"/>
          <w:b/>
          <w:sz w:val="18"/>
          <w:szCs w:val="18"/>
          <w:u w:val="single"/>
        </w:rPr>
      </w:pPr>
      <w:r>
        <w:rPr>
          <w:rFonts w:ascii="Arial" w:eastAsia="Arial" w:hAnsi="Arial" w:cs="Arial"/>
          <w:b/>
          <w:sz w:val="18"/>
          <w:szCs w:val="18"/>
          <w:u w:val="single"/>
        </w:rPr>
        <w:t>MASTER AGREEMENT</w:t>
      </w:r>
    </w:p>
    <w:p w14:paraId="701A62F4" w14:textId="77777777" w:rsidR="004458A6" w:rsidRDefault="00000000">
      <w:pPr>
        <w:jc w:val="both"/>
        <w:rPr>
          <w:rFonts w:ascii="Arial" w:eastAsia="Arial" w:hAnsi="Arial" w:cs="Arial"/>
          <w:b/>
          <w:color w:val="002060"/>
          <w:sz w:val="18"/>
          <w:szCs w:val="18"/>
        </w:rPr>
      </w:pPr>
      <w:r>
        <w:rPr>
          <w:rFonts w:ascii="Arial" w:eastAsia="Arial" w:hAnsi="Arial" w:cs="Arial"/>
          <w:sz w:val="18"/>
          <w:szCs w:val="18"/>
        </w:rPr>
        <w:t xml:space="preserve">A copy of the Master Agreement is provided as a supplemental document with file name; </w:t>
      </w:r>
      <w:r>
        <w:rPr>
          <w:rFonts w:ascii="Arial" w:eastAsia="Arial" w:hAnsi="Arial" w:cs="Arial"/>
          <w:b/>
          <w:color w:val="002060"/>
          <w:sz w:val="18"/>
          <w:szCs w:val="18"/>
        </w:rPr>
        <w:t>03 - 2024-005-RFB-IT-Exhibit A - Master Agreement</w:t>
      </w:r>
    </w:p>
    <w:p w14:paraId="3F532945" w14:textId="77777777" w:rsidR="004458A6" w:rsidRDefault="00000000">
      <w:pPr>
        <w:jc w:val="both"/>
        <w:rPr>
          <w:rFonts w:ascii="Arial" w:eastAsia="Arial" w:hAnsi="Arial" w:cs="Arial"/>
          <w:sz w:val="18"/>
          <w:szCs w:val="18"/>
        </w:rPr>
      </w:pPr>
      <w:r>
        <w:rPr>
          <w:rFonts w:ascii="Arial" w:eastAsia="Arial" w:hAnsi="Arial" w:cs="Arial"/>
          <w:sz w:val="18"/>
          <w:szCs w:val="18"/>
        </w:rPr>
        <w:t>The Master Agreement will allow for:</w:t>
      </w:r>
    </w:p>
    <w:p w14:paraId="74631501" w14:textId="77777777" w:rsidR="004458A6" w:rsidRDefault="00000000">
      <w:pPr>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Additional equipment orders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w:t>
      </w:r>
    </w:p>
    <w:p w14:paraId="1829B882" w14:textId="77777777" w:rsidR="004458A6" w:rsidRDefault="004458A6">
      <w:pPr>
        <w:pBdr>
          <w:top w:val="nil"/>
          <w:left w:val="nil"/>
          <w:bottom w:val="nil"/>
          <w:right w:val="nil"/>
          <w:between w:val="nil"/>
        </w:pBdr>
        <w:spacing w:after="0"/>
        <w:ind w:left="768"/>
        <w:jc w:val="both"/>
        <w:rPr>
          <w:rFonts w:ascii="Arial" w:eastAsia="Arial" w:hAnsi="Arial" w:cs="Arial"/>
          <w:color w:val="000000"/>
          <w:sz w:val="20"/>
          <w:szCs w:val="20"/>
        </w:rPr>
      </w:pPr>
    </w:p>
    <w:p w14:paraId="1398117F" w14:textId="77777777" w:rsidR="004458A6" w:rsidRDefault="00000000">
      <w:pPr>
        <w:numPr>
          <w:ilvl w:val="0"/>
          <w:numId w:val="5"/>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Additional Scope:</w:t>
      </w:r>
      <w:r>
        <w:rPr>
          <w:rFonts w:ascii="Arial" w:eastAsia="Arial" w:hAnsi="Arial" w:cs="Arial"/>
          <w:b/>
          <w:color w:val="000000"/>
          <w:sz w:val="20"/>
          <w:szCs w:val="20"/>
        </w:rPr>
        <w:t xml:space="preserve"> </w:t>
      </w:r>
      <w:r>
        <w:rPr>
          <w:rFonts w:ascii="Arial" w:eastAsia="Arial" w:hAnsi="Arial" w:cs="Arial"/>
          <w:color w:val="000000"/>
          <w:sz w:val="20"/>
          <w:szCs w:val="20"/>
        </w:rPr>
        <w:t>The Contractor shall permit product and services not covered herein to be added by mutual written agreement, without voiding the provisions of the existing agreement. The Contractor, for additional consideration, shall furnish additional such products and services to the University.</w:t>
      </w:r>
    </w:p>
    <w:sectPr w:rsidR="004458A6">
      <w:headerReference w:type="default" r:id="rId10"/>
      <w:footerReference w:type="defaul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2FFF" w14:textId="77777777" w:rsidR="002E2694" w:rsidRDefault="002E2694">
      <w:pPr>
        <w:spacing w:after="0" w:line="240" w:lineRule="auto"/>
      </w:pPr>
      <w:r>
        <w:separator/>
      </w:r>
    </w:p>
  </w:endnote>
  <w:endnote w:type="continuationSeparator" w:id="0">
    <w:p w14:paraId="42307E1C" w14:textId="77777777" w:rsidR="002E2694" w:rsidRDefault="002E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C152" w14:textId="77777777" w:rsidR="004458A6" w:rsidRDefault="00000000">
    <w:pPr>
      <w:pBdr>
        <w:top w:val="nil"/>
        <w:left w:val="nil"/>
        <w:bottom w:val="nil"/>
        <w:right w:val="nil"/>
        <w:between w:val="nil"/>
      </w:pBdr>
      <w:tabs>
        <w:tab w:val="center" w:pos="4680"/>
        <w:tab w:val="right" w:pos="9360"/>
      </w:tabs>
      <w:spacing w:after="0" w:line="240" w:lineRule="auto"/>
      <w:rPr>
        <w:rFonts w:ascii="Arial" w:eastAsia="Arial" w:hAnsi="Arial" w:cs="Arial"/>
        <w:b/>
        <w:color w:val="002060"/>
        <w:sz w:val="18"/>
        <w:szCs w:val="18"/>
      </w:rPr>
    </w:pPr>
    <w:r>
      <w:rPr>
        <w:rFonts w:ascii="Arial" w:eastAsia="Arial" w:hAnsi="Arial" w:cs="Arial"/>
        <w:b/>
        <w:color w:val="002060"/>
        <w:sz w:val="18"/>
        <w:szCs w:val="18"/>
      </w:rPr>
      <w:t>University of Maine System RFB</w:t>
    </w:r>
    <w:r>
      <w:rPr>
        <w:rFonts w:ascii="Arial" w:eastAsia="Arial" w:hAnsi="Arial" w:cs="Arial"/>
        <w:b/>
        <w:color w:val="002060"/>
        <w:sz w:val="18"/>
        <w:szCs w:val="18"/>
      </w:rPr>
      <w:tab/>
    </w:r>
    <w:r>
      <w:rPr>
        <w:rFonts w:ascii="Arial" w:eastAsia="Arial" w:hAnsi="Arial" w:cs="Arial"/>
        <w:b/>
        <w:color w:val="002060"/>
        <w:sz w:val="18"/>
        <w:szCs w:val="18"/>
      </w:rPr>
      <w:tab/>
      <w:t xml:space="preserve">Page </w:t>
    </w:r>
    <w:r>
      <w:rPr>
        <w:rFonts w:ascii="Arial" w:eastAsia="Arial" w:hAnsi="Arial" w:cs="Arial"/>
        <w:b/>
        <w:color w:val="002060"/>
        <w:sz w:val="18"/>
        <w:szCs w:val="18"/>
      </w:rPr>
      <w:fldChar w:fldCharType="begin"/>
    </w:r>
    <w:r>
      <w:rPr>
        <w:rFonts w:ascii="Arial" w:eastAsia="Arial" w:hAnsi="Arial" w:cs="Arial"/>
        <w:b/>
        <w:color w:val="002060"/>
        <w:sz w:val="18"/>
        <w:szCs w:val="18"/>
      </w:rPr>
      <w:instrText>PAGE</w:instrText>
    </w:r>
    <w:r>
      <w:rPr>
        <w:rFonts w:ascii="Arial" w:eastAsia="Arial" w:hAnsi="Arial" w:cs="Arial"/>
        <w:b/>
        <w:color w:val="002060"/>
        <w:sz w:val="18"/>
        <w:szCs w:val="18"/>
      </w:rPr>
      <w:fldChar w:fldCharType="separate"/>
    </w:r>
    <w:r w:rsidR="008A284B">
      <w:rPr>
        <w:rFonts w:ascii="Arial" w:eastAsia="Arial" w:hAnsi="Arial" w:cs="Arial"/>
        <w:b/>
        <w:noProof/>
        <w:color w:val="002060"/>
        <w:sz w:val="18"/>
        <w:szCs w:val="18"/>
      </w:rPr>
      <w:t>2</w:t>
    </w:r>
    <w:r>
      <w:rPr>
        <w:rFonts w:ascii="Arial" w:eastAsia="Arial" w:hAnsi="Arial" w:cs="Arial"/>
        <w:b/>
        <w:color w:val="002060"/>
        <w:sz w:val="18"/>
        <w:szCs w:val="18"/>
      </w:rPr>
      <w:fldChar w:fldCharType="end"/>
    </w:r>
    <w:r>
      <w:rPr>
        <w:rFonts w:ascii="Arial" w:eastAsia="Arial" w:hAnsi="Arial" w:cs="Arial"/>
        <w:b/>
        <w:color w:val="002060"/>
        <w:sz w:val="18"/>
        <w:szCs w:val="18"/>
      </w:rPr>
      <w:t xml:space="preserve"> of </w:t>
    </w:r>
    <w:r>
      <w:rPr>
        <w:rFonts w:ascii="Arial" w:eastAsia="Arial" w:hAnsi="Arial" w:cs="Arial"/>
        <w:b/>
        <w:color w:val="002060"/>
        <w:sz w:val="18"/>
        <w:szCs w:val="18"/>
      </w:rPr>
      <w:fldChar w:fldCharType="begin"/>
    </w:r>
    <w:r>
      <w:rPr>
        <w:rFonts w:ascii="Arial" w:eastAsia="Arial" w:hAnsi="Arial" w:cs="Arial"/>
        <w:b/>
        <w:color w:val="002060"/>
        <w:sz w:val="18"/>
        <w:szCs w:val="18"/>
      </w:rPr>
      <w:instrText>NUMPAGES</w:instrText>
    </w:r>
    <w:r>
      <w:rPr>
        <w:rFonts w:ascii="Arial" w:eastAsia="Arial" w:hAnsi="Arial" w:cs="Arial"/>
        <w:b/>
        <w:color w:val="002060"/>
        <w:sz w:val="18"/>
        <w:szCs w:val="18"/>
      </w:rPr>
      <w:fldChar w:fldCharType="separate"/>
    </w:r>
    <w:r w:rsidR="008A284B">
      <w:rPr>
        <w:rFonts w:ascii="Arial" w:eastAsia="Arial" w:hAnsi="Arial" w:cs="Arial"/>
        <w:b/>
        <w:noProof/>
        <w:color w:val="002060"/>
        <w:sz w:val="18"/>
        <w:szCs w:val="18"/>
      </w:rPr>
      <w:t>3</w:t>
    </w:r>
    <w:r>
      <w:rPr>
        <w:rFonts w:ascii="Arial" w:eastAsia="Arial" w:hAnsi="Arial" w:cs="Arial"/>
        <w:b/>
        <w:color w:val="002060"/>
        <w:sz w:val="18"/>
        <w:szCs w:val="18"/>
      </w:rPr>
      <w:fldChar w:fldCharType="end"/>
    </w:r>
  </w:p>
  <w:p w14:paraId="20E460A0" w14:textId="77777777" w:rsidR="004458A6" w:rsidRDefault="00000000">
    <w:pPr>
      <w:pBdr>
        <w:top w:val="nil"/>
        <w:left w:val="nil"/>
        <w:bottom w:val="nil"/>
        <w:right w:val="nil"/>
        <w:between w:val="nil"/>
      </w:pBdr>
      <w:tabs>
        <w:tab w:val="center" w:pos="4680"/>
        <w:tab w:val="right" w:pos="9360"/>
      </w:tabs>
      <w:spacing w:after="0" w:line="240" w:lineRule="auto"/>
      <w:rPr>
        <w:rFonts w:ascii="Arial" w:eastAsia="Arial" w:hAnsi="Arial" w:cs="Arial"/>
        <w:b/>
        <w:color w:val="002060"/>
        <w:sz w:val="18"/>
        <w:szCs w:val="18"/>
      </w:rPr>
    </w:pPr>
    <w:r>
      <w:rPr>
        <w:rFonts w:ascii="Arial" w:eastAsia="Arial" w:hAnsi="Arial" w:cs="Arial"/>
        <w:b/>
        <w:color w:val="002060"/>
        <w:sz w:val="18"/>
        <w:szCs w:val="18"/>
      </w:rPr>
      <w:t>Rev. 07/01/2019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D089" w14:textId="77777777" w:rsidR="002E2694" w:rsidRDefault="002E2694">
      <w:pPr>
        <w:spacing w:after="0" w:line="240" w:lineRule="auto"/>
      </w:pPr>
      <w:r>
        <w:separator/>
      </w:r>
    </w:p>
  </w:footnote>
  <w:footnote w:type="continuationSeparator" w:id="0">
    <w:p w14:paraId="248D01AC" w14:textId="77777777" w:rsidR="002E2694" w:rsidRDefault="002E2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7CAF" w14:textId="77777777" w:rsidR="004458A6" w:rsidRDefault="00000000">
    <w:pPr>
      <w:pBdr>
        <w:top w:val="nil"/>
        <w:left w:val="nil"/>
        <w:bottom w:val="nil"/>
        <w:right w:val="nil"/>
        <w:between w:val="nil"/>
      </w:pBdr>
      <w:tabs>
        <w:tab w:val="center" w:pos="4680"/>
        <w:tab w:val="right" w:pos="9360"/>
      </w:tabs>
      <w:spacing w:after="0" w:line="240" w:lineRule="auto"/>
      <w:rPr>
        <w:color w:val="000000"/>
        <w:sz w:val="14"/>
        <w:szCs w:val="14"/>
      </w:rPr>
    </w:pPr>
    <w:r>
      <w:rPr>
        <w:rFonts w:ascii="Arial" w:eastAsia="Arial" w:hAnsi="Arial" w:cs="Arial"/>
        <w:b/>
        <w:color w:val="002060"/>
        <w:sz w:val="14"/>
        <w:szCs w:val="14"/>
      </w:rPr>
      <w:t>Request for Bid – Data Modeling &amp; ETL Consulting Services</w:t>
    </w:r>
    <w:r>
      <w:rPr>
        <w:rFonts w:ascii="Arial" w:eastAsia="Arial" w:hAnsi="Arial" w:cs="Arial"/>
        <w:color w:val="002060"/>
        <w:sz w:val="14"/>
        <w:szCs w:val="14"/>
      </w:rPr>
      <w:tab/>
    </w:r>
    <w:r>
      <w:rPr>
        <w:rFonts w:ascii="Arial" w:eastAsia="Arial" w:hAnsi="Arial" w:cs="Arial"/>
        <w:b/>
        <w:color w:val="002060"/>
        <w:sz w:val="14"/>
        <w:szCs w:val="14"/>
      </w:rPr>
      <w:tab/>
      <w:t>Dated: June 20,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2560A"/>
    <w:multiLevelType w:val="multilevel"/>
    <w:tmpl w:val="1F7C63D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345133AD"/>
    <w:multiLevelType w:val="multilevel"/>
    <w:tmpl w:val="8154D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1925E3"/>
    <w:multiLevelType w:val="multilevel"/>
    <w:tmpl w:val="7F707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A644D1"/>
    <w:multiLevelType w:val="multilevel"/>
    <w:tmpl w:val="AEE8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8761FA"/>
    <w:multiLevelType w:val="multilevel"/>
    <w:tmpl w:val="0F2A088A"/>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num w:numId="1" w16cid:durableId="1516731678">
    <w:abstractNumId w:val="2"/>
  </w:num>
  <w:num w:numId="2" w16cid:durableId="1606575037">
    <w:abstractNumId w:val="1"/>
  </w:num>
  <w:num w:numId="3" w16cid:durableId="1442800314">
    <w:abstractNumId w:val="4"/>
  </w:num>
  <w:num w:numId="4" w16cid:durableId="28143525">
    <w:abstractNumId w:val="3"/>
  </w:num>
  <w:num w:numId="5" w16cid:durableId="203182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6"/>
    <w:rsid w:val="002E2694"/>
    <w:rsid w:val="00301B38"/>
    <w:rsid w:val="004458A6"/>
    <w:rsid w:val="00510DBF"/>
    <w:rsid w:val="008A284B"/>
    <w:rsid w:val="009423DA"/>
    <w:rsid w:val="00EE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13C6"/>
  <w15:docId w15:val="{3049BB7A-9574-4334-B465-3B565F44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basedOn w:val="Normal"/>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character" w:styleId="FollowedHyperlink">
    <w:name w:val="FollowedHyperlink"/>
    <w:basedOn w:val="DefaultParagraphFont"/>
    <w:uiPriority w:val="99"/>
    <w:semiHidden/>
    <w:unhideWhenUsed/>
    <w:rsid w:val="002E0F88"/>
    <w:rPr>
      <w:color w:val="800080"/>
      <w:u w:val="single"/>
    </w:rPr>
  </w:style>
  <w:style w:type="paragraph" w:customStyle="1" w:styleId="msonormal0">
    <w:name w:val="msonormal"/>
    <w:basedOn w:val="Normal"/>
    <w:rsid w:val="002E0F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2E0F88"/>
    <w:pPr>
      <w:spacing w:before="100" w:beforeAutospacing="1" w:after="100" w:afterAutospacing="1" w:line="240" w:lineRule="auto"/>
    </w:pPr>
    <w:rPr>
      <w:rFonts w:ascii="Arial" w:eastAsia="Times New Roman" w:hAnsi="Arial" w:cs="Arial"/>
      <w:b/>
      <w:bCs/>
      <w:sz w:val="16"/>
      <w:szCs w:val="16"/>
    </w:rPr>
  </w:style>
  <w:style w:type="paragraph" w:customStyle="1" w:styleId="xl71">
    <w:name w:val="xl71"/>
    <w:basedOn w:val="Normal"/>
    <w:rsid w:val="002E0F88"/>
    <w:pP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2E0F88"/>
    <w:pPr>
      <w:spacing w:before="100" w:beforeAutospacing="1" w:after="100" w:afterAutospacing="1" w:line="240" w:lineRule="auto"/>
    </w:pPr>
    <w:rPr>
      <w:rFonts w:ascii="Arial" w:eastAsia="Times New Roman" w:hAnsi="Arial" w:cs="Arial"/>
      <w:sz w:val="16"/>
      <w:szCs w:val="16"/>
    </w:rPr>
  </w:style>
  <w:style w:type="paragraph" w:customStyle="1" w:styleId="xl73">
    <w:name w:val="xl73"/>
    <w:basedOn w:val="Normal"/>
    <w:rsid w:val="002E0F88"/>
    <w:pP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Normal"/>
    <w:rsid w:val="002E0F88"/>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2E0F88"/>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rsid w:val="002E0F88"/>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Normal"/>
    <w:rsid w:val="002E0F88"/>
    <w:pPr>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2E0F88"/>
    <w:pPr>
      <w:pBdr>
        <w:top w:val="single" w:sz="12" w:space="0" w:color="000000"/>
        <w:left w:val="single" w:sz="12" w:space="0" w:color="000000"/>
        <w:bottom w:val="single" w:sz="4" w:space="0" w:color="000000"/>
        <w:right w:val="single" w:sz="4" w:space="0" w:color="000000"/>
      </w:pBdr>
      <w:shd w:val="clear" w:color="E2EFD9" w:fill="E2EFD9"/>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83">
    <w:name w:val="xl83"/>
    <w:basedOn w:val="Normal"/>
    <w:rsid w:val="002E0F88"/>
    <w:pPr>
      <w:pBdr>
        <w:top w:val="single" w:sz="12" w:space="0" w:color="000000"/>
        <w:left w:val="single" w:sz="4" w:space="0" w:color="000000"/>
        <w:bottom w:val="single" w:sz="4" w:space="0" w:color="000000"/>
        <w:right w:val="single" w:sz="4" w:space="0" w:color="000000"/>
      </w:pBdr>
      <w:shd w:val="clear" w:color="E2EFD9" w:fill="E2EFD9"/>
      <w:spacing w:before="100" w:beforeAutospacing="1" w:after="100" w:afterAutospacing="1" w:line="240" w:lineRule="auto"/>
    </w:pPr>
    <w:rPr>
      <w:rFonts w:ascii="Arial" w:eastAsia="Times New Roman" w:hAnsi="Arial" w:cs="Arial"/>
      <w:b/>
      <w:bCs/>
      <w:sz w:val="16"/>
      <w:szCs w:val="16"/>
    </w:rPr>
  </w:style>
  <w:style w:type="paragraph" w:customStyle="1" w:styleId="xl84">
    <w:name w:val="xl84"/>
    <w:basedOn w:val="Normal"/>
    <w:rsid w:val="002E0F88"/>
    <w:pPr>
      <w:pBdr>
        <w:top w:val="single" w:sz="12" w:space="0" w:color="000000"/>
        <w:left w:val="single" w:sz="4" w:space="0" w:color="000000"/>
        <w:bottom w:val="single" w:sz="4" w:space="0" w:color="000000"/>
        <w:right w:val="single" w:sz="4" w:space="0" w:color="000000"/>
      </w:pBdr>
      <w:shd w:val="clear" w:color="E2EFD9" w:fill="E2EFD9"/>
      <w:spacing w:before="100" w:beforeAutospacing="1" w:after="100" w:afterAutospacing="1" w:line="240" w:lineRule="auto"/>
    </w:pPr>
    <w:rPr>
      <w:rFonts w:ascii="Arial" w:eastAsia="Times New Roman" w:hAnsi="Arial" w:cs="Arial"/>
      <w:b/>
      <w:bCs/>
      <w:sz w:val="16"/>
      <w:szCs w:val="16"/>
    </w:rPr>
  </w:style>
  <w:style w:type="paragraph" w:customStyle="1" w:styleId="xl85">
    <w:name w:val="xl85"/>
    <w:basedOn w:val="Normal"/>
    <w:rsid w:val="002E0F88"/>
    <w:pPr>
      <w:pBdr>
        <w:top w:val="single" w:sz="12" w:space="0" w:color="000000"/>
        <w:left w:val="single" w:sz="4" w:space="0" w:color="000000"/>
        <w:bottom w:val="single" w:sz="4" w:space="0" w:color="000000"/>
        <w:right w:val="single" w:sz="12" w:space="0" w:color="000000"/>
      </w:pBdr>
      <w:shd w:val="clear" w:color="E2EFD9" w:fill="E2EFD9"/>
      <w:spacing w:before="100" w:beforeAutospacing="1" w:after="100" w:afterAutospacing="1" w:line="240" w:lineRule="auto"/>
      <w:jc w:val="center"/>
    </w:pPr>
    <w:rPr>
      <w:rFonts w:ascii="Arial" w:eastAsia="Times New Roman" w:hAnsi="Arial" w:cs="Arial"/>
      <w:b/>
      <w:bCs/>
      <w:sz w:val="16"/>
      <w:szCs w:val="16"/>
    </w:rPr>
  </w:style>
  <w:style w:type="paragraph" w:customStyle="1" w:styleId="xl86">
    <w:name w:val="xl86"/>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87">
    <w:name w:val="xl87"/>
    <w:basedOn w:val="Normal"/>
    <w:rsid w:val="002E0F88"/>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pPr>
    <w:rPr>
      <w:rFonts w:ascii="Arial" w:eastAsia="Times New Roman" w:hAnsi="Arial" w:cs="Arial"/>
      <w:b/>
      <w:bCs/>
      <w:sz w:val="16"/>
      <w:szCs w:val="16"/>
    </w:rPr>
  </w:style>
  <w:style w:type="paragraph" w:customStyle="1" w:styleId="xl88">
    <w:name w:val="xl88"/>
    <w:basedOn w:val="Normal"/>
    <w:rsid w:val="002E0F88"/>
    <w:pPr>
      <w:pBdr>
        <w:top w:val="single" w:sz="4" w:space="0" w:color="000000"/>
        <w:bottom w:val="single" w:sz="4" w:space="0" w:color="000000"/>
        <w:right w:val="single" w:sz="12" w:space="0" w:color="000000"/>
      </w:pBdr>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0">
    <w:name w:val="xl90"/>
    <w:basedOn w:val="Normal"/>
    <w:rsid w:val="002E0F88"/>
    <w:pPr>
      <w:pBdr>
        <w:top w:val="single" w:sz="4" w:space="0" w:color="000000"/>
        <w:bottom w:val="single" w:sz="12" w:space="0" w:color="000000"/>
        <w:right w:val="single" w:sz="12" w:space="0" w:color="000000"/>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2">
    <w:name w:val="xl92"/>
    <w:basedOn w:val="Normal"/>
    <w:rsid w:val="002E0F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222222"/>
      <w:sz w:val="16"/>
      <w:szCs w:val="16"/>
    </w:rPr>
  </w:style>
  <w:style w:type="paragraph" w:customStyle="1" w:styleId="xl93">
    <w:name w:val="xl93"/>
    <w:basedOn w:val="Normal"/>
    <w:rsid w:val="002E0F88"/>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4">
    <w:name w:val="xl94"/>
    <w:basedOn w:val="Normal"/>
    <w:rsid w:val="002E0F88"/>
    <w:pPr>
      <w:pBdr>
        <w:right w:val="single" w:sz="8" w:space="0" w:color="000000"/>
      </w:pBdr>
      <w:spacing w:before="100" w:beforeAutospacing="1" w:after="100" w:afterAutospacing="1" w:line="240" w:lineRule="auto"/>
      <w:textAlignment w:val="center"/>
    </w:pPr>
    <w:rPr>
      <w:rFonts w:ascii="Arial" w:eastAsia="Times New Roman" w:hAnsi="Arial" w:cs="Arial"/>
      <w:sz w:val="16"/>
      <w:szCs w:val="16"/>
    </w:rPr>
  </w:style>
  <w:style w:type="character" w:customStyle="1" w:styleId="UnresolvedMention1">
    <w:name w:val="Unresolved Mention1"/>
    <w:basedOn w:val="DefaultParagraphFont"/>
    <w:uiPriority w:val="99"/>
    <w:semiHidden/>
    <w:unhideWhenUsed/>
    <w:rsid w:val="00244E62"/>
    <w:rPr>
      <w:color w:val="605E5C"/>
      <w:shd w:val="clear" w:color="auto" w:fill="E1DFDD"/>
    </w:rPr>
  </w:style>
  <w:style w:type="paragraph" w:styleId="Revision">
    <w:name w:val="Revision"/>
    <w:hidden/>
    <w:uiPriority w:val="99"/>
    <w:semiHidden/>
    <w:rsid w:val="00BD6728"/>
    <w:pPr>
      <w:spacing w:after="0" w:line="240" w:lineRule="auto"/>
    </w:pPr>
  </w:style>
  <w:style w:type="paragraph" w:styleId="NoSpacing">
    <w:name w:val="No Spacing"/>
    <w:uiPriority w:val="1"/>
    <w:qFormat/>
    <w:rsid w:val="0011057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ticweb.maine.edu/wp-content/uploads/2015/07/APL_VII-A_20150630-FINAL.pdf?565a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AP3RMR8MbHcB9pshQ8MnEpWQ==">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 Robin</dc:creator>
  <cp:lastModifiedBy>robin.r.cyr@gmail.com</cp:lastModifiedBy>
  <cp:revision>4</cp:revision>
  <cp:lastPrinted>2023-07-20T21:20:00Z</cp:lastPrinted>
  <dcterms:created xsi:type="dcterms:W3CDTF">2021-11-12T16:50:00Z</dcterms:created>
  <dcterms:modified xsi:type="dcterms:W3CDTF">2023-07-20T21:20:00Z</dcterms:modified>
</cp:coreProperties>
</file>