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E1000" w14:textId="5D77B3D4" w:rsidR="00A83362" w:rsidRDefault="00A83362" w:rsidP="005C2FE9">
      <w:pPr>
        <w:pStyle w:val="Title"/>
        <w:spacing w:before="100" w:beforeAutospacing="1"/>
      </w:pPr>
      <w:r>
        <w:rPr>
          <w:noProof/>
        </w:rPr>
        <w:drawing>
          <wp:inline distT="0" distB="0" distL="0" distR="0" wp14:anchorId="4CA7B77C" wp14:editId="0D0FDB2E">
            <wp:extent cx="3459431" cy="4846320"/>
            <wp:effectExtent l="0" t="0" r="8255" b="0"/>
            <wp:docPr id="731528405" name="Picture 731528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28405" name="Picture 73152840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459431" cy="4846320"/>
                    </a:xfrm>
                    <a:prstGeom prst="rect">
                      <a:avLst/>
                    </a:prstGeom>
                  </pic:spPr>
                </pic:pic>
              </a:graphicData>
            </a:graphic>
          </wp:inline>
        </w:drawing>
      </w:r>
    </w:p>
    <w:p w14:paraId="7B789468" w14:textId="77777777" w:rsidR="00A83362" w:rsidRDefault="00A83362" w:rsidP="00A83362">
      <w:pPr>
        <w:pStyle w:val="Title"/>
        <w:spacing w:before="100" w:beforeAutospacing="1"/>
      </w:pPr>
      <w:r>
        <w:t> </w:t>
      </w:r>
    </w:p>
    <w:p w14:paraId="5BE253C3" w14:textId="77777777" w:rsidR="00A83362" w:rsidRPr="00A74468" w:rsidRDefault="00A83362" w:rsidP="00A83362">
      <w:pPr>
        <w:pStyle w:val="Title"/>
        <w:rPr>
          <w:rFonts w:cstheme="minorHAnsi"/>
          <w:b w:val="0"/>
          <w:sz w:val="80"/>
          <w:szCs w:val="80"/>
        </w:rPr>
      </w:pPr>
      <w:r w:rsidRPr="00A74468">
        <w:rPr>
          <w:rFonts w:asciiTheme="minorHAnsi" w:hAnsiTheme="minorHAnsi" w:cstheme="minorHAnsi"/>
          <w:sz w:val="80"/>
          <w:szCs w:val="80"/>
        </w:rPr>
        <w:t>20</w:t>
      </w:r>
      <w:r>
        <w:rPr>
          <w:rFonts w:asciiTheme="minorHAnsi" w:hAnsiTheme="minorHAnsi" w:cstheme="minorHAnsi"/>
          <w:sz w:val="80"/>
          <w:szCs w:val="80"/>
        </w:rPr>
        <w:t>23</w:t>
      </w:r>
    </w:p>
    <w:p w14:paraId="14B454F5" w14:textId="77777777" w:rsidR="00A83362" w:rsidRPr="00A74468" w:rsidRDefault="00A83362" w:rsidP="00A83362">
      <w:pPr>
        <w:pStyle w:val="Title"/>
        <w:rPr>
          <w:rFonts w:cstheme="minorHAnsi"/>
          <w:b w:val="0"/>
          <w:sz w:val="80"/>
          <w:szCs w:val="80"/>
        </w:rPr>
      </w:pPr>
      <w:r w:rsidRPr="00A74468">
        <w:rPr>
          <w:rFonts w:asciiTheme="minorHAnsi" w:hAnsiTheme="minorHAnsi" w:cstheme="minorHAnsi"/>
          <w:sz w:val="80"/>
          <w:szCs w:val="80"/>
        </w:rPr>
        <w:t>University of Maine System</w:t>
      </w:r>
    </w:p>
    <w:p w14:paraId="652BEACE" w14:textId="77777777" w:rsidR="00A83362" w:rsidRPr="00A74468" w:rsidRDefault="00A83362" w:rsidP="00A83362">
      <w:pPr>
        <w:pStyle w:val="Title"/>
        <w:rPr>
          <w:rFonts w:cstheme="minorHAnsi"/>
          <w:sz w:val="80"/>
          <w:szCs w:val="80"/>
        </w:rPr>
      </w:pPr>
      <w:r w:rsidRPr="00A74468">
        <w:rPr>
          <w:rFonts w:asciiTheme="minorHAnsi" w:hAnsiTheme="minorHAnsi" w:cstheme="minorHAnsi"/>
          <w:sz w:val="80"/>
          <w:szCs w:val="80"/>
        </w:rPr>
        <w:t>Annual Financial Report</w:t>
      </w:r>
    </w:p>
    <w:p w14:paraId="60DBDCB1" w14:textId="77777777" w:rsidR="00A83362" w:rsidRPr="007A019F" w:rsidRDefault="00A83362" w:rsidP="00A83362">
      <w:pPr>
        <w:widowControl w:val="0"/>
        <w:rPr>
          <w:szCs w:val="24"/>
        </w:rPr>
      </w:pPr>
      <w:r w:rsidRPr="007A019F">
        <w:t> </w:t>
      </w:r>
    </w:p>
    <w:p w14:paraId="6DAE55CE" w14:textId="77777777" w:rsidR="00A83362" w:rsidRPr="007A019F" w:rsidRDefault="00A83362" w:rsidP="00A83362">
      <w:pPr>
        <w:widowControl w:val="0"/>
        <w:spacing w:before="440"/>
        <w:jc w:val="center"/>
        <w:rPr>
          <w:sz w:val="12"/>
          <w:szCs w:val="24"/>
        </w:rPr>
      </w:pPr>
      <w:r w:rsidRPr="007A019F">
        <w:rPr>
          <w:sz w:val="12"/>
          <w:szCs w:val="24"/>
        </w:rPr>
        <w:t>The University of Maine System is a Component Unit of the State of Maine</w:t>
      </w:r>
    </w:p>
    <w:p w14:paraId="541EA211" w14:textId="77777777" w:rsidR="00A83362" w:rsidRPr="005424BE" w:rsidRDefault="00A83362" w:rsidP="00A83362">
      <w:pPr>
        <w:jc w:val="center"/>
        <w:rPr>
          <w:rFonts w:cs="Tahoma"/>
          <w:color w:val="0D0D0D" w:themeColor="text1" w:themeTint="F2"/>
          <w:sz w:val="12"/>
          <w:szCs w:val="16"/>
        </w:rPr>
      </w:pPr>
      <w:r w:rsidRPr="005424BE">
        <w:rPr>
          <w:rFonts w:cs="Tahoma"/>
          <w:color w:val="0D0D0D" w:themeColor="text1" w:themeTint="F2"/>
          <w:sz w:val="12"/>
          <w:szCs w:val="16"/>
        </w:rPr>
        <w:t>Electronic statements are available at</w:t>
      </w:r>
      <w:r>
        <w:rPr>
          <w:rFonts w:cs="Tahoma"/>
          <w:color w:val="0D0D0D" w:themeColor="text1" w:themeTint="F2"/>
          <w:sz w:val="12"/>
          <w:szCs w:val="16"/>
        </w:rPr>
        <w:t>:</w:t>
      </w:r>
    </w:p>
    <w:p w14:paraId="363C451C" w14:textId="77777777" w:rsidR="00A83362" w:rsidRPr="00DE50BF" w:rsidRDefault="004B7704" w:rsidP="00A83362">
      <w:pPr>
        <w:jc w:val="center"/>
        <w:rPr>
          <w:sz w:val="12"/>
        </w:rPr>
      </w:pPr>
      <w:hyperlink r:id="rId9" w:history="1">
        <w:r w:rsidR="00A83362" w:rsidRPr="00DE50BF">
          <w:rPr>
            <w:rStyle w:val="Hyperlink"/>
            <w:sz w:val="12"/>
          </w:rPr>
          <w:t>https://www.maine.edu/finance/policies-procedures-and-reports/annual-financial-reports/</w:t>
        </w:r>
      </w:hyperlink>
    </w:p>
    <w:p w14:paraId="41342255" w14:textId="77777777" w:rsidR="00A83362" w:rsidRPr="005424BE" w:rsidRDefault="00A83362" w:rsidP="00A83362">
      <w:pPr>
        <w:jc w:val="center"/>
        <w:rPr>
          <w:rFonts w:cs="Tahoma"/>
          <w:color w:val="0D0D0D" w:themeColor="text1" w:themeTint="F2"/>
          <w:sz w:val="12"/>
          <w:szCs w:val="16"/>
        </w:rPr>
      </w:pPr>
      <w:r w:rsidRPr="005424BE">
        <w:rPr>
          <w:rFonts w:cs="Tahoma"/>
          <w:color w:val="0D0D0D" w:themeColor="text1" w:themeTint="F2"/>
          <w:sz w:val="12"/>
          <w:szCs w:val="16"/>
        </w:rPr>
        <w:t>Or by contacting:</w:t>
      </w:r>
    </w:p>
    <w:p w14:paraId="0815E495" w14:textId="77777777" w:rsidR="00A83362" w:rsidRPr="005424BE" w:rsidRDefault="00A83362" w:rsidP="00A83362">
      <w:pPr>
        <w:jc w:val="center"/>
        <w:rPr>
          <w:rFonts w:cs="Tahoma"/>
          <w:color w:val="0D0D0D" w:themeColor="text1" w:themeTint="F2"/>
          <w:sz w:val="12"/>
          <w:szCs w:val="16"/>
        </w:rPr>
      </w:pPr>
      <w:r w:rsidRPr="005424BE">
        <w:rPr>
          <w:rFonts w:cs="Tahoma"/>
          <w:color w:val="0D0D0D" w:themeColor="text1" w:themeTint="F2"/>
          <w:sz w:val="12"/>
          <w:szCs w:val="16"/>
        </w:rPr>
        <w:t>Controller’s Office</w:t>
      </w:r>
    </w:p>
    <w:p w14:paraId="4AEEE977" w14:textId="77777777" w:rsidR="00A83362" w:rsidRDefault="00A83362" w:rsidP="00A83362">
      <w:pPr>
        <w:tabs>
          <w:tab w:val="left" w:pos="720"/>
        </w:tabs>
        <w:autoSpaceDE w:val="0"/>
        <w:autoSpaceDN w:val="0"/>
        <w:adjustRightInd w:val="0"/>
        <w:jc w:val="center"/>
        <w:rPr>
          <w:rFonts w:cs="Tahoma"/>
          <w:color w:val="0D0D0D" w:themeColor="text1" w:themeTint="F2"/>
          <w:sz w:val="12"/>
          <w:szCs w:val="16"/>
        </w:rPr>
      </w:pPr>
      <w:r>
        <w:rPr>
          <w:rFonts w:cs="Tahoma"/>
          <w:color w:val="0D0D0D" w:themeColor="text1" w:themeTint="F2"/>
          <w:sz w:val="12"/>
          <w:szCs w:val="16"/>
        </w:rPr>
        <w:t>65 Texas Ave</w:t>
      </w:r>
    </w:p>
    <w:p w14:paraId="4A7F630E" w14:textId="77777777" w:rsidR="00A83362" w:rsidRDefault="00A83362" w:rsidP="00A83362">
      <w:pPr>
        <w:tabs>
          <w:tab w:val="left" w:pos="720"/>
        </w:tabs>
        <w:autoSpaceDE w:val="0"/>
        <w:autoSpaceDN w:val="0"/>
        <w:adjustRightInd w:val="0"/>
        <w:jc w:val="center"/>
        <w:rPr>
          <w:rFonts w:ascii="Calibri" w:hAnsi="Calibri" w:cs="Tahoma"/>
          <w:sz w:val="56"/>
          <w:szCs w:val="72"/>
        </w:rPr>
        <w:sectPr w:rsidR="00A83362" w:rsidSect="00A83362">
          <w:footerReference w:type="default" r:id="rId10"/>
          <w:type w:val="continuous"/>
          <w:pgSz w:w="12240" w:h="15840" w:code="1"/>
          <w:pgMar w:top="1440" w:right="1440" w:bottom="1440" w:left="1440" w:header="720" w:footer="720" w:gutter="0"/>
          <w:cols w:space="0"/>
          <w:titlePg/>
          <w:docGrid w:linePitch="360"/>
        </w:sectPr>
      </w:pPr>
      <w:r>
        <w:rPr>
          <w:rFonts w:cs="Tahoma"/>
          <w:color w:val="0D0D0D" w:themeColor="text1" w:themeTint="F2"/>
          <w:sz w:val="12"/>
          <w:szCs w:val="16"/>
        </w:rPr>
        <w:t>Bangor ME 04401</w:t>
      </w:r>
    </w:p>
    <w:p w14:paraId="1407EE59" w14:textId="77777777" w:rsidR="00A83362" w:rsidRPr="007F0DC1" w:rsidRDefault="00A83362" w:rsidP="00A83362">
      <w:pPr>
        <w:pBdr>
          <w:top w:val="single" w:sz="6" w:space="6" w:color="5C8C7C"/>
          <w:bottom w:val="single" w:sz="6" w:space="6" w:color="5C8C7C"/>
        </w:pBdr>
        <w:spacing w:after="240"/>
        <w:jc w:val="center"/>
        <w:rPr>
          <w:rFonts w:eastAsiaTheme="majorEastAsia" w:cstheme="majorBidi"/>
          <w:caps/>
          <w:color w:val="5C8C7C"/>
          <w:sz w:val="24"/>
          <w:szCs w:val="24"/>
        </w:rPr>
      </w:pPr>
      <w:bookmarkStart w:id="0" w:name="_gjdgxs" w:colFirst="0" w:colLast="0"/>
      <w:bookmarkEnd w:id="0"/>
      <w:r w:rsidRPr="00706FBE">
        <w:rPr>
          <w:rFonts w:eastAsiaTheme="majorEastAsia" w:cstheme="majorBidi"/>
          <w:caps/>
          <w:color w:val="0D0D0D" w:themeColor="text1" w:themeTint="F2"/>
          <w:sz w:val="24"/>
          <w:szCs w:val="24"/>
        </w:rPr>
        <w:lastRenderedPageBreak/>
        <w:t>NON-DISCRIMINATION NOTICE</w:t>
      </w:r>
    </w:p>
    <w:p w14:paraId="0F4F9324" w14:textId="77777777" w:rsidR="00A83362" w:rsidRDefault="00A83362" w:rsidP="00A83362">
      <w:pPr>
        <w:autoSpaceDE w:val="0"/>
        <w:autoSpaceDN w:val="0"/>
        <w:adjustRightInd w:val="0"/>
        <w:ind w:right="523"/>
        <w:jc w:val="both"/>
        <w:rPr>
          <w:rFonts w:ascii="Calibri" w:hAnsi="Calibri" w:cs="Tahoma"/>
          <w:sz w:val="18"/>
          <w:szCs w:val="18"/>
        </w:rPr>
        <w:sectPr w:rsidR="00A83362" w:rsidSect="0070537E">
          <w:headerReference w:type="default" r:id="rId11"/>
          <w:footerReference w:type="default" r:id="rId12"/>
          <w:type w:val="continuous"/>
          <w:pgSz w:w="12240" w:h="15840" w:code="1"/>
          <w:pgMar w:top="12240" w:right="1440" w:bottom="1440" w:left="1440" w:header="720" w:footer="720" w:gutter="0"/>
          <w:cols w:sep="1" w:space="432"/>
          <w:docGrid w:linePitch="360"/>
        </w:sectPr>
      </w:pPr>
      <w:r w:rsidRPr="00CC42DD">
        <w:rPr>
          <w:rFonts w:ascii="Calibri" w:hAnsi="Calibri" w:cs="Tahoma"/>
          <w:color w:val="000000" w:themeColor="text1"/>
          <w:sz w:val="18"/>
          <w:szCs w:val="18"/>
        </w:rPr>
        <w:t xml:space="preserve">The University of Maine System </w:t>
      </w:r>
      <w:r>
        <w:rPr>
          <w:rFonts w:ascii="Calibri" w:hAnsi="Calibri" w:cs="Tahoma"/>
          <w:color w:val="000000" w:themeColor="text1"/>
          <w:sz w:val="18"/>
          <w:szCs w:val="18"/>
        </w:rPr>
        <w:t xml:space="preserve">is an EEO/AA employer, and </w:t>
      </w:r>
      <w:r w:rsidRPr="00CC42DD">
        <w:rPr>
          <w:rFonts w:ascii="Calibri" w:hAnsi="Calibri" w:cs="Tahoma"/>
          <w:color w:val="000000" w:themeColor="text1"/>
          <w:sz w:val="18"/>
          <w:szCs w:val="18"/>
        </w:rPr>
        <w:t>does not discriminate on the grounds of race, color, religion, sex, sexual orientation, transgender status</w:t>
      </w:r>
      <w:r>
        <w:rPr>
          <w:rFonts w:ascii="Calibri" w:hAnsi="Calibri" w:cs="Tahoma"/>
          <w:color w:val="000000" w:themeColor="text1"/>
          <w:sz w:val="18"/>
          <w:szCs w:val="18"/>
        </w:rPr>
        <w:t xml:space="preserve">, </w:t>
      </w:r>
      <w:r w:rsidRPr="00CC42DD">
        <w:rPr>
          <w:rFonts w:ascii="Calibri" w:hAnsi="Calibri" w:cs="Tahoma"/>
          <w:color w:val="000000" w:themeColor="text1"/>
          <w:sz w:val="18"/>
          <w:szCs w:val="18"/>
        </w:rPr>
        <w:t>gender expression, national origin, citizenship status, age, disability, genetic information or veteran</w:t>
      </w:r>
      <w:r>
        <w:rPr>
          <w:rFonts w:ascii="Calibri" w:hAnsi="Calibri" w:cs="Tahoma"/>
          <w:color w:val="000000" w:themeColor="text1"/>
          <w:sz w:val="18"/>
          <w:szCs w:val="18"/>
        </w:rPr>
        <w:t>’</w:t>
      </w:r>
      <w:r w:rsidRPr="00CC42DD">
        <w:rPr>
          <w:rFonts w:ascii="Calibri" w:hAnsi="Calibri" w:cs="Tahoma"/>
          <w:color w:val="000000" w:themeColor="text1"/>
          <w:sz w:val="18"/>
          <w:szCs w:val="18"/>
        </w:rPr>
        <w:t>s status in employment, education, and all other programs and activities</w:t>
      </w:r>
      <w:r w:rsidRPr="00620AE6">
        <w:rPr>
          <w:rFonts w:ascii="Calibri" w:hAnsi="Calibri" w:cs="Tahoma"/>
          <w:sz w:val="18"/>
          <w:szCs w:val="18"/>
        </w:rPr>
        <w:t>.</w:t>
      </w:r>
      <w:r>
        <w:rPr>
          <w:rFonts w:ascii="Calibri" w:hAnsi="Calibri" w:cs="Tahoma"/>
          <w:sz w:val="18"/>
          <w:szCs w:val="18"/>
        </w:rPr>
        <w:t xml:space="preserve"> The following person has been designated to handle inquiries regarding non-discrimination policies</w:t>
      </w:r>
      <w:r w:rsidRPr="00620AE6">
        <w:rPr>
          <w:rFonts w:ascii="Calibri" w:hAnsi="Calibri" w:cs="Tahoma"/>
          <w:sz w:val="18"/>
          <w:szCs w:val="18"/>
        </w:rPr>
        <w:t xml:space="preserve">: Director of Equal Opportunity, </w:t>
      </w:r>
      <w:r>
        <w:rPr>
          <w:rFonts w:ascii="Calibri" w:hAnsi="Calibri" w:cs="Tahoma"/>
          <w:sz w:val="18"/>
          <w:szCs w:val="18"/>
        </w:rPr>
        <w:t>5703</w:t>
      </w:r>
      <w:r w:rsidRPr="00620AE6">
        <w:rPr>
          <w:rFonts w:ascii="Calibri" w:hAnsi="Calibri" w:cs="Tahoma"/>
          <w:sz w:val="18"/>
          <w:szCs w:val="18"/>
        </w:rPr>
        <w:t xml:space="preserve"> </w:t>
      </w:r>
      <w:r>
        <w:rPr>
          <w:rFonts w:ascii="Calibri" w:hAnsi="Calibri" w:cs="Tahoma"/>
          <w:sz w:val="18"/>
          <w:szCs w:val="18"/>
        </w:rPr>
        <w:t xml:space="preserve">Alumni </w:t>
      </w:r>
      <w:r w:rsidRPr="00620AE6">
        <w:rPr>
          <w:rFonts w:ascii="Calibri" w:hAnsi="Calibri" w:cs="Tahoma"/>
          <w:sz w:val="18"/>
          <w:szCs w:val="18"/>
        </w:rPr>
        <w:t xml:space="preserve">Hall, </w:t>
      </w:r>
      <w:r>
        <w:rPr>
          <w:rFonts w:ascii="Calibri" w:hAnsi="Calibri" w:cs="Tahoma"/>
          <w:sz w:val="18"/>
          <w:szCs w:val="18"/>
        </w:rPr>
        <w:t xml:space="preserve">University of Maine, </w:t>
      </w:r>
      <w:r w:rsidRPr="00620AE6">
        <w:rPr>
          <w:rFonts w:ascii="Calibri" w:hAnsi="Calibri" w:cs="Tahoma"/>
          <w:sz w:val="18"/>
          <w:szCs w:val="18"/>
        </w:rPr>
        <w:t>Orono, ME 04469, 207</w:t>
      </w:r>
      <w:r>
        <w:rPr>
          <w:rFonts w:ascii="Calibri" w:hAnsi="Calibri" w:cs="Tahoma"/>
          <w:sz w:val="18"/>
          <w:szCs w:val="18"/>
        </w:rPr>
        <w:t>.</w:t>
      </w:r>
      <w:r w:rsidRPr="00620AE6">
        <w:rPr>
          <w:rFonts w:ascii="Calibri" w:hAnsi="Calibri" w:cs="Tahoma"/>
          <w:sz w:val="18"/>
          <w:szCs w:val="18"/>
        </w:rPr>
        <w:t>581</w:t>
      </w:r>
      <w:r>
        <w:rPr>
          <w:rFonts w:ascii="Calibri" w:hAnsi="Calibri" w:cs="Tahoma"/>
          <w:sz w:val="18"/>
          <w:szCs w:val="18"/>
        </w:rPr>
        <w:t>.</w:t>
      </w:r>
      <w:r w:rsidRPr="00620AE6">
        <w:rPr>
          <w:rFonts w:ascii="Calibri" w:hAnsi="Calibri" w:cs="Tahoma"/>
          <w:sz w:val="18"/>
          <w:szCs w:val="18"/>
        </w:rPr>
        <w:t>1226, TTY 711 (Maine Relay System)</w:t>
      </w:r>
      <w:r>
        <w:rPr>
          <w:rFonts w:ascii="Calibri" w:hAnsi="Calibri" w:cs="Tahoma"/>
          <w:sz w:val="18"/>
          <w:szCs w:val="18"/>
        </w:rPr>
        <w:t xml:space="preserve"> or by email to: equal.opportunity@maine.edu.</w:t>
      </w:r>
    </w:p>
    <w:p w14:paraId="7ACC9880" w14:textId="77777777" w:rsidR="00A83362" w:rsidRPr="00E73E6E" w:rsidRDefault="00A83362" w:rsidP="00A83362">
      <w:pPr>
        <w:pStyle w:val="Heading4"/>
        <w:tabs>
          <w:tab w:val="clear" w:pos="10620"/>
          <w:tab w:val="left" w:pos="9360"/>
          <w:tab w:val="left" w:pos="10530"/>
        </w:tabs>
        <w:spacing w:after="240"/>
        <w:rPr>
          <w:b/>
          <w:sz w:val="28"/>
        </w:rPr>
      </w:pPr>
      <w:r w:rsidRPr="00E73E6E">
        <w:rPr>
          <w:b/>
          <w:sz w:val="28"/>
        </w:rPr>
        <w:lastRenderedPageBreak/>
        <w:t>TABLE OF CONTENTS</w:t>
      </w:r>
    </w:p>
    <w:tbl>
      <w:tblPr>
        <w:tblStyle w:val="TableGrid"/>
        <w:tblW w:w="9360" w:type="dxa"/>
        <w:tblLook w:val="04A0" w:firstRow="1" w:lastRow="0" w:firstColumn="1" w:lastColumn="0" w:noHBand="0" w:noVBand="1"/>
        <w:tblCaption w:val="Table of Contents"/>
        <w:tblDescription w:val="Chancellor's Letter page 4&#10;Board of Trustees and Management page 5&#10;Independent Auditor's Report page 6&#10;Management's Discussion and Analysis page 9&#10;Statements of Net Position page 34&#10;Statements of Financial Position - Discretely Presented Component Unit page 35&#10;Statements of Revenues, Expenses and Changes in Net Position page 36&#10;Statements of Activities - Discretely Presented Component Unit page 37&#10;Statements of Cash Flows page 38&#10;Notes to Financial Statements page 40&#10;Required Supplemental Information - Retirement and Other than Pension Employee Benefits (OPEB) page 84&#10;Supplemental Information Required by the State of Maine page 92&#10;Independent Auditor's Report on Internal Control over Financial Reporting and on Compliance and Other Matters Based on an Audit of Financial Statements Performed in Accordance with Government Auditing Standards page 93"/>
      </w:tblPr>
      <w:tblGrid>
        <w:gridCol w:w="8672"/>
        <w:gridCol w:w="688"/>
      </w:tblGrid>
      <w:tr w:rsidR="00A83362" w14:paraId="1423DCC5" w14:textId="77777777" w:rsidTr="0070537E">
        <w:trPr>
          <w:tblHeader/>
        </w:trPr>
        <w:tc>
          <w:tcPr>
            <w:tcW w:w="8672" w:type="dxa"/>
            <w:tcBorders>
              <w:top w:val="nil"/>
              <w:left w:val="nil"/>
              <w:bottom w:val="nil"/>
              <w:right w:val="nil"/>
            </w:tcBorders>
          </w:tcPr>
          <w:p w14:paraId="16037132" w14:textId="77777777" w:rsidR="00A83362" w:rsidRPr="00892DE0" w:rsidRDefault="00A83362" w:rsidP="0070537E">
            <w:pPr>
              <w:spacing w:before="120" w:after="120"/>
              <w:jc w:val="both"/>
              <w:rPr>
                <w:rFonts w:ascii="Calibri" w:eastAsia="Times New Roman" w:hAnsi="Calibri" w:cs="Tahoma"/>
                <w:sz w:val="24"/>
                <w:szCs w:val="24"/>
              </w:rPr>
            </w:pPr>
          </w:p>
        </w:tc>
        <w:tc>
          <w:tcPr>
            <w:tcW w:w="688" w:type="dxa"/>
            <w:tcBorders>
              <w:top w:val="nil"/>
              <w:left w:val="nil"/>
              <w:bottom w:val="nil"/>
              <w:right w:val="nil"/>
            </w:tcBorders>
          </w:tcPr>
          <w:p w14:paraId="1D1A4709"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0"/>
              </w:rPr>
              <w:t>Page</w:t>
            </w:r>
          </w:p>
        </w:tc>
      </w:tr>
      <w:tr w:rsidR="00A83362" w14:paraId="5ED3A7EA" w14:textId="77777777" w:rsidTr="0070537E">
        <w:trPr>
          <w:trHeight w:val="909"/>
        </w:trPr>
        <w:tc>
          <w:tcPr>
            <w:tcW w:w="8672" w:type="dxa"/>
            <w:tcBorders>
              <w:top w:val="nil"/>
              <w:left w:val="nil"/>
              <w:bottom w:val="nil"/>
              <w:right w:val="nil"/>
            </w:tcBorders>
            <w:vAlign w:val="bottom"/>
          </w:tcPr>
          <w:p w14:paraId="3ED92365" w14:textId="204C02DE"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Chancellor’s Letter…………………………………………………………………………………………………</w:t>
            </w:r>
            <w:r w:rsidR="00C93493">
              <w:rPr>
                <w:rFonts w:ascii="Calibri" w:eastAsia="Times New Roman" w:hAnsi="Calibri" w:cs="Tahoma"/>
                <w:sz w:val="24"/>
                <w:szCs w:val="24"/>
              </w:rPr>
              <w:t>….</w:t>
            </w:r>
            <w:r w:rsidR="00F446DD">
              <w:rPr>
                <w:rFonts w:ascii="Calibri" w:eastAsia="Times New Roman" w:hAnsi="Calibri" w:cs="Tahoma"/>
                <w:sz w:val="24"/>
                <w:szCs w:val="24"/>
              </w:rPr>
              <w:t>.</w:t>
            </w:r>
          </w:p>
        </w:tc>
        <w:tc>
          <w:tcPr>
            <w:tcW w:w="688" w:type="dxa"/>
            <w:tcBorders>
              <w:top w:val="nil"/>
              <w:left w:val="nil"/>
              <w:bottom w:val="nil"/>
              <w:right w:val="nil"/>
            </w:tcBorders>
            <w:vAlign w:val="bottom"/>
          </w:tcPr>
          <w:p w14:paraId="2B2FAB84" w14:textId="77777777" w:rsidR="00A83362" w:rsidRPr="00892DE0" w:rsidRDefault="00A83362" w:rsidP="0070537E">
            <w:pPr>
              <w:spacing w:before="120" w:after="120"/>
              <w:jc w:val="right"/>
              <w:rPr>
                <w:rFonts w:ascii="Calibri" w:eastAsia="Times New Roman" w:hAnsi="Calibri" w:cs="Tahoma"/>
                <w:sz w:val="24"/>
                <w:szCs w:val="24"/>
              </w:rPr>
            </w:pPr>
            <w:r w:rsidRPr="00892DE0">
              <w:rPr>
                <w:rFonts w:ascii="Calibri" w:eastAsia="Times New Roman" w:hAnsi="Calibri" w:cs="Tahoma"/>
                <w:sz w:val="24"/>
                <w:szCs w:val="24"/>
              </w:rPr>
              <w:t>4</w:t>
            </w:r>
          </w:p>
        </w:tc>
      </w:tr>
      <w:tr w:rsidR="00A83362" w14:paraId="43479452" w14:textId="77777777" w:rsidTr="0070537E">
        <w:tc>
          <w:tcPr>
            <w:tcW w:w="8672" w:type="dxa"/>
            <w:tcBorders>
              <w:top w:val="nil"/>
              <w:left w:val="nil"/>
              <w:bottom w:val="nil"/>
              <w:right w:val="nil"/>
            </w:tcBorders>
          </w:tcPr>
          <w:p w14:paraId="78DDA85A" w14:textId="21897520"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Board of Trustees and Management…………………………………………………………………</w:t>
            </w:r>
            <w:proofErr w:type="gramStart"/>
            <w:r w:rsidRPr="00892DE0">
              <w:rPr>
                <w:rFonts w:ascii="Calibri" w:eastAsia="Times New Roman" w:hAnsi="Calibri" w:cs="Tahoma"/>
                <w:sz w:val="24"/>
                <w:szCs w:val="24"/>
              </w:rPr>
              <w:t>…</w:t>
            </w:r>
            <w:r>
              <w:rPr>
                <w:rFonts w:ascii="Calibri" w:eastAsia="Times New Roman" w:hAnsi="Calibri" w:cs="Tahoma"/>
                <w:sz w:val="24"/>
                <w:szCs w:val="24"/>
              </w:rPr>
              <w:t>..</w:t>
            </w:r>
            <w:proofErr w:type="gramEnd"/>
            <w:r w:rsidRPr="00892DE0">
              <w:rPr>
                <w:rFonts w:ascii="Calibri" w:eastAsia="Times New Roman" w:hAnsi="Calibri" w:cs="Tahoma"/>
                <w:sz w:val="24"/>
                <w:szCs w:val="24"/>
              </w:rPr>
              <w:t>…</w:t>
            </w:r>
            <w:r w:rsidR="00C93493">
              <w:rPr>
                <w:rFonts w:ascii="Calibri" w:eastAsia="Times New Roman" w:hAnsi="Calibri" w:cs="Tahoma"/>
                <w:sz w:val="24"/>
                <w:szCs w:val="24"/>
              </w:rPr>
              <w:t>.</w:t>
            </w:r>
            <w:r w:rsidR="00F446DD">
              <w:rPr>
                <w:rFonts w:ascii="Calibri" w:eastAsia="Times New Roman" w:hAnsi="Calibri" w:cs="Tahoma"/>
                <w:sz w:val="24"/>
                <w:szCs w:val="24"/>
              </w:rPr>
              <w:t>.</w:t>
            </w:r>
          </w:p>
        </w:tc>
        <w:tc>
          <w:tcPr>
            <w:tcW w:w="688" w:type="dxa"/>
            <w:tcBorders>
              <w:top w:val="nil"/>
              <w:left w:val="nil"/>
              <w:bottom w:val="nil"/>
              <w:right w:val="nil"/>
            </w:tcBorders>
          </w:tcPr>
          <w:p w14:paraId="6A90778F"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6</w:t>
            </w:r>
          </w:p>
        </w:tc>
      </w:tr>
      <w:tr w:rsidR="00A83362" w14:paraId="4CFFE8FE" w14:textId="77777777" w:rsidTr="0070537E">
        <w:tc>
          <w:tcPr>
            <w:tcW w:w="8672" w:type="dxa"/>
            <w:tcBorders>
              <w:top w:val="nil"/>
              <w:left w:val="nil"/>
              <w:bottom w:val="nil"/>
              <w:right w:val="nil"/>
            </w:tcBorders>
          </w:tcPr>
          <w:p w14:paraId="2C11F2CB" w14:textId="08705DF4"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Independent Auditor’s Report…………………………………………………………………………</w:t>
            </w:r>
            <w:proofErr w:type="gramStart"/>
            <w:r w:rsidRPr="00892DE0">
              <w:rPr>
                <w:rFonts w:ascii="Calibri" w:eastAsia="Times New Roman" w:hAnsi="Calibri" w:cs="Tahoma"/>
                <w:sz w:val="24"/>
                <w:szCs w:val="24"/>
              </w:rPr>
              <w:t>…</w:t>
            </w:r>
            <w:r>
              <w:rPr>
                <w:rFonts w:ascii="Calibri" w:eastAsia="Times New Roman" w:hAnsi="Calibri" w:cs="Tahoma"/>
                <w:sz w:val="24"/>
                <w:szCs w:val="24"/>
              </w:rPr>
              <w:t>..</w:t>
            </w:r>
            <w:proofErr w:type="gramEnd"/>
            <w:r w:rsidRPr="00892DE0">
              <w:rPr>
                <w:rFonts w:ascii="Calibri" w:eastAsia="Times New Roman" w:hAnsi="Calibri" w:cs="Tahoma"/>
                <w:sz w:val="24"/>
                <w:szCs w:val="24"/>
              </w:rPr>
              <w:t>…</w:t>
            </w:r>
            <w:r w:rsidR="00C93493">
              <w:rPr>
                <w:rFonts w:ascii="Calibri" w:eastAsia="Times New Roman" w:hAnsi="Calibri" w:cs="Tahoma"/>
                <w:sz w:val="24"/>
                <w:szCs w:val="24"/>
              </w:rPr>
              <w:t>…</w:t>
            </w:r>
            <w:r w:rsidR="00F446DD">
              <w:rPr>
                <w:rFonts w:ascii="Calibri" w:eastAsia="Times New Roman" w:hAnsi="Calibri" w:cs="Tahoma"/>
                <w:sz w:val="24"/>
                <w:szCs w:val="24"/>
              </w:rPr>
              <w:t>.</w:t>
            </w:r>
          </w:p>
        </w:tc>
        <w:tc>
          <w:tcPr>
            <w:tcW w:w="688" w:type="dxa"/>
            <w:tcBorders>
              <w:top w:val="nil"/>
              <w:left w:val="nil"/>
              <w:bottom w:val="nil"/>
              <w:right w:val="nil"/>
            </w:tcBorders>
          </w:tcPr>
          <w:p w14:paraId="479C29E4"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7</w:t>
            </w:r>
          </w:p>
        </w:tc>
      </w:tr>
      <w:tr w:rsidR="00A83362" w14:paraId="43FC921D" w14:textId="77777777" w:rsidTr="0070537E">
        <w:tc>
          <w:tcPr>
            <w:tcW w:w="8672" w:type="dxa"/>
            <w:tcBorders>
              <w:top w:val="nil"/>
              <w:left w:val="nil"/>
              <w:bottom w:val="nil"/>
              <w:right w:val="nil"/>
            </w:tcBorders>
          </w:tcPr>
          <w:p w14:paraId="109A37F6" w14:textId="3185EFD0"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Management’s Discussion and Analysis……………………………………………………………………</w:t>
            </w:r>
            <w:r w:rsidR="00F446DD">
              <w:rPr>
                <w:rFonts w:ascii="Calibri" w:eastAsia="Times New Roman" w:hAnsi="Calibri" w:cs="Tahoma"/>
                <w:sz w:val="24"/>
                <w:szCs w:val="24"/>
              </w:rPr>
              <w:t>.</w:t>
            </w:r>
            <w:r w:rsidR="00C93493">
              <w:rPr>
                <w:rFonts w:ascii="Calibri" w:eastAsia="Times New Roman" w:hAnsi="Calibri" w:cs="Tahoma"/>
                <w:sz w:val="24"/>
                <w:szCs w:val="24"/>
              </w:rPr>
              <w:t xml:space="preserve">.  </w:t>
            </w:r>
          </w:p>
        </w:tc>
        <w:tc>
          <w:tcPr>
            <w:tcW w:w="688" w:type="dxa"/>
            <w:tcBorders>
              <w:top w:val="nil"/>
              <w:left w:val="nil"/>
              <w:bottom w:val="nil"/>
              <w:right w:val="nil"/>
            </w:tcBorders>
          </w:tcPr>
          <w:p w14:paraId="07618A20"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11</w:t>
            </w:r>
          </w:p>
        </w:tc>
      </w:tr>
      <w:tr w:rsidR="00A83362" w14:paraId="74C8088D" w14:textId="77777777" w:rsidTr="0070537E">
        <w:tc>
          <w:tcPr>
            <w:tcW w:w="8672" w:type="dxa"/>
            <w:tcBorders>
              <w:top w:val="nil"/>
              <w:left w:val="nil"/>
              <w:bottom w:val="nil"/>
              <w:right w:val="nil"/>
            </w:tcBorders>
          </w:tcPr>
          <w:p w14:paraId="4B7E4DFB" w14:textId="77777777"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Financial Statements</w:t>
            </w:r>
            <w:r>
              <w:rPr>
                <w:rFonts w:ascii="Calibri" w:eastAsia="Times New Roman" w:hAnsi="Calibri" w:cs="Tahoma"/>
                <w:sz w:val="24"/>
                <w:szCs w:val="24"/>
              </w:rPr>
              <w:t>:</w:t>
            </w:r>
          </w:p>
        </w:tc>
        <w:tc>
          <w:tcPr>
            <w:tcW w:w="688" w:type="dxa"/>
            <w:tcBorders>
              <w:top w:val="nil"/>
              <w:left w:val="nil"/>
              <w:bottom w:val="nil"/>
              <w:right w:val="nil"/>
            </w:tcBorders>
          </w:tcPr>
          <w:p w14:paraId="47828228" w14:textId="77777777" w:rsidR="00A83362" w:rsidRPr="00892DE0" w:rsidRDefault="00A83362" w:rsidP="0070537E">
            <w:pPr>
              <w:spacing w:before="120" w:after="120"/>
              <w:jc w:val="right"/>
              <w:rPr>
                <w:rFonts w:ascii="Calibri" w:eastAsia="Times New Roman" w:hAnsi="Calibri" w:cs="Tahoma"/>
                <w:sz w:val="24"/>
                <w:szCs w:val="24"/>
              </w:rPr>
            </w:pPr>
          </w:p>
        </w:tc>
      </w:tr>
      <w:tr w:rsidR="00A83362" w14:paraId="54B2A4C3" w14:textId="77777777" w:rsidTr="0070537E">
        <w:tc>
          <w:tcPr>
            <w:tcW w:w="8672" w:type="dxa"/>
            <w:tcBorders>
              <w:top w:val="nil"/>
              <w:left w:val="nil"/>
              <w:bottom w:val="nil"/>
              <w:right w:val="nil"/>
            </w:tcBorders>
          </w:tcPr>
          <w:p w14:paraId="38FD0920" w14:textId="5C49E225" w:rsidR="00A83362" w:rsidRPr="00892DE0" w:rsidRDefault="00A83362" w:rsidP="0070537E">
            <w:pPr>
              <w:spacing w:before="120" w:after="120"/>
              <w:ind w:firstLine="257"/>
              <w:rPr>
                <w:rFonts w:ascii="Calibri" w:hAnsi="Calibri" w:cs="Tahoma"/>
              </w:rPr>
            </w:pPr>
            <w:r w:rsidRPr="00892DE0">
              <w:rPr>
                <w:rFonts w:ascii="Calibri" w:hAnsi="Calibri" w:cs="Tahoma"/>
                <w:sz w:val="24"/>
                <w:szCs w:val="24"/>
              </w:rPr>
              <w:t>Statements of Net Position………………………………………………………………………………</w:t>
            </w:r>
            <w:r>
              <w:rPr>
                <w:rFonts w:ascii="Calibri" w:hAnsi="Calibri" w:cs="Tahoma"/>
                <w:sz w:val="24"/>
                <w:szCs w:val="24"/>
              </w:rPr>
              <w:t>…</w:t>
            </w:r>
            <w:r w:rsidRPr="00892DE0">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5E53ECDC"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41</w:t>
            </w:r>
          </w:p>
        </w:tc>
      </w:tr>
      <w:tr w:rsidR="00A83362" w14:paraId="6CA786A8" w14:textId="77777777" w:rsidTr="0070537E">
        <w:tc>
          <w:tcPr>
            <w:tcW w:w="8672" w:type="dxa"/>
            <w:tcBorders>
              <w:top w:val="nil"/>
              <w:left w:val="nil"/>
              <w:bottom w:val="nil"/>
              <w:right w:val="nil"/>
            </w:tcBorders>
          </w:tcPr>
          <w:p w14:paraId="6467BBCF" w14:textId="74C9887B" w:rsidR="00A83362" w:rsidRPr="00892DE0" w:rsidRDefault="00A83362" w:rsidP="0070537E">
            <w:pPr>
              <w:spacing w:before="120" w:after="120"/>
              <w:ind w:firstLine="257"/>
              <w:rPr>
                <w:rFonts w:ascii="Calibri" w:hAnsi="Calibri" w:cs="Tahoma"/>
              </w:rPr>
            </w:pPr>
            <w:r w:rsidRPr="00892DE0">
              <w:rPr>
                <w:rFonts w:ascii="Calibri" w:hAnsi="Calibri" w:cs="Tahoma"/>
                <w:sz w:val="24"/>
                <w:szCs w:val="24"/>
              </w:rPr>
              <w:t>Statements of Financial Position – Discretely Presented Component Unit…………</w:t>
            </w:r>
            <w:r w:rsidR="00C93493">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7A9CCE69"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42</w:t>
            </w:r>
          </w:p>
        </w:tc>
      </w:tr>
      <w:tr w:rsidR="00A83362" w14:paraId="16EC098C" w14:textId="77777777" w:rsidTr="0070537E">
        <w:tc>
          <w:tcPr>
            <w:tcW w:w="8672" w:type="dxa"/>
            <w:tcBorders>
              <w:top w:val="nil"/>
              <w:left w:val="nil"/>
              <w:bottom w:val="nil"/>
              <w:right w:val="nil"/>
            </w:tcBorders>
          </w:tcPr>
          <w:p w14:paraId="71E5C640" w14:textId="6599E579" w:rsidR="00A83362" w:rsidRPr="00892DE0" w:rsidRDefault="00A83362" w:rsidP="00C93493">
            <w:pPr>
              <w:spacing w:before="120" w:after="120"/>
              <w:ind w:firstLine="257"/>
              <w:rPr>
                <w:rFonts w:ascii="Calibri" w:hAnsi="Calibri" w:cs="Tahoma"/>
              </w:rPr>
            </w:pPr>
            <w:r w:rsidRPr="00892DE0">
              <w:rPr>
                <w:rFonts w:ascii="Calibri" w:hAnsi="Calibri" w:cs="Tahoma"/>
                <w:sz w:val="24"/>
                <w:szCs w:val="24"/>
              </w:rPr>
              <w:t>Statements of Revenues, Expenses and Changes in Net Position……………………</w:t>
            </w:r>
            <w:r>
              <w:rPr>
                <w:rFonts w:ascii="Calibri" w:hAnsi="Calibri" w:cs="Tahoma"/>
                <w:sz w:val="24"/>
                <w:szCs w:val="24"/>
              </w:rPr>
              <w:t>.</w:t>
            </w:r>
            <w:r w:rsidRPr="00892DE0">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16F382C2"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43</w:t>
            </w:r>
          </w:p>
        </w:tc>
      </w:tr>
      <w:tr w:rsidR="00A83362" w14:paraId="3503F565" w14:textId="77777777" w:rsidTr="0070537E">
        <w:tc>
          <w:tcPr>
            <w:tcW w:w="8672" w:type="dxa"/>
            <w:tcBorders>
              <w:top w:val="nil"/>
              <w:left w:val="nil"/>
              <w:bottom w:val="nil"/>
              <w:right w:val="nil"/>
            </w:tcBorders>
          </w:tcPr>
          <w:p w14:paraId="7836F4C1" w14:textId="5F974E26" w:rsidR="00A83362" w:rsidRPr="00892DE0" w:rsidRDefault="00A83362" w:rsidP="00C93493">
            <w:pPr>
              <w:spacing w:before="120" w:after="120"/>
              <w:ind w:firstLine="257"/>
              <w:rPr>
                <w:rFonts w:ascii="Calibri" w:hAnsi="Calibri" w:cs="Tahoma"/>
              </w:rPr>
            </w:pPr>
            <w:r w:rsidRPr="00892DE0">
              <w:rPr>
                <w:rFonts w:ascii="Calibri" w:hAnsi="Calibri" w:cs="Tahoma"/>
                <w:sz w:val="24"/>
                <w:szCs w:val="24"/>
              </w:rPr>
              <w:t>Statements of Activities – Discretely Presented Component Unit…………………………</w:t>
            </w:r>
            <w:r w:rsidR="00F446DD">
              <w:rPr>
                <w:rFonts w:ascii="Calibri" w:hAnsi="Calibri" w:cs="Tahoma"/>
                <w:sz w:val="24"/>
                <w:szCs w:val="24"/>
              </w:rPr>
              <w:t>..</w:t>
            </w:r>
          </w:p>
        </w:tc>
        <w:tc>
          <w:tcPr>
            <w:tcW w:w="688" w:type="dxa"/>
            <w:tcBorders>
              <w:top w:val="nil"/>
              <w:left w:val="nil"/>
              <w:bottom w:val="nil"/>
              <w:right w:val="nil"/>
            </w:tcBorders>
          </w:tcPr>
          <w:p w14:paraId="6F589974"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44</w:t>
            </w:r>
          </w:p>
        </w:tc>
      </w:tr>
      <w:tr w:rsidR="00A83362" w14:paraId="0E8C14F1" w14:textId="77777777" w:rsidTr="0070537E">
        <w:tc>
          <w:tcPr>
            <w:tcW w:w="8672" w:type="dxa"/>
            <w:tcBorders>
              <w:top w:val="nil"/>
              <w:left w:val="nil"/>
              <w:bottom w:val="nil"/>
              <w:right w:val="nil"/>
            </w:tcBorders>
          </w:tcPr>
          <w:p w14:paraId="73EA0013" w14:textId="73138C29" w:rsidR="00A83362" w:rsidRPr="00892DE0" w:rsidRDefault="00A83362" w:rsidP="00F446DD">
            <w:pPr>
              <w:spacing w:before="120" w:after="120"/>
              <w:ind w:firstLine="257"/>
              <w:rPr>
                <w:rFonts w:ascii="Calibri" w:hAnsi="Calibri" w:cs="Tahoma"/>
              </w:rPr>
            </w:pPr>
            <w:r w:rsidRPr="00892DE0">
              <w:rPr>
                <w:rFonts w:ascii="Calibri" w:hAnsi="Calibri" w:cs="Tahoma"/>
                <w:sz w:val="24"/>
                <w:szCs w:val="24"/>
              </w:rPr>
              <w:t>Statements of Cash Flows……………………………………………………………………………</w:t>
            </w:r>
            <w:proofErr w:type="gramStart"/>
            <w:r w:rsidRPr="00892DE0">
              <w:rPr>
                <w:rFonts w:ascii="Calibri" w:hAnsi="Calibri" w:cs="Tahoma"/>
                <w:sz w:val="24"/>
                <w:szCs w:val="24"/>
              </w:rPr>
              <w:t>…</w:t>
            </w:r>
            <w:r>
              <w:rPr>
                <w:rFonts w:ascii="Calibri" w:hAnsi="Calibri" w:cs="Tahoma"/>
                <w:sz w:val="24"/>
                <w:szCs w:val="24"/>
              </w:rPr>
              <w:t>..</w:t>
            </w:r>
            <w:proofErr w:type="gramEnd"/>
            <w:r w:rsidRPr="00892DE0">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7311D7AE"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45</w:t>
            </w:r>
          </w:p>
        </w:tc>
      </w:tr>
      <w:tr w:rsidR="00A83362" w14:paraId="6976D89E" w14:textId="77777777" w:rsidTr="0070537E">
        <w:tc>
          <w:tcPr>
            <w:tcW w:w="8672" w:type="dxa"/>
            <w:tcBorders>
              <w:top w:val="nil"/>
              <w:left w:val="nil"/>
              <w:bottom w:val="nil"/>
              <w:right w:val="nil"/>
            </w:tcBorders>
          </w:tcPr>
          <w:p w14:paraId="2F0C163A" w14:textId="4E5AA56F" w:rsidR="00A83362" w:rsidRPr="00892DE0" w:rsidRDefault="00A83362" w:rsidP="0070537E">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Fiduciary Net Position</w:t>
            </w:r>
            <w:r w:rsidRPr="00892DE0">
              <w:rPr>
                <w:rFonts w:ascii="Calibri" w:hAnsi="Calibri" w:cs="Tahoma"/>
                <w:sz w:val="24"/>
                <w:szCs w:val="24"/>
              </w:rPr>
              <w:t>…………………………………………………………</w:t>
            </w:r>
            <w:proofErr w:type="gramStart"/>
            <w:r w:rsidRPr="00892DE0">
              <w:rPr>
                <w:rFonts w:ascii="Calibri" w:hAnsi="Calibri" w:cs="Tahoma"/>
                <w:sz w:val="24"/>
                <w:szCs w:val="24"/>
              </w:rPr>
              <w:t>…</w:t>
            </w:r>
            <w:r>
              <w:rPr>
                <w:rFonts w:ascii="Calibri" w:hAnsi="Calibri" w:cs="Tahoma"/>
                <w:sz w:val="24"/>
                <w:szCs w:val="24"/>
              </w:rPr>
              <w:t>..</w:t>
            </w:r>
            <w:proofErr w:type="gramEnd"/>
            <w:r w:rsidRPr="00892DE0">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7DBD7D24"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47</w:t>
            </w:r>
          </w:p>
        </w:tc>
      </w:tr>
      <w:tr w:rsidR="00A83362" w14:paraId="516928E1" w14:textId="77777777" w:rsidTr="0070537E">
        <w:tc>
          <w:tcPr>
            <w:tcW w:w="8672" w:type="dxa"/>
            <w:tcBorders>
              <w:top w:val="nil"/>
              <w:left w:val="nil"/>
              <w:bottom w:val="nil"/>
              <w:right w:val="nil"/>
            </w:tcBorders>
          </w:tcPr>
          <w:p w14:paraId="0F61200F" w14:textId="5D523F4C" w:rsidR="00A83362" w:rsidRPr="00892DE0" w:rsidRDefault="00A83362" w:rsidP="0070537E">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Changes in Fiduciary Net Position</w:t>
            </w:r>
            <w:r w:rsidRPr="00892DE0">
              <w:rPr>
                <w:rFonts w:ascii="Calibri" w:hAnsi="Calibri" w:cs="Tahoma"/>
                <w:sz w:val="24"/>
                <w:szCs w:val="24"/>
              </w:rPr>
              <w:t>………</w:t>
            </w:r>
            <w:r>
              <w:rPr>
                <w:rFonts w:ascii="Calibri" w:hAnsi="Calibri" w:cs="Tahoma"/>
                <w:sz w:val="24"/>
                <w:szCs w:val="24"/>
              </w:rPr>
              <w:t>…………………………………</w:t>
            </w:r>
            <w:proofErr w:type="gramStart"/>
            <w:r>
              <w:rPr>
                <w:rFonts w:ascii="Calibri" w:hAnsi="Calibri" w:cs="Tahoma"/>
                <w:sz w:val="24"/>
                <w:szCs w:val="24"/>
              </w:rPr>
              <w:t>…..</w:t>
            </w:r>
            <w:proofErr w:type="gramEnd"/>
            <w:r w:rsidRPr="00892DE0">
              <w:rPr>
                <w:rFonts w:ascii="Calibri" w:hAnsi="Calibri" w:cs="Tahoma"/>
                <w:sz w:val="24"/>
                <w:szCs w:val="24"/>
              </w:rPr>
              <w:t>…</w:t>
            </w:r>
            <w:r w:rsidR="00F446DD">
              <w:rPr>
                <w:rFonts w:ascii="Calibri" w:hAnsi="Calibri" w:cs="Tahoma"/>
                <w:sz w:val="24"/>
                <w:szCs w:val="24"/>
              </w:rPr>
              <w:t>….</w:t>
            </w:r>
          </w:p>
        </w:tc>
        <w:tc>
          <w:tcPr>
            <w:tcW w:w="688" w:type="dxa"/>
            <w:tcBorders>
              <w:top w:val="nil"/>
              <w:left w:val="nil"/>
              <w:bottom w:val="nil"/>
              <w:right w:val="nil"/>
            </w:tcBorders>
          </w:tcPr>
          <w:p w14:paraId="1C17A031"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48</w:t>
            </w:r>
          </w:p>
        </w:tc>
      </w:tr>
      <w:tr w:rsidR="00A83362" w14:paraId="2D058580" w14:textId="77777777" w:rsidTr="0070537E">
        <w:tc>
          <w:tcPr>
            <w:tcW w:w="8672" w:type="dxa"/>
            <w:tcBorders>
              <w:top w:val="nil"/>
              <w:left w:val="nil"/>
              <w:bottom w:val="nil"/>
              <w:right w:val="nil"/>
            </w:tcBorders>
          </w:tcPr>
          <w:p w14:paraId="4A52189A" w14:textId="67ABFE72"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Notes to Financial Statements…………………………………………………………………………</w:t>
            </w:r>
            <w:r>
              <w:rPr>
                <w:rFonts w:ascii="Calibri" w:eastAsia="Times New Roman" w:hAnsi="Calibri" w:cs="Tahoma"/>
                <w:sz w:val="24"/>
                <w:szCs w:val="24"/>
              </w:rPr>
              <w:t>….</w:t>
            </w:r>
            <w:r w:rsidRPr="00892DE0">
              <w:rPr>
                <w:rFonts w:ascii="Calibri" w:eastAsia="Times New Roman" w:hAnsi="Calibri" w:cs="Tahoma"/>
                <w:sz w:val="24"/>
                <w:szCs w:val="24"/>
              </w:rPr>
              <w:t>…….</w:t>
            </w:r>
            <w:r w:rsidR="00F446DD">
              <w:rPr>
                <w:rFonts w:ascii="Calibri" w:eastAsia="Times New Roman" w:hAnsi="Calibri" w:cs="Tahoma"/>
                <w:sz w:val="24"/>
                <w:szCs w:val="24"/>
              </w:rPr>
              <w:t>.</w:t>
            </w:r>
          </w:p>
        </w:tc>
        <w:tc>
          <w:tcPr>
            <w:tcW w:w="688" w:type="dxa"/>
            <w:tcBorders>
              <w:top w:val="nil"/>
              <w:left w:val="nil"/>
              <w:bottom w:val="nil"/>
              <w:right w:val="nil"/>
            </w:tcBorders>
          </w:tcPr>
          <w:p w14:paraId="4A86B61E" w14:textId="77777777"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49</w:t>
            </w:r>
          </w:p>
        </w:tc>
      </w:tr>
      <w:tr w:rsidR="008F3C4A" w14:paraId="22DF6203" w14:textId="77777777" w:rsidTr="0070537E">
        <w:tc>
          <w:tcPr>
            <w:tcW w:w="8672" w:type="dxa"/>
            <w:tcBorders>
              <w:top w:val="nil"/>
              <w:left w:val="nil"/>
              <w:bottom w:val="nil"/>
              <w:right w:val="nil"/>
            </w:tcBorders>
          </w:tcPr>
          <w:p w14:paraId="7CE39B44" w14:textId="29126313" w:rsidR="008F3C4A" w:rsidRPr="00892DE0" w:rsidRDefault="00FD372C" w:rsidP="00FD372C">
            <w:pPr>
              <w:spacing w:before="120" w:after="120"/>
              <w:rPr>
                <w:rFonts w:ascii="Calibri" w:eastAsia="Times New Roman" w:hAnsi="Calibri" w:cs="Tahoma"/>
                <w:sz w:val="24"/>
                <w:szCs w:val="24"/>
              </w:rPr>
            </w:pPr>
            <w:r w:rsidRPr="00892DE0">
              <w:rPr>
                <w:rFonts w:ascii="Calibri" w:eastAsia="Times New Roman" w:hAnsi="Calibri" w:cs="Tahoma"/>
                <w:sz w:val="24"/>
                <w:szCs w:val="24"/>
              </w:rPr>
              <w:t xml:space="preserve">Required Supplemental Information </w:t>
            </w:r>
            <w:r w:rsidRPr="00892DE0">
              <w:rPr>
                <w:rFonts w:ascii="Calibri" w:hAnsi="Calibri" w:cs="Tahoma"/>
                <w:sz w:val="24"/>
                <w:szCs w:val="24"/>
              </w:rPr>
              <w:t>–</w:t>
            </w:r>
            <w:r>
              <w:rPr>
                <w:rFonts w:ascii="Calibri" w:eastAsia="Times New Roman" w:hAnsi="Calibri" w:cs="Tahoma"/>
                <w:sz w:val="24"/>
                <w:szCs w:val="24"/>
              </w:rPr>
              <w:t xml:space="preserve"> </w:t>
            </w:r>
            <w:r w:rsidR="008F3C4A" w:rsidRPr="00892DE0">
              <w:rPr>
                <w:rFonts w:ascii="Calibri" w:eastAsia="Times New Roman" w:hAnsi="Calibri" w:cs="Tahoma"/>
                <w:sz w:val="24"/>
                <w:szCs w:val="24"/>
              </w:rPr>
              <w:t>Ret</w:t>
            </w:r>
            <w:r>
              <w:rPr>
                <w:rFonts w:ascii="Calibri" w:eastAsia="Times New Roman" w:hAnsi="Calibri" w:cs="Tahoma"/>
                <w:sz w:val="24"/>
                <w:szCs w:val="24"/>
              </w:rPr>
              <w:t>irement and OPEB Plans…………………………..</w:t>
            </w:r>
            <w:r w:rsidR="008F3C4A">
              <w:rPr>
                <w:rFonts w:ascii="Calibri" w:eastAsia="Times New Roman" w:hAnsi="Calibri" w:cs="Tahoma"/>
                <w:sz w:val="24"/>
                <w:szCs w:val="24"/>
              </w:rPr>
              <w:t xml:space="preserve">              </w:t>
            </w:r>
          </w:p>
        </w:tc>
        <w:tc>
          <w:tcPr>
            <w:tcW w:w="688" w:type="dxa"/>
            <w:tcBorders>
              <w:top w:val="nil"/>
              <w:left w:val="nil"/>
              <w:bottom w:val="nil"/>
              <w:right w:val="nil"/>
            </w:tcBorders>
          </w:tcPr>
          <w:p w14:paraId="42C88D3E" w14:textId="25590092" w:rsidR="008F3C4A" w:rsidDel="008F3C4A" w:rsidRDefault="008F3C4A"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105</w:t>
            </w:r>
          </w:p>
        </w:tc>
      </w:tr>
      <w:tr w:rsidR="00A83362" w14:paraId="04FE0F22" w14:textId="77777777" w:rsidTr="0070537E">
        <w:tc>
          <w:tcPr>
            <w:tcW w:w="8672" w:type="dxa"/>
            <w:tcBorders>
              <w:top w:val="nil"/>
              <w:left w:val="nil"/>
              <w:bottom w:val="nil"/>
              <w:right w:val="nil"/>
            </w:tcBorders>
          </w:tcPr>
          <w:p w14:paraId="1C7605B1" w14:textId="5302858D" w:rsidR="00A83362" w:rsidRPr="00892DE0" w:rsidRDefault="00A83362" w:rsidP="00FD372C">
            <w:pPr>
              <w:spacing w:before="120" w:after="120"/>
              <w:rPr>
                <w:rFonts w:ascii="Calibri" w:eastAsia="Times New Roman" w:hAnsi="Calibri" w:cs="Tahoma"/>
                <w:sz w:val="24"/>
                <w:szCs w:val="24"/>
              </w:rPr>
            </w:pPr>
            <w:r w:rsidRPr="00892DE0">
              <w:rPr>
                <w:rFonts w:ascii="Calibri" w:eastAsia="Times New Roman" w:hAnsi="Calibri" w:cs="Tahoma"/>
                <w:sz w:val="24"/>
                <w:szCs w:val="24"/>
              </w:rPr>
              <w:t>Supplemental Information Required by the State of Maine</w:t>
            </w:r>
            <w:r w:rsidR="00EC144C">
              <w:rPr>
                <w:rFonts w:ascii="Calibri" w:eastAsia="Times New Roman" w:hAnsi="Calibri" w:cs="Tahoma"/>
                <w:sz w:val="24"/>
                <w:szCs w:val="24"/>
              </w:rPr>
              <w:t xml:space="preserve"> </w:t>
            </w:r>
            <w:r w:rsidR="00EC144C" w:rsidRPr="00892DE0">
              <w:rPr>
                <w:rFonts w:ascii="Calibri" w:eastAsia="Times New Roman" w:hAnsi="Calibri" w:cs="Tahoma"/>
                <w:sz w:val="24"/>
                <w:szCs w:val="24"/>
              </w:rPr>
              <w:t>–</w:t>
            </w:r>
            <w:r w:rsidR="00EC144C">
              <w:rPr>
                <w:rFonts w:ascii="Calibri" w:eastAsia="Times New Roman" w:hAnsi="Calibri" w:cs="Tahoma"/>
                <w:sz w:val="24"/>
                <w:szCs w:val="24"/>
              </w:rPr>
              <w:t xml:space="preserve"> Schedule</w:t>
            </w:r>
            <w:r w:rsidR="0059512C">
              <w:rPr>
                <w:rFonts w:ascii="Calibri" w:eastAsia="Times New Roman" w:hAnsi="Calibri" w:cs="Tahoma"/>
                <w:sz w:val="24"/>
                <w:szCs w:val="24"/>
              </w:rPr>
              <w:t>s</w:t>
            </w:r>
            <w:r w:rsidR="00EC144C">
              <w:rPr>
                <w:rFonts w:ascii="Calibri" w:eastAsia="Times New Roman" w:hAnsi="Calibri" w:cs="Tahoma"/>
                <w:sz w:val="24"/>
                <w:szCs w:val="24"/>
              </w:rPr>
              <w:t xml:space="preserve"> of Activities</w:t>
            </w:r>
            <w:r w:rsidR="00FD372C">
              <w:rPr>
                <w:rFonts w:ascii="Calibri" w:eastAsia="Times New Roman" w:hAnsi="Calibri" w:cs="Tahoma"/>
                <w:sz w:val="24"/>
                <w:szCs w:val="24"/>
              </w:rPr>
              <w:t>…</w:t>
            </w:r>
          </w:p>
        </w:tc>
        <w:tc>
          <w:tcPr>
            <w:tcW w:w="688" w:type="dxa"/>
            <w:tcBorders>
              <w:top w:val="nil"/>
              <w:left w:val="nil"/>
              <w:bottom w:val="nil"/>
              <w:right w:val="nil"/>
            </w:tcBorders>
          </w:tcPr>
          <w:p w14:paraId="76C52A8B" w14:textId="16C3E9BF"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11</w:t>
            </w:r>
            <w:r w:rsidR="00B35C54">
              <w:rPr>
                <w:rFonts w:ascii="Calibri" w:eastAsia="Times New Roman" w:hAnsi="Calibri" w:cs="Tahoma"/>
                <w:sz w:val="24"/>
                <w:szCs w:val="24"/>
              </w:rPr>
              <w:t>6</w:t>
            </w:r>
          </w:p>
        </w:tc>
      </w:tr>
      <w:tr w:rsidR="00A83362" w14:paraId="19D9B467" w14:textId="77777777" w:rsidTr="0070537E">
        <w:tc>
          <w:tcPr>
            <w:tcW w:w="8672" w:type="dxa"/>
            <w:tcBorders>
              <w:top w:val="nil"/>
              <w:left w:val="nil"/>
              <w:bottom w:val="nil"/>
              <w:right w:val="nil"/>
            </w:tcBorders>
          </w:tcPr>
          <w:p w14:paraId="21974FEA" w14:textId="182EA6B4" w:rsidR="00A83362" w:rsidRPr="00892DE0" w:rsidRDefault="00A83362" w:rsidP="0070537E">
            <w:pPr>
              <w:spacing w:before="120" w:after="120"/>
              <w:rPr>
                <w:rFonts w:ascii="Calibri" w:eastAsia="Times New Roman" w:hAnsi="Calibri" w:cs="Tahoma"/>
                <w:sz w:val="24"/>
                <w:szCs w:val="24"/>
              </w:rPr>
            </w:pPr>
            <w:r w:rsidRPr="00892DE0">
              <w:rPr>
                <w:rFonts w:ascii="Calibri" w:eastAsia="Times New Roman" w:hAnsi="Calibri" w:cs="Tahoma"/>
                <w:sz w:val="24"/>
                <w:szCs w:val="24"/>
              </w:rPr>
              <w:t xml:space="preserve">Independent Auditor’s Report on Internal Control Over Financial Reporting and on Compliance and Other Matters Based on an Audit of Financial Statements Performed in Accordance with </w:t>
            </w:r>
            <w:r w:rsidRPr="00892DE0">
              <w:rPr>
                <w:rFonts w:ascii="Calibri" w:eastAsia="Times New Roman" w:hAnsi="Calibri" w:cs="Tahoma"/>
                <w:i/>
                <w:sz w:val="24"/>
                <w:szCs w:val="24"/>
              </w:rPr>
              <w:t>Government Auditing Standards</w:t>
            </w:r>
            <w:r w:rsidRPr="00892DE0">
              <w:rPr>
                <w:rFonts w:ascii="Calibri" w:eastAsia="Times New Roman" w:hAnsi="Calibri" w:cs="Tahoma"/>
                <w:sz w:val="24"/>
                <w:szCs w:val="24"/>
              </w:rPr>
              <w:t>…………………………</w:t>
            </w:r>
            <w:r>
              <w:rPr>
                <w:rFonts w:ascii="Calibri" w:eastAsia="Times New Roman" w:hAnsi="Calibri" w:cs="Tahoma"/>
                <w:sz w:val="24"/>
                <w:szCs w:val="24"/>
              </w:rPr>
              <w:t>.</w:t>
            </w:r>
            <w:r w:rsidRPr="00892DE0">
              <w:rPr>
                <w:rFonts w:ascii="Calibri" w:eastAsia="Times New Roman" w:hAnsi="Calibri" w:cs="Tahoma"/>
                <w:sz w:val="24"/>
                <w:szCs w:val="24"/>
              </w:rPr>
              <w:t>……</w:t>
            </w:r>
            <w:r w:rsidR="00C93493">
              <w:rPr>
                <w:rFonts w:ascii="Calibri" w:eastAsia="Times New Roman" w:hAnsi="Calibri" w:cs="Tahoma"/>
                <w:sz w:val="24"/>
                <w:szCs w:val="24"/>
              </w:rPr>
              <w:t>………………</w:t>
            </w:r>
            <w:r w:rsidR="00F446DD">
              <w:rPr>
                <w:rFonts w:ascii="Calibri" w:eastAsia="Times New Roman" w:hAnsi="Calibri" w:cs="Tahoma"/>
                <w:sz w:val="24"/>
                <w:szCs w:val="24"/>
              </w:rPr>
              <w:t>…</w:t>
            </w:r>
          </w:p>
        </w:tc>
        <w:tc>
          <w:tcPr>
            <w:tcW w:w="688" w:type="dxa"/>
            <w:tcBorders>
              <w:top w:val="nil"/>
              <w:left w:val="nil"/>
              <w:bottom w:val="nil"/>
              <w:right w:val="nil"/>
            </w:tcBorders>
            <w:vAlign w:val="bottom"/>
          </w:tcPr>
          <w:p w14:paraId="44E17F34" w14:textId="76058183" w:rsidR="00A83362" w:rsidRPr="00892DE0" w:rsidRDefault="00A83362" w:rsidP="0070537E">
            <w:pPr>
              <w:spacing w:before="120" w:after="120"/>
              <w:jc w:val="right"/>
              <w:rPr>
                <w:rFonts w:ascii="Calibri" w:eastAsia="Times New Roman" w:hAnsi="Calibri" w:cs="Tahoma"/>
                <w:sz w:val="24"/>
                <w:szCs w:val="24"/>
              </w:rPr>
            </w:pPr>
            <w:r>
              <w:rPr>
                <w:rFonts w:ascii="Calibri" w:eastAsia="Times New Roman" w:hAnsi="Calibri" w:cs="Tahoma"/>
                <w:sz w:val="24"/>
                <w:szCs w:val="24"/>
              </w:rPr>
              <w:t>11</w:t>
            </w:r>
            <w:r w:rsidR="00B35C54">
              <w:rPr>
                <w:rFonts w:ascii="Calibri" w:eastAsia="Times New Roman" w:hAnsi="Calibri" w:cs="Tahoma"/>
                <w:sz w:val="24"/>
                <w:szCs w:val="24"/>
              </w:rPr>
              <w:t>7</w:t>
            </w:r>
          </w:p>
        </w:tc>
      </w:tr>
    </w:tbl>
    <w:p w14:paraId="4FEA83F9" w14:textId="77777777" w:rsidR="00A83362" w:rsidRDefault="00A83362" w:rsidP="00A83362">
      <w:pPr>
        <w:spacing w:after="160" w:line="259" w:lineRule="auto"/>
      </w:pPr>
      <w:r>
        <w:br w:type="page"/>
      </w:r>
    </w:p>
    <w:p w14:paraId="72D5B5E7" w14:textId="77777777" w:rsidR="00A83362" w:rsidRDefault="00A83362" w:rsidP="00A83362">
      <w:pPr>
        <w:jc w:val="center"/>
      </w:pPr>
      <w:r>
        <w:rPr>
          <w:noProof/>
        </w:rPr>
        <w:lastRenderedPageBreak/>
        <w:drawing>
          <wp:inline distT="114300" distB="114300" distL="114300" distR="114300" wp14:anchorId="2D2FDEB0" wp14:editId="207EC70D">
            <wp:extent cx="1882162" cy="902939"/>
            <wp:effectExtent l="0" t="0" r="3810" b="0"/>
            <wp:docPr id="1744151166" name="Picture 1744151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882162" cy="902939"/>
                    </a:xfrm>
                    <a:prstGeom prst="rect">
                      <a:avLst/>
                    </a:prstGeom>
                    <a:ln/>
                  </pic:spPr>
                </pic:pic>
              </a:graphicData>
            </a:graphic>
          </wp:inline>
        </w:drawing>
      </w:r>
    </w:p>
    <w:p w14:paraId="0BB065F1" w14:textId="77777777" w:rsidR="00A83362" w:rsidRPr="00AE3B63" w:rsidRDefault="00A83362" w:rsidP="00A83362">
      <w:pPr>
        <w:pStyle w:val="Default"/>
        <w:rPr>
          <w:rFonts w:ascii="Times New Roman" w:eastAsiaTheme="minorHAnsi" w:hAnsi="Times New Roman" w:cs="Times New Roman"/>
        </w:rPr>
      </w:pPr>
    </w:p>
    <w:p w14:paraId="26BE2F89" w14:textId="26B17C79" w:rsidR="00FD0E5F" w:rsidRDefault="00FD6C51">
      <w:pPr>
        <w:spacing w:after="160" w:line="259" w:lineRule="auto"/>
        <w:rPr>
          <w:rFonts w:cstheme="minorHAnsi"/>
          <w:color w:val="0D0D0D" w:themeColor="text1" w:themeTint="F2"/>
        </w:rPr>
      </w:pPr>
      <w:r>
        <w:rPr>
          <w:rFonts w:cstheme="minorHAnsi"/>
          <w:color w:val="0D0D0D" w:themeColor="text1" w:themeTint="F2"/>
        </w:rPr>
        <w:t>October 12, 2023</w:t>
      </w:r>
    </w:p>
    <w:p w14:paraId="230A4298" w14:textId="5F4A91B7" w:rsidR="00FD6C51" w:rsidRDefault="00FD6C51">
      <w:pPr>
        <w:spacing w:after="160" w:line="259" w:lineRule="auto"/>
        <w:rPr>
          <w:rFonts w:cstheme="minorHAnsi"/>
          <w:color w:val="0D0D0D" w:themeColor="text1" w:themeTint="F2"/>
        </w:rPr>
      </w:pPr>
      <w:r>
        <w:rPr>
          <w:rFonts w:cstheme="minorHAnsi"/>
          <w:color w:val="0D0D0D" w:themeColor="text1" w:themeTint="F2"/>
        </w:rPr>
        <w:t xml:space="preserve">As we navigate through another year of opportunities and challenges, I want to provide you with an overview of how the </w:t>
      </w:r>
      <w:r w:rsidRPr="00FD6C51">
        <w:rPr>
          <w:rFonts w:cstheme="minorHAnsi"/>
          <w:color w:val="0D0D0D" w:themeColor="text1" w:themeTint="F2"/>
        </w:rPr>
        <w:t xml:space="preserve">University </w:t>
      </w:r>
      <w:r w:rsidR="00164001">
        <w:rPr>
          <w:rFonts w:cstheme="minorHAnsi"/>
          <w:color w:val="0D0D0D" w:themeColor="text1" w:themeTint="F2"/>
        </w:rPr>
        <w:t>o</w:t>
      </w:r>
      <w:r w:rsidRPr="00FD6C51">
        <w:rPr>
          <w:rFonts w:cstheme="minorHAnsi"/>
          <w:color w:val="0D0D0D" w:themeColor="text1" w:themeTint="F2"/>
        </w:rPr>
        <w:t>f Maine System</w:t>
      </w:r>
      <w:r>
        <w:rPr>
          <w:rFonts w:cstheme="minorHAnsi"/>
          <w:color w:val="0D0D0D" w:themeColor="text1" w:themeTint="F2"/>
        </w:rPr>
        <w:t xml:space="preserve"> (UMS), with its seven campuses and Law School, continues to uphold its tripartite mission of education, research, and public service through Fiscal Year 23.</w:t>
      </w:r>
    </w:p>
    <w:p w14:paraId="73FD9C69" w14:textId="66379707" w:rsidR="00FD6C51" w:rsidRPr="00FD6C51" w:rsidRDefault="00FD6C51" w:rsidP="00B13C4B">
      <w:r w:rsidRPr="00FD6C51">
        <w:t>The recent years have witnessed unprecedented shifts in the higher education landscape,</w:t>
      </w:r>
      <w:r>
        <w:t xml:space="preserve"> </w:t>
      </w:r>
      <w:r w:rsidRPr="00FD6C51">
        <w:t>primarily attributable to the global pandemic. Additionally, within the State of Maine, we</w:t>
      </w:r>
      <w:r>
        <w:t xml:space="preserve"> </w:t>
      </w:r>
      <w:r w:rsidRPr="00FD6C51">
        <w:t>have encountered distinct challenges stemming from changing demographics. While</w:t>
      </w:r>
      <w:r>
        <w:t xml:space="preserve"> </w:t>
      </w:r>
      <w:r w:rsidRPr="00FD6C51">
        <w:t>these challenges have tested our resilience, they have also propelled us to rethink and</w:t>
      </w:r>
      <w:r>
        <w:t xml:space="preserve"> </w:t>
      </w:r>
      <w:r w:rsidRPr="00FD6C51">
        <w:t>improve how learners access their education, the quality of those educational</w:t>
      </w:r>
      <w:r>
        <w:t xml:space="preserve"> </w:t>
      </w:r>
      <w:r w:rsidRPr="00FD6C51">
        <w:t>experiences, and develop strategies for involving students throughout their entire</w:t>
      </w:r>
      <w:r>
        <w:t xml:space="preserve"> </w:t>
      </w:r>
      <w:r w:rsidRPr="00FD6C51">
        <w:t>educational career.</w:t>
      </w:r>
    </w:p>
    <w:p w14:paraId="4C8282E2" w14:textId="77777777" w:rsidR="00FD6C51" w:rsidRDefault="00FD6C51" w:rsidP="00FD6C51"/>
    <w:p w14:paraId="75399FFA" w14:textId="64F97BE2" w:rsidR="00FD6C51" w:rsidRPr="00FD6C51" w:rsidRDefault="00FD6C51" w:rsidP="00B13C4B">
      <w:r w:rsidRPr="00FD6C51">
        <w:t>In line with national trends, we have observed a slight decline in enrollments of first-time</w:t>
      </w:r>
      <w:r>
        <w:t xml:space="preserve"> </w:t>
      </w:r>
      <w:r w:rsidRPr="00FD6C51">
        <w:t>full-time students. However, we have proactively responded to the demographic and</w:t>
      </w:r>
      <w:r>
        <w:t xml:space="preserve"> </w:t>
      </w:r>
      <w:r w:rsidRPr="00FD6C51">
        <w:t>economic conditions influencing these enrollments and have seen growth in areas such as</w:t>
      </w:r>
      <w:r>
        <w:t xml:space="preserve"> </w:t>
      </w:r>
      <w:r w:rsidRPr="00FD6C51">
        <w:t>graduate studies, online education, and competency-based programming. Recognizing</w:t>
      </w:r>
      <w:r>
        <w:t xml:space="preserve"> </w:t>
      </w:r>
      <w:r w:rsidRPr="00FD6C51">
        <w:t>the value of seamless educational transitions, we are committed to creating more robust</w:t>
      </w:r>
      <w:r>
        <w:t xml:space="preserve"> </w:t>
      </w:r>
      <w:r w:rsidRPr="00FD6C51">
        <w:t>pathways for high school students and community college graduates into our degree</w:t>
      </w:r>
      <w:r>
        <w:t xml:space="preserve"> </w:t>
      </w:r>
      <w:r w:rsidRPr="00FD6C51">
        <w:t>programs. This not only facilitates their entry into higher education but also ensures the</w:t>
      </w:r>
    </w:p>
    <w:p w14:paraId="05032173" w14:textId="32ABC50D" w:rsidR="00FD6C51" w:rsidRPr="00FD6C51" w:rsidRDefault="00FD6C51" w:rsidP="00B13C4B">
      <w:r w:rsidRPr="00FD6C51">
        <w:t>alignment of our programs with the needs of our local communities. Our commitment to</w:t>
      </w:r>
      <w:r>
        <w:t xml:space="preserve"> </w:t>
      </w:r>
      <w:r w:rsidRPr="00FD6C51">
        <w:t>global engagement remains strong. We have continued to attract and support</w:t>
      </w:r>
      <w:r>
        <w:t xml:space="preserve"> </w:t>
      </w:r>
      <w:r w:rsidRPr="00FD6C51">
        <w:t>international students, fostering diversity and a global perspective within our campuses.</w:t>
      </w:r>
      <w:r>
        <w:t xml:space="preserve"> </w:t>
      </w:r>
      <w:r w:rsidRPr="00FD6C51">
        <w:t>Finally, we have intensified our outreach to adult learners and working professionals,</w:t>
      </w:r>
      <w:r>
        <w:t xml:space="preserve"> </w:t>
      </w:r>
      <w:r w:rsidRPr="00FD6C51">
        <w:t>recognizing the importance of lifelong learning, and providing opportunities for career</w:t>
      </w:r>
      <w:r>
        <w:t xml:space="preserve"> </w:t>
      </w:r>
      <w:r w:rsidRPr="00FD6C51">
        <w:t>advancement and personal growth.</w:t>
      </w:r>
    </w:p>
    <w:p w14:paraId="2344E387" w14:textId="77777777" w:rsidR="00FD6C51" w:rsidRDefault="00FD6C51" w:rsidP="00FD6C51"/>
    <w:p w14:paraId="7C988F9A" w14:textId="6EB9A9C8" w:rsidR="00FD6C51" w:rsidRPr="00FD6C51" w:rsidRDefault="00FD6C51" w:rsidP="00B13C4B">
      <w:r w:rsidRPr="00FD6C51">
        <w:t>As we continue to implement these initiatives, we are mindful of the financial</w:t>
      </w:r>
      <w:r>
        <w:t xml:space="preserve"> </w:t>
      </w:r>
      <w:r w:rsidRPr="00FD6C51">
        <w:t>implications. In May 2023, the University of Maine System Board of Trustees approved</w:t>
      </w:r>
      <w:r>
        <w:t xml:space="preserve"> </w:t>
      </w:r>
      <w:r w:rsidRPr="00FD6C51">
        <w:t>the first system-wide strategic plan in over two decades. This working plan will ensure</w:t>
      </w:r>
      <w:r>
        <w:t xml:space="preserve"> </w:t>
      </w:r>
      <w:r w:rsidRPr="00FD6C51">
        <w:t>that our budgetary decisions align with our mission-driven commitments and will be a</w:t>
      </w:r>
      <w:r>
        <w:t xml:space="preserve"> </w:t>
      </w:r>
      <w:r w:rsidRPr="00FD6C51">
        <w:t>roadmap to sustainable futures for our universities and law school. Further, our unified</w:t>
      </w:r>
      <w:r>
        <w:t xml:space="preserve"> </w:t>
      </w:r>
      <w:r w:rsidRPr="00FD6C51">
        <w:t>accreditation allows us to collaborate and share resources in new and innovative ways to</w:t>
      </w:r>
    </w:p>
    <w:p w14:paraId="785BA199" w14:textId="60473CC6" w:rsidR="00FD6C51" w:rsidRPr="00FD6C51" w:rsidRDefault="00FD6C51" w:rsidP="00B13C4B">
      <w:r w:rsidRPr="00FD6C51">
        <w:t>meet the demands of our learners more efficiently. At the heart of each decision is the</w:t>
      </w:r>
      <w:r>
        <w:t xml:space="preserve"> </w:t>
      </w:r>
      <w:r w:rsidRPr="00FD6C51">
        <w:t>student experience and providing access to quality education, research and innovation,</w:t>
      </w:r>
      <w:r>
        <w:t xml:space="preserve"> </w:t>
      </w:r>
      <w:r w:rsidRPr="00FD6C51">
        <w:t>and workforce development to the residents of Maine and beyond.</w:t>
      </w:r>
    </w:p>
    <w:p w14:paraId="4D09DBA7" w14:textId="77777777" w:rsidR="00FD6C51" w:rsidRDefault="00FD6C51" w:rsidP="00FD6C51"/>
    <w:p w14:paraId="6E535FB1" w14:textId="7C225AFF" w:rsidR="00FD6C51" w:rsidRPr="00FD6C51" w:rsidRDefault="00FD6C51" w:rsidP="00B13C4B">
      <w:r w:rsidRPr="00FD6C51">
        <w:t>We acknowledge that we cannot accomplish this work alone, so we remain committed to nurturing</w:t>
      </w:r>
    </w:p>
    <w:p w14:paraId="0F8B05E9" w14:textId="77777777" w:rsidR="00FD6C51" w:rsidRPr="00FD6C51" w:rsidRDefault="00FD6C51" w:rsidP="00B13C4B">
      <w:r w:rsidRPr="00FD6C51">
        <w:t>robust partnerships and actively seeking fundraising opportunities to support our mission. We continue</w:t>
      </w:r>
    </w:p>
    <w:p w14:paraId="636E71D1" w14:textId="77777777" w:rsidR="00FD6C51" w:rsidRPr="00FD6C51" w:rsidRDefault="00FD6C51" w:rsidP="00B13C4B">
      <w:r w:rsidRPr="00FD6C51">
        <w:t xml:space="preserve">to make significant progress on UMS TRANSFORMS, the initiative made possible by the historic </w:t>
      </w:r>
      <w:proofErr w:type="gramStart"/>
      <w:r w:rsidRPr="00FD6C51">
        <w:t>$240</w:t>
      </w:r>
      <w:proofErr w:type="gramEnd"/>
    </w:p>
    <w:p w14:paraId="1F114548" w14:textId="77777777" w:rsidR="00FD6C51" w:rsidRPr="00FD6C51" w:rsidRDefault="00FD6C51" w:rsidP="00B13C4B">
      <w:r w:rsidRPr="00FD6C51">
        <w:t xml:space="preserve">million </w:t>
      </w:r>
      <w:proofErr w:type="gramStart"/>
      <w:r w:rsidRPr="00FD6C51">
        <w:t>investment</w:t>
      </w:r>
      <w:proofErr w:type="gramEnd"/>
      <w:r w:rsidRPr="00FD6C51">
        <w:t xml:space="preserve"> from the Harold Alfond Foundation that focuses on the transformational change of</w:t>
      </w:r>
    </w:p>
    <w:p w14:paraId="749B9346" w14:textId="77777777" w:rsidR="00FD6C51" w:rsidRPr="00FD6C51" w:rsidRDefault="00FD6C51" w:rsidP="00B13C4B">
      <w:r w:rsidRPr="00FD6C51">
        <w:t>student success and retention, athletics programs and facilities, the creation of a multi-university</w:t>
      </w:r>
    </w:p>
    <w:p w14:paraId="0F6DE682" w14:textId="77777777" w:rsidR="00FD6C51" w:rsidRPr="00FD6C51" w:rsidRDefault="00FD6C51" w:rsidP="00B13C4B">
      <w:r w:rsidRPr="00FD6C51">
        <w:t>College of Engineering, Computing and Information Science, and expansion of the Maine Graduate and</w:t>
      </w:r>
    </w:p>
    <w:p w14:paraId="0630C94B" w14:textId="77777777" w:rsidR="00FD6C51" w:rsidRPr="00FD6C51" w:rsidRDefault="00FD6C51" w:rsidP="00B13C4B">
      <w:r w:rsidRPr="00FD6C51">
        <w:t>Professional Center.</w:t>
      </w:r>
    </w:p>
    <w:p w14:paraId="18A70157" w14:textId="77777777" w:rsidR="00FD6C51" w:rsidRPr="00FD6C51" w:rsidRDefault="00FD6C51" w:rsidP="00B13C4B">
      <w:r w:rsidRPr="00FD6C51">
        <w:lastRenderedPageBreak/>
        <w:t>We have been fortunate to receive an additional $52.8 million in Congressionally Directed Spending,</w:t>
      </w:r>
    </w:p>
    <w:p w14:paraId="59EB17D5" w14:textId="77777777" w:rsidR="00FD6C51" w:rsidRPr="00FD6C51" w:rsidRDefault="00FD6C51" w:rsidP="00B13C4B">
      <w:r w:rsidRPr="00FD6C51">
        <w:t>appropriated for the benefit of UMS including an additional $8 million for UM’s Factory of the Future.</w:t>
      </w:r>
    </w:p>
    <w:p w14:paraId="2AFE2D2F" w14:textId="77777777" w:rsidR="00FD6C51" w:rsidRPr="00FD6C51" w:rsidRDefault="00FD6C51" w:rsidP="00B13C4B">
      <w:r w:rsidRPr="00FD6C51">
        <w:t>Other significant initiatives being funded are $8 million in funding for a PFAS Research Center and</w:t>
      </w:r>
    </w:p>
    <w:p w14:paraId="74181FA4" w14:textId="77777777" w:rsidR="00FD6C51" w:rsidRPr="00FD6C51" w:rsidRDefault="00FD6C51" w:rsidP="00B13C4B">
      <w:r w:rsidRPr="00FD6C51">
        <w:t>related laboratory equipment, $7 million to support the establishment of three Manufacturing Training</w:t>
      </w:r>
    </w:p>
    <w:p w14:paraId="5C82BFED" w14:textId="77777777" w:rsidR="00FD6C51" w:rsidRPr="00FD6C51" w:rsidRDefault="00FD6C51" w:rsidP="00B13C4B">
      <w:r w:rsidRPr="00FD6C51">
        <w:t>Innovation Centers across Maine, $6.1 million supporting tick and tick-borne pathogen surveillance and</w:t>
      </w:r>
    </w:p>
    <w:p w14:paraId="1F09CFED" w14:textId="77777777" w:rsidR="00FD6C51" w:rsidRPr="00FD6C51" w:rsidRDefault="00FD6C51" w:rsidP="00B13C4B">
      <w:r w:rsidRPr="00FD6C51">
        <w:t>risk communication, $4.5 million toward nursing education facilities and equipment across UMS.</w:t>
      </w:r>
    </w:p>
    <w:p w14:paraId="29AE29FC" w14:textId="77777777" w:rsidR="00FD6C51" w:rsidRDefault="00FD6C51" w:rsidP="00FD6C51"/>
    <w:p w14:paraId="567A6EFE" w14:textId="49F3D138" w:rsidR="00FD6C51" w:rsidRPr="00FD6C51" w:rsidRDefault="00FD6C51" w:rsidP="00B13C4B">
      <w:r w:rsidRPr="00FD6C51">
        <w:t>Federal earmarks such as these, State funding from Governor Mill’s administration, the generous Alfond</w:t>
      </w:r>
    </w:p>
    <w:p w14:paraId="3200F372" w14:textId="77777777" w:rsidR="00FD6C51" w:rsidRPr="00FD6C51" w:rsidRDefault="00FD6C51" w:rsidP="00B13C4B">
      <w:r w:rsidRPr="00FD6C51">
        <w:t>gift, numerous other philanthropic gifts, and public-private partnerships are enabling the critical</w:t>
      </w:r>
    </w:p>
    <w:p w14:paraId="698828D7" w14:textId="77777777" w:rsidR="00FD6C51" w:rsidRPr="00FD6C51" w:rsidRDefault="00FD6C51" w:rsidP="00B13C4B">
      <w:r w:rsidRPr="00FD6C51">
        <w:t>investments needed in our capital infrastructure. Our planning includes long deferred infrastructure</w:t>
      </w:r>
    </w:p>
    <w:p w14:paraId="2793A470" w14:textId="77777777" w:rsidR="00FD6C51" w:rsidRPr="00FD6C51" w:rsidRDefault="00FD6C51" w:rsidP="00B13C4B">
      <w:r w:rsidRPr="00FD6C51">
        <w:t>investments required to attract and retain students from Maine and beyond.</w:t>
      </w:r>
    </w:p>
    <w:p w14:paraId="56998B6E" w14:textId="77777777" w:rsidR="00FD6C51" w:rsidRDefault="00FD6C51" w:rsidP="00FD6C51"/>
    <w:p w14:paraId="6618187A" w14:textId="73A330F1" w:rsidR="00FD6C51" w:rsidRPr="00FD6C51" w:rsidRDefault="00FD6C51" w:rsidP="00B13C4B">
      <w:r w:rsidRPr="00FD6C51">
        <w:t>The world around us is evolving rapidly, and we are proud of how our System has responded to these</w:t>
      </w:r>
    </w:p>
    <w:p w14:paraId="456FFE93" w14:textId="77777777" w:rsidR="00FD6C51" w:rsidRPr="00FD6C51" w:rsidRDefault="00FD6C51" w:rsidP="00B13C4B">
      <w:r w:rsidRPr="00FD6C51">
        <w:t>new realities and challenges. By fostering a unified environment of collaboration among our campuses</w:t>
      </w:r>
    </w:p>
    <w:p w14:paraId="748629B6" w14:textId="77777777" w:rsidR="00FD6C51" w:rsidRPr="00FD6C51" w:rsidRDefault="00FD6C51" w:rsidP="00B13C4B">
      <w:r w:rsidRPr="00FD6C51">
        <w:t>and leveraging our collective resources, we have been able to adapt swiftly and effectively. As we</w:t>
      </w:r>
    </w:p>
    <w:p w14:paraId="59FB22ED" w14:textId="77777777" w:rsidR="00FD6C51" w:rsidRPr="00FD6C51" w:rsidRDefault="00FD6C51" w:rsidP="00B13C4B">
      <w:r w:rsidRPr="00FD6C51">
        <w:t>continue to navigate the dynamic higher education environment, our commitment to stewardship and</w:t>
      </w:r>
    </w:p>
    <w:p w14:paraId="1277C906" w14:textId="77777777" w:rsidR="00FD6C51" w:rsidRPr="00FD6C51" w:rsidRDefault="00FD6C51" w:rsidP="00B13C4B">
      <w:r w:rsidRPr="00FD6C51">
        <w:t>providing fiscal responsibility and transparency remains steadfast. We are unwavering in our dedication</w:t>
      </w:r>
    </w:p>
    <w:p w14:paraId="6D3975CE" w14:textId="78F6665F" w:rsidR="00FD6C51" w:rsidRDefault="00FD6C51" w:rsidP="00FD6C51">
      <w:r w:rsidRPr="00FD6C51">
        <w:t>to maintaining the affordability and accessibility of public higher education for Maine families.</w:t>
      </w:r>
    </w:p>
    <w:p w14:paraId="645386FD" w14:textId="77777777" w:rsidR="00FD6C51" w:rsidRDefault="00FD6C51" w:rsidP="00FD6C51"/>
    <w:p w14:paraId="2A03ED8E" w14:textId="6E5548D7" w:rsidR="00FD6C51" w:rsidRDefault="00FD6C51" w:rsidP="00FD6C51">
      <w:r>
        <w:t>Warm regard</w:t>
      </w:r>
      <w:r w:rsidR="00164001">
        <w:t>s</w:t>
      </w:r>
      <w:r>
        <w:t>,</w:t>
      </w:r>
    </w:p>
    <w:p w14:paraId="514D9835" w14:textId="0FE1A07A" w:rsidR="00FD6C51" w:rsidRDefault="00FD6C51" w:rsidP="00FD6C51">
      <w:r>
        <w:rPr>
          <w:noProof/>
        </w:rPr>
        <w:drawing>
          <wp:anchor distT="0" distB="0" distL="0" distR="0" simplePos="0" relativeHeight="251669504" behindDoc="0" locked="0" layoutInCell="1" allowOverlap="1" wp14:anchorId="5DD62396" wp14:editId="1FF10772">
            <wp:simplePos x="0" y="0"/>
            <wp:positionH relativeFrom="page">
              <wp:posOffset>914400</wp:posOffset>
            </wp:positionH>
            <wp:positionV relativeFrom="paragraph">
              <wp:posOffset>170815</wp:posOffset>
            </wp:positionV>
            <wp:extent cx="2081530" cy="791845"/>
            <wp:effectExtent l="0" t="0" r="0" b="8255"/>
            <wp:wrapTopAndBottom/>
            <wp:docPr id="664148023" name="Picture 66414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148023" name="Picture 66414802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081530" cy="791845"/>
                    </a:xfrm>
                    <a:prstGeom prst="rect">
                      <a:avLst/>
                    </a:prstGeom>
                  </pic:spPr>
                </pic:pic>
              </a:graphicData>
            </a:graphic>
          </wp:anchor>
        </w:drawing>
      </w:r>
    </w:p>
    <w:p w14:paraId="3CBC371C" w14:textId="5AC098FA" w:rsidR="00FD6C51" w:rsidRDefault="00FD6C51" w:rsidP="00FD6C51">
      <w:r>
        <w:t>Dannel P. Malloy</w:t>
      </w:r>
    </w:p>
    <w:p w14:paraId="7C209CDF" w14:textId="4B6722FC" w:rsidR="00506000" w:rsidRDefault="00FD6C51" w:rsidP="00B13C4B">
      <w:pPr>
        <w:rPr>
          <w:b/>
          <w:bCs/>
          <w:color w:val="FF0000"/>
        </w:rPr>
      </w:pPr>
      <w:r>
        <w:t>Chancellor</w:t>
      </w:r>
      <w:r w:rsidR="00506000">
        <w:rPr>
          <w:b/>
          <w:bCs/>
          <w:color w:val="FF0000"/>
        </w:rPr>
        <w:br w:type="page"/>
      </w:r>
    </w:p>
    <w:p w14:paraId="7FB78300" w14:textId="77777777" w:rsidR="00A83362" w:rsidRPr="00865AC2" w:rsidRDefault="00A83362" w:rsidP="004B6F10">
      <w:pPr>
        <w:autoSpaceDE w:val="0"/>
        <w:autoSpaceDN w:val="0"/>
        <w:adjustRightInd w:val="0"/>
        <w:rPr>
          <w:rFonts w:ascii="Calibri" w:eastAsia="Times New Roman" w:hAnsi="Calibri" w:cs="Times New Roman"/>
          <w:b/>
          <w:i/>
          <w:caps/>
          <w:color w:val="000000"/>
          <w:spacing w:val="-3"/>
          <w:sz w:val="28"/>
          <w:szCs w:val="28"/>
        </w:rPr>
      </w:pPr>
      <w:bookmarkStart w:id="1" w:name="_Toc19608370"/>
      <w:r w:rsidRPr="00865AC2">
        <w:rPr>
          <w:rFonts w:ascii="Calibri" w:eastAsia="Times New Roman" w:hAnsi="Calibri" w:cs="Times New Roman"/>
          <w:b/>
          <w:i/>
          <w:caps/>
          <w:color w:val="000000"/>
          <w:spacing w:val="-3"/>
          <w:sz w:val="28"/>
          <w:szCs w:val="28"/>
        </w:rPr>
        <w:lastRenderedPageBreak/>
        <w:t>UNIVERSITY OF MAINE SYSTEM</w:t>
      </w:r>
      <w:bookmarkEnd w:id="1"/>
    </w:p>
    <w:p w14:paraId="3E29A570" w14:textId="77777777" w:rsidR="00A83362" w:rsidRPr="007E3550" w:rsidRDefault="00A83362" w:rsidP="00A83362">
      <w:pPr>
        <w:pStyle w:val="AFR2"/>
        <w:pBdr>
          <w:bottom w:val="none" w:sz="0" w:space="0" w:color="auto"/>
        </w:pBdr>
        <w:spacing w:before="0" w:after="0"/>
        <w:rPr>
          <w:rFonts w:eastAsia="Times New Roman"/>
          <w:b w:val="0"/>
          <w:i w:val="0"/>
          <w:sz w:val="28"/>
        </w:rPr>
      </w:pPr>
      <w:bookmarkStart w:id="2" w:name="_Toc19608371"/>
      <w:r w:rsidRPr="007E3550">
        <w:rPr>
          <w:rFonts w:eastAsia="Times New Roman"/>
          <w:sz w:val="28"/>
        </w:rPr>
        <w:t>BOARD OF TRUSTEES AND MANAGEMENT</w:t>
      </w:r>
      <w:bookmarkEnd w:id="2"/>
    </w:p>
    <w:p w14:paraId="052F1FCD" w14:textId="0AF51B10" w:rsidR="00A83362" w:rsidRPr="00AB71D9" w:rsidRDefault="00A83362" w:rsidP="00B13C4B">
      <w:pPr>
        <w:pStyle w:val="AFR1"/>
        <w:sectPr w:rsidR="00A83362" w:rsidRPr="00AB71D9" w:rsidSect="0070537E">
          <w:headerReference w:type="default" r:id="rId15"/>
          <w:footerReference w:type="default" r:id="rId16"/>
          <w:headerReference w:type="first" r:id="rId17"/>
          <w:footerReference w:type="first" r:id="rId18"/>
          <w:type w:val="continuous"/>
          <w:pgSz w:w="12240" w:h="15840" w:code="1"/>
          <w:pgMar w:top="1440" w:right="1440" w:bottom="1440" w:left="1440" w:header="720" w:footer="720" w:gutter="0"/>
          <w:cols w:space="0"/>
          <w:titlePg/>
          <w:docGrid w:linePitch="360"/>
        </w:sectPr>
      </w:pPr>
      <w:bookmarkStart w:id="3" w:name="_Toc19608372"/>
      <w:r w:rsidRPr="007E3550">
        <w:rPr>
          <w:sz w:val="28"/>
          <w:szCs w:val="28"/>
        </w:rPr>
        <w:t>AS OF JUNE 30, 20</w:t>
      </w:r>
      <w:bookmarkEnd w:id="3"/>
      <w:r w:rsidRPr="007E3550">
        <w:rPr>
          <w:sz w:val="28"/>
          <w:szCs w:val="28"/>
        </w:rPr>
        <w:t>2</w:t>
      </w:r>
      <w:r>
        <w:rPr>
          <w:sz w:val="28"/>
          <w:szCs w:val="28"/>
        </w:rPr>
        <w:t>3</w:t>
      </w:r>
    </w:p>
    <w:p w14:paraId="7BE3C007" w14:textId="3D28C32D" w:rsidR="00A83362" w:rsidRPr="00D97C5A" w:rsidRDefault="00A83362" w:rsidP="00BC0FDB">
      <w:pPr>
        <w:pStyle w:val="Heading1"/>
      </w:pPr>
      <w:r w:rsidRPr="00D97C5A">
        <w:t>BOARD OF TRUSTEES:</w:t>
      </w:r>
    </w:p>
    <w:p w14:paraId="6B4AD476" w14:textId="77777777" w:rsidR="00A83362" w:rsidRDefault="00A83362" w:rsidP="00212CB1">
      <w:pPr>
        <w:spacing w:line="259" w:lineRule="auto"/>
        <w:ind w:left="180"/>
        <w:rPr>
          <w:rFonts w:ascii="Calibri" w:eastAsia="Calibri" w:hAnsi="Calibri" w:cs="Times New Roman"/>
        </w:rPr>
      </w:pPr>
      <w:r>
        <w:rPr>
          <w:rFonts w:ascii="Calibri" w:eastAsia="Calibri" w:hAnsi="Calibri" w:cs="Times New Roman"/>
        </w:rPr>
        <w:t>Barbara R. Alexander</w:t>
      </w:r>
    </w:p>
    <w:p w14:paraId="30C59FE4" w14:textId="77777777" w:rsidR="00A83362" w:rsidRPr="00376D9E"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Emily A. Cain</w:t>
      </w:r>
    </w:p>
    <w:p w14:paraId="2893AC65" w14:textId="77777777" w:rsidR="00A83362" w:rsidRPr="00376D9E"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 xml:space="preserve">Beth Dobson </w:t>
      </w:r>
    </w:p>
    <w:p w14:paraId="44496BDE" w14:textId="77777777" w:rsidR="00A83362" w:rsidRPr="00376D9E"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 xml:space="preserve">Lisa Marchese Eames, </w:t>
      </w:r>
      <w:r w:rsidRPr="00AB71D9">
        <w:rPr>
          <w:rFonts w:ascii="Calibri" w:eastAsia="Calibri" w:hAnsi="Calibri" w:cs="Times New Roman"/>
          <w:i/>
        </w:rPr>
        <w:t>Vice Chair</w:t>
      </w:r>
    </w:p>
    <w:p w14:paraId="4FBC00EF" w14:textId="77777777" w:rsidR="00A83362" w:rsidRPr="00376D9E" w:rsidRDefault="00A83362" w:rsidP="00212CB1">
      <w:pPr>
        <w:spacing w:line="259" w:lineRule="auto"/>
        <w:ind w:left="180"/>
        <w:rPr>
          <w:rFonts w:ascii="Calibri" w:eastAsia="Calibri" w:hAnsi="Calibri" w:cs="Times New Roman"/>
        </w:rPr>
      </w:pPr>
      <w:r>
        <w:rPr>
          <w:rFonts w:ascii="Calibri" w:eastAsia="Calibri" w:hAnsi="Calibri" w:cs="Times New Roman"/>
        </w:rPr>
        <w:t>Patrick S.A. Flood</w:t>
      </w:r>
    </w:p>
    <w:p w14:paraId="7A7CB021" w14:textId="77777777" w:rsidR="00A83362"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Roger J. Katz</w:t>
      </w:r>
    </w:p>
    <w:p w14:paraId="1C7DE3FE" w14:textId="77777777" w:rsidR="00A83362" w:rsidRDefault="00A83362" w:rsidP="00212CB1">
      <w:pPr>
        <w:spacing w:line="259" w:lineRule="auto"/>
        <w:ind w:left="180"/>
        <w:rPr>
          <w:rFonts w:ascii="Calibri" w:eastAsia="Calibri" w:hAnsi="Calibri" w:cs="Times New Roman"/>
        </w:rPr>
      </w:pPr>
      <w:r>
        <w:rPr>
          <w:rFonts w:ascii="Calibri" w:eastAsia="Calibri" w:hAnsi="Calibri" w:cs="Times New Roman"/>
        </w:rPr>
        <w:t>Valerie Landry</w:t>
      </w:r>
    </w:p>
    <w:p w14:paraId="24A04072" w14:textId="77777777" w:rsidR="00A83362" w:rsidRPr="00376D9E" w:rsidRDefault="00A83362" w:rsidP="00212CB1">
      <w:pPr>
        <w:spacing w:line="259" w:lineRule="auto"/>
        <w:ind w:left="180"/>
        <w:rPr>
          <w:rFonts w:ascii="Calibri" w:eastAsia="Calibri" w:hAnsi="Calibri" w:cs="Times New Roman"/>
        </w:rPr>
      </w:pPr>
      <w:r>
        <w:rPr>
          <w:rFonts w:ascii="Calibri" w:eastAsia="Calibri" w:hAnsi="Calibri" w:cs="Times New Roman"/>
        </w:rPr>
        <w:t>Donna M. Loring</w:t>
      </w:r>
    </w:p>
    <w:p w14:paraId="32D51F98" w14:textId="77777777" w:rsidR="00A83362" w:rsidRPr="00376D9E"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 xml:space="preserve">David M. MacMahon </w:t>
      </w:r>
    </w:p>
    <w:p w14:paraId="3529DD51" w14:textId="77777777" w:rsidR="00A83362"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Kelly A. Martin</w:t>
      </w:r>
    </w:p>
    <w:p w14:paraId="221C30C3" w14:textId="77777777" w:rsidR="00A83362" w:rsidRPr="00376D9E" w:rsidRDefault="00A83362" w:rsidP="00212CB1">
      <w:pPr>
        <w:spacing w:line="259" w:lineRule="auto"/>
        <w:ind w:left="180"/>
        <w:rPr>
          <w:rFonts w:ascii="Calibri" w:eastAsia="Calibri" w:hAnsi="Calibri" w:cs="Times New Roman"/>
        </w:rPr>
      </w:pPr>
      <w:r>
        <w:rPr>
          <w:rFonts w:ascii="Calibri" w:eastAsia="Calibri" w:hAnsi="Calibri" w:cs="Times New Roman"/>
        </w:rPr>
        <w:t>Owen McCarthy</w:t>
      </w:r>
    </w:p>
    <w:p w14:paraId="2E87757E" w14:textId="77777777" w:rsidR="00A83362" w:rsidRDefault="00A83362" w:rsidP="00212CB1">
      <w:pPr>
        <w:spacing w:line="259" w:lineRule="auto"/>
        <w:ind w:left="180"/>
        <w:rPr>
          <w:rFonts w:ascii="Calibri" w:eastAsia="Calibri" w:hAnsi="Calibri" w:cs="Times New Roman"/>
        </w:rPr>
      </w:pPr>
      <w:r w:rsidRPr="00376D9E">
        <w:rPr>
          <w:rFonts w:ascii="Calibri" w:eastAsia="Calibri" w:hAnsi="Calibri" w:cs="Times New Roman"/>
        </w:rPr>
        <w:t xml:space="preserve">Michael H. Michaud </w:t>
      </w:r>
    </w:p>
    <w:p w14:paraId="1DB335A6" w14:textId="77777777" w:rsidR="00A83362" w:rsidRPr="00376D9E" w:rsidRDefault="00A83362" w:rsidP="00212CB1">
      <w:pPr>
        <w:spacing w:line="259" w:lineRule="auto"/>
        <w:ind w:left="180"/>
        <w:rPr>
          <w:rFonts w:ascii="Calibri" w:eastAsia="Calibri" w:hAnsi="Calibri" w:cs="Times New Roman"/>
        </w:rPr>
      </w:pPr>
      <w:r>
        <w:rPr>
          <w:rFonts w:ascii="Calibri" w:eastAsia="Calibri" w:hAnsi="Calibri" w:cs="Times New Roman"/>
        </w:rPr>
        <w:t>John Moore</w:t>
      </w:r>
    </w:p>
    <w:p w14:paraId="7F1DD0BB" w14:textId="77777777" w:rsidR="00A83362" w:rsidRDefault="00A83362" w:rsidP="00212CB1">
      <w:pPr>
        <w:spacing w:line="259" w:lineRule="auto"/>
        <w:ind w:left="180"/>
        <w:rPr>
          <w:rFonts w:ascii="Calibri" w:eastAsia="Calibri" w:hAnsi="Calibri" w:cs="Times New Roman"/>
          <w:i/>
        </w:rPr>
      </w:pPr>
      <w:r w:rsidRPr="00376D9E">
        <w:rPr>
          <w:rFonts w:ascii="Calibri" w:eastAsia="Calibri" w:hAnsi="Calibri" w:cs="Times New Roman"/>
        </w:rPr>
        <w:t xml:space="preserve">Patricia (Trish) A. Riley, </w:t>
      </w:r>
      <w:r w:rsidRPr="00AB71D9">
        <w:rPr>
          <w:rFonts w:ascii="Calibri" w:eastAsia="Calibri" w:hAnsi="Calibri" w:cs="Times New Roman"/>
          <w:i/>
        </w:rPr>
        <w:t>Chair</w:t>
      </w:r>
    </w:p>
    <w:p w14:paraId="35DD9550" w14:textId="77777777" w:rsidR="00A83362" w:rsidRPr="00B568F9" w:rsidRDefault="00A83362" w:rsidP="00212CB1">
      <w:pPr>
        <w:spacing w:line="259" w:lineRule="auto"/>
        <w:ind w:left="180"/>
        <w:rPr>
          <w:rFonts w:ascii="Calibri" w:eastAsia="Calibri" w:hAnsi="Calibri" w:cs="Times New Roman"/>
          <w:iCs/>
        </w:rPr>
      </w:pPr>
      <w:r w:rsidRPr="00B568F9">
        <w:rPr>
          <w:rFonts w:ascii="Calibri" w:eastAsia="Calibri" w:hAnsi="Calibri" w:cs="Times New Roman"/>
          <w:iCs/>
        </w:rPr>
        <w:t>Dhivya Singaram</w:t>
      </w:r>
    </w:p>
    <w:p w14:paraId="10B5EFD0" w14:textId="77777777" w:rsidR="00A83362" w:rsidRPr="003924D9" w:rsidRDefault="00A83362" w:rsidP="00212CB1">
      <w:pPr>
        <w:spacing w:line="259" w:lineRule="auto"/>
        <w:ind w:left="180"/>
        <w:rPr>
          <w:rFonts w:ascii="Calibri" w:eastAsia="Calibri" w:hAnsi="Calibri" w:cs="Times New Roman"/>
          <w:i/>
        </w:rPr>
      </w:pPr>
      <w:r w:rsidRPr="00376D9E">
        <w:rPr>
          <w:rFonts w:ascii="Calibri" w:eastAsia="Calibri" w:hAnsi="Calibri" w:cs="Times New Roman"/>
        </w:rPr>
        <w:t>A. Pender Makin</w:t>
      </w:r>
      <w:r w:rsidRPr="003924D9">
        <w:rPr>
          <w:rFonts w:ascii="Calibri" w:eastAsia="Calibri" w:hAnsi="Calibri" w:cs="Times New Roman"/>
        </w:rPr>
        <w:t xml:space="preserve">, </w:t>
      </w:r>
      <w:r w:rsidRPr="003924D9">
        <w:rPr>
          <w:rFonts w:ascii="Calibri" w:eastAsia="Calibri" w:hAnsi="Calibri" w:cs="Times New Roman"/>
          <w:i/>
        </w:rPr>
        <w:t>ex officio</w:t>
      </w:r>
    </w:p>
    <w:p w14:paraId="2EBDB88F" w14:textId="77777777" w:rsidR="00A83362" w:rsidRPr="00AB71D9" w:rsidRDefault="00A83362" w:rsidP="00BC0FDB">
      <w:pPr>
        <w:pStyle w:val="Heading1"/>
      </w:pPr>
      <w:r w:rsidRPr="00AB71D9">
        <w:t>CHANCELLOR:</w:t>
      </w:r>
    </w:p>
    <w:p w14:paraId="3F5E100E" w14:textId="77777777" w:rsidR="00A83362" w:rsidRPr="003924D9" w:rsidRDefault="00A83362" w:rsidP="00212CB1">
      <w:pPr>
        <w:spacing w:line="259" w:lineRule="auto"/>
        <w:ind w:left="180"/>
        <w:rPr>
          <w:rFonts w:ascii="Calibri" w:eastAsia="Calibri" w:hAnsi="Calibri" w:cs="Times New Roman"/>
        </w:rPr>
      </w:pPr>
      <w:r w:rsidRPr="00AB71D9">
        <w:rPr>
          <w:rFonts w:ascii="Calibri" w:eastAsia="Calibri" w:hAnsi="Calibri" w:cs="Times New Roman"/>
          <w:sz w:val="24"/>
        </w:rPr>
        <w:t>Dannel P. Malloy</w:t>
      </w:r>
    </w:p>
    <w:p w14:paraId="169AB537" w14:textId="13C4A005" w:rsidR="00A83362" w:rsidRPr="00AB71D9" w:rsidRDefault="00A83362" w:rsidP="00BC0FDB">
      <w:pPr>
        <w:pStyle w:val="Heading1"/>
      </w:pPr>
      <w:r w:rsidRPr="00AB71D9">
        <w:t>UNIVERSITY PRESIDENTS</w:t>
      </w:r>
      <w:r>
        <w:t xml:space="preserve"> /     SCHOOL  of LAW DEAN:</w:t>
      </w:r>
    </w:p>
    <w:p w14:paraId="4826C770" w14:textId="77777777" w:rsidR="00A83362" w:rsidRPr="00AB71D9" w:rsidRDefault="00A83362" w:rsidP="00212CB1">
      <w:pPr>
        <w:spacing w:line="259" w:lineRule="auto"/>
        <w:ind w:left="180"/>
        <w:rPr>
          <w:rFonts w:ascii="Calibri" w:eastAsia="Calibri" w:hAnsi="Calibri" w:cs="Times New Roman"/>
          <w:b/>
        </w:rPr>
      </w:pPr>
      <w:r w:rsidRPr="00AB71D9">
        <w:rPr>
          <w:rFonts w:ascii="Calibri" w:eastAsia="Calibri" w:hAnsi="Calibri" w:cs="Times New Roman"/>
          <w:b/>
        </w:rPr>
        <w:t>Joan Ferrini-Mundy</w:t>
      </w:r>
    </w:p>
    <w:p w14:paraId="12BDDFF8" w14:textId="77777777" w:rsidR="00A83362" w:rsidRPr="003924D9"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 xml:space="preserve">University of Maine and </w:t>
      </w:r>
    </w:p>
    <w:p w14:paraId="1945DD20" w14:textId="77777777" w:rsidR="00A83362" w:rsidRPr="003924D9"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University of Maine at Machias</w:t>
      </w:r>
    </w:p>
    <w:p w14:paraId="2840D8A9" w14:textId="77777777" w:rsidR="00A83362" w:rsidRPr="00AB71D9" w:rsidRDefault="00A83362" w:rsidP="00212CB1">
      <w:pPr>
        <w:spacing w:before="20" w:line="259" w:lineRule="auto"/>
        <w:ind w:left="180"/>
        <w:rPr>
          <w:rFonts w:ascii="Calibri" w:eastAsia="Calibri" w:hAnsi="Calibri" w:cs="Times New Roman"/>
          <w:b/>
        </w:rPr>
      </w:pPr>
      <w:r>
        <w:rPr>
          <w:rFonts w:ascii="Calibri" w:eastAsia="Calibri" w:hAnsi="Calibri" w:cs="Times New Roman"/>
          <w:b/>
        </w:rPr>
        <w:t xml:space="preserve">Joseph </w:t>
      </w:r>
      <w:proofErr w:type="spellStart"/>
      <w:r>
        <w:rPr>
          <w:rFonts w:ascii="Calibri" w:eastAsia="Calibri" w:hAnsi="Calibri" w:cs="Times New Roman"/>
          <w:b/>
        </w:rPr>
        <w:t>Szakas</w:t>
      </w:r>
      <w:proofErr w:type="spellEnd"/>
    </w:p>
    <w:p w14:paraId="5AC4A289" w14:textId="77777777" w:rsidR="00A83362" w:rsidRPr="003924D9" w:rsidRDefault="00A83362" w:rsidP="00212CB1">
      <w:pPr>
        <w:spacing w:line="259" w:lineRule="auto"/>
        <w:ind w:left="180"/>
        <w:rPr>
          <w:rFonts w:ascii="Calibri" w:eastAsia="Calibri" w:hAnsi="Calibri" w:cs="Times New Roman"/>
        </w:rPr>
      </w:pPr>
      <w:r w:rsidRPr="00796CA3">
        <w:rPr>
          <w:rFonts w:ascii="Calibri" w:eastAsia="Calibri" w:hAnsi="Calibri" w:cs="Times New Roman"/>
          <w:i/>
        </w:rPr>
        <w:t>University of Maine at Augu</w:t>
      </w:r>
      <w:r w:rsidRPr="003924D9">
        <w:rPr>
          <w:rFonts w:ascii="Calibri" w:eastAsia="Calibri" w:hAnsi="Calibri" w:cs="Times New Roman"/>
        </w:rPr>
        <w:t>s</w:t>
      </w:r>
      <w:r w:rsidRPr="00796CA3">
        <w:rPr>
          <w:rFonts w:ascii="Calibri" w:eastAsia="Calibri" w:hAnsi="Calibri" w:cs="Times New Roman"/>
          <w:i/>
        </w:rPr>
        <w:t>ta</w:t>
      </w:r>
    </w:p>
    <w:p w14:paraId="449C4520" w14:textId="77777777" w:rsidR="00A83362" w:rsidRPr="00AB71D9" w:rsidRDefault="00A83362" w:rsidP="00212CB1">
      <w:pPr>
        <w:spacing w:before="20" w:line="259" w:lineRule="auto"/>
        <w:ind w:left="180"/>
        <w:rPr>
          <w:rFonts w:ascii="Calibri" w:eastAsia="Calibri" w:hAnsi="Calibri" w:cs="Times New Roman"/>
          <w:b/>
        </w:rPr>
      </w:pPr>
      <w:r>
        <w:rPr>
          <w:rFonts w:ascii="Calibri" w:eastAsia="Calibri" w:hAnsi="Calibri" w:cs="Times New Roman"/>
          <w:b/>
        </w:rPr>
        <w:t>Joseph McDonnell</w:t>
      </w:r>
    </w:p>
    <w:p w14:paraId="3A14B0EC" w14:textId="77777777" w:rsidR="00A83362" w:rsidRPr="003924D9"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 xml:space="preserve">University </w:t>
      </w:r>
      <w:r>
        <w:rPr>
          <w:rFonts w:ascii="Calibri" w:eastAsia="Calibri" w:hAnsi="Calibri" w:cs="Times New Roman"/>
          <w:i/>
        </w:rPr>
        <w:t>o</w:t>
      </w:r>
      <w:r w:rsidRPr="003924D9">
        <w:rPr>
          <w:rFonts w:ascii="Calibri" w:eastAsia="Calibri" w:hAnsi="Calibri" w:cs="Times New Roman"/>
          <w:i/>
        </w:rPr>
        <w:t xml:space="preserve">f Maine </w:t>
      </w:r>
      <w:r>
        <w:rPr>
          <w:rFonts w:ascii="Calibri" w:eastAsia="Calibri" w:hAnsi="Calibri" w:cs="Times New Roman"/>
          <w:i/>
        </w:rPr>
        <w:t>a</w:t>
      </w:r>
      <w:r w:rsidRPr="003924D9">
        <w:rPr>
          <w:rFonts w:ascii="Calibri" w:eastAsia="Calibri" w:hAnsi="Calibri" w:cs="Times New Roman"/>
          <w:i/>
        </w:rPr>
        <w:t>t Farmington</w:t>
      </w:r>
    </w:p>
    <w:p w14:paraId="46D40E79" w14:textId="77777777" w:rsidR="00A83362" w:rsidRPr="00AB71D9" w:rsidRDefault="00A83362" w:rsidP="00212CB1">
      <w:pPr>
        <w:spacing w:before="20" w:line="259" w:lineRule="auto"/>
        <w:ind w:left="180"/>
        <w:rPr>
          <w:rFonts w:ascii="Calibri" w:eastAsia="Calibri" w:hAnsi="Calibri" w:cs="Times New Roman"/>
          <w:b/>
        </w:rPr>
      </w:pPr>
      <w:r w:rsidRPr="00AB71D9">
        <w:rPr>
          <w:rFonts w:ascii="Calibri" w:eastAsia="Calibri" w:hAnsi="Calibri" w:cs="Times New Roman"/>
          <w:b/>
        </w:rPr>
        <w:t>Deborah Hedeen</w:t>
      </w:r>
    </w:p>
    <w:p w14:paraId="503C0F66" w14:textId="77777777" w:rsidR="00A83362" w:rsidRPr="003924D9"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University of Maine at Fort Kent</w:t>
      </w:r>
    </w:p>
    <w:p w14:paraId="2B2794EC" w14:textId="04DB4D15" w:rsidR="00A83362" w:rsidRPr="003924D9" w:rsidRDefault="00A83362" w:rsidP="00212CB1">
      <w:pPr>
        <w:spacing w:before="20" w:line="259" w:lineRule="auto"/>
        <w:ind w:left="180"/>
        <w:rPr>
          <w:rFonts w:ascii="Calibri" w:eastAsia="Calibri" w:hAnsi="Calibri" w:cs="Times New Roman"/>
        </w:rPr>
      </w:pPr>
      <w:r w:rsidRPr="00AB71D9">
        <w:rPr>
          <w:rFonts w:ascii="Calibri" w:eastAsia="Calibri" w:hAnsi="Calibri" w:cs="Times New Roman"/>
          <w:b/>
        </w:rPr>
        <w:t>Raymond J. Rice</w:t>
      </w:r>
    </w:p>
    <w:p w14:paraId="2888E58C" w14:textId="48A3E7B3" w:rsidR="00A83362" w:rsidRPr="003924D9"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University of Maine at Presque Isle</w:t>
      </w:r>
    </w:p>
    <w:p w14:paraId="26DAEE19" w14:textId="78DA2F43" w:rsidR="00A83362" w:rsidRPr="00AB71D9" w:rsidRDefault="00A83362" w:rsidP="00212CB1">
      <w:pPr>
        <w:spacing w:before="20" w:line="259" w:lineRule="auto"/>
        <w:ind w:left="180"/>
        <w:rPr>
          <w:rFonts w:ascii="Calibri" w:eastAsia="Calibri" w:hAnsi="Calibri" w:cs="Times New Roman"/>
          <w:b/>
        </w:rPr>
      </w:pPr>
      <w:r>
        <w:rPr>
          <w:rFonts w:ascii="Calibri" w:eastAsia="Calibri" w:hAnsi="Calibri" w:cs="Times New Roman"/>
          <w:b/>
        </w:rPr>
        <w:t>Jacqueline Edmondson</w:t>
      </w:r>
    </w:p>
    <w:p w14:paraId="37ECFE70" w14:textId="12B60D9C" w:rsidR="00A83362" w:rsidRDefault="00A83362" w:rsidP="00212CB1">
      <w:pPr>
        <w:spacing w:line="259" w:lineRule="auto"/>
        <w:ind w:left="180"/>
        <w:rPr>
          <w:rFonts w:ascii="Calibri" w:eastAsia="Calibri" w:hAnsi="Calibri" w:cs="Times New Roman"/>
          <w:i/>
        </w:rPr>
      </w:pPr>
      <w:r w:rsidRPr="003924D9">
        <w:rPr>
          <w:rFonts w:ascii="Calibri" w:eastAsia="Calibri" w:hAnsi="Calibri" w:cs="Times New Roman"/>
          <w:i/>
        </w:rPr>
        <w:t>University of Southern Ma</w:t>
      </w:r>
      <w:r>
        <w:rPr>
          <w:rFonts w:ascii="Calibri" w:eastAsia="Calibri" w:hAnsi="Calibri" w:cs="Times New Roman"/>
          <w:i/>
        </w:rPr>
        <w:t>ine</w:t>
      </w:r>
    </w:p>
    <w:p w14:paraId="19E9E1DC" w14:textId="5BE4408F" w:rsidR="00A83362" w:rsidRDefault="00A83362" w:rsidP="00212CB1">
      <w:pPr>
        <w:spacing w:line="259" w:lineRule="auto"/>
        <w:ind w:left="180"/>
        <w:rPr>
          <w:rFonts w:ascii="Calibri" w:eastAsia="Calibri" w:hAnsi="Calibri" w:cs="Times New Roman"/>
          <w:b/>
        </w:rPr>
      </w:pPr>
      <w:r w:rsidRPr="00CE3381">
        <w:rPr>
          <w:rFonts w:ascii="Calibri" w:eastAsia="Calibri" w:hAnsi="Calibri" w:cs="Times New Roman"/>
          <w:b/>
        </w:rPr>
        <w:t>Leigh I. Saufley</w:t>
      </w:r>
    </w:p>
    <w:p w14:paraId="2865F99A" w14:textId="1A3D507E" w:rsidR="00A83362" w:rsidRPr="00C26D52" w:rsidRDefault="00A83362" w:rsidP="00C26D52">
      <w:pPr>
        <w:pBdr>
          <w:bottom w:val="single" w:sz="8" w:space="1" w:color="00688D"/>
        </w:pBdr>
        <w:spacing w:line="259" w:lineRule="auto"/>
        <w:ind w:left="180"/>
        <w:rPr>
          <w:rStyle w:val="AFR1Char"/>
          <w:rFonts w:eastAsia="Calibri"/>
        </w:rPr>
      </w:pPr>
      <w:r>
        <w:rPr>
          <w:rFonts w:ascii="Calibri" w:eastAsia="Calibri" w:hAnsi="Calibri" w:cs="Times New Roman"/>
          <w:i/>
        </w:rPr>
        <w:t>University of Maine School of Law</w:t>
      </w:r>
      <w:r w:rsidR="00506000">
        <w:rPr>
          <w:rFonts w:ascii="Calibri" w:eastAsia="Calibri" w:hAnsi="Calibri" w:cs="Times New Roman"/>
          <w:i/>
        </w:rPr>
        <w:br w:type="column"/>
      </w:r>
      <w:r w:rsidRPr="00C26D52">
        <w:rPr>
          <w:rStyle w:val="AFR1Char"/>
          <w:rFonts w:eastAsiaTheme="minorHAnsi"/>
          <w:sz w:val="24"/>
          <w:szCs w:val="32"/>
        </w:rPr>
        <w:t>MANAGEMENT SUPPORT TO THE CHANCELLOR AND BOARD OF TRUSTEES:</w:t>
      </w:r>
    </w:p>
    <w:p w14:paraId="6B255C30" w14:textId="77777777" w:rsidR="00A83362" w:rsidRDefault="00A83362" w:rsidP="00212CB1">
      <w:pPr>
        <w:spacing w:before="20" w:line="259" w:lineRule="auto"/>
        <w:ind w:left="180"/>
        <w:rPr>
          <w:rFonts w:ascii="Calibri" w:eastAsia="Calibri" w:hAnsi="Calibri" w:cs="Times New Roman"/>
          <w:b/>
        </w:rPr>
      </w:pPr>
      <w:r>
        <w:rPr>
          <w:rFonts w:ascii="Calibri" w:eastAsia="Calibri" w:hAnsi="Calibri" w:cs="Times New Roman"/>
          <w:b/>
        </w:rPr>
        <w:t>Gretchen Catlin</w:t>
      </w:r>
    </w:p>
    <w:p w14:paraId="134E9613" w14:textId="77777777" w:rsidR="00A83362" w:rsidRPr="00721CFD" w:rsidRDefault="00A83362" w:rsidP="00212CB1">
      <w:pPr>
        <w:spacing w:line="259" w:lineRule="auto"/>
        <w:ind w:left="180"/>
        <w:rPr>
          <w:rFonts w:ascii="Calibri" w:eastAsia="Calibri" w:hAnsi="Calibri" w:cs="Times New Roman"/>
          <w:i/>
          <w:sz w:val="21"/>
          <w:szCs w:val="21"/>
        </w:rPr>
      </w:pPr>
      <w:r>
        <w:rPr>
          <w:rFonts w:ascii="Calibri" w:eastAsia="Calibri" w:hAnsi="Calibri" w:cs="Times New Roman"/>
          <w:i/>
          <w:sz w:val="21"/>
          <w:szCs w:val="21"/>
        </w:rPr>
        <w:t>Chief Facilities and General Services Officer</w:t>
      </w:r>
    </w:p>
    <w:p w14:paraId="48E01B76" w14:textId="77777777" w:rsidR="00A83362" w:rsidRDefault="00A83362" w:rsidP="00212CB1">
      <w:pPr>
        <w:spacing w:before="20" w:line="259" w:lineRule="auto"/>
        <w:ind w:left="180"/>
        <w:rPr>
          <w:rFonts w:ascii="Calibri" w:eastAsia="Calibri" w:hAnsi="Calibri" w:cs="Times New Roman"/>
          <w:b/>
        </w:rPr>
      </w:pPr>
      <w:r>
        <w:rPr>
          <w:rFonts w:ascii="Calibri" w:eastAsia="Calibri" w:hAnsi="Calibri" w:cs="Times New Roman"/>
          <w:b/>
        </w:rPr>
        <w:t>Paul Chan</w:t>
      </w:r>
    </w:p>
    <w:p w14:paraId="588A5F6C"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General Counsel</w:t>
      </w:r>
    </w:p>
    <w:p w14:paraId="4F7B9F1B"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David M. Demers</w:t>
      </w:r>
    </w:p>
    <w:p w14:paraId="5493A5B9"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Chief Information Officer</w:t>
      </w:r>
    </w:p>
    <w:p w14:paraId="3F499F05"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Carolyn Dorsey</w:t>
      </w:r>
    </w:p>
    <w:p w14:paraId="0666637A"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Acting Vice Chancellor for Strategic Initiatives</w:t>
      </w:r>
    </w:p>
    <w:p w14:paraId="2102FEF0"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Tracy E. Elliott</w:t>
      </w:r>
    </w:p>
    <w:p w14:paraId="0AFAF8D6"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Vice President of Finance and Controller</w:t>
      </w:r>
    </w:p>
    <w:p w14:paraId="5928CD55"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Joan Ferrini-Mundy</w:t>
      </w:r>
    </w:p>
    <w:p w14:paraId="0D5A1A70"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Vice Chancellor for Research and Innovation</w:t>
      </w:r>
    </w:p>
    <w:p w14:paraId="54B4E505" w14:textId="77777777" w:rsidR="00A83362" w:rsidRPr="00DF3676" w:rsidRDefault="00A83362" w:rsidP="00212CB1">
      <w:pPr>
        <w:spacing w:before="20" w:line="259" w:lineRule="auto"/>
        <w:ind w:left="180"/>
        <w:rPr>
          <w:rFonts w:ascii="Calibri" w:eastAsia="Calibri" w:hAnsi="Calibri" w:cs="Times New Roman"/>
          <w:b/>
        </w:rPr>
      </w:pPr>
      <w:r>
        <w:rPr>
          <w:rFonts w:ascii="Calibri" w:eastAsia="Calibri" w:hAnsi="Calibri" w:cs="Times New Roman"/>
          <w:b/>
        </w:rPr>
        <w:t>Kayla Flewelling</w:t>
      </w:r>
    </w:p>
    <w:p w14:paraId="3AC2E2B5" w14:textId="77777777" w:rsidR="00A83362" w:rsidRPr="00721CFD" w:rsidRDefault="00A83362" w:rsidP="00212CB1">
      <w:pPr>
        <w:spacing w:line="259" w:lineRule="auto"/>
        <w:ind w:left="180"/>
        <w:rPr>
          <w:rFonts w:ascii="Calibri" w:eastAsia="Calibri" w:hAnsi="Calibri" w:cs="Times New Roman"/>
          <w:i/>
          <w:sz w:val="21"/>
          <w:szCs w:val="21"/>
        </w:rPr>
      </w:pPr>
      <w:r>
        <w:rPr>
          <w:rFonts w:ascii="Calibri" w:eastAsia="Calibri" w:hAnsi="Calibri" w:cs="Times New Roman"/>
          <w:i/>
          <w:sz w:val="21"/>
          <w:szCs w:val="21"/>
        </w:rPr>
        <w:t xml:space="preserve">Interim </w:t>
      </w:r>
      <w:r w:rsidRPr="00721CFD">
        <w:rPr>
          <w:rFonts w:ascii="Calibri" w:eastAsia="Calibri" w:hAnsi="Calibri" w:cs="Times New Roman"/>
          <w:i/>
          <w:sz w:val="21"/>
          <w:szCs w:val="21"/>
        </w:rPr>
        <w:t>Clerk of the Board</w:t>
      </w:r>
    </w:p>
    <w:p w14:paraId="61801730"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Kim-Marie Jenkins</w:t>
      </w:r>
    </w:p>
    <w:p w14:paraId="0A0679B0"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Director of Organizational Effectiveness</w:t>
      </w:r>
    </w:p>
    <w:p w14:paraId="357701F8"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Ryan W. Low</w:t>
      </w:r>
    </w:p>
    <w:p w14:paraId="3193674E"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 xml:space="preserve">Vice Chancellor for Finance and Administration and Treasurer </w:t>
      </w:r>
    </w:p>
    <w:p w14:paraId="7EEED780"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 xml:space="preserve">Rosa S. </w:t>
      </w:r>
      <w:proofErr w:type="spellStart"/>
      <w:r w:rsidRPr="00DF3676">
        <w:rPr>
          <w:rFonts w:ascii="Calibri" w:eastAsia="Calibri" w:hAnsi="Calibri" w:cs="Times New Roman"/>
          <w:b/>
        </w:rPr>
        <w:t>Redonnett</w:t>
      </w:r>
      <w:proofErr w:type="spellEnd"/>
    </w:p>
    <w:p w14:paraId="2BCE443C"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Associate Vice Chancellor for Student Success and Credential Attainment</w:t>
      </w:r>
    </w:p>
    <w:p w14:paraId="231C79A8" w14:textId="77777777" w:rsidR="00A83362" w:rsidRPr="003166EF" w:rsidRDefault="00A83362" w:rsidP="00212CB1">
      <w:pPr>
        <w:spacing w:before="20" w:line="259" w:lineRule="auto"/>
        <w:ind w:left="180"/>
        <w:rPr>
          <w:rFonts w:ascii="Calibri" w:eastAsia="Calibri" w:hAnsi="Calibri" w:cs="Times New Roman"/>
          <w:b/>
        </w:rPr>
      </w:pPr>
      <w:r>
        <w:rPr>
          <w:rFonts w:ascii="Calibri" w:eastAsia="Calibri" w:hAnsi="Calibri" w:cs="Times New Roman"/>
          <w:b/>
        </w:rPr>
        <w:t>Judy Ryan</w:t>
      </w:r>
    </w:p>
    <w:p w14:paraId="1673DCEE" w14:textId="77777777" w:rsidR="00A83362" w:rsidRPr="00721CFD" w:rsidRDefault="00A83362" w:rsidP="00212CB1">
      <w:pPr>
        <w:spacing w:line="259" w:lineRule="auto"/>
        <w:ind w:left="180"/>
        <w:rPr>
          <w:rFonts w:ascii="Calibri" w:eastAsia="Calibri" w:hAnsi="Calibri" w:cs="Times New Roman"/>
          <w:i/>
          <w:sz w:val="21"/>
          <w:szCs w:val="21"/>
        </w:rPr>
      </w:pPr>
      <w:r>
        <w:rPr>
          <w:rFonts w:ascii="Calibri" w:eastAsia="Calibri" w:hAnsi="Calibri" w:cs="Times New Roman"/>
          <w:i/>
          <w:sz w:val="21"/>
          <w:szCs w:val="21"/>
        </w:rPr>
        <w:t xml:space="preserve">Interim </w:t>
      </w:r>
      <w:r w:rsidRPr="00721CFD">
        <w:rPr>
          <w:rFonts w:ascii="Calibri" w:eastAsia="Calibri" w:hAnsi="Calibri" w:cs="Times New Roman"/>
          <w:i/>
          <w:sz w:val="21"/>
          <w:szCs w:val="21"/>
        </w:rPr>
        <w:t>Chief Human Resources Officer</w:t>
      </w:r>
    </w:p>
    <w:p w14:paraId="75EF4118" w14:textId="77777777" w:rsidR="00A83362" w:rsidRDefault="00A83362" w:rsidP="00212CB1">
      <w:pPr>
        <w:spacing w:before="20" w:line="259" w:lineRule="auto"/>
        <w:ind w:left="180"/>
        <w:rPr>
          <w:rFonts w:ascii="Calibri" w:eastAsia="Calibri" w:hAnsi="Calibri" w:cs="Times New Roman"/>
          <w:b/>
        </w:rPr>
      </w:pPr>
      <w:r>
        <w:rPr>
          <w:rFonts w:ascii="Calibri" w:eastAsia="Calibri" w:hAnsi="Calibri" w:cs="Times New Roman"/>
          <w:b/>
        </w:rPr>
        <w:t>Tory Ryden</w:t>
      </w:r>
    </w:p>
    <w:p w14:paraId="76A11D1E" w14:textId="77777777" w:rsidR="00A83362" w:rsidRPr="00C92252" w:rsidRDefault="00A83362" w:rsidP="00212CB1">
      <w:pPr>
        <w:spacing w:line="259" w:lineRule="auto"/>
        <w:ind w:left="180"/>
        <w:rPr>
          <w:rFonts w:ascii="Calibri" w:eastAsia="Calibri" w:hAnsi="Calibri" w:cs="Times New Roman"/>
          <w:i/>
        </w:rPr>
      </w:pPr>
      <w:r w:rsidRPr="00721CFD">
        <w:rPr>
          <w:rFonts w:ascii="Calibri" w:eastAsia="Calibri" w:hAnsi="Calibri" w:cs="Times New Roman"/>
          <w:i/>
          <w:sz w:val="21"/>
          <w:szCs w:val="21"/>
        </w:rPr>
        <w:t xml:space="preserve">Senior </w:t>
      </w:r>
      <w:r>
        <w:rPr>
          <w:rFonts w:ascii="Calibri" w:eastAsia="Calibri" w:hAnsi="Calibri" w:cs="Times New Roman"/>
          <w:i/>
          <w:sz w:val="21"/>
          <w:szCs w:val="21"/>
        </w:rPr>
        <w:t xml:space="preserve">Advisor and </w:t>
      </w:r>
      <w:r w:rsidRPr="00721CFD">
        <w:rPr>
          <w:rFonts w:ascii="Calibri" w:eastAsia="Calibri" w:hAnsi="Calibri" w:cs="Times New Roman"/>
          <w:i/>
          <w:sz w:val="21"/>
          <w:szCs w:val="21"/>
        </w:rPr>
        <w:t xml:space="preserve">Director of </w:t>
      </w:r>
      <w:r>
        <w:rPr>
          <w:rFonts w:ascii="Calibri" w:eastAsia="Calibri" w:hAnsi="Calibri" w:cs="Times New Roman"/>
          <w:i/>
          <w:sz w:val="21"/>
          <w:szCs w:val="21"/>
        </w:rPr>
        <w:t>External Affairs</w:t>
      </w:r>
    </w:p>
    <w:p w14:paraId="1DE6FB37"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Jeffrey St. John</w:t>
      </w:r>
    </w:p>
    <w:p w14:paraId="41403570" w14:textId="77777777" w:rsidR="00A83362" w:rsidRPr="00721CFD" w:rsidRDefault="00A83362" w:rsidP="00212CB1">
      <w:pPr>
        <w:spacing w:line="259" w:lineRule="auto"/>
        <w:ind w:left="180"/>
        <w:rPr>
          <w:rFonts w:ascii="Calibri" w:eastAsia="Calibri" w:hAnsi="Calibri" w:cs="Times New Roman"/>
          <w:i/>
          <w:sz w:val="21"/>
          <w:szCs w:val="21"/>
        </w:rPr>
      </w:pPr>
      <w:r>
        <w:rPr>
          <w:rFonts w:ascii="Calibri" w:eastAsia="Calibri" w:hAnsi="Calibri" w:cs="Times New Roman"/>
          <w:i/>
          <w:sz w:val="21"/>
          <w:szCs w:val="21"/>
        </w:rPr>
        <w:t>Vice Chancellor for Academic and Student Affairs</w:t>
      </w:r>
    </w:p>
    <w:p w14:paraId="574ED5F7" w14:textId="77777777" w:rsidR="00A83362" w:rsidRPr="00DF3676"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Samantha C. Warren</w:t>
      </w:r>
    </w:p>
    <w:p w14:paraId="06733B20" w14:textId="77777777" w:rsidR="00A83362" w:rsidRPr="00721CFD" w:rsidRDefault="00A83362" w:rsidP="00212CB1">
      <w:pPr>
        <w:spacing w:line="259" w:lineRule="auto"/>
        <w:ind w:left="180"/>
        <w:rPr>
          <w:rFonts w:ascii="Calibri" w:eastAsia="Calibri" w:hAnsi="Calibri" w:cs="Times New Roman"/>
          <w:i/>
          <w:sz w:val="21"/>
          <w:szCs w:val="21"/>
        </w:rPr>
      </w:pPr>
      <w:r w:rsidRPr="00721CFD">
        <w:rPr>
          <w:rFonts w:ascii="Calibri" w:eastAsia="Calibri" w:hAnsi="Calibri" w:cs="Times New Roman"/>
          <w:i/>
          <w:sz w:val="21"/>
          <w:szCs w:val="21"/>
        </w:rPr>
        <w:t>Director of Government and Community Relations</w:t>
      </w:r>
    </w:p>
    <w:p w14:paraId="0DAFFEAA" w14:textId="14DD3D2A" w:rsidR="00A83362" w:rsidRDefault="00A83362" w:rsidP="00212CB1">
      <w:pPr>
        <w:spacing w:before="20" w:line="259" w:lineRule="auto"/>
        <w:ind w:left="180"/>
        <w:rPr>
          <w:rFonts w:ascii="Calibri" w:eastAsia="Calibri" w:hAnsi="Calibri" w:cs="Times New Roman"/>
          <w:b/>
        </w:rPr>
      </w:pPr>
      <w:r w:rsidRPr="00DF3676">
        <w:rPr>
          <w:rFonts w:ascii="Calibri" w:eastAsia="Calibri" w:hAnsi="Calibri" w:cs="Times New Roman"/>
          <w:b/>
        </w:rPr>
        <w:t>Miriam A. White</w:t>
      </w:r>
    </w:p>
    <w:p w14:paraId="06802DBB" w14:textId="5294BED5" w:rsidR="007C4201" w:rsidRDefault="007C4201" w:rsidP="00212CB1">
      <w:pPr>
        <w:spacing w:before="20" w:line="259" w:lineRule="auto"/>
        <w:ind w:left="180"/>
        <w:rPr>
          <w:rFonts w:ascii="Calibri" w:eastAsia="Calibri" w:hAnsi="Calibri" w:cs="Times New Roman"/>
          <w:i/>
          <w:sz w:val="21"/>
          <w:szCs w:val="21"/>
        </w:rPr>
      </w:pPr>
      <w:r w:rsidRPr="00BC0FDB">
        <w:rPr>
          <w:rFonts w:ascii="Calibri" w:eastAsia="Calibri" w:hAnsi="Calibri" w:cs="Times New Roman"/>
          <w:i/>
          <w:sz w:val="21"/>
          <w:szCs w:val="21"/>
        </w:rPr>
        <w:t>Vice President of Budget and Financial Analysis</w:t>
      </w:r>
    </w:p>
    <w:p w14:paraId="5D1F86A0" w14:textId="77777777" w:rsidR="003A3449" w:rsidRDefault="007C4201">
      <w:pPr>
        <w:spacing w:after="160" w:line="259" w:lineRule="auto"/>
        <w:rPr>
          <w:rFonts w:ascii="Calibri" w:eastAsia="Calibri" w:hAnsi="Calibri" w:cs="Times New Roman"/>
          <w:i/>
          <w:sz w:val="21"/>
          <w:szCs w:val="21"/>
        </w:rPr>
        <w:sectPr w:rsidR="003A3449" w:rsidSect="00506000">
          <w:type w:val="continuous"/>
          <w:pgSz w:w="12240" w:h="15840"/>
          <w:pgMar w:top="1152" w:right="1152" w:bottom="1152" w:left="1152" w:header="0" w:footer="634" w:gutter="0"/>
          <w:cols w:num="2" w:space="936" w:equalWidth="0">
            <w:col w:w="3456" w:space="936"/>
            <w:col w:w="5544"/>
          </w:cols>
        </w:sectPr>
      </w:pPr>
      <w:r>
        <w:rPr>
          <w:rFonts w:ascii="Calibri" w:eastAsia="Calibri" w:hAnsi="Calibri" w:cs="Times New Roman"/>
          <w:i/>
          <w:sz w:val="21"/>
          <w:szCs w:val="21"/>
        </w:rPr>
        <w:br w:type="page"/>
      </w:r>
    </w:p>
    <w:p w14:paraId="2F69C3E0" w14:textId="0A0109EF" w:rsidR="007C4201" w:rsidRDefault="00604D19">
      <w:pPr>
        <w:spacing w:after="160" w:line="259" w:lineRule="auto"/>
        <w:rPr>
          <w:rFonts w:ascii="Calibri" w:eastAsia="Calibri" w:hAnsi="Calibri" w:cs="Times New Roman"/>
          <w:i/>
          <w:sz w:val="21"/>
          <w:szCs w:val="21"/>
        </w:rPr>
      </w:pPr>
      <w:r>
        <w:rPr>
          <w:noProof/>
        </w:rPr>
        <w:lastRenderedPageBreak/>
        <w:drawing>
          <wp:anchor distT="0" distB="0" distL="0" distR="0" simplePos="0" relativeHeight="251667456" behindDoc="0" locked="0" layoutInCell="1" allowOverlap="1" wp14:anchorId="3AA711A5" wp14:editId="2413F15A">
            <wp:simplePos x="0" y="0"/>
            <wp:positionH relativeFrom="page">
              <wp:posOffset>887200</wp:posOffset>
            </wp:positionH>
            <wp:positionV relativeFrom="paragraph">
              <wp:posOffset>45856</wp:posOffset>
            </wp:positionV>
            <wp:extent cx="530223" cy="530214"/>
            <wp:effectExtent l="0" t="0" r="0" b="0"/>
            <wp:wrapNone/>
            <wp:docPr id="362488785" name="Picture 362488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0223" cy="530214"/>
                    </a:xfrm>
                    <a:prstGeom prst="rect">
                      <a:avLst/>
                    </a:prstGeom>
                  </pic:spPr>
                </pic:pic>
              </a:graphicData>
            </a:graphic>
          </wp:anchor>
        </w:drawing>
      </w:r>
    </w:p>
    <w:p w14:paraId="2C0A3D66" w14:textId="7EAD7975" w:rsidR="00A83362" w:rsidRDefault="00604D19" w:rsidP="00A83362">
      <w:pPr>
        <w:spacing w:before="66"/>
        <w:ind w:left="6488" w:right="1170"/>
        <w:rPr>
          <w:rFonts w:ascii="Calibri"/>
          <w:b/>
          <w:sz w:val="17"/>
        </w:rPr>
      </w:pPr>
      <w:r w:rsidRPr="00BC0FDB">
        <w:rPr>
          <w:rFonts w:ascii="Calibri"/>
          <w:b/>
          <w:color w:val="2D334E"/>
          <w:sz w:val="17"/>
        </w:rPr>
        <w:t>Clifton</w:t>
      </w:r>
      <w:r w:rsidR="00A83362">
        <w:rPr>
          <w:rFonts w:ascii="Calibri"/>
          <w:b/>
          <w:color w:val="2D334E"/>
          <w:sz w:val="17"/>
        </w:rPr>
        <w:t>LarsonAllen</w:t>
      </w:r>
      <w:r w:rsidR="00A83362">
        <w:rPr>
          <w:rFonts w:ascii="Calibri"/>
          <w:b/>
          <w:color w:val="2D334E"/>
          <w:spacing w:val="-10"/>
          <w:sz w:val="17"/>
        </w:rPr>
        <w:t xml:space="preserve"> </w:t>
      </w:r>
      <w:r w:rsidR="00A83362">
        <w:rPr>
          <w:rFonts w:ascii="Calibri"/>
          <w:b/>
          <w:color w:val="2D334E"/>
          <w:sz w:val="17"/>
        </w:rPr>
        <w:t>LLP</w:t>
      </w:r>
      <w:r w:rsidR="00A83362">
        <w:rPr>
          <w:rFonts w:ascii="Calibri"/>
          <w:b/>
          <w:color w:val="2D334E"/>
          <w:spacing w:val="40"/>
          <w:sz w:val="17"/>
        </w:rPr>
        <w:t xml:space="preserve"> </w:t>
      </w:r>
      <w:r w:rsidR="00A83362">
        <w:rPr>
          <w:rFonts w:ascii="Calibri"/>
          <w:b/>
          <w:color w:val="2D334E"/>
          <w:spacing w:val="-2"/>
          <w:sz w:val="17"/>
        </w:rPr>
        <w:t>CLAconnect.com</w:t>
      </w:r>
    </w:p>
    <w:p w14:paraId="06734FFE" w14:textId="77777777" w:rsidR="000F31C9" w:rsidRPr="00B13C4B" w:rsidRDefault="000F31C9" w:rsidP="00B13C4B">
      <w:pPr>
        <w:rPr>
          <w:rFonts w:ascii="Arial" w:hAnsi="Arial" w:cs="Arial"/>
        </w:rPr>
      </w:pPr>
    </w:p>
    <w:p w14:paraId="5CDDA17A" w14:textId="77777777" w:rsidR="000F31C9" w:rsidRPr="00B13C4B" w:rsidRDefault="000F31C9" w:rsidP="00B13C4B">
      <w:pPr>
        <w:jc w:val="center"/>
        <w:rPr>
          <w:rFonts w:ascii="Arial" w:hAnsi="Arial" w:cs="Arial"/>
          <w:bCs/>
        </w:rPr>
      </w:pPr>
      <w:r w:rsidRPr="00B13C4B">
        <w:rPr>
          <w:rFonts w:ascii="Arial" w:hAnsi="Arial" w:cs="Arial"/>
          <w:b/>
          <w:bCs/>
        </w:rPr>
        <w:t>INDEPENDENT</w:t>
      </w:r>
      <w:r w:rsidRPr="00B13C4B">
        <w:rPr>
          <w:rFonts w:ascii="Arial" w:hAnsi="Arial" w:cs="Arial"/>
          <w:b/>
          <w:bCs/>
          <w:spacing w:val="-8"/>
        </w:rPr>
        <w:t xml:space="preserve"> </w:t>
      </w:r>
      <w:r w:rsidRPr="00B13C4B">
        <w:rPr>
          <w:rFonts w:ascii="Arial" w:hAnsi="Arial" w:cs="Arial"/>
          <w:b/>
          <w:bCs/>
        </w:rPr>
        <w:t>AUDITORS’</w:t>
      </w:r>
      <w:r w:rsidRPr="00B13C4B">
        <w:rPr>
          <w:rFonts w:ascii="Arial" w:hAnsi="Arial" w:cs="Arial"/>
          <w:b/>
          <w:bCs/>
          <w:spacing w:val="-8"/>
        </w:rPr>
        <w:t xml:space="preserve"> </w:t>
      </w:r>
      <w:r w:rsidRPr="00B13C4B">
        <w:rPr>
          <w:rFonts w:ascii="Arial" w:hAnsi="Arial" w:cs="Arial"/>
          <w:b/>
          <w:bCs/>
          <w:spacing w:val="-2"/>
        </w:rPr>
        <w:t>REPORT</w:t>
      </w:r>
    </w:p>
    <w:p w14:paraId="3D88A8D3" w14:textId="77777777" w:rsidR="000F31C9" w:rsidRPr="00B13C4B" w:rsidRDefault="000F31C9" w:rsidP="00B13C4B">
      <w:pPr>
        <w:rPr>
          <w:rFonts w:ascii="Arial" w:hAnsi="Arial" w:cs="Arial"/>
        </w:rPr>
      </w:pPr>
    </w:p>
    <w:p w14:paraId="3EC188E2" w14:textId="77777777" w:rsidR="000F31C9" w:rsidRPr="00B13C4B" w:rsidRDefault="000F31C9" w:rsidP="00B13C4B">
      <w:pPr>
        <w:rPr>
          <w:rFonts w:ascii="Arial" w:hAnsi="Arial" w:cs="Arial"/>
        </w:rPr>
      </w:pPr>
    </w:p>
    <w:p w14:paraId="0ACCA104" w14:textId="77777777" w:rsidR="000F31C9" w:rsidRDefault="000F31C9" w:rsidP="000F31C9">
      <w:pPr>
        <w:rPr>
          <w:rFonts w:ascii="Arial" w:hAnsi="Arial" w:cs="Arial"/>
        </w:rPr>
      </w:pPr>
      <w:r w:rsidRPr="00B13C4B">
        <w:rPr>
          <w:rFonts w:ascii="Arial" w:hAnsi="Arial" w:cs="Arial"/>
        </w:rPr>
        <w:t xml:space="preserve">Board of Trustees </w:t>
      </w:r>
    </w:p>
    <w:p w14:paraId="24E6AAF5" w14:textId="77777777" w:rsidR="000F31C9" w:rsidRDefault="000F31C9" w:rsidP="000F31C9">
      <w:pPr>
        <w:rPr>
          <w:rFonts w:ascii="Arial" w:hAnsi="Arial" w:cs="Arial"/>
        </w:rPr>
      </w:pPr>
      <w:r w:rsidRPr="00B13C4B">
        <w:rPr>
          <w:rFonts w:ascii="Arial" w:hAnsi="Arial" w:cs="Arial"/>
        </w:rPr>
        <w:t>University</w:t>
      </w:r>
      <w:r w:rsidRPr="00B13C4B">
        <w:rPr>
          <w:rFonts w:ascii="Arial" w:hAnsi="Arial" w:cs="Arial"/>
          <w:spacing w:val="-12"/>
        </w:rPr>
        <w:t xml:space="preserve"> </w:t>
      </w:r>
      <w:r w:rsidRPr="00B13C4B">
        <w:rPr>
          <w:rFonts w:ascii="Arial" w:hAnsi="Arial" w:cs="Arial"/>
        </w:rPr>
        <w:t>of</w:t>
      </w:r>
      <w:r w:rsidRPr="00B13C4B">
        <w:rPr>
          <w:rFonts w:ascii="Arial" w:hAnsi="Arial" w:cs="Arial"/>
          <w:spacing w:val="-14"/>
        </w:rPr>
        <w:t xml:space="preserve"> </w:t>
      </w:r>
      <w:r w:rsidRPr="00B13C4B">
        <w:rPr>
          <w:rFonts w:ascii="Arial" w:hAnsi="Arial" w:cs="Arial"/>
        </w:rPr>
        <w:t>Maine</w:t>
      </w:r>
      <w:r w:rsidRPr="00B13C4B">
        <w:rPr>
          <w:rFonts w:ascii="Arial" w:hAnsi="Arial" w:cs="Arial"/>
          <w:spacing w:val="-13"/>
        </w:rPr>
        <w:t xml:space="preserve"> </w:t>
      </w:r>
      <w:r w:rsidRPr="00B13C4B">
        <w:rPr>
          <w:rFonts w:ascii="Arial" w:hAnsi="Arial" w:cs="Arial"/>
        </w:rPr>
        <w:t xml:space="preserve">System </w:t>
      </w:r>
    </w:p>
    <w:p w14:paraId="21AD24F7" w14:textId="4B15F862" w:rsidR="000F31C9" w:rsidRPr="00B13C4B" w:rsidRDefault="000F31C9" w:rsidP="00B13C4B">
      <w:pPr>
        <w:rPr>
          <w:rFonts w:ascii="Arial" w:hAnsi="Arial" w:cs="Arial"/>
        </w:rPr>
      </w:pPr>
      <w:r w:rsidRPr="00B13C4B">
        <w:rPr>
          <w:rFonts w:ascii="Arial" w:hAnsi="Arial" w:cs="Arial"/>
        </w:rPr>
        <w:t>Orono, Maine</w:t>
      </w:r>
    </w:p>
    <w:p w14:paraId="0A6FC990" w14:textId="77777777" w:rsidR="000F31C9" w:rsidRPr="00B13C4B" w:rsidRDefault="000F31C9" w:rsidP="00B13C4B">
      <w:pPr>
        <w:rPr>
          <w:rFonts w:ascii="Arial" w:hAnsi="Arial" w:cs="Arial"/>
        </w:rPr>
      </w:pPr>
    </w:p>
    <w:p w14:paraId="7D9444C4" w14:textId="77777777" w:rsidR="000F31C9" w:rsidRPr="00B13C4B" w:rsidRDefault="000F31C9" w:rsidP="00B13C4B">
      <w:pPr>
        <w:rPr>
          <w:rFonts w:ascii="Arial" w:hAnsi="Arial" w:cs="Arial"/>
          <w:bCs/>
        </w:rPr>
      </w:pPr>
      <w:r w:rsidRPr="00B13C4B">
        <w:rPr>
          <w:rFonts w:ascii="Arial" w:hAnsi="Arial" w:cs="Arial"/>
          <w:b/>
          <w:bCs/>
        </w:rPr>
        <w:t>Report</w:t>
      </w:r>
      <w:r w:rsidRPr="00B13C4B">
        <w:rPr>
          <w:rFonts w:ascii="Arial" w:hAnsi="Arial" w:cs="Arial"/>
          <w:b/>
          <w:bCs/>
          <w:spacing w:val="-2"/>
        </w:rPr>
        <w:t xml:space="preserve"> </w:t>
      </w:r>
      <w:r w:rsidRPr="00B13C4B">
        <w:rPr>
          <w:rFonts w:ascii="Arial" w:hAnsi="Arial" w:cs="Arial"/>
          <w:b/>
          <w:bCs/>
        </w:rPr>
        <w:t>on</w:t>
      </w:r>
      <w:r w:rsidRPr="00B13C4B">
        <w:rPr>
          <w:rFonts w:ascii="Arial" w:hAnsi="Arial" w:cs="Arial"/>
          <w:b/>
          <w:bCs/>
          <w:spacing w:val="-5"/>
        </w:rPr>
        <w:t xml:space="preserve"> </w:t>
      </w:r>
      <w:r w:rsidRPr="00B13C4B">
        <w:rPr>
          <w:rFonts w:ascii="Arial" w:hAnsi="Arial" w:cs="Arial"/>
          <w:b/>
          <w:bCs/>
        </w:rPr>
        <w:t>the</w:t>
      </w:r>
      <w:r w:rsidRPr="00B13C4B">
        <w:rPr>
          <w:rFonts w:ascii="Arial" w:hAnsi="Arial" w:cs="Arial"/>
          <w:b/>
          <w:bCs/>
          <w:spacing w:val="-4"/>
        </w:rPr>
        <w:t xml:space="preserve"> </w:t>
      </w:r>
      <w:r w:rsidRPr="00B13C4B">
        <w:rPr>
          <w:rFonts w:ascii="Arial" w:hAnsi="Arial" w:cs="Arial"/>
          <w:b/>
          <w:bCs/>
        </w:rPr>
        <w:t>Audit</w:t>
      </w:r>
      <w:r w:rsidRPr="00B13C4B">
        <w:rPr>
          <w:rFonts w:ascii="Arial" w:hAnsi="Arial" w:cs="Arial"/>
          <w:b/>
          <w:bCs/>
          <w:spacing w:val="-4"/>
        </w:rPr>
        <w:t xml:space="preserve"> </w:t>
      </w:r>
      <w:r w:rsidRPr="00B13C4B">
        <w:rPr>
          <w:rFonts w:ascii="Arial" w:hAnsi="Arial" w:cs="Arial"/>
          <w:b/>
          <w:bCs/>
        </w:rPr>
        <w:t>of</w:t>
      </w:r>
      <w:r w:rsidRPr="00B13C4B">
        <w:rPr>
          <w:rFonts w:ascii="Arial" w:hAnsi="Arial" w:cs="Arial"/>
          <w:b/>
          <w:bCs/>
          <w:spacing w:val="-4"/>
        </w:rPr>
        <w:t xml:space="preserve"> </w:t>
      </w:r>
      <w:r w:rsidRPr="00B13C4B">
        <w:rPr>
          <w:rFonts w:ascii="Arial" w:hAnsi="Arial" w:cs="Arial"/>
          <w:b/>
          <w:bCs/>
        </w:rPr>
        <w:t>the</w:t>
      </w:r>
      <w:r w:rsidRPr="00B13C4B">
        <w:rPr>
          <w:rFonts w:ascii="Arial" w:hAnsi="Arial" w:cs="Arial"/>
          <w:b/>
          <w:bCs/>
          <w:spacing w:val="-3"/>
        </w:rPr>
        <w:t xml:space="preserve"> </w:t>
      </w:r>
      <w:r w:rsidRPr="00B13C4B">
        <w:rPr>
          <w:rFonts w:ascii="Arial" w:hAnsi="Arial" w:cs="Arial"/>
          <w:b/>
          <w:bCs/>
        </w:rPr>
        <w:t>Financial</w:t>
      </w:r>
      <w:r w:rsidRPr="00B13C4B">
        <w:rPr>
          <w:rFonts w:ascii="Arial" w:hAnsi="Arial" w:cs="Arial"/>
          <w:b/>
          <w:bCs/>
          <w:spacing w:val="-3"/>
        </w:rPr>
        <w:t xml:space="preserve"> </w:t>
      </w:r>
      <w:r w:rsidRPr="00B13C4B">
        <w:rPr>
          <w:rFonts w:ascii="Arial" w:hAnsi="Arial" w:cs="Arial"/>
          <w:b/>
          <w:bCs/>
          <w:spacing w:val="-2"/>
        </w:rPr>
        <w:t>Statements</w:t>
      </w:r>
    </w:p>
    <w:p w14:paraId="3C1F20E5" w14:textId="77777777" w:rsidR="000F31C9" w:rsidRPr="00B13C4B" w:rsidRDefault="000F31C9" w:rsidP="00B13C4B">
      <w:pPr>
        <w:rPr>
          <w:bCs/>
        </w:rPr>
      </w:pPr>
      <w:r w:rsidRPr="00B13C4B">
        <w:rPr>
          <w:rFonts w:ascii="Arial" w:hAnsi="Arial" w:cs="Arial"/>
          <w:b/>
          <w:bCs/>
          <w:i/>
          <w:spacing w:val="-2"/>
        </w:rPr>
        <w:t>Opinions</w:t>
      </w:r>
    </w:p>
    <w:p w14:paraId="113DB741" w14:textId="2DBA5596" w:rsidR="000F31C9" w:rsidRPr="00B13C4B" w:rsidRDefault="000F31C9" w:rsidP="00B13C4B">
      <w:pPr>
        <w:rPr>
          <w:rFonts w:ascii="Arial" w:hAnsi="Arial" w:cs="Arial"/>
        </w:rPr>
      </w:pPr>
      <w:r w:rsidRPr="00B13C4B">
        <w:rPr>
          <w:rFonts w:ascii="Arial" w:hAnsi="Arial" w:cs="Arial"/>
        </w:rPr>
        <w:t xml:space="preserve">We have audited the accompanying financial statements of the business-type activities, the discretely presented component unit, and the </w:t>
      </w:r>
      <w:r w:rsidR="004F7C47">
        <w:rPr>
          <w:rFonts w:ascii="Arial" w:hAnsi="Arial" w:cs="Arial"/>
        </w:rPr>
        <w:t>fiduciary activities</w:t>
      </w:r>
      <w:r w:rsidRPr="00B13C4B">
        <w:rPr>
          <w:rFonts w:ascii="Arial" w:hAnsi="Arial" w:cs="Arial"/>
        </w:rPr>
        <w:t xml:space="preserve"> of the University of Maine System (the System) (a component unit of the state of Maine), as of and for the years ended June 30, 2023 and 2022 for the business-type activities and the </w:t>
      </w:r>
      <w:r w:rsidR="004F7C47">
        <w:rPr>
          <w:rFonts w:ascii="Arial" w:hAnsi="Arial" w:cs="Arial"/>
        </w:rPr>
        <w:t>fiduciary activities</w:t>
      </w:r>
      <w:r w:rsidRPr="00B13C4B">
        <w:rPr>
          <w:rFonts w:ascii="Arial" w:hAnsi="Arial" w:cs="Arial"/>
        </w:rPr>
        <w:t>, and</w:t>
      </w:r>
      <w:r w:rsidRPr="00B13C4B">
        <w:rPr>
          <w:rFonts w:ascii="Arial" w:hAnsi="Arial" w:cs="Arial"/>
          <w:spacing w:val="-2"/>
        </w:rPr>
        <w:t xml:space="preserve"> </w:t>
      </w:r>
      <w:r w:rsidRPr="00B13C4B">
        <w:rPr>
          <w:rFonts w:ascii="Arial" w:hAnsi="Arial" w:cs="Arial"/>
        </w:rPr>
        <w:t xml:space="preserve">as of and for the year ended and six month period ended December 31, 2022 and December 31, 2021, respectively, for the discretely presented component unit, and the related notes to the financial statements, which collectively comprise the System’s basic financial statements as listed in the table of </w:t>
      </w:r>
      <w:r w:rsidRPr="00B13C4B">
        <w:rPr>
          <w:rFonts w:ascii="Arial" w:hAnsi="Arial" w:cs="Arial"/>
          <w:spacing w:val="-2"/>
        </w:rPr>
        <w:t>contents.</w:t>
      </w:r>
    </w:p>
    <w:p w14:paraId="07ABE5B9" w14:textId="77777777" w:rsidR="000F31C9" w:rsidRPr="00B13C4B" w:rsidRDefault="000F31C9" w:rsidP="00B13C4B">
      <w:pPr>
        <w:rPr>
          <w:rFonts w:ascii="Arial" w:hAnsi="Arial" w:cs="Arial"/>
        </w:rPr>
      </w:pPr>
    </w:p>
    <w:p w14:paraId="7D2F349C" w14:textId="05A0C7F8" w:rsidR="004F7C47" w:rsidRPr="004F7C47" w:rsidRDefault="004F7C47" w:rsidP="004F7C47">
      <w:pPr>
        <w:rPr>
          <w:rFonts w:ascii="Arial" w:hAnsi="Arial" w:cs="Arial"/>
        </w:rPr>
      </w:pPr>
      <w:r w:rsidRPr="004F7C47">
        <w:rPr>
          <w:rFonts w:ascii="Arial" w:hAnsi="Arial" w:cs="Arial"/>
        </w:rPr>
        <w:t>In our opinion, based on our audits and the reports of other auditors, the financial statements referred</w:t>
      </w:r>
      <w:r>
        <w:rPr>
          <w:rFonts w:ascii="Arial" w:hAnsi="Arial" w:cs="Arial"/>
        </w:rPr>
        <w:t xml:space="preserve"> </w:t>
      </w:r>
      <w:r w:rsidRPr="004F7C47">
        <w:rPr>
          <w:rFonts w:ascii="Arial" w:hAnsi="Arial" w:cs="Arial"/>
        </w:rPr>
        <w:t>to above present fairly, in all material respects, the respective financial position of the business-type</w:t>
      </w:r>
      <w:r>
        <w:rPr>
          <w:rFonts w:ascii="Arial" w:hAnsi="Arial" w:cs="Arial"/>
        </w:rPr>
        <w:t xml:space="preserve"> </w:t>
      </w:r>
      <w:r w:rsidRPr="004F7C47">
        <w:rPr>
          <w:rFonts w:ascii="Arial" w:hAnsi="Arial" w:cs="Arial"/>
        </w:rPr>
        <w:t>activities, the discretely presented component unit, and the fiduciary activities of the System, as of June</w:t>
      </w:r>
      <w:r>
        <w:rPr>
          <w:rFonts w:ascii="Arial" w:hAnsi="Arial" w:cs="Arial"/>
        </w:rPr>
        <w:t xml:space="preserve"> </w:t>
      </w:r>
      <w:r w:rsidRPr="004F7C47">
        <w:rPr>
          <w:rFonts w:ascii="Arial" w:hAnsi="Arial" w:cs="Arial"/>
        </w:rPr>
        <w:t>30, 2023 and 2022 for the business-type activity and the fiduciary activities, and as of December 31,</w:t>
      </w:r>
      <w:r>
        <w:rPr>
          <w:rFonts w:ascii="Arial" w:hAnsi="Arial" w:cs="Arial"/>
        </w:rPr>
        <w:t xml:space="preserve"> </w:t>
      </w:r>
      <w:r w:rsidRPr="004F7C47">
        <w:rPr>
          <w:rFonts w:ascii="Arial" w:hAnsi="Arial" w:cs="Arial"/>
        </w:rPr>
        <w:t>2022 and 2021 for the discretely presented component unit, and the respective changes in financial</w:t>
      </w:r>
      <w:r>
        <w:rPr>
          <w:rFonts w:ascii="Arial" w:hAnsi="Arial" w:cs="Arial"/>
        </w:rPr>
        <w:t xml:space="preserve"> </w:t>
      </w:r>
      <w:r w:rsidRPr="004F7C47">
        <w:rPr>
          <w:rFonts w:ascii="Arial" w:hAnsi="Arial" w:cs="Arial"/>
        </w:rPr>
        <w:t>position, and, where applicable, cash flows thereof for the years then ended for the business-type</w:t>
      </w:r>
      <w:r>
        <w:rPr>
          <w:rFonts w:ascii="Arial" w:hAnsi="Arial" w:cs="Arial"/>
        </w:rPr>
        <w:t xml:space="preserve"> </w:t>
      </w:r>
      <w:r w:rsidRPr="004F7C47">
        <w:rPr>
          <w:rFonts w:ascii="Arial" w:hAnsi="Arial" w:cs="Arial"/>
        </w:rPr>
        <w:t>activities and the fiduciary activities, and the year and six month period then ended for the discretely</w:t>
      </w:r>
      <w:r>
        <w:rPr>
          <w:rFonts w:ascii="Arial" w:hAnsi="Arial" w:cs="Arial"/>
        </w:rPr>
        <w:t xml:space="preserve"> </w:t>
      </w:r>
      <w:r w:rsidRPr="004F7C47">
        <w:rPr>
          <w:rFonts w:ascii="Arial" w:hAnsi="Arial" w:cs="Arial"/>
        </w:rPr>
        <w:t>presented component unit, in accordance with accounting principles generally accepted in the United</w:t>
      </w:r>
      <w:r>
        <w:rPr>
          <w:rFonts w:ascii="Arial" w:hAnsi="Arial" w:cs="Arial"/>
        </w:rPr>
        <w:t xml:space="preserve"> </w:t>
      </w:r>
      <w:r w:rsidRPr="004F7C47">
        <w:rPr>
          <w:rFonts w:ascii="Arial" w:hAnsi="Arial" w:cs="Arial"/>
        </w:rPr>
        <w:t>States of America.</w:t>
      </w:r>
      <w:r>
        <w:rPr>
          <w:rFonts w:ascii="Arial" w:hAnsi="Arial" w:cs="Arial"/>
        </w:rPr>
        <w:t xml:space="preserve"> </w:t>
      </w:r>
      <w:r w:rsidRPr="004F7C47">
        <w:rPr>
          <w:rFonts w:ascii="Arial" w:hAnsi="Arial" w:cs="Arial"/>
        </w:rPr>
        <w:t>We did not audit the financial statements of the discretely presented component unit which statements</w:t>
      </w:r>
      <w:r>
        <w:rPr>
          <w:rFonts w:ascii="Arial" w:hAnsi="Arial" w:cs="Arial"/>
        </w:rPr>
        <w:t xml:space="preserve"> </w:t>
      </w:r>
      <w:r w:rsidRPr="004F7C47">
        <w:rPr>
          <w:rFonts w:ascii="Arial" w:hAnsi="Arial" w:cs="Arial"/>
        </w:rPr>
        <w:t xml:space="preserve">represent 100% of asset, net </w:t>
      </w:r>
      <w:proofErr w:type="gramStart"/>
      <w:r w:rsidRPr="004F7C47">
        <w:rPr>
          <w:rFonts w:ascii="Arial" w:hAnsi="Arial" w:cs="Arial"/>
        </w:rPr>
        <w:t>assets</w:t>
      </w:r>
      <w:proofErr w:type="gramEnd"/>
      <w:r w:rsidRPr="004F7C47">
        <w:rPr>
          <w:rFonts w:ascii="Arial" w:hAnsi="Arial" w:cs="Arial"/>
        </w:rPr>
        <w:t xml:space="preserve"> and revenues of the discretely presented component unit as of and</w:t>
      </w:r>
    </w:p>
    <w:p w14:paraId="792F7605" w14:textId="70CF3F8B" w:rsidR="004F7C47" w:rsidRPr="004F7C47" w:rsidRDefault="004F7C47" w:rsidP="004F7C47">
      <w:pPr>
        <w:rPr>
          <w:rFonts w:ascii="Arial" w:hAnsi="Arial" w:cs="Arial"/>
        </w:rPr>
      </w:pPr>
      <w:r w:rsidRPr="004F7C47">
        <w:rPr>
          <w:rFonts w:ascii="Arial" w:hAnsi="Arial" w:cs="Arial"/>
        </w:rPr>
        <w:t>for the year ended December 31, 2022, and as of and for the six months ended June 30, 2021. Those</w:t>
      </w:r>
      <w:r>
        <w:rPr>
          <w:rFonts w:ascii="Arial" w:hAnsi="Arial" w:cs="Arial"/>
        </w:rPr>
        <w:t xml:space="preserve"> </w:t>
      </w:r>
      <w:r w:rsidRPr="004F7C47">
        <w:rPr>
          <w:rFonts w:ascii="Arial" w:hAnsi="Arial" w:cs="Arial"/>
        </w:rPr>
        <w:t>statements were audited by other auditors, whose reports have been furnished to us, and our opinion,</w:t>
      </w:r>
      <w:r>
        <w:rPr>
          <w:rFonts w:ascii="Arial" w:hAnsi="Arial" w:cs="Arial"/>
        </w:rPr>
        <w:t xml:space="preserve"> </w:t>
      </w:r>
      <w:r w:rsidRPr="004F7C47">
        <w:rPr>
          <w:rFonts w:ascii="Arial" w:hAnsi="Arial" w:cs="Arial"/>
        </w:rPr>
        <w:t>insofar as it relates to the amounts included for the discretely presented component unit, is based</w:t>
      </w:r>
      <w:r>
        <w:rPr>
          <w:rFonts w:ascii="Arial" w:hAnsi="Arial" w:cs="Arial"/>
        </w:rPr>
        <w:t xml:space="preserve"> </w:t>
      </w:r>
      <w:r w:rsidRPr="004F7C47">
        <w:rPr>
          <w:rFonts w:ascii="Arial" w:hAnsi="Arial" w:cs="Arial"/>
        </w:rPr>
        <w:t>solely on the reports of the other auditor.</w:t>
      </w:r>
    </w:p>
    <w:p w14:paraId="6E35BC44" w14:textId="77777777" w:rsidR="004F7C47" w:rsidRDefault="004F7C47" w:rsidP="004F7C47">
      <w:pPr>
        <w:autoSpaceDE w:val="0"/>
        <w:autoSpaceDN w:val="0"/>
        <w:adjustRightInd w:val="0"/>
        <w:rPr>
          <w:rFonts w:ascii="Arial" w:hAnsi="Arial" w:cs="Arial"/>
          <w:b/>
          <w:bCs/>
          <w:i/>
          <w:iCs/>
          <w:color w:val="2C2C2C"/>
          <w:sz w:val="21"/>
          <w:szCs w:val="21"/>
          <w14:ligatures w14:val="standardContextual"/>
        </w:rPr>
      </w:pPr>
    </w:p>
    <w:p w14:paraId="2CCF896A" w14:textId="2FE7E480" w:rsidR="004F7C47" w:rsidRDefault="004F7C47" w:rsidP="004F7C47">
      <w:pPr>
        <w:autoSpaceDE w:val="0"/>
        <w:autoSpaceDN w:val="0"/>
        <w:adjustRightInd w:val="0"/>
        <w:rPr>
          <w:rFonts w:ascii="Arial" w:hAnsi="Arial" w:cs="Arial"/>
          <w:b/>
          <w:bCs/>
          <w:i/>
          <w:iCs/>
          <w:color w:val="2C2C2C"/>
          <w:sz w:val="21"/>
          <w:szCs w:val="21"/>
          <w14:ligatures w14:val="standardContextual"/>
        </w:rPr>
      </w:pPr>
      <w:r>
        <w:rPr>
          <w:rFonts w:ascii="Arial" w:hAnsi="Arial" w:cs="Arial"/>
          <w:b/>
          <w:bCs/>
          <w:i/>
          <w:iCs/>
          <w:color w:val="2C2C2C"/>
          <w:sz w:val="21"/>
          <w:szCs w:val="21"/>
          <w14:ligatures w14:val="standardContextual"/>
        </w:rPr>
        <w:t>Basis for Opinions</w:t>
      </w:r>
    </w:p>
    <w:p w14:paraId="3B48F4F4" w14:textId="684C8505" w:rsidR="00B96412" w:rsidRDefault="004F7C47" w:rsidP="004F7C47">
      <w:pPr>
        <w:autoSpaceDE w:val="0"/>
        <w:autoSpaceDN w:val="0"/>
        <w:adjustRightInd w:val="0"/>
        <w:rPr>
          <w:rFonts w:ascii="Arial" w:hAnsi="Arial" w:cs="Arial"/>
        </w:rPr>
      </w:pPr>
      <w:r>
        <w:rPr>
          <w:rFonts w:ascii="Arial" w:hAnsi="Arial" w:cs="Arial"/>
          <w:color w:val="2C2C2C"/>
          <w14:ligatures w14:val="standardContextual"/>
        </w:rPr>
        <w:t xml:space="preserve">We conducted our audits in accordance with auditing standards generally accepted in the United States of America (GAAS) and the standards applicable to financial audits contained in </w:t>
      </w:r>
      <w:r>
        <w:rPr>
          <w:rFonts w:ascii="Arial" w:hAnsi="Arial" w:cs="Arial"/>
          <w:i/>
          <w:iCs/>
          <w:color w:val="2C2C2C"/>
          <w14:ligatures w14:val="standardContextual"/>
        </w:rPr>
        <w:t>Government Auditing Standards</w:t>
      </w:r>
      <w:r>
        <w:rPr>
          <w:rFonts w:ascii="Arial" w:hAnsi="Arial" w:cs="Arial"/>
          <w:i/>
          <w:iCs/>
          <w:color w:val="434553"/>
          <w14:ligatures w14:val="standardContextual"/>
        </w:rPr>
        <w:t xml:space="preserve">, </w:t>
      </w:r>
      <w:r>
        <w:rPr>
          <w:rFonts w:ascii="Arial" w:hAnsi="Arial" w:cs="Arial"/>
          <w:color w:val="2C2C2C"/>
          <w14:ligatures w14:val="standardContextual"/>
        </w:rPr>
        <w:t>issued by the Comptroller General of the United States. Our responsibilities under those standards are further described in the Auditors' Responsibilities for the Audit of the Financial Statements section of our report</w:t>
      </w:r>
      <w:r>
        <w:rPr>
          <w:rFonts w:ascii="Arial" w:hAnsi="Arial" w:cs="Arial"/>
          <w:color w:val="575757"/>
          <w14:ligatures w14:val="standardContextual"/>
        </w:rPr>
        <w:t xml:space="preserve">. </w:t>
      </w:r>
      <w:r>
        <w:rPr>
          <w:rFonts w:ascii="Arial" w:hAnsi="Arial" w:cs="Arial"/>
          <w:color w:val="2C2C2C"/>
          <w14:ligatures w14:val="standardContextual"/>
        </w:rPr>
        <w:t>We are required to be independent of the System and to meet our other ethical responsibilities</w:t>
      </w:r>
      <w:r>
        <w:rPr>
          <w:rFonts w:ascii="Arial" w:hAnsi="Arial" w:cs="Arial"/>
          <w:color w:val="434553"/>
          <w14:ligatures w14:val="standardContextual"/>
        </w:rPr>
        <w:t xml:space="preserve">, </w:t>
      </w:r>
      <w:r>
        <w:rPr>
          <w:rFonts w:ascii="Arial" w:hAnsi="Arial" w:cs="Arial"/>
          <w:color w:val="2C2C2C"/>
          <w14:ligatures w14:val="standardContextual"/>
        </w:rPr>
        <w:t>in accordance with the relevant ethical requirements relating to our audits. We believe that the audit evidence we have obtained is sufficient and appropriate to provide a basis for our audit opinions. The financial statements of the discretely presented component unit, the University of Maine Foundation (Foundation)</w:t>
      </w:r>
      <w:r>
        <w:rPr>
          <w:rFonts w:ascii="Arial" w:hAnsi="Arial" w:cs="Arial"/>
          <w:color w:val="434553"/>
          <w14:ligatures w14:val="standardContextual"/>
        </w:rPr>
        <w:t xml:space="preserve">, </w:t>
      </w:r>
      <w:r>
        <w:rPr>
          <w:rFonts w:ascii="Arial" w:hAnsi="Arial" w:cs="Arial"/>
          <w:color w:val="2C2C2C"/>
          <w14:ligatures w14:val="standardContextual"/>
        </w:rPr>
        <w:t xml:space="preserve">were not audited in accordance with </w:t>
      </w:r>
      <w:r>
        <w:rPr>
          <w:rFonts w:ascii="Arial" w:hAnsi="Arial" w:cs="Arial"/>
          <w:i/>
          <w:iCs/>
          <w:color w:val="2C2C2C"/>
          <w14:ligatures w14:val="standardContextual"/>
        </w:rPr>
        <w:t>Government Auditing Standards</w:t>
      </w:r>
      <w:r>
        <w:rPr>
          <w:rFonts w:ascii="Arial" w:hAnsi="Arial" w:cs="Arial"/>
          <w:i/>
          <w:iCs/>
          <w:color w:val="575757"/>
          <w14:ligatures w14:val="standardContextual"/>
        </w:rPr>
        <w:t>.</w:t>
      </w:r>
    </w:p>
    <w:p w14:paraId="0C8CB557" w14:textId="77777777" w:rsidR="00BD53BD" w:rsidRDefault="00BD53BD" w:rsidP="00BD53BD">
      <w:pPr>
        <w:rPr>
          <w:rFonts w:ascii="Arial" w:hAnsi="Arial" w:cs="Arial"/>
        </w:rPr>
      </w:pPr>
    </w:p>
    <w:p w14:paraId="4579BF05" w14:textId="70138404" w:rsidR="00B96412" w:rsidRDefault="004F7C47" w:rsidP="00B13C4B">
      <w:pPr>
        <w:rPr>
          <w:rFonts w:ascii="Arial" w:hAnsi="Arial" w:cs="Arial"/>
        </w:rPr>
      </w:pPr>
      <w:r w:rsidRPr="004B7704">
        <w:rPr>
          <w:rFonts w:ascii="Arial" w:hAnsi="Arial" w:cs="Arial"/>
          <w:color w:val="0D0D0D" w:themeColor="text1" w:themeTint="F2"/>
          <w:sz w:val="13"/>
          <w:szCs w:val="13"/>
          <w14:ligatures w14:val="standardContextual"/>
        </w:rPr>
        <w:t>CLA (</w:t>
      </w:r>
      <w:proofErr w:type="spellStart"/>
      <w:r w:rsidRPr="004B7704">
        <w:rPr>
          <w:rFonts w:ascii="Arial" w:hAnsi="Arial" w:cs="Arial"/>
          <w:color w:val="0D0D0D" w:themeColor="text1" w:themeTint="F2"/>
          <w:sz w:val="13"/>
          <w:szCs w:val="13"/>
          <w14:ligatures w14:val="standardContextual"/>
        </w:rPr>
        <w:t>CliftonlarsonAllen</w:t>
      </w:r>
      <w:proofErr w:type="spellEnd"/>
      <w:r w:rsidRPr="004B7704">
        <w:rPr>
          <w:rFonts w:ascii="Arial" w:hAnsi="Arial" w:cs="Arial"/>
          <w:color w:val="0D0D0D" w:themeColor="text1" w:themeTint="F2"/>
          <w:sz w:val="13"/>
          <w:szCs w:val="13"/>
          <w14:ligatures w14:val="standardContextual"/>
        </w:rPr>
        <w:t xml:space="preserve"> LLP) is an independent network member of CLA Global. See </w:t>
      </w:r>
      <w:r>
        <w:rPr>
          <w:rFonts w:ascii="Arial" w:hAnsi="Arial" w:cs="Arial"/>
          <w:color w:val="4760AA"/>
          <w:sz w:val="13"/>
          <w:szCs w:val="13"/>
          <w14:ligatures w14:val="standardContextual"/>
        </w:rPr>
        <w:t>CLAglobal.com/disclaimer</w:t>
      </w:r>
      <w:r w:rsidRPr="004B7704">
        <w:rPr>
          <w:rFonts w:ascii="Arial" w:hAnsi="Arial" w:cs="Arial"/>
          <w:color w:val="0D0D0D" w:themeColor="text1" w:themeTint="F2"/>
          <w:sz w:val="13"/>
          <w:szCs w:val="13"/>
          <w14:ligatures w14:val="standardContextual"/>
        </w:rPr>
        <w:t>.</w:t>
      </w:r>
    </w:p>
    <w:p w14:paraId="0BC3C69E" w14:textId="77777777" w:rsidR="00BD53BD" w:rsidRDefault="00BD53BD" w:rsidP="004F7C47">
      <w:pPr>
        <w:autoSpaceDE w:val="0"/>
        <w:autoSpaceDN w:val="0"/>
        <w:adjustRightInd w:val="0"/>
        <w:rPr>
          <w:rFonts w:ascii="Arial" w:hAnsi="Arial" w:cs="Arial"/>
          <w:b/>
          <w:bCs/>
          <w:i/>
          <w:iCs/>
          <w:color w:val="010101"/>
          <w:sz w:val="21"/>
          <w:szCs w:val="21"/>
          <w14:ligatures w14:val="standardContextual"/>
        </w:rPr>
      </w:pPr>
    </w:p>
    <w:p w14:paraId="5BF18B69" w14:textId="77777777" w:rsidR="00BD53BD" w:rsidRDefault="00BD53BD" w:rsidP="004F7C47">
      <w:pPr>
        <w:autoSpaceDE w:val="0"/>
        <w:autoSpaceDN w:val="0"/>
        <w:adjustRightInd w:val="0"/>
        <w:rPr>
          <w:rFonts w:ascii="Arial" w:hAnsi="Arial" w:cs="Arial"/>
          <w:b/>
          <w:bCs/>
          <w:i/>
          <w:iCs/>
          <w:color w:val="010101"/>
          <w:sz w:val="21"/>
          <w:szCs w:val="21"/>
          <w14:ligatures w14:val="standardContextual"/>
        </w:rPr>
      </w:pPr>
    </w:p>
    <w:p w14:paraId="1D564560" w14:textId="70A7443B" w:rsidR="004F7C47" w:rsidRDefault="004F7C47" w:rsidP="004F7C47">
      <w:pPr>
        <w:autoSpaceDE w:val="0"/>
        <w:autoSpaceDN w:val="0"/>
        <w:adjustRightInd w:val="0"/>
        <w:rPr>
          <w:rFonts w:ascii="Arial" w:hAnsi="Arial" w:cs="Arial"/>
          <w:b/>
          <w:bCs/>
          <w:i/>
          <w:iCs/>
          <w:color w:val="010101"/>
          <w:sz w:val="21"/>
          <w:szCs w:val="21"/>
          <w14:ligatures w14:val="standardContextual"/>
        </w:rPr>
      </w:pPr>
      <w:r>
        <w:rPr>
          <w:rFonts w:ascii="Arial" w:hAnsi="Arial" w:cs="Arial"/>
          <w:b/>
          <w:bCs/>
          <w:i/>
          <w:iCs/>
          <w:color w:val="010101"/>
          <w:sz w:val="21"/>
          <w:szCs w:val="21"/>
          <w14:ligatures w14:val="standardContextual"/>
        </w:rPr>
        <w:t>Emphasis of Matter</w:t>
      </w:r>
    </w:p>
    <w:p w14:paraId="11B0331E" w14:textId="14CCA251" w:rsidR="004F7C47" w:rsidRDefault="004F7C47" w:rsidP="004F7C47">
      <w:pPr>
        <w:autoSpaceDE w:val="0"/>
        <w:autoSpaceDN w:val="0"/>
        <w:adjustRightInd w:val="0"/>
        <w:rPr>
          <w:rFonts w:ascii="Arial" w:hAnsi="Arial" w:cs="Arial"/>
          <w:color w:val="010101"/>
          <w14:ligatures w14:val="standardContextual"/>
        </w:rPr>
      </w:pPr>
      <w:r>
        <w:rPr>
          <w:rFonts w:ascii="Arial" w:hAnsi="Arial" w:cs="Arial"/>
          <w:color w:val="010101"/>
          <w14:ligatures w14:val="standardContextual"/>
        </w:rPr>
        <w:t xml:space="preserve">As discussed in Note 1 to the financial statements, the System implemented the </w:t>
      </w:r>
      <w:r w:rsidR="00DD5071">
        <w:rPr>
          <w:rFonts w:ascii="Arial" w:hAnsi="Arial" w:cs="Arial"/>
          <w:color w:val="010101"/>
          <w14:ligatures w14:val="standardContextual"/>
        </w:rPr>
        <w:t>provisions</w:t>
      </w:r>
      <w:r>
        <w:rPr>
          <w:rFonts w:ascii="Arial" w:hAnsi="Arial" w:cs="Arial"/>
          <w:color w:val="010101"/>
          <w14:ligatures w14:val="standardContextual"/>
        </w:rPr>
        <w:t xml:space="preserve"> of</w:t>
      </w:r>
    </w:p>
    <w:p w14:paraId="49253AB7" w14:textId="572DC611" w:rsidR="004F7C47" w:rsidRDefault="004F7C47" w:rsidP="004F7C47">
      <w:pPr>
        <w:autoSpaceDE w:val="0"/>
        <w:autoSpaceDN w:val="0"/>
        <w:adjustRightInd w:val="0"/>
        <w:rPr>
          <w:rFonts w:ascii="Arial" w:hAnsi="Arial" w:cs="Arial"/>
          <w:color w:val="010101"/>
          <w14:ligatures w14:val="standardContextual"/>
        </w:rPr>
      </w:pPr>
      <w:r>
        <w:rPr>
          <w:rFonts w:ascii="Arial" w:hAnsi="Arial" w:cs="Arial"/>
          <w:color w:val="010101"/>
          <w14:ligatures w14:val="standardContextual"/>
        </w:rPr>
        <w:t xml:space="preserve">Governmental Accounting Standards Board (GASS) Statement No. 94, </w:t>
      </w:r>
      <w:r>
        <w:rPr>
          <w:rFonts w:ascii="Arial" w:hAnsi="Arial" w:cs="Arial"/>
          <w:i/>
          <w:iCs/>
          <w:color w:val="010101"/>
          <w14:ligatures w14:val="standardContextual"/>
        </w:rPr>
        <w:t xml:space="preserve">Public-Public Partnerships </w:t>
      </w:r>
      <w:r>
        <w:rPr>
          <w:rFonts w:ascii="Arial" w:hAnsi="Arial" w:cs="Arial"/>
          <w:color w:val="010101"/>
          <w14:ligatures w14:val="standardContextual"/>
        </w:rPr>
        <w:t xml:space="preserve">&amp; </w:t>
      </w:r>
      <w:r>
        <w:rPr>
          <w:rFonts w:ascii="Arial" w:hAnsi="Arial" w:cs="Arial"/>
          <w:i/>
          <w:iCs/>
          <w:color w:val="010101"/>
          <w14:ligatures w14:val="standardContextual"/>
        </w:rPr>
        <w:t xml:space="preserve">Public-Private Partnerships and Availability Payment Arrangements, and </w:t>
      </w:r>
      <w:r>
        <w:rPr>
          <w:rFonts w:ascii="Arial" w:hAnsi="Arial" w:cs="Arial"/>
          <w:color w:val="010101"/>
          <w14:ligatures w14:val="standardContextual"/>
        </w:rPr>
        <w:t xml:space="preserve">GASS Statement No. 96 </w:t>
      </w:r>
      <w:r>
        <w:rPr>
          <w:rFonts w:ascii="Arial" w:hAnsi="Arial" w:cs="Arial"/>
          <w:i/>
          <w:iCs/>
          <w:color w:val="010101"/>
          <w14:ligatures w14:val="standardContextual"/>
        </w:rPr>
        <w:t xml:space="preserve">Subscription-Based Information Technology Arrangements, </w:t>
      </w:r>
      <w:r>
        <w:rPr>
          <w:rFonts w:ascii="Arial" w:hAnsi="Arial" w:cs="Arial"/>
          <w:color w:val="010101"/>
          <w14:ligatures w14:val="standardContextual"/>
        </w:rPr>
        <w:t>for the year ended June 30, 2023, which represent changes in accounting principles</w:t>
      </w:r>
      <w:r>
        <w:rPr>
          <w:rFonts w:ascii="Arial" w:hAnsi="Arial" w:cs="Arial"/>
          <w:color w:val="505050"/>
          <w14:ligatures w14:val="standardContextual"/>
        </w:rPr>
        <w:t xml:space="preserve">. </w:t>
      </w:r>
      <w:r>
        <w:rPr>
          <w:rFonts w:ascii="Arial" w:hAnsi="Arial" w:cs="Arial"/>
          <w:color w:val="010101"/>
          <w14:ligatures w14:val="standardContextual"/>
        </w:rPr>
        <w:t xml:space="preserve">The System's June 30, </w:t>
      </w:r>
      <w:proofErr w:type="gramStart"/>
      <w:r>
        <w:rPr>
          <w:rFonts w:ascii="Arial" w:hAnsi="Arial" w:cs="Arial"/>
          <w:color w:val="010101"/>
          <w14:ligatures w14:val="standardContextual"/>
        </w:rPr>
        <w:t>2022</w:t>
      </w:r>
      <w:proofErr w:type="gramEnd"/>
      <w:r>
        <w:rPr>
          <w:rFonts w:ascii="Arial" w:hAnsi="Arial" w:cs="Arial"/>
          <w:color w:val="010101"/>
          <w14:ligatures w14:val="standardContextual"/>
        </w:rPr>
        <w:t xml:space="preserve"> statement of net position, statement of revenues, expenses, and changes in net position, and statement of cash flows were restated to reflect the impact of adoption. A summary of the restatement is presented in Note 1. Our opinions are not modified with respect to this matter.</w:t>
      </w:r>
    </w:p>
    <w:p w14:paraId="34F8804F" w14:textId="77777777" w:rsidR="004F7C47" w:rsidRDefault="004F7C47" w:rsidP="004F7C47">
      <w:pPr>
        <w:autoSpaceDE w:val="0"/>
        <w:autoSpaceDN w:val="0"/>
        <w:adjustRightInd w:val="0"/>
        <w:rPr>
          <w:rFonts w:ascii="Arial" w:hAnsi="Arial" w:cs="Arial"/>
          <w:b/>
          <w:bCs/>
          <w:i/>
          <w:iCs/>
          <w:color w:val="010101"/>
          <w:sz w:val="21"/>
          <w:szCs w:val="21"/>
          <w14:ligatures w14:val="standardContextual"/>
        </w:rPr>
      </w:pPr>
    </w:p>
    <w:p w14:paraId="344A6249" w14:textId="12146F24" w:rsidR="004F7C47" w:rsidRDefault="004F7C47" w:rsidP="004F7C47">
      <w:pPr>
        <w:autoSpaceDE w:val="0"/>
        <w:autoSpaceDN w:val="0"/>
        <w:adjustRightInd w:val="0"/>
        <w:rPr>
          <w:rFonts w:ascii="Arial" w:hAnsi="Arial" w:cs="Arial"/>
          <w:b/>
          <w:bCs/>
          <w:i/>
          <w:iCs/>
          <w:color w:val="010101"/>
          <w:sz w:val="21"/>
          <w:szCs w:val="21"/>
          <w14:ligatures w14:val="standardContextual"/>
        </w:rPr>
      </w:pPr>
      <w:r>
        <w:rPr>
          <w:rFonts w:ascii="Arial" w:hAnsi="Arial" w:cs="Arial"/>
          <w:b/>
          <w:bCs/>
          <w:i/>
          <w:iCs/>
          <w:color w:val="010101"/>
          <w:sz w:val="21"/>
          <w:szCs w:val="21"/>
          <w14:ligatures w14:val="standardContextual"/>
        </w:rPr>
        <w:t>Responsibilities of Management for the Financial Statements</w:t>
      </w:r>
    </w:p>
    <w:p w14:paraId="55E8B379" w14:textId="4BE8DEBA" w:rsidR="004F7C47" w:rsidRDefault="004F7C47" w:rsidP="004F7C47">
      <w:pPr>
        <w:autoSpaceDE w:val="0"/>
        <w:autoSpaceDN w:val="0"/>
        <w:adjustRightInd w:val="0"/>
        <w:rPr>
          <w:rFonts w:ascii="Arial" w:hAnsi="Arial" w:cs="Arial"/>
          <w:color w:val="010101"/>
          <w14:ligatures w14:val="standardContextual"/>
        </w:rPr>
      </w:pPr>
      <w:r>
        <w:rPr>
          <w:rFonts w:ascii="Arial" w:hAnsi="Arial" w:cs="Arial"/>
          <w:color w:val="010101"/>
          <w14:ligatures w14:val="standardContextual"/>
        </w:rPr>
        <w:t>Management is responsible for the preparation and fair presentation of the financial statements in accordance with accounting principles generally accepted in the United States of America</w:t>
      </w:r>
      <w:r>
        <w:rPr>
          <w:rFonts w:ascii="Arial" w:hAnsi="Arial" w:cs="Arial"/>
          <w:color w:val="282828"/>
          <w14:ligatures w14:val="standardContextual"/>
        </w:rPr>
        <w:t xml:space="preserve">, </w:t>
      </w:r>
      <w:r>
        <w:rPr>
          <w:rFonts w:ascii="Arial" w:hAnsi="Arial" w:cs="Arial"/>
          <w:color w:val="010101"/>
          <w14:ligatures w14:val="standardContextual"/>
        </w:rPr>
        <w:t>and for the design, implementation, and maintenance of internal control relevant to the preparation and fair presentation of financial statements that are free from material misstatement</w:t>
      </w:r>
      <w:r>
        <w:rPr>
          <w:rFonts w:ascii="Arial" w:hAnsi="Arial" w:cs="Arial"/>
          <w:color w:val="282828"/>
          <w14:ligatures w14:val="standardContextual"/>
        </w:rPr>
        <w:t xml:space="preserve">, </w:t>
      </w:r>
      <w:r>
        <w:rPr>
          <w:rFonts w:ascii="Arial" w:hAnsi="Arial" w:cs="Arial"/>
          <w:color w:val="010101"/>
          <w14:ligatures w14:val="standardContextual"/>
        </w:rPr>
        <w:t>whether due to fraud or error.</w:t>
      </w:r>
    </w:p>
    <w:p w14:paraId="2D7E80C8" w14:textId="77777777" w:rsidR="004F7C47" w:rsidRDefault="004F7C47" w:rsidP="004F7C47">
      <w:pPr>
        <w:autoSpaceDE w:val="0"/>
        <w:autoSpaceDN w:val="0"/>
        <w:adjustRightInd w:val="0"/>
        <w:rPr>
          <w:rFonts w:ascii="Arial" w:hAnsi="Arial" w:cs="Arial"/>
          <w:color w:val="010101"/>
          <w14:ligatures w14:val="standardContextual"/>
        </w:rPr>
      </w:pPr>
    </w:p>
    <w:p w14:paraId="47135FF2" w14:textId="5BA09460" w:rsidR="004F7C47" w:rsidRDefault="004F7C47" w:rsidP="004F7C47">
      <w:pPr>
        <w:autoSpaceDE w:val="0"/>
        <w:autoSpaceDN w:val="0"/>
        <w:adjustRightInd w:val="0"/>
        <w:rPr>
          <w:rFonts w:ascii="Arial" w:hAnsi="Arial" w:cs="Arial"/>
          <w:color w:val="505050"/>
          <w14:ligatures w14:val="standardContextual"/>
        </w:rPr>
      </w:pPr>
      <w:r>
        <w:rPr>
          <w:rFonts w:ascii="Arial" w:hAnsi="Arial" w:cs="Arial"/>
          <w:color w:val="010101"/>
          <w14:ligatures w14:val="standardContextual"/>
        </w:rPr>
        <w:t>In preparing the financial statements, management is required to evaluate whether there are conditions or events, considered in the aggregate, that raise substantial doubt about the System's ability to continue as a going concern for twelve months beyond the financial statement date, including any currently known information that may raise substantial doubt shortly thereafter</w:t>
      </w:r>
      <w:r>
        <w:rPr>
          <w:rFonts w:ascii="Arial" w:hAnsi="Arial" w:cs="Arial"/>
          <w:color w:val="505050"/>
          <w14:ligatures w14:val="standardContextual"/>
        </w:rPr>
        <w:t>.</w:t>
      </w:r>
    </w:p>
    <w:p w14:paraId="68AF2543" w14:textId="77777777" w:rsidR="004F7C47" w:rsidRDefault="004F7C47" w:rsidP="004F7C47">
      <w:pPr>
        <w:autoSpaceDE w:val="0"/>
        <w:autoSpaceDN w:val="0"/>
        <w:adjustRightInd w:val="0"/>
        <w:rPr>
          <w:rFonts w:ascii="Arial" w:hAnsi="Arial" w:cs="Arial"/>
          <w:b/>
          <w:bCs/>
          <w:i/>
          <w:iCs/>
          <w:color w:val="010101"/>
          <w:sz w:val="21"/>
          <w:szCs w:val="21"/>
          <w14:ligatures w14:val="standardContextual"/>
        </w:rPr>
      </w:pPr>
    </w:p>
    <w:p w14:paraId="4D549849" w14:textId="3A68FC98" w:rsidR="004F7C47" w:rsidRDefault="004F7C47" w:rsidP="004F7C47">
      <w:pPr>
        <w:autoSpaceDE w:val="0"/>
        <w:autoSpaceDN w:val="0"/>
        <w:adjustRightInd w:val="0"/>
        <w:rPr>
          <w:rFonts w:ascii="Arial" w:hAnsi="Arial" w:cs="Arial"/>
          <w:b/>
          <w:bCs/>
          <w:i/>
          <w:iCs/>
          <w:color w:val="010101"/>
          <w:sz w:val="21"/>
          <w:szCs w:val="21"/>
          <w14:ligatures w14:val="standardContextual"/>
        </w:rPr>
      </w:pPr>
      <w:r>
        <w:rPr>
          <w:rFonts w:ascii="Arial" w:hAnsi="Arial" w:cs="Arial"/>
          <w:b/>
          <w:bCs/>
          <w:i/>
          <w:iCs/>
          <w:color w:val="010101"/>
          <w:sz w:val="21"/>
          <w:szCs w:val="21"/>
          <w14:ligatures w14:val="standardContextual"/>
        </w:rPr>
        <w:t>Auditors' Responsibilities for the Audit of the Financial Statements</w:t>
      </w:r>
    </w:p>
    <w:p w14:paraId="0B81DA8C" w14:textId="5659EB39" w:rsidR="004F7C47" w:rsidRDefault="004F7C47" w:rsidP="004F7C47">
      <w:pPr>
        <w:autoSpaceDE w:val="0"/>
        <w:autoSpaceDN w:val="0"/>
        <w:adjustRightInd w:val="0"/>
        <w:rPr>
          <w:rFonts w:ascii="Arial" w:hAnsi="Arial" w:cs="Arial"/>
          <w:color w:val="717171"/>
          <w14:ligatures w14:val="standardContextual"/>
        </w:rPr>
      </w:pPr>
      <w:r>
        <w:rPr>
          <w:rFonts w:ascii="Arial" w:hAnsi="Arial" w:cs="Arial"/>
          <w:color w:val="282828"/>
          <w14:ligatures w14:val="standardContextual"/>
        </w:rPr>
        <w:t xml:space="preserve">Our objectives are to obtain reasonable assurance about whether the financial statements </w:t>
      </w:r>
      <w:proofErr w:type="gramStart"/>
      <w:r>
        <w:rPr>
          <w:rFonts w:ascii="Arial" w:hAnsi="Arial" w:cs="Arial"/>
          <w:color w:val="282828"/>
          <w14:ligatures w14:val="standardContextual"/>
        </w:rPr>
        <w:t>as a whole are</w:t>
      </w:r>
      <w:proofErr w:type="gramEnd"/>
      <w:r>
        <w:rPr>
          <w:rFonts w:ascii="Arial" w:hAnsi="Arial" w:cs="Arial"/>
          <w:color w:val="282828"/>
          <w14:ligatures w14:val="standardContextual"/>
        </w:rPr>
        <w:t xml:space="preserve"> free from material misstatement, whether due to fraud or error, and to issue an auditors' report that includes our opinions</w:t>
      </w:r>
      <w:r>
        <w:rPr>
          <w:rFonts w:ascii="Arial" w:hAnsi="Arial" w:cs="Arial"/>
          <w:color w:val="505050"/>
          <w14:ligatures w14:val="standardContextual"/>
        </w:rPr>
        <w:t xml:space="preserve">. </w:t>
      </w:r>
      <w:r>
        <w:rPr>
          <w:rFonts w:ascii="Arial" w:hAnsi="Arial" w:cs="Arial"/>
          <w:color w:val="282828"/>
          <w14:ligatures w14:val="standardContextual"/>
        </w:rPr>
        <w:t>Reasonable assurance is a hi</w:t>
      </w:r>
      <w:r>
        <w:rPr>
          <w:rFonts w:ascii="Arial" w:hAnsi="Arial" w:cs="Arial"/>
          <w:color w:val="010101"/>
          <w14:ligatures w14:val="standardContextual"/>
        </w:rPr>
        <w:t>g</w:t>
      </w:r>
      <w:r>
        <w:rPr>
          <w:rFonts w:ascii="Arial" w:hAnsi="Arial" w:cs="Arial"/>
          <w:color w:val="282828"/>
          <w14:ligatures w14:val="standardContextual"/>
        </w:rPr>
        <w:t>h level of assurance but is not absolute assurance and therefore is not a guarantee that an audit conducted in accordance with G</w:t>
      </w:r>
      <w:r w:rsidR="00E914A9">
        <w:rPr>
          <w:rFonts w:ascii="Arial" w:hAnsi="Arial" w:cs="Arial"/>
          <w:color w:val="282828"/>
          <w14:ligatures w14:val="standardContextual"/>
        </w:rPr>
        <w:t>AA</w:t>
      </w:r>
      <w:r>
        <w:rPr>
          <w:rFonts w:ascii="Arial" w:hAnsi="Arial" w:cs="Arial"/>
          <w:color w:val="282828"/>
          <w14:ligatures w14:val="standardContextual"/>
        </w:rPr>
        <w:t xml:space="preserve">S and </w:t>
      </w:r>
      <w:r>
        <w:rPr>
          <w:rFonts w:ascii="Arial" w:hAnsi="Arial" w:cs="Arial"/>
          <w:i/>
          <w:iCs/>
          <w:color w:val="282828"/>
          <w14:ligatures w14:val="standardContextual"/>
        </w:rPr>
        <w:t xml:space="preserve">Government Auditing Standards </w:t>
      </w:r>
      <w:r>
        <w:rPr>
          <w:rFonts w:ascii="Arial" w:hAnsi="Arial" w:cs="Arial"/>
          <w:color w:val="282828"/>
          <w14:ligatures w14:val="standardContextual"/>
        </w:rPr>
        <w:t>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r>
        <w:rPr>
          <w:rFonts w:ascii="Arial" w:hAnsi="Arial" w:cs="Arial"/>
          <w:color w:val="717171"/>
          <w14:ligatures w14:val="standardContextual"/>
        </w:rPr>
        <w:t>.</w:t>
      </w:r>
    </w:p>
    <w:p w14:paraId="05618CBF" w14:textId="77777777" w:rsidR="004F7C47" w:rsidRDefault="004F7C47" w:rsidP="004F7C47">
      <w:pPr>
        <w:autoSpaceDE w:val="0"/>
        <w:autoSpaceDN w:val="0"/>
        <w:adjustRightInd w:val="0"/>
        <w:rPr>
          <w:rFonts w:ascii="Arial" w:hAnsi="Arial" w:cs="Arial"/>
          <w:color w:val="010101"/>
          <w14:ligatures w14:val="standardContextual"/>
        </w:rPr>
      </w:pPr>
    </w:p>
    <w:p w14:paraId="0FA9DA32" w14:textId="5337E875" w:rsidR="004F7C47" w:rsidRDefault="004F7C47" w:rsidP="004F7C47">
      <w:pPr>
        <w:autoSpaceDE w:val="0"/>
        <w:autoSpaceDN w:val="0"/>
        <w:adjustRightInd w:val="0"/>
        <w:rPr>
          <w:rFonts w:ascii="Arial" w:hAnsi="Arial" w:cs="Arial"/>
          <w:color w:val="404040"/>
          <w14:ligatures w14:val="standardContextual"/>
        </w:rPr>
      </w:pPr>
      <w:r>
        <w:rPr>
          <w:rFonts w:ascii="Arial" w:hAnsi="Arial" w:cs="Arial"/>
          <w:color w:val="010101"/>
          <w14:ligatures w14:val="standardContextual"/>
        </w:rPr>
        <w:t>In performing an audit in accordance with G</w:t>
      </w:r>
      <w:r w:rsidR="00E914A9">
        <w:rPr>
          <w:rFonts w:ascii="Arial" w:hAnsi="Arial" w:cs="Arial"/>
          <w:color w:val="010101"/>
          <w14:ligatures w14:val="standardContextual"/>
        </w:rPr>
        <w:t>AA</w:t>
      </w:r>
      <w:r>
        <w:rPr>
          <w:rFonts w:ascii="Arial" w:hAnsi="Arial" w:cs="Arial"/>
          <w:color w:val="010101"/>
          <w14:ligatures w14:val="standardContextual"/>
        </w:rPr>
        <w:t xml:space="preserve">S and </w:t>
      </w:r>
      <w:r>
        <w:rPr>
          <w:rFonts w:ascii="Arial" w:hAnsi="Arial" w:cs="Arial"/>
          <w:i/>
          <w:iCs/>
          <w:color w:val="010101"/>
          <w14:ligatures w14:val="standardContextual"/>
        </w:rPr>
        <w:t xml:space="preserve">Government Auditing Standards, </w:t>
      </w:r>
      <w:r>
        <w:rPr>
          <w:rFonts w:ascii="Arial" w:hAnsi="Arial" w:cs="Arial"/>
          <w:color w:val="010101"/>
          <w14:ligatures w14:val="standardContextual"/>
        </w:rPr>
        <w:t>we</w:t>
      </w:r>
      <w:r>
        <w:rPr>
          <w:rFonts w:ascii="Arial" w:hAnsi="Arial" w:cs="Arial"/>
          <w:color w:val="404040"/>
          <w14:ligatures w14:val="standardContextual"/>
        </w:rPr>
        <w:t>:</w:t>
      </w:r>
    </w:p>
    <w:p w14:paraId="02245F86" w14:textId="54AC5B9B" w:rsidR="004F7C47" w:rsidRPr="00BD53BD" w:rsidRDefault="004F7C47" w:rsidP="00BD53BD">
      <w:pPr>
        <w:pStyle w:val="ListParagraph"/>
        <w:numPr>
          <w:ilvl w:val="0"/>
          <w:numId w:val="38"/>
        </w:numPr>
        <w:autoSpaceDE w:val="0"/>
        <w:autoSpaceDN w:val="0"/>
        <w:adjustRightInd w:val="0"/>
        <w:ind w:left="630"/>
        <w:rPr>
          <w:rFonts w:ascii="Arial" w:hAnsi="Arial" w:cs="Arial"/>
          <w:color w:val="010101"/>
          <w:sz w:val="22"/>
          <w:szCs w:val="22"/>
          <w14:ligatures w14:val="standardContextual"/>
        </w:rPr>
      </w:pPr>
      <w:r w:rsidRPr="00BD53BD">
        <w:rPr>
          <w:rFonts w:ascii="Arial" w:hAnsi="Arial" w:cs="Arial"/>
          <w:color w:val="010101"/>
          <w:sz w:val="22"/>
          <w:szCs w:val="22"/>
          <w14:ligatures w14:val="standardContextual"/>
        </w:rPr>
        <w:t>Exercise professional judgment and maintain professional skepticism throughout the audits.</w:t>
      </w:r>
    </w:p>
    <w:p w14:paraId="4184D697" w14:textId="0D77B77B" w:rsidR="004F7C47" w:rsidRPr="00BD53BD" w:rsidRDefault="004F7C47" w:rsidP="00BD53BD">
      <w:pPr>
        <w:pStyle w:val="ListParagraph"/>
        <w:numPr>
          <w:ilvl w:val="0"/>
          <w:numId w:val="38"/>
        </w:numPr>
        <w:autoSpaceDE w:val="0"/>
        <w:autoSpaceDN w:val="0"/>
        <w:adjustRightInd w:val="0"/>
        <w:ind w:left="630"/>
        <w:rPr>
          <w:rFonts w:ascii="Arial" w:hAnsi="Arial" w:cs="Arial"/>
          <w:color w:val="010101"/>
          <w:sz w:val="22"/>
          <w:szCs w:val="22"/>
          <w14:ligatures w14:val="standardContextual"/>
        </w:rPr>
      </w:pPr>
      <w:r w:rsidRPr="00BD53BD">
        <w:rPr>
          <w:rFonts w:ascii="Arial" w:hAnsi="Arial" w:cs="Arial"/>
          <w:color w:val="010101"/>
          <w:sz w:val="22"/>
          <w:szCs w:val="22"/>
          <w14:ligatures w14:val="standardContextual"/>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27CE7911" w14:textId="192820F0" w:rsidR="004F7C47" w:rsidRPr="00BD53BD" w:rsidRDefault="004F7C47" w:rsidP="00BD53BD">
      <w:pPr>
        <w:pStyle w:val="ListParagraph"/>
        <w:numPr>
          <w:ilvl w:val="0"/>
          <w:numId w:val="38"/>
        </w:numPr>
        <w:autoSpaceDE w:val="0"/>
        <w:autoSpaceDN w:val="0"/>
        <w:adjustRightInd w:val="0"/>
        <w:ind w:left="630"/>
        <w:rPr>
          <w:rFonts w:ascii="Arial" w:hAnsi="Arial" w:cs="Arial"/>
          <w:sz w:val="22"/>
          <w:szCs w:val="22"/>
        </w:rPr>
      </w:pPr>
      <w:r w:rsidRPr="00BD53BD">
        <w:rPr>
          <w:rFonts w:ascii="Arial" w:hAnsi="Arial" w:cs="Arial"/>
          <w:color w:val="010101"/>
          <w:sz w:val="22"/>
          <w:szCs w:val="22"/>
          <w14:ligatures w14:val="standardContextual"/>
        </w:rPr>
        <w:t xml:space="preserve">Obtain an understanding of internal control relevant to the audits </w:t>
      </w:r>
      <w:proofErr w:type="gramStart"/>
      <w:r w:rsidRPr="00BD53BD">
        <w:rPr>
          <w:rFonts w:ascii="Arial" w:hAnsi="Arial" w:cs="Arial"/>
          <w:color w:val="010101"/>
          <w:sz w:val="22"/>
          <w:szCs w:val="22"/>
          <w14:ligatures w14:val="standardContextual"/>
        </w:rPr>
        <w:t>in order to</w:t>
      </w:r>
      <w:proofErr w:type="gramEnd"/>
      <w:r w:rsidRPr="00BD53BD">
        <w:rPr>
          <w:rFonts w:ascii="Arial" w:hAnsi="Arial" w:cs="Arial"/>
          <w:color w:val="010101"/>
          <w:sz w:val="22"/>
          <w:szCs w:val="22"/>
          <w14:ligatures w14:val="standardContextual"/>
        </w:rPr>
        <w:t xml:space="preserve"> design audit procedures that are appropriate in the circumstances, but not for the purpose of expressing an opinion on the effectiveness of System's internal control. Accordingly, no such opinion is expressed.</w:t>
      </w:r>
    </w:p>
    <w:p w14:paraId="7A9CCC6F" w14:textId="123763CA" w:rsidR="004F7C47" w:rsidRDefault="004F7C47" w:rsidP="00BD53BD">
      <w:pPr>
        <w:pStyle w:val="ListParagraph"/>
        <w:numPr>
          <w:ilvl w:val="0"/>
          <w:numId w:val="38"/>
        </w:numPr>
        <w:autoSpaceDE w:val="0"/>
        <w:autoSpaceDN w:val="0"/>
        <w:adjustRightInd w:val="0"/>
        <w:ind w:left="630"/>
        <w:rPr>
          <w:rFonts w:ascii="Arial" w:hAnsi="Arial" w:cs="Arial"/>
          <w:sz w:val="22"/>
          <w:szCs w:val="22"/>
          <w14:ligatures w14:val="standardContextual"/>
        </w:rPr>
      </w:pPr>
      <w:r w:rsidRPr="00BD53BD">
        <w:rPr>
          <w:rFonts w:ascii="Arial" w:hAnsi="Arial" w:cs="Arial"/>
          <w:sz w:val="22"/>
          <w:szCs w:val="22"/>
          <w14:ligatures w14:val="standardContextual"/>
        </w:rPr>
        <w:t>Evaluate the appropriateness of accounting policies used and the reasonableness of significant accounting estimates made by management, as well as evaluate the overall presentation of the financial statements.</w:t>
      </w:r>
    </w:p>
    <w:p w14:paraId="20C61F4F" w14:textId="77777777" w:rsidR="00BD53BD" w:rsidRDefault="00BD53BD" w:rsidP="00BD53BD">
      <w:pPr>
        <w:pStyle w:val="ListParagraph"/>
        <w:autoSpaceDE w:val="0"/>
        <w:autoSpaceDN w:val="0"/>
        <w:adjustRightInd w:val="0"/>
        <w:ind w:left="630"/>
        <w:rPr>
          <w:rFonts w:ascii="Arial" w:hAnsi="Arial" w:cs="Arial"/>
          <w:sz w:val="22"/>
          <w:szCs w:val="22"/>
          <w14:ligatures w14:val="standardContextual"/>
        </w:rPr>
      </w:pPr>
    </w:p>
    <w:p w14:paraId="3A217B0E" w14:textId="77777777" w:rsidR="00BD53BD" w:rsidRPr="00BD53BD" w:rsidRDefault="00BD53BD" w:rsidP="00BD53BD">
      <w:pPr>
        <w:pStyle w:val="ListParagraph"/>
        <w:autoSpaceDE w:val="0"/>
        <w:autoSpaceDN w:val="0"/>
        <w:adjustRightInd w:val="0"/>
        <w:ind w:left="630"/>
        <w:rPr>
          <w:rFonts w:ascii="Arial" w:hAnsi="Arial" w:cs="Arial"/>
          <w:sz w:val="22"/>
          <w:szCs w:val="22"/>
          <w14:ligatures w14:val="standardContextual"/>
        </w:rPr>
      </w:pPr>
    </w:p>
    <w:p w14:paraId="5035FD63" w14:textId="5A7E3F1C" w:rsidR="004F7C47" w:rsidRPr="00BD53BD" w:rsidRDefault="004F7C47" w:rsidP="00BD53BD">
      <w:pPr>
        <w:pStyle w:val="ListParagraph"/>
        <w:numPr>
          <w:ilvl w:val="0"/>
          <w:numId w:val="38"/>
        </w:numPr>
        <w:autoSpaceDE w:val="0"/>
        <w:autoSpaceDN w:val="0"/>
        <w:adjustRightInd w:val="0"/>
        <w:ind w:left="630"/>
        <w:rPr>
          <w:rFonts w:ascii="Arial" w:hAnsi="Arial" w:cs="Arial"/>
          <w:sz w:val="22"/>
          <w:szCs w:val="22"/>
          <w14:ligatures w14:val="standardContextual"/>
        </w:rPr>
      </w:pPr>
      <w:r w:rsidRPr="00BD53BD">
        <w:rPr>
          <w:rFonts w:ascii="Arial" w:hAnsi="Arial" w:cs="Arial"/>
          <w:sz w:val="22"/>
          <w:szCs w:val="22"/>
          <w14:ligatures w14:val="standardContextual"/>
        </w:rPr>
        <w:t xml:space="preserve">Conclude whether, in our judgment, there are conditions or events, considered in the aggregate, that raise substantial doubt about System's ability to continue as a going concern for a reasonable </w:t>
      </w:r>
      <w:proofErr w:type="gramStart"/>
      <w:r w:rsidRPr="00BD53BD">
        <w:rPr>
          <w:rFonts w:ascii="Arial" w:hAnsi="Arial" w:cs="Arial"/>
          <w:sz w:val="22"/>
          <w:szCs w:val="22"/>
          <w14:ligatures w14:val="standardContextual"/>
        </w:rPr>
        <w:t>period of time</w:t>
      </w:r>
      <w:proofErr w:type="gramEnd"/>
      <w:r w:rsidRPr="00BD53BD">
        <w:rPr>
          <w:rFonts w:ascii="Arial" w:hAnsi="Arial" w:cs="Arial"/>
          <w:sz w:val="22"/>
          <w:szCs w:val="22"/>
          <w14:ligatures w14:val="standardContextual"/>
        </w:rPr>
        <w:t>.</w:t>
      </w:r>
    </w:p>
    <w:p w14:paraId="7498D448" w14:textId="77777777" w:rsidR="004F7C47" w:rsidRDefault="004F7C47" w:rsidP="004F7C47">
      <w:pPr>
        <w:autoSpaceDE w:val="0"/>
        <w:autoSpaceDN w:val="0"/>
        <w:adjustRightInd w:val="0"/>
        <w:ind w:left="360"/>
        <w:rPr>
          <w:rFonts w:ascii="Arial" w:hAnsi="Arial" w:cs="Arial"/>
          <w14:ligatures w14:val="standardContextual"/>
        </w:rPr>
      </w:pPr>
    </w:p>
    <w:p w14:paraId="5C0132AB" w14:textId="338446B1" w:rsidR="004F7C47" w:rsidRPr="004F7C47" w:rsidRDefault="004F7C47" w:rsidP="00BD53BD">
      <w:pPr>
        <w:autoSpaceDE w:val="0"/>
        <w:autoSpaceDN w:val="0"/>
        <w:adjustRightInd w:val="0"/>
        <w:rPr>
          <w:rFonts w:ascii="Arial" w:hAnsi="Arial" w:cs="Arial"/>
          <w14:ligatures w14:val="standardContextual"/>
        </w:rPr>
      </w:pPr>
      <w:r w:rsidRPr="004F7C47">
        <w:rPr>
          <w:rFonts w:ascii="Arial" w:hAnsi="Arial" w:cs="Arial"/>
          <w14:ligatures w14:val="standardContextual"/>
        </w:rPr>
        <w:t>We are required to communicate with those charged with governance regarding, among other matters,</w:t>
      </w:r>
      <w:r>
        <w:rPr>
          <w:rFonts w:ascii="Arial" w:hAnsi="Arial" w:cs="Arial"/>
          <w14:ligatures w14:val="standardContextual"/>
        </w:rPr>
        <w:t xml:space="preserve"> </w:t>
      </w:r>
      <w:r w:rsidRPr="004F7C47">
        <w:rPr>
          <w:rFonts w:ascii="Arial" w:hAnsi="Arial" w:cs="Arial"/>
          <w14:ligatures w14:val="standardContextual"/>
        </w:rPr>
        <w:t>the planned scope and timing of the audits, significant audit findings, and certain internal control related</w:t>
      </w:r>
      <w:r>
        <w:rPr>
          <w:rFonts w:ascii="Arial" w:hAnsi="Arial" w:cs="Arial"/>
          <w14:ligatures w14:val="standardContextual"/>
        </w:rPr>
        <w:t xml:space="preserve"> </w:t>
      </w:r>
      <w:r w:rsidRPr="004F7C47">
        <w:rPr>
          <w:rFonts w:ascii="Arial" w:hAnsi="Arial" w:cs="Arial"/>
          <w14:ligatures w14:val="standardContextual"/>
        </w:rPr>
        <w:t>matters that we identified during the audits.</w:t>
      </w:r>
    </w:p>
    <w:p w14:paraId="1DD1A03B" w14:textId="77777777" w:rsidR="004F7C47" w:rsidRDefault="004F7C47" w:rsidP="00BD53BD">
      <w:pPr>
        <w:autoSpaceDE w:val="0"/>
        <w:autoSpaceDN w:val="0"/>
        <w:adjustRightInd w:val="0"/>
        <w:rPr>
          <w:rFonts w:ascii="Arial" w:hAnsi="Arial" w:cs="Arial"/>
          <w:b/>
          <w:bCs/>
          <w:i/>
          <w:iCs/>
          <w:sz w:val="21"/>
          <w:szCs w:val="21"/>
          <w14:ligatures w14:val="standardContextual"/>
        </w:rPr>
      </w:pPr>
    </w:p>
    <w:p w14:paraId="3501C408" w14:textId="57E24082" w:rsidR="004F7C47" w:rsidRPr="004F7C47" w:rsidRDefault="004F7C47" w:rsidP="00BD53BD">
      <w:pPr>
        <w:autoSpaceDE w:val="0"/>
        <w:autoSpaceDN w:val="0"/>
        <w:adjustRightInd w:val="0"/>
        <w:rPr>
          <w:rFonts w:ascii="Arial" w:hAnsi="Arial" w:cs="Arial"/>
          <w:b/>
          <w:bCs/>
          <w:i/>
          <w:iCs/>
          <w:sz w:val="21"/>
          <w:szCs w:val="21"/>
          <w14:ligatures w14:val="standardContextual"/>
        </w:rPr>
      </w:pPr>
      <w:r w:rsidRPr="004F7C47">
        <w:rPr>
          <w:rFonts w:ascii="Arial" w:hAnsi="Arial" w:cs="Arial"/>
          <w:b/>
          <w:bCs/>
          <w:i/>
          <w:iCs/>
          <w:sz w:val="21"/>
          <w:szCs w:val="21"/>
          <w14:ligatures w14:val="standardContextual"/>
        </w:rPr>
        <w:t>Required Supplementary Information</w:t>
      </w:r>
    </w:p>
    <w:p w14:paraId="1FCA2EB1" w14:textId="77777777" w:rsidR="004F7C47" w:rsidRPr="004F7C47" w:rsidRDefault="004F7C47" w:rsidP="00BD53BD">
      <w:pPr>
        <w:autoSpaceDE w:val="0"/>
        <w:autoSpaceDN w:val="0"/>
        <w:adjustRightInd w:val="0"/>
        <w:rPr>
          <w:rFonts w:ascii="Arial" w:hAnsi="Arial" w:cs="Arial"/>
          <w14:ligatures w14:val="standardContextual"/>
        </w:rPr>
      </w:pPr>
      <w:r w:rsidRPr="004F7C47">
        <w:rPr>
          <w:rFonts w:ascii="Arial" w:hAnsi="Arial" w:cs="Arial"/>
          <w14:ligatures w14:val="standardContextual"/>
        </w:rPr>
        <w:t>Accounting principles generally accepted in the United States of America require that the</w:t>
      </w:r>
    </w:p>
    <w:p w14:paraId="55CBF157" w14:textId="1E9CB034" w:rsidR="004F7C47" w:rsidRPr="004F7C47" w:rsidRDefault="004F7C47" w:rsidP="00BD53BD">
      <w:pPr>
        <w:autoSpaceDE w:val="0"/>
        <w:autoSpaceDN w:val="0"/>
        <w:adjustRightInd w:val="0"/>
        <w:rPr>
          <w:rFonts w:ascii="Arial" w:hAnsi="Arial" w:cs="Arial"/>
          <w14:ligatures w14:val="standardContextual"/>
        </w:rPr>
      </w:pPr>
      <w:r w:rsidRPr="004F7C47">
        <w:rPr>
          <w:rFonts w:ascii="Arial" w:hAnsi="Arial" w:cs="Arial"/>
          <w14:ligatures w14:val="standardContextual"/>
        </w:rPr>
        <w:t>management's discussion and analysis and the schedules of changes in total pension liabilities and</w:t>
      </w:r>
      <w:r>
        <w:rPr>
          <w:rFonts w:ascii="Arial" w:hAnsi="Arial" w:cs="Arial"/>
          <w14:ligatures w14:val="standardContextual"/>
        </w:rPr>
        <w:t xml:space="preserve"> </w:t>
      </w:r>
      <w:r w:rsidRPr="004F7C47">
        <w:rPr>
          <w:rFonts w:ascii="Arial" w:hAnsi="Arial" w:cs="Arial"/>
          <w14:ligatures w14:val="standardContextual"/>
        </w:rPr>
        <w:t>related ratios and schedules of employer contributions for the incentive retirement and defined benefit</w:t>
      </w:r>
      <w:r>
        <w:rPr>
          <w:rFonts w:ascii="Arial" w:hAnsi="Arial" w:cs="Arial"/>
          <w14:ligatures w14:val="standardContextual"/>
        </w:rPr>
        <w:t xml:space="preserve"> </w:t>
      </w:r>
      <w:r w:rsidRPr="004F7C47">
        <w:rPr>
          <w:rFonts w:ascii="Arial" w:hAnsi="Arial" w:cs="Arial"/>
          <w14:ligatures w14:val="standardContextual"/>
        </w:rPr>
        <w:t xml:space="preserve">pension plans and the schedule of changes in total </w:t>
      </w:r>
      <w:proofErr w:type="spellStart"/>
      <w:r w:rsidRPr="004F7C47">
        <w:rPr>
          <w:rFonts w:ascii="Arial" w:hAnsi="Arial" w:cs="Arial"/>
          <w14:ligatures w14:val="standardContextual"/>
        </w:rPr>
        <w:t>OPE</w:t>
      </w:r>
      <w:r w:rsidR="00E914A9">
        <w:rPr>
          <w:rFonts w:ascii="Arial" w:hAnsi="Arial" w:cs="Arial"/>
          <w14:ligatures w14:val="standardContextual"/>
        </w:rPr>
        <w:t>B</w:t>
      </w:r>
      <w:proofErr w:type="spellEnd"/>
      <w:r w:rsidRPr="004F7C47">
        <w:rPr>
          <w:rFonts w:ascii="Arial" w:hAnsi="Arial" w:cs="Arial"/>
          <w14:ligatures w14:val="standardContextual"/>
        </w:rPr>
        <w:t xml:space="preserve"> liability and related ratios and schedule of</w:t>
      </w:r>
      <w:r>
        <w:rPr>
          <w:rFonts w:ascii="Arial" w:hAnsi="Arial" w:cs="Arial"/>
          <w14:ligatures w14:val="standardContextual"/>
        </w:rPr>
        <w:t xml:space="preserve"> </w:t>
      </w:r>
      <w:r w:rsidRPr="004F7C47">
        <w:rPr>
          <w:rFonts w:ascii="Arial" w:hAnsi="Arial" w:cs="Arial"/>
          <w14:ligatures w14:val="standardContextual"/>
        </w:rPr>
        <w:t xml:space="preserve">employer contributions for the </w:t>
      </w:r>
      <w:proofErr w:type="spellStart"/>
      <w:r w:rsidRPr="004F7C47">
        <w:rPr>
          <w:rFonts w:ascii="Arial" w:hAnsi="Arial" w:cs="Arial"/>
          <w14:ligatures w14:val="standardContextual"/>
        </w:rPr>
        <w:t>OPE</w:t>
      </w:r>
      <w:r w:rsidR="00E914A9">
        <w:rPr>
          <w:rFonts w:ascii="Arial" w:hAnsi="Arial" w:cs="Arial"/>
          <w14:ligatures w14:val="standardContextual"/>
        </w:rPr>
        <w:t>B</w:t>
      </w:r>
      <w:proofErr w:type="spellEnd"/>
      <w:r w:rsidRPr="004F7C47">
        <w:rPr>
          <w:rFonts w:ascii="Arial" w:hAnsi="Arial" w:cs="Arial"/>
          <w14:ligatures w14:val="standardContextual"/>
        </w:rPr>
        <w:t xml:space="preserve"> plan be presented to supplement the basic financial statements.</w:t>
      </w:r>
      <w:r>
        <w:rPr>
          <w:rFonts w:ascii="Arial" w:hAnsi="Arial" w:cs="Arial"/>
          <w14:ligatures w14:val="standardContextual"/>
        </w:rPr>
        <w:t xml:space="preserve"> </w:t>
      </w:r>
      <w:r w:rsidRPr="004F7C47">
        <w:rPr>
          <w:rFonts w:ascii="Arial" w:hAnsi="Arial" w:cs="Arial"/>
          <w14:ligatures w14:val="standardContextual"/>
        </w:rPr>
        <w:t>Such information is the responsibility of management and, although not a part of the basic financial</w:t>
      </w:r>
      <w:r>
        <w:rPr>
          <w:rFonts w:ascii="Arial" w:hAnsi="Arial" w:cs="Arial"/>
          <w14:ligatures w14:val="standardContextual"/>
        </w:rPr>
        <w:t xml:space="preserve"> </w:t>
      </w:r>
      <w:r w:rsidRPr="004F7C47">
        <w:rPr>
          <w:rFonts w:ascii="Arial" w:hAnsi="Arial" w:cs="Arial"/>
          <w14:ligatures w14:val="standardContextual"/>
        </w:rPr>
        <w:t>statements, is required by the Governmental Accounting Standards Board who considers it to be an</w:t>
      </w:r>
      <w:r>
        <w:rPr>
          <w:rFonts w:ascii="Arial" w:hAnsi="Arial" w:cs="Arial"/>
          <w14:ligatures w14:val="standardContextual"/>
        </w:rPr>
        <w:t xml:space="preserve"> </w:t>
      </w:r>
      <w:r w:rsidRPr="004F7C47">
        <w:rPr>
          <w:rFonts w:ascii="Arial" w:hAnsi="Arial" w:cs="Arial"/>
          <w14:ligatures w14:val="standardContextual"/>
        </w:rPr>
        <w:t xml:space="preserve">essential part of financial reporting for placing the basic financial statements in an </w:t>
      </w:r>
      <w:r>
        <w:rPr>
          <w:rFonts w:ascii="Arial" w:hAnsi="Arial" w:cs="Arial"/>
          <w14:ligatures w14:val="standardContextual"/>
        </w:rPr>
        <w:t xml:space="preserve">appropriate </w:t>
      </w:r>
      <w:r w:rsidRPr="004F7C47">
        <w:rPr>
          <w:rFonts w:ascii="Arial" w:hAnsi="Arial" w:cs="Arial"/>
          <w14:ligatures w14:val="standardContextual"/>
        </w:rPr>
        <w:t>operational, economic, or historical context. We have applied certain limited procedures to the required</w:t>
      </w:r>
      <w:r>
        <w:rPr>
          <w:rFonts w:ascii="Arial" w:hAnsi="Arial" w:cs="Arial"/>
          <w14:ligatures w14:val="standardContextual"/>
        </w:rPr>
        <w:t xml:space="preserve"> </w:t>
      </w:r>
      <w:r w:rsidRPr="004F7C47">
        <w:rPr>
          <w:rFonts w:ascii="Arial" w:hAnsi="Arial" w:cs="Arial"/>
          <w14:ligatures w14:val="standardContextual"/>
        </w:rPr>
        <w:t>supplementary information in accordance with G</w:t>
      </w:r>
      <w:r w:rsidR="00E914A9">
        <w:rPr>
          <w:rFonts w:ascii="Arial" w:hAnsi="Arial" w:cs="Arial"/>
          <w14:ligatures w14:val="standardContextual"/>
        </w:rPr>
        <w:t>AA</w:t>
      </w:r>
      <w:r w:rsidRPr="004F7C47">
        <w:rPr>
          <w:rFonts w:ascii="Arial" w:hAnsi="Arial" w:cs="Arial"/>
          <w14:ligatures w14:val="standardContextual"/>
        </w:rPr>
        <w:t>S, which consisted of inquiries of management</w:t>
      </w:r>
      <w:r>
        <w:rPr>
          <w:rFonts w:ascii="Arial" w:hAnsi="Arial" w:cs="Arial"/>
          <w14:ligatures w14:val="standardContextual"/>
        </w:rPr>
        <w:t xml:space="preserve"> </w:t>
      </w:r>
      <w:r w:rsidRPr="004F7C47">
        <w:rPr>
          <w:rFonts w:ascii="Arial" w:hAnsi="Arial" w:cs="Arial"/>
          <w14:ligatures w14:val="standardContextual"/>
        </w:rPr>
        <w:t>about the methods of preparing the information and comparing the information for consistency with</w:t>
      </w:r>
      <w:r>
        <w:rPr>
          <w:rFonts w:ascii="Arial" w:hAnsi="Arial" w:cs="Arial"/>
          <w14:ligatures w14:val="standardContextual"/>
        </w:rPr>
        <w:t xml:space="preserve"> </w:t>
      </w:r>
      <w:r w:rsidRPr="004F7C47">
        <w:rPr>
          <w:rFonts w:ascii="Arial" w:hAnsi="Arial" w:cs="Arial"/>
          <w14:ligatures w14:val="standardContextual"/>
        </w:rPr>
        <w:t>management's responses to our inquiries, the basic financial statements, and other knowledge we</w:t>
      </w:r>
      <w:r>
        <w:rPr>
          <w:rFonts w:ascii="Arial" w:hAnsi="Arial" w:cs="Arial"/>
          <w14:ligatures w14:val="standardContextual"/>
        </w:rPr>
        <w:t xml:space="preserve"> </w:t>
      </w:r>
      <w:r w:rsidRPr="004F7C47">
        <w:rPr>
          <w:rFonts w:ascii="Arial" w:hAnsi="Arial" w:cs="Arial"/>
          <w14:ligatures w14:val="standardContextual"/>
        </w:rPr>
        <w:t>obtained during our audits of the basic financial statements. We do not express an opinion or provide</w:t>
      </w:r>
      <w:r>
        <w:rPr>
          <w:rFonts w:ascii="Arial" w:hAnsi="Arial" w:cs="Arial"/>
          <w14:ligatures w14:val="standardContextual"/>
        </w:rPr>
        <w:t xml:space="preserve"> </w:t>
      </w:r>
      <w:r w:rsidRPr="004F7C47">
        <w:rPr>
          <w:rFonts w:ascii="Arial" w:hAnsi="Arial" w:cs="Arial"/>
          <w14:ligatures w14:val="standardContextual"/>
        </w:rPr>
        <w:t>any assurance on the information because the limited procedures do not provide us with sufficient</w:t>
      </w:r>
      <w:r>
        <w:rPr>
          <w:rFonts w:ascii="Arial" w:hAnsi="Arial" w:cs="Arial"/>
          <w14:ligatures w14:val="standardContextual"/>
        </w:rPr>
        <w:t xml:space="preserve"> </w:t>
      </w:r>
      <w:r w:rsidRPr="004F7C47">
        <w:rPr>
          <w:rFonts w:ascii="Arial" w:hAnsi="Arial" w:cs="Arial"/>
          <w14:ligatures w14:val="standardContextual"/>
        </w:rPr>
        <w:t>evidence to express an opinion or provide any assurance.</w:t>
      </w:r>
    </w:p>
    <w:p w14:paraId="1BFEF96D" w14:textId="77777777" w:rsidR="004F7C47" w:rsidRDefault="004F7C47" w:rsidP="00BD53BD">
      <w:pPr>
        <w:autoSpaceDE w:val="0"/>
        <w:autoSpaceDN w:val="0"/>
        <w:adjustRightInd w:val="0"/>
        <w:rPr>
          <w:rFonts w:ascii="Arial" w:hAnsi="Arial" w:cs="Arial"/>
          <w:b/>
          <w:bCs/>
          <w:i/>
          <w:iCs/>
          <w:sz w:val="21"/>
          <w:szCs w:val="21"/>
          <w14:ligatures w14:val="standardContextual"/>
        </w:rPr>
      </w:pPr>
    </w:p>
    <w:p w14:paraId="0BF68880" w14:textId="73A1A9E0" w:rsidR="004F7C47" w:rsidRPr="004F7C47" w:rsidRDefault="004F7C47" w:rsidP="00BD53BD">
      <w:pPr>
        <w:autoSpaceDE w:val="0"/>
        <w:autoSpaceDN w:val="0"/>
        <w:adjustRightInd w:val="0"/>
        <w:rPr>
          <w:rFonts w:ascii="Arial" w:hAnsi="Arial" w:cs="Arial"/>
          <w:b/>
          <w:bCs/>
          <w:i/>
          <w:iCs/>
          <w:sz w:val="21"/>
          <w:szCs w:val="21"/>
          <w14:ligatures w14:val="standardContextual"/>
        </w:rPr>
      </w:pPr>
      <w:r w:rsidRPr="004F7C47">
        <w:rPr>
          <w:rFonts w:ascii="Arial" w:hAnsi="Arial" w:cs="Arial"/>
          <w:b/>
          <w:bCs/>
          <w:i/>
          <w:iCs/>
          <w:sz w:val="21"/>
          <w:szCs w:val="21"/>
          <w14:ligatures w14:val="standardContextual"/>
        </w:rPr>
        <w:t>Supplementary Information</w:t>
      </w:r>
    </w:p>
    <w:p w14:paraId="2A81A0AC" w14:textId="6EB662F4" w:rsidR="004F7C47" w:rsidRPr="004F7C47" w:rsidRDefault="004F7C47" w:rsidP="00BD53BD">
      <w:pPr>
        <w:autoSpaceDE w:val="0"/>
        <w:autoSpaceDN w:val="0"/>
        <w:adjustRightInd w:val="0"/>
        <w:rPr>
          <w:rFonts w:ascii="Arial" w:hAnsi="Arial" w:cs="Arial"/>
          <w14:ligatures w14:val="standardContextual"/>
        </w:rPr>
      </w:pPr>
      <w:r w:rsidRPr="004F7C47">
        <w:rPr>
          <w:rFonts w:ascii="Arial" w:hAnsi="Arial" w:cs="Arial"/>
          <w14:ligatures w14:val="standardContextual"/>
        </w:rPr>
        <w:t>Our audits were conducted for the purpose of forming opinions on the financial statements that</w:t>
      </w:r>
      <w:r>
        <w:rPr>
          <w:rFonts w:ascii="Arial" w:hAnsi="Arial" w:cs="Arial"/>
          <w14:ligatures w14:val="standardContextual"/>
        </w:rPr>
        <w:t xml:space="preserve"> </w:t>
      </w:r>
      <w:r w:rsidRPr="004F7C47">
        <w:rPr>
          <w:rFonts w:ascii="Arial" w:hAnsi="Arial" w:cs="Arial"/>
          <w14:ligatures w14:val="standardContextual"/>
        </w:rPr>
        <w:t>collectively comprise the System's basic financial statements. The schedules of activities required by</w:t>
      </w:r>
      <w:r>
        <w:rPr>
          <w:rFonts w:ascii="Arial" w:hAnsi="Arial" w:cs="Arial"/>
          <w14:ligatures w14:val="standardContextual"/>
        </w:rPr>
        <w:t xml:space="preserve"> </w:t>
      </w:r>
      <w:r w:rsidRPr="004F7C47">
        <w:rPr>
          <w:rFonts w:ascii="Arial" w:hAnsi="Arial" w:cs="Arial"/>
          <w14:ligatures w14:val="standardContextual"/>
        </w:rPr>
        <w:t>the state of Maine are presented for purposes of additional analysis and are not a required part of the</w:t>
      </w:r>
      <w:r>
        <w:rPr>
          <w:rFonts w:ascii="Arial" w:hAnsi="Arial" w:cs="Arial"/>
          <w14:ligatures w14:val="standardContextual"/>
        </w:rPr>
        <w:t xml:space="preserve"> </w:t>
      </w:r>
      <w:r w:rsidRPr="004F7C47">
        <w:rPr>
          <w:rFonts w:ascii="Arial" w:hAnsi="Arial" w:cs="Arial"/>
          <w14:ligatures w14:val="standardContextual"/>
        </w:rPr>
        <w:t>basic financial statements. Such information is the responsibility of management and was derived from</w:t>
      </w:r>
      <w:r>
        <w:rPr>
          <w:rFonts w:ascii="Arial" w:hAnsi="Arial" w:cs="Arial"/>
          <w14:ligatures w14:val="standardContextual"/>
        </w:rPr>
        <w:t xml:space="preserve"> </w:t>
      </w:r>
      <w:r w:rsidRPr="004F7C47">
        <w:rPr>
          <w:rFonts w:ascii="Arial" w:hAnsi="Arial" w:cs="Arial"/>
          <w14:ligatures w14:val="standardContextual"/>
        </w:rPr>
        <w:t>and relates directly to the underlying accounting and other records used to prepare the basic financial</w:t>
      </w:r>
      <w:r>
        <w:rPr>
          <w:rFonts w:ascii="Arial" w:hAnsi="Arial" w:cs="Arial"/>
          <w14:ligatures w14:val="standardContextual"/>
        </w:rPr>
        <w:t xml:space="preserve"> </w:t>
      </w:r>
      <w:r w:rsidRPr="004F7C47">
        <w:rPr>
          <w:rFonts w:ascii="Arial" w:hAnsi="Arial" w:cs="Arial"/>
          <w14:ligatures w14:val="standardContextual"/>
        </w:rPr>
        <w:t>statements. The information has been subjected to the auditing procedures applied in the audits of the</w:t>
      </w:r>
      <w:r w:rsidR="00E914A9">
        <w:rPr>
          <w:rFonts w:ascii="Arial" w:hAnsi="Arial" w:cs="Arial"/>
          <w14:ligatures w14:val="standardContextual"/>
        </w:rPr>
        <w:t xml:space="preserve"> </w:t>
      </w:r>
      <w:r w:rsidRPr="004F7C47">
        <w:rPr>
          <w:rFonts w:ascii="Arial" w:hAnsi="Arial" w:cs="Arial"/>
          <w14:ligatures w14:val="standardContextual"/>
        </w:rPr>
        <w:t>basic financial statements and certain additional procedures, including comparing and reconciling such</w:t>
      </w:r>
      <w:r>
        <w:rPr>
          <w:rFonts w:ascii="Arial" w:hAnsi="Arial" w:cs="Arial"/>
          <w14:ligatures w14:val="standardContextual"/>
        </w:rPr>
        <w:t xml:space="preserve"> </w:t>
      </w:r>
      <w:r w:rsidRPr="004F7C47">
        <w:rPr>
          <w:rFonts w:ascii="Arial" w:hAnsi="Arial" w:cs="Arial"/>
          <w14:ligatures w14:val="standardContextual"/>
        </w:rPr>
        <w:t>information directly to the underlying accounting and other records used to prepare the basic financial</w:t>
      </w:r>
      <w:r>
        <w:rPr>
          <w:rFonts w:ascii="Arial" w:hAnsi="Arial" w:cs="Arial"/>
          <w14:ligatures w14:val="standardContextual"/>
        </w:rPr>
        <w:t xml:space="preserve"> </w:t>
      </w:r>
      <w:r w:rsidRPr="004F7C47">
        <w:rPr>
          <w:rFonts w:ascii="Arial" w:hAnsi="Arial" w:cs="Arial"/>
          <w14:ligatures w14:val="standardContextual"/>
        </w:rPr>
        <w:t>statements or to the basic financial statements themselves, and other additional procedures in</w:t>
      </w:r>
      <w:r>
        <w:rPr>
          <w:rFonts w:ascii="Arial" w:hAnsi="Arial" w:cs="Arial"/>
          <w14:ligatures w14:val="standardContextual"/>
        </w:rPr>
        <w:t xml:space="preserve"> </w:t>
      </w:r>
      <w:r w:rsidRPr="004F7C47">
        <w:rPr>
          <w:rFonts w:ascii="Arial" w:hAnsi="Arial" w:cs="Arial"/>
          <w14:ligatures w14:val="standardContextual"/>
        </w:rPr>
        <w:t>accordance with G</w:t>
      </w:r>
      <w:r w:rsidR="00E914A9">
        <w:rPr>
          <w:rFonts w:ascii="Arial" w:hAnsi="Arial" w:cs="Arial"/>
          <w14:ligatures w14:val="standardContextual"/>
        </w:rPr>
        <w:t>AA</w:t>
      </w:r>
      <w:r w:rsidRPr="004F7C47">
        <w:rPr>
          <w:rFonts w:ascii="Arial" w:hAnsi="Arial" w:cs="Arial"/>
          <w14:ligatures w14:val="standardContextual"/>
        </w:rPr>
        <w:t>S. In our opinion, the supplemental schedule required by the state of Maine is</w:t>
      </w:r>
      <w:r>
        <w:rPr>
          <w:rFonts w:ascii="Arial" w:hAnsi="Arial" w:cs="Arial"/>
          <w14:ligatures w14:val="standardContextual"/>
        </w:rPr>
        <w:t xml:space="preserve"> </w:t>
      </w:r>
      <w:r w:rsidRPr="004F7C47">
        <w:rPr>
          <w:rFonts w:ascii="Arial" w:hAnsi="Arial" w:cs="Arial"/>
          <w14:ligatures w14:val="standardContextual"/>
        </w:rPr>
        <w:t>fairly stated, in all material respects, in relation to the basic financial statements as a whole.</w:t>
      </w:r>
    </w:p>
    <w:p w14:paraId="7C566FBA" w14:textId="77777777" w:rsidR="004F7C47" w:rsidRDefault="004F7C47" w:rsidP="00BD53BD">
      <w:pPr>
        <w:autoSpaceDE w:val="0"/>
        <w:autoSpaceDN w:val="0"/>
        <w:adjustRightInd w:val="0"/>
        <w:rPr>
          <w:rFonts w:ascii="Arial" w:hAnsi="Arial" w:cs="Arial"/>
          <w:b/>
          <w:bCs/>
          <w:i/>
          <w:iCs/>
          <w:sz w:val="21"/>
          <w:szCs w:val="21"/>
          <w14:ligatures w14:val="standardContextual"/>
        </w:rPr>
      </w:pPr>
    </w:p>
    <w:p w14:paraId="49FDB1B6" w14:textId="456CDC91" w:rsidR="004F7C47" w:rsidRPr="004F7C47" w:rsidRDefault="004F7C47" w:rsidP="00BD53BD">
      <w:pPr>
        <w:autoSpaceDE w:val="0"/>
        <w:autoSpaceDN w:val="0"/>
        <w:adjustRightInd w:val="0"/>
        <w:rPr>
          <w:rFonts w:ascii="Arial" w:hAnsi="Arial" w:cs="Arial"/>
          <w:b/>
          <w:bCs/>
          <w:i/>
          <w:iCs/>
          <w:sz w:val="21"/>
          <w:szCs w:val="21"/>
          <w14:ligatures w14:val="standardContextual"/>
        </w:rPr>
      </w:pPr>
      <w:r w:rsidRPr="004F7C47">
        <w:rPr>
          <w:rFonts w:ascii="Arial" w:hAnsi="Arial" w:cs="Arial"/>
          <w:b/>
          <w:bCs/>
          <w:i/>
          <w:iCs/>
          <w:sz w:val="21"/>
          <w:szCs w:val="21"/>
          <w14:ligatures w14:val="standardContextual"/>
        </w:rPr>
        <w:t>Other Information</w:t>
      </w:r>
    </w:p>
    <w:p w14:paraId="24977B0B" w14:textId="77777777" w:rsidR="004F7C47" w:rsidRPr="004F7C47" w:rsidRDefault="004F7C47" w:rsidP="00BD53BD">
      <w:pPr>
        <w:autoSpaceDE w:val="0"/>
        <w:autoSpaceDN w:val="0"/>
        <w:adjustRightInd w:val="0"/>
        <w:rPr>
          <w:rFonts w:ascii="Arial" w:hAnsi="Arial" w:cs="Arial"/>
          <w14:ligatures w14:val="standardContextual"/>
        </w:rPr>
      </w:pPr>
      <w:r w:rsidRPr="004F7C47">
        <w:rPr>
          <w:rFonts w:ascii="Arial" w:hAnsi="Arial" w:cs="Arial"/>
          <w14:ligatures w14:val="standardContextual"/>
        </w:rPr>
        <w:t>Management is responsible for the other information included in the annual report. The other</w:t>
      </w:r>
    </w:p>
    <w:p w14:paraId="365B1569" w14:textId="076578B6" w:rsidR="000F31C9" w:rsidRPr="004F7C47" w:rsidRDefault="004F7C47" w:rsidP="00BD53BD">
      <w:pPr>
        <w:autoSpaceDE w:val="0"/>
        <w:autoSpaceDN w:val="0"/>
        <w:adjustRightInd w:val="0"/>
        <w:rPr>
          <w:rFonts w:ascii="Arial" w:hAnsi="Arial" w:cs="Arial"/>
        </w:rPr>
      </w:pPr>
      <w:r w:rsidRPr="004F7C47">
        <w:rPr>
          <w:rFonts w:ascii="Arial" w:hAnsi="Arial" w:cs="Arial"/>
          <w14:ligatures w14:val="standardContextual"/>
        </w:rPr>
        <w:t>information comprises the Chancellor's Letter and schedule of the Board of Trustees and Management,</w:t>
      </w:r>
      <w:r>
        <w:rPr>
          <w:rFonts w:ascii="Arial" w:hAnsi="Arial" w:cs="Arial"/>
          <w14:ligatures w14:val="standardContextual"/>
        </w:rPr>
        <w:t xml:space="preserve"> </w:t>
      </w:r>
      <w:r w:rsidRPr="004F7C47">
        <w:rPr>
          <w:rFonts w:ascii="Arial" w:hAnsi="Arial" w:cs="Arial"/>
          <w14:ligatures w14:val="standardContextual"/>
        </w:rPr>
        <w:t>as listed in the table of contents, but does not include the basic financial statements and our auditors'</w:t>
      </w:r>
      <w:r>
        <w:rPr>
          <w:rFonts w:ascii="Arial" w:hAnsi="Arial" w:cs="Arial"/>
          <w14:ligatures w14:val="standardContextual"/>
        </w:rPr>
        <w:t xml:space="preserve"> </w:t>
      </w:r>
      <w:r w:rsidRPr="004F7C47">
        <w:rPr>
          <w:rFonts w:ascii="Arial" w:hAnsi="Arial" w:cs="Arial"/>
          <w14:ligatures w14:val="standardContextual"/>
        </w:rPr>
        <w:t>report thereon. Our opinions on the basic financial statements do not cover the other information, and</w:t>
      </w:r>
      <w:r>
        <w:rPr>
          <w:rFonts w:ascii="Arial" w:hAnsi="Arial" w:cs="Arial"/>
          <w14:ligatures w14:val="standardContextual"/>
        </w:rPr>
        <w:t xml:space="preserve"> </w:t>
      </w:r>
      <w:r w:rsidRPr="004F7C47">
        <w:rPr>
          <w:rFonts w:ascii="Arial" w:hAnsi="Arial" w:cs="Arial"/>
          <w14:ligatures w14:val="standardContextual"/>
        </w:rPr>
        <w:t>we do not express an opinion or any form of assurance thereon.</w:t>
      </w:r>
    </w:p>
    <w:p w14:paraId="5F511F01" w14:textId="77777777" w:rsidR="000F31C9" w:rsidRPr="005E48F9" w:rsidRDefault="000F31C9" w:rsidP="00B96412">
      <w:pPr>
        <w:rPr>
          <w:rFonts w:ascii="Arial" w:hAnsi="Arial" w:cs="Arial"/>
        </w:rPr>
      </w:pPr>
    </w:p>
    <w:p w14:paraId="10931C9A" w14:textId="77777777" w:rsidR="00BD53BD" w:rsidRDefault="00BD53BD" w:rsidP="004F7C47">
      <w:pPr>
        <w:autoSpaceDE w:val="0"/>
        <w:autoSpaceDN w:val="0"/>
        <w:adjustRightInd w:val="0"/>
        <w:rPr>
          <w:rFonts w:ascii="Arial" w:hAnsi="Arial" w:cs="Arial"/>
          <w:color w:val="010101"/>
          <w14:ligatures w14:val="standardContextual"/>
        </w:rPr>
      </w:pPr>
    </w:p>
    <w:p w14:paraId="493AEEC3" w14:textId="77777777" w:rsidR="00BD53BD" w:rsidRDefault="00BD53BD" w:rsidP="004F7C47">
      <w:pPr>
        <w:autoSpaceDE w:val="0"/>
        <w:autoSpaceDN w:val="0"/>
        <w:adjustRightInd w:val="0"/>
        <w:rPr>
          <w:rFonts w:ascii="Arial" w:hAnsi="Arial" w:cs="Arial"/>
          <w:color w:val="010101"/>
          <w14:ligatures w14:val="standardContextual"/>
        </w:rPr>
      </w:pPr>
    </w:p>
    <w:p w14:paraId="0CF3C543" w14:textId="77777777" w:rsidR="00E914A9" w:rsidRDefault="00E914A9" w:rsidP="004F7C47">
      <w:pPr>
        <w:autoSpaceDE w:val="0"/>
        <w:autoSpaceDN w:val="0"/>
        <w:adjustRightInd w:val="0"/>
        <w:rPr>
          <w:rFonts w:ascii="Arial" w:hAnsi="Arial" w:cs="Arial"/>
          <w:color w:val="010101"/>
          <w14:ligatures w14:val="standardContextual"/>
        </w:rPr>
      </w:pPr>
    </w:p>
    <w:p w14:paraId="20ED162B" w14:textId="796E0647" w:rsidR="004F7C47" w:rsidRDefault="004F7C47" w:rsidP="004F7C47">
      <w:pPr>
        <w:autoSpaceDE w:val="0"/>
        <w:autoSpaceDN w:val="0"/>
        <w:adjustRightInd w:val="0"/>
        <w:rPr>
          <w:rFonts w:ascii="Arial" w:hAnsi="Arial" w:cs="Arial"/>
          <w:color w:val="525252"/>
          <w14:ligatures w14:val="standardContextual"/>
        </w:rPr>
      </w:pPr>
      <w:r>
        <w:rPr>
          <w:rFonts w:ascii="Arial" w:hAnsi="Arial" w:cs="Arial"/>
          <w:color w:val="010101"/>
          <w14:ligatures w14:val="standardContextual"/>
        </w:rPr>
        <w:t>In connection with our audits of the basic financial statements, our responsibility is to read the other information and consider whether a material inconsistency exists between the other information and the basic financial statements, or the other information otherwise appears to be materially misstated. If, based on the work performed, we conclude that an uncorrected material misstatement of the other information exists</w:t>
      </w:r>
      <w:r>
        <w:rPr>
          <w:rFonts w:ascii="Arial" w:hAnsi="Arial" w:cs="Arial"/>
          <w:color w:val="232323"/>
          <w14:ligatures w14:val="standardContextual"/>
        </w:rPr>
        <w:t xml:space="preserve">, </w:t>
      </w:r>
      <w:r>
        <w:rPr>
          <w:rFonts w:ascii="Arial" w:hAnsi="Arial" w:cs="Arial"/>
          <w:color w:val="010101"/>
          <w14:ligatures w14:val="standardContextual"/>
        </w:rPr>
        <w:t>we are required to describe it in our report</w:t>
      </w:r>
      <w:r>
        <w:rPr>
          <w:rFonts w:ascii="Arial" w:hAnsi="Arial" w:cs="Arial"/>
          <w:color w:val="525252"/>
          <w14:ligatures w14:val="standardContextual"/>
        </w:rPr>
        <w:t>.</w:t>
      </w:r>
    </w:p>
    <w:p w14:paraId="06473733" w14:textId="77777777" w:rsidR="004F7C47" w:rsidRDefault="004F7C47" w:rsidP="004F7C47">
      <w:pPr>
        <w:autoSpaceDE w:val="0"/>
        <w:autoSpaceDN w:val="0"/>
        <w:adjustRightInd w:val="0"/>
        <w:rPr>
          <w:rFonts w:ascii="Arial" w:hAnsi="Arial" w:cs="Arial"/>
          <w:b/>
          <w:bCs/>
          <w:color w:val="010101"/>
          <w:sz w:val="21"/>
          <w:szCs w:val="21"/>
          <w14:ligatures w14:val="standardContextual"/>
        </w:rPr>
      </w:pPr>
    </w:p>
    <w:p w14:paraId="427821C0" w14:textId="4321E47C" w:rsidR="004F7C47" w:rsidRDefault="004F7C47" w:rsidP="004F7C47">
      <w:pPr>
        <w:autoSpaceDE w:val="0"/>
        <w:autoSpaceDN w:val="0"/>
        <w:adjustRightInd w:val="0"/>
        <w:rPr>
          <w:rFonts w:ascii="Arial" w:hAnsi="Arial" w:cs="Arial"/>
          <w:b/>
          <w:bCs/>
          <w:i/>
          <w:iCs/>
          <w:color w:val="010101"/>
          <w:sz w:val="21"/>
          <w:szCs w:val="21"/>
          <w14:ligatures w14:val="standardContextual"/>
        </w:rPr>
      </w:pPr>
      <w:r>
        <w:rPr>
          <w:rFonts w:ascii="Arial" w:hAnsi="Arial" w:cs="Arial"/>
          <w:b/>
          <w:bCs/>
          <w:color w:val="010101"/>
          <w:sz w:val="21"/>
          <w:szCs w:val="21"/>
          <w14:ligatures w14:val="standardContextual"/>
        </w:rPr>
        <w:t xml:space="preserve">Other Reporting Required by </w:t>
      </w:r>
      <w:r>
        <w:rPr>
          <w:rFonts w:ascii="Arial" w:hAnsi="Arial" w:cs="Arial"/>
          <w:b/>
          <w:bCs/>
          <w:i/>
          <w:iCs/>
          <w:color w:val="010101"/>
          <w:sz w:val="21"/>
          <w:szCs w:val="21"/>
          <w14:ligatures w14:val="standardContextual"/>
        </w:rPr>
        <w:t>Government Auditing Standards</w:t>
      </w:r>
    </w:p>
    <w:p w14:paraId="1D5EC6CA" w14:textId="522D10E8" w:rsidR="004F7C47" w:rsidRDefault="004F7C47" w:rsidP="004F7C47">
      <w:pPr>
        <w:autoSpaceDE w:val="0"/>
        <w:autoSpaceDN w:val="0"/>
        <w:adjustRightInd w:val="0"/>
        <w:rPr>
          <w:rFonts w:ascii="Arial" w:hAnsi="Arial" w:cs="Arial"/>
          <w:color w:val="525252"/>
          <w14:ligatures w14:val="standardContextual"/>
        </w:rPr>
      </w:pPr>
      <w:r>
        <w:rPr>
          <w:rFonts w:ascii="Arial" w:hAnsi="Arial" w:cs="Arial"/>
          <w:color w:val="232323"/>
          <w14:ligatures w14:val="standardContextual"/>
        </w:rPr>
        <w:t xml:space="preserve">In accordance with </w:t>
      </w:r>
      <w:r>
        <w:rPr>
          <w:rFonts w:ascii="Arial" w:hAnsi="Arial" w:cs="Arial"/>
          <w:i/>
          <w:iCs/>
          <w:color w:val="232323"/>
          <w14:ligatures w14:val="standardContextual"/>
        </w:rPr>
        <w:t xml:space="preserve">Government Auditing </w:t>
      </w:r>
      <w:r>
        <w:rPr>
          <w:rFonts w:ascii="Arial" w:hAnsi="Arial" w:cs="Arial"/>
          <w:i/>
          <w:iCs/>
          <w:color w:val="010101"/>
          <w14:ligatures w14:val="standardContextual"/>
        </w:rPr>
        <w:t xml:space="preserve">Standards, </w:t>
      </w:r>
      <w:r>
        <w:rPr>
          <w:rFonts w:ascii="Arial" w:hAnsi="Arial" w:cs="Arial"/>
          <w:color w:val="010101"/>
          <w14:ligatures w14:val="standardContextual"/>
        </w:rPr>
        <w:t>we have also issued our report dated October 31, 2023</w:t>
      </w:r>
      <w:r>
        <w:rPr>
          <w:rFonts w:ascii="Arial" w:hAnsi="Arial" w:cs="Arial"/>
          <w:color w:val="232323"/>
          <w14:ligatures w14:val="standardContextual"/>
        </w:rPr>
        <w:t xml:space="preserve">, </w:t>
      </w:r>
      <w:r>
        <w:rPr>
          <w:rFonts w:ascii="Arial" w:hAnsi="Arial" w:cs="Arial"/>
          <w:color w:val="010101"/>
          <w14:ligatures w14:val="standardContextual"/>
        </w:rPr>
        <w:t>on our consideration of the System's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 System</w:t>
      </w:r>
      <w:r>
        <w:rPr>
          <w:rFonts w:ascii="Arial" w:hAnsi="Arial" w:cs="Arial"/>
          <w:color w:val="232323"/>
          <w14:ligatures w14:val="standardContextual"/>
        </w:rPr>
        <w:t>'</w:t>
      </w:r>
      <w:r>
        <w:rPr>
          <w:rFonts w:ascii="Arial" w:hAnsi="Arial" w:cs="Arial"/>
          <w:color w:val="010101"/>
          <w14:ligatures w14:val="standardContextual"/>
        </w:rPr>
        <w:t xml:space="preserve">s internal control over financial reporting or on compliance. That report is an integral part of an audit performed in accordance with </w:t>
      </w:r>
      <w:r>
        <w:rPr>
          <w:rFonts w:ascii="Arial" w:hAnsi="Arial" w:cs="Arial"/>
          <w:i/>
          <w:iCs/>
          <w:color w:val="010101"/>
          <w14:ligatures w14:val="standardContextual"/>
        </w:rPr>
        <w:t>Government Audit</w:t>
      </w:r>
      <w:r>
        <w:rPr>
          <w:rFonts w:ascii="Arial" w:hAnsi="Arial" w:cs="Arial"/>
          <w:i/>
          <w:iCs/>
          <w:color w:val="232323"/>
          <w14:ligatures w14:val="standardContextual"/>
        </w:rPr>
        <w:t>i</w:t>
      </w:r>
      <w:r>
        <w:rPr>
          <w:rFonts w:ascii="Arial" w:hAnsi="Arial" w:cs="Arial"/>
          <w:i/>
          <w:iCs/>
          <w:color w:val="010101"/>
          <w14:ligatures w14:val="standardContextual"/>
        </w:rPr>
        <w:t xml:space="preserve">ng Standards </w:t>
      </w:r>
      <w:r>
        <w:rPr>
          <w:rFonts w:ascii="Arial" w:hAnsi="Arial" w:cs="Arial"/>
          <w:color w:val="010101"/>
          <w14:ligatures w14:val="standardContextual"/>
        </w:rPr>
        <w:t xml:space="preserve">in considering System's internal control over financial reporting and </w:t>
      </w:r>
      <w:r>
        <w:rPr>
          <w:rFonts w:ascii="Arial" w:hAnsi="Arial" w:cs="Arial"/>
          <w:color w:val="232323"/>
          <w14:ligatures w14:val="standardContextual"/>
        </w:rPr>
        <w:t>compliance</w:t>
      </w:r>
      <w:r>
        <w:rPr>
          <w:rFonts w:ascii="Arial" w:hAnsi="Arial" w:cs="Arial"/>
          <w:color w:val="525252"/>
          <w14:ligatures w14:val="standardContextual"/>
        </w:rPr>
        <w:t>.</w:t>
      </w:r>
    </w:p>
    <w:p w14:paraId="48D2381D" w14:textId="77777777" w:rsidR="004F7C47" w:rsidRDefault="004F7C47" w:rsidP="004F7C47">
      <w:pPr>
        <w:autoSpaceDE w:val="0"/>
        <w:autoSpaceDN w:val="0"/>
        <w:adjustRightInd w:val="0"/>
        <w:rPr>
          <w:rFonts w:ascii="Arial" w:hAnsi="Arial" w:cs="Arial"/>
          <w:color w:val="525252"/>
          <w14:ligatures w14:val="standardContextual"/>
        </w:rPr>
      </w:pPr>
    </w:p>
    <w:p w14:paraId="47E5AE5B" w14:textId="77777777" w:rsidR="004F7C47" w:rsidRDefault="004F7C47" w:rsidP="004F7C47">
      <w:pPr>
        <w:autoSpaceDE w:val="0"/>
        <w:autoSpaceDN w:val="0"/>
        <w:adjustRightInd w:val="0"/>
        <w:rPr>
          <w:rFonts w:ascii="Arial" w:hAnsi="Arial" w:cs="Arial"/>
          <w:b/>
          <w:bCs/>
          <w:color w:val="010101"/>
          <w:sz w:val="24"/>
          <w:szCs w:val="24"/>
          <w14:ligatures w14:val="standardContextual"/>
        </w:rPr>
      </w:pPr>
      <w:r w:rsidRPr="004F7C47">
        <w:rPr>
          <w:rFonts w:ascii="Arial" w:hAnsi="Arial" w:cs="Arial"/>
          <w:b/>
          <w:bCs/>
          <w:noProof/>
          <w:color w:val="010101"/>
          <w:sz w:val="24"/>
          <w:szCs w:val="24"/>
          <w14:ligatures w14:val="standardContextual"/>
        </w:rPr>
        <w:drawing>
          <wp:inline distT="0" distB="0" distL="0" distR="0" wp14:anchorId="3C5D2513" wp14:editId="6BA5E8A4">
            <wp:extent cx="2637790" cy="428625"/>
            <wp:effectExtent l="0" t="0" r="0" b="9525"/>
            <wp:docPr id="1595664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465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48" t="1" b="13449"/>
                    <a:stretch/>
                  </pic:blipFill>
                  <pic:spPr bwMode="auto">
                    <a:xfrm>
                      <a:off x="0" y="0"/>
                      <a:ext cx="2646162" cy="429985"/>
                    </a:xfrm>
                    <a:prstGeom prst="rect">
                      <a:avLst/>
                    </a:prstGeom>
                    <a:noFill/>
                    <a:ln>
                      <a:noFill/>
                    </a:ln>
                    <a:extLst>
                      <a:ext uri="{53640926-AAD7-44D8-BBD7-CCE9431645EC}">
                        <a14:shadowObscured xmlns:a14="http://schemas.microsoft.com/office/drawing/2010/main"/>
                      </a:ext>
                    </a:extLst>
                  </pic:spPr>
                </pic:pic>
              </a:graphicData>
            </a:graphic>
          </wp:inline>
        </w:drawing>
      </w:r>
    </w:p>
    <w:p w14:paraId="57FCEF53" w14:textId="08D75507" w:rsidR="004F7C47" w:rsidRDefault="004F7C47" w:rsidP="004F7C47">
      <w:pPr>
        <w:autoSpaceDE w:val="0"/>
        <w:autoSpaceDN w:val="0"/>
        <w:adjustRightInd w:val="0"/>
        <w:rPr>
          <w:rFonts w:ascii="Arial" w:hAnsi="Arial" w:cs="Arial"/>
          <w:b/>
          <w:bCs/>
          <w:color w:val="010101"/>
          <w:sz w:val="24"/>
          <w:szCs w:val="24"/>
          <w14:ligatures w14:val="standardContextual"/>
        </w:rPr>
      </w:pPr>
      <w:proofErr w:type="spellStart"/>
      <w:r>
        <w:rPr>
          <w:rFonts w:ascii="Arial" w:hAnsi="Arial" w:cs="Arial"/>
          <w:b/>
          <w:bCs/>
          <w:color w:val="010101"/>
          <w:sz w:val="24"/>
          <w:szCs w:val="24"/>
          <w14:ligatures w14:val="standardContextual"/>
        </w:rPr>
        <w:t>CliftonlarsonAllen</w:t>
      </w:r>
      <w:proofErr w:type="spellEnd"/>
      <w:r>
        <w:rPr>
          <w:rFonts w:ascii="Arial" w:hAnsi="Arial" w:cs="Arial"/>
          <w:b/>
          <w:bCs/>
          <w:color w:val="010101"/>
          <w:sz w:val="24"/>
          <w:szCs w:val="24"/>
          <w14:ligatures w14:val="standardContextual"/>
        </w:rPr>
        <w:t xml:space="preserve"> LLP</w:t>
      </w:r>
    </w:p>
    <w:p w14:paraId="69BE1A24" w14:textId="77777777" w:rsidR="004F7C47" w:rsidRDefault="004F7C47" w:rsidP="004F7C47">
      <w:pPr>
        <w:autoSpaceDE w:val="0"/>
        <w:autoSpaceDN w:val="0"/>
        <w:adjustRightInd w:val="0"/>
        <w:rPr>
          <w:rFonts w:ascii="Arial" w:hAnsi="Arial" w:cs="Arial"/>
          <w:color w:val="010101"/>
          <w14:ligatures w14:val="standardContextual"/>
        </w:rPr>
      </w:pPr>
    </w:p>
    <w:p w14:paraId="1D7628FB" w14:textId="75AF863F" w:rsidR="004F7C47" w:rsidRDefault="004F7C47" w:rsidP="004F7C47">
      <w:pPr>
        <w:autoSpaceDE w:val="0"/>
        <w:autoSpaceDN w:val="0"/>
        <w:adjustRightInd w:val="0"/>
        <w:rPr>
          <w:rFonts w:ascii="Arial" w:hAnsi="Arial" w:cs="Arial"/>
          <w:color w:val="010101"/>
          <w14:ligatures w14:val="standardContextual"/>
        </w:rPr>
      </w:pPr>
      <w:r>
        <w:rPr>
          <w:rFonts w:ascii="Arial" w:hAnsi="Arial" w:cs="Arial"/>
          <w:color w:val="010101"/>
          <w14:ligatures w14:val="standardContextual"/>
        </w:rPr>
        <w:t>Quincy</w:t>
      </w:r>
      <w:r>
        <w:rPr>
          <w:rFonts w:ascii="Arial" w:hAnsi="Arial" w:cs="Arial"/>
          <w:color w:val="232323"/>
          <w14:ligatures w14:val="standardContextual"/>
        </w:rPr>
        <w:t xml:space="preserve">, </w:t>
      </w:r>
      <w:r>
        <w:rPr>
          <w:rFonts w:ascii="Arial" w:hAnsi="Arial" w:cs="Arial"/>
          <w:color w:val="010101"/>
          <w14:ligatures w14:val="standardContextual"/>
        </w:rPr>
        <w:t>Massachusetts</w:t>
      </w:r>
    </w:p>
    <w:p w14:paraId="2224C5A4" w14:textId="68206239" w:rsidR="003A3449" w:rsidRPr="004C662D" w:rsidRDefault="004F7C47" w:rsidP="004F7C47">
      <w:pPr>
        <w:autoSpaceDE w:val="0"/>
        <w:autoSpaceDN w:val="0"/>
        <w:adjustRightInd w:val="0"/>
        <w:rPr>
          <w:rFonts w:ascii="Calibri" w:eastAsia="Times New Roman" w:hAnsi="Calibri" w:cs="Times New Roman"/>
          <w:bCs/>
          <w:iCs/>
          <w:caps/>
          <w:color w:val="000000"/>
          <w:spacing w:val="-3"/>
          <w:sz w:val="28"/>
          <w:szCs w:val="28"/>
        </w:rPr>
        <w:sectPr w:rsidR="003A3449" w:rsidRPr="004C662D" w:rsidSect="004F7C47">
          <w:headerReference w:type="default" r:id="rId21"/>
          <w:pgSz w:w="12240" w:h="15840" w:code="1"/>
          <w:pgMar w:top="1440" w:right="1440" w:bottom="1440" w:left="1440" w:header="720" w:footer="720" w:gutter="0"/>
          <w:cols w:space="360"/>
          <w:titlePg/>
          <w:docGrid w:linePitch="360"/>
        </w:sectPr>
      </w:pPr>
      <w:r>
        <w:rPr>
          <w:rFonts w:ascii="Arial" w:hAnsi="Arial" w:cs="Arial"/>
          <w:color w:val="010101"/>
          <w14:ligatures w14:val="standardContextual"/>
        </w:rPr>
        <w:t>October 31, 2023</w:t>
      </w:r>
    </w:p>
    <w:p w14:paraId="3244FAC2" w14:textId="77777777" w:rsidR="00A83362" w:rsidRDefault="00A83362" w:rsidP="00A83362">
      <w:pPr>
        <w:rPr>
          <w:b/>
          <w:i/>
          <w:sz w:val="26"/>
          <w:szCs w:val="26"/>
        </w:rPr>
      </w:pPr>
      <w:r>
        <w:rPr>
          <w:b/>
          <w:i/>
          <w:sz w:val="26"/>
          <w:szCs w:val="26"/>
        </w:rPr>
        <w:lastRenderedPageBreak/>
        <w:t>UNIVERSITY OF MAINE SYSTEM</w:t>
      </w:r>
    </w:p>
    <w:p w14:paraId="1B54BCAB" w14:textId="77777777" w:rsidR="00A83362" w:rsidRDefault="00A83362" w:rsidP="00A83362">
      <w:pPr>
        <w:pStyle w:val="AFR1"/>
        <w:spacing w:after="0"/>
      </w:pPr>
      <w:r>
        <w:t>MANAGEMENT’S DISCUSSION AND ANALYSIS</w:t>
      </w:r>
    </w:p>
    <w:p w14:paraId="1CD6BDF2" w14:textId="77777777" w:rsidR="00A83362" w:rsidRDefault="00A83362" w:rsidP="00A83362">
      <w:pPr>
        <w:pBdr>
          <w:bottom w:val="single" w:sz="18" w:space="1" w:color="00688D"/>
        </w:pBdr>
        <w:spacing w:after="240"/>
        <w:rPr>
          <w:b/>
          <w:i/>
          <w:sz w:val="26"/>
          <w:szCs w:val="26"/>
        </w:rPr>
      </w:pPr>
      <w:r>
        <w:rPr>
          <w:b/>
          <w:i/>
          <w:sz w:val="26"/>
          <w:szCs w:val="26"/>
        </w:rPr>
        <w:t>JUNE 30, 2023 AND 2022 (UNAUDITED)</w:t>
      </w:r>
    </w:p>
    <w:p w14:paraId="7541ADE0" w14:textId="77777777" w:rsidR="00A83362" w:rsidRDefault="00A83362" w:rsidP="00A83362">
      <w:pPr>
        <w:rPr>
          <w:rFonts w:ascii="Calibri" w:eastAsia="Times New Roman" w:hAnsi="Calibri" w:cs="Tahoma"/>
          <w:sz w:val="24"/>
          <w:szCs w:val="20"/>
        </w:rPr>
      </w:pPr>
      <w:r>
        <w:rPr>
          <w:rFonts w:ascii="Calibri" w:eastAsia="Times New Roman" w:hAnsi="Calibri" w:cs="Tahoma"/>
          <w:sz w:val="24"/>
          <w:szCs w:val="20"/>
        </w:rPr>
        <w:t>The Management’s Discussion and Analysis (MD&amp;A) provides a broad overview of the University of Maine System’s (“the System” or UMS) financial condition as of June 30, 2023 and 2022, the results of its operations for the years then ended, significant changes from the previous years, and outlook for the future where appropriate and relevant. Management has prepared the financial statements and related note disclosures along with this MD&amp;A. The MD&amp;A should be read in conjunction with the accompanying basic financial statements and related notes.</w:t>
      </w:r>
    </w:p>
    <w:p w14:paraId="73B856B8" w14:textId="77777777" w:rsidR="00A83362" w:rsidRDefault="00A83362" w:rsidP="00A83362">
      <w:pPr>
        <w:pStyle w:val="AFR3"/>
      </w:pPr>
      <w:r>
        <w:t>Mission</w:t>
      </w:r>
    </w:p>
    <w:p w14:paraId="01E3C3DD" w14:textId="77777777" w:rsidR="00A83362" w:rsidRDefault="00A83362" w:rsidP="00A83362">
      <w:pPr>
        <w:tabs>
          <w:tab w:val="left" w:pos="4860"/>
        </w:tabs>
        <w:rPr>
          <w:rFonts w:ascii="Calibri" w:eastAsia="Times New Roman" w:hAnsi="Calibri" w:cs="Tahoma"/>
          <w:sz w:val="24"/>
          <w:szCs w:val="24"/>
        </w:rPr>
      </w:pPr>
      <w:r>
        <w:rPr>
          <w:rFonts w:ascii="Calibri" w:eastAsia="Times New Roman" w:hAnsi="Calibri" w:cs="Tahoma"/>
          <w:sz w:val="24"/>
          <w:szCs w:val="24"/>
        </w:rPr>
        <w:t xml:space="preserve">Established in 1968 by the Maine State Legislature, the System is the state’s largest educational enterprise, uniting its public universities </w:t>
      </w:r>
      <w:r>
        <w:rPr>
          <w:rFonts w:ascii="Calibri" w:eastAsia="Times New Roman" w:hAnsi="Calibri" w:cs="Tahoma"/>
          <w:sz w:val="24"/>
          <w:szCs w:val="20"/>
        </w:rPr>
        <w:t xml:space="preserve">in the common purpose of providing </w:t>
      </w:r>
      <w:r>
        <w:rPr>
          <w:rFonts w:ascii="Calibri" w:eastAsia="Times New Roman" w:hAnsi="Calibri" w:cs="Tahoma"/>
          <w:sz w:val="24"/>
          <w:szCs w:val="24"/>
        </w:rPr>
        <w:t xml:space="preserve">high-quality educational undergraduate and graduate opportunities that are accessible, affordable, and relevant to the needs of Maine students, businesses, and communities. </w:t>
      </w:r>
      <w:r>
        <w:rPr>
          <w:rFonts w:ascii="Calibri" w:eastAsia="Times New Roman" w:hAnsi="Calibri" w:cs="Tahoma"/>
          <w:sz w:val="24"/>
          <w:szCs w:val="20"/>
        </w:rPr>
        <w:t xml:space="preserve">The System features </w:t>
      </w:r>
      <w:r w:rsidRPr="00796CA3">
        <w:rPr>
          <w:rFonts w:ascii="Calibri" w:eastAsia="Times New Roman" w:hAnsi="Calibri" w:cs="Tahoma"/>
          <w:sz w:val="24"/>
          <w:szCs w:val="20"/>
        </w:rPr>
        <w:t>seven</w:t>
      </w:r>
      <w:r w:rsidRPr="00886C1B">
        <w:rPr>
          <w:rFonts w:ascii="Calibri" w:eastAsia="Times New Roman" w:hAnsi="Calibri" w:cs="Tahoma"/>
          <w:sz w:val="24"/>
          <w:szCs w:val="20"/>
        </w:rPr>
        <w:t xml:space="preserve"> u</w:t>
      </w:r>
      <w:r>
        <w:rPr>
          <w:rFonts w:ascii="Calibri" w:eastAsia="Times New Roman" w:hAnsi="Calibri" w:cs="Tahoma"/>
          <w:sz w:val="24"/>
          <w:szCs w:val="20"/>
        </w:rPr>
        <w:t>niversities—some with multiple campuses—located across the state, a law school, an additional 31</w:t>
      </w:r>
      <w:r w:rsidRPr="009013B6">
        <w:rPr>
          <w:rFonts w:ascii="Calibri" w:eastAsia="Times New Roman" w:hAnsi="Calibri" w:cs="Tahoma"/>
          <w:color w:val="FF0000"/>
          <w:sz w:val="24"/>
          <w:szCs w:val="20"/>
        </w:rPr>
        <w:t xml:space="preserve"> </w:t>
      </w:r>
      <w:r>
        <w:rPr>
          <w:rFonts w:ascii="Calibri" w:eastAsia="Times New Roman" w:hAnsi="Calibri" w:cs="Tahoma"/>
          <w:sz w:val="24"/>
          <w:szCs w:val="20"/>
        </w:rPr>
        <w:t xml:space="preserve">course sites, and Cooperative Extension. The System carries out the traditional tripartite mission – teaching, research, and public service. A major resource for the State, the System </w:t>
      </w:r>
      <w:r>
        <w:rPr>
          <w:rFonts w:ascii="Calibri" w:eastAsia="Times New Roman" w:hAnsi="Calibri" w:cs="Tahoma"/>
          <w:sz w:val="24"/>
          <w:szCs w:val="24"/>
        </w:rPr>
        <w:t>drives economic development by conducting world-class research, commercializing valuable ideas, and partnering successfully with businesses and industries throughout Maine and beyond.</w:t>
      </w:r>
    </w:p>
    <w:p w14:paraId="19DDA1DF" w14:textId="77777777" w:rsidR="00A83362" w:rsidRDefault="00A83362" w:rsidP="00A83362">
      <w:pPr>
        <w:pStyle w:val="AFR3"/>
      </w:pPr>
      <w:r>
        <w:t>Universities, Campuses, and Centers</w:t>
      </w:r>
    </w:p>
    <w:p w14:paraId="66979E69" w14:textId="382965D7" w:rsidR="00A83362" w:rsidRDefault="00A83362" w:rsidP="00A83362">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System is a comprehensive public institution of higher education with </w:t>
      </w:r>
      <w:r w:rsidRPr="00435637">
        <w:rPr>
          <w:rFonts w:ascii="Calibri" w:eastAsia="Times New Roman" w:hAnsi="Calibri" w:cs="Tahoma"/>
          <w:color w:val="000000" w:themeColor="text1"/>
          <w:sz w:val="24"/>
          <w:szCs w:val="24"/>
        </w:rPr>
        <w:t xml:space="preserve">nearly 30,000 </w:t>
      </w:r>
      <w:r>
        <w:rPr>
          <w:rFonts w:ascii="Calibri" w:eastAsia="Times New Roman" w:hAnsi="Calibri" w:cs="Tahoma"/>
          <w:sz w:val="24"/>
          <w:szCs w:val="24"/>
        </w:rPr>
        <w:t xml:space="preserve">enrolled students, supported by the efforts of </w:t>
      </w:r>
      <w:r w:rsidRPr="00C624F7">
        <w:rPr>
          <w:rFonts w:ascii="Calibri" w:eastAsia="Times New Roman" w:hAnsi="Calibri" w:cs="Tahoma"/>
          <w:color w:val="0D0D0D" w:themeColor="text1" w:themeTint="F2"/>
          <w:sz w:val="24"/>
          <w:szCs w:val="24"/>
        </w:rPr>
        <w:t xml:space="preserve">1,169 regular full-time faculty, </w:t>
      </w:r>
      <w:r w:rsidR="006A0BA6">
        <w:rPr>
          <w:rFonts w:ascii="Calibri" w:eastAsia="Times New Roman" w:hAnsi="Calibri" w:cs="Tahoma"/>
          <w:color w:val="0D0D0D" w:themeColor="text1" w:themeTint="F2"/>
          <w:sz w:val="24"/>
          <w:szCs w:val="24"/>
        </w:rPr>
        <w:t>36</w:t>
      </w:r>
      <w:r w:rsidRPr="00C624F7">
        <w:rPr>
          <w:rFonts w:ascii="Calibri" w:eastAsia="Times New Roman" w:hAnsi="Calibri" w:cs="Tahoma"/>
          <w:color w:val="0D0D0D" w:themeColor="text1" w:themeTint="F2"/>
          <w:sz w:val="24"/>
          <w:szCs w:val="24"/>
        </w:rPr>
        <w:t xml:space="preserve"> regular part-time faculty, 3,140 regular full-time staff, and 1</w:t>
      </w:r>
      <w:r w:rsidR="00616AD8">
        <w:rPr>
          <w:rFonts w:ascii="Calibri" w:eastAsia="Times New Roman" w:hAnsi="Calibri" w:cs="Tahoma"/>
          <w:color w:val="0D0D0D" w:themeColor="text1" w:themeTint="F2"/>
          <w:sz w:val="24"/>
          <w:szCs w:val="24"/>
        </w:rPr>
        <w:t>87</w:t>
      </w:r>
      <w:r w:rsidRPr="00C624F7">
        <w:rPr>
          <w:rFonts w:ascii="Calibri" w:eastAsia="Times New Roman" w:hAnsi="Calibri" w:cs="Tahoma"/>
          <w:color w:val="0D0D0D" w:themeColor="text1" w:themeTint="F2"/>
          <w:sz w:val="24"/>
          <w:szCs w:val="24"/>
        </w:rPr>
        <w:t xml:space="preserve"> regular part-time staff </w:t>
      </w:r>
      <w:r>
        <w:rPr>
          <w:rFonts w:ascii="Calibri" w:eastAsia="Times New Roman" w:hAnsi="Calibri" w:cs="Tahoma"/>
          <w:sz w:val="24"/>
          <w:szCs w:val="24"/>
        </w:rPr>
        <w:t>members.</w:t>
      </w:r>
    </w:p>
    <w:p w14:paraId="61A50E0A" w14:textId="77777777" w:rsidR="00A83362" w:rsidRPr="00CE2E86" w:rsidRDefault="00A83362" w:rsidP="00A83362">
      <w:pPr>
        <w:tabs>
          <w:tab w:val="left" w:pos="4860"/>
        </w:tabs>
        <w:rPr>
          <w:rFonts w:ascii="Calibri" w:eastAsia="Times New Roman" w:hAnsi="Calibri" w:cs="Tahoma"/>
          <w:sz w:val="20"/>
          <w:szCs w:val="20"/>
        </w:rPr>
      </w:pPr>
    </w:p>
    <w:p w14:paraId="1418850E" w14:textId="77777777" w:rsidR="00A83362" w:rsidRDefault="00A83362" w:rsidP="00A83362">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System offers rich academic programs, including 258 bachelor’s, </w:t>
      </w:r>
      <w:r w:rsidRPr="00204B90">
        <w:rPr>
          <w:rFonts w:ascii="Calibri" w:eastAsia="Times New Roman" w:hAnsi="Calibri" w:cs="Tahoma"/>
          <w:sz w:val="24"/>
          <w:szCs w:val="24"/>
        </w:rPr>
        <w:t>106 master’s, and 38 doctoral or juris doctorate degrees. The largest program areas are Biological and Biomedical Sciences, Health Professions, Computer and Information Sciences, Business, Engineering, Education, Liberal Arts, and the Humanities.</w:t>
      </w:r>
    </w:p>
    <w:p w14:paraId="0BB52163" w14:textId="77777777" w:rsidR="00A83362" w:rsidRPr="00DE50BF" w:rsidRDefault="00A83362" w:rsidP="00A83362">
      <w:pPr>
        <w:tabs>
          <w:tab w:val="left" w:pos="4860"/>
        </w:tabs>
        <w:rPr>
          <w:rFonts w:ascii="Calibri" w:eastAsia="Times New Roman" w:hAnsi="Calibri" w:cs="Tahoma"/>
          <w:sz w:val="20"/>
          <w:szCs w:val="24"/>
        </w:rPr>
      </w:pPr>
    </w:p>
    <w:p w14:paraId="3ECE8864" w14:textId="506F7577" w:rsidR="00A83362" w:rsidRDefault="00A83362" w:rsidP="00A83362">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From Maine’s largest city to its rural northern borders, our universities are known for excellence in teaching and research:</w:t>
      </w:r>
    </w:p>
    <w:p w14:paraId="14532B5D" w14:textId="2D12873B" w:rsidR="00A83362" w:rsidRDefault="00A83362" w:rsidP="00A83362">
      <w:pPr>
        <w:pStyle w:val="ListParagraph"/>
        <w:numPr>
          <w:ilvl w:val="0"/>
          <w:numId w:val="24"/>
        </w:numPr>
        <w:tabs>
          <w:tab w:val="left" w:pos="4860"/>
        </w:tabs>
        <w:rPr>
          <w:rFonts w:ascii="Calibri" w:hAnsi="Calibri" w:cs="Tahoma"/>
        </w:rPr>
      </w:pPr>
      <w:r w:rsidRPr="001E6659">
        <w:rPr>
          <w:rFonts w:ascii="Calibri" w:hAnsi="Calibri" w:cs="Tahoma"/>
          <w:b/>
          <w:bCs/>
        </w:rPr>
        <w:t>The University of Maine (UM)</w:t>
      </w:r>
      <w:r>
        <w:rPr>
          <w:rFonts w:ascii="Calibri" w:hAnsi="Calibri" w:cs="Tahoma"/>
        </w:rPr>
        <w:t xml:space="preserve"> </w:t>
      </w:r>
      <w:r w:rsidRPr="00D90957">
        <w:rPr>
          <w:rFonts w:ascii="Calibri" w:hAnsi="Calibri" w:cs="Tahoma"/>
        </w:rPr>
        <w:t xml:space="preserve">is the state’s land </w:t>
      </w:r>
      <w:r>
        <w:rPr>
          <w:rFonts w:ascii="Calibri" w:hAnsi="Calibri" w:cs="Tahoma"/>
        </w:rPr>
        <w:t>and</w:t>
      </w:r>
      <w:r w:rsidRPr="00D90957">
        <w:rPr>
          <w:rFonts w:ascii="Calibri" w:hAnsi="Calibri" w:cs="Tahoma"/>
        </w:rPr>
        <w:t xml:space="preserve"> sea grant </w:t>
      </w:r>
      <w:r>
        <w:rPr>
          <w:rFonts w:ascii="Calibri" w:hAnsi="Calibri" w:cs="Tahoma"/>
        </w:rPr>
        <w:t>institution and the</w:t>
      </w:r>
      <w:r w:rsidRPr="00D90957">
        <w:rPr>
          <w:rFonts w:ascii="Calibri" w:hAnsi="Calibri" w:cs="Tahoma"/>
        </w:rPr>
        <w:t xml:space="preserve"> flagship </w:t>
      </w:r>
      <w:r>
        <w:rPr>
          <w:rFonts w:ascii="Calibri" w:hAnsi="Calibri" w:cs="Tahoma"/>
        </w:rPr>
        <w:t>campus of the University of Maine System.</w:t>
      </w:r>
      <w:r w:rsidRPr="00D90957">
        <w:rPr>
          <w:rFonts w:ascii="Calibri" w:hAnsi="Calibri" w:cs="Tahoma"/>
        </w:rPr>
        <w:t xml:space="preserve"> </w:t>
      </w:r>
      <w:r>
        <w:rPr>
          <w:rFonts w:ascii="Calibri" w:hAnsi="Calibri" w:cs="Tahoma"/>
        </w:rPr>
        <w:t>U</w:t>
      </w:r>
      <w:r w:rsidRPr="00204B90">
        <w:rPr>
          <w:rFonts w:ascii="Calibri" w:hAnsi="Calibri" w:cs="Tahoma"/>
        </w:rPr>
        <w:t>M advances learning and discovery through excellence and innovation in undergraduate and graduate academic programs while addressing the complex challenges and opportunities of the 21st century through research-based knowledge.</w:t>
      </w:r>
      <w:r>
        <w:rPr>
          <w:rFonts w:ascii="Calibri" w:hAnsi="Calibri" w:cs="Tahoma"/>
        </w:rPr>
        <w:t xml:space="preserve"> </w:t>
      </w:r>
      <w:r w:rsidRPr="00204B90">
        <w:rPr>
          <w:rFonts w:ascii="Calibri" w:hAnsi="Calibri" w:cs="Tahoma"/>
        </w:rPr>
        <w:t>Internationally recognized research, scholarship, and creative activity distinguish UM as the State's flagship university.</w:t>
      </w:r>
    </w:p>
    <w:p w14:paraId="55B349C1" w14:textId="77777777" w:rsidR="00A83362" w:rsidRPr="00204B90" w:rsidRDefault="00A83362" w:rsidP="00A83362">
      <w:pPr>
        <w:pStyle w:val="ListParagraph"/>
        <w:numPr>
          <w:ilvl w:val="0"/>
          <w:numId w:val="24"/>
        </w:numPr>
        <w:tabs>
          <w:tab w:val="left" w:pos="4860"/>
        </w:tabs>
        <w:spacing w:before="120"/>
        <w:contextualSpacing w:val="0"/>
        <w:rPr>
          <w:rFonts w:ascii="Calibri" w:hAnsi="Calibri" w:cs="Tahoma"/>
        </w:rPr>
      </w:pPr>
      <w:r w:rsidRPr="00204B90">
        <w:rPr>
          <w:rFonts w:ascii="Calibri" w:hAnsi="Calibri" w:cs="Tahoma"/>
          <w:b/>
          <w:bCs/>
        </w:rPr>
        <w:lastRenderedPageBreak/>
        <w:t>The University of Maine at Augusta</w:t>
      </w:r>
      <w:r w:rsidRPr="00204B90">
        <w:rPr>
          <w:rFonts w:ascii="Calibri" w:hAnsi="Calibri" w:cs="Tahoma"/>
        </w:rPr>
        <w:t xml:space="preserve"> </w:t>
      </w:r>
      <w:r w:rsidRPr="00204B90">
        <w:rPr>
          <w:rFonts w:ascii="Calibri" w:hAnsi="Calibri" w:cs="Tahoma"/>
          <w:b/>
          <w:bCs/>
        </w:rPr>
        <w:t>(UMA)</w:t>
      </w:r>
      <w:r w:rsidRPr="00204B90">
        <w:rPr>
          <w:rFonts w:ascii="Calibri" w:hAnsi="Calibri" w:cs="Tahoma"/>
        </w:rPr>
        <w:t xml:space="preserve"> transforms the lives of students of every age and background</w:t>
      </w:r>
      <w:r>
        <w:rPr>
          <w:rFonts w:ascii="Calibri" w:hAnsi="Calibri" w:cs="Tahoma"/>
        </w:rPr>
        <w:t>,</w:t>
      </w:r>
      <w:r w:rsidRPr="00204B90">
        <w:rPr>
          <w:rFonts w:ascii="Calibri" w:hAnsi="Calibri" w:cs="Tahoma"/>
        </w:rPr>
        <w:t xml:space="preserve"> across Maine and beyond</w:t>
      </w:r>
      <w:r>
        <w:rPr>
          <w:rFonts w:ascii="Calibri" w:hAnsi="Calibri" w:cs="Tahoma"/>
        </w:rPr>
        <w:t>,</w:t>
      </w:r>
      <w:r w:rsidRPr="00204B90">
        <w:rPr>
          <w:rFonts w:ascii="Calibri" w:hAnsi="Calibri" w:cs="Tahoma"/>
        </w:rPr>
        <w:t xml:space="preserve"> through access to high-quality distance and on-site education, excellent student support and civic engagement, and innovative professional and liberal arts programs.  With its multiple locations and long-term expertise in online and distance learning, UMA is generally considered the university of choice for Mainers of all ages who want to attend college without uprooting their lives.</w:t>
      </w:r>
    </w:p>
    <w:p w14:paraId="5A214914" w14:textId="1D9D3F96" w:rsidR="00A83362" w:rsidRPr="00204B90" w:rsidRDefault="00A83362" w:rsidP="00A83362">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Farmington (UMF)</w:t>
      </w:r>
      <w:r w:rsidRPr="00204B90">
        <w:t xml:space="preserve"> </w:t>
      </w:r>
      <w:r>
        <w:rPr>
          <w:rFonts w:ascii="Calibri" w:hAnsi="Calibri" w:cs="Tahoma"/>
        </w:rPr>
        <w:t>i</w:t>
      </w:r>
      <w:r w:rsidRPr="00204B90">
        <w:rPr>
          <w:rFonts w:ascii="Calibri" w:hAnsi="Calibri" w:cs="Tahoma"/>
        </w:rPr>
        <w:t xml:space="preserve">s a premier teacher education and public liberal arts college, </w:t>
      </w:r>
      <w:r>
        <w:rPr>
          <w:rFonts w:ascii="Calibri" w:hAnsi="Calibri" w:cs="Tahoma"/>
        </w:rPr>
        <w:t xml:space="preserve">which </w:t>
      </w:r>
      <w:r w:rsidRPr="00204B90">
        <w:rPr>
          <w:rFonts w:ascii="Calibri" w:hAnsi="Calibri" w:cs="Tahoma"/>
        </w:rPr>
        <w:t xml:space="preserve">prepares students for engaged citizenship, enriching professional careers, and an enduring love of learning. </w:t>
      </w:r>
      <w:r w:rsidRPr="00CE2E86">
        <w:rPr>
          <w:rFonts w:ascii="Calibri" w:hAnsi="Calibri" w:cs="Tahoma"/>
        </w:rPr>
        <w:t>Since 1864, UMF has consistently been rooted in a vigorous tradition of education in service to the public interest.</w:t>
      </w:r>
    </w:p>
    <w:p w14:paraId="49FD678C" w14:textId="371EF1AE" w:rsidR="00A83362" w:rsidRDefault="00A83362" w:rsidP="00A83362">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Fort Kent (UMFK)</w:t>
      </w:r>
      <w:r>
        <w:rPr>
          <w:rFonts w:ascii="Calibri" w:hAnsi="Calibri" w:cs="Tahoma"/>
        </w:rPr>
        <w:t xml:space="preserve"> is a career-focused </w:t>
      </w:r>
      <w:r w:rsidR="00E064C3">
        <w:rPr>
          <w:rFonts w:ascii="Calibri" w:hAnsi="Calibri" w:cs="Tahoma"/>
        </w:rPr>
        <w:t xml:space="preserve">university </w:t>
      </w:r>
      <w:r>
        <w:rPr>
          <w:rFonts w:ascii="Calibri" w:hAnsi="Calibri" w:cs="Tahoma"/>
        </w:rPr>
        <w:t xml:space="preserve">located on the northernmost border of Maine, </w:t>
      </w:r>
      <w:r w:rsidRPr="00CE2E86">
        <w:rPr>
          <w:rFonts w:ascii="Calibri" w:hAnsi="Calibri" w:cs="Tahoma"/>
        </w:rPr>
        <w:t>offering relevant, experiential, academic programs and services with personalized attention.</w:t>
      </w:r>
    </w:p>
    <w:p w14:paraId="197A3330" w14:textId="0A1A1242" w:rsidR="00A83362" w:rsidRDefault="00A83362" w:rsidP="00A83362">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Machias (UMM)</w:t>
      </w:r>
      <w:r>
        <w:rPr>
          <w:rFonts w:ascii="Calibri" w:hAnsi="Calibri" w:cs="Tahoma"/>
        </w:rPr>
        <w:t xml:space="preserve">, </w:t>
      </w:r>
      <w:r w:rsidRPr="00D90957">
        <w:rPr>
          <w:rFonts w:ascii="Calibri" w:hAnsi="Calibri" w:cs="Tahoma"/>
        </w:rPr>
        <w:t>UM</w:t>
      </w:r>
      <w:r>
        <w:rPr>
          <w:rFonts w:ascii="Calibri" w:hAnsi="Calibri" w:cs="Tahoma"/>
        </w:rPr>
        <w:t>’s regional campus, is Maine’s Coastal University</w:t>
      </w:r>
      <w:r w:rsidRPr="00D90957">
        <w:rPr>
          <w:rFonts w:ascii="Calibri" w:hAnsi="Calibri" w:cs="Tahoma"/>
        </w:rPr>
        <w:t xml:space="preserve">. </w:t>
      </w:r>
      <w:r w:rsidRPr="00204B90">
        <w:rPr>
          <w:rFonts w:ascii="Calibri" w:hAnsi="Calibri" w:cs="Tahoma"/>
        </w:rPr>
        <w:t>UMM</w:t>
      </w:r>
      <w:r>
        <w:rPr>
          <w:rFonts w:ascii="Calibri" w:hAnsi="Calibri" w:cs="Tahoma"/>
        </w:rPr>
        <w:t>’</w:t>
      </w:r>
      <w:r w:rsidRPr="00204B90">
        <w:rPr>
          <w:rFonts w:ascii="Calibri" w:hAnsi="Calibri" w:cs="Tahoma"/>
        </w:rPr>
        <w:t>s distinctive, high quality education centers on engaging students in the scientific, cultural, economic and social inquiry prompted by Maine's Bold Coast region.</w:t>
      </w:r>
      <w:r>
        <w:rPr>
          <w:rFonts w:ascii="Calibri" w:hAnsi="Calibri" w:cs="Tahoma"/>
        </w:rPr>
        <w:t xml:space="preserve"> </w:t>
      </w:r>
      <w:r w:rsidRPr="00204B90">
        <w:rPr>
          <w:rFonts w:ascii="Calibri" w:hAnsi="Calibri" w:cs="Tahoma"/>
        </w:rPr>
        <w:t xml:space="preserve">Inspired by </w:t>
      </w:r>
      <w:r>
        <w:rPr>
          <w:rFonts w:ascii="Calibri" w:hAnsi="Calibri" w:cs="Tahoma"/>
        </w:rPr>
        <w:t>its</w:t>
      </w:r>
      <w:r w:rsidRPr="00204B90">
        <w:rPr>
          <w:rFonts w:ascii="Calibri" w:hAnsi="Calibri" w:cs="Tahoma"/>
        </w:rPr>
        <w:t xml:space="preserve"> location, </w:t>
      </w:r>
      <w:r>
        <w:rPr>
          <w:rFonts w:ascii="Calibri" w:hAnsi="Calibri" w:cs="Tahoma"/>
        </w:rPr>
        <w:t>UMM’s</w:t>
      </w:r>
      <w:r w:rsidRPr="00204B90">
        <w:rPr>
          <w:rFonts w:ascii="Calibri" w:hAnsi="Calibri" w:cs="Tahoma"/>
        </w:rPr>
        <w:t xml:space="preserve"> creative energy, applied research, and community engagement enhance the social, cultural, economic, and natural environments of the State of Maine.</w:t>
      </w:r>
    </w:p>
    <w:p w14:paraId="000A7D4D" w14:textId="470C0D13" w:rsidR="00A83362" w:rsidRDefault="00A83362" w:rsidP="00A83362">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Presque Isle (UMPI)</w:t>
      </w:r>
      <w:r>
        <w:rPr>
          <w:rFonts w:ascii="Calibri" w:hAnsi="Calibri" w:cs="Tahoma"/>
        </w:rPr>
        <w:t xml:space="preserve"> is f</w:t>
      </w:r>
      <w:r w:rsidRPr="00CE2E86">
        <w:rPr>
          <w:rFonts w:ascii="Calibri" w:hAnsi="Calibri" w:cs="Tahoma"/>
        </w:rPr>
        <w:t xml:space="preserve">iercely dedicated to delivering opportunity for all and builds its success on an ethic of care </w:t>
      </w:r>
      <w:r>
        <w:rPr>
          <w:rFonts w:ascii="Calibri" w:hAnsi="Calibri" w:cs="Tahoma"/>
        </w:rPr>
        <w:t>i</w:t>
      </w:r>
      <w:r w:rsidRPr="00CE2E86">
        <w:rPr>
          <w:rFonts w:ascii="Calibri" w:hAnsi="Calibri" w:cs="Tahoma"/>
        </w:rPr>
        <w:t>nspir</w:t>
      </w:r>
      <w:r>
        <w:rPr>
          <w:rFonts w:ascii="Calibri" w:hAnsi="Calibri" w:cs="Tahoma"/>
        </w:rPr>
        <w:t>ing</w:t>
      </w:r>
      <w:r w:rsidRPr="00CE2E86">
        <w:rPr>
          <w:rFonts w:ascii="Calibri" w:hAnsi="Calibri" w:cs="Tahoma"/>
        </w:rPr>
        <w:t xml:space="preserve"> learners from near and far, of all ages and career stages.</w:t>
      </w:r>
      <w:r>
        <w:rPr>
          <w:rFonts w:ascii="Calibri" w:hAnsi="Calibri" w:cs="Tahoma"/>
        </w:rPr>
        <w:t xml:space="preserve"> </w:t>
      </w:r>
      <w:r w:rsidRPr="00CE2E86">
        <w:rPr>
          <w:rFonts w:ascii="Calibri" w:hAnsi="Calibri" w:cs="Tahoma"/>
        </w:rPr>
        <w:t xml:space="preserve">UMPI differentiates </w:t>
      </w:r>
      <w:r w:rsidR="00164001">
        <w:rPr>
          <w:rFonts w:ascii="Calibri" w:hAnsi="Calibri" w:cs="Tahoma"/>
        </w:rPr>
        <w:t xml:space="preserve">itself </w:t>
      </w:r>
      <w:r w:rsidRPr="00CE2E86">
        <w:rPr>
          <w:rFonts w:ascii="Calibri" w:hAnsi="Calibri" w:cs="Tahoma"/>
        </w:rPr>
        <w:t xml:space="preserve">by providing an Ethic of Care for </w:t>
      </w:r>
      <w:proofErr w:type="gramStart"/>
      <w:r w:rsidRPr="00CE2E86">
        <w:rPr>
          <w:rFonts w:ascii="Calibri" w:hAnsi="Calibri" w:cs="Tahoma"/>
        </w:rPr>
        <w:t>each and every</w:t>
      </w:r>
      <w:proofErr w:type="gramEnd"/>
      <w:r w:rsidRPr="00CE2E86">
        <w:rPr>
          <w:rFonts w:ascii="Calibri" w:hAnsi="Calibri" w:cs="Tahoma"/>
        </w:rPr>
        <w:t xml:space="preserve"> student, faculty, staff, and administrator. </w:t>
      </w:r>
      <w:r>
        <w:rPr>
          <w:rFonts w:ascii="Calibri" w:hAnsi="Calibri" w:cs="Tahoma"/>
        </w:rPr>
        <w:t>UMPI</w:t>
      </w:r>
      <w:r w:rsidRPr="00CE2E86">
        <w:rPr>
          <w:rFonts w:ascii="Calibri" w:hAnsi="Calibri" w:cs="Tahoma"/>
        </w:rPr>
        <w:t xml:space="preserve"> embrace</w:t>
      </w:r>
      <w:r>
        <w:rPr>
          <w:rFonts w:ascii="Calibri" w:hAnsi="Calibri" w:cs="Tahoma"/>
        </w:rPr>
        <w:t>s</w:t>
      </w:r>
      <w:r w:rsidRPr="00CE2E86">
        <w:rPr>
          <w:rFonts w:ascii="Calibri" w:hAnsi="Calibri" w:cs="Tahoma"/>
        </w:rPr>
        <w:t xml:space="preserve"> collaborations with peers, communities, and fellow institutions, allowing </w:t>
      </w:r>
      <w:r w:rsidR="00164001">
        <w:rPr>
          <w:rFonts w:ascii="Calibri" w:hAnsi="Calibri" w:cs="Tahoma"/>
        </w:rPr>
        <w:t xml:space="preserve">it </w:t>
      </w:r>
      <w:r w:rsidRPr="00CE2E86">
        <w:rPr>
          <w:rFonts w:ascii="Calibri" w:hAnsi="Calibri" w:cs="Tahoma"/>
        </w:rPr>
        <w:t>to provide students</w:t>
      </w:r>
      <w:r w:rsidR="00164001">
        <w:rPr>
          <w:rFonts w:ascii="Calibri" w:hAnsi="Calibri" w:cs="Tahoma"/>
        </w:rPr>
        <w:t xml:space="preserve"> with</w:t>
      </w:r>
      <w:r w:rsidRPr="00CE2E86">
        <w:rPr>
          <w:rFonts w:ascii="Calibri" w:hAnsi="Calibri" w:cs="Tahoma"/>
        </w:rPr>
        <w:t xml:space="preserve"> outstanding education focused on practical and authentic learning experiences.</w:t>
      </w:r>
    </w:p>
    <w:p w14:paraId="2D75A3AD" w14:textId="77777777" w:rsidR="00A83362" w:rsidRDefault="00A83362" w:rsidP="00A83362">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 xml:space="preserve">The University of Southern Maine (USM) </w:t>
      </w:r>
      <w:r w:rsidRPr="00CE2E86">
        <w:rPr>
          <w:rFonts w:ascii="Calibri" w:hAnsi="Calibri" w:cs="Tahoma"/>
        </w:rPr>
        <w:t>advances a culture of inquiry and belonging in which research, creativity, and innovation accelerate transformational development in our students, on our campuses, and in our communities. At USM, academic excellence finds expression in the four pillars of our academic vision: focus on relationships, future-forward curriculum, the integration of learning and work, and a mission of service and citizenship.</w:t>
      </w:r>
    </w:p>
    <w:p w14:paraId="1515003D" w14:textId="77777777" w:rsidR="00A83362" w:rsidRPr="001E6659" w:rsidRDefault="00A83362" w:rsidP="00A83362">
      <w:pPr>
        <w:pStyle w:val="ListParagraph"/>
        <w:numPr>
          <w:ilvl w:val="0"/>
          <w:numId w:val="24"/>
        </w:numPr>
        <w:tabs>
          <w:tab w:val="left" w:pos="4860"/>
        </w:tabs>
        <w:spacing w:before="120"/>
        <w:contextualSpacing w:val="0"/>
        <w:rPr>
          <w:rFonts w:ascii="Calibri" w:hAnsi="Calibri" w:cs="Tahoma"/>
        </w:rPr>
      </w:pPr>
      <w:proofErr w:type="gramStart"/>
      <w:r>
        <w:rPr>
          <w:rFonts w:ascii="Calibri" w:hAnsi="Calibri" w:cs="Tahoma"/>
          <w:b/>
          <w:bCs/>
        </w:rPr>
        <w:t>The University of Maine School of Law (Maine Law)</w:t>
      </w:r>
      <w:r>
        <w:rPr>
          <w:rFonts w:ascii="Calibri" w:hAnsi="Calibri" w:cs="Tahoma"/>
        </w:rPr>
        <w:t>,</w:t>
      </w:r>
      <w:proofErr w:type="gramEnd"/>
      <w:r>
        <w:rPr>
          <w:rFonts w:ascii="Calibri" w:hAnsi="Calibri" w:cs="Tahoma"/>
        </w:rPr>
        <w:t xml:space="preserve"> </w:t>
      </w:r>
      <w:r w:rsidRPr="001A2830">
        <w:rPr>
          <w:rFonts w:ascii="Calibri" w:hAnsi="Calibri" w:cs="Tahoma"/>
        </w:rPr>
        <w:t xml:space="preserve">is </w:t>
      </w:r>
      <w:r w:rsidRPr="00CE2E86">
        <w:rPr>
          <w:rFonts w:ascii="Calibri" w:hAnsi="Calibri" w:cs="Tahoma"/>
        </w:rPr>
        <w:t>the State's public and only law school, a vital resource serving our local, regional, national, and global community.</w:t>
      </w:r>
      <w:r>
        <w:rPr>
          <w:rFonts w:ascii="Calibri" w:hAnsi="Calibri" w:cs="Tahoma"/>
        </w:rPr>
        <w:t xml:space="preserve"> </w:t>
      </w:r>
      <w:r w:rsidRPr="00CE2E86">
        <w:rPr>
          <w:rFonts w:ascii="Calibri" w:hAnsi="Calibri" w:cs="Tahoma"/>
        </w:rPr>
        <w:t>Maine Law is committed to providing an accessible and affordable student-focused program of legal education and achieving the highest standards of ethical behavior. Its rigorous doctrinal and experiential curriculum, influential scholarship, and signature programming prepare students to practice law, promote respect for the rule of law, and advance justice for all members of society.</w:t>
      </w:r>
    </w:p>
    <w:p w14:paraId="61B6E3D9" w14:textId="77777777" w:rsidR="00A83362" w:rsidRDefault="00A83362" w:rsidP="00A83362">
      <w:pPr>
        <w:spacing w:after="160" w:line="259" w:lineRule="auto"/>
        <w:rPr>
          <w:b/>
          <w:i/>
          <w:sz w:val="26"/>
          <w:u w:val="single" w:color="000000" w:themeColor="text1"/>
        </w:rPr>
      </w:pPr>
      <w:r>
        <w:br w:type="page"/>
      </w:r>
    </w:p>
    <w:p w14:paraId="404FE4CF" w14:textId="77777777" w:rsidR="00A83362" w:rsidRDefault="00A83362" w:rsidP="00A83362">
      <w:pPr>
        <w:pStyle w:val="AFR3"/>
      </w:pPr>
      <w:r>
        <w:lastRenderedPageBreak/>
        <w:t>Student Enrollment</w:t>
      </w:r>
    </w:p>
    <w:p w14:paraId="54099F08" w14:textId="77777777" w:rsidR="00A83362" w:rsidRDefault="00A83362" w:rsidP="00A83362">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Chart 1 shows student enrollment, including early college, on a headcount basis with 29,254 students enrolled for the fall 2022 semester, down 2.9% from fall 2021 and down 1.6% since fall 2018. For fall 2022, 59% of the student population were enrolled full-time, down from 61% in fall 2021.</w:t>
      </w:r>
    </w:p>
    <w:p w14:paraId="1026DAD7" w14:textId="77777777" w:rsidR="00A83362" w:rsidRDefault="00A83362" w:rsidP="00A83362">
      <w:pPr>
        <w:tabs>
          <w:tab w:val="left" w:pos="4860"/>
        </w:tabs>
        <w:ind w:left="360" w:hanging="360"/>
        <w:jc w:val="center"/>
        <w:rPr>
          <w:rFonts w:ascii="Calibri" w:eastAsia="Times New Roman" w:hAnsi="Calibri" w:cs="Tahoma"/>
          <w:szCs w:val="24"/>
        </w:rPr>
      </w:pPr>
      <w:r>
        <w:rPr>
          <w:noProof/>
        </w:rPr>
        <w:drawing>
          <wp:inline distT="0" distB="0" distL="0" distR="0" wp14:anchorId="1C20AF94" wp14:editId="27A6D029">
            <wp:extent cx="4400550" cy="3337560"/>
            <wp:effectExtent l="0" t="0" r="0" b="0"/>
            <wp:docPr id="835562927" name="Chart 835562927">
              <a:extLst xmlns:a="http://schemas.openxmlformats.org/drawingml/2006/main">
                <a:ext uri="{FF2B5EF4-FFF2-40B4-BE49-F238E27FC236}">
                  <a16:creationId xmlns:a16="http://schemas.microsoft.com/office/drawing/2014/main" id="{00000000-0008-0000-01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6C63AF" w14:textId="77777777" w:rsidR="006D7414" w:rsidRDefault="006D7414">
      <w:pPr>
        <w:spacing w:after="160" w:line="259" w:lineRule="auto"/>
        <w:rPr>
          <w:rFonts w:ascii="Calibri" w:eastAsia="Times New Roman" w:hAnsi="Calibri" w:cs="Tahoma"/>
          <w:sz w:val="24"/>
          <w:szCs w:val="24"/>
        </w:rPr>
      </w:pPr>
      <w:r>
        <w:rPr>
          <w:rFonts w:ascii="Calibri" w:eastAsia="Times New Roman" w:hAnsi="Calibri" w:cs="Tahoma"/>
          <w:sz w:val="24"/>
          <w:szCs w:val="24"/>
        </w:rPr>
        <w:br w:type="page"/>
      </w:r>
    </w:p>
    <w:p w14:paraId="3DA610EB" w14:textId="2C6EBD99" w:rsidR="00A83362" w:rsidRDefault="00A83362" w:rsidP="00A83362">
      <w:pPr>
        <w:tabs>
          <w:tab w:val="left" w:pos="4860"/>
        </w:tabs>
        <w:spacing w:before="360"/>
        <w:rPr>
          <w:rFonts w:ascii="Calibri" w:eastAsia="Times New Roman" w:hAnsi="Calibri" w:cs="Tahoma"/>
          <w:color w:val="FF0000"/>
          <w:szCs w:val="24"/>
        </w:rPr>
      </w:pPr>
      <w:r>
        <w:rPr>
          <w:rFonts w:ascii="Calibri" w:eastAsia="Times New Roman" w:hAnsi="Calibri" w:cs="Tahoma"/>
          <w:sz w:val="24"/>
          <w:szCs w:val="24"/>
        </w:rPr>
        <w:lastRenderedPageBreak/>
        <w:t>Chart 2 and Table 1 show student enrollment, including early college, on a full-time equivalent (FTE) basis with 20,4</w:t>
      </w:r>
      <w:r w:rsidR="006D7414">
        <w:rPr>
          <w:rFonts w:ascii="Calibri" w:eastAsia="Times New Roman" w:hAnsi="Calibri" w:cs="Tahoma"/>
          <w:sz w:val="24"/>
          <w:szCs w:val="24"/>
        </w:rPr>
        <w:t>29</w:t>
      </w:r>
      <w:r>
        <w:rPr>
          <w:rFonts w:ascii="Calibri" w:eastAsia="Times New Roman" w:hAnsi="Calibri" w:cs="Tahoma"/>
          <w:sz w:val="24"/>
          <w:szCs w:val="24"/>
        </w:rPr>
        <w:t xml:space="preserve"> FTE students enrolled for the fall 2022 semester, down 5.1% from fall 2021 and down 7.3% from fall 2018. For fall 2022 and 2021, </w:t>
      </w:r>
      <w:r w:rsidRPr="00C624F7">
        <w:rPr>
          <w:rFonts w:ascii="Calibri" w:eastAsia="Times New Roman" w:hAnsi="Calibri" w:cs="Tahoma"/>
          <w:color w:val="0D0D0D" w:themeColor="text1" w:themeTint="F2"/>
          <w:sz w:val="24"/>
          <w:szCs w:val="24"/>
        </w:rPr>
        <w:t>71%</w:t>
      </w:r>
      <w:r>
        <w:rPr>
          <w:rFonts w:ascii="Calibri" w:eastAsia="Times New Roman" w:hAnsi="Calibri" w:cs="Tahoma"/>
          <w:sz w:val="24"/>
          <w:szCs w:val="24"/>
        </w:rPr>
        <w:t xml:space="preserve"> of FTE enrollments were from Maine residents.</w:t>
      </w:r>
    </w:p>
    <w:p w14:paraId="26E3E4A9" w14:textId="50C175E3" w:rsidR="00A83362" w:rsidRDefault="00F73A49" w:rsidP="00A83362">
      <w:pPr>
        <w:tabs>
          <w:tab w:val="left" w:pos="4860"/>
          <w:tab w:val="left" w:pos="8280"/>
        </w:tabs>
        <w:spacing w:before="160" w:after="160"/>
        <w:jc w:val="center"/>
        <w:rPr>
          <w:b/>
          <w:sz w:val="28"/>
        </w:rPr>
      </w:pPr>
      <w:r>
        <w:rPr>
          <w:noProof/>
          <w14:ligatures w14:val="standardContextual"/>
        </w:rPr>
        <w:drawing>
          <wp:inline distT="0" distB="0" distL="0" distR="0" wp14:anchorId="28D4709D" wp14:editId="458C8871">
            <wp:extent cx="5065776" cy="3163824"/>
            <wp:effectExtent l="0" t="0" r="1905" b="0"/>
            <wp:docPr id="1666208084" name="Chart 1">
              <a:extLst xmlns:a="http://schemas.openxmlformats.org/drawingml/2006/main">
                <a:ext uri="{FF2B5EF4-FFF2-40B4-BE49-F238E27FC236}">
                  <a16:creationId xmlns:a16="http://schemas.microsoft.com/office/drawing/2014/main" id="{00000000-0008-0000-0400-0000030000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83362" w:rsidRPr="000B4F29">
        <w:rPr>
          <w:noProof/>
        </w:rPr>
        <w:t xml:space="preserve"> </w:t>
      </w:r>
    </w:p>
    <w:p w14:paraId="0FC7E058" w14:textId="77777777" w:rsidR="00A83362" w:rsidRPr="00100DD0" w:rsidRDefault="00A83362" w:rsidP="00A83362">
      <w:pPr>
        <w:tabs>
          <w:tab w:val="left" w:pos="4860"/>
          <w:tab w:val="left" w:pos="8280"/>
        </w:tabs>
        <w:spacing w:before="360" w:after="160"/>
        <w:jc w:val="center"/>
        <w:rPr>
          <w:b/>
        </w:rPr>
      </w:pPr>
      <w:r w:rsidRPr="00100DD0">
        <w:rPr>
          <w:b/>
          <w:sz w:val="28"/>
        </w:rPr>
        <w:t>Table 1: Student FTE Enrollment</w:t>
      </w:r>
      <w:r>
        <w:rPr>
          <w:b/>
        </w:rPr>
        <w:fldChar w:fldCharType="begin"/>
      </w:r>
      <w:r w:rsidRPr="00100DD0">
        <w:rPr>
          <w:b/>
        </w:rPr>
        <w:instrText xml:space="preserve"> LINK Excel.Sheet.12 "\\\\wv-o-fs-sws1.sws.ad.maine.edu\\groupshares\\McMahan\\ACCTG DEPT - WRKG\\GL CLOSE WKPS\\YE CLOSE 2021\\YEFY21 WKPS\\Fin Stmts 21\\Annual Financial Report FY21\\2021 MD&amp;A Charts &amp; Tables\\C1.C2.T1 Fall Enroll 2020.xlsx" "Table 1-Report Version!R2C1:R10C12" \a \f 4 \h  \* MERGEFORMAT </w:instrText>
      </w:r>
      <w:r>
        <w:rPr>
          <w:b/>
        </w:rPr>
        <w:fldChar w:fldCharType="separate"/>
      </w:r>
    </w:p>
    <w:tbl>
      <w:tblPr>
        <w:tblW w:w="9360" w:type="dxa"/>
        <w:jc w:val="center"/>
        <w:tblLayout w:type="fixed"/>
        <w:tblCellMar>
          <w:left w:w="29" w:type="dxa"/>
          <w:right w:w="29" w:type="dxa"/>
        </w:tblCellMar>
        <w:tblLook w:val="04E0" w:firstRow="1" w:lastRow="1" w:firstColumn="1" w:lastColumn="0" w:noHBand="0" w:noVBand="1"/>
      </w:tblPr>
      <w:tblGrid>
        <w:gridCol w:w="680"/>
        <w:gridCol w:w="952"/>
        <w:gridCol w:w="770"/>
        <w:gridCol w:w="792"/>
        <w:gridCol w:w="741"/>
        <w:gridCol w:w="792"/>
        <w:gridCol w:w="737"/>
        <w:gridCol w:w="792"/>
        <w:gridCol w:w="768"/>
        <w:gridCol w:w="792"/>
        <w:gridCol w:w="752"/>
        <w:gridCol w:w="792"/>
      </w:tblGrid>
      <w:tr w:rsidR="00F73A49" w:rsidRPr="00653071" w14:paraId="34D22929" w14:textId="77777777" w:rsidTr="0070537E">
        <w:trPr>
          <w:trHeight w:val="840"/>
          <w:jc w:val="center"/>
        </w:trPr>
        <w:tc>
          <w:tcPr>
            <w:tcW w:w="680" w:type="dxa"/>
            <w:tcBorders>
              <w:top w:val="nil"/>
              <w:left w:val="nil"/>
              <w:bottom w:val="nil"/>
              <w:right w:val="nil"/>
            </w:tcBorders>
            <w:shd w:val="clear" w:color="000000" w:fill="FFFFFF"/>
            <w:noWrap/>
            <w:vAlign w:val="bottom"/>
          </w:tcPr>
          <w:p w14:paraId="01F6453F" w14:textId="031D2E2C" w:rsidR="00F73A49" w:rsidRPr="001E6659" w:rsidRDefault="00F73A49" w:rsidP="00F73A49">
            <w:pPr>
              <w:jc w:val="center"/>
              <w:rPr>
                <w:rFonts w:ascii="Calibri" w:eastAsia="Times New Roman" w:hAnsi="Calibri" w:cs="Calibri"/>
                <w:sz w:val="19"/>
                <w:szCs w:val="19"/>
              </w:rPr>
            </w:pPr>
            <w:r>
              <w:rPr>
                <w:rFonts w:ascii="Calibri" w:hAnsi="Calibri" w:cs="Calibri"/>
                <w:color w:val="000000"/>
              </w:rPr>
              <w:t> </w:t>
            </w:r>
          </w:p>
        </w:tc>
        <w:tc>
          <w:tcPr>
            <w:tcW w:w="952" w:type="dxa"/>
            <w:tcBorders>
              <w:top w:val="nil"/>
              <w:left w:val="nil"/>
              <w:bottom w:val="nil"/>
              <w:right w:val="nil"/>
            </w:tcBorders>
            <w:shd w:val="clear" w:color="000000" w:fill="FFFFFF"/>
            <w:vAlign w:val="bottom"/>
          </w:tcPr>
          <w:p w14:paraId="5FCB3AFB" w14:textId="1B645197"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 xml:space="preserve">% Change </w:t>
            </w:r>
            <w:r>
              <w:rPr>
                <w:rFonts w:ascii="Calibri" w:hAnsi="Calibri" w:cs="Calibri"/>
                <w:b/>
                <w:bCs/>
                <w:color w:val="000000"/>
              </w:rPr>
              <w:br/>
              <w:t xml:space="preserve">Fall 2018 </w:t>
            </w:r>
            <w:r>
              <w:rPr>
                <w:rFonts w:ascii="Calibri" w:hAnsi="Calibri" w:cs="Calibri"/>
                <w:b/>
                <w:bCs/>
                <w:color w:val="000000"/>
              </w:rPr>
              <w:br/>
              <w:t>to 2022</w:t>
            </w:r>
          </w:p>
        </w:tc>
        <w:tc>
          <w:tcPr>
            <w:tcW w:w="770" w:type="dxa"/>
            <w:tcBorders>
              <w:top w:val="nil"/>
              <w:left w:val="nil"/>
              <w:bottom w:val="nil"/>
              <w:right w:val="nil"/>
            </w:tcBorders>
            <w:shd w:val="clear" w:color="000000" w:fill="FFFFFF"/>
            <w:vAlign w:val="bottom"/>
          </w:tcPr>
          <w:p w14:paraId="12A298C3" w14:textId="37565BC6"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Fall 2022</w:t>
            </w:r>
          </w:p>
        </w:tc>
        <w:tc>
          <w:tcPr>
            <w:tcW w:w="792" w:type="dxa"/>
            <w:tcBorders>
              <w:top w:val="nil"/>
              <w:left w:val="nil"/>
              <w:bottom w:val="nil"/>
              <w:right w:val="nil"/>
            </w:tcBorders>
            <w:shd w:val="clear" w:color="000000" w:fill="FFFFFF"/>
            <w:vAlign w:val="bottom"/>
          </w:tcPr>
          <w:p w14:paraId="02CB38B3" w14:textId="61AAA2FF"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 Change</w:t>
            </w:r>
          </w:p>
        </w:tc>
        <w:tc>
          <w:tcPr>
            <w:tcW w:w="741" w:type="dxa"/>
            <w:tcBorders>
              <w:top w:val="nil"/>
              <w:left w:val="nil"/>
              <w:bottom w:val="nil"/>
              <w:right w:val="nil"/>
            </w:tcBorders>
            <w:shd w:val="clear" w:color="000000" w:fill="FFFFFF"/>
            <w:vAlign w:val="bottom"/>
          </w:tcPr>
          <w:p w14:paraId="494AE5EC" w14:textId="1A1D3F49"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Fall 2021</w:t>
            </w:r>
          </w:p>
        </w:tc>
        <w:tc>
          <w:tcPr>
            <w:tcW w:w="792" w:type="dxa"/>
            <w:tcBorders>
              <w:top w:val="nil"/>
              <w:left w:val="nil"/>
              <w:bottom w:val="nil"/>
              <w:right w:val="nil"/>
            </w:tcBorders>
            <w:shd w:val="clear" w:color="000000" w:fill="FFFFFF"/>
            <w:vAlign w:val="bottom"/>
          </w:tcPr>
          <w:p w14:paraId="59635FBC" w14:textId="0F43AD00"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 Change</w:t>
            </w:r>
          </w:p>
        </w:tc>
        <w:tc>
          <w:tcPr>
            <w:tcW w:w="737" w:type="dxa"/>
            <w:tcBorders>
              <w:top w:val="nil"/>
              <w:left w:val="nil"/>
              <w:bottom w:val="nil"/>
              <w:right w:val="nil"/>
            </w:tcBorders>
            <w:shd w:val="clear" w:color="000000" w:fill="FFFFFF"/>
            <w:vAlign w:val="bottom"/>
          </w:tcPr>
          <w:p w14:paraId="545C8756" w14:textId="58A564EC" w:rsidR="00F73A49" w:rsidRPr="0072294D" w:rsidRDefault="00F73A49" w:rsidP="00F73A49">
            <w:pPr>
              <w:jc w:val="center"/>
              <w:rPr>
                <w:rFonts w:ascii="Calibri" w:eastAsia="Times New Roman" w:hAnsi="Calibri" w:cs="Calibri"/>
                <w:b/>
                <w:sz w:val="19"/>
                <w:szCs w:val="19"/>
              </w:rPr>
            </w:pPr>
            <w:r w:rsidRPr="0072294D">
              <w:rPr>
                <w:rFonts w:ascii="Calibri" w:hAnsi="Calibri" w:cs="Calibri"/>
                <w:b/>
                <w:color w:val="000000"/>
              </w:rPr>
              <w:t>Fall 2020</w:t>
            </w:r>
          </w:p>
        </w:tc>
        <w:tc>
          <w:tcPr>
            <w:tcW w:w="792" w:type="dxa"/>
            <w:tcBorders>
              <w:top w:val="nil"/>
              <w:left w:val="nil"/>
              <w:bottom w:val="nil"/>
              <w:right w:val="nil"/>
            </w:tcBorders>
            <w:shd w:val="clear" w:color="000000" w:fill="FFFFFF"/>
            <w:vAlign w:val="bottom"/>
          </w:tcPr>
          <w:p w14:paraId="7CC0D87D" w14:textId="7366A4BF" w:rsidR="00F73A49" w:rsidRPr="0072294D" w:rsidRDefault="00F73A49" w:rsidP="00F73A49">
            <w:pPr>
              <w:jc w:val="center"/>
              <w:rPr>
                <w:rFonts w:ascii="Calibri" w:eastAsia="Times New Roman" w:hAnsi="Calibri" w:cs="Calibri"/>
                <w:b/>
                <w:sz w:val="19"/>
                <w:szCs w:val="19"/>
              </w:rPr>
            </w:pPr>
            <w:r w:rsidRPr="0072294D">
              <w:rPr>
                <w:rFonts w:ascii="Calibri" w:hAnsi="Calibri" w:cs="Calibri"/>
                <w:b/>
                <w:color w:val="000000"/>
              </w:rPr>
              <w:t>% Change</w:t>
            </w:r>
          </w:p>
        </w:tc>
        <w:tc>
          <w:tcPr>
            <w:tcW w:w="768" w:type="dxa"/>
            <w:tcBorders>
              <w:top w:val="nil"/>
              <w:left w:val="nil"/>
              <w:bottom w:val="nil"/>
              <w:right w:val="nil"/>
            </w:tcBorders>
            <w:shd w:val="clear" w:color="000000" w:fill="FFFFFF"/>
            <w:vAlign w:val="bottom"/>
          </w:tcPr>
          <w:p w14:paraId="0D3E22FB" w14:textId="62BE19AC"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Fall</w:t>
            </w:r>
            <w:r>
              <w:rPr>
                <w:rFonts w:ascii="Calibri" w:hAnsi="Calibri" w:cs="Calibri"/>
                <w:b/>
                <w:bCs/>
                <w:color w:val="000000"/>
              </w:rPr>
              <w:br/>
              <w:t>2019</w:t>
            </w:r>
          </w:p>
        </w:tc>
        <w:tc>
          <w:tcPr>
            <w:tcW w:w="792" w:type="dxa"/>
            <w:tcBorders>
              <w:top w:val="nil"/>
              <w:left w:val="nil"/>
              <w:bottom w:val="nil"/>
              <w:right w:val="nil"/>
            </w:tcBorders>
            <w:shd w:val="clear" w:color="000000" w:fill="FFFFFF"/>
            <w:vAlign w:val="bottom"/>
          </w:tcPr>
          <w:p w14:paraId="23D0BC7F" w14:textId="3F40ED28"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w:t>
            </w:r>
            <w:r>
              <w:rPr>
                <w:rFonts w:ascii="Calibri" w:hAnsi="Calibri" w:cs="Calibri"/>
                <w:b/>
                <w:bCs/>
                <w:color w:val="000000"/>
              </w:rPr>
              <w:br/>
              <w:t>Change</w:t>
            </w:r>
          </w:p>
        </w:tc>
        <w:tc>
          <w:tcPr>
            <w:tcW w:w="752" w:type="dxa"/>
            <w:tcBorders>
              <w:top w:val="nil"/>
              <w:left w:val="nil"/>
              <w:bottom w:val="nil"/>
              <w:right w:val="nil"/>
            </w:tcBorders>
            <w:shd w:val="clear" w:color="000000" w:fill="FFFFFF"/>
            <w:vAlign w:val="bottom"/>
          </w:tcPr>
          <w:p w14:paraId="19DC084A" w14:textId="258FA25F"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Fall</w:t>
            </w:r>
            <w:r>
              <w:rPr>
                <w:rFonts w:ascii="Calibri" w:hAnsi="Calibri" w:cs="Calibri"/>
                <w:b/>
                <w:bCs/>
                <w:color w:val="000000"/>
              </w:rPr>
              <w:br/>
              <w:t>2018</w:t>
            </w:r>
          </w:p>
        </w:tc>
        <w:tc>
          <w:tcPr>
            <w:tcW w:w="792" w:type="dxa"/>
            <w:tcBorders>
              <w:top w:val="nil"/>
              <w:left w:val="nil"/>
              <w:bottom w:val="nil"/>
              <w:right w:val="nil"/>
            </w:tcBorders>
            <w:shd w:val="clear" w:color="000000" w:fill="FFFFFF"/>
            <w:vAlign w:val="bottom"/>
          </w:tcPr>
          <w:p w14:paraId="2936C28B" w14:textId="5CEC3D04" w:rsidR="00F73A49" w:rsidRPr="001E6659" w:rsidRDefault="00F73A49" w:rsidP="00F73A49">
            <w:pPr>
              <w:jc w:val="center"/>
              <w:rPr>
                <w:rFonts w:ascii="Calibri" w:eastAsia="Times New Roman" w:hAnsi="Calibri" w:cs="Calibri"/>
                <w:b/>
                <w:bCs/>
                <w:sz w:val="19"/>
                <w:szCs w:val="19"/>
              </w:rPr>
            </w:pPr>
            <w:r>
              <w:rPr>
                <w:rFonts w:ascii="Calibri" w:hAnsi="Calibri" w:cs="Calibri"/>
                <w:b/>
                <w:bCs/>
                <w:color w:val="000000"/>
              </w:rPr>
              <w:t>%</w:t>
            </w:r>
            <w:r>
              <w:rPr>
                <w:rFonts w:ascii="Calibri" w:hAnsi="Calibri" w:cs="Calibri"/>
                <w:b/>
                <w:bCs/>
                <w:color w:val="000000"/>
              </w:rPr>
              <w:br/>
              <w:t>Change</w:t>
            </w:r>
          </w:p>
        </w:tc>
      </w:tr>
      <w:tr w:rsidR="00013D9C" w:rsidRPr="00653071" w14:paraId="4054C36B" w14:textId="77777777" w:rsidTr="0070537E">
        <w:trPr>
          <w:trHeight w:val="288"/>
          <w:jc w:val="center"/>
        </w:trPr>
        <w:tc>
          <w:tcPr>
            <w:tcW w:w="680" w:type="dxa"/>
            <w:tcBorders>
              <w:top w:val="single" w:sz="8" w:space="0" w:color="00688D"/>
              <w:left w:val="nil"/>
              <w:bottom w:val="nil"/>
              <w:right w:val="nil"/>
            </w:tcBorders>
            <w:shd w:val="clear" w:color="000000" w:fill="FFFFFF"/>
            <w:noWrap/>
            <w:vAlign w:val="bottom"/>
          </w:tcPr>
          <w:p w14:paraId="7D81DB7D" w14:textId="5223FD4D" w:rsidR="00013D9C" w:rsidRPr="001E6659" w:rsidRDefault="00013D9C" w:rsidP="00013D9C">
            <w:pPr>
              <w:rPr>
                <w:rFonts w:ascii="Calibri" w:eastAsia="Times New Roman" w:hAnsi="Calibri" w:cs="Calibri"/>
                <w:sz w:val="19"/>
                <w:szCs w:val="19"/>
              </w:rPr>
            </w:pPr>
            <w:r>
              <w:rPr>
                <w:rFonts w:ascii="Calibri" w:hAnsi="Calibri" w:cs="Calibri"/>
              </w:rPr>
              <w:t>UM</w:t>
            </w:r>
          </w:p>
        </w:tc>
        <w:tc>
          <w:tcPr>
            <w:tcW w:w="952" w:type="dxa"/>
            <w:tcBorders>
              <w:top w:val="single" w:sz="8" w:space="0" w:color="00688D"/>
              <w:left w:val="single" w:sz="4" w:space="0" w:color="00688D"/>
              <w:bottom w:val="nil"/>
              <w:right w:val="single" w:sz="4" w:space="0" w:color="00688D"/>
            </w:tcBorders>
            <w:shd w:val="clear" w:color="000000" w:fill="D9D9D9"/>
            <w:noWrap/>
            <w:vAlign w:val="bottom"/>
          </w:tcPr>
          <w:p w14:paraId="79CE4331" w14:textId="21863F48"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-3.6%</w:t>
            </w:r>
          </w:p>
        </w:tc>
        <w:tc>
          <w:tcPr>
            <w:tcW w:w="770" w:type="dxa"/>
            <w:tcBorders>
              <w:top w:val="single" w:sz="8" w:space="0" w:color="00688D"/>
              <w:left w:val="nil"/>
              <w:bottom w:val="nil"/>
              <w:right w:val="nil"/>
            </w:tcBorders>
            <w:shd w:val="clear" w:color="000000" w:fill="FFFFFF"/>
            <w:noWrap/>
            <w:vAlign w:val="bottom"/>
          </w:tcPr>
          <w:p w14:paraId="78F4A782" w14:textId="2DDCE438" w:rsidR="00013D9C" w:rsidRPr="001E6659" w:rsidRDefault="00013D9C" w:rsidP="00013D9C">
            <w:pPr>
              <w:jc w:val="right"/>
              <w:rPr>
                <w:rFonts w:ascii="Calibri" w:eastAsia="Times New Roman" w:hAnsi="Calibri" w:cs="Calibri"/>
                <w:b/>
                <w:bCs/>
                <w:sz w:val="19"/>
                <w:szCs w:val="19"/>
              </w:rPr>
            </w:pPr>
            <w:r>
              <w:rPr>
                <w:rFonts w:ascii="Calibri" w:hAnsi="Calibri" w:cs="Calibri"/>
                <w:b/>
                <w:bCs/>
              </w:rPr>
              <w:t>9,399</w:t>
            </w:r>
          </w:p>
        </w:tc>
        <w:tc>
          <w:tcPr>
            <w:tcW w:w="792" w:type="dxa"/>
            <w:tcBorders>
              <w:top w:val="single" w:sz="8" w:space="0" w:color="00688D"/>
              <w:left w:val="nil"/>
              <w:bottom w:val="nil"/>
              <w:right w:val="nil"/>
            </w:tcBorders>
            <w:shd w:val="clear" w:color="000000" w:fill="D9D9D9"/>
            <w:noWrap/>
            <w:vAlign w:val="bottom"/>
          </w:tcPr>
          <w:p w14:paraId="5CCB180B" w14:textId="479516DB" w:rsidR="00013D9C" w:rsidRPr="001E6659" w:rsidRDefault="00013D9C" w:rsidP="00013D9C">
            <w:pPr>
              <w:jc w:val="right"/>
              <w:rPr>
                <w:rFonts w:ascii="Calibri" w:eastAsia="Times New Roman" w:hAnsi="Calibri" w:cs="Calibri"/>
                <w:b/>
                <w:bCs/>
                <w:sz w:val="19"/>
                <w:szCs w:val="19"/>
              </w:rPr>
            </w:pPr>
            <w:r>
              <w:rPr>
                <w:rFonts w:ascii="Calibri" w:hAnsi="Calibri" w:cs="Calibri"/>
                <w:b/>
                <w:bCs/>
              </w:rPr>
              <w:t>-5.3%</w:t>
            </w:r>
          </w:p>
        </w:tc>
        <w:tc>
          <w:tcPr>
            <w:tcW w:w="741" w:type="dxa"/>
            <w:tcBorders>
              <w:top w:val="single" w:sz="8" w:space="0" w:color="00688D"/>
              <w:left w:val="nil"/>
              <w:bottom w:val="nil"/>
              <w:right w:val="nil"/>
            </w:tcBorders>
            <w:shd w:val="clear" w:color="000000" w:fill="FFFFFF"/>
            <w:noWrap/>
            <w:vAlign w:val="bottom"/>
          </w:tcPr>
          <w:p w14:paraId="76663489" w14:textId="7116C316" w:rsidR="00013D9C" w:rsidRPr="001E6659" w:rsidRDefault="00013D9C" w:rsidP="00013D9C">
            <w:pPr>
              <w:jc w:val="right"/>
              <w:rPr>
                <w:rFonts w:ascii="Calibri" w:eastAsia="Times New Roman" w:hAnsi="Calibri" w:cs="Calibri"/>
                <w:b/>
                <w:bCs/>
                <w:sz w:val="19"/>
                <w:szCs w:val="19"/>
              </w:rPr>
            </w:pPr>
            <w:r>
              <w:rPr>
                <w:rFonts w:ascii="Calibri" w:hAnsi="Calibri" w:cs="Calibri"/>
                <w:b/>
                <w:bCs/>
              </w:rPr>
              <w:t>9,926</w:t>
            </w:r>
          </w:p>
        </w:tc>
        <w:tc>
          <w:tcPr>
            <w:tcW w:w="792" w:type="dxa"/>
            <w:tcBorders>
              <w:top w:val="single" w:sz="8" w:space="0" w:color="00688D"/>
              <w:left w:val="nil"/>
              <w:bottom w:val="nil"/>
              <w:right w:val="nil"/>
            </w:tcBorders>
            <w:shd w:val="clear" w:color="000000" w:fill="D9D9D9"/>
            <w:noWrap/>
            <w:vAlign w:val="bottom"/>
          </w:tcPr>
          <w:p w14:paraId="49FA641B" w14:textId="6FDC1565" w:rsidR="00013D9C" w:rsidRPr="001E6659" w:rsidRDefault="00013D9C" w:rsidP="00013D9C">
            <w:pPr>
              <w:jc w:val="right"/>
              <w:rPr>
                <w:rFonts w:ascii="Calibri" w:eastAsia="Times New Roman" w:hAnsi="Calibri" w:cs="Calibri"/>
                <w:b/>
                <w:bCs/>
                <w:sz w:val="19"/>
                <w:szCs w:val="19"/>
              </w:rPr>
            </w:pPr>
            <w:r>
              <w:rPr>
                <w:rFonts w:ascii="Calibri" w:hAnsi="Calibri" w:cs="Calibri"/>
                <w:b/>
                <w:bCs/>
              </w:rPr>
              <w:t>1.6%</w:t>
            </w:r>
          </w:p>
        </w:tc>
        <w:tc>
          <w:tcPr>
            <w:tcW w:w="737" w:type="dxa"/>
            <w:tcBorders>
              <w:top w:val="single" w:sz="8" w:space="0" w:color="00688D"/>
              <w:left w:val="nil"/>
              <w:bottom w:val="nil"/>
              <w:right w:val="nil"/>
            </w:tcBorders>
            <w:shd w:val="clear" w:color="000000" w:fill="FFFFFF"/>
            <w:noWrap/>
            <w:vAlign w:val="bottom"/>
          </w:tcPr>
          <w:p w14:paraId="25DF2EDC" w14:textId="17294EE9" w:rsidR="00013D9C" w:rsidRPr="006D7414" w:rsidRDefault="00013D9C" w:rsidP="00013D9C">
            <w:pPr>
              <w:jc w:val="right"/>
              <w:rPr>
                <w:rFonts w:ascii="Calibri" w:eastAsia="Times New Roman" w:hAnsi="Calibri" w:cs="Calibri"/>
                <w:sz w:val="19"/>
                <w:szCs w:val="19"/>
              </w:rPr>
            </w:pPr>
            <w:r w:rsidRPr="006D7414">
              <w:rPr>
                <w:rFonts w:ascii="Calibri" w:hAnsi="Calibri" w:cs="Calibri"/>
              </w:rPr>
              <w:t>9,773</w:t>
            </w:r>
          </w:p>
        </w:tc>
        <w:tc>
          <w:tcPr>
            <w:tcW w:w="792" w:type="dxa"/>
            <w:tcBorders>
              <w:top w:val="single" w:sz="8" w:space="0" w:color="00688D"/>
              <w:left w:val="nil"/>
              <w:bottom w:val="nil"/>
              <w:right w:val="nil"/>
            </w:tcBorders>
            <w:shd w:val="clear" w:color="000000" w:fill="D9D9D9"/>
            <w:noWrap/>
            <w:vAlign w:val="bottom"/>
          </w:tcPr>
          <w:p w14:paraId="7E157999" w14:textId="6E7CA7EC" w:rsidR="00013D9C" w:rsidRPr="006D7414" w:rsidRDefault="00013D9C" w:rsidP="00013D9C">
            <w:pPr>
              <w:jc w:val="right"/>
              <w:rPr>
                <w:rFonts w:ascii="Calibri" w:eastAsia="Times New Roman" w:hAnsi="Calibri" w:cs="Calibri"/>
                <w:sz w:val="19"/>
                <w:szCs w:val="19"/>
              </w:rPr>
            </w:pPr>
            <w:r w:rsidRPr="006D7414">
              <w:rPr>
                <w:rFonts w:ascii="Calibri" w:hAnsi="Calibri" w:cs="Calibri"/>
              </w:rPr>
              <w:t>-0.1%</w:t>
            </w:r>
          </w:p>
        </w:tc>
        <w:tc>
          <w:tcPr>
            <w:tcW w:w="768" w:type="dxa"/>
            <w:tcBorders>
              <w:top w:val="single" w:sz="8" w:space="0" w:color="00688D"/>
              <w:left w:val="nil"/>
              <w:bottom w:val="nil"/>
              <w:right w:val="nil"/>
            </w:tcBorders>
            <w:shd w:val="clear" w:color="000000" w:fill="FFFFFF"/>
            <w:noWrap/>
            <w:vAlign w:val="bottom"/>
          </w:tcPr>
          <w:p w14:paraId="18E6CDF5" w14:textId="051D4604" w:rsidR="00013D9C" w:rsidRPr="001E6659" w:rsidRDefault="00013D9C" w:rsidP="00013D9C">
            <w:pPr>
              <w:jc w:val="right"/>
              <w:rPr>
                <w:rFonts w:ascii="Calibri" w:eastAsia="Times New Roman" w:hAnsi="Calibri" w:cs="Calibri"/>
                <w:sz w:val="19"/>
                <w:szCs w:val="19"/>
              </w:rPr>
            </w:pPr>
            <w:r>
              <w:rPr>
                <w:rFonts w:ascii="Calibri" w:hAnsi="Calibri" w:cs="Calibri"/>
              </w:rPr>
              <w:t>9,782</w:t>
            </w:r>
          </w:p>
        </w:tc>
        <w:tc>
          <w:tcPr>
            <w:tcW w:w="792" w:type="dxa"/>
            <w:tcBorders>
              <w:top w:val="single" w:sz="8" w:space="0" w:color="00688D"/>
              <w:left w:val="nil"/>
              <w:bottom w:val="nil"/>
              <w:right w:val="nil"/>
            </w:tcBorders>
            <w:shd w:val="clear" w:color="000000" w:fill="D9D9D9"/>
            <w:noWrap/>
            <w:vAlign w:val="bottom"/>
          </w:tcPr>
          <w:p w14:paraId="6977EEB7" w14:textId="43C324F3" w:rsidR="00013D9C" w:rsidRPr="001E6659" w:rsidRDefault="00013D9C" w:rsidP="00013D9C">
            <w:pPr>
              <w:jc w:val="right"/>
              <w:rPr>
                <w:rFonts w:ascii="Calibri" w:eastAsia="Times New Roman" w:hAnsi="Calibri" w:cs="Calibri"/>
                <w:sz w:val="19"/>
                <w:szCs w:val="19"/>
              </w:rPr>
            </w:pPr>
            <w:r>
              <w:rPr>
                <w:rFonts w:ascii="Calibri" w:hAnsi="Calibri" w:cs="Calibri"/>
              </w:rPr>
              <w:t>0.3%</w:t>
            </w:r>
          </w:p>
        </w:tc>
        <w:tc>
          <w:tcPr>
            <w:tcW w:w="752" w:type="dxa"/>
            <w:tcBorders>
              <w:top w:val="single" w:sz="8" w:space="0" w:color="00688D"/>
              <w:left w:val="nil"/>
              <w:bottom w:val="nil"/>
              <w:right w:val="nil"/>
            </w:tcBorders>
            <w:shd w:val="clear" w:color="000000" w:fill="FFFFFF"/>
            <w:noWrap/>
            <w:vAlign w:val="bottom"/>
          </w:tcPr>
          <w:p w14:paraId="390DE3F5" w14:textId="6FEE10A4" w:rsidR="00013D9C" w:rsidRPr="001E6659" w:rsidRDefault="00013D9C" w:rsidP="00013D9C">
            <w:pPr>
              <w:jc w:val="right"/>
              <w:rPr>
                <w:rFonts w:ascii="Calibri" w:eastAsia="Times New Roman" w:hAnsi="Calibri" w:cs="Calibri"/>
                <w:sz w:val="19"/>
                <w:szCs w:val="19"/>
              </w:rPr>
            </w:pPr>
            <w:r>
              <w:rPr>
                <w:rFonts w:ascii="Calibri" w:hAnsi="Calibri" w:cs="Calibri"/>
              </w:rPr>
              <w:t>9,750</w:t>
            </w:r>
          </w:p>
        </w:tc>
        <w:tc>
          <w:tcPr>
            <w:tcW w:w="792" w:type="dxa"/>
            <w:tcBorders>
              <w:top w:val="single" w:sz="8" w:space="0" w:color="00688D"/>
              <w:left w:val="nil"/>
              <w:bottom w:val="nil"/>
              <w:right w:val="nil"/>
            </w:tcBorders>
            <w:shd w:val="clear" w:color="000000" w:fill="D9D9D9"/>
            <w:noWrap/>
            <w:vAlign w:val="bottom"/>
          </w:tcPr>
          <w:p w14:paraId="64EF030C" w14:textId="200759DA" w:rsidR="00013D9C" w:rsidRPr="001E6659" w:rsidRDefault="00013D9C" w:rsidP="00013D9C">
            <w:pPr>
              <w:jc w:val="right"/>
              <w:rPr>
                <w:rFonts w:ascii="Calibri" w:eastAsia="Times New Roman" w:hAnsi="Calibri" w:cs="Calibri"/>
                <w:sz w:val="19"/>
                <w:szCs w:val="19"/>
              </w:rPr>
            </w:pPr>
            <w:r>
              <w:rPr>
                <w:rFonts w:ascii="Calibri" w:hAnsi="Calibri" w:cs="Calibri"/>
              </w:rPr>
              <w:t>0.3%</w:t>
            </w:r>
          </w:p>
        </w:tc>
      </w:tr>
      <w:tr w:rsidR="00013D9C" w:rsidRPr="00653071" w14:paraId="0CD7E282" w14:textId="77777777" w:rsidTr="0070537E">
        <w:trPr>
          <w:trHeight w:val="108"/>
          <w:jc w:val="center"/>
        </w:trPr>
        <w:tc>
          <w:tcPr>
            <w:tcW w:w="680" w:type="dxa"/>
            <w:tcBorders>
              <w:top w:val="nil"/>
              <w:left w:val="nil"/>
              <w:bottom w:val="nil"/>
              <w:right w:val="nil"/>
            </w:tcBorders>
            <w:shd w:val="clear" w:color="000000" w:fill="FFFFFF"/>
            <w:noWrap/>
            <w:vAlign w:val="bottom"/>
          </w:tcPr>
          <w:p w14:paraId="0ED9B478" w14:textId="3023BE41" w:rsidR="00013D9C" w:rsidRPr="001E6659" w:rsidRDefault="00013D9C" w:rsidP="00013D9C">
            <w:pPr>
              <w:rPr>
                <w:rFonts w:ascii="Calibri" w:eastAsia="Times New Roman" w:hAnsi="Calibri" w:cs="Calibri"/>
                <w:sz w:val="19"/>
                <w:szCs w:val="19"/>
              </w:rPr>
            </w:pPr>
            <w:r>
              <w:rPr>
                <w:rFonts w:ascii="Calibri" w:hAnsi="Calibri" w:cs="Calibri"/>
              </w:rPr>
              <w:t>UMA</w:t>
            </w:r>
          </w:p>
        </w:tc>
        <w:tc>
          <w:tcPr>
            <w:tcW w:w="952" w:type="dxa"/>
            <w:tcBorders>
              <w:top w:val="nil"/>
              <w:left w:val="single" w:sz="4" w:space="0" w:color="00688D"/>
              <w:bottom w:val="nil"/>
              <w:right w:val="single" w:sz="4" w:space="0" w:color="00688D"/>
            </w:tcBorders>
            <w:shd w:val="clear" w:color="000000" w:fill="D9D9D9"/>
            <w:noWrap/>
            <w:vAlign w:val="bottom"/>
          </w:tcPr>
          <w:p w14:paraId="50ED15D7" w14:textId="5FDB1060"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1.1%</w:t>
            </w:r>
          </w:p>
        </w:tc>
        <w:tc>
          <w:tcPr>
            <w:tcW w:w="770" w:type="dxa"/>
            <w:tcBorders>
              <w:top w:val="nil"/>
              <w:left w:val="nil"/>
              <w:bottom w:val="nil"/>
              <w:right w:val="nil"/>
            </w:tcBorders>
            <w:shd w:val="clear" w:color="000000" w:fill="FFFFFF"/>
            <w:noWrap/>
            <w:vAlign w:val="bottom"/>
          </w:tcPr>
          <w:p w14:paraId="326BC66D" w14:textId="049B6C98" w:rsidR="00013D9C" w:rsidRPr="001E6659" w:rsidRDefault="00013D9C" w:rsidP="00013D9C">
            <w:pPr>
              <w:jc w:val="right"/>
              <w:rPr>
                <w:rFonts w:ascii="Calibri" w:eastAsia="Times New Roman" w:hAnsi="Calibri" w:cs="Calibri"/>
                <w:b/>
                <w:bCs/>
                <w:sz w:val="19"/>
                <w:szCs w:val="19"/>
              </w:rPr>
            </w:pPr>
            <w:r>
              <w:rPr>
                <w:rFonts w:ascii="Calibri" w:hAnsi="Calibri" w:cs="Calibri"/>
                <w:b/>
                <w:bCs/>
              </w:rPr>
              <w:t>2,272</w:t>
            </w:r>
          </w:p>
        </w:tc>
        <w:tc>
          <w:tcPr>
            <w:tcW w:w="792" w:type="dxa"/>
            <w:tcBorders>
              <w:top w:val="nil"/>
              <w:left w:val="nil"/>
              <w:bottom w:val="nil"/>
              <w:right w:val="nil"/>
            </w:tcBorders>
            <w:shd w:val="clear" w:color="000000" w:fill="D9D9D9"/>
            <w:noWrap/>
            <w:vAlign w:val="bottom"/>
          </w:tcPr>
          <w:p w14:paraId="6BA81DF5" w14:textId="4D04B8FA" w:rsidR="00013D9C" w:rsidRPr="001E6659" w:rsidRDefault="00013D9C" w:rsidP="00013D9C">
            <w:pPr>
              <w:jc w:val="right"/>
              <w:rPr>
                <w:rFonts w:ascii="Calibri" w:eastAsia="Times New Roman" w:hAnsi="Calibri" w:cs="Calibri"/>
                <w:b/>
                <w:bCs/>
                <w:sz w:val="19"/>
                <w:szCs w:val="19"/>
              </w:rPr>
            </w:pPr>
            <w:r>
              <w:rPr>
                <w:rFonts w:ascii="Calibri" w:hAnsi="Calibri" w:cs="Calibri"/>
                <w:b/>
                <w:bCs/>
              </w:rPr>
              <w:t>-3.6%</w:t>
            </w:r>
          </w:p>
        </w:tc>
        <w:tc>
          <w:tcPr>
            <w:tcW w:w="741" w:type="dxa"/>
            <w:tcBorders>
              <w:top w:val="nil"/>
              <w:left w:val="nil"/>
              <w:bottom w:val="nil"/>
              <w:right w:val="nil"/>
            </w:tcBorders>
            <w:shd w:val="clear" w:color="000000" w:fill="FFFFFF"/>
            <w:noWrap/>
            <w:vAlign w:val="bottom"/>
          </w:tcPr>
          <w:p w14:paraId="2B924275" w14:textId="3160C6FD" w:rsidR="00013D9C" w:rsidRPr="001E6659" w:rsidRDefault="00013D9C" w:rsidP="00013D9C">
            <w:pPr>
              <w:jc w:val="right"/>
              <w:rPr>
                <w:rFonts w:ascii="Calibri" w:eastAsia="Times New Roman" w:hAnsi="Calibri" w:cs="Calibri"/>
                <w:b/>
                <w:bCs/>
                <w:sz w:val="19"/>
                <w:szCs w:val="19"/>
              </w:rPr>
            </w:pPr>
            <w:r>
              <w:rPr>
                <w:rFonts w:ascii="Calibri" w:hAnsi="Calibri" w:cs="Calibri"/>
                <w:b/>
                <w:bCs/>
              </w:rPr>
              <w:t>2,358</w:t>
            </w:r>
          </w:p>
        </w:tc>
        <w:tc>
          <w:tcPr>
            <w:tcW w:w="792" w:type="dxa"/>
            <w:tcBorders>
              <w:top w:val="nil"/>
              <w:left w:val="nil"/>
              <w:bottom w:val="nil"/>
              <w:right w:val="nil"/>
            </w:tcBorders>
            <w:shd w:val="clear" w:color="000000" w:fill="D9D9D9"/>
            <w:noWrap/>
            <w:vAlign w:val="bottom"/>
          </w:tcPr>
          <w:p w14:paraId="250C3F1F" w14:textId="765CC86E" w:rsidR="00013D9C" w:rsidRPr="001E6659" w:rsidRDefault="00013D9C" w:rsidP="00013D9C">
            <w:pPr>
              <w:jc w:val="right"/>
              <w:rPr>
                <w:rFonts w:ascii="Calibri" w:eastAsia="Times New Roman" w:hAnsi="Calibri" w:cs="Calibri"/>
                <w:b/>
                <w:bCs/>
                <w:sz w:val="19"/>
                <w:szCs w:val="19"/>
              </w:rPr>
            </w:pPr>
            <w:r>
              <w:rPr>
                <w:rFonts w:ascii="Calibri" w:hAnsi="Calibri" w:cs="Calibri"/>
                <w:b/>
                <w:bCs/>
              </w:rPr>
              <w:t>2.3%</w:t>
            </w:r>
          </w:p>
        </w:tc>
        <w:tc>
          <w:tcPr>
            <w:tcW w:w="737" w:type="dxa"/>
            <w:tcBorders>
              <w:top w:val="nil"/>
              <w:left w:val="nil"/>
              <w:bottom w:val="nil"/>
              <w:right w:val="nil"/>
            </w:tcBorders>
            <w:shd w:val="clear" w:color="000000" w:fill="FFFFFF"/>
            <w:noWrap/>
            <w:vAlign w:val="bottom"/>
          </w:tcPr>
          <w:p w14:paraId="61DE6013" w14:textId="77C6FE36" w:rsidR="00013D9C" w:rsidRPr="006D7414" w:rsidRDefault="00013D9C" w:rsidP="00013D9C">
            <w:pPr>
              <w:jc w:val="right"/>
              <w:rPr>
                <w:rFonts w:ascii="Calibri" w:eastAsia="Times New Roman" w:hAnsi="Calibri" w:cs="Calibri"/>
                <w:sz w:val="19"/>
                <w:szCs w:val="19"/>
              </w:rPr>
            </w:pPr>
            <w:r w:rsidRPr="006D7414">
              <w:rPr>
                <w:rFonts w:ascii="Calibri" w:hAnsi="Calibri" w:cs="Calibri"/>
              </w:rPr>
              <w:t>2,304</w:t>
            </w:r>
          </w:p>
        </w:tc>
        <w:tc>
          <w:tcPr>
            <w:tcW w:w="792" w:type="dxa"/>
            <w:tcBorders>
              <w:top w:val="nil"/>
              <w:left w:val="nil"/>
              <w:bottom w:val="nil"/>
              <w:right w:val="nil"/>
            </w:tcBorders>
            <w:shd w:val="clear" w:color="000000" w:fill="D9D9D9"/>
            <w:noWrap/>
            <w:vAlign w:val="bottom"/>
          </w:tcPr>
          <w:p w14:paraId="2B18B49C" w14:textId="091A3D97" w:rsidR="00013D9C" w:rsidRPr="006D7414" w:rsidRDefault="00013D9C" w:rsidP="00013D9C">
            <w:pPr>
              <w:jc w:val="right"/>
              <w:rPr>
                <w:rFonts w:ascii="Calibri" w:eastAsia="Times New Roman" w:hAnsi="Calibri" w:cs="Calibri"/>
                <w:sz w:val="19"/>
                <w:szCs w:val="19"/>
              </w:rPr>
            </w:pPr>
            <w:r w:rsidRPr="006D7414">
              <w:rPr>
                <w:rFonts w:ascii="Calibri" w:hAnsi="Calibri" w:cs="Calibri"/>
              </w:rPr>
              <w:t>-1.3%</w:t>
            </w:r>
          </w:p>
        </w:tc>
        <w:tc>
          <w:tcPr>
            <w:tcW w:w="768" w:type="dxa"/>
            <w:tcBorders>
              <w:top w:val="nil"/>
              <w:left w:val="nil"/>
              <w:bottom w:val="nil"/>
              <w:right w:val="nil"/>
            </w:tcBorders>
            <w:shd w:val="clear" w:color="000000" w:fill="FFFFFF"/>
            <w:noWrap/>
            <w:vAlign w:val="bottom"/>
          </w:tcPr>
          <w:p w14:paraId="6DD59A3D" w14:textId="3D57940F" w:rsidR="00013D9C" w:rsidRPr="001E6659" w:rsidRDefault="00013D9C" w:rsidP="00013D9C">
            <w:pPr>
              <w:jc w:val="right"/>
              <w:rPr>
                <w:rFonts w:ascii="Calibri" w:eastAsia="Times New Roman" w:hAnsi="Calibri" w:cs="Calibri"/>
                <w:sz w:val="19"/>
                <w:szCs w:val="19"/>
              </w:rPr>
            </w:pPr>
            <w:r>
              <w:rPr>
                <w:rFonts w:ascii="Calibri" w:hAnsi="Calibri" w:cs="Calibri"/>
              </w:rPr>
              <w:t>2,335</w:t>
            </w:r>
          </w:p>
        </w:tc>
        <w:tc>
          <w:tcPr>
            <w:tcW w:w="792" w:type="dxa"/>
            <w:tcBorders>
              <w:top w:val="nil"/>
              <w:left w:val="nil"/>
              <w:bottom w:val="nil"/>
              <w:right w:val="nil"/>
            </w:tcBorders>
            <w:shd w:val="clear" w:color="000000" w:fill="D9D9D9"/>
            <w:noWrap/>
            <w:vAlign w:val="bottom"/>
          </w:tcPr>
          <w:p w14:paraId="368B00A2" w14:textId="6BD28BBC" w:rsidR="00013D9C" w:rsidRPr="001E6659" w:rsidRDefault="00013D9C" w:rsidP="00013D9C">
            <w:pPr>
              <w:jc w:val="right"/>
              <w:rPr>
                <w:rFonts w:ascii="Calibri" w:eastAsia="Times New Roman" w:hAnsi="Calibri" w:cs="Calibri"/>
                <w:sz w:val="19"/>
                <w:szCs w:val="19"/>
              </w:rPr>
            </w:pPr>
            <w:r>
              <w:rPr>
                <w:rFonts w:ascii="Calibri" w:hAnsi="Calibri" w:cs="Calibri"/>
              </w:rPr>
              <w:t>3.9%</w:t>
            </w:r>
          </w:p>
        </w:tc>
        <w:tc>
          <w:tcPr>
            <w:tcW w:w="752" w:type="dxa"/>
            <w:tcBorders>
              <w:top w:val="nil"/>
              <w:left w:val="nil"/>
              <w:bottom w:val="nil"/>
              <w:right w:val="nil"/>
            </w:tcBorders>
            <w:shd w:val="clear" w:color="000000" w:fill="FFFFFF"/>
            <w:noWrap/>
            <w:vAlign w:val="bottom"/>
          </w:tcPr>
          <w:p w14:paraId="0DA4250A" w14:textId="5EAE7751" w:rsidR="00013D9C" w:rsidRPr="001E6659" w:rsidRDefault="00013D9C" w:rsidP="00013D9C">
            <w:pPr>
              <w:jc w:val="right"/>
              <w:rPr>
                <w:rFonts w:ascii="Calibri" w:eastAsia="Times New Roman" w:hAnsi="Calibri" w:cs="Calibri"/>
                <w:sz w:val="19"/>
                <w:szCs w:val="19"/>
              </w:rPr>
            </w:pPr>
            <w:r>
              <w:rPr>
                <w:rFonts w:ascii="Calibri" w:hAnsi="Calibri" w:cs="Calibri"/>
              </w:rPr>
              <w:t>2,247</w:t>
            </w:r>
          </w:p>
        </w:tc>
        <w:tc>
          <w:tcPr>
            <w:tcW w:w="792" w:type="dxa"/>
            <w:tcBorders>
              <w:top w:val="nil"/>
              <w:left w:val="nil"/>
              <w:bottom w:val="nil"/>
              <w:right w:val="nil"/>
            </w:tcBorders>
            <w:shd w:val="clear" w:color="000000" w:fill="D9D9D9"/>
            <w:noWrap/>
            <w:vAlign w:val="bottom"/>
          </w:tcPr>
          <w:p w14:paraId="6D2DB078" w14:textId="1B88C116" w:rsidR="00013D9C" w:rsidRPr="001E6659" w:rsidRDefault="00013D9C" w:rsidP="00013D9C">
            <w:pPr>
              <w:jc w:val="right"/>
              <w:rPr>
                <w:rFonts w:ascii="Calibri" w:eastAsia="Times New Roman" w:hAnsi="Calibri" w:cs="Calibri"/>
                <w:sz w:val="19"/>
                <w:szCs w:val="19"/>
              </w:rPr>
            </w:pPr>
            <w:r>
              <w:rPr>
                <w:rFonts w:ascii="Calibri" w:hAnsi="Calibri" w:cs="Calibri"/>
              </w:rPr>
              <w:t>3.6%</w:t>
            </w:r>
          </w:p>
        </w:tc>
      </w:tr>
      <w:tr w:rsidR="00013D9C" w:rsidRPr="00653071" w14:paraId="1E892DB4" w14:textId="77777777" w:rsidTr="0070537E">
        <w:trPr>
          <w:trHeight w:val="162"/>
          <w:jc w:val="center"/>
        </w:trPr>
        <w:tc>
          <w:tcPr>
            <w:tcW w:w="680" w:type="dxa"/>
            <w:tcBorders>
              <w:top w:val="nil"/>
              <w:left w:val="nil"/>
              <w:bottom w:val="nil"/>
              <w:right w:val="nil"/>
            </w:tcBorders>
            <w:shd w:val="clear" w:color="000000" w:fill="FFFFFF"/>
            <w:noWrap/>
            <w:vAlign w:val="bottom"/>
          </w:tcPr>
          <w:p w14:paraId="511952E4" w14:textId="65F23EC0" w:rsidR="00013D9C" w:rsidRPr="001E6659" w:rsidRDefault="00013D9C" w:rsidP="00013D9C">
            <w:pPr>
              <w:rPr>
                <w:rFonts w:ascii="Calibri" w:eastAsia="Times New Roman" w:hAnsi="Calibri" w:cs="Calibri"/>
                <w:sz w:val="19"/>
                <w:szCs w:val="19"/>
              </w:rPr>
            </w:pPr>
            <w:r>
              <w:rPr>
                <w:rFonts w:ascii="Calibri" w:hAnsi="Calibri" w:cs="Calibri"/>
              </w:rPr>
              <w:t>UMF</w:t>
            </w:r>
          </w:p>
        </w:tc>
        <w:tc>
          <w:tcPr>
            <w:tcW w:w="952" w:type="dxa"/>
            <w:tcBorders>
              <w:top w:val="nil"/>
              <w:left w:val="single" w:sz="4" w:space="0" w:color="00688D"/>
              <w:bottom w:val="nil"/>
              <w:right w:val="single" w:sz="4" w:space="0" w:color="00688D"/>
            </w:tcBorders>
            <w:shd w:val="clear" w:color="000000" w:fill="D9D9D9"/>
            <w:noWrap/>
            <w:vAlign w:val="bottom"/>
          </w:tcPr>
          <w:p w14:paraId="538DE179" w14:textId="6E096B89"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-20.2%</w:t>
            </w:r>
          </w:p>
        </w:tc>
        <w:tc>
          <w:tcPr>
            <w:tcW w:w="770" w:type="dxa"/>
            <w:tcBorders>
              <w:top w:val="nil"/>
              <w:left w:val="nil"/>
              <w:bottom w:val="nil"/>
              <w:right w:val="nil"/>
            </w:tcBorders>
            <w:shd w:val="clear" w:color="000000" w:fill="FFFFFF"/>
            <w:noWrap/>
            <w:vAlign w:val="bottom"/>
          </w:tcPr>
          <w:p w14:paraId="050FC756" w14:textId="526603EB" w:rsidR="00013D9C" w:rsidRPr="001E6659" w:rsidRDefault="00013D9C" w:rsidP="00013D9C">
            <w:pPr>
              <w:jc w:val="right"/>
              <w:rPr>
                <w:rFonts w:ascii="Calibri" w:eastAsia="Times New Roman" w:hAnsi="Calibri" w:cs="Calibri"/>
                <w:b/>
                <w:bCs/>
                <w:sz w:val="19"/>
                <w:szCs w:val="19"/>
              </w:rPr>
            </w:pPr>
            <w:r>
              <w:rPr>
                <w:rFonts w:ascii="Calibri" w:hAnsi="Calibri" w:cs="Calibri"/>
                <w:b/>
                <w:bCs/>
              </w:rPr>
              <w:t>1,309</w:t>
            </w:r>
          </w:p>
        </w:tc>
        <w:tc>
          <w:tcPr>
            <w:tcW w:w="792" w:type="dxa"/>
            <w:tcBorders>
              <w:top w:val="nil"/>
              <w:left w:val="nil"/>
              <w:bottom w:val="nil"/>
              <w:right w:val="nil"/>
            </w:tcBorders>
            <w:shd w:val="clear" w:color="000000" w:fill="D9D9D9"/>
            <w:noWrap/>
            <w:vAlign w:val="bottom"/>
          </w:tcPr>
          <w:p w14:paraId="495EE2B1" w14:textId="5E7FE45B" w:rsidR="00013D9C" w:rsidRPr="001E6659" w:rsidRDefault="00013D9C" w:rsidP="00013D9C">
            <w:pPr>
              <w:jc w:val="right"/>
              <w:rPr>
                <w:rFonts w:ascii="Calibri" w:eastAsia="Times New Roman" w:hAnsi="Calibri" w:cs="Calibri"/>
                <w:b/>
                <w:bCs/>
                <w:sz w:val="19"/>
                <w:szCs w:val="19"/>
              </w:rPr>
            </w:pPr>
            <w:r>
              <w:rPr>
                <w:rFonts w:ascii="Calibri" w:hAnsi="Calibri" w:cs="Calibri"/>
                <w:b/>
                <w:bCs/>
              </w:rPr>
              <w:t>-8.9%</w:t>
            </w:r>
          </w:p>
        </w:tc>
        <w:tc>
          <w:tcPr>
            <w:tcW w:w="741" w:type="dxa"/>
            <w:tcBorders>
              <w:top w:val="nil"/>
              <w:left w:val="nil"/>
              <w:bottom w:val="nil"/>
              <w:right w:val="nil"/>
            </w:tcBorders>
            <w:shd w:val="clear" w:color="000000" w:fill="FFFFFF"/>
            <w:noWrap/>
            <w:vAlign w:val="bottom"/>
          </w:tcPr>
          <w:p w14:paraId="582B7FD5" w14:textId="1D5E88EF" w:rsidR="00013D9C" w:rsidRPr="001E6659" w:rsidRDefault="00013D9C" w:rsidP="00013D9C">
            <w:pPr>
              <w:jc w:val="right"/>
              <w:rPr>
                <w:rFonts w:ascii="Calibri" w:eastAsia="Times New Roman" w:hAnsi="Calibri" w:cs="Calibri"/>
                <w:b/>
                <w:bCs/>
                <w:sz w:val="19"/>
                <w:szCs w:val="19"/>
              </w:rPr>
            </w:pPr>
            <w:r>
              <w:rPr>
                <w:rFonts w:ascii="Calibri" w:hAnsi="Calibri" w:cs="Calibri"/>
                <w:b/>
                <w:bCs/>
              </w:rPr>
              <w:t>1,437</w:t>
            </w:r>
          </w:p>
        </w:tc>
        <w:tc>
          <w:tcPr>
            <w:tcW w:w="792" w:type="dxa"/>
            <w:tcBorders>
              <w:top w:val="nil"/>
              <w:left w:val="nil"/>
              <w:bottom w:val="nil"/>
              <w:right w:val="nil"/>
            </w:tcBorders>
            <w:shd w:val="clear" w:color="000000" w:fill="D9D9D9"/>
            <w:noWrap/>
            <w:vAlign w:val="bottom"/>
          </w:tcPr>
          <w:p w14:paraId="17D3FEED" w14:textId="038BF9A5" w:rsidR="00013D9C" w:rsidRPr="001E6659" w:rsidRDefault="00013D9C" w:rsidP="00013D9C">
            <w:pPr>
              <w:jc w:val="right"/>
              <w:rPr>
                <w:rFonts w:ascii="Calibri" w:eastAsia="Times New Roman" w:hAnsi="Calibri" w:cs="Calibri"/>
                <w:b/>
                <w:bCs/>
                <w:sz w:val="19"/>
                <w:szCs w:val="19"/>
              </w:rPr>
            </w:pPr>
            <w:r>
              <w:rPr>
                <w:rFonts w:ascii="Calibri" w:hAnsi="Calibri" w:cs="Calibri"/>
                <w:b/>
                <w:bCs/>
              </w:rPr>
              <w:t>-4.8%</w:t>
            </w:r>
          </w:p>
        </w:tc>
        <w:tc>
          <w:tcPr>
            <w:tcW w:w="737" w:type="dxa"/>
            <w:tcBorders>
              <w:top w:val="nil"/>
              <w:left w:val="nil"/>
              <w:bottom w:val="nil"/>
              <w:right w:val="nil"/>
            </w:tcBorders>
            <w:shd w:val="clear" w:color="000000" w:fill="FFFFFF"/>
            <w:noWrap/>
            <w:vAlign w:val="bottom"/>
          </w:tcPr>
          <w:p w14:paraId="3AE776D5" w14:textId="6D00B025" w:rsidR="00013D9C" w:rsidRPr="006D7414" w:rsidRDefault="00013D9C" w:rsidP="00013D9C">
            <w:pPr>
              <w:jc w:val="right"/>
              <w:rPr>
                <w:rFonts w:ascii="Calibri" w:eastAsia="Times New Roman" w:hAnsi="Calibri" w:cs="Calibri"/>
                <w:sz w:val="19"/>
                <w:szCs w:val="19"/>
              </w:rPr>
            </w:pPr>
            <w:r w:rsidRPr="006D7414">
              <w:rPr>
                <w:rFonts w:ascii="Calibri" w:hAnsi="Calibri" w:cs="Calibri"/>
              </w:rPr>
              <w:t>1,510</w:t>
            </w:r>
          </w:p>
        </w:tc>
        <w:tc>
          <w:tcPr>
            <w:tcW w:w="792" w:type="dxa"/>
            <w:tcBorders>
              <w:top w:val="nil"/>
              <w:left w:val="nil"/>
              <w:bottom w:val="nil"/>
              <w:right w:val="nil"/>
            </w:tcBorders>
            <w:shd w:val="clear" w:color="000000" w:fill="D9D9D9"/>
            <w:noWrap/>
            <w:vAlign w:val="bottom"/>
          </w:tcPr>
          <w:p w14:paraId="5CC68DB6" w14:textId="152CE6A9" w:rsidR="00013D9C" w:rsidRPr="006D7414" w:rsidRDefault="00013D9C" w:rsidP="00013D9C">
            <w:pPr>
              <w:jc w:val="right"/>
              <w:rPr>
                <w:rFonts w:ascii="Calibri" w:eastAsia="Times New Roman" w:hAnsi="Calibri" w:cs="Calibri"/>
                <w:sz w:val="19"/>
                <w:szCs w:val="19"/>
              </w:rPr>
            </w:pPr>
            <w:r w:rsidRPr="006D7414">
              <w:rPr>
                <w:rFonts w:ascii="Calibri" w:hAnsi="Calibri" w:cs="Calibri"/>
              </w:rPr>
              <w:t>-4.4%</w:t>
            </w:r>
          </w:p>
        </w:tc>
        <w:tc>
          <w:tcPr>
            <w:tcW w:w="768" w:type="dxa"/>
            <w:tcBorders>
              <w:top w:val="nil"/>
              <w:left w:val="nil"/>
              <w:bottom w:val="nil"/>
              <w:right w:val="nil"/>
            </w:tcBorders>
            <w:shd w:val="clear" w:color="000000" w:fill="FFFFFF"/>
            <w:noWrap/>
            <w:vAlign w:val="bottom"/>
          </w:tcPr>
          <w:p w14:paraId="48377222" w14:textId="00ED72C7" w:rsidR="00013D9C" w:rsidRPr="001E6659" w:rsidRDefault="00013D9C" w:rsidP="00013D9C">
            <w:pPr>
              <w:jc w:val="right"/>
              <w:rPr>
                <w:rFonts w:ascii="Calibri" w:eastAsia="Times New Roman" w:hAnsi="Calibri" w:cs="Calibri"/>
                <w:sz w:val="19"/>
                <w:szCs w:val="19"/>
              </w:rPr>
            </w:pPr>
            <w:r>
              <w:rPr>
                <w:rFonts w:ascii="Calibri" w:hAnsi="Calibri" w:cs="Calibri"/>
              </w:rPr>
              <w:t>1,579</w:t>
            </w:r>
          </w:p>
        </w:tc>
        <w:tc>
          <w:tcPr>
            <w:tcW w:w="792" w:type="dxa"/>
            <w:tcBorders>
              <w:top w:val="nil"/>
              <w:left w:val="nil"/>
              <w:bottom w:val="nil"/>
              <w:right w:val="nil"/>
            </w:tcBorders>
            <w:shd w:val="clear" w:color="000000" w:fill="D9D9D9"/>
            <w:noWrap/>
            <w:vAlign w:val="bottom"/>
          </w:tcPr>
          <w:p w14:paraId="1222553A" w14:textId="5E1E73CF" w:rsidR="00013D9C" w:rsidRPr="001E6659" w:rsidRDefault="00013D9C" w:rsidP="00013D9C">
            <w:pPr>
              <w:jc w:val="right"/>
              <w:rPr>
                <w:rFonts w:ascii="Calibri" w:eastAsia="Times New Roman" w:hAnsi="Calibri" w:cs="Calibri"/>
                <w:sz w:val="19"/>
                <w:szCs w:val="19"/>
              </w:rPr>
            </w:pPr>
            <w:r>
              <w:rPr>
                <w:rFonts w:ascii="Calibri" w:hAnsi="Calibri" w:cs="Calibri"/>
              </w:rPr>
              <w:t>-3.8%</w:t>
            </w:r>
          </w:p>
        </w:tc>
        <w:tc>
          <w:tcPr>
            <w:tcW w:w="752" w:type="dxa"/>
            <w:tcBorders>
              <w:top w:val="nil"/>
              <w:left w:val="nil"/>
              <w:bottom w:val="nil"/>
              <w:right w:val="nil"/>
            </w:tcBorders>
            <w:shd w:val="clear" w:color="000000" w:fill="FFFFFF"/>
            <w:noWrap/>
            <w:vAlign w:val="bottom"/>
          </w:tcPr>
          <w:p w14:paraId="4A2C4180" w14:textId="2C44DFA1" w:rsidR="00013D9C" w:rsidRPr="001E6659" w:rsidRDefault="00013D9C" w:rsidP="00013D9C">
            <w:pPr>
              <w:jc w:val="right"/>
              <w:rPr>
                <w:rFonts w:ascii="Calibri" w:eastAsia="Times New Roman" w:hAnsi="Calibri" w:cs="Calibri"/>
                <w:sz w:val="19"/>
                <w:szCs w:val="19"/>
              </w:rPr>
            </w:pPr>
            <w:r>
              <w:rPr>
                <w:rFonts w:ascii="Calibri" w:hAnsi="Calibri" w:cs="Calibri"/>
              </w:rPr>
              <w:t>1,641</w:t>
            </w:r>
          </w:p>
        </w:tc>
        <w:tc>
          <w:tcPr>
            <w:tcW w:w="792" w:type="dxa"/>
            <w:tcBorders>
              <w:top w:val="nil"/>
              <w:left w:val="nil"/>
              <w:bottom w:val="nil"/>
              <w:right w:val="nil"/>
            </w:tcBorders>
            <w:shd w:val="clear" w:color="000000" w:fill="D9D9D9"/>
            <w:noWrap/>
            <w:vAlign w:val="bottom"/>
          </w:tcPr>
          <w:p w14:paraId="1ED9A484" w14:textId="70828F60" w:rsidR="00013D9C" w:rsidRPr="001E6659" w:rsidRDefault="00013D9C" w:rsidP="00013D9C">
            <w:pPr>
              <w:jc w:val="right"/>
              <w:rPr>
                <w:rFonts w:ascii="Calibri" w:eastAsia="Times New Roman" w:hAnsi="Calibri" w:cs="Calibri"/>
                <w:sz w:val="19"/>
                <w:szCs w:val="19"/>
              </w:rPr>
            </w:pPr>
            <w:r>
              <w:rPr>
                <w:rFonts w:ascii="Calibri" w:hAnsi="Calibri" w:cs="Calibri"/>
              </w:rPr>
              <w:t>-4.8%</w:t>
            </w:r>
          </w:p>
        </w:tc>
      </w:tr>
      <w:tr w:rsidR="00013D9C" w:rsidRPr="00653071" w14:paraId="6B3997ED" w14:textId="77777777" w:rsidTr="0070537E">
        <w:trPr>
          <w:trHeight w:val="288"/>
          <w:jc w:val="center"/>
        </w:trPr>
        <w:tc>
          <w:tcPr>
            <w:tcW w:w="680" w:type="dxa"/>
            <w:tcBorders>
              <w:top w:val="nil"/>
              <w:left w:val="nil"/>
              <w:bottom w:val="nil"/>
              <w:right w:val="nil"/>
            </w:tcBorders>
            <w:shd w:val="clear" w:color="000000" w:fill="FFFFFF"/>
            <w:noWrap/>
            <w:vAlign w:val="bottom"/>
          </w:tcPr>
          <w:p w14:paraId="0FAB0C63" w14:textId="6CD33127" w:rsidR="00013D9C" w:rsidRPr="001E6659" w:rsidRDefault="00013D9C" w:rsidP="00013D9C">
            <w:pPr>
              <w:rPr>
                <w:rFonts w:ascii="Calibri" w:eastAsia="Times New Roman" w:hAnsi="Calibri" w:cs="Calibri"/>
                <w:sz w:val="19"/>
                <w:szCs w:val="19"/>
              </w:rPr>
            </w:pPr>
            <w:proofErr w:type="spellStart"/>
            <w:r>
              <w:rPr>
                <w:rFonts w:ascii="Calibri" w:hAnsi="Calibri" w:cs="Calibri"/>
              </w:rPr>
              <w:t>UMFK</w:t>
            </w:r>
            <w:proofErr w:type="spellEnd"/>
          </w:p>
        </w:tc>
        <w:tc>
          <w:tcPr>
            <w:tcW w:w="952" w:type="dxa"/>
            <w:tcBorders>
              <w:top w:val="nil"/>
              <w:left w:val="single" w:sz="4" w:space="0" w:color="00688D"/>
              <w:bottom w:val="nil"/>
              <w:right w:val="single" w:sz="4" w:space="0" w:color="00688D"/>
            </w:tcBorders>
            <w:shd w:val="clear" w:color="000000" w:fill="D9D9D9"/>
            <w:noWrap/>
            <w:vAlign w:val="bottom"/>
          </w:tcPr>
          <w:p w14:paraId="3006FC12" w14:textId="1DF3BA09"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-40.6%</w:t>
            </w:r>
          </w:p>
        </w:tc>
        <w:tc>
          <w:tcPr>
            <w:tcW w:w="770" w:type="dxa"/>
            <w:tcBorders>
              <w:top w:val="nil"/>
              <w:left w:val="nil"/>
              <w:bottom w:val="nil"/>
              <w:right w:val="nil"/>
            </w:tcBorders>
            <w:shd w:val="clear" w:color="000000" w:fill="FFFFFF"/>
            <w:noWrap/>
            <w:vAlign w:val="bottom"/>
          </w:tcPr>
          <w:p w14:paraId="17010AAB" w14:textId="13BCE13E" w:rsidR="00013D9C" w:rsidRPr="001E6659" w:rsidRDefault="00013D9C" w:rsidP="00013D9C">
            <w:pPr>
              <w:jc w:val="right"/>
              <w:rPr>
                <w:rFonts w:ascii="Calibri" w:eastAsia="Times New Roman" w:hAnsi="Calibri" w:cs="Calibri"/>
                <w:b/>
                <w:bCs/>
                <w:sz w:val="19"/>
                <w:szCs w:val="19"/>
              </w:rPr>
            </w:pPr>
            <w:r>
              <w:rPr>
                <w:rFonts w:ascii="Calibri" w:hAnsi="Calibri" w:cs="Calibri"/>
                <w:b/>
                <w:bCs/>
              </w:rPr>
              <w:t>567</w:t>
            </w:r>
          </w:p>
        </w:tc>
        <w:tc>
          <w:tcPr>
            <w:tcW w:w="792" w:type="dxa"/>
            <w:tcBorders>
              <w:top w:val="nil"/>
              <w:left w:val="nil"/>
              <w:bottom w:val="nil"/>
              <w:right w:val="nil"/>
            </w:tcBorders>
            <w:shd w:val="clear" w:color="000000" w:fill="D9D9D9"/>
            <w:noWrap/>
            <w:vAlign w:val="bottom"/>
          </w:tcPr>
          <w:p w14:paraId="1E030A94" w14:textId="0A049430" w:rsidR="00013D9C" w:rsidRPr="001E6659" w:rsidRDefault="00013D9C" w:rsidP="00013D9C">
            <w:pPr>
              <w:jc w:val="right"/>
              <w:rPr>
                <w:rFonts w:ascii="Calibri" w:eastAsia="Times New Roman" w:hAnsi="Calibri" w:cs="Calibri"/>
                <w:b/>
                <w:bCs/>
                <w:sz w:val="19"/>
                <w:szCs w:val="19"/>
              </w:rPr>
            </w:pPr>
            <w:r>
              <w:rPr>
                <w:rFonts w:ascii="Calibri" w:hAnsi="Calibri" w:cs="Calibri"/>
                <w:b/>
                <w:bCs/>
              </w:rPr>
              <w:t>-21.1%</w:t>
            </w:r>
          </w:p>
        </w:tc>
        <w:tc>
          <w:tcPr>
            <w:tcW w:w="741" w:type="dxa"/>
            <w:tcBorders>
              <w:top w:val="nil"/>
              <w:left w:val="nil"/>
              <w:bottom w:val="nil"/>
              <w:right w:val="nil"/>
            </w:tcBorders>
            <w:shd w:val="clear" w:color="000000" w:fill="FFFFFF"/>
            <w:noWrap/>
            <w:vAlign w:val="bottom"/>
          </w:tcPr>
          <w:p w14:paraId="75B99C0A" w14:textId="1051A85B" w:rsidR="00013D9C" w:rsidRPr="001E6659" w:rsidRDefault="00013D9C" w:rsidP="00013D9C">
            <w:pPr>
              <w:jc w:val="right"/>
              <w:rPr>
                <w:rFonts w:ascii="Calibri" w:eastAsia="Times New Roman" w:hAnsi="Calibri" w:cs="Calibri"/>
                <w:b/>
                <w:bCs/>
                <w:sz w:val="19"/>
                <w:szCs w:val="19"/>
              </w:rPr>
            </w:pPr>
            <w:r>
              <w:rPr>
                <w:rFonts w:ascii="Calibri" w:hAnsi="Calibri" w:cs="Calibri"/>
                <w:b/>
                <w:bCs/>
              </w:rPr>
              <w:t>718</w:t>
            </w:r>
          </w:p>
        </w:tc>
        <w:tc>
          <w:tcPr>
            <w:tcW w:w="792" w:type="dxa"/>
            <w:tcBorders>
              <w:top w:val="nil"/>
              <w:left w:val="nil"/>
              <w:bottom w:val="nil"/>
              <w:right w:val="nil"/>
            </w:tcBorders>
            <w:shd w:val="clear" w:color="000000" w:fill="D9D9D9"/>
            <w:noWrap/>
            <w:vAlign w:val="bottom"/>
          </w:tcPr>
          <w:p w14:paraId="6CA42863" w14:textId="4DEBFBD2" w:rsidR="00013D9C" w:rsidRPr="001E6659" w:rsidRDefault="00013D9C" w:rsidP="00013D9C">
            <w:pPr>
              <w:jc w:val="right"/>
              <w:rPr>
                <w:rFonts w:ascii="Calibri" w:eastAsia="Times New Roman" w:hAnsi="Calibri" w:cs="Calibri"/>
                <w:b/>
                <w:bCs/>
                <w:sz w:val="19"/>
                <w:szCs w:val="19"/>
              </w:rPr>
            </w:pPr>
            <w:r>
              <w:rPr>
                <w:rFonts w:ascii="Calibri" w:hAnsi="Calibri" w:cs="Calibri"/>
                <w:b/>
                <w:bCs/>
              </w:rPr>
              <w:t>-11.6%</w:t>
            </w:r>
          </w:p>
        </w:tc>
        <w:tc>
          <w:tcPr>
            <w:tcW w:w="737" w:type="dxa"/>
            <w:tcBorders>
              <w:top w:val="nil"/>
              <w:left w:val="nil"/>
              <w:bottom w:val="nil"/>
              <w:right w:val="nil"/>
            </w:tcBorders>
            <w:shd w:val="clear" w:color="000000" w:fill="FFFFFF"/>
            <w:noWrap/>
            <w:vAlign w:val="bottom"/>
          </w:tcPr>
          <w:p w14:paraId="70AE486F" w14:textId="39D1E1F4" w:rsidR="00013D9C" w:rsidRPr="006D7414" w:rsidRDefault="00013D9C" w:rsidP="00013D9C">
            <w:pPr>
              <w:jc w:val="right"/>
              <w:rPr>
                <w:rFonts w:ascii="Calibri" w:eastAsia="Times New Roman" w:hAnsi="Calibri" w:cs="Calibri"/>
                <w:sz w:val="19"/>
                <w:szCs w:val="19"/>
              </w:rPr>
            </w:pPr>
            <w:r w:rsidRPr="006D7414">
              <w:rPr>
                <w:rFonts w:ascii="Calibri" w:hAnsi="Calibri" w:cs="Calibri"/>
              </w:rPr>
              <w:t>812</w:t>
            </w:r>
          </w:p>
        </w:tc>
        <w:tc>
          <w:tcPr>
            <w:tcW w:w="792" w:type="dxa"/>
            <w:tcBorders>
              <w:top w:val="nil"/>
              <w:left w:val="nil"/>
              <w:bottom w:val="nil"/>
              <w:right w:val="nil"/>
            </w:tcBorders>
            <w:shd w:val="clear" w:color="000000" w:fill="D9D9D9"/>
            <w:noWrap/>
            <w:vAlign w:val="bottom"/>
          </w:tcPr>
          <w:p w14:paraId="691DCEDF" w14:textId="0A116738" w:rsidR="00013D9C" w:rsidRPr="006D7414" w:rsidRDefault="00013D9C" w:rsidP="00013D9C">
            <w:pPr>
              <w:jc w:val="right"/>
              <w:rPr>
                <w:rFonts w:ascii="Calibri" w:eastAsia="Times New Roman" w:hAnsi="Calibri" w:cs="Calibri"/>
                <w:sz w:val="19"/>
                <w:szCs w:val="19"/>
              </w:rPr>
            </w:pPr>
            <w:r w:rsidRPr="006D7414">
              <w:rPr>
                <w:rFonts w:ascii="Calibri" w:hAnsi="Calibri" w:cs="Calibri"/>
              </w:rPr>
              <w:t>-3.6%</w:t>
            </w:r>
          </w:p>
        </w:tc>
        <w:tc>
          <w:tcPr>
            <w:tcW w:w="768" w:type="dxa"/>
            <w:tcBorders>
              <w:top w:val="nil"/>
              <w:left w:val="nil"/>
              <w:bottom w:val="nil"/>
              <w:right w:val="nil"/>
            </w:tcBorders>
            <w:shd w:val="clear" w:color="000000" w:fill="FFFFFF"/>
            <w:noWrap/>
            <w:vAlign w:val="bottom"/>
          </w:tcPr>
          <w:p w14:paraId="3796274A" w14:textId="301F1F7E" w:rsidR="00013D9C" w:rsidRPr="001E6659" w:rsidRDefault="00013D9C" w:rsidP="00013D9C">
            <w:pPr>
              <w:jc w:val="right"/>
              <w:rPr>
                <w:rFonts w:ascii="Calibri" w:eastAsia="Times New Roman" w:hAnsi="Calibri" w:cs="Calibri"/>
                <w:sz w:val="19"/>
                <w:szCs w:val="19"/>
              </w:rPr>
            </w:pPr>
            <w:r>
              <w:rPr>
                <w:rFonts w:ascii="Calibri" w:hAnsi="Calibri" w:cs="Calibri"/>
              </w:rPr>
              <w:t>842</w:t>
            </w:r>
          </w:p>
        </w:tc>
        <w:tc>
          <w:tcPr>
            <w:tcW w:w="792" w:type="dxa"/>
            <w:tcBorders>
              <w:top w:val="nil"/>
              <w:left w:val="nil"/>
              <w:bottom w:val="nil"/>
              <w:right w:val="nil"/>
            </w:tcBorders>
            <w:shd w:val="clear" w:color="000000" w:fill="D9D9D9"/>
            <w:noWrap/>
            <w:vAlign w:val="bottom"/>
          </w:tcPr>
          <w:p w14:paraId="166E1967" w14:textId="0CFF32E3" w:rsidR="00013D9C" w:rsidRPr="001E6659" w:rsidRDefault="00013D9C" w:rsidP="00013D9C">
            <w:pPr>
              <w:jc w:val="right"/>
              <w:rPr>
                <w:rFonts w:ascii="Calibri" w:eastAsia="Times New Roman" w:hAnsi="Calibri" w:cs="Calibri"/>
                <w:sz w:val="19"/>
                <w:szCs w:val="19"/>
              </w:rPr>
            </w:pPr>
            <w:r>
              <w:rPr>
                <w:rFonts w:ascii="Calibri" w:hAnsi="Calibri" w:cs="Calibri"/>
              </w:rPr>
              <w:t>-11.7%</w:t>
            </w:r>
          </w:p>
        </w:tc>
        <w:tc>
          <w:tcPr>
            <w:tcW w:w="752" w:type="dxa"/>
            <w:tcBorders>
              <w:top w:val="nil"/>
              <w:left w:val="nil"/>
              <w:bottom w:val="nil"/>
              <w:right w:val="nil"/>
            </w:tcBorders>
            <w:shd w:val="clear" w:color="000000" w:fill="FFFFFF"/>
            <w:noWrap/>
            <w:vAlign w:val="bottom"/>
          </w:tcPr>
          <w:p w14:paraId="18D13DE4" w14:textId="5325FD09" w:rsidR="00013D9C" w:rsidRPr="001E6659" w:rsidRDefault="00013D9C" w:rsidP="00013D9C">
            <w:pPr>
              <w:jc w:val="right"/>
              <w:rPr>
                <w:rFonts w:ascii="Calibri" w:eastAsia="Times New Roman" w:hAnsi="Calibri" w:cs="Calibri"/>
                <w:sz w:val="19"/>
                <w:szCs w:val="19"/>
              </w:rPr>
            </w:pPr>
            <w:r>
              <w:rPr>
                <w:rFonts w:ascii="Calibri" w:hAnsi="Calibri" w:cs="Calibri"/>
              </w:rPr>
              <w:t>954</w:t>
            </w:r>
          </w:p>
        </w:tc>
        <w:tc>
          <w:tcPr>
            <w:tcW w:w="792" w:type="dxa"/>
            <w:tcBorders>
              <w:top w:val="nil"/>
              <w:left w:val="nil"/>
              <w:bottom w:val="nil"/>
              <w:right w:val="nil"/>
            </w:tcBorders>
            <w:shd w:val="clear" w:color="000000" w:fill="D9D9D9"/>
            <w:noWrap/>
            <w:vAlign w:val="bottom"/>
          </w:tcPr>
          <w:p w14:paraId="2E401385" w14:textId="222332F3" w:rsidR="00013D9C" w:rsidRPr="001E6659" w:rsidRDefault="00013D9C" w:rsidP="00013D9C">
            <w:pPr>
              <w:jc w:val="right"/>
              <w:rPr>
                <w:rFonts w:ascii="Calibri" w:eastAsia="Times New Roman" w:hAnsi="Calibri" w:cs="Calibri"/>
                <w:sz w:val="19"/>
                <w:szCs w:val="19"/>
              </w:rPr>
            </w:pPr>
            <w:r>
              <w:rPr>
                <w:rFonts w:ascii="Calibri" w:hAnsi="Calibri" w:cs="Calibri"/>
              </w:rPr>
              <w:t>0.4%</w:t>
            </w:r>
          </w:p>
        </w:tc>
      </w:tr>
      <w:tr w:rsidR="00013D9C" w:rsidRPr="00653071" w14:paraId="4B5C8990" w14:textId="77777777" w:rsidTr="0070537E">
        <w:trPr>
          <w:trHeight w:val="288"/>
          <w:jc w:val="center"/>
        </w:trPr>
        <w:tc>
          <w:tcPr>
            <w:tcW w:w="680" w:type="dxa"/>
            <w:tcBorders>
              <w:top w:val="nil"/>
              <w:left w:val="nil"/>
              <w:bottom w:val="nil"/>
              <w:right w:val="nil"/>
            </w:tcBorders>
            <w:shd w:val="clear" w:color="000000" w:fill="FFFFFF"/>
            <w:noWrap/>
            <w:vAlign w:val="bottom"/>
          </w:tcPr>
          <w:p w14:paraId="1B864B4C" w14:textId="6122E305" w:rsidR="00013D9C" w:rsidRPr="001E6659" w:rsidRDefault="00013D9C" w:rsidP="00013D9C">
            <w:pPr>
              <w:rPr>
                <w:rFonts w:ascii="Calibri" w:eastAsia="Times New Roman" w:hAnsi="Calibri" w:cs="Calibri"/>
                <w:sz w:val="19"/>
                <w:szCs w:val="19"/>
              </w:rPr>
            </w:pPr>
            <w:r>
              <w:rPr>
                <w:rFonts w:ascii="Calibri" w:hAnsi="Calibri" w:cs="Calibri"/>
              </w:rPr>
              <w:t>UMM</w:t>
            </w:r>
          </w:p>
        </w:tc>
        <w:tc>
          <w:tcPr>
            <w:tcW w:w="952" w:type="dxa"/>
            <w:tcBorders>
              <w:top w:val="nil"/>
              <w:left w:val="single" w:sz="4" w:space="0" w:color="00688D"/>
              <w:bottom w:val="nil"/>
              <w:right w:val="single" w:sz="4" w:space="0" w:color="00688D"/>
            </w:tcBorders>
            <w:shd w:val="clear" w:color="000000" w:fill="D9D9D9"/>
            <w:noWrap/>
            <w:vAlign w:val="bottom"/>
          </w:tcPr>
          <w:p w14:paraId="0A03612E" w14:textId="41A940D1"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-15.5%</w:t>
            </w:r>
          </w:p>
        </w:tc>
        <w:tc>
          <w:tcPr>
            <w:tcW w:w="770" w:type="dxa"/>
            <w:tcBorders>
              <w:top w:val="nil"/>
              <w:left w:val="nil"/>
              <w:bottom w:val="nil"/>
              <w:right w:val="nil"/>
            </w:tcBorders>
            <w:shd w:val="clear" w:color="000000" w:fill="FFFFFF"/>
            <w:noWrap/>
            <w:vAlign w:val="bottom"/>
          </w:tcPr>
          <w:p w14:paraId="3EB3C886" w14:textId="52906F5C" w:rsidR="00013D9C" w:rsidRPr="001E6659" w:rsidRDefault="00013D9C" w:rsidP="00013D9C">
            <w:pPr>
              <w:jc w:val="right"/>
              <w:rPr>
                <w:rFonts w:ascii="Calibri" w:eastAsia="Times New Roman" w:hAnsi="Calibri" w:cs="Calibri"/>
                <w:b/>
                <w:bCs/>
                <w:sz w:val="19"/>
                <w:szCs w:val="19"/>
              </w:rPr>
            </w:pPr>
            <w:r>
              <w:rPr>
                <w:rFonts w:ascii="Calibri" w:hAnsi="Calibri" w:cs="Calibri"/>
                <w:b/>
                <w:bCs/>
              </w:rPr>
              <w:t>359</w:t>
            </w:r>
          </w:p>
        </w:tc>
        <w:tc>
          <w:tcPr>
            <w:tcW w:w="792" w:type="dxa"/>
            <w:tcBorders>
              <w:top w:val="nil"/>
              <w:left w:val="nil"/>
              <w:bottom w:val="nil"/>
              <w:right w:val="nil"/>
            </w:tcBorders>
            <w:shd w:val="clear" w:color="000000" w:fill="D9D9D9"/>
            <w:noWrap/>
            <w:vAlign w:val="bottom"/>
          </w:tcPr>
          <w:p w14:paraId="122099F8" w14:textId="30D9DCC9" w:rsidR="00013D9C" w:rsidRPr="001E6659" w:rsidRDefault="00013D9C" w:rsidP="00013D9C">
            <w:pPr>
              <w:jc w:val="right"/>
              <w:rPr>
                <w:rFonts w:ascii="Calibri" w:eastAsia="Times New Roman" w:hAnsi="Calibri" w:cs="Calibri"/>
                <w:b/>
                <w:bCs/>
                <w:sz w:val="19"/>
                <w:szCs w:val="19"/>
              </w:rPr>
            </w:pPr>
            <w:r>
              <w:rPr>
                <w:rFonts w:ascii="Calibri" w:hAnsi="Calibri" w:cs="Calibri"/>
                <w:b/>
                <w:bCs/>
              </w:rPr>
              <w:t>-5.7%</w:t>
            </w:r>
          </w:p>
        </w:tc>
        <w:tc>
          <w:tcPr>
            <w:tcW w:w="741" w:type="dxa"/>
            <w:tcBorders>
              <w:top w:val="nil"/>
              <w:left w:val="nil"/>
              <w:bottom w:val="nil"/>
              <w:right w:val="nil"/>
            </w:tcBorders>
            <w:shd w:val="clear" w:color="000000" w:fill="FFFFFF"/>
            <w:noWrap/>
            <w:vAlign w:val="bottom"/>
          </w:tcPr>
          <w:p w14:paraId="07BF780B" w14:textId="2F6A30BC" w:rsidR="00013D9C" w:rsidRPr="001E6659" w:rsidRDefault="00013D9C" w:rsidP="00013D9C">
            <w:pPr>
              <w:jc w:val="right"/>
              <w:rPr>
                <w:rFonts w:ascii="Calibri" w:eastAsia="Times New Roman" w:hAnsi="Calibri" w:cs="Calibri"/>
                <w:b/>
                <w:bCs/>
                <w:sz w:val="19"/>
                <w:szCs w:val="19"/>
              </w:rPr>
            </w:pPr>
            <w:r>
              <w:rPr>
                <w:rFonts w:ascii="Calibri" w:hAnsi="Calibri" w:cs="Calibri"/>
                <w:b/>
                <w:bCs/>
              </w:rPr>
              <w:t>381</w:t>
            </w:r>
          </w:p>
        </w:tc>
        <w:tc>
          <w:tcPr>
            <w:tcW w:w="792" w:type="dxa"/>
            <w:tcBorders>
              <w:top w:val="nil"/>
              <w:left w:val="nil"/>
              <w:bottom w:val="nil"/>
              <w:right w:val="nil"/>
            </w:tcBorders>
            <w:shd w:val="clear" w:color="000000" w:fill="D9D9D9"/>
            <w:noWrap/>
            <w:vAlign w:val="bottom"/>
          </w:tcPr>
          <w:p w14:paraId="576CF345" w14:textId="7F0635E2" w:rsidR="00013D9C" w:rsidRPr="001E6659" w:rsidRDefault="00013D9C" w:rsidP="00013D9C">
            <w:pPr>
              <w:jc w:val="right"/>
              <w:rPr>
                <w:rFonts w:ascii="Calibri" w:eastAsia="Times New Roman" w:hAnsi="Calibri" w:cs="Calibri"/>
                <w:b/>
                <w:bCs/>
                <w:sz w:val="19"/>
                <w:szCs w:val="19"/>
              </w:rPr>
            </w:pPr>
            <w:r>
              <w:rPr>
                <w:rFonts w:ascii="Calibri" w:hAnsi="Calibri" w:cs="Calibri"/>
                <w:b/>
                <w:bCs/>
              </w:rPr>
              <w:t>-4.2%</w:t>
            </w:r>
          </w:p>
        </w:tc>
        <w:tc>
          <w:tcPr>
            <w:tcW w:w="737" w:type="dxa"/>
            <w:tcBorders>
              <w:top w:val="nil"/>
              <w:left w:val="nil"/>
              <w:bottom w:val="nil"/>
              <w:right w:val="nil"/>
            </w:tcBorders>
            <w:shd w:val="clear" w:color="000000" w:fill="FFFFFF"/>
            <w:noWrap/>
            <w:vAlign w:val="bottom"/>
          </w:tcPr>
          <w:p w14:paraId="09BD7D87" w14:textId="4D55B699" w:rsidR="00013D9C" w:rsidRPr="006D7414" w:rsidRDefault="00013D9C" w:rsidP="00013D9C">
            <w:pPr>
              <w:jc w:val="right"/>
              <w:rPr>
                <w:rFonts w:ascii="Calibri" w:eastAsia="Times New Roman" w:hAnsi="Calibri" w:cs="Calibri"/>
                <w:sz w:val="19"/>
                <w:szCs w:val="19"/>
              </w:rPr>
            </w:pPr>
            <w:r w:rsidRPr="006D7414">
              <w:rPr>
                <w:rFonts w:ascii="Calibri" w:hAnsi="Calibri" w:cs="Calibri"/>
              </w:rPr>
              <w:t>397</w:t>
            </w:r>
          </w:p>
        </w:tc>
        <w:tc>
          <w:tcPr>
            <w:tcW w:w="792" w:type="dxa"/>
            <w:tcBorders>
              <w:top w:val="nil"/>
              <w:left w:val="nil"/>
              <w:bottom w:val="nil"/>
              <w:right w:val="nil"/>
            </w:tcBorders>
            <w:shd w:val="clear" w:color="000000" w:fill="D9D9D9"/>
            <w:noWrap/>
            <w:vAlign w:val="bottom"/>
          </w:tcPr>
          <w:p w14:paraId="45856741" w14:textId="111C48BA" w:rsidR="00013D9C" w:rsidRPr="006D7414" w:rsidRDefault="00013D9C" w:rsidP="00013D9C">
            <w:pPr>
              <w:jc w:val="right"/>
              <w:rPr>
                <w:rFonts w:ascii="Calibri" w:eastAsia="Times New Roman" w:hAnsi="Calibri" w:cs="Calibri"/>
                <w:sz w:val="19"/>
                <w:szCs w:val="19"/>
              </w:rPr>
            </w:pPr>
            <w:r w:rsidRPr="006D7414">
              <w:rPr>
                <w:rFonts w:ascii="Calibri" w:hAnsi="Calibri" w:cs="Calibri"/>
              </w:rPr>
              <w:t>-1.5%</w:t>
            </w:r>
          </w:p>
        </w:tc>
        <w:tc>
          <w:tcPr>
            <w:tcW w:w="768" w:type="dxa"/>
            <w:tcBorders>
              <w:top w:val="nil"/>
              <w:left w:val="nil"/>
              <w:bottom w:val="nil"/>
              <w:right w:val="nil"/>
            </w:tcBorders>
            <w:shd w:val="clear" w:color="000000" w:fill="FFFFFF"/>
            <w:noWrap/>
            <w:vAlign w:val="bottom"/>
          </w:tcPr>
          <w:p w14:paraId="29D6FFD5" w14:textId="091134FB" w:rsidR="00013D9C" w:rsidRPr="001E6659" w:rsidRDefault="00013D9C" w:rsidP="00013D9C">
            <w:pPr>
              <w:jc w:val="right"/>
              <w:rPr>
                <w:rFonts w:ascii="Calibri" w:eastAsia="Times New Roman" w:hAnsi="Calibri" w:cs="Calibri"/>
                <w:sz w:val="19"/>
                <w:szCs w:val="19"/>
              </w:rPr>
            </w:pPr>
            <w:r>
              <w:rPr>
                <w:rFonts w:ascii="Calibri" w:hAnsi="Calibri" w:cs="Calibri"/>
              </w:rPr>
              <w:t>403</w:t>
            </w:r>
          </w:p>
        </w:tc>
        <w:tc>
          <w:tcPr>
            <w:tcW w:w="792" w:type="dxa"/>
            <w:tcBorders>
              <w:top w:val="nil"/>
              <w:left w:val="nil"/>
              <w:bottom w:val="nil"/>
              <w:right w:val="nil"/>
            </w:tcBorders>
            <w:shd w:val="clear" w:color="000000" w:fill="D9D9D9"/>
            <w:noWrap/>
            <w:vAlign w:val="bottom"/>
          </w:tcPr>
          <w:p w14:paraId="38215257" w14:textId="123E888D" w:rsidR="00013D9C" w:rsidRPr="001E6659" w:rsidRDefault="00013D9C" w:rsidP="00013D9C">
            <w:pPr>
              <w:jc w:val="right"/>
              <w:rPr>
                <w:rFonts w:ascii="Calibri" w:eastAsia="Times New Roman" w:hAnsi="Calibri" w:cs="Calibri"/>
                <w:sz w:val="19"/>
                <w:szCs w:val="19"/>
              </w:rPr>
            </w:pPr>
            <w:r>
              <w:rPr>
                <w:rFonts w:ascii="Calibri" w:hAnsi="Calibri" w:cs="Calibri"/>
              </w:rPr>
              <w:t>-5.2%</w:t>
            </w:r>
          </w:p>
        </w:tc>
        <w:tc>
          <w:tcPr>
            <w:tcW w:w="752" w:type="dxa"/>
            <w:tcBorders>
              <w:top w:val="nil"/>
              <w:left w:val="nil"/>
              <w:bottom w:val="nil"/>
              <w:right w:val="nil"/>
            </w:tcBorders>
            <w:shd w:val="clear" w:color="000000" w:fill="FFFFFF"/>
            <w:noWrap/>
            <w:vAlign w:val="bottom"/>
          </w:tcPr>
          <w:p w14:paraId="7160A3C7" w14:textId="74A64B73" w:rsidR="00013D9C" w:rsidRPr="001E6659" w:rsidRDefault="00013D9C" w:rsidP="00013D9C">
            <w:pPr>
              <w:jc w:val="right"/>
              <w:rPr>
                <w:rFonts w:ascii="Calibri" w:eastAsia="Times New Roman" w:hAnsi="Calibri" w:cs="Calibri"/>
                <w:sz w:val="19"/>
                <w:szCs w:val="19"/>
              </w:rPr>
            </w:pPr>
            <w:r>
              <w:rPr>
                <w:rFonts w:ascii="Calibri" w:hAnsi="Calibri" w:cs="Calibri"/>
              </w:rPr>
              <w:t>425</w:t>
            </w:r>
          </w:p>
        </w:tc>
        <w:tc>
          <w:tcPr>
            <w:tcW w:w="792" w:type="dxa"/>
            <w:tcBorders>
              <w:top w:val="nil"/>
              <w:left w:val="nil"/>
              <w:bottom w:val="nil"/>
              <w:right w:val="nil"/>
            </w:tcBorders>
            <w:shd w:val="clear" w:color="000000" w:fill="D9D9D9"/>
            <w:noWrap/>
            <w:vAlign w:val="bottom"/>
          </w:tcPr>
          <w:p w14:paraId="2377F0C5" w14:textId="432A7D91" w:rsidR="00013D9C" w:rsidRPr="001E6659" w:rsidRDefault="00013D9C" w:rsidP="00013D9C">
            <w:pPr>
              <w:jc w:val="right"/>
              <w:rPr>
                <w:rFonts w:ascii="Calibri" w:eastAsia="Times New Roman" w:hAnsi="Calibri" w:cs="Calibri"/>
                <w:sz w:val="19"/>
                <w:szCs w:val="19"/>
              </w:rPr>
            </w:pPr>
            <w:r>
              <w:rPr>
                <w:rFonts w:ascii="Calibri" w:hAnsi="Calibri" w:cs="Calibri"/>
              </w:rPr>
              <w:t>-6.0%</w:t>
            </w:r>
          </w:p>
        </w:tc>
      </w:tr>
      <w:tr w:rsidR="00013D9C" w:rsidRPr="00653071" w14:paraId="4EB31158" w14:textId="77777777" w:rsidTr="0070537E">
        <w:trPr>
          <w:trHeight w:val="288"/>
          <w:jc w:val="center"/>
        </w:trPr>
        <w:tc>
          <w:tcPr>
            <w:tcW w:w="680" w:type="dxa"/>
            <w:tcBorders>
              <w:top w:val="nil"/>
              <w:left w:val="nil"/>
              <w:bottom w:val="nil"/>
              <w:right w:val="nil"/>
            </w:tcBorders>
            <w:shd w:val="clear" w:color="000000" w:fill="FFFFFF"/>
            <w:noWrap/>
            <w:vAlign w:val="bottom"/>
          </w:tcPr>
          <w:p w14:paraId="3816248B" w14:textId="787849A9" w:rsidR="00013D9C" w:rsidRPr="001E6659" w:rsidRDefault="00013D9C" w:rsidP="00013D9C">
            <w:pPr>
              <w:rPr>
                <w:rFonts w:ascii="Calibri" w:eastAsia="Times New Roman" w:hAnsi="Calibri" w:cs="Calibri"/>
                <w:sz w:val="19"/>
                <w:szCs w:val="19"/>
              </w:rPr>
            </w:pPr>
            <w:r>
              <w:rPr>
                <w:rFonts w:ascii="Calibri" w:hAnsi="Calibri" w:cs="Calibri"/>
              </w:rPr>
              <w:t>UMPI</w:t>
            </w:r>
          </w:p>
        </w:tc>
        <w:tc>
          <w:tcPr>
            <w:tcW w:w="952" w:type="dxa"/>
            <w:tcBorders>
              <w:top w:val="nil"/>
              <w:left w:val="single" w:sz="4" w:space="0" w:color="00688D"/>
              <w:bottom w:val="nil"/>
              <w:right w:val="single" w:sz="4" w:space="0" w:color="00688D"/>
            </w:tcBorders>
            <w:shd w:val="clear" w:color="000000" w:fill="D9D9D9"/>
            <w:noWrap/>
            <w:vAlign w:val="bottom"/>
          </w:tcPr>
          <w:p w14:paraId="4484AA0F" w14:textId="47EC7035" w:rsidR="00013D9C" w:rsidRPr="001E6659" w:rsidRDefault="00013D9C" w:rsidP="00013D9C">
            <w:pPr>
              <w:jc w:val="right"/>
              <w:rPr>
                <w:rFonts w:ascii="Calibri" w:eastAsia="Times New Roman" w:hAnsi="Calibri" w:cs="Calibri"/>
                <w:b/>
                <w:bCs/>
                <w:sz w:val="19"/>
                <w:szCs w:val="19"/>
              </w:rPr>
            </w:pPr>
            <w:r>
              <w:rPr>
                <w:rFonts w:ascii="Calibri" w:hAnsi="Calibri" w:cs="Calibri"/>
                <w:b/>
                <w:bCs/>
                <w:i/>
                <w:iCs/>
              </w:rPr>
              <w:t>17.8%</w:t>
            </w:r>
          </w:p>
        </w:tc>
        <w:tc>
          <w:tcPr>
            <w:tcW w:w="770" w:type="dxa"/>
            <w:tcBorders>
              <w:top w:val="nil"/>
              <w:left w:val="nil"/>
              <w:right w:val="nil"/>
            </w:tcBorders>
            <w:shd w:val="clear" w:color="000000" w:fill="FFFFFF"/>
            <w:noWrap/>
            <w:vAlign w:val="bottom"/>
          </w:tcPr>
          <w:p w14:paraId="307CD8D1" w14:textId="4E83DCEE" w:rsidR="00013D9C" w:rsidRPr="001E6659" w:rsidRDefault="00013D9C" w:rsidP="00013D9C">
            <w:pPr>
              <w:jc w:val="right"/>
              <w:rPr>
                <w:rFonts w:ascii="Calibri" w:eastAsia="Times New Roman" w:hAnsi="Calibri" w:cs="Calibri"/>
                <w:b/>
                <w:bCs/>
                <w:sz w:val="19"/>
                <w:szCs w:val="19"/>
              </w:rPr>
            </w:pPr>
            <w:r>
              <w:rPr>
                <w:rFonts w:ascii="Calibri" w:hAnsi="Calibri" w:cs="Calibri"/>
                <w:b/>
                <w:bCs/>
              </w:rPr>
              <w:t>1,099</w:t>
            </w:r>
          </w:p>
        </w:tc>
        <w:tc>
          <w:tcPr>
            <w:tcW w:w="792" w:type="dxa"/>
            <w:tcBorders>
              <w:top w:val="nil"/>
              <w:left w:val="nil"/>
              <w:right w:val="nil"/>
            </w:tcBorders>
            <w:shd w:val="clear" w:color="000000" w:fill="D9D9D9"/>
            <w:noWrap/>
            <w:vAlign w:val="bottom"/>
          </w:tcPr>
          <w:p w14:paraId="40969BD3" w14:textId="55DEC221" w:rsidR="00013D9C" w:rsidRPr="001E6659" w:rsidRDefault="00013D9C" w:rsidP="00013D9C">
            <w:pPr>
              <w:jc w:val="right"/>
              <w:rPr>
                <w:rFonts w:ascii="Calibri" w:eastAsia="Times New Roman" w:hAnsi="Calibri" w:cs="Calibri"/>
                <w:b/>
                <w:bCs/>
                <w:sz w:val="19"/>
                <w:szCs w:val="19"/>
              </w:rPr>
            </w:pPr>
            <w:r>
              <w:rPr>
                <w:rFonts w:ascii="Calibri" w:hAnsi="Calibri" w:cs="Calibri"/>
                <w:b/>
                <w:bCs/>
              </w:rPr>
              <w:t>5.8%</w:t>
            </w:r>
          </w:p>
        </w:tc>
        <w:tc>
          <w:tcPr>
            <w:tcW w:w="741" w:type="dxa"/>
            <w:tcBorders>
              <w:top w:val="nil"/>
              <w:left w:val="nil"/>
              <w:right w:val="nil"/>
            </w:tcBorders>
            <w:shd w:val="clear" w:color="000000" w:fill="FFFFFF"/>
            <w:noWrap/>
            <w:vAlign w:val="bottom"/>
          </w:tcPr>
          <w:p w14:paraId="6CE4B595" w14:textId="36CE2631" w:rsidR="00013D9C" w:rsidRPr="001E6659" w:rsidRDefault="00013D9C" w:rsidP="00013D9C">
            <w:pPr>
              <w:jc w:val="right"/>
              <w:rPr>
                <w:rFonts w:ascii="Calibri" w:eastAsia="Times New Roman" w:hAnsi="Calibri" w:cs="Calibri"/>
                <w:b/>
                <w:bCs/>
                <w:sz w:val="19"/>
                <w:szCs w:val="19"/>
              </w:rPr>
            </w:pPr>
            <w:r>
              <w:rPr>
                <w:rFonts w:ascii="Calibri" w:hAnsi="Calibri" w:cs="Calibri"/>
                <w:b/>
                <w:bCs/>
              </w:rPr>
              <w:t>1,038</w:t>
            </w:r>
          </w:p>
        </w:tc>
        <w:tc>
          <w:tcPr>
            <w:tcW w:w="792" w:type="dxa"/>
            <w:tcBorders>
              <w:top w:val="nil"/>
              <w:left w:val="nil"/>
              <w:right w:val="nil"/>
            </w:tcBorders>
            <w:shd w:val="clear" w:color="000000" w:fill="D9D9D9"/>
            <w:noWrap/>
            <w:vAlign w:val="bottom"/>
          </w:tcPr>
          <w:p w14:paraId="1D16FD5B" w14:textId="059F5D43" w:rsidR="00013D9C" w:rsidRPr="001E6659" w:rsidRDefault="00013D9C" w:rsidP="00013D9C">
            <w:pPr>
              <w:jc w:val="right"/>
              <w:rPr>
                <w:rFonts w:ascii="Calibri" w:eastAsia="Times New Roman" w:hAnsi="Calibri" w:cs="Calibri"/>
                <w:b/>
                <w:bCs/>
                <w:sz w:val="19"/>
                <w:szCs w:val="19"/>
              </w:rPr>
            </w:pPr>
            <w:r>
              <w:rPr>
                <w:rFonts w:ascii="Calibri" w:hAnsi="Calibri" w:cs="Calibri"/>
                <w:b/>
                <w:bCs/>
              </w:rPr>
              <w:t>9.9%</w:t>
            </w:r>
          </w:p>
        </w:tc>
        <w:tc>
          <w:tcPr>
            <w:tcW w:w="737" w:type="dxa"/>
            <w:tcBorders>
              <w:top w:val="nil"/>
              <w:left w:val="nil"/>
              <w:right w:val="nil"/>
            </w:tcBorders>
            <w:shd w:val="clear" w:color="000000" w:fill="FFFFFF"/>
            <w:noWrap/>
            <w:vAlign w:val="bottom"/>
          </w:tcPr>
          <w:p w14:paraId="16025903" w14:textId="4673FB0A" w:rsidR="00013D9C" w:rsidRPr="006D7414" w:rsidRDefault="00013D9C" w:rsidP="00013D9C">
            <w:pPr>
              <w:jc w:val="right"/>
              <w:rPr>
                <w:rFonts w:ascii="Calibri" w:eastAsia="Times New Roman" w:hAnsi="Calibri" w:cs="Calibri"/>
                <w:sz w:val="19"/>
                <w:szCs w:val="19"/>
              </w:rPr>
            </w:pPr>
            <w:r w:rsidRPr="006D7414">
              <w:rPr>
                <w:rFonts w:ascii="Calibri" w:hAnsi="Calibri" w:cs="Calibri"/>
              </w:rPr>
              <w:t>945</w:t>
            </w:r>
          </w:p>
        </w:tc>
        <w:tc>
          <w:tcPr>
            <w:tcW w:w="792" w:type="dxa"/>
            <w:tcBorders>
              <w:top w:val="nil"/>
              <w:left w:val="nil"/>
              <w:right w:val="nil"/>
            </w:tcBorders>
            <w:shd w:val="clear" w:color="000000" w:fill="D9D9D9"/>
            <w:noWrap/>
            <w:vAlign w:val="bottom"/>
          </w:tcPr>
          <w:p w14:paraId="731D9078" w14:textId="45F046E1" w:rsidR="00013D9C" w:rsidRPr="006D7414" w:rsidRDefault="00013D9C" w:rsidP="00013D9C">
            <w:pPr>
              <w:jc w:val="right"/>
              <w:rPr>
                <w:rFonts w:ascii="Calibri" w:eastAsia="Times New Roman" w:hAnsi="Calibri" w:cs="Calibri"/>
                <w:sz w:val="19"/>
                <w:szCs w:val="19"/>
              </w:rPr>
            </w:pPr>
            <w:r w:rsidRPr="006D7414">
              <w:rPr>
                <w:rFonts w:ascii="Calibri" w:hAnsi="Calibri" w:cs="Calibri"/>
              </w:rPr>
              <w:t>9.9%</w:t>
            </w:r>
          </w:p>
        </w:tc>
        <w:tc>
          <w:tcPr>
            <w:tcW w:w="768" w:type="dxa"/>
            <w:tcBorders>
              <w:top w:val="nil"/>
              <w:left w:val="nil"/>
              <w:right w:val="nil"/>
            </w:tcBorders>
            <w:shd w:val="clear" w:color="000000" w:fill="FFFFFF"/>
            <w:noWrap/>
            <w:vAlign w:val="bottom"/>
          </w:tcPr>
          <w:p w14:paraId="503C3744" w14:textId="6DD42C52" w:rsidR="00013D9C" w:rsidRPr="001E6659" w:rsidRDefault="00013D9C" w:rsidP="00013D9C">
            <w:pPr>
              <w:jc w:val="right"/>
              <w:rPr>
                <w:rFonts w:ascii="Calibri" w:eastAsia="Times New Roman" w:hAnsi="Calibri" w:cs="Calibri"/>
                <w:sz w:val="19"/>
                <w:szCs w:val="19"/>
              </w:rPr>
            </w:pPr>
            <w:r>
              <w:rPr>
                <w:rFonts w:ascii="Calibri" w:hAnsi="Calibri" w:cs="Calibri"/>
              </w:rPr>
              <w:t>860</w:t>
            </w:r>
          </w:p>
        </w:tc>
        <w:tc>
          <w:tcPr>
            <w:tcW w:w="792" w:type="dxa"/>
            <w:tcBorders>
              <w:top w:val="nil"/>
              <w:left w:val="nil"/>
              <w:right w:val="nil"/>
            </w:tcBorders>
            <w:shd w:val="clear" w:color="000000" w:fill="D9D9D9"/>
            <w:noWrap/>
            <w:vAlign w:val="bottom"/>
          </w:tcPr>
          <w:p w14:paraId="3121064B" w14:textId="661A6C29" w:rsidR="00013D9C" w:rsidRPr="001E6659" w:rsidRDefault="00013D9C" w:rsidP="00013D9C">
            <w:pPr>
              <w:jc w:val="right"/>
              <w:rPr>
                <w:rFonts w:ascii="Calibri" w:eastAsia="Times New Roman" w:hAnsi="Calibri" w:cs="Calibri"/>
                <w:sz w:val="19"/>
                <w:szCs w:val="19"/>
              </w:rPr>
            </w:pPr>
            <w:r>
              <w:rPr>
                <w:rFonts w:ascii="Calibri" w:hAnsi="Calibri" w:cs="Calibri"/>
              </w:rPr>
              <w:t>-7.8%</w:t>
            </w:r>
          </w:p>
        </w:tc>
        <w:tc>
          <w:tcPr>
            <w:tcW w:w="752" w:type="dxa"/>
            <w:tcBorders>
              <w:top w:val="nil"/>
              <w:left w:val="nil"/>
              <w:right w:val="nil"/>
            </w:tcBorders>
            <w:shd w:val="clear" w:color="000000" w:fill="FFFFFF"/>
            <w:noWrap/>
            <w:vAlign w:val="bottom"/>
          </w:tcPr>
          <w:p w14:paraId="5AFB35E0" w14:textId="08A1D1E5" w:rsidR="00013D9C" w:rsidRPr="001E6659" w:rsidRDefault="00013D9C" w:rsidP="00013D9C">
            <w:pPr>
              <w:jc w:val="right"/>
              <w:rPr>
                <w:rFonts w:ascii="Calibri" w:eastAsia="Times New Roman" w:hAnsi="Calibri" w:cs="Calibri"/>
                <w:sz w:val="19"/>
                <w:szCs w:val="19"/>
              </w:rPr>
            </w:pPr>
            <w:r>
              <w:rPr>
                <w:rFonts w:ascii="Calibri" w:hAnsi="Calibri" w:cs="Calibri"/>
              </w:rPr>
              <w:t>933</w:t>
            </w:r>
          </w:p>
        </w:tc>
        <w:tc>
          <w:tcPr>
            <w:tcW w:w="792" w:type="dxa"/>
            <w:tcBorders>
              <w:top w:val="nil"/>
              <w:left w:val="nil"/>
              <w:bottom w:val="nil"/>
              <w:right w:val="nil"/>
            </w:tcBorders>
            <w:shd w:val="clear" w:color="000000" w:fill="D9D9D9"/>
            <w:noWrap/>
            <w:vAlign w:val="bottom"/>
          </w:tcPr>
          <w:p w14:paraId="724EA8EA" w14:textId="259FA29A" w:rsidR="00013D9C" w:rsidRPr="001E6659" w:rsidRDefault="00013D9C" w:rsidP="00013D9C">
            <w:pPr>
              <w:jc w:val="right"/>
              <w:rPr>
                <w:rFonts w:ascii="Calibri" w:eastAsia="Times New Roman" w:hAnsi="Calibri" w:cs="Calibri"/>
                <w:sz w:val="19"/>
                <w:szCs w:val="19"/>
              </w:rPr>
            </w:pPr>
            <w:r>
              <w:rPr>
                <w:rFonts w:ascii="Calibri" w:hAnsi="Calibri" w:cs="Calibri"/>
              </w:rPr>
              <w:t>3.3%</w:t>
            </w:r>
          </w:p>
        </w:tc>
      </w:tr>
      <w:tr w:rsidR="00013D9C" w:rsidRPr="00653071" w14:paraId="0B000081" w14:textId="77777777" w:rsidTr="0070537E">
        <w:trPr>
          <w:trHeight w:val="288"/>
          <w:jc w:val="center"/>
        </w:trPr>
        <w:tc>
          <w:tcPr>
            <w:tcW w:w="680" w:type="dxa"/>
            <w:tcBorders>
              <w:top w:val="nil"/>
              <w:left w:val="nil"/>
              <w:bottom w:val="nil"/>
              <w:right w:val="nil"/>
            </w:tcBorders>
            <w:shd w:val="clear" w:color="000000" w:fill="FFFFFF"/>
            <w:noWrap/>
            <w:vAlign w:val="bottom"/>
          </w:tcPr>
          <w:p w14:paraId="46AD2C05" w14:textId="0CDDD826" w:rsidR="00013D9C" w:rsidRPr="001E6659" w:rsidRDefault="00013D9C" w:rsidP="00013D9C">
            <w:pPr>
              <w:rPr>
                <w:rFonts w:ascii="Calibri" w:eastAsia="Times New Roman" w:hAnsi="Calibri" w:cs="Calibri"/>
                <w:sz w:val="19"/>
                <w:szCs w:val="19"/>
              </w:rPr>
            </w:pPr>
            <w:proofErr w:type="spellStart"/>
            <w:r>
              <w:rPr>
                <w:rFonts w:ascii="Calibri" w:hAnsi="Calibri" w:cs="Calibri"/>
              </w:rPr>
              <w:t>USM</w:t>
            </w:r>
            <w:proofErr w:type="spellEnd"/>
          </w:p>
        </w:tc>
        <w:tc>
          <w:tcPr>
            <w:tcW w:w="952" w:type="dxa"/>
            <w:tcBorders>
              <w:top w:val="nil"/>
              <w:left w:val="single" w:sz="4" w:space="0" w:color="00688D"/>
              <w:bottom w:val="nil"/>
              <w:right w:val="single" w:sz="4" w:space="0" w:color="00688D"/>
            </w:tcBorders>
            <w:shd w:val="clear" w:color="000000" w:fill="D9D9D9"/>
            <w:noWrap/>
            <w:vAlign w:val="bottom"/>
          </w:tcPr>
          <w:p w14:paraId="7C7E877E" w14:textId="2F19C927" w:rsidR="00013D9C" w:rsidRPr="001E6659" w:rsidRDefault="00013D9C" w:rsidP="00666540">
            <w:pPr>
              <w:jc w:val="right"/>
              <w:rPr>
                <w:rFonts w:ascii="Calibri" w:eastAsia="Times New Roman" w:hAnsi="Calibri" w:cs="Calibri"/>
                <w:b/>
                <w:bCs/>
                <w:sz w:val="19"/>
                <w:szCs w:val="19"/>
              </w:rPr>
            </w:pPr>
            <w:r>
              <w:rPr>
                <w:rFonts w:ascii="Calibri" w:hAnsi="Calibri" w:cs="Calibri"/>
                <w:b/>
                <w:bCs/>
                <w:i/>
                <w:iCs/>
              </w:rPr>
              <w:t>-</w:t>
            </w:r>
            <w:r w:rsidR="00666540">
              <w:rPr>
                <w:rFonts w:ascii="Calibri" w:hAnsi="Calibri" w:cs="Calibri"/>
                <w:b/>
                <w:bCs/>
                <w:i/>
                <w:iCs/>
              </w:rPr>
              <w:t>11.3</w:t>
            </w:r>
            <w:r>
              <w:rPr>
                <w:rFonts w:ascii="Calibri" w:hAnsi="Calibri" w:cs="Calibri"/>
                <w:b/>
                <w:bCs/>
                <w:i/>
                <w:iCs/>
              </w:rPr>
              <w:t>%</w:t>
            </w:r>
          </w:p>
        </w:tc>
        <w:tc>
          <w:tcPr>
            <w:tcW w:w="770" w:type="dxa"/>
            <w:tcBorders>
              <w:top w:val="nil"/>
              <w:left w:val="nil"/>
              <w:right w:val="nil"/>
            </w:tcBorders>
            <w:shd w:val="clear" w:color="000000" w:fill="FFFFFF"/>
            <w:noWrap/>
            <w:vAlign w:val="bottom"/>
          </w:tcPr>
          <w:p w14:paraId="1D20D826" w14:textId="60CAA713" w:rsidR="00013D9C" w:rsidRPr="001E6659" w:rsidRDefault="00013D9C" w:rsidP="00013D9C">
            <w:pPr>
              <w:jc w:val="right"/>
              <w:rPr>
                <w:rFonts w:ascii="Calibri" w:eastAsia="Times New Roman" w:hAnsi="Calibri" w:cs="Calibri"/>
                <w:b/>
                <w:bCs/>
                <w:sz w:val="19"/>
                <w:szCs w:val="19"/>
              </w:rPr>
            </w:pPr>
            <w:r>
              <w:rPr>
                <w:rFonts w:ascii="Calibri" w:hAnsi="Calibri" w:cs="Calibri"/>
                <w:b/>
                <w:bCs/>
              </w:rPr>
              <w:t>5,174</w:t>
            </w:r>
          </w:p>
        </w:tc>
        <w:tc>
          <w:tcPr>
            <w:tcW w:w="792" w:type="dxa"/>
            <w:tcBorders>
              <w:top w:val="nil"/>
              <w:left w:val="nil"/>
              <w:right w:val="nil"/>
            </w:tcBorders>
            <w:shd w:val="clear" w:color="000000" w:fill="D9D9D9"/>
            <w:noWrap/>
            <w:vAlign w:val="bottom"/>
          </w:tcPr>
          <w:p w14:paraId="1010E886" w14:textId="7B2C829F" w:rsidR="00013D9C" w:rsidRPr="001E6659" w:rsidRDefault="00013D9C" w:rsidP="00013D9C">
            <w:pPr>
              <w:jc w:val="right"/>
              <w:rPr>
                <w:rFonts w:ascii="Calibri" w:eastAsia="Times New Roman" w:hAnsi="Calibri" w:cs="Calibri"/>
                <w:b/>
                <w:bCs/>
                <w:sz w:val="19"/>
                <w:szCs w:val="19"/>
              </w:rPr>
            </w:pPr>
            <w:r>
              <w:rPr>
                <w:rFonts w:ascii="Calibri" w:hAnsi="Calibri" w:cs="Calibri"/>
                <w:b/>
                <w:bCs/>
              </w:rPr>
              <w:t>-4.7%</w:t>
            </w:r>
          </w:p>
        </w:tc>
        <w:tc>
          <w:tcPr>
            <w:tcW w:w="741" w:type="dxa"/>
            <w:tcBorders>
              <w:top w:val="nil"/>
              <w:left w:val="nil"/>
              <w:right w:val="nil"/>
            </w:tcBorders>
            <w:shd w:val="clear" w:color="000000" w:fill="FFFFFF"/>
            <w:noWrap/>
            <w:vAlign w:val="bottom"/>
          </w:tcPr>
          <w:p w14:paraId="73B5116D" w14:textId="7DB6DB26" w:rsidR="00013D9C" w:rsidRPr="001E6659" w:rsidRDefault="00013D9C" w:rsidP="00013D9C">
            <w:pPr>
              <w:jc w:val="right"/>
              <w:rPr>
                <w:rFonts w:ascii="Calibri" w:eastAsia="Times New Roman" w:hAnsi="Calibri" w:cs="Calibri"/>
                <w:b/>
                <w:bCs/>
                <w:sz w:val="19"/>
                <w:szCs w:val="19"/>
              </w:rPr>
            </w:pPr>
            <w:r>
              <w:rPr>
                <w:rFonts w:ascii="Calibri" w:hAnsi="Calibri" w:cs="Calibri"/>
                <w:b/>
                <w:bCs/>
              </w:rPr>
              <w:t>5,428</w:t>
            </w:r>
          </w:p>
        </w:tc>
        <w:tc>
          <w:tcPr>
            <w:tcW w:w="792" w:type="dxa"/>
            <w:tcBorders>
              <w:top w:val="nil"/>
              <w:left w:val="nil"/>
              <w:right w:val="nil"/>
            </w:tcBorders>
            <w:shd w:val="clear" w:color="000000" w:fill="D9D9D9"/>
            <w:noWrap/>
            <w:vAlign w:val="bottom"/>
          </w:tcPr>
          <w:p w14:paraId="046A7E02" w14:textId="4ECA0F64" w:rsidR="00013D9C" w:rsidRPr="001E6659" w:rsidRDefault="00013D9C" w:rsidP="00013D9C">
            <w:pPr>
              <w:jc w:val="right"/>
              <w:rPr>
                <w:rFonts w:ascii="Calibri" w:eastAsia="Times New Roman" w:hAnsi="Calibri" w:cs="Calibri"/>
                <w:b/>
                <w:bCs/>
                <w:sz w:val="19"/>
                <w:szCs w:val="19"/>
              </w:rPr>
            </w:pPr>
            <w:r>
              <w:rPr>
                <w:rFonts w:ascii="Calibri" w:hAnsi="Calibri" w:cs="Calibri"/>
                <w:b/>
                <w:bCs/>
              </w:rPr>
              <w:t>0.2%</w:t>
            </w:r>
          </w:p>
        </w:tc>
        <w:tc>
          <w:tcPr>
            <w:tcW w:w="737" w:type="dxa"/>
            <w:tcBorders>
              <w:top w:val="nil"/>
              <w:left w:val="nil"/>
              <w:right w:val="nil"/>
            </w:tcBorders>
            <w:shd w:val="clear" w:color="000000" w:fill="FFFFFF"/>
            <w:noWrap/>
            <w:vAlign w:val="bottom"/>
          </w:tcPr>
          <w:p w14:paraId="0470CC80" w14:textId="41BE2E0F" w:rsidR="00013D9C" w:rsidRPr="006D7414" w:rsidRDefault="00013D9C" w:rsidP="00013D9C">
            <w:pPr>
              <w:jc w:val="right"/>
              <w:rPr>
                <w:rFonts w:ascii="Calibri" w:eastAsia="Times New Roman" w:hAnsi="Calibri" w:cs="Calibri"/>
                <w:sz w:val="19"/>
                <w:szCs w:val="19"/>
              </w:rPr>
            </w:pPr>
            <w:r w:rsidRPr="006D7414">
              <w:rPr>
                <w:rFonts w:ascii="Calibri" w:hAnsi="Calibri" w:cs="Calibri"/>
              </w:rPr>
              <w:t>5,</w:t>
            </w:r>
            <w:r>
              <w:rPr>
                <w:rFonts w:ascii="Calibri" w:hAnsi="Calibri" w:cs="Calibri"/>
              </w:rPr>
              <w:t>633</w:t>
            </w:r>
          </w:p>
        </w:tc>
        <w:tc>
          <w:tcPr>
            <w:tcW w:w="792" w:type="dxa"/>
            <w:tcBorders>
              <w:top w:val="nil"/>
              <w:left w:val="nil"/>
              <w:right w:val="nil"/>
            </w:tcBorders>
            <w:shd w:val="clear" w:color="000000" w:fill="D9D9D9"/>
            <w:noWrap/>
            <w:vAlign w:val="bottom"/>
          </w:tcPr>
          <w:p w14:paraId="7661FFB2" w14:textId="43F483D6" w:rsidR="00013D9C" w:rsidRPr="006D7414" w:rsidRDefault="00013D9C" w:rsidP="00013D9C">
            <w:pPr>
              <w:jc w:val="right"/>
              <w:rPr>
                <w:rFonts w:ascii="Calibri" w:eastAsia="Times New Roman" w:hAnsi="Calibri" w:cs="Calibri"/>
                <w:sz w:val="19"/>
                <w:szCs w:val="19"/>
              </w:rPr>
            </w:pPr>
            <w:r w:rsidRPr="006D7414">
              <w:rPr>
                <w:rFonts w:ascii="Calibri" w:hAnsi="Calibri" w:cs="Calibri"/>
              </w:rPr>
              <w:t>-2.6%</w:t>
            </w:r>
          </w:p>
        </w:tc>
        <w:tc>
          <w:tcPr>
            <w:tcW w:w="768" w:type="dxa"/>
            <w:tcBorders>
              <w:top w:val="nil"/>
              <w:left w:val="nil"/>
              <w:right w:val="nil"/>
            </w:tcBorders>
            <w:shd w:val="clear" w:color="000000" w:fill="FFFFFF"/>
            <w:noWrap/>
            <w:vAlign w:val="bottom"/>
          </w:tcPr>
          <w:p w14:paraId="289B4E85" w14:textId="4C6F9A92" w:rsidR="00013D9C" w:rsidRPr="001E6659" w:rsidRDefault="00013D9C" w:rsidP="00013D9C">
            <w:pPr>
              <w:jc w:val="right"/>
              <w:rPr>
                <w:rFonts w:ascii="Calibri" w:eastAsia="Times New Roman" w:hAnsi="Calibri" w:cs="Calibri"/>
                <w:sz w:val="19"/>
                <w:szCs w:val="19"/>
              </w:rPr>
            </w:pPr>
            <w:r>
              <w:rPr>
                <w:rFonts w:ascii="Calibri" w:hAnsi="Calibri" w:cs="Calibri"/>
              </w:rPr>
              <w:t>5,879</w:t>
            </w:r>
          </w:p>
        </w:tc>
        <w:tc>
          <w:tcPr>
            <w:tcW w:w="792" w:type="dxa"/>
            <w:tcBorders>
              <w:top w:val="nil"/>
              <w:left w:val="nil"/>
              <w:right w:val="nil"/>
            </w:tcBorders>
            <w:shd w:val="clear" w:color="000000" w:fill="D9D9D9"/>
            <w:noWrap/>
            <w:vAlign w:val="bottom"/>
          </w:tcPr>
          <w:p w14:paraId="69200BB9" w14:textId="149AD42A" w:rsidR="00013D9C" w:rsidRPr="001E6659" w:rsidRDefault="00013D9C" w:rsidP="00013D9C">
            <w:pPr>
              <w:jc w:val="right"/>
              <w:rPr>
                <w:rFonts w:ascii="Calibri" w:eastAsia="Times New Roman" w:hAnsi="Calibri" w:cs="Calibri"/>
                <w:sz w:val="19"/>
                <w:szCs w:val="19"/>
              </w:rPr>
            </w:pPr>
            <w:r>
              <w:rPr>
                <w:rFonts w:ascii="Calibri" w:hAnsi="Calibri" w:cs="Calibri"/>
              </w:rPr>
              <w:t>-1.2%</w:t>
            </w:r>
          </w:p>
        </w:tc>
        <w:tc>
          <w:tcPr>
            <w:tcW w:w="752" w:type="dxa"/>
            <w:tcBorders>
              <w:top w:val="nil"/>
              <w:left w:val="nil"/>
              <w:right w:val="nil"/>
            </w:tcBorders>
            <w:shd w:val="clear" w:color="000000" w:fill="FFFFFF"/>
            <w:noWrap/>
            <w:vAlign w:val="bottom"/>
          </w:tcPr>
          <w:p w14:paraId="0D6E9605" w14:textId="286278D0" w:rsidR="00013D9C" w:rsidRPr="001E6659" w:rsidRDefault="00013D9C" w:rsidP="00013D9C">
            <w:pPr>
              <w:jc w:val="right"/>
              <w:rPr>
                <w:rFonts w:ascii="Calibri" w:eastAsia="Times New Roman" w:hAnsi="Calibri" w:cs="Calibri"/>
                <w:sz w:val="19"/>
                <w:szCs w:val="19"/>
              </w:rPr>
            </w:pPr>
            <w:r>
              <w:rPr>
                <w:rFonts w:ascii="Calibri" w:hAnsi="Calibri" w:cs="Calibri"/>
              </w:rPr>
              <w:t>5,836</w:t>
            </w:r>
          </w:p>
        </w:tc>
        <w:tc>
          <w:tcPr>
            <w:tcW w:w="792" w:type="dxa"/>
            <w:tcBorders>
              <w:top w:val="nil"/>
              <w:left w:val="nil"/>
              <w:bottom w:val="nil"/>
              <w:right w:val="nil"/>
            </w:tcBorders>
            <w:shd w:val="clear" w:color="000000" w:fill="D9D9D9"/>
            <w:noWrap/>
            <w:vAlign w:val="bottom"/>
          </w:tcPr>
          <w:p w14:paraId="667E012D" w14:textId="763B073E" w:rsidR="00013D9C" w:rsidRPr="001E6659" w:rsidRDefault="00013D9C" w:rsidP="00013D9C">
            <w:pPr>
              <w:jc w:val="right"/>
              <w:rPr>
                <w:rFonts w:ascii="Calibri" w:eastAsia="Times New Roman" w:hAnsi="Calibri" w:cs="Calibri"/>
                <w:sz w:val="19"/>
                <w:szCs w:val="19"/>
              </w:rPr>
            </w:pPr>
            <w:r>
              <w:rPr>
                <w:rFonts w:ascii="Calibri" w:hAnsi="Calibri" w:cs="Calibri"/>
              </w:rPr>
              <w:t>2.0%</w:t>
            </w:r>
          </w:p>
        </w:tc>
      </w:tr>
      <w:tr w:rsidR="00013D9C" w:rsidRPr="00653071" w14:paraId="2B39266C" w14:textId="77777777" w:rsidTr="00F73A49">
        <w:trPr>
          <w:trHeight w:val="300"/>
          <w:jc w:val="center"/>
        </w:trPr>
        <w:tc>
          <w:tcPr>
            <w:tcW w:w="680" w:type="dxa"/>
            <w:tcBorders>
              <w:top w:val="nil"/>
              <w:left w:val="nil"/>
              <w:bottom w:val="nil"/>
              <w:right w:val="nil"/>
            </w:tcBorders>
            <w:shd w:val="clear" w:color="000000" w:fill="FFFFFF"/>
            <w:noWrap/>
            <w:vAlign w:val="bottom"/>
          </w:tcPr>
          <w:p w14:paraId="1A201095" w14:textId="602BF00F" w:rsidR="00013D9C" w:rsidRPr="001E6659" w:rsidRDefault="00013D9C" w:rsidP="00013D9C">
            <w:pPr>
              <w:rPr>
                <w:rFonts w:ascii="Calibri" w:eastAsia="Times New Roman" w:hAnsi="Calibri" w:cs="Calibri"/>
                <w:b/>
                <w:bCs/>
                <w:sz w:val="19"/>
                <w:szCs w:val="19"/>
              </w:rPr>
            </w:pPr>
            <w:r>
              <w:rPr>
                <w:rFonts w:ascii="Calibri" w:hAnsi="Calibri" w:cs="Calibri"/>
              </w:rPr>
              <w:t>Law</w:t>
            </w:r>
          </w:p>
        </w:tc>
        <w:tc>
          <w:tcPr>
            <w:tcW w:w="952" w:type="dxa"/>
            <w:tcBorders>
              <w:top w:val="nil"/>
              <w:left w:val="single" w:sz="4" w:space="0" w:color="00688D"/>
              <w:bottom w:val="nil"/>
              <w:right w:val="single" w:sz="4" w:space="0" w:color="00688D"/>
            </w:tcBorders>
            <w:shd w:val="clear" w:color="000000" w:fill="D9D9D9"/>
            <w:noWrap/>
            <w:vAlign w:val="bottom"/>
          </w:tcPr>
          <w:p w14:paraId="5B28F50D" w14:textId="2B6B678E" w:rsidR="00013D9C" w:rsidRPr="001E6659" w:rsidRDefault="00013D9C" w:rsidP="00666540">
            <w:pPr>
              <w:jc w:val="right"/>
              <w:rPr>
                <w:rFonts w:ascii="Calibri" w:eastAsia="Times New Roman" w:hAnsi="Calibri" w:cs="Calibri"/>
                <w:b/>
                <w:bCs/>
                <w:sz w:val="19"/>
                <w:szCs w:val="19"/>
              </w:rPr>
            </w:pPr>
            <w:r>
              <w:rPr>
                <w:rFonts w:ascii="Calibri" w:hAnsi="Calibri" w:cs="Calibri"/>
                <w:b/>
                <w:bCs/>
                <w:i/>
                <w:iCs/>
              </w:rPr>
              <w:t>1.</w:t>
            </w:r>
            <w:r w:rsidR="00666540">
              <w:rPr>
                <w:rFonts w:ascii="Calibri" w:hAnsi="Calibri" w:cs="Calibri"/>
                <w:b/>
                <w:bCs/>
                <w:i/>
                <w:iCs/>
              </w:rPr>
              <w:t>2</w:t>
            </w:r>
            <w:r>
              <w:rPr>
                <w:rFonts w:ascii="Calibri" w:hAnsi="Calibri" w:cs="Calibri"/>
                <w:b/>
                <w:bCs/>
                <w:i/>
                <w:iCs/>
              </w:rPr>
              <w:t>%</w:t>
            </w:r>
          </w:p>
        </w:tc>
        <w:tc>
          <w:tcPr>
            <w:tcW w:w="770" w:type="dxa"/>
            <w:tcBorders>
              <w:left w:val="nil"/>
              <w:bottom w:val="single" w:sz="8" w:space="0" w:color="auto"/>
              <w:right w:val="nil"/>
            </w:tcBorders>
            <w:shd w:val="clear" w:color="000000" w:fill="FFFFFF"/>
            <w:noWrap/>
            <w:vAlign w:val="bottom"/>
          </w:tcPr>
          <w:p w14:paraId="4D4DD428" w14:textId="2C6636C7" w:rsidR="00013D9C" w:rsidRPr="001E6659" w:rsidRDefault="00013D9C" w:rsidP="00013D9C">
            <w:pPr>
              <w:jc w:val="right"/>
              <w:rPr>
                <w:rFonts w:ascii="Calibri" w:eastAsia="Times New Roman" w:hAnsi="Calibri" w:cs="Calibri"/>
                <w:b/>
                <w:bCs/>
                <w:sz w:val="19"/>
                <w:szCs w:val="19"/>
              </w:rPr>
            </w:pPr>
            <w:r>
              <w:rPr>
                <w:rFonts w:ascii="Calibri" w:hAnsi="Calibri" w:cs="Calibri"/>
                <w:b/>
                <w:bCs/>
              </w:rPr>
              <w:t>250</w:t>
            </w:r>
          </w:p>
        </w:tc>
        <w:tc>
          <w:tcPr>
            <w:tcW w:w="792" w:type="dxa"/>
            <w:tcBorders>
              <w:left w:val="nil"/>
              <w:right w:val="nil"/>
            </w:tcBorders>
            <w:shd w:val="clear" w:color="000000" w:fill="D9D9D9"/>
            <w:noWrap/>
            <w:vAlign w:val="bottom"/>
          </w:tcPr>
          <w:p w14:paraId="3DD0D39B" w14:textId="3DDD5F73" w:rsidR="00013D9C" w:rsidRPr="001E6659" w:rsidRDefault="00013D9C" w:rsidP="00013D9C">
            <w:pPr>
              <w:jc w:val="right"/>
              <w:rPr>
                <w:rFonts w:ascii="Calibri" w:eastAsia="Times New Roman" w:hAnsi="Calibri" w:cs="Calibri"/>
                <w:b/>
                <w:bCs/>
                <w:sz w:val="19"/>
                <w:szCs w:val="19"/>
              </w:rPr>
            </w:pPr>
            <w:r>
              <w:rPr>
                <w:rFonts w:ascii="Calibri" w:hAnsi="Calibri" w:cs="Calibri"/>
                <w:b/>
                <w:bCs/>
              </w:rPr>
              <w:t>0.6%</w:t>
            </w:r>
          </w:p>
        </w:tc>
        <w:tc>
          <w:tcPr>
            <w:tcW w:w="741" w:type="dxa"/>
            <w:tcBorders>
              <w:left w:val="nil"/>
              <w:bottom w:val="single" w:sz="4" w:space="0" w:color="auto"/>
              <w:right w:val="nil"/>
            </w:tcBorders>
            <w:shd w:val="clear" w:color="000000" w:fill="FFFFFF"/>
            <w:noWrap/>
            <w:vAlign w:val="bottom"/>
          </w:tcPr>
          <w:p w14:paraId="0F52A951" w14:textId="502E0B0B" w:rsidR="00013D9C" w:rsidRPr="001E6659" w:rsidRDefault="00013D9C" w:rsidP="00013D9C">
            <w:pPr>
              <w:jc w:val="right"/>
              <w:rPr>
                <w:rFonts w:ascii="Calibri" w:eastAsia="Times New Roman" w:hAnsi="Calibri" w:cs="Calibri"/>
                <w:b/>
                <w:bCs/>
                <w:sz w:val="19"/>
                <w:szCs w:val="19"/>
              </w:rPr>
            </w:pPr>
            <w:r>
              <w:rPr>
                <w:rFonts w:ascii="Calibri" w:hAnsi="Calibri" w:cs="Calibri"/>
                <w:b/>
                <w:bCs/>
              </w:rPr>
              <w:t>249</w:t>
            </w:r>
          </w:p>
        </w:tc>
        <w:tc>
          <w:tcPr>
            <w:tcW w:w="792" w:type="dxa"/>
            <w:tcBorders>
              <w:left w:val="nil"/>
              <w:right w:val="nil"/>
            </w:tcBorders>
            <w:shd w:val="clear" w:color="000000" w:fill="D9D9D9"/>
            <w:noWrap/>
            <w:vAlign w:val="bottom"/>
          </w:tcPr>
          <w:p w14:paraId="71365141" w14:textId="3D90A96A" w:rsidR="00013D9C" w:rsidRPr="001E6659" w:rsidRDefault="00013D9C" w:rsidP="00013D9C">
            <w:pPr>
              <w:jc w:val="right"/>
              <w:rPr>
                <w:rFonts w:ascii="Calibri" w:eastAsia="Times New Roman" w:hAnsi="Calibri" w:cs="Calibri"/>
                <w:b/>
                <w:bCs/>
                <w:sz w:val="19"/>
                <w:szCs w:val="19"/>
              </w:rPr>
            </w:pPr>
            <w:r>
              <w:rPr>
                <w:rFonts w:ascii="Calibri" w:hAnsi="Calibri" w:cs="Calibri"/>
                <w:b/>
                <w:bCs/>
              </w:rPr>
              <w:t>2.2%</w:t>
            </w:r>
          </w:p>
        </w:tc>
        <w:tc>
          <w:tcPr>
            <w:tcW w:w="737" w:type="dxa"/>
            <w:tcBorders>
              <w:left w:val="nil"/>
              <w:bottom w:val="single" w:sz="4" w:space="0" w:color="auto"/>
              <w:right w:val="nil"/>
            </w:tcBorders>
            <w:shd w:val="clear" w:color="000000" w:fill="FFFFFF"/>
            <w:noWrap/>
            <w:vAlign w:val="bottom"/>
          </w:tcPr>
          <w:p w14:paraId="4BD819BB" w14:textId="72BAE5C7" w:rsidR="00013D9C" w:rsidRPr="006D7414" w:rsidRDefault="00013D9C" w:rsidP="00013D9C">
            <w:pPr>
              <w:jc w:val="right"/>
              <w:rPr>
                <w:rFonts w:ascii="Calibri" w:eastAsia="Times New Roman" w:hAnsi="Calibri" w:cs="Calibri"/>
                <w:sz w:val="19"/>
                <w:szCs w:val="19"/>
              </w:rPr>
            </w:pPr>
            <w:r w:rsidRPr="006D7414">
              <w:rPr>
                <w:rFonts w:ascii="Calibri" w:hAnsi="Calibri" w:cs="Calibri"/>
              </w:rPr>
              <w:t>244</w:t>
            </w:r>
          </w:p>
        </w:tc>
        <w:tc>
          <w:tcPr>
            <w:tcW w:w="792" w:type="dxa"/>
            <w:tcBorders>
              <w:left w:val="nil"/>
              <w:right w:val="nil"/>
            </w:tcBorders>
            <w:shd w:val="clear" w:color="000000" w:fill="D9D9D9"/>
            <w:noWrap/>
            <w:vAlign w:val="bottom"/>
          </w:tcPr>
          <w:p w14:paraId="3C600329" w14:textId="3D8C8932" w:rsidR="00013D9C" w:rsidRPr="006D7414" w:rsidRDefault="00013D9C" w:rsidP="00013D9C">
            <w:pPr>
              <w:jc w:val="right"/>
              <w:rPr>
                <w:rFonts w:ascii="Calibri" w:eastAsia="Times New Roman" w:hAnsi="Calibri" w:cs="Calibri"/>
                <w:sz w:val="19"/>
                <w:szCs w:val="19"/>
              </w:rPr>
            </w:pPr>
            <w:r w:rsidRPr="006D7414">
              <w:rPr>
                <w:rFonts w:ascii="Calibri" w:hAnsi="Calibri" w:cs="Calibri"/>
              </w:rPr>
              <w:t>0.0%</w:t>
            </w:r>
          </w:p>
        </w:tc>
        <w:tc>
          <w:tcPr>
            <w:tcW w:w="768" w:type="dxa"/>
            <w:tcBorders>
              <w:left w:val="nil"/>
              <w:bottom w:val="single" w:sz="4" w:space="0" w:color="auto"/>
              <w:right w:val="nil"/>
            </w:tcBorders>
            <w:shd w:val="clear" w:color="000000" w:fill="FFFFFF"/>
            <w:noWrap/>
            <w:vAlign w:val="bottom"/>
          </w:tcPr>
          <w:p w14:paraId="4A6608C5" w14:textId="441708DA" w:rsidR="00013D9C" w:rsidRPr="001E6659" w:rsidRDefault="00013D9C" w:rsidP="00013D9C">
            <w:pPr>
              <w:jc w:val="right"/>
              <w:rPr>
                <w:rFonts w:ascii="Calibri" w:eastAsia="Times New Roman" w:hAnsi="Calibri" w:cs="Calibri"/>
                <w:sz w:val="19"/>
                <w:szCs w:val="19"/>
              </w:rPr>
            </w:pPr>
            <w:r>
              <w:rPr>
                <w:rFonts w:ascii="Calibri" w:hAnsi="Calibri" w:cs="Calibri"/>
              </w:rPr>
              <w:t>244</w:t>
            </w:r>
          </w:p>
        </w:tc>
        <w:tc>
          <w:tcPr>
            <w:tcW w:w="792" w:type="dxa"/>
            <w:tcBorders>
              <w:left w:val="nil"/>
              <w:right w:val="nil"/>
            </w:tcBorders>
            <w:shd w:val="clear" w:color="000000" w:fill="D9D9D9"/>
            <w:noWrap/>
            <w:vAlign w:val="bottom"/>
          </w:tcPr>
          <w:p w14:paraId="476B5558" w14:textId="2AC02A8A" w:rsidR="00013D9C" w:rsidRPr="001E6659" w:rsidRDefault="00013D9C" w:rsidP="00013D9C">
            <w:pPr>
              <w:jc w:val="right"/>
              <w:rPr>
                <w:rFonts w:ascii="Calibri" w:eastAsia="Times New Roman" w:hAnsi="Calibri" w:cs="Calibri"/>
                <w:sz w:val="19"/>
                <w:szCs w:val="19"/>
              </w:rPr>
            </w:pPr>
            <w:r>
              <w:rPr>
                <w:rFonts w:ascii="Calibri" w:hAnsi="Calibri" w:cs="Calibri"/>
              </w:rPr>
              <w:t>-1.1%</w:t>
            </w:r>
          </w:p>
        </w:tc>
        <w:tc>
          <w:tcPr>
            <w:tcW w:w="752" w:type="dxa"/>
            <w:tcBorders>
              <w:left w:val="nil"/>
              <w:bottom w:val="single" w:sz="4" w:space="0" w:color="auto"/>
              <w:right w:val="nil"/>
            </w:tcBorders>
            <w:shd w:val="clear" w:color="000000" w:fill="FFFFFF"/>
            <w:noWrap/>
            <w:vAlign w:val="bottom"/>
          </w:tcPr>
          <w:p w14:paraId="7BB5DA65" w14:textId="333C6A70" w:rsidR="00013D9C" w:rsidRPr="001E6659" w:rsidRDefault="00013D9C" w:rsidP="00013D9C">
            <w:pPr>
              <w:jc w:val="right"/>
              <w:rPr>
                <w:rFonts w:ascii="Calibri" w:eastAsia="Times New Roman" w:hAnsi="Calibri" w:cs="Calibri"/>
                <w:sz w:val="19"/>
                <w:szCs w:val="19"/>
              </w:rPr>
            </w:pPr>
            <w:r>
              <w:rPr>
                <w:rFonts w:ascii="Calibri" w:hAnsi="Calibri" w:cs="Calibri"/>
              </w:rPr>
              <w:t>247</w:t>
            </w:r>
          </w:p>
        </w:tc>
        <w:tc>
          <w:tcPr>
            <w:tcW w:w="792" w:type="dxa"/>
            <w:tcBorders>
              <w:top w:val="nil"/>
              <w:left w:val="nil"/>
              <w:bottom w:val="nil"/>
              <w:right w:val="nil"/>
            </w:tcBorders>
            <w:shd w:val="clear" w:color="000000" w:fill="D9D9D9"/>
            <w:noWrap/>
            <w:vAlign w:val="bottom"/>
          </w:tcPr>
          <w:p w14:paraId="0A885532" w14:textId="41B12E1C" w:rsidR="00013D9C" w:rsidRPr="001E6659" w:rsidRDefault="00013D9C" w:rsidP="00013D9C">
            <w:pPr>
              <w:jc w:val="right"/>
              <w:rPr>
                <w:rFonts w:ascii="Calibri" w:eastAsia="Times New Roman" w:hAnsi="Calibri" w:cs="Calibri"/>
                <w:sz w:val="19"/>
                <w:szCs w:val="19"/>
              </w:rPr>
            </w:pPr>
            <w:r>
              <w:rPr>
                <w:rFonts w:ascii="Calibri" w:hAnsi="Calibri" w:cs="Calibri"/>
              </w:rPr>
              <w:t>7.9%</w:t>
            </w:r>
          </w:p>
        </w:tc>
      </w:tr>
      <w:tr w:rsidR="00013D9C" w:rsidRPr="00653071" w14:paraId="60076A79" w14:textId="77777777" w:rsidTr="00F73A49">
        <w:trPr>
          <w:trHeight w:val="300"/>
          <w:jc w:val="center"/>
        </w:trPr>
        <w:tc>
          <w:tcPr>
            <w:tcW w:w="680" w:type="dxa"/>
            <w:tcBorders>
              <w:top w:val="nil"/>
              <w:left w:val="nil"/>
              <w:bottom w:val="nil"/>
              <w:right w:val="nil"/>
            </w:tcBorders>
            <w:shd w:val="clear" w:color="000000" w:fill="FFFFFF"/>
            <w:noWrap/>
            <w:vAlign w:val="bottom"/>
          </w:tcPr>
          <w:p w14:paraId="34DC889D" w14:textId="2B567311" w:rsidR="00013D9C" w:rsidRDefault="00013D9C" w:rsidP="00013D9C">
            <w:pPr>
              <w:rPr>
                <w:rFonts w:ascii="Calibri" w:hAnsi="Calibri" w:cs="Calibri"/>
              </w:rPr>
            </w:pPr>
            <w:r>
              <w:rPr>
                <w:rFonts w:ascii="Calibri" w:hAnsi="Calibri" w:cs="Calibri"/>
                <w:b/>
                <w:bCs/>
              </w:rPr>
              <w:t>Total</w:t>
            </w:r>
          </w:p>
        </w:tc>
        <w:tc>
          <w:tcPr>
            <w:tcW w:w="952" w:type="dxa"/>
            <w:tcBorders>
              <w:top w:val="nil"/>
              <w:left w:val="single" w:sz="4" w:space="0" w:color="00688D"/>
              <w:bottom w:val="nil"/>
            </w:tcBorders>
            <w:shd w:val="clear" w:color="000000" w:fill="D9D9D9"/>
            <w:noWrap/>
            <w:vAlign w:val="bottom"/>
          </w:tcPr>
          <w:p w14:paraId="0B71BC11" w14:textId="301C0CF9" w:rsidR="00013D9C" w:rsidRDefault="00013D9C" w:rsidP="00666540">
            <w:pPr>
              <w:jc w:val="right"/>
              <w:rPr>
                <w:rFonts w:ascii="Calibri" w:hAnsi="Calibri" w:cs="Calibri"/>
                <w:b/>
                <w:bCs/>
                <w:i/>
                <w:iCs/>
              </w:rPr>
            </w:pPr>
            <w:r>
              <w:rPr>
                <w:rFonts w:ascii="Calibri" w:hAnsi="Calibri" w:cs="Calibri"/>
                <w:b/>
                <w:bCs/>
                <w:i/>
                <w:iCs/>
              </w:rPr>
              <w:t>-</w:t>
            </w:r>
            <w:r w:rsidR="00666540">
              <w:rPr>
                <w:rFonts w:ascii="Calibri" w:hAnsi="Calibri" w:cs="Calibri"/>
                <w:b/>
                <w:bCs/>
                <w:i/>
                <w:iCs/>
              </w:rPr>
              <w:t>7</w:t>
            </w:r>
            <w:r>
              <w:rPr>
                <w:rFonts w:ascii="Calibri" w:hAnsi="Calibri" w:cs="Calibri"/>
                <w:b/>
                <w:bCs/>
                <w:i/>
                <w:iCs/>
              </w:rPr>
              <w:t>.</w:t>
            </w:r>
            <w:r w:rsidR="00666540">
              <w:rPr>
                <w:rFonts w:ascii="Calibri" w:hAnsi="Calibri" w:cs="Calibri"/>
                <w:b/>
                <w:bCs/>
                <w:i/>
                <w:iCs/>
              </w:rPr>
              <w:t>3</w:t>
            </w:r>
            <w:r>
              <w:rPr>
                <w:rFonts w:ascii="Calibri" w:hAnsi="Calibri" w:cs="Calibri"/>
                <w:b/>
                <w:bCs/>
                <w:i/>
                <w:iCs/>
              </w:rPr>
              <w:t>%</w:t>
            </w:r>
          </w:p>
        </w:tc>
        <w:tc>
          <w:tcPr>
            <w:tcW w:w="770" w:type="dxa"/>
            <w:tcBorders>
              <w:top w:val="single" w:sz="8" w:space="0" w:color="auto"/>
              <w:bottom w:val="double" w:sz="4" w:space="0" w:color="auto"/>
              <w:right w:val="nil"/>
            </w:tcBorders>
            <w:shd w:val="clear" w:color="000000" w:fill="FFFFFF"/>
            <w:noWrap/>
            <w:vAlign w:val="bottom"/>
          </w:tcPr>
          <w:p w14:paraId="2548812A" w14:textId="3CF6BD79" w:rsidR="00013D9C" w:rsidRDefault="00013D9C" w:rsidP="00013D9C">
            <w:pPr>
              <w:jc w:val="right"/>
              <w:rPr>
                <w:rFonts w:ascii="Calibri" w:hAnsi="Calibri" w:cs="Calibri"/>
                <w:b/>
                <w:bCs/>
              </w:rPr>
            </w:pPr>
            <w:r>
              <w:rPr>
                <w:rFonts w:ascii="Calibri" w:hAnsi="Calibri" w:cs="Calibri"/>
                <w:b/>
                <w:bCs/>
              </w:rPr>
              <w:t>20,429</w:t>
            </w:r>
          </w:p>
        </w:tc>
        <w:tc>
          <w:tcPr>
            <w:tcW w:w="792" w:type="dxa"/>
            <w:tcBorders>
              <w:left w:val="nil"/>
              <w:bottom w:val="nil"/>
              <w:right w:val="nil"/>
            </w:tcBorders>
            <w:shd w:val="clear" w:color="000000" w:fill="D9D9D9"/>
            <w:noWrap/>
            <w:vAlign w:val="bottom"/>
          </w:tcPr>
          <w:p w14:paraId="698FE971" w14:textId="162C0331" w:rsidR="00013D9C" w:rsidRDefault="00013D9C" w:rsidP="00013D9C">
            <w:pPr>
              <w:jc w:val="right"/>
              <w:rPr>
                <w:rFonts w:ascii="Calibri" w:hAnsi="Calibri" w:cs="Calibri"/>
                <w:b/>
                <w:bCs/>
              </w:rPr>
            </w:pPr>
            <w:r>
              <w:rPr>
                <w:rFonts w:ascii="Calibri" w:hAnsi="Calibri" w:cs="Calibri"/>
                <w:b/>
                <w:bCs/>
                <w:i/>
                <w:iCs/>
              </w:rPr>
              <w:t>-5.1%</w:t>
            </w:r>
          </w:p>
        </w:tc>
        <w:tc>
          <w:tcPr>
            <w:tcW w:w="741" w:type="dxa"/>
            <w:tcBorders>
              <w:top w:val="single" w:sz="4" w:space="0" w:color="auto"/>
              <w:left w:val="nil"/>
              <w:bottom w:val="double" w:sz="4" w:space="0" w:color="auto"/>
              <w:right w:val="nil"/>
            </w:tcBorders>
            <w:shd w:val="clear" w:color="000000" w:fill="FFFFFF"/>
            <w:noWrap/>
            <w:vAlign w:val="bottom"/>
          </w:tcPr>
          <w:p w14:paraId="50FB954D" w14:textId="1092BAC7" w:rsidR="00013D9C" w:rsidRDefault="00013D9C" w:rsidP="00013D9C">
            <w:pPr>
              <w:jc w:val="right"/>
              <w:rPr>
                <w:rFonts w:ascii="Calibri" w:hAnsi="Calibri" w:cs="Calibri"/>
                <w:b/>
                <w:bCs/>
              </w:rPr>
            </w:pPr>
            <w:r>
              <w:rPr>
                <w:rFonts w:ascii="Calibri" w:hAnsi="Calibri" w:cs="Calibri"/>
                <w:b/>
                <w:bCs/>
              </w:rPr>
              <w:t>21,535</w:t>
            </w:r>
          </w:p>
        </w:tc>
        <w:tc>
          <w:tcPr>
            <w:tcW w:w="792" w:type="dxa"/>
            <w:tcBorders>
              <w:left w:val="nil"/>
              <w:bottom w:val="nil"/>
              <w:right w:val="nil"/>
            </w:tcBorders>
            <w:shd w:val="clear" w:color="000000" w:fill="D9D9D9"/>
            <w:noWrap/>
            <w:vAlign w:val="bottom"/>
          </w:tcPr>
          <w:p w14:paraId="5E9B9179" w14:textId="64BB7F6D" w:rsidR="00013D9C" w:rsidRDefault="00013D9C" w:rsidP="00013D9C">
            <w:pPr>
              <w:jc w:val="right"/>
              <w:rPr>
                <w:rFonts w:ascii="Calibri" w:hAnsi="Calibri" w:cs="Calibri"/>
                <w:b/>
                <w:bCs/>
              </w:rPr>
            </w:pPr>
            <w:r>
              <w:rPr>
                <w:rFonts w:ascii="Calibri" w:hAnsi="Calibri" w:cs="Calibri"/>
                <w:b/>
                <w:bCs/>
                <w:i/>
                <w:iCs/>
              </w:rPr>
              <w:t>-0.4%</w:t>
            </w:r>
          </w:p>
        </w:tc>
        <w:tc>
          <w:tcPr>
            <w:tcW w:w="737" w:type="dxa"/>
            <w:tcBorders>
              <w:top w:val="single" w:sz="4" w:space="0" w:color="auto"/>
              <w:left w:val="nil"/>
              <w:bottom w:val="double" w:sz="4" w:space="0" w:color="auto"/>
              <w:right w:val="nil"/>
            </w:tcBorders>
            <w:shd w:val="clear" w:color="000000" w:fill="FFFFFF"/>
            <w:noWrap/>
            <w:vAlign w:val="bottom"/>
          </w:tcPr>
          <w:p w14:paraId="1128BB62" w14:textId="141AA5C5" w:rsidR="00013D9C" w:rsidRPr="006D7414" w:rsidRDefault="00013D9C" w:rsidP="00013D9C">
            <w:pPr>
              <w:jc w:val="right"/>
              <w:rPr>
                <w:rFonts w:ascii="Calibri" w:hAnsi="Calibri" w:cs="Calibri"/>
              </w:rPr>
            </w:pPr>
            <w:r w:rsidRPr="006D7414">
              <w:rPr>
                <w:rFonts w:ascii="Calibri" w:hAnsi="Calibri" w:cs="Calibri"/>
              </w:rPr>
              <w:t>21,618</w:t>
            </w:r>
          </w:p>
        </w:tc>
        <w:tc>
          <w:tcPr>
            <w:tcW w:w="792" w:type="dxa"/>
            <w:tcBorders>
              <w:left w:val="nil"/>
              <w:bottom w:val="nil"/>
              <w:right w:val="nil"/>
            </w:tcBorders>
            <w:shd w:val="clear" w:color="000000" w:fill="D9D9D9"/>
            <w:noWrap/>
            <w:vAlign w:val="bottom"/>
          </w:tcPr>
          <w:p w14:paraId="62A94BB5" w14:textId="4D91F9ED" w:rsidR="00013D9C" w:rsidRPr="006D7414" w:rsidRDefault="00013D9C" w:rsidP="00013D9C">
            <w:pPr>
              <w:jc w:val="right"/>
              <w:rPr>
                <w:rFonts w:ascii="Calibri" w:hAnsi="Calibri" w:cs="Calibri"/>
              </w:rPr>
            </w:pPr>
            <w:r w:rsidRPr="006D7414">
              <w:rPr>
                <w:rFonts w:ascii="Calibri" w:hAnsi="Calibri" w:cs="Calibri"/>
              </w:rPr>
              <w:t>0.1%</w:t>
            </w:r>
          </w:p>
        </w:tc>
        <w:tc>
          <w:tcPr>
            <w:tcW w:w="768" w:type="dxa"/>
            <w:tcBorders>
              <w:top w:val="single" w:sz="4" w:space="0" w:color="auto"/>
              <w:left w:val="nil"/>
              <w:bottom w:val="double" w:sz="4" w:space="0" w:color="auto"/>
              <w:right w:val="nil"/>
            </w:tcBorders>
            <w:shd w:val="clear" w:color="000000" w:fill="FFFFFF"/>
            <w:noWrap/>
            <w:vAlign w:val="bottom"/>
          </w:tcPr>
          <w:p w14:paraId="13CA45EF" w14:textId="794AD5A6" w:rsidR="00013D9C" w:rsidRDefault="00013D9C" w:rsidP="00013D9C">
            <w:pPr>
              <w:jc w:val="right"/>
              <w:rPr>
                <w:rFonts w:ascii="Calibri" w:hAnsi="Calibri" w:cs="Calibri"/>
              </w:rPr>
            </w:pPr>
            <w:r>
              <w:rPr>
                <w:rFonts w:ascii="Calibri" w:hAnsi="Calibri" w:cs="Calibri"/>
              </w:rPr>
              <w:t>21,924</w:t>
            </w:r>
          </w:p>
        </w:tc>
        <w:tc>
          <w:tcPr>
            <w:tcW w:w="792" w:type="dxa"/>
            <w:tcBorders>
              <w:left w:val="nil"/>
              <w:bottom w:val="nil"/>
              <w:right w:val="nil"/>
            </w:tcBorders>
            <w:shd w:val="clear" w:color="000000" w:fill="D9D9D9"/>
            <w:noWrap/>
            <w:vAlign w:val="bottom"/>
          </w:tcPr>
          <w:p w14:paraId="51E999DF" w14:textId="5AB42F1E" w:rsidR="00013D9C" w:rsidRDefault="00013D9C" w:rsidP="00013D9C">
            <w:pPr>
              <w:jc w:val="right"/>
              <w:rPr>
                <w:rFonts w:ascii="Calibri" w:hAnsi="Calibri" w:cs="Calibri"/>
              </w:rPr>
            </w:pPr>
            <w:r>
              <w:rPr>
                <w:rFonts w:ascii="Calibri" w:hAnsi="Calibri" w:cs="Calibri"/>
              </w:rPr>
              <w:t>-1.0%</w:t>
            </w:r>
          </w:p>
        </w:tc>
        <w:tc>
          <w:tcPr>
            <w:tcW w:w="752" w:type="dxa"/>
            <w:tcBorders>
              <w:top w:val="single" w:sz="4" w:space="0" w:color="auto"/>
              <w:left w:val="nil"/>
              <w:bottom w:val="double" w:sz="4" w:space="0" w:color="auto"/>
              <w:right w:val="nil"/>
            </w:tcBorders>
            <w:shd w:val="clear" w:color="000000" w:fill="FFFFFF"/>
            <w:noWrap/>
            <w:vAlign w:val="bottom"/>
          </w:tcPr>
          <w:p w14:paraId="09C0D4C2" w14:textId="375C4552" w:rsidR="00013D9C" w:rsidRDefault="00013D9C" w:rsidP="00013D9C">
            <w:pPr>
              <w:jc w:val="right"/>
              <w:rPr>
                <w:rFonts w:ascii="Calibri" w:hAnsi="Calibri" w:cs="Calibri"/>
              </w:rPr>
            </w:pPr>
            <w:r>
              <w:rPr>
                <w:rFonts w:ascii="Calibri" w:hAnsi="Calibri" w:cs="Calibri"/>
              </w:rPr>
              <w:t>22,033</w:t>
            </w:r>
          </w:p>
        </w:tc>
        <w:tc>
          <w:tcPr>
            <w:tcW w:w="792" w:type="dxa"/>
            <w:tcBorders>
              <w:top w:val="nil"/>
              <w:left w:val="nil"/>
              <w:bottom w:val="nil"/>
              <w:right w:val="nil"/>
            </w:tcBorders>
            <w:shd w:val="clear" w:color="000000" w:fill="D9D9D9"/>
            <w:noWrap/>
            <w:vAlign w:val="bottom"/>
          </w:tcPr>
          <w:p w14:paraId="45AEDAA9" w14:textId="7CF550E8" w:rsidR="00013D9C" w:rsidRDefault="00013D9C" w:rsidP="00013D9C">
            <w:pPr>
              <w:jc w:val="right"/>
              <w:rPr>
                <w:rFonts w:ascii="Calibri" w:hAnsi="Calibri" w:cs="Calibri"/>
              </w:rPr>
            </w:pPr>
            <w:r>
              <w:rPr>
                <w:rFonts w:ascii="Calibri" w:hAnsi="Calibri" w:cs="Calibri"/>
              </w:rPr>
              <w:t>0.7%</w:t>
            </w:r>
          </w:p>
        </w:tc>
      </w:tr>
    </w:tbl>
    <w:p w14:paraId="4A83CD1C" w14:textId="77777777" w:rsidR="00A83362" w:rsidRPr="00540652" w:rsidRDefault="00A83362" w:rsidP="00A83362">
      <w:pPr>
        <w:tabs>
          <w:tab w:val="left" w:pos="4860"/>
          <w:tab w:val="left" w:pos="8280"/>
        </w:tabs>
        <w:jc w:val="center"/>
        <w:rPr>
          <w:rFonts w:ascii="Calibri" w:eastAsia="Times New Roman" w:hAnsi="Calibri" w:cs="Tahoma"/>
          <w:bCs/>
          <w:smallCaps/>
          <w:sz w:val="2"/>
        </w:rPr>
      </w:pPr>
      <w:r>
        <w:rPr>
          <w:rFonts w:ascii="Calibri" w:eastAsia="Times New Roman" w:hAnsi="Calibri" w:cs="Tahoma"/>
          <w:b/>
          <w:bCs/>
          <w:smallCaps/>
          <w:u w:val="single"/>
        </w:rPr>
        <w:fldChar w:fldCharType="end"/>
      </w:r>
    </w:p>
    <w:p w14:paraId="3D6076C6" w14:textId="77777777" w:rsidR="00A83362" w:rsidRDefault="00A83362" w:rsidP="00A83362">
      <w:pPr>
        <w:spacing w:after="160" w:line="259" w:lineRule="auto"/>
        <w:rPr>
          <w:b/>
          <w:i/>
          <w:sz w:val="26"/>
          <w:u w:val="single"/>
        </w:rPr>
      </w:pPr>
      <w:r>
        <w:br w:type="page"/>
      </w:r>
    </w:p>
    <w:p w14:paraId="38B96E56" w14:textId="77777777" w:rsidR="00A83362" w:rsidRDefault="00A83362" w:rsidP="00A83362">
      <w:pPr>
        <w:pStyle w:val="ReportHeading3"/>
        <w:spacing w:before="240"/>
      </w:pPr>
      <w:r>
        <w:lastRenderedPageBreak/>
        <w:t>Student Comprehensive Cost of Education</w:t>
      </w:r>
    </w:p>
    <w:p w14:paraId="3CCA9C01" w14:textId="1745F0ED" w:rsidR="00A83362" w:rsidRDefault="00A83362" w:rsidP="00A83362">
      <w:pPr>
        <w:tabs>
          <w:tab w:val="left" w:pos="4860"/>
        </w:tabs>
        <w:rPr>
          <w:rFonts w:ascii="Calibri" w:eastAsia="Times New Roman" w:hAnsi="Calibri" w:cs="Tahoma"/>
          <w:sz w:val="24"/>
          <w:szCs w:val="24"/>
        </w:rPr>
      </w:pPr>
      <w:r>
        <w:rPr>
          <w:rFonts w:ascii="Calibri" w:eastAsia="Times New Roman" w:hAnsi="Calibri" w:cs="Tahoma"/>
          <w:sz w:val="24"/>
          <w:szCs w:val="24"/>
        </w:rPr>
        <w:t>Net student fee revenue, totaling $</w:t>
      </w:r>
      <w:r w:rsidRPr="00293993">
        <w:rPr>
          <w:rFonts w:ascii="Calibri" w:eastAsia="Times New Roman" w:hAnsi="Calibri" w:cs="Tahoma"/>
          <w:color w:val="0D0D0D" w:themeColor="text1" w:themeTint="F2"/>
          <w:sz w:val="24"/>
          <w:szCs w:val="24"/>
        </w:rPr>
        <w:t>251</w:t>
      </w:r>
      <w:r>
        <w:rPr>
          <w:rFonts w:ascii="Calibri" w:eastAsia="Times New Roman" w:hAnsi="Calibri" w:cs="Tahoma"/>
          <w:sz w:val="24"/>
          <w:szCs w:val="24"/>
        </w:rPr>
        <w:t xml:space="preserve"> million in FY23 and $263 million in FY22, is the System’s greatest source of revenue, contributing </w:t>
      </w:r>
      <w:r w:rsidRPr="00293993">
        <w:rPr>
          <w:rFonts w:ascii="Calibri" w:eastAsia="Times New Roman" w:hAnsi="Calibri" w:cs="Tahoma"/>
          <w:color w:val="0D0D0D" w:themeColor="text1" w:themeTint="F2"/>
          <w:sz w:val="24"/>
          <w:szCs w:val="24"/>
        </w:rPr>
        <w:t>3</w:t>
      </w:r>
      <w:r>
        <w:rPr>
          <w:rFonts w:ascii="Calibri" w:eastAsia="Times New Roman" w:hAnsi="Calibri" w:cs="Tahoma"/>
          <w:color w:val="0D0D0D" w:themeColor="text1" w:themeTint="F2"/>
          <w:sz w:val="24"/>
          <w:szCs w:val="24"/>
        </w:rPr>
        <w:t>2</w:t>
      </w:r>
      <w:r w:rsidRPr="00AE71D8">
        <w:rPr>
          <w:rFonts w:ascii="Calibri" w:eastAsia="Times New Roman" w:hAnsi="Calibri" w:cs="Tahoma"/>
          <w:sz w:val="24"/>
          <w:szCs w:val="24"/>
        </w:rPr>
        <w:t>%</w:t>
      </w:r>
      <w:r>
        <w:rPr>
          <w:rFonts w:ascii="Calibri" w:eastAsia="Times New Roman" w:hAnsi="Calibri" w:cs="Tahoma"/>
          <w:sz w:val="24"/>
          <w:szCs w:val="24"/>
        </w:rPr>
        <w:t xml:space="preserve"> of total operating and net nonoperating revenues for FY23. </w:t>
      </w:r>
      <w:r>
        <w:rPr>
          <w:rFonts w:eastAsia="Times New Roman" w:cstheme="minorHAnsi"/>
          <w:sz w:val="24"/>
        </w:rPr>
        <w:t xml:space="preserve">Net student fees represented </w:t>
      </w:r>
      <w:r w:rsidRPr="001C196F">
        <w:rPr>
          <w:rFonts w:eastAsia="Times New Roman" w:cstheme="minorHAnsi"/>
          <w:sz w:val="24"/>
        </w:rPr>
        <w:t>3</w:t>
      </w:r>
      <w:r>
        <w:rPr>
          <w:rFonts w:eastAsia="Times New Roman" w:cstheme="minorHAnsi"/>
          <w:sz w:val="24"/>
        </w:rPr>
        <w:t>3% of the total operating and net nonoperating revenues for FY22.</w:t>
      </w:r>
      <w:r>
        <w:rPr>
          <w:rFonts w:ascii="Calibri" w:eastAsia="Times New Roman" w:hAnsi="Calibri" w:cs="Tahoma"/>
          <w:sz w:val="24"/>
          <w:szCs w:val="24"/>
        </w:rPr>
        <w:t xml:space="preserve"> Such revenues are impacted by enrollment levels; tuition, room and board, and fee levels; and the amount of scholarship allowances provided to students.</w:t>
      </w:r>
    </w:p>
    <w:p w14:paraId="43CFA622" w14:textId="77777777" w:rsidR="00A83362" w:rsidRPr="00982C0C" w:rsidRDefault="00A83362" w:rsidP="00A83362">
      <w:pPr>
        <w:tabs>
          <w:tab w:val="left" w:pos="4860"/>
        </w:tabs>
        <w:ind w:left="360"/>
        <w:rPr>
          <w:rFonts w:ascii="Calibri" w:eastAsia="Times New Roman" w:hAnsi="Calibri" w:cs="Tahoma"/>
          <w:sz w:val="18"/>
          <w:szCs w:val="18"/>
        </w:rPr>
      </w:pPr>
    </w:p>
    <w:p w14:paraId="1025430B" w14:textId="4F54FD1C" w:rsidR="00A83362" w:rsidRDefault="001A5DF7" w:rsidP="00A83362">
      <w:pPr>
        <w:tabs>
          <w:tab w:val="left" w:pos="4860"/>
        </w:tabs>
        <w:rPr>
          <w:rFonts w:ascii="Calibri" w:eastAsia="Times New Roman" w:hAnsi="Calibri" w:cs="Tahoma"/>
          <w:sz w:val="24"/>
          <w:szCs w:val="24"/>
        </w:rPr>
      </w:pPr>
      <w:r>
        <w:rPr>
          <w:rFonts w:ascii="Calibri" w:eastAsia="Times New Roman" w:hAnsi="Calibri" w:cs="Tahoma"/>
          <w:sz w:val="24"/>
          <w:szCs w:val="24"/>
        </w:rPr>
        <w:t>Table 2 shows t</w:t>
      </w:r>
      <w:r w:rsidR="00A83362">
        <w:rPr>
          <w:rFonts w:ascii="Calibri" w:eastAsia="Times New Roman" w:hAnsi="Calibri" w:cs="Tahoma"/>
          <w:sz w:val="24"/>
          <w:szCs w:val="24"/>
        </w:rPr>
        <w:t xml:space="preserve">he average comprehensive cost of education (tuition, mandatory fees, and room and board) for UMS undergraduate, graduate, and law school students. The percentage changes for the comprehensive cost of education in FY23 range from an increase of </w:t>
      </w:r>
      <w:r w:rsidR="00A83362" w:rsidRPr="00F77C8A">
        <w:rPr>
          <w:rFonts w:ascii="Calibri" w:eastAsia="Times New Roman" w:hAnsi="Calibri" w:cs="Tahoma"/>
          <w:color w:val="0D0D0D" w:themeColor="text1" w:themeTint="F2"/>
          <w:sz w:val="24"/>
          <w:szCs w:val="24"/>
        </w:rPr>
        <w:t>1.5</w:t>
      </w:r>
      <w:r w:rsidR="00A83362">
        <w:rPr>
          <w:rFonts w:ascii="Calibri" w:eastAsia="Times New Roman" w:hAnsi="Calibri" w:cs="Tahoma"/>
          <w:sz w:val="24"/>
          <w:szCs w:val="24"/>
        </w:rPr>
        <w:t xml:space="preserve">% for NEBHE and Canadian law students to an increase of </w:t>
      </w:r>
      <w:r w:rsidR="00A83362" w:rsidRPr="00293993">
        <w:rPr>
          <w:rFonts w:ascii="Calibri" w:eastAsia="Times New Roman" w:hAnsi="Calibri" w:cs="Tahoma"/>
          <w:color w:val="0D0D0D" w:themeColor="text1" w:themeTint="F2"/>
          <w:sz w:val="24"/>
          <w:szCs w:val="24"/>
        </w:rPr>
        <w:t>4.2</w:t>
      </w:r>
      <w:r w:rsidR="00A83362">
        <w:rPr>
          <w:rFonts w:ascii="Calibri" w:eastAsia="Times New Roman" w:hAnsi="Calibri" w:cs="Tahoma"/>
          <w:sz w:val="24"/>
          <w:szCs w:val="24"/>
        </w:rPr>
        <w:t xml:space="preserve">% for NEBHE undergraduate and out-of-state law students. Percentage changes in FY22 ranged from an increase of </w:t>
      </w:r>
      <w:r w:rsidR="00A83362" w:rsidRPr="00293993">
        <w:rPr>
          <w:rFonts w:ascii="Calibri" w:eastAsia="Times New Roman" w:hAnsi="Calibri" w:cs="Tahoma"/>
          <w:color w:val="0D0D0D" w:themeColor="text1" w:themeTint="F2"/>
          <w:sz w:val="24"/>
          <w:szCs w:val="24"/>
        </w:rPr>
        <w:t>3.</w:t>
      </w:r>
      <w:r w:rsidR="00775495">
        <w:rPr>
          <w:rFonts w:ascii="Calibri" w:eastAsia="Times New Roman" w:hAnsi="Calibri" w:cs="Tahoma"/>
          <w:color w:val="0D0D0D" w:themeColor="text1" w:themeTint="F2"/>
          <w:sz w:val="24"/>
          <w:szCs w:val="24"/>
        </w:rPr>
        <w:t>6</w:t>
      </w:r>
      <w:r w:rsidR="00A83362">
        <w:rPr>
          <w:rFonts w:ascii="Calibri" w:eastAsia="Times New Roman" w:hAnsi="Calibri" w:cs="Tahoma"/>
          <w:sz w:val="24"/>
          <w:szCs w:val="24"/>
        </w:rPr>
        <w:t xml:space="preserve">% for </w:t>
      </w:r>
      <w:r w:rsidR="00775495">
        <w:rPr>
          <w:rFonts w:ascii="Calibri" w:eastAsia="Times New Roman" w:hAnsi="Calibri" w:cs="Tahoma"/>
          <w:sz w:val="24"/>
          <w:szCs w:val="24"/>
        </w:rPr>
        <w:t xml:space="preserve">in-state, </w:t>
      </w:r>
      <w:r w:rsidR="00A83362">
        <w:rPr>
          <w:rFonts w:ascii="Calibri" w:eastAsia="Times New Roman" w:hAnsi="Calibri" w:cs="Tahoma"/>
          <w:sz w:val="24"/>
          <w:szCs w:val="24"/>
        </w:rPr>
        <w:t xml:space="preserve">out-of-state and </w:t>
      </w:r>
      <w:r w:rsidR="00775495">
        <w:rPr>
          <w:rFonts w:ascii="Calibri" w:eastAsia="Times New Roman" w:hAnsi="Calibri" w:cs="Tahoma"/>
          <w:sz w:val="24"/>
          <w:szCs w:val="24"/>
        </w:rPr>
        <w:t xml:space="preserve">Canadian </w:t>
      </w:r>
      <w:r w:rsidR="00A83362">
        <w:rPr>
          <w:rFonts w:ascii="Calibri" w:eastAsia="Times New Roman" w:hAnsi="Calibri" w:cs="Tahoma"/>
          <w:sz w:val="24"/>
          <w:szCs w:val="24"/>
        </w:rPr>
        <w:t>undergraduate students</w:t>
      </w:r>
      <w:r w:rsidR="00775495">
        <w:rPr>
          <w:rFonts w:ascii="Calibri" w:eastAsia="Times New Roman" w:hAnsi="Calibri" w:cs="Tahoma"/>
          <w:sz w:val="24"/>
          <w:szCs w:val="24"/>
        </w:rPr>
        <w:t xml:space="preserve"> </w:t>
      </w:r>
      <w:r w:rsidR="00A83362">
        <w:rPr>
          <w:rFonts w:ascii="Calibri" w:eastAsia="Times New Roman" w:hAnsi="Calibri" w:cs="Tahoma"/>
          <w:sz w:val="24"/>
          <w:szCs w:val="24"/>
        </w:rPr>
        <w:t>to a</w:t>
      </w:r>
      <w:r w:rsidR="00775495">
        <w:rPr>
          <w:rFonts w:ascii="Calibri" w:eastAsia="Times New Roman" w:hAnsi="Calibri" w:cs="Tahoma"/>
          <w:sz w:val="24"/>
          <w:szCs w:val="24"/>
        </w:rPr>
        <w:t>n in</w:t>
      </w:r>
      <w:r w:rsidR="00A83362">
        <w:rPr>
          <w:rFonts w:ascii="Calibri" w:eastAsia="Times New Roman" w:hAnsi="Calibri" w:cs="Tahoma"/>
          <w:sz w:val="24"/>
          <w:szCs w:val="24"/>
        </w:rPr>
        <w:t xml:space="preserve">crease of </w:t>
      </w:r>
      <w:r w:rsidR="00775495">
        <w:rPr>
          <w:rFonts w:ascii="Calibri" w:eastAsia="Times New Roman" w:hAnsi="Calibri" w:cs="Tahoma"/>
          <w:color w:val="0D0D0D" w:themeColor="text1" w:themeTint="F2"/>
          <w:sz w:val="24"/>
          <w:szCs w:val="24"/>
        </w:rPr>
        <w:t>6.7</w:t>
      </w:r>
      <w:r w:rsidR="00A83362">
        <w:rPr>
          <w:rFonts w:ascii="Calibri" w:eastAsia="Times New Roman" w:hAnsi="Calibri" w:cs="Tahoma"/>
          <w:sz w:val="24"/>
          <w:szCs w:val="24"/>
        </w:rPr>
        <w:t xml:space="preserve">% for </w:t>
      </w:r>
      <w:r w:rsidR="00775495">
        <w:rPr>
          <w:rFonts w:ascii="Calibri" w:eastAsia="Times New Roman" w:hAnsi="Calibri" w:cs="Tahoma"/>
          <w:sz w:val="24"/>
          <w:szCs w:val="24"/>
        </w:rPr>
        <w:t>in-state law students</w:t>
      </w:r>
      <w:r w:rsidR="00A83362">
        <w:rPr>
          <w:rFonts w:ascii="Calibri" w:eastAsia="Times New Roman" w:hAnsi="Calibri" w:cs="Tahoma"/>
          <w:sz w:val="24"/>
          <w:szCs w:val="24"/>
        </w:rPr>
        <w:t>.</w:t>
      </w:r>
    </w:p>
    <w:p w14:paraId="0089A490" w14:textId="77777777" w:rsidR="00A83362" w:rsidRPr="00982C0C" w:rsidRDefault="00A83362" w:rsidP="00A83362">
      <w:pPr>
        <w:tabs>
          <w:tab w:val="left" w:pos="4860"/>
        </w:tabs>
        <w:rPr>
          <w:rFonts w:ascii="Calibri" w:eastAsia="Times New Roman" w:hAnsi="Calibri" w:cs="Tahoma"/>
          <w:sz w:val="18"/>
          <w:szCs w:val="18"/>
        </w:rPr>
      </w:pPr>
    </w:p>
    <w:p w14:paraId="3B7AD831" w14:textId="5FE0A0DA" w:rsidR="00A83362" w:rsidRDefault="00A83362" w:rsidP="00A83362">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FY23 in-state undergraduate tuition remained flat with FY22. The </w:t>
      </w:r>
      <w:r w:rsidR="00AC1674">
        <w:rPr>
          <w:rFonts w:ascii="Calibri" w:eastAsia="Times New Roman" w:hAnsi="Calibri" w:cs="Tahoma"/>
          <w:sz w:val="24"/>
          <w:szCs w:val="24"/>
        </w:rPr>
        <w:t>overall</w:t>
      </w:r>
      <w:r>
        <w:rPr>
          <w:rFonts w:ascii="Calibri" w:eastAsia="Times New Roman" w:hAnsi="Calibri" w:cs="Tahoma"/>
          <w:sz w:val="24"/>
          <w:szCs w:val="24"/>
        </w:rPr>
        <w:t xml:space="preserve"> average comprehensive cost of education for this same category of students increased 3.2%. </w:t>
      </w:r>
      <w:r w:rsidR="00586159">
        <w:rPr>
          <w:rFonts w:ascii="Calibri" w:eastAsia="Times New Roman" w:hAnsi="Calibri" w:cs="Tahoma"/>
          <w:sz w:val="24"/>
          <w:szCs w:val="24"/>
        </w:rPr>
        <w:t xml:space="preserve">While the UMS did not increase </w:t>
      </w:r>
      <w:r w:rsidR="001D2DAA">
        <w:rPr>
          <w:rFonts w:ascii="Calibri" w:eastAsia="Times New Roman" w:hAnsi="Calibri" w:cs="Tahoma"/>
          <w:sz w:val="24"/>
          <w:szCs w:val="24"/>
        </w:rPr>
        <w:t>in-state undergraduate tuition</w:t>
      </w:r>
      <w:r w:rsidR="00586159">
        <w:rPr>
          <w:rFonts w:ascii="Calibri" w:eastAsia="Times New Roman" w:hAnsi="Calibri" w:cs="Tahoma"/>
          <w:sz w:val="24"/>
          <w:szCs w:val="24"/>
        </w:rPr>
        <w:t xml:space="preserve"> in FY22, </w:t>
      </w:r>
      <w:r w:rsidR="00E17439">
        <w:rPr>
          <w:rFonts w:ascii="Calibri" w:eastAsia="Times New Roman" w:hAnsi="Calibri" w:cs="Tahoma"/>
          <w:sz w:val="24"/>
          <w:szCs w:val="24"/>
        </w:rPr>
        <w:t>UM</w:t>
      </w:r>
      <w:r w:rsidR="007F5678">
        <w:rPr>
          <w:rFonts w:ascii="Calibri" w:eastAsia="Times New Roman" w:hAnsi="Calibri" w:cs="Tahoma"/>
          <w:sz w:val="24"/>
          <w:szCs w:val="24"/>
        </w:rPr>
        <w:t xml:space="preserve"> </w:t>
      </w:r>
      <w:r w:rsidR="00E17439">
        <w:rPr>
          <w:rFonts w:ascii="Calibri" w:eastAsia="Times New Roman" w:hAnsi="Calibri" w:cs="Tahoma"/>
          <w:sz w:val="24"/>
          <w:szCs w:val="24"/>
        </w:rPr>
        <w:t xml:space="preserve">and UMM consolidated most student fees into a single tuition charge resulting in </w:t>
      </w:r>
      <w:r w:rsidR="00586159">
        <w:rPr>
          <w:rFonts w:ascii="Calibri" w:eastAsia="Times New Roman" w:hAnsi="Calibri" w:cs="Tahoma"/>
          <w:sz w:val="24"/>
          <w:szCs w:val="24"/>
        </w:rPr>
        <w:t>a neutral impact to students’ bills</w:t>
      </w:r>
      <w:r w:rsidR="00E17439">
        <w:rPr>
          <w:rFonts w:ascii="Calibri" w:eastAsia="Times New Roman" w:hAnsi="Calibri" w:cs="Tahoma"/>
          <w:sz w:val="24"/>
          <w:szCs w:val="24"/>
        </w:rPr>
        <w:t>, which were thereby</w:t>
      </w:r>
      <w:r w:rsidR="00586159">
        <w:rPr>
          <w:rFonts w:ascii="Calibri" w:eastAsia="Times New Roman" w:hAnsi="Calibri" w:cs="Tahoma"/>
          <w:sz w:val="24"/>
          <w:szCs w:val="24"/>
        </w:rPr>
        <w:t xml:space="preserve"> simplif</w:t>
      </w:r>
      <w:r w:rsidR="00E17439">
        <w:rPr>
          <w:rFonts w:ascii="Calibri" w:eastAsia="Times New Roman" w:hAnsi="Calibri" w:cs="Tahoma"/>
          <w:sz w:val="24"/>
          <w:szCs w:val="24"/>
        </w:rPr>
        <w:t>ied</w:t>
      </w:r>
      <w:r w:rsidR="00586159">
        <w:rPr>
          <w:rFonts w:ascii="Calibri" w:eastAsia="Times New Roman" w:hAnsi="Calibri" w:cs="Tahoma"/>
          <w:sz w:val="24"/>
          <w:szCs w:val="24"/>
        </w:rPr>
        <w:t xml:space="preserve">. </w:t>
      </w:r>
      <w:r w:rsidR="00E17439">
        <w:rPr>
          <w:rFonts w:ascii="Calibri" w:eastAsia="Times New Roman" w:hAnsi="Calibri" w:cs="Tahoma"/>
          <w:sz w:val="24"/>
          <w:szCs w:val="24"/>
        </w:rPr>
        <w:t xml:space="preserve">This change appears to increase </w:t>
      </w:r>
      <w:r w:rsidR="00586159">
        <w:rPr>
          <w:rFonts w:ascii="Calibri" w:eastAsia="Times New Roman" w:hAnsi="Calibri" w:cs="Tahoma"/>
          <w:sz w:val="24"/>
          <w:szCs w:val="24"/>
        </w:rPr>
        <w:t>UM</w:t>
      </w:r>
      <w:r w:rsidR="00E17439">
        <w:rPr>
          <w:rFonts w:ascii="Calibri" w:eastAsia="Times New Roman" w:hAnsi="Calibri" w:cs="Tahoma"/>
          <w:sz w:val="24"/>
          <w:szCs w:val="24"/>
        </w:rPr>
        <w:t>’s</w:t>
      </w:r>
      <w:r w:rsidR="00586159">
        <w:rPr>
          <w:rFonts w:ascii="Calibri" w:eastAsia="Times New Roman" w:hAnsi="Calibri" w:cs="Tahoma"/>
          <w:sz w:val="24"/>
          <w:szCs w:val="24"/>
        </w:rPr>
        <w:t xml:space="preserve"> and UMM</w:t>
      </w:r>
      <w:r w:rsidR="00E17439">
        <w:rPr>
          <w:rFonts w:ascii="Calibri" w:eastAsia="Times New Roman" w:hAnsi="Calibri" w:cs="Tahoma"/>
          <w:sz w:val="24"/>
          <w:szCs w:val="24"/>
        </w:rPr>
        <w:t>’s</w:t>
      </w:r>
      <w:r w:rsidR="00586159">
        <w:rPr>
          <w:rFonts w:ascii="Calibri" w:eastAsia="Times New Roman" w:hAnsi="Calibri" w:cs="Tahoma"/>
          <w:sz w:val="24"/>
          <w:szCs w:val="24"/>
        </w:rPr>
        <w:t xml:space="preserve"> annual tuition rate</w:t>
      </w:r>
      <w:r w:rsidR="00AC1674">
        <w:rPr>
          <w:rFonts w:ascii="Calibri" w:eastAsia="Times New Roman" w:hAnsi="Calibri" w:cs="Tahoma"/>
          <w:sz w:val="24"/>
          <w:szCs w:val="24"/>
        </w:rPr>
        <w:t>;</w:t>
      </w:r>
      <w:r w:rsidR="00586159">
        <w:rPr>
          <w:rFonts w:ascii="Calibri" w:eastAsia="Times New Roman" w:hAnsi="Calibri" w:cs="Tahoma"/>
          <w:sz w:val="24"/>
          <w:szCs w:val="24"/>
        </w:rPr>
        <w:t xml:space="preserve"> </w:t>
      </w:r>
      <w:r w:rsidR="00E17439">
        <w:rPr>
          <w:rFonts w:ascii="Calibri" w:eastAsia="Times New Roman" w:hAnsi="Calibri" w:cs="Tahoma"/>
          <w:sz w:val="24"/>
          <w:szCs w:val="24"/>
        </w:rPr>
        <w:t>however</w:t>
      </w:r>
      <w:r w:rsidR="00AC1674">
        <w:rPr>
          <w:rFonts w:ascii="Calibri" w:eastAsia="Times New Roman" w:hAnsi="Calibri" w:cs="Tahoma"/>
          <w:sz w:val="24"/>
          <w:szCs w:val="24"/>
        </w:rPr>
        <w:t>,</w:t>
      </w:r>
      <w:r w:rsidR="00586159">
        <w:rPr>
          <w:rFonts w:ascii="Calibri" w:eastAsia="Times New Roman" w:hAnsi="Calibri" w:cs="Tahoma"/>
          <w:sz w:val="24"/>
          <w:szCs w:val="24"/>
        </w:rPr>
        <w:t xml:space="preserve"> </w:t>
      </w:r>
      <w:r w:rsidR="00E17439">
        <w:rPr>
          <w:rFonts w:ascii="Calibri" w:eastAsia="Times New Roman" w:hAnsi="Calibri" w:cs="Tahoma"/>
          <w:sz w:val="24"/>
          <w:szCs w:val="24"/>
        </w:rPr>
        <w:t xml:space="preserve">it </w:t>
      </w:r>
      <w:r w:rsidR="00586159">
        <w:rPr>
          <w:rFonts w:ascii="Calibri" w:eastAsia="Times New Roman" w:hAnsi="Calibri" w:cs="Tahoma"/>
          <w:sz w:val="24"/>
          <w:szCs w:val="24"/>
        </w:rPr>
        <w:t xml:space="preserve">is </w:t>
      </w:r>
      <w:r w:rsidR="00E17439">
        <w:rPr>
          <w:rFonts w:ascii="Calibri" w:eastAsia="Times New Roman" w:hAnsi="Calibri" w:cs="Tahoma"/>
          <w:sz w:val="24"/>
          <w:szCs w:val="24"/>
        </w:rPr>
        <w:t>simply</w:t>
      </w:r>
      <w:r w:rsidR="00586159">
        <w:rPr>
          <w:rFonts w:ascii="Calibri" w:eastAsia="Times New Roman" w:hAnsi="Calibri" w:cs="Tahoma"/>
          <w:sz w:val="24"/>
          <w:szCs w:val="24"/>
        </w:rPr>
        <w:t xml:space="preserve"> </w:t>
      </w:r>
      <w:r w:rsidR="00E17439">
        <w:rPr>
          <w:rFonts w:ascii="Calibri" w:eastAsia="Times New Roman" w:hAnsi="Calibri" w:cs="Tahoma"/>
          <w:sz w:val="24"/>
          <w:szCs w:val="24"/>
        </w:rPr>
        <w:t>due to the</w:t>
      </w:r>
      <w:r w:rsidR="00586159">
        <w:rPr>
          <w:rFonts w:ascii="Calibri" w:eastAsia="Times New Roman" w:hAnsi="Calibri" w:cs="Tahoma"/>
          <w:sz w:val="24"/>
          <w:szCs w:val="24"/>
        </w:rPr>
        <w:t xml:space="preserve"> shift in where fees are reflected.  The overall average comprehensive cost of education for this same category of students increased 3.6%</w:t>
      </w:r>
      <w:r w:rsidR="001D2DAA">
        <w:rPr>
          <w:rFonts w:ascii="Calibri" w:eastAsia="Times New Roman" w:hAnsi="Calibri" w:cs="Tahoma"/>
          <w:sz w:val="24"/>
          <w:szCs w:val="24"/>
        </w:rPr>
        <w:t xml:space="preserve">. </w:t>
      </w:r>
    </w:p>
    <w:p w14:paraId="72C4AC43" w14:textId="77777777" w:rsidR="00A83362" w:rsidRPr="00203FC3" w:rsidRDefault="00A83362" w:rsidP="00982C0C">
      <w:pPr>
        <w:spacing w:line="259" w:lineRule="auto"/>
        <w:rPr>
          <w:rFonts w:ascii="Calibri" w:eastAsia="Times New Roman" w:hAnsi="Calibri" w:cs="Tahoma"/>
          <w:b/>
          <w:sz w:val="20"/>
          <w:szCs w:val="20"/>
        </w:rPr>
      </w:pPr>
    </w:p>
    <w:p w14:paraId="7E11712F" w14:textId="77777777" w:rsidR="00A83362" w:rsidRPr="00540652" w:rsidRDefault="00A83362" w:rsidP="00A83362">
      <w:pPr>
        <w:tabs>
          <w:tab w:val="left" w:pos="4860"/>
        </w:tabs>
        <w:jc w:val="center"/>
        <w:rPr>
          <w:rFonts w:ascii="Calibri" w:eastAsia="Times New Roman" w:hAnsi="Calibri" w:cs="Tahoma"/>
          <w:b/>
          <w:sz w:val="24"/>
          <w:szCs w:val="24"/>
        </w:rPr>
      </w:pPr>
      <w:r w:rsidRPr="00540652">
        <w:rPr>
          <w:rFonts w:ascii="Calibri" w:eastAsia="Times New Roman" w:hAnsi="Calibri" w:cs="Tahoma"/>
          <w:b/>
          <w:sz w:val="24"/>
          <w:szCs w:val="24"/>
        </w:rPr>
        <w:t>Table 2: Student Comprehensive Cost of Education</w:t>
      </w:r>
    </w:p>
    <w:p w14:paraId="7E30192C" w14:textId="77777777" w:rsidR="00A83362" w:rsidRPr="00540652" w:rsidRDefault="00A83362" w:rsidP="00A83362">
      <w:pPr>
        <w:tabs>
          <w:tab w:val="left" w:pos="4860"/>
        </w:tabs>
        <w:spacing w:after="120"/>
        <w:jc w:val="center"/>
        <w:rPr>
          <w:rFonts w:ascii="Calibri" w:eastAsia="Times New Roman" w:hAnsi="Calibri" w:cs="Tahoma"/>
          <w:b/>
          <w:sz w:val="24"/>
          <w:szCs w:val="24"/>
        </w:rPr>
      </w:pPr>
      <w:r w:rsidRPr="00540652">
        <w:rPr>
          <w:rFonts w:ascii="Calibri" w:eastAsia="Times New Roman" w:hAnsi="Calibri" w:cs="Tahoma"/>
          <w:b/>
          <w:sz w:val="24"/>
          <w:szCs w:val="24"/>
        </w:rPr>
        <w:t>Tuition, Mandatory Fees, and Room and Board Fiscal Year Averages</w:t>
      </w:r>
    </w:p>
    <w:tbl>
      <w:tblPr>
        <w:tblW w:w="9360" w:type="dxa"/>
        <w:tblLayout w:type="fixed"/>
        <w:tblCellMar>
          <w:left w:w="14" w:type="dxa"/>
          <w:right w:w="14" w:type="dxa"/>
        </w:tblCellMar>
        <w:tblLook w:val="04A0" w:firstRow="1" w:lastRow="0" w:firstColumn="1" w:lastColumn="0" w:noHBand="0" w:noVBand="1"/>
      </w:tblPr>
      <w:tblGrid>
        <w:gridCol w:w="1836"/>
        <w:gridCol w:w="918"/>
        <w:gridCol w:w="734"/>
        <w:gridCol w:w="734"/>
        <w:gridCol w:w="734"/>
        <w:gridCol w:w="734"/>
        <w:gridCol w:w="734"/>
        <w:gridCol w:w="734"/>
        <w:gridCol w:w="734"/>
        <w:gridCol w:w="734"/>
        <w:gridCol w:w="734"/>
      </w:tblGrid>
      <w:tr w:rsidR="00A83362" w:rsidRPr="00E12C39" w14:paraId="2C45F220" w14:textId="77777777" w:rsidTr="0070537E">
        <w:trPr>
          <w:trHeight w:val="288"/>
        </w:trPr>
        <w:tc>
          <w:tcPr>
            <w:tcW w:w="1836" w:type="dxa"/>
            <w:tcBorders>
              <w:top w:val="nil"/>
              <w:left w:val="nil"/>
              <w:bottom w:val="single" w:sz="18" w:space="0" w:color="00688D"/>
              <w:right w:val="nil"/>
            </w:tcBorders>
            <w:shd w:val="clear" w:color="000000" w:fill="FFFFFF"/>
            <w:noWrap/>
            <w:vAlign w:val="bottom"/>
          </w:tcPr>
          <w:p w14:paraId="1642ABFE"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 </w:t>
            </w:r>
          </w:p>
        </w:tc>
        <w:tc>
          <w:tcPr>
            <w:tcW w:w="918" w:type="dxa"/>
            <w:tcBorders>
              <w:top w:val="nil"/>
              <w:left w:val="nil"/>
              <w:bottom w:val="single" w:sz="18" w:space="0" w:color="00688D"/>
              <w:right w:val="nil"/>
            </w:tcBorders>
            <w:shd w:val="clear" w:color="000000" w:fill="FFFFFF"/>
            <w:noWrap/>
            <w:vAlign w:val="bottom"/>
          </w:tcPr>
          <w:p w14:paraId="16CCDE42"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2023</w:t>
            </w:r>
          </w:p>
        </w:tc>
        <w:tc>
          <w:tcPr>
            <w:tcW w:w="734" w:type="dxa"/>
            <w:tcBorders>
              <w:top w:val="nil"/>
              <w:left w:val="nil"/>
              <w:bottom w:val="single" w:sz="18" w:space="0" w:color="00688D"/>
              <w:right w:val="nil"/>
            </w:tcBorders>
            <w:shd w:val="clear" w:color="auto" w:fill="auto"/>
            <w:noWrap/>
            <w:vAlign w:val="bottom"/>
          </w:tcPr>
          <w:p w14:paraId="4C77392E"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single" w:sz="18" w:space="0" w:color="00688D"/>
              <w:right w:val="nil"/>
            </w:tcBorders>
            <w:shd w:val="clear" w:color="auto" w:fill="auto"/>
            <w:noWrap/>
            <w:vAlign w:val="bottom"/>
          </w:tcPr>
          <w:p w14:paraId="14D98430"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2022</w:t>
            </w:r>
          </w:p>
        </w:tc>
        <w:tc>
          <w:tcPr>
            <w:tcW w:w="734" w:type="dxa"/>
            <w:tcBorders>
              <w:top w:val="nil"/>
              <w:left w:val="nil"/>
              <w:bottom w:val="single" w:sz="18" w:space="0" w:color="00688D"/>
              <w:right w:val="nil"/>
            </w:tcBorders>
            <w:shd w:val="clear" w:color="auto" w:fill="auto"/>
            <w:noWrap/>
            <w:vAlign w:val="bottom"/>
          </w:tcPr>
          <w:p w14:paraId="77B0DD2E"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single" w:sz="18" w:space="0" w:color="00688D"/>
              <w:right w:val="nil"/>
            </w:tcBorders>
            <w:shd w:val="clear" w:color="auto" w:fill="auto"/>
            <w:noWrap/>
            <w:vAlign w:val="bottom"/>
          </w:tcPr>
          <w:p w14:paraId="5722334F"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2021</w:t>
            </w:r>
          </w:p>
        </w:tc>
        <w:tc>
          <w:tcPr>
            <w:tcW w:w="734" w:type="dxa"/>
            <w:tcBorders>
              <w:top w:val="nil"/>
              <w:left w:val="nil"/>
              <w:bottom w:val="single" w:sz="18" w:space="0" w:color="00688D"/>
              <w:right w:val="nil"/>
            </w:tcBorders>
            <w:shd w:val="clear" w:color="auto" w:fill="auto"/>
            <w:noWrap/>
            <w:vAlign w:val="bottom"/>
          </w:tcPr>
          <w:p w14:paraId="56173271"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single" w:sz="18" w:space="0" w:color="00688D"/>
              <w:right w:val="nil"/>
            </w:tcBorders>
            <w:shd w:val="clear" w:color="auto" w:fill="auto"/>
            <w:noWrap/>
            <w:vAlign w:val="bottom"/>
          </w:tcPr>
          <w:p w14:paraId="52F70399"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2020</w:t>
            </w:r>
          </w:p>
        </w:tc>
        <w:tc>
          <w:tcPr>
            <w:tcW w:w="734" w:type="dxa"/>
            <w:tcBorders>
              <w:top w:val="nil"/>
              <w:left w:val="nil"/>
              <w:bottom w:val="single" w:sz="18" w:space="0" w:color="00688D"/>
              <w:right w:val="nil"/>
            </w:tcBorders>
            <w:shd w:val="clear" w:color="auto" w:fill="auto"/>
            <w:noWrap/>
            <w:vAlign w:val="bottom"/>
          </w:tcPr>
          <w:p w14:paraId="6951E9A8"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single" w:sz="18" w:space="0" w:color="00688D"/>
              <w:right w:val="nil"/>
            </w:tcBorders>
            <w:shd w:val="clear" w:color="auto" w:fill="auto"/>
            <w:noWrap/>
            <w:vAlign w:val="bottom"/>
          </w:tcPr>
          <w:p w14:paraId="067DD383"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2019</w:t>
            </w:r>
          </w:p>
        </w:tc>
        <w:tc>
          <w:tcPr>
            <w:tcW w:w="734" w:type="dxa"/>
            <w:tcBorders>
              <w:top w:val="nil"/>
              <w:left w:val="nil"/>
              <w:bottom w:val="single" w:sz="18" w:space="0" w:color="00688D"/>
              <w:right w:val="nil"/>
            </w:tcBorders>
            <w:shd w:val="clear" w:color="auto" w:fill="auto"/>
            <w:noWrap/>
            <w:vAlign w:val="bottom"/>
          </w:tcPr>
          <w:p w14:paraId="2427F746"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r>
      <w:tr w:rsidR="00A83362" w:rsidRPr="00E12C39" w14:paraId="6E56DAA3" w14:textId="77777777" w:rsidTr="0070537E">
        <w:trPr>
          <w:trHeight w:val="288"/>
        </w:trPr>
        <w:tc>
          <w:tcPr>
            <w:tcW w:w="1836" w:type="dxa"/>
            <w:tcBorders>
              <w:top w:val="single" w:sz="18" w:space="0" w:color="00688D"/>
              <w:left w:val="nil"/>
              <w:bottom w:val="nil"/>
              <w:right w:val="nil"/>
            </w:tcBorders>
            <w:shd w:val="clear" w:color="000000" w:fill="FFFFFF"/>
            <w:noWrap/>
            <w:vAlign w:val="bottom"/>
          </w:tcPr>
          <w:p w14:paraId="12668A39"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 </w:t>
            </w:r>
          </w:p>
        </w:tc>
        <w:tc>
          <w:tcPr>
            <w:tcW w:w="918" w:type="dxa"/>
            <w:tcBorders>
              <w:top w:val="single" w:sz="18" w:space="0" w:color="00688D"/>
              <w:left w:val="nil"/>
              <w:bottom w:val="nil"/>
              <w:right w:val="nil"/>
            </w:tcBorders>
            <w:shd w:val="clear" w:color="000000" w:fill="FFFFFF"/>
            <w:noWrap/>
            <w:vAlign w:val="bottom"/>
          </w:tcPr>
          <w:p w14:paraId="02D162F6" w14:textId="77777777" w:rsidR="00A83362" w:rsidRPr="00E12C39" w:rsidRDefault="00A83362" w:rsidP="0070537E">
            <w:pPr>
              <w:jc w:val="center"/>
              <w:rPr>
                <w:rFonts w:ascii="Calibri" w:hAnsi="Calibri" w:cs="Calibri"/>
                <w:b/>
                <w:bCs/>
                <w:color w:val="0D0D0D"/>
                <w:sz w:val="19"/>
                <w:szCs w:val="19"/>
              </w:rPr>
            </w:pPr>
            <w:r>
              <w:rPr>
                <w:rFonts w:ascii="Calibri" w:hAnsi="Calibri" w:cs="Calibri"/>
                <w:color w:val="0D0D0D"/>
                <w:sz w:val="20"/>
                <w:szCs w:val="20"/>
              </w:rPr>
              <w:t>Cost</w:t>
            </w:r>
          </w:p>
        </w:tc>
        <w:tc>
          <w:tcPr>
            <w:tcW w:w="734" w:type="dxa"/>
            <w:tcBorders>
              <w:top w:val="single" w:sz="18" w:space="0" w:color="00688D"/>
              <w:left w:val="nil"/>
              <w:bottom w:val="nil"/>
              <w:right w:val="nil"/>
            </w:tcBorders>
            <w:shd w:val="clear" w:color="auto" w:fill="auto"/>
            <w:noWrap/>
            <w:vAlign w:val="bottom"/>
          </w:tcPr>
          <w:p w14:paraId="35CE17F6"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34" w:type="dxa"/>
            <w:tcBorders>
              <w:top w:val="single" w:sz="18" w:space="0" w:color="00688D"/>
              <w:left w:val="nil"/>
              <w:bottom w:val="nil"/>
              <w:right w:val="nil"/>
            </w:tcBorders>
            <w:shd w:val="clear" w:color="auto" w:fill="auto"/>
            <w:noWrap/>
            <w:vAlign w:val="bottom"/>
          </w:tcPr>
          <w:p w14:paraId="3E7A12BC" w14:textId="77777777" w:rsidR="00A83362" w:rsidRPr="00E12C39" w:rsidRDefault="00A83362" w:rsidP="0070537E">
            <w:pPr>
              <w:jc w:val="center"/>
              <w:rPr>
                <w:rFonts w:ascii="Calibri" w:hAnsi="Calibri" w:cs="Calibri"/>
                <w:b/>
                <w:bCs/>
                <w:color w:val="0D0D0D"/>
                <w:sz w:val="19"/>
                <w:szCs w:val="19"/>
              </w:rPr>
            </w:pPr>
            <w:r>
              <w:rPr>
                <w:rFonts w:ascii="Calibri" w:hAnsi="Calibri" w:cs="Calibri"/>
                <w:color w:val="0D0D0D"/>
                <w:sz w:val="20"/>
                <w:szCs w:val="20"/>
              </w:rPr>
              <w:t>Cost</w:t>
            </w:r>
          </w:p>
        </w:tc>
        <w:tc>
          <w:tcPr>
            <w:tcW w:w="734" w:type="dxa"/>
            <w:tcBorders>
              <w:top w:val="single" w:sz="18" w:space="0" w:color="00688D"/>
              <w:left w:val="nil"/>
              <w:bottom w:val="nil"/>
              <w:right w:val="nil"/>
            </w:tcBorders>
            <w:shd w:val="clear" w:color="auto" w:fill="auto"/>
            <w:noWrap/>
            <w:vAlign w:val="bottom"/>
          </w:tcPr>
          <w:p w14:paraId="6C2D8305"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34" w:type="dxa"/>
            <w:tcBorders>
              <w:top w:val="single" w:sz="18" w:space="0" w:color="00688D"/>
              <w:left w:val="nil"/>
              <w:bottom w:val="nil"/>
              <w:right w:val="nil"/>
            </w:tcBorders>
            <w:shd w:val="clear" w:color="auto" w:fill="auto"/>
            <w:noWrap/>
            <w:vAlign w:val="bottom"/>
          </w:tcPr>
          <w:p w14:paraId="29085705"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Cost</w:t>
            </w:r>
          </w:p>
        </w:tc>
        <w:tc>
          <w:tcPr>
            <w:tcW w:w="734" w:type="dxa"/>
            <w:tcBorders>
              <w:top w:val="single" w:sz="18" w:space="0" w:color="00688D"/>
              <w:left w:val="nil"/>
              <w:bottom w:val="nil"/>
              <w:right w:val="nil"/>
            </w:tcBorders>
            <w:shd w:val="clear" w:color="auto" w:fill="auto"/>
            <w:noWrap/>
            <w:vAlign w:val="bottom"/>
          </w:tcPr>
          <w:p w14:paraId="3FFF2C90"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34" w:type="dxa"/>
            <w:tcBorders>
              <w:top w:val="single" w:sz="18" w:space="0" w:color="00688D"/>
              <w:left w:val="nil"/>
              <w:bottom w:val="nil"/>
              <w:right w:val="nil"/>
            </w:tcBorders>
            <w:shd w:val="clear" w:color="auto" w:fill="auto"/>
            <w:noWrap/>
            <w:vAlign w:val="bottom"/>
          </w:tcPr>
          <w:p w14:paraId="3B5D70AC"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Cost</w:t>
            </w:r>
          </w:p>
        </w:tc>
        <w:tc>
          <w:tcPr>
            <w:tcW w:w="734" w:type="dxa"/>
            <w:tcBorders>
              <w:top w:val="single" w:sz="18" w:space="0" w:color="00688D"/>
              <w:left w:val="nil"/>
              <w:bottom w:val="nil"/>
              <w:right w:val="nil"/>
            </w:tcBorders>
            <w:shd w:val="clear" w:color="auto" w:fill="auto"/>
            <w:noWrap/>
            <w:vAlign w:val="bottom"/>
          </w:tcPr>
          <w:p w14:paraId="0AB84098"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34" w:type="dxa"/>
            <w:tcBorders>
              <w:top w:val="single" w:sz="18" w:space="0" w:color="00688D"/>
              <w:left w:val="nil"/>
              <w:bottom w:val="nil"/>
              <w:right w:val="nil"/>
            </w:tcBorders>
            <w:shd w:val="clear" w:color="auto" w:fill="auto"/>
            <w:noWrap/>
            <w:vAlign w:val="bottom"/>
          </w:tcPr>
          <w:p w14:paraId="5992ACFB"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Cost</w:t>
            </w:r>
          </w:p>
        </w:tc>
        <w:tc>
          <w:tcPr>
            <w:tcW w:w="734" w:type="dxa"/>
            <w:tcBorders>
              <w:top w:val="single" w:sz="18" w:space="0" w:color="00688D"/>
              <w:left w:val="nil"/>
              <w:bottom w:val="nil"/>
              <w:right w:val="nil"/>
            </w:tcBorders>
            <w:shd w:val="clear" w:color="auto" w:fill="auto"/>
            <w:noWrap/>
            <w:vAlign w:val="bottom"/>
          </w:tcPr>
          <w:p w14:paraId="6B030800" w14:textId="77777777" w:rsidR="00A83362" w:rsidRPr="00E12C39" w:rsidRDefault="00A83362" w:rsidP="0070537E">
            <w:pPr>
              <w:jc w:val="center"/>
              <w:rPr>
                <w:rFonts w:ascii="Calibri" w:hAnsi="Calibri" w:cs="Calibr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r>
      <w:tr w:rsidR="00A83362" w:rsidRPr="00E12C39" w14:paraId="08DDC9C5" w14:textId="77777777" w:rsidTr="0070537E">
        <w:trPr>
          <w:trHeight w:val="288"/>
        </w:trPr>
        <w:tc>
          <w:tcPr>
            <w:tcW w:w="1836" w:type="dxa"/>
            <w:tcBorders>
              <w:top w:val="nil"/>
              <w:left w:val="nil"/>
              <w:bottom w:val="nil"/>
              <w:right w:val="nil"/>
            </w:tcBorders>
            <w:shd w:val="clear" w:color="000000" w:fill="FFFFFF"/>
            <w:noWrap/>
            <w:vAlign w:val="bottom"/>
          </w:tcPr>
          <w:p w14:paraId="150E9C20" w14:textId="77777777" w:rsidR="00A83362" w:rsidRPr="00FB47FE" w:rsidRDefault="00A83362" w:rsidP="0070537E">
            <w:pPr>
              <w:rPr>
                <w:rFonts w:ascii="Calibri" w:hAnsi="Calibri" w:cs="Calibri"/>
                <w:b/>
                <w:bCs/>
                <w:color w:val="0D0D0D"/>
                <w:sz w:val="19"/>
                <w:szCs w:val="19"/>
              </w:rPr>
            </w:pPr>
            <w:r>
              <w:rPr>
                <w:rFonts w:ascii="Calibri" w:hAnsi="Calibri" w:cs="Calibri"/>
                <w:b/>
                <w:bCs/>
                <w:color w:val="0D0D0D"/>
                <w:sz w:val="20"/>
                <w:szCs w:val="20"/>
              </w:rPr>
              <w:t>Undergraduate:</w:t>
            </w:r>
          </w:p>
        </w:tc>
        <w:tc>
          <w:tcPr>
            <w:tcW w:w="918" w:type="dxa"/>
            <w:tcBorders>
              <w:top w:val="nil"/>
              <w:left w:val="nil"/>
              <w:bottom w:val="nil"/>
              <w:right w:val="nil"/>
            </w:tcBorders>
            <w:shd w:val="clear" w:color="000000" w:fill="FFFFFF"/>
            <w:noWrap/>
            <w:vAlign w:val="bottom"/>
          </w:tcPr>
          <w:p w14:paraId="6C88234E" w14:textId="77777777" w:rsidR="00A83362" w:rsidRPr="00E12C39" w:rsidRDefault="00A83362" w:rsidP="0070537E">
            <w:pPr>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3DBF6391"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725B91CE" w14:textId="77777777" w:rsidR="00A83362" w:rsidRPr="00E12C39" w:rsidRDefault="00A83362" w:rsidP="0070537E">
            <w:pPr>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3DF58DC3"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104C4A7C"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59D225F3"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6E06D03D"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66FA2C2"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53C3A3D9"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3719E97" w14:textId="77777777" w:rsidR="00A83362" w:rsidRPr="00E12C39" w:rsidRDefault="00A83362" w:rsidP="0070537E">
            <w:pPr>
              <w:rPr>
                <w:rFonts w:ascii="Calibri" w:hAnsi="Calibri" w:cs="Calibri"/>
                <w:color w:val="0D0D0D"/>
                <w:sz w:val="19"/>
                <w:szCs w:val="19"/>
              </w:rPr>
            </w:pPr>
            <w:r>
              <w:rPr>
                <w:rFonts w:ascii="Calibri" w:hAnsi="Calibri" w:cs="Calibri"/>
                <w:b/>
                <w:bCs/>
                <w:color w:val="0D0D0D"/>
                <w:sz w:val="20"/>
                <w:szCs w:val="20"/>
              </w:rPr>
              <w:t> </w:t>
            </w:r>
          </w:p>
        </w:tc>
      </w:tr>
      <w:tr w:rsidR="00A83362" w:rsidRPr="00E12C39" w14:paraId="4DEE332D" w14:textId="77777777" w:rsidTr="0070537E">
        <w:trPr>
          <w:trHeight w:val="288"/>
        </w:trPr>
        <w:tc>
          <w:tcPr>
            <w:tcW w:w="1836" w:type="dxa"/>
            <w:tcBorders>
              <w:top w:val="nil"/>
              <w:left w:val="nil"/>
              <w:bottom w:val="nil"/>
              <w:right w:val="nil"/>
            </w:tcBorders>
            <w:shd w:val="clear" w:color="000000" w:fill="FFFFFF"/>
            <w:noWrap/>
            <w:vAlign w:val="bottom"/>
          </w:tcPr>
          <w:p w14:paraId="3F9245E9"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In-State</w:t>
            </w:r>
          </w:p>
        </w:tc>
        <w:tc>
          <w:tcPr>
            <w:tcW w:w="918" w:type="dxa"/>
            <w:tcBorders>
              <w:top w:val="nil"/>
              <w:left w:val="nil"/>
              <w:bottom w:val="nil"/>
              <w:right w:val="nil"/>
            </w:tcBorders>
            <w:shd w:val="clear" w:color="000000" w:fill="FFFFFF"/>
            <w:noWrap/>
            <w:vAlign w:val="bottom"/>
          </w:tcPr>
          <w:p w14:paraId="6990D016"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$20,183</w:t>
            </w:r>
          </w:p>
        </w:tc>
        <w:tc>
          <w:tcPr>
            <w:tcW w:w="734" w:type="dxa"/>
            <w:tcBorders>
              <w:top w:val="nil"/>
              <w:left w:val="nil"/>
              <w:bottom w:val="nil"/>
              <w:right w:val="nil"/>
            </w:tcBorders>
            <w:shd w:val="clear" w:color="000000" w:fill="BFBFBF"/>
            <w:noWrap/>
            <w:vAlign w:val="bottom"/>
          </w:tcPr>
          <w:p w14:paraId="738BD107"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3.2%</w:t>
            </w:r>
          </w:p>
        </w:tc>
        <w:tc>
          <w:tcPr>
            <w:tcW w:w="734" w:type="dxa"/>
            <w:tcBorders>
              <w:top w:val="nil"/>
              <w:left w:val="nil"/>
              <w:bottom w:val="nil"/>
              <w:right w:val="nil"/>
            </w:tcBorders>
            <w:shd w:val="clear" w:color="000000" w:fill="FFFFFF"/>
            <w:noWrap/>
            <w:vAlign w:val="bottom"/>
          </w:tcPr>
          <w:p w14:paraId="55DEEF1B"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$19,548</w:t>
            </w:r>
          </w:p>
        </w:tc>
        <w:tc>
          <w:tcPr>
            <w:tcW w:w="734" w:type="dxa"/>
            <w:tcBorders>
              <w:top w:val="nil"/>
              <w:left w:val="nil"/>
              <w:bottom w:val="nil"/>
              <w:right w:val="nil"/>
            </w:tcBorders>
            <w:shd w:val="clear" w:color="000000" w:fill="BFBFBF"/>
            <w:noWrap/>
            <w:vAlign w:val="bottom"/>
          </w:tcPr>
          <w:p w14:paraId="6487B87F"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3.6%</w:t>
            </w:r>
          </w:p>
        </w:tc>
        <w:tc>
          <w:tcPr>
            <w:tcW w:w="734" w:type="dxa"/>
            <w:tcBorders>
              <w:top w:val="nil"/>
              <w:left w:val="nil"/>
              <w:bottom w:val="nil"/>
              <w:right w:val="nil"/>
            </w:tcBorders>
            <w:shd w:val="clear" w:color="000000" w:fill="FFFFFF"/>
            <w:noWrap/>
            <w:vAlign w:val="bottom"/>
          </w:tcPr>
          <w:p w14:paraId="45BDCA3C"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$18,877</w:t>
            </w:r>
          </w:p>
        </w:tc>
        <w:tc>
          <w:tcPr>
            <w:tcW w:w="734" w:type="dxa"/>
            <w:tcBorders>
              <w:top w:val="nil"/>
              <w:left w:val="nil"/>
              <w:bottom w:val="nil"/>
              <w:right w:val="nil"/>
            </w:tcBorders>
            <w:shd w:val="clear" w:color="000000" w:fill="BFBFBF"/>
            <w:noWrap/>
            <w:vAlign w:val="bottom"/>
          </w:tcPr>
          <w:p w14:paraId="1D04416E"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3.0%</w:t>
            </w:r>
          </w:p>
        </w:tc>
        <w:tc>
          <w:tcPr>
            <w:tcW w:w="734" w:type="dxa"/>
            <w:tcBorders>
              <w:top w:val="nil"/>
              <w:left w:val="nil"/>
              <w:bottom w:val="nil"/>
              <w:right w:val="nil"/>
            </w:tcBorders>
            <w:shd w:val="clear" w:color="000000" w:fill="FFFFFF"/>
            <w:noWrap/>
            <w:vAlign w:val="bottom"/>
          </w:tcPr>
          <w:p w14:paraId="474EE670"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$18,321</w:t>
            </w:r>
          </w:p>
        </w:tc>
        <w:tc>
          <w:tcPr>
            <w:tcW w:w="734" w:type="dxa"/>
            <w:tcBorders>
              <w:top w:val="nil"/>
              <w:left w:val="nil"/>
              <w:bottom w:val="nil"/>
              <w:right w:val="nil"/>
            </w:tcBorders>
            <w:shd w:val="clear" w:color="000000" w:fill="BFBFBF"/>
            <w:noWrap/>
            <w:vAlign w:val="bottom"/>
          </w:tcPr>
          <w:p w14:paraId="38EB297C"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c>
          <w:tcPr>
            <w:tcW w:w="734" w:type="dxa"/>
            <w:tcBorders>
              <w:top w:val="nil"/>
              <w:left w:val="nil"/>
              <w:bottom w:val="nil"/>
              <w:right w:val="nil"/>
            </w:tcBorders>
            <w:shd w:val="clear" w:color="000000" w:fill="FFFFFF"/>
            <w:noWrap/>
            <w:vAlign w:val="bottom"/>
          </w:tcPr>
          <w:p w14:paraId="30A348DF"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$17,819</w:t>
            </w:r>
          </w:p>
        </w:tc>
        <w:tc>
          <w:tcPr>
            <w:tcW w:w="734" w:type="dxa"/>
            <w:tcBorders>
              <w:top w:val="nil"/>
              <w:left w:val="nil"/>
              <w:bottom w:val="nil"/>
              <w:right w:val="nil"/>
            </w:tcBorders>
            <w:shd w:val="clear" w:color="000000" w:fill="BFBFBF"/>
            <w:noWrap/>
            <w:vAlign w:val="bottom"/>
          </w:tcPr>
          <w:p w14:paraId="032F7027"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1.7%</w:t>
            </w:r>
          </w:p>
        </w:tc>
      </w:tr>
      <w:tr w:rsidR="00A83362" w:rsidRPr="00E12C39" w14:paraId="183FEB07" w14:textId="77777777" w:rsidTr="0070537E">
        <w:trPr>
          <w:trHeight w:val="288"/>
        </w:trPr>
        <w:tc>
          <w:tcPr>
            <w:tcW w:w="1836" w:type="dxa"/>
            <w:tcBorders>
              <w:top w:val="nil"/>
              <w:left w:val="nil"/>
              <w:bottom w:val="nil"/>
              <w:right w:val="nil"/>
            </w:tcBorders>
            <w:shd w:val="clear" w:color="000000" w:fill="FFFFFF"/>
            <w:noWrap/>
            <w:vAlign w:val="bottom"/>
          </w:tcPr>
          <w:p w14:paraId="462E293B"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73F08BC8"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31,395</w:t>
            </w:r>
          </w:p>
        </w:tc>
        <w:tc>
          <w:tcPr>
            <w:tcW w:w="734" w:type="dxa"/>
            <w:tcBorders>
              <w:top w:val="nil"/>
              <w:left w:val="nil"/>
              <w:bottom w:val="nil"/>
              <w:right w:val="nil"/>
            </w:tcBorders>
            <w:shd w:val="clear" w:color="000000" w:fill="BFBFBF"/>
            <w:noWrap/>
            <w:vAlign w:val="bottom"/>
          </w:tcPr>
          <w:p w14:paraId="6E2F5F34"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3.3%</w:t>
            </w:r>
          </w:p>
        </w:tc>
        <w:tc>
          <w:tcPr>
            <w:tcW w:w="734" w:type="dxa"/>
            <w:tcBorders>
              <w:top w:val="nil"/>
              <w:left w:val="nil"/>
              <w:bottom w:val="nil"/>
              <w:right w:val="nil"/>
            </w:tcBorders>
            <w:shd w:val="clear" w:color="000000" w:fill="FFFFFF"/>
            <w:noWrap/>
            <w:vAlign w:val="bottom"/>
          </w:tcPr>
          <w:p w14:paraId="2A644F4B"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30,399</w:t>
            </w:r>
          </w:p>
        </w:tc>
        <w:tc>
          <w:tcPr>
            <w:tcW w:w="734" w:type="dxa"/>
            <w:tcBorders>
              <w:top w:val="nil"/>
              <w:left w:val="nil"/>
              <w:bottom w:val="nil"/>
              <w:right w:val="nil"/>
            </w:tcBorders>
            <w:shd w:val="clear" w:color="000000" w:fill="BFBFBF"/>
            <w:noWrap/>
            <w:vAlign w:val="bottom"/>
          </w:tcPr>
          <w:p w14:paraId="6542BE65"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3.6%</w:t>
            </w:r>
          </w:p>
        </w:tc>
        <w:tc>
          <w:tcPr>
            <w:tcW w:w="734" w:type="dxa"/>
            <w:tcBorders>
              <w:top w:val="nil"/>
              <w:left w:val="nil"/>
              <w:bottom w:val="nil"/>
              <w:right w:val="nil"/>
            </w:tcBorders>
            <w:shd w:val="clear" w:color="000000" w:fill="FFFFFF"/>
            <w:noWrap/>
            <w:vAlign w:val="bottom"/>
          </w:tcPr>
          <w:p w14:paraId="4C8F13D7"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29,337</w:t>
            </w:r>
          </w:p>
        </w:tc>
        <w:tc>
          <w:tcPr>
            <w:tcW w:w="734" w:type="dxa"/>
            <w:tcBorders>
              <w:top w:val="nil"/>
              <w:left w:val="nil"/>
              <w:bottom w:val="nil"/>
              <w:right w:val="nil"/>
            </w:tcBorders>
            <w:shd w:val="clear" w:color="000000" w:fill="BFBFBF"/>
            <w:noWrap/>
            <w:vAlign w:val="bottom"/>
          </w:tcPr>
          <w:p w14:paraId="27F8EF35"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3.2%</w:t>
            </w:r>
          </w:p>
        </w:tc>
        <w:tc>
          <w:tcPr>
            <w:tcW w:w="734" w:type="dxa"/>
            <w:tcBorders>
              <w:top w:val="nil"/>
              <w:left w:val="nil"/>
              <w:bottom w:val="nil"/>
              <w:right w:val="nil"/>
            </w:tcBorders>
            <w:shd w:val="clear" w:color="000000" w:fill="FFFFFF"/>
            <w:noWrap/>
            <w:vAlign w:val="bottom"/>
          </w:tcPr>
          <w:p w14:paraId="13FD7E67"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28,425</w:t>
            </w:r>
          </w:p>
        </w:tc>
        <w:tc>
          <w:tcPr>
            <w:tcW w:w="734" w:type="dxa"/>
            <w:tcBorders>
              <w:top w:val="nil"/>
              <w:left w:val="nil"/>
              <w:bottom w:val="nil"/>
              <w:right w:val="nil"/>
            </w:tcBorders>
            <w:shd w:val="clear" w:color="000000" w:fill="BFBFBF"/>
            <w:noWrap/>
            <w:vAlign w:val="bottom"/>
          </w:tcPr>
          <w:p w14:paraId="7EE6E71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2.2%</w:t>
            </w:r>
          </w:p>
        </w:tc>
        <w:tc>
          <w:tcPr>
            <w:tcW w:w="734" w:type="dxa"/>
            <w:tcBorders>
              <w:top w:val="nil"/>
              <w:left w:val="nil"/>
              <w:bottom w:val="nil"/>
              <w:right w:val="nil"/>
            </w:tcBorders>
            <w:shd w:val="clear" w:color="000000" w:fill="FFFFFF"/>
            <w:noWrap/>
            <w:vAlign w:val="bottom"/>
          </w:tcPr>
          <w:p w14:paraId="7B3C6DF7"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27,809</w:t>
            </w:r>
          </w:p>
        </w:tc>
        <w:tc>
          <w:tcPr>
            <w:tcW w:w="734" w:type="dxa"/>
            <w:tcBorders>
              <w:top w:val="nil"/>
              <w:left w:val="nil"/>
              <w:bottom w:val="nil"/>
              <w:right w:val="nil"/>
            </w:tcBorders>
            <w:shd w:val="clear" w:color="000000" w:fill="BFBFBF"/>
            <w:noWrap/>
            <w:vAlign w:val="bottom"/>
          </w:tcPr>
          <w:p w14:paraId="58538C7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0.4%</w:t>
            </w:r>
          </w:p>
        </w:tc>
      </w:tr>
      <w:tr w:rsidR="00A83362" w:rsidRPr="00E12C39" w14:paraId="4CB6E8F9" w14:textId="77777777" w:rsidTr="0070537E">
        <w:trPr>
          <w:trHeight w:val="288"/>
        </w:trPr>
        <w:tc>
          <w:tcPr>
            <w:tcW w:w="1836" w:type="dxa"/>
            <w:tcBorders>
              <w:top w:val="nil"/>
              <w:left w:val="nil"/>
              <w:bottom w:val="nil"/>
              <w:right w:val="nil"/>
            </w:tcBorders>
            <w:shd w:val="clear" w:color="000000" w:fill="FFFFFF"/>
            <w:noWrap/>
            <w:vAlign w:val="bottom"/>
          </w:tcPr>
          <w:p w14:paraId="67281773"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 xml:space="preserve">NEBHE </w:t>
            </w:r>
          </w:p>
        </w:tc>
        <w:tc>
          <w:tcPr>
            <w:tcW w:w="918" w:type="dxa"/>
            <w:tcBorders>
              <w:top w:val="nil"/>
              <w:left w:val="nil"/>
              <w:bottom w:val="nil"/>
              <w:right w:val="nil"/>
            </w:tcBorders>
            <w:shd w:val="clear" w:color="000000" w:fill="FFFFFF"/>
            <w:noWrap/>
            <w:vAlign w:val="bottom"/>
          </w:tcPr>
          <w:p w14:paraId="0818818E"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26,175</w:t>
            </w:r>
          </w:p>
        </w:tc>
        <w:tc>
          <w:tcPr>
            <w:tcW w:w="734" w:type="dxa"/>
            <w:tcBorders>
              <w:top w:val="nil"/>
              <w:left w:val="nil"/>
              <w:bottom w:val="nil"/>
              <w:right w:val="nil"/>
            </w:tcBorders>
            <w:shd w:val="clear" w:color="000000" w:fill="BFBFBF"/>
            <w:noWrap/>
            <w:vAlign w:val="bottom"/>
          </w:tcPr>
          <w:p w14:paraId="2F2ED1D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4.2%</w:t>
            </w:r>
          </w:p>
        </w:tc>
        <w:tc>
          <w:tcPr>
            <w:tcW w:w="734" w:type="dxa"/>
            <w:tcBorders>
              <w:top w:val="nil"/>
              <w:left w:val="nil"/>
              <w:bottom w:val="nil"/>
              <w:right w:val="nil"/>
            </w:tcBorders>
            <w:shd w:val="clear" w:color="000000" w:fill="FFFFFF"/>
            <w:noWrap/>
            <w:vAlign w:val="bottom"/>
          </w:tcPr>
          <w:p w14:paraId="32351A38"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25,109</w:t>
            </w:r>
          </w:p>
        </w:tc>
        <w:tc>
          <w:tcPr>
            <w:tcW w:w="734" w:type="dxa"/>
            <w:tcBorders>
              <w:top w:val="nil"/>
              <w:left w:val="nil"/>
              <w:bottom w:val="nil"/>
              <w:right w:val="nil"/>
            </w:tcBorders>
            <w:shd w:val="clear" w:color="000000" w:fill="BFBFBF"/>
            <w:noWrap/>
            <w:vAlign w:val="bottom"/>
          </w:tcPr>
          <w:p w14:paraId="3A3BAC8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4.7%</w:t>
            </w:r>
          </w:p>
        </w:tc>
        <w:tc>
          <w:tcPr>
            <w:tcW w:w="734" w:type="dxa"/>
            <w:tcBorders>
              <w:top w:val="nil"/>
              <w:left w:val="nil"/>
              <w:bottom w:val="nil"/>
              <w:right w:val="nil"/>
            </w:tcBorders>
            <w:shd w:val="clear" w:color="000000" w:fill="FFFFFF"/>
            <w:noWrap/>
            <w:vAlign w:val="bottom"/>
          </w:tcPr>
          <w:p w14:paraId="1E55F316"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23,979</w:t>
            </w:r>
          </w:p>
        </w:tc>
        <w:tc>
          <w:tcPr>
            <w:tcW w:w="734" w:type="dxa"/>
            <w:tcBorders>
              <w:top w:val="nil"/>
              <w:left w:val="nil"/>
              <w:bottom w:val="nil"/>
              <w:right w:val="nil"/>
            </w:tcBorders>
            <w:shd w:val="clear" w:color="000000" w:fill="BFBFBF"/>
            <w:noWrap/>
            <w:vAlign w:val="bottom"/>
          </w:tcPr>
          <w:p w14:paraId="625B5022"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3.2%</w:t>
            </w:r>
          </w:p>
        </w:tc>
        <w:tc>
          <w:tcPr>
            <w:tcW w:w="734" w:type="dxa"/>
            <w:tcBorders>
              <w:top w:val="nil"/>
              <w:left w:val="nil"/>
              <w:bottom w:val="nil"/>
              <w:right w:val="nil"/>
            </w:tcBorders>
            <w:shd w:val="clear" w:color="000000" w:fill="FFFFFF"/>
            <w:noWrap/>
            <w:vAlign w:val="bottom"/>
          </w:tcPr>
          <w:p w14:paraId="641E0A95"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23,229</w:t>
            </w:r>
          </w:p>
        </w:tc>
        <w:tc>
          <w:tcPr>
            <w:tcW w:w="734" w:type="dxa"/>
            <w:tcBorders>
              <w:top w:val="nil"/>
              <w:left w:val="nil"/>
              <w:bottom w:val="nil"/>
              <w:right w:val="nil"/>
            </w:tcBorders>
            <w:shd w:val="clear" w:color="000000" w:fill="BFBFBF"/>
            <w:noWrap/>
            <w:vAlign w:val="bottom"/>
          </w:tcPr>
          <w:p w14:paraId="6F88D4FC"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c>
          <w:tcPr>
            <w:tcW w:w="734" w:type="dxa"/>
            <w:tcBorders>
              <w:top w:val="nil"/>
              <w:left w:val="nil"/>
              <w:bottom w:val="nil"/>
              <w:right w:val="nil"/>
            </w:tcBorders>
            <w:shd w:val="clear" w:color="000000" w:fill="FFFFFF"/>
            <w:noWrap/>
            <w:vAlign w:val="bottom"/>
          </w:tcPr>
          <w:p w14:paraId="6F5FC61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22,593</w:t>
            </w:r>
          </w:p>
        </w:tc>
        <w:tc>
          <w:tcPr>
            <w:tcW w:w="734" w:type="dxa"/>
            <w:tcBorders>
              <w:top w:val="nil"/>
              <w:left w:val="nil"/>
              <w:bottom w:val="nil"/>
              <w:right w:val="nil"/>
            </w:tcBorders>
            <w:shd w:val="clear" w:color="000000" w:fill="BFBFBF"/>
            <w:noWrap/>
            <w:vAlign w:val="bottom"/>
          </w:tcPr>
          <w:p w14:paraId="483FA557"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2.6%</w:t>
            </w:r>
          </w:p>
        </w:tc>
      </w:tr>
      <w:tr w:rsidR="00A83362" w:rsidRPr="00E12C39" w14:paraId="4BAF46BD" w14:textId="77777777" w:rsidTr="0070537E">
        <w:trPr>
          <w:trHeight w:val="288"/>
        </w:trPr>
        <w:tc>
          <w:tcPr>
            <w:tcW w:w="1836" w:type="dxa"/>
            <w:tcBorders>
              <w:top w:val="nil"/>
              <w:left w:val="nil"/>
              <w:bottom w:val="nil"/>
              <w:right w:val="nil"/>
            </w:tcBorders>
            <w:shd w:val="clear" w:color="000000" w:fill="FFFFFF"/>
            <w:noWrap/>
          </w:tcPr>
          <w:p w14:paraId="201487A7"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Canadian</w:t>
            </w:r>
          </w:p>
        </w:tc>
        <w:tc>
          <w:tcPr>
            <w:tcW w:w="918" w:type="dxa"/>
            <w:tcBorders>
              <w:top w:val="nil"/>
              <w:left w:val="nil"/>
              <w:bottom w:val="nil"/>
              <w:right w:val="nil"/>
            </w:tcBorders>
            <w:shd w:val="clear" w:color="000000" w:fill="FFFFFF"/>
            <w:noWrap/>
          </w:tcPr>
          <w:p w14:paraId="4EA4DA6C"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20,183</w:t>
            </w:r>
          </w:p>
        </w:tc>
        <w:tc>
          <w:tcPr>
            <w:tcW w:w="734" w:type="dxa"/>
            <w:tcBorders>
              <w:top w:val="nil"/>
              <w:left w:val="nil"/>
              <w:bottom w:val="nil"/>
              <w:right w:val="nil"/>
            </w:tcBorders>
            <w:shd w:val="clear" w:color="000000" w:fill="BFBFBF"/>
            <w:noWrap/>
            <w:vAlign w:val="bottom"/>
          </w:tcPr>
          <w:p w14:paraId="255C496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3.2%</w:t>
            </w:r>
          </w:p>
        </w:tc>
        <w:tc>
          <w:tcPr>
            <w:tcW w:w="734" w:type="dxa"/>
            <w:tcBorders>
              <w:top w:val="nil"/>
              <w:left w:val="nil"/>
              <w:bottom w:val="nil"/>
              <w:right w:val="nil"/>
            </w:tcBorders>
            <w:shd w:val="clear" w:color="000000" w:fill="FFFFFF"/>
            <w:noWrap/>
          </w:tcPr>
          <w:p w14:paraId="607820DF"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19,548</w:t>
            </w:r>
          </w:p>
        </w:tc>
        <w:tc>
          <w:tcPr>
            <w:tcW w:w="734" w:type="dxa"/>
            <w:tcBorders>
              <w:top w:val="nil"/>
              <w:left w:val="nil"/>
              <w:bottom w:val="nil"/>
              <w:right w:val="nil"/>
            </w:tcBorders>
            <w:shd w:val="clear" w:color="000000" w:fill="BFBFBF"/>
            <w:noWrap/>
            <w:vAlign w:val="bottom"/>
          </w:tcPr>
          <w:p w14:paraId="7B91F6E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3.6%</w:t>
            </w:r>
          </w:p>
        </w:tc>
        <w:tc>
          <w:tcPr>
            <w:tcW w:w="734" w:type="dxa"/>
            <w:tcBorders>
              <w:top w:val="nil"/>
              <w:left w:val="nil"/>
              <w:bottom w:val="nil"/>
              <w:right w:val="nil"/>
            </w:tcBorders>
            <w:shd w:val="clear" w:color="000000" w:fill="FFFFFF"/>
            <w:noWrap/>
          </w:tcPr>
          <w:p w14:paraId="29BA11B4"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18,877</w:t>
            </w:r>
          </w:p>
        </w:tc>
        <w:tc>
          <w:tcPr>
            <w:tcW w:w="734" w:type="dxa"/>
            <w:tcBorders>
              <w:top w:val="nil"/>
              <w:left w:val="nil"/>
              <w:bottom w:val="nil"/>
              <w:right w:val="nil"/>
            </w:tcBorders>
            <w:shd w:val="clear" w:color="000000" w:fill="BFBFBF"/>
            <w:noWrap/>
            <w:vAlign w:val="bottom"/>
          </w:tcPr>
          <w:p w14:paraId="6245DDC3"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-18.7%</w:t>
            </w:r>
          </w:p>
        </w:tc>
        <w:tc>
          <w:tcPr>
            <w:tcW w:w="734" w:type="dxa"/>
            <w:tcBorders>
              <w:top w:val="nil"/>
              <w:left w:val="nil"/>
              <w:bottom w:val="nil"/>
              <w:right w:val="nil"/>
            </w:tcBorders>
            <w:shd w:val="clear" w:color="000000" w:fill="FFFFFF"/>
            <w:noWrap/>
          </w:tcPr>
          <w:p w14:paraId="2D596499"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23,229</w:t>
            </w:r>
          </w:p>
        </w:tc>
        <w:tc>
          <w:tcPr>
            <w:tcW w:w="734" w:type="dxa"/>
            <w:tcBorders>
              <w:top w:val="nil"/>
              <w:left w:val="nil"/>
              <w:bottom w:val="nil"/>
              <w:right w:val="nil"/>
            </w:tcBorders>
            <w:shd w:val="clear" w:color="000000" w:fill="BFBFBF"/>
            <w:noWrap/>
            <w:vAlign w:val="bottom"/>
          </w:tcPr>
          <w:p w14:paraId="5975047E"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c>
          <w:tcPr>
            <w:tcW w:w="734" w:type="dxa"/>
            <w:tcBorders>
              <w:top w:val="nil"/>
              <w:left w:val="nil"/>
              <w:bottom w:val="nil"/>
              <w:right w:val="nil"/>
            </w:tcBorders>
            <w:shd w:val="clear" w:color="000000" w:fill="FFFFFF"/>
            <w:noWrap/>
          </w:tcPr>
          <w:p w14:paraId="793A377A"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22,593</w:t>
            </w:r>
          </w:p>
        </w:tc>
        <w:tc>
          <w:tcPr>
            <w:tcW w:w="734" w:type="dxa"/>
            <w:tcBorders>
              <w:top w:val="nil"/>
              <w:left w:val="nil"/>
              <w:bottom w:val="nil"/>
              <w:right w:val="nil"/>
            </w:tcBorders>
            <w:shd w:val="clear" w:color="000000" w:fill="BFBFBF"/>
            <w:noWrap/>
            <w:vAlign w:val="bottom"/>
          </w:tcPr>
          <w:p w14:paraId="496F3E21"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2.5%</w:t>
            </w:r>
          </w:p>
        </w:tc>
      </w:tr>
      <w:tr w:rsidR="00A83362" w:rsidRPr="00E12C39" w14:paraId="0DC1AB17" w14:textId="77777777" w:rsidTr="0070537E">
        <w:trPr>
          <w:trHeight w:val="288"/>
        </w:trPr>
        <w:tc>
          <w:tcPr>
            <w:tcW w:w="1836" w:type="dxa"/>
            <w:tcBorders>
              <w:top w:val="nil"/>
              <w:left w:val="nil"/>
              <w:bottom w:val="nil"/>
              <w:right w:val="nil"/>
            </w:tcBorders>
            <w:shd w:val="clear" w:color="000000" w:fill="FFFFFF"/>
            <w:noWrap/>
            <w:vAlign w:val="bottom"/>
          </w:tcPr>
          <w:p w14:paraId="1E3996D5" w14:textId="77777777" w:rsidR="00A83362" w:rsidRPr="00FB47FE" w:rsidRDefault="00A83362" w:rsidP="0070537E">
            <w:pPr>
              <w:rPr>
                <w:rFonts w:ascii="Calibri" w:hAnsi="Calibri" w:cs="Calibri"/>
                <w:b/>
                <w:bCs/>
                <w:color w:val="0D0D0D"/>
                <w:sz w:val="19"/>
                <w:szCs w:val="19"/>
              </w:rPr>
            </w:pPr>
            <w:r>
              <w:rPr>
                <w:rFonts w:ascii="Calibri" w:hAnsi="Calibri" w:cs="Calibri"/>
                <w:b/>
                <w:bCs/>
                <w:color w:val="0D0D0D"/>
                <w:sz w:val="20"/>
                <w:szCs w:val="20"/>
              </w:rPr>
              <w:t>Graduate:</w:t>
            </w:r>
          </w:p>
        </w:tc>
        <w:tc>
          <w:tcPr>
            <w:tcW w:w="918" w:type="dxa"/>
            <w:tcBorders>
              <w:top w:val="nil"/>
              <w:left w:val="nil"/>
              <w:bottom w:val="nil"/>
              <w:right w:val="nil"/>
            </w:tcBorders>
            <w:shd w:val="clear" w:color="000000" w:fill="FFFFFF"/>
            <w:noWrap/>
            <w:vAlign w:val="bottom"/>
          </w:tcPr>
          <w:p w14:paraId="225C1883"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422516BB"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23E5E62B"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45BBB81E"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4D932F17"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282572E"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7D5740AC"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1758F2D5"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4A68A20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B1CDFC7"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r>
      <w:tr w:rsidR="00A83362" w:rsidRPr="00E12C39" w14:paraId="1B117DC8" w14:textId="77777777" w:rsidTr="0070537E">
        <w:trPr>
          <w:trHeight w:val="288"/>
        </w:trPr>
        <w:tc>
          <w:tcPr>
            <w:tcW w:w="1836" w:type="dxa"/>
            <w:tcBorders>
              <w:top w:val="nil"/>
              <w:left w:val="nil"/>
              <w:bottom w:val="nil"/>
              <w:right w:val="nil"/>
            </w:tcBorders>
            <w:shd w:val="clear" w:color="000000" w:fill="FFFFFF"/>
            <w:noWrap/>
            <w:vAlign w:val="bottom"/>
          </w:tcPr>
          <w:p w14:paraId="59CD4401"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In-State</w:t>
            </w:r>
          </w:p>
        </w:tc>
        <w:tc>
          <w:tcPr>
            <w:tcW w:w="918" w:type="dxa"/>
            <w:tcBorders>
              <w:top w:val="nil"/>
              <w:left w:val="nil"/>
              <w:bottom w:val="nil"/>
              <w:right w:val="nil"/>
            </w:tcBorders>
            <w:shd w:val="clear" w:color="000000" w:fill="FFFFFF"/>
            <w:noWrap/>
            <w:vAlign w:val="bottom"/>
          </w:tcPr>
          <w:p w14:paraId="32B6D279"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$20,095</w:t>
            </w:r>
          </w:p>
        </w:tc>
        <w:tc>
          <w:tcPr>
            <w:tcW w:w="734" w:type="dxa"/>
            <w:tcBorders>
              <w:top w:val="nil"/>
              <w:left w:val="nil"/>
              <w:bottom w:val="nil"/>
              <w:right w:val="nil"/>
            </w:tcBorders>
            <w:shd w:val="clear" w:color="000000" w:fill="BFBFBF"/>
            <w:noWrap/>
            <w:vAlign w:val="bottom"/>
          </w:tcPr>
          <w:p w14:paraId="2AB54C51"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2.9%</w:t>
            </w:r>
          </w:p>
        </w:tc>
        <w:tc>
          <w:tcPr>
            <w:tcW w:w="734" w:type="dxa"/>
            <w:tcBorders>
              <w:top w:val="nil"/>
              <w:left w:val="nil"/>
              <w:bottom w:val="nil"/>
              <w:right w:val="nil"/>
            </w:tcBorders>
            <w:shd w:val="clear" w:color="000000" w:fill="FFFFFF"/>
            <w:noWrap/>
            <w:vAlign w:val="bottom"/>
          </w:tcPr>
          <w:p w14:paraId="083D8989"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$19,524</w:t>
            </w:r>
          </w:p>
        </w:tc>
        <w:tc>
          <w:tcPr>
            <w:tcW w:w="734" w:type="dxa"/>
            <w:tcBorders>
              <w:top w:val="nil"/>
              <w:left w:val="nil"/>
              <w:bottom w:val="nil"/>
              <w:right w:val="nil"/>
            </w:tcBorders>
            <w:shd w:val="clear" w:color="000000" w:fill="BFBFBF"/>
            <w:noWrap/>
            <w:vAlign w:val="bottom"/>
          </w:tcPr>
          <w:p w14:paraId="3BD1F28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4.5%</w:t>
            </w:r>
          </w:p>
        </w:tc>
        <w:tc>
          <w:tcPr>
            <w:tcW w:w="734" w:type="dxa"/>
            <w:tcBorders>
              <w:top w:val="nil"/>
              <w:left w:val="nil"/>
              <w:bottom w:val="nil"/>
              <w:right w:val="nil"/>
            </w:tcBorders>
            <w:shd w:val="clear" w:color="000000" w:fill="FFFFFF"/>
            <w:noWrap/>
            <w:vAlign w:val="bottom"/>
          </w:tcPr>
          <w:p w14:paraId="00523A3B"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$18,683</w:t>
            </w:r>
          </w:p>
        </w:tc>
        <w:tc>
          <w:tcPr>
            <w:tcW w:w="734" w:type="dxa"/>
            <w:tcBorders>
              <w:top w:val="nil"/>
              <w:left w:val="nil"/>
              <w:bottom w:val="nil"/>
              <w:right w:val="nil"/>
            </w:tcBorders>
            <w:shd w:val="clear" w:color="000000" w:fill="BFBFBF"/>
            <w:noWrap/>
            <w:vAlign w:val="bottom"/>
          </w:tcPr>
          <w:p w14:paraId="6D908F58"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2.4%</w:t>
            </w:r>
          </w:p>
        </w:tc>
        <w:tc>
          <w:tcPr>
            <w:tcW w:w="734" w:type="dxa"/>
            <w:tcBorders>
              <w:top w:val="nil"/>
              <w:left w:val="nil"/>
              <w:bottom w:val="nil"/>
              <w:right w:val="nil"/>
            </w:tcBorders>
            <w:shd w:val="clear" w:color="000000" w:fill="FFFFFF"/>
            <w:noWrap/>
            <w:vAlign w:val="bottom"/>
          </w:tcPr>
          <w:p w14:paraId="5DD81FB9"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$18,238</w:t>
            </w:r>
          </w:p>
        </w:tc>
        <w:tc>
          <w:tcPr>
            <w:tcW w:w="734" w:type="dxa"/>
            <w:tcBorders>
              <w:top w:val="nil"/>
              <w:left w:val="nil"/>
              <w:bottom w:val="nil"/>
              <w:right w:val="nil"/>
            </w:tcBorders>
            <w:shd w:val="clear" w:color="000000" w:fill="BFBFBF"/>
            <w:noWrap/>
            <w:vAlign w:val="bottom"/>
          </w:tcPr>
          <w:p w14:paraId="4745F511"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0.9%</w:t>
            </w:r>
          </w:p>
        </w:tc>
        <w:tc>
          <w:tcPr>
            <w:tcW w:w="734" w:type="dxa"/>
            <w:tcBorders>
              <w:top w:val="nil"/>
              <w:left w:val="nil"/>
              <w:bottom w:val="nil"/>
              <w:right w:val="nil"/>
            </w:tcBorders>
            <w:shd w:val="clear" w:color="000000" w:fill="FFFFFF"/>
            <w:noWrap/>
            <w:vAlign w:val="bottom"/>
          </w:tcPr>
          <w:p w14:paraId="61D7667D"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$18,081</w:t>
            </w:r>
          </w:p>
        </w:tc>
        <w:tc>
          <w:tcPr>
            <w:tcW w:w="734" w:type="dxa"/>
            <w:tcBorders>
              <w:top w:val="nil"/>
              <w:left w:val="nil"/>
              <w:bottom w:val="nil"/>
              <w:right w:val="nil"/>
            </w:tcBorders>
            <w:shd w:val="clear" w:color="000000" w:fill="BFBFBF"/>
            <w:noWrap/>
            <w:vAlign w:val="bottom"/>
          </w:tcPr>
          <w:p w14:paraId="1F83B70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3.3%</w:t>
            </w:r>
          </w:p>
        </w:tc>
      </w:tr>
      <w:tr w:rsidR="00A83362" w:rsidRPr="00E12C39" w14:paraId="1B69AFD5" w14:textId="77777777" w:rsidTr="0070537E">
        <w:trPr>
          <w:trHeight w:val="288"/>
        </w:trPr>
        <w:tc>
          <w:tcPr>
            <w:tcW w:w="1836" w:type="dxa"/>
            <w:tcBorders>
              <w:top w:val="nil"/>
              <w:left w:val="nil"/>
              <w:bottom w:val="nil"/>
              <w:right w:val="nil"/>
            </w:tcBorders>
            <w:shd w:val="clear" w:color="000000" w:fill="FFFFFF"/>
            <w:noWrap/>
            <w:vAlign w:val="bottom"/>
          </w:tcPr>
          <w:p w14:paraId="09132D43"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3FBC2161"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29,266</w:t>
            </w:r>
          </w:p>
        </w:tc>
        <w:tc>
          <w:tcPr>
            <w:tcW w:w="734" w:type="dxa"/>
            <w:tcBorders>
              <w:top w:val="nil"/>
              <w:left w:val="nil"/>
              <w:bottom w:val="nil"/>
              <w:right w:val="nil"/>
            </w:tcBorders>
            <w:shd w:val="clear" w:color="000000" w:fill="BFBFBF"/>
            <w:noWrap/>
            <w:vAlign w:val="bottom"/>
          </w:tcPr>
          <w:p w14:paraId="2F596F5D"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c>
          <w:tcPr>
            <w:tcW w:w="734" w:type="dxa"/>
            <w:tcBorders>
              <w:top w:val="nil"/>
              <w:left w:val="nil"/>
              <w:bottom w:val="nil"/>
              <w:right w:val="nil"/>
            </w:tcBorders>
            <w:shd w:val="clear" w:color="000000" w:fill="FFFFFF"/>
            <w:noWrap/>
            <w:vAlign w:val="bottom"/>
          </w:tcPr>
          <w:p w14:paraId="1512168F"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28,470</w:t>
            </w:r>
          </w:p>
        </w:tc>
        <w:tc>
          <w:tcPr>
            <w:tcW w:w="734" w:type="dxa"/>
            <w:tcBorders>
              <w:top w:val="nil"/>
              <w:left w:val="nil"/>
              <w:bottom w:val="nil"/>
              <w:right w:val="nil"/>
            </w:tcBorders>
            <w:shd w:val="clear" w:color="000000" w:fill="BFBFBF"/>
            <w:noWrap/>
            <w:vAlign w:val="bottom"/>
          </w:tcPr>
          <w:p w14:paraId="71F82245"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4.5%</w:t>
            </w:r>
          </w:p>
        </w:tc>
        <w:tc>
          <w:tcPr>
            <w:tcW w:w="734" w:type="dxa"/>
            <w:tcBorders>
              <w:top w:val="nil"/>
              <w:left w:val="nil"/>
              <w:bottom w:val="nil"/>
              <w:right w:val="nil"/>
            </w:tcBorders>
            <w:shd w:val="clear" w:color="000000" w:fill="FFFFFF"/>
            <w:noWrap/>
            <w:vAlign w:val="bottom"/>
          </w:tcPr>
          <w:p w14:paraId="5747A55B"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27,251</w:t>
            </w:r>
          </w:p>
        </w:tc>
        <w:tc>
          <w:tcPr>
            <w:tcW w:w="734" w:type="dxa"/>
            <w:tcBorders>
              <w:top w:val="nil"/>
              <w:left w:val="nil"/>
              <w:bottom w:val="nil"/>
              <w:right w:val="nil"/>
            </w:tcBorders>
            <w:shd w:val="clear" w:color="000000" w:fill="BFBFBF"/>
            <w:noWrap/>
            <w:vAlign w:val="bottom"/>
          </w:tcPr>
          <w:p w14:paraId="729F6A4C"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-8.9%</w:t>
            </w:r>
          </w:p>
        </w:tc>
        <w:tc>
          <w:tcPr>
            <w:tcW w:w="734" w:type="dxa"/>
            <w:tcBorders>
              <w:top w:val="nil"/>
              <w:left w:val="nil"/>
              <w:bottom w:val="nil"/>
              <w:right w:val="nil"/>
            </w:tcBorders>
            <w:shd w:val="clear" w:color="000000" w:fill="FFFFFF"/>
            <w:noWrap/>
            <w:vAlign w:val="bottom"/>
          </w:tcPr>
          <w:p w14:paraId="68BDE86F"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29,902</w:t>
            </w:r>
          </w:p>
        </w:tc>
        <w:tc>
          <w:tcPr>
            <w:tcW w:w="734" w:type="dxa"/>
            <w:tcBorders>
              <w:top w:val="nil"/>
              <w:left w:val="nil"/>
              <w:bottom w:val="nil"/>
              <w:right w:val="nil"/>
            </w:tcBorders>
            <w:shd w:val="clear" w:color="000000" w:fill="BFBFBF"/>
            <w:noWrap/>
            <w:vAlign w:val="bottom"/>
          </w:tcPr>
          <w:p w14:paraId="588AC9DB"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2.0%</w:t>
            </w:r>
          </w:p>
        </w:tc>
        <w:tc>
          <w:tcPr>
            <w:tcW w:w="734" w:type="dxa"/>
            <w:tcBorders>
              <w:top w:val="nil"/>
              <w:left w:val="nil"/>
              <w:bottom w:val="nil"/>
              <w:right w:val="nil"/>
            </w:tcBorders>
            <w:shd w:val="clear" w:color="000000" w:fill="FFFFFF"/>
            <w:noWrap/>
            <w:vAlign w:val="bottom"/>
          </w:tcPr>
          <w:p w14:paraId="5F6EC71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29,313</w:t>
            </w:r>
          </w:p>
        </w:tc>
        <w:tc>
          <w:tcPr>
            <w:tcW w:w="734" w:type="dxa"/>
            <w:tcBorders>
              <w:top w:val="nil"/>
              <w:left w:val="nil"/>
              <w:bottom w:val="nil"/>
              <w:right w:val="nil"/>
            </w:tcBorders>
            <w:shd w:val="clear" w:color="000000" w:fill="BFBFBF"/>
            <w:noWrap/>
            <w:vAlign w:val="bottom"/>
          </w:tcPr>
          <w:p w14:paraId="37D9038B"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3.1%</w:t>
            </w:r>
          </w:p>
        </w:tc>
      </w:tr>
      <w:tr w:rsidR="00A83362" w:rsidRPr="00E12C39" w14:paraId="4443539B" w14:textId="77777777" w:rsidTr="0070537E">
        <w:trPr>
          <w:trHeight w:val="288"/>
        </w:trPr>
        <w:tc>
          <w:tcPr>
            <w:tcW w:w="1836" w:type="dxa"/>
            <w:tcBorders>
              <w:top w:val="nil"/>
              <w:left w:val="nil"/>
              <w:bottom w:val="nil"/>
              <w:right w:val="nil"/>
            </w:tcBorders>
            <w:shd w:val="clear" w:color="000000" w:fill="FFFFFF"/>
            <w:noWrap/>
            <w:vAlign w:val="bottom"/>
          </w:tcPr>
          <w:p w14:paraId="408B4B08"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NEBHE</w:t>
            </w:r>
          </w:p>
        </w:tc>
        <w:tc>
          <w:tcPr>
            <w:tcW w:w="918" w:type="dxa"/>
            <w:tcBorders>
              <w:top w:val="nil"/>
              <w:left w:val="nil"/>
              <w:bottom w:val="nil"/>
              <w:right w:val="nil"/>
            </w:tcBorders>
            <w:shd w:val="clear" w:color="000000" w:fill="FFFFFF"/>
            <w:noWrap/>
            <w:vAlign w:val="bottom"/>
          </w:tcPr>
          <w:p w14:paraId="3ACA44C7"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26,458</w:t>
            </w:r>
          </w:p>
        </w:tc>
        <w:tc>
          <w:tcPr>
            <w:tcW w:w="734" w:type="dxa"/>
            <w:tcBorders>
              <w:top w:val="nil"/>
              <w:left w:val="nil"/>
              <w:bottom w:val="nil"/>
              <w:right w:val="nil"/>
            </w:tcBorders>
            <w:shd w:val="clear" w:color="000000" w:fill="BFBFBF"/>
            <w:noWrap/>
            <w:vAlign w:val="bottom"/>
          </w:tcPr>
          <w:p w14:paraId="7CBD5C15"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3.3%</w:t>
            </w:r>
          </w:p>
        </w:tc>
        <w:tc>
          <w:tcPr>
            <w:tcW w:w="734" w:type="dxa"/>
            <w:tcBorders>
              <w:top w:val="nil"/>
              <w:left w:val="nil"/>
              <w:bottom w:val="nil"/>
              <w:right w:val="nil"/>
            </w:tcBorders>
            <w:shd w:val="clear" w:color="000000" w:fill="FFFFFF"/>
            <w:noWrap/>
            <w:vAlign w:val="bottom"/>
          </w:tcPr>
          <w:p w14:paraId="07829103"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25,604</w:t>
            </w:r>
          </w:p>
        </w:tc>
        <w:tc>
          <w:tcPr>
            <w:tcW w:w="734" w:type="dxa"/>
            <w:tcBorders>
              <w:top w:val="nil"/>
              <w:left w:val="nil"/>
              <w:bottom w:val="nil"/>
              <w:right w:val="nil"/>
            </w:tcBorders>
            <w:shd w:val="clear" w:color="000000" w:fill="BFBFBF"/>
            <w:noWrap/>
            <w:vAlign w:val="bottom"/>
          </w:tcPr>
          <w:p w14:paraId="3701CB7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6.3%</w:t>
            </w:r>
          </w:p>
        </w:tc>
        <w:tc>
          <w:tcPr>
            <w:tcW w:w="734" w:type="dxa"/>
            <w:tcBorders>
              <w:top w:val="nil"/>
              <w:left w:val="nil"/>
              <w:bottom w:val="nil"/>
              <w:right w:val="nil"/>
            </w:tcBorders>
            <w:shd w:val="clear" w:color="000000" w:fill="FFFFFF"/>
            <w:noWrap/>
            <w:vAlign w:val="bottom"/>
          </w:tcPr>
          <w:p w14:paraId="5AE7C150"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24,097</w:t>
            </w:r>
          </w:p>
        </w:tc>
        <w:tc>
          <w:tcPr>
            <w:tcW w:w="734" w:type="dxa"/>
            <w:tcBorders>
              <w:top w:val="nil"/>
              <w:left w:val="nil"/>
              <w:bottom w:val="nil"/>
              <w:right w:val="nil"/>
            </w:tcBorders>
            <w:shd w:val="clear" w:color="000000" w:fill="BFBFBF"/>
            <w:noWrap/>
            <w:vAlign w:val="bottom"/>
          </w:tcPr>
          <w:p w14:paraId="07F00A89"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2.2%</w:t>
            </w:r>
          </w:p>
        </w:tc>
        <w:tc>
          <w:tcPr>
            <w:tcW w:w="734" w:type="dxa"/>
            <w:tcBorders>
              <w:top w:val="nil"/>
              <w:left w:val="nil"/>
              <w:bottom w:val="nil"/>
              <w:right w:val="nil"/>
            </w:tcBorders>
            <w:shd w:val="clear" w:color="000000" w:fill="FFFFFF"/>
            <w:noWrap/>
            <w:vAlign w:val="bottom"/>
          </w:tcPr>
          <w:p w14:paraId="1ED0CF89"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23,578</w:t>
            </w:r>
          </w:p>
        </w:tc>
        <w:tc>
          <w:tcPr>
            <w:tcW w:w="734" w:type="dxa"/>
            <w:tcBorders>
              <w:top w:val="nil"/>
              <w:left w:val="nil"/>
              <w:bottom w:val="nil"/>
              <w:right w:val="nil"/>
            </w:tcBorders>
            <w:shd w:val="clear" w:color="000000" w:fill="BFBFBF"/>
            <w:noWrap/>
            <w:vAlign w:val="bottom"/>
          </w:tcPr>
          <w:p w14:paraId="4BB6833A"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2.6%</w:t>
            </w:r>
          </w:p>
        </w:tc>
        <w:tc>
          <w:tcPr>
            <w:tcW w:w="734" w:type="dxa"/>
            <w:tcBorders>
              <w:top w:val="nil"/>
              <w:left w:val="nil"/>
              <w:bottom w:val="nil"/>
              <w:right w:val="nil"/>
            </w:tcBorders>
            <w:shd w:val="clear" w:color="000000" w:fill="FFFFFF"/>
            <w:noWrap/>
            <w:vAlign w:val="bottom"/>
          </w:tcPr>
          <w:p w14:paraId="33D5145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22,983</w:t>
            </w:r>
          </w:p>
        </w:tc>
        <w:tc>
          <w:tcPr>
            <w:tcW w:w="734" w:type="dxa"/>
            <w:tcBorders>
              <w:top w:val="nil"/>
              <w:left w:val="nil"/>
              <w:bottom w:val="nil"/>
              <w:right w:val="nil"/>
            </w:tcBorders>
            <w:shd w:val="clear" w:color="000000" w:fill="BFBFBF"/>
            <w:noWrap/>
            <w:vAlign w:val="bottom"/>
          </w:tcPr>
          <w:p w14:paraId="107A70BA"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r>
      <w:tr w:rsidR="00A83362" w:rsidRPr="00E12C39" w14:paraId="316F627F" w14:textId="77777777" w:rsidTr="004B6F10">
        <w:trPr>
          <w:trHeight w:val="288"/>
        </w:trPr>
        <w:tc>
          <w:tcPr>
            <w:tcW w:w="1836" w:type="dxa"/>
            <w:tcBorders>
              <w:top w:val="nil"/>
              <w:left w:val="nil"/>
              <w:bottom w:val="nil"/>
              <w:right w:val="nil"/>
            </w:tcBorders>
            <w:shd w:val="clear" w:color="000000" w:fill="FFFFFF"/>
            <w:noWrap/>
          </w:tcPr>
          <w:p w14:paraId="65EB3873"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Canadian</w:t>
            </w:r>
          </w:p>
        </w:tc>
        <w:tc>
          <w:tcPr>
            <w:tcW w:w="918" w:type="dxa"/>
            <w:tcBorders>
              <w:top w:val="nil"/>
              <w:left w:val="nil"/>
              <w:bottom w:val="nil"/>
              <w:right w:val="nil"/>
            </w:tcBorders>
            <w:shd w:val="clear" w:color="000000" w:fill="FFFFFF"/>
            <w:noWrap/>
            <w:vAlign w:val="bottom"/>
          </w:tcPr>
          <w:p w14:paraId="0BE17723" w14:textId="77777777" w:rsidR="00A83362" w:rsidRPr="00E12C39" w:rsidRDefault="00A83362" w:rsidP="009D4D7F">
            <w:pPr>
              <w:jc w:val="right"/>
              <w:rPr>
                <w:rFonts w:ascii="Calibri" w:hAnsi="Calibri" w:cs="Calibri"/>
                <w:b/>
                <w:bCs/>
                <w:color w:val="0D0D0D"/>
                <w:sz w:val="19"/>
                <w:szCs w:val="19"/>
              </w:rPr>
            </w:pPr>
            <w:r>
              <w:rPr>
                <w:rFonts w:ascii="Calibri" w:hAnsi="Calibri" w:cs="Calibri"/>
                <w:b/>
                <w:bCs/>
                <w:color w:val="0D0D0D"/>
                <w:sz w:val="20"/>
                <w:szCs w:val="20"/>
              </w:rPr>
              <w:t>20,095</w:t>
            </w:r>
          </w:p>
        </w:tc>
        <w:tc>
          <w:tcPr>
            <w:tcW w:w="734" w:type="dxa"/>
            <w:tcBorders>
              <w:top w:val="nil"/>
              <w:left w:val="nil"/>
              <w:bottom w:val="nil"/>
              <w:right w:val="nil"/>
            </w:tcBorders>
            <w:shd w:val="clear" w:color="000000" w:fill="BFBFBF"/>
            <w:noWrap/>
            <w:vAlign w:val="bottom"/>
          </w:tcPr>
          <w:p w14:paraId="63A427A5"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2.9%</w:t>
            </w:r>
          </w:p>
        </w:tc>
        <w:tc>
          <w:tcPr>
            <w:tcW w:w="734" w:type="dxa"/>
            <w:tcBorders>
              <w:top w:val="nil"/>
              <w:left w:val="nil"/>
              <w:bottom w:val="nil"/>
              <w:right w:val="nil"/>
            </w:tcBorders>
            <w:shd w:val="clear" w:color="000000" w:fill="FFFFFF"/>
            <w:noWrap/>
            <w:vAlign w:val="bottom"/>
          </w:tcPr>
          <w:p w14:paraId="2B91CC0B" w14:textId="77777777" w:rsidR="00A83362" w:rsidRPr="00E12C39" w:rsidRDefault="00A83362" w:rsidP="009D4D7F">
            <w:pPr>
              <w:jc w:val="right"/>
              <w:rPr>
                <w:rFonts w:ascii="Calibri" w:hAnsi="Calibri" w:cs="Calibri"/>
                <w:b/>
                <w:bCs/>
                <w:color w:val="0D0D0D"/>
                <w:sz w:val="19"/>
                <w:szCs w:val="19"/>
              </w:rPr>
            </w:pPr>
            <w:r>
              <w:rPr>
                <w:rFonts w:ascii="Calibri" w:hAnsi="Calibri" w:cs="Calibri"/>
                <w:b/>
                <w:bCs/>
                <w:color w:val="0D0D0D"/>
                <w:sz w:val="20"/>
                <w:szCs w:val="20"/>
              </w:rPr>
              <w:t>19,524</w:t>
            </w:r>
          </w:p>
        </w:tc>
        <w:tc>
          <w:tcPr>
            <w:tcW w:w="734" w:type="dxa"/>
            <w:tcBorders>
              <w:top w:val="nil"/>
              <w:left w:val="nil"/>
              <w:bottom w:val="nil"/>
              <w:right w:val="nil"/>
            </w:tcBorders>
            <w:shd w:val="clear" w:color="000000" w:fill="BFBFBF"/>
            <w:noWrap/>
            <w:vAlign w:val="bottom"/>
          </w:tcPr>
          <w:p w14:paraId="134D9971"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3.9%</w:t>
            </w:r>
          </w:p>
        </w:tc>
        <w:tc>
          <w:tcPr>
            <w:tcW w:w="734" w:type="dxa"/>
            <w:tcBorders>
              <w:top w:val="nil"/>
              <w:left w:val="nil"/>
              <w:bottom w:val="nil"/>
              <w:right w:val="nil"/>
            </w:tcBorders>
            <w:shd w:val="clear" w:color="000000" w:fill="FFFFFF"/>
            <w:noWrap/>
            <w:vAlign w:val="bottom"/>
          </w:tcPr>
          <w:p w14:paraId="2304368E" w14:textId="77777777" w:rsidR="00A83362" w:rsidRPr="00974C14" w:rsidRDefault="00A83362" w:rsidP="009D4D7F">
            <w:pPr>
              <w:jc w:val="right"/>
              <w:rPr>
                <w:rFonts w:ascii="Calibri" w:hAnsi="Calibri" w:cs="Calibri"/>
                <w:color w:val="0D0D0D"/>
                <w:sz w:val="19"/>
                <w:szCs w:val="19"/>
              </w:rPr>
            </w:pPr>
            <w:r w:rsidRPr="00982C0C">
              <w:rPr>
                <w:rFonts w:ascii="Calibri" w:hAnsi="Calibri" w:cs="Calibri"/>
                <w:color w:val="0D0D0D"/>
                <w:sz w:val="20"/>
                <w:szCs w:val="20"/>
              </w:rPr>
              <w:t>18,787</w:t>
            </w:r>
          </w:p>
        </w:tc>
        <w:tc>
          <w:tcPr>
            <w:tcW w:w="734" w:type="dxa"/>
            <w:tcBorders>
              <w:top w:val="nil"/>
              <w:left w:val="nil"/>
              <w:bottom w:val="nil"/>
              <w:right w:val="nil"/>
            </w:tcBorders>
            <w:shd w:val="clear" w:color="000000" w:fill="BFBFBF"/>
            <w:noWrap/>
            <w:vAlign w:val="bottom"/>
          </w:tcPr>
          <w:p w14:paraId="73ADA965"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-20.3%</w:t>
            </w:r>
          </w:p>
        </w:tc>
        <w:tc>
          <w:tcPr>
            <w:tcW w:w="734" w:type="dxa"/>
            <w:tcBorders>
              <w:top w:val="nil"/>
              <w:left w:val="nil"/>
              <w:bottom w:val="nil"/>
              <w:right w:val="nil"/>
            </w:tcBorders>
            <w:shd w:val="clear" w:color="000000" w:fill="FFFFFF"/>
            <w:noWrap/>
            <w:vAlign w:val="bottom"/>
          </w:tcPr>
          <w:p w14:paraId="6848704A" w14:textId="77777777" w:rsidR="00A83362" w:rsidRPr="00974C14" w:rsidRDefault="00A83362" w:rsidP="009D4D7F">
            <w:pPr>
              <w:jc w:val="right"/>
              <w:rPr>
                <w:rFonts w:ascii="Calibri" w:hAnsi="Calibri" w:cs="Calibri"/>
                <w:color w:val="0D0D0D"/>
                <w:sz w:val="19"/>
                <w:szCs w:val="19"/>
              </w:rPr>
            </w:pPr>
            <w:r w:rsidRPr="00982C0C">
              <w:rPr>
                <w:rFonts w:ascii="Calibri" w:hAnsi="Calibri" w:cs="Calibri"/>
                <w:color w:val="0D0D0D"/>
                <w:sz w:val="20"/>
                <w:szCs w:val="20"/>
              </w:rPr>
              <w:t>23,578</w:t>
            </w:r>
          </w:p>
        </w:tc>
        <w:tc>
          <w:tcPr>
            <w:tcW w:w="734" w:type="dxa"/>
            <w:tcBorders>
              <w:top w:val="nil"/>
              <w:left w:val="nil"/>
              <w:bottom w:val="nil"/>
              <w:right w:val="nil"/>
            </w:tcBorders>
            <w:shd w:val="clear" w:color="000000" w:fill="BFBFBF"/>
            <w:noWrap/>
            <w:vAlign w:val="bottom"/>
          </w:tcPr>
          <w:p w14:paraId="3E08B69A"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2.6%</w:t>
            </w:r>
          </w:p>
        </w:tc>
        <w:tc>
          <w:tcPr>
            <w:tcW w:w="734" w:type="dxa"/>
            <w:tcBorders>
              <w:top w:val="nil"/>
              <w:left w:val="nil"/>
              <w:bottom w:val="nil"/>
              <w:right w:val="nil"/>
            </w:tcBorders>
            <w:shd w:val="clear" w:color="000000" w:fill="FFFFFF"/>
            <w:noWrap/>
            <w:vAlign w:val="bottom"/>
          </w:tcPr>
          <w:p w14:paraId="6F52051D" w14:textId="77777777" w:rsidR="00A83362" w:rsidRPr="00E12C39" w:rsidRDefault="00A83362" w:rsidP="009D4D7F">
            <w:pPr>
              <w:jc w:val="right"/>
              <w:rPr>
                <w:rFonts w:ascii="Calibri" w:hAnsi="Calibri" w:cs="Calibri"/>
                <w:color w:val="0D0D0D"/>
                <w:sz w:val="19"/>
                <w:szCs w:val="19"/>
              </w:rPr>
            </w:pPr>
            <w:r>
              <w:rPr>
                <w:rFonts w:ascii="Calibri" w:hAnsi="Calibri" w:cs="Calibri"/>
                <w:color w:val="0D0D0D"/>
                <w:sz w:val="20"/>
                <w:szCs w:val="20"/>
              </w:rPr>
              <w:t>22,983</w:t>
            </w:r>
          </w:p>
        </w:tc>
        <w:tc>
          <w:tcPr>
            <w:tcW w:w="734" w:type="dxa"/>
            <w:tcBorders>
              <w:top w:val="nil"/>
              <w:left w:val="nil"/>
              <w:bottom w:val="nil"/>
              <w:right w:val="nil"/>
            </w:tcBorders>
            <w:shd w:val="clear" w:color="000000" w:fill="BFBFBF"/>
            <w:noWrap/>
            <w:vAlign w:val="bottom"/>
          </w:tcPr>
          <w:p w14:paraId="389B1B34"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2.8%</w:t>
            </w:r>
          </w:p>
        </w:tc>
      </w:tr>
      <w:tr w:rsidR="00A83362" w:rsidRPr="00E12C39" w14:paraId="29128312" w14:textId="77777777" w:rsidTr="0070537E">
        <w:trPr>
          <w:trHeight w:val="288"/>
        </w:trPr>
        <w:tc>
          <w:tcPr>
            <w:tcW w:w="1836" w:type="dxa"/>
            <w:tcBorders>
              <w:top w:val="nil"/>
              <w:left w:val="nil"/>
              <w:bottom w:val="nil"/>
              <w:right w:val="nil"/>
            </w:tcBorders>
            <w:shd w:val="clear" w:color="000000" w:fill="FFFFFF"/>
            <w:noWrap/>
            <w:vAlign w:val="bottom"/>
          </w:tcPr>
          <w:p w14:paraId="19227C5A" w14:textId="77777777" w:rsidR="00A83362" w:rsidRPr="00FB47FE" w:rsidRDefault="00A83362" w:rsidP="0070537E">
            <w:pPr>
              <w:rPr>
                <w:rFonts w:ascii="Calibri" w:hAnsi="Calibri" w:cs="Calibri"/>
                <w:b/>
                <w:bCs/>
                <w:color w:val="0D0D0D"/>
                <w:sz w:val="19"/>
                <w:szCs w:val="19"/>
              </w:rPr>
            </w:pPr>
            <w:r>
              <w:rPr>
                <w:rFonts w:ascii="Calibri" w:hAnsi="Calibri" w:cs="Calibri"/>
                <w:b/>
                <w:bCs/>
                <w:color w:val="0D0D0D"/>
                <w:sz w:val="20"/>
                <w:szCs w:val="20"/>
              </w:rPr>
              <w:t>Law School:</w:t>
            </w:r>
          </w:p>
        </w:tc>
        <w:tc>
          <w:tcPr>
            <w:tcW w:w="918" w:type="dxa"/>
            <w:tcBorders>
              <w:top w:val="nil"/>
              <w:left w:val="nil"/>
              <w:bottom w:val="nil"/>
              <w:right w:val="nil"/>
            </w:tcBorders>
            <w:shd w:val="clear" w:color="000000" w:fill="FFFFFF"/>
            <w:noWrap/>
            <w:vAlign w:val="bottom"/>
          </w:tcPr>
          <w:p w14:paraId="5B0956D8"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055879F"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3C40887F"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2C150A6"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1D3FA1FC"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D36046F"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 </w:t>
            </w:r>
          </w:p>
        </w:tc>
        <w:tc>
          <w:tcPr>
            <w:tcW w:w="734" w:type="dxa"/>
            <w:tcBorders>
              <w:top w:val="nil"/>
              <w:left w:val="nil"/>
              <w:bottom w:val="nil"/>
              <w:right w:val="nil"/>
            </w:tcBorders>
            <w:shd w:val="clear" w:color="000000" w:fill="FFFFFF"/>
            <w:noWrap/>
            <w:vAlign w:val="bottom"/>
          </w:tcPr>
          <w:p w14:paraId="0C54DF88"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F1029A4"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FFFFFF"/>
            <w:noWrap/>
            <w:vAlign w:val="bottom"/>
          </w:tcPr>
          <w:p w14:paraId="1A1A4C20"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7DE72F67" w14:textId="77777777" w:rsidR="00A83362" w:rsidRPr="00E12C39" w:rsidRDefault="00A83362" w:rsidP="0070537E">
            <w:pPr>
              <w:jc w:val="right"/>
              <w:rPr>
                <w:rFonts w:ascii="Calibri" w:hAnsi="Calibri" w:cs="Calibri"/>
                <w:color w:val="0D0D0D"/>
                <w:sz w:val="19"/>
                <w:szCs w:val="19"/>
              </w:rPr>
            </w:pPr>
            <w:r>
              <w:rPr>
                <w:rFonts w:ascii="Calibri" w:hAnsi="Calibri" w:cs="Calibri"/>
                <w:b/>
                <w:bCs/>
                <w:color w:val="0D0D0D"/>
                <w:sz w:val="20"/>
                <w:szCs w:val="20"/>
              </w:rPr>
              <w:t> </w:t>
            </w:r>
          </w:p>
        </w:tc>
      </w:tr>
      <w:tr w:rsidR="00A83362" w:rsidRPr="00E12C39" w14:paraId="23270959" w14:textId="77777777" w:rsidTr="0070537E">
        <w:trPr>
          <w:trHeight w:val="288"/>
        </w:trPr>
        <w:tc>
          <w:tcPr>
            <w:tcW w:w="1836" w:type="dxa"/>
            <w:tcBorders>
              <w:top w:val="nil"/>
              <w:left w:val="nil"/>
              <w:bottom w:val="nil"/>
              <w:right w:val="nil"/>
            </w:tcBorders>
            <w:shd w:val="clear" w:color="000000" w:fill="FFFFFF"/>
            <w:noWrap/>
            <w:vAlign w:val="bottom"/>
          </w:tcPr>
          <w:p w14:paraId="463B1EBC"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In-State</w:t>
            </w:r>
          </w:p>
        </w:tc>
        <w:tc>
          <w:tcPr>
            <w:tcW w:w="918" w:type="dxa"/>
            <w:tcBorders>
              <w:top w:val="nil"/>
              <w:left w:val="nil"/>
              <w:bottom w:val="nil"/>
              <w:right w:val="nil"/>
            </w:tcBorders>
            <w:shd w:val="clear" w:color="000000" w:fill="FFFFFF"/>
            <w:noWrap/>
            <w:vAlign w:val="bottom"/>
          </w:tcPr>
          <w:p w14:paraId="6516D9ED"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$36,218</w:t>
            </w:r>
          </w:p>
        </w:tc>
        <w:tc>
          <w:tcPr>
            <w:tcW w:w="734" w:type="dxa"/>
            <w:tcBorders>
              <w:top w:val="nil"/>
              <w:left w:val="nil"/>
              <w:bottom w:val="nil"/>
              <w:right w:val="nil"/>
            </w:tcBorders>
            <w:shd w:val="clear" w:color="000000" w:fill="BFBFBF"/>
            <w:noWrap/>
            <w:vAlign w:val="bottom"/>
          </w:tcPr>
          <w:p w14:paraId="38B34BD0"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1.9%</w:t>
            </w:r>
          </w:p>
        </w:tc>
        <w:tc>
          <w:tcPr>
            <w:tcW w:w="734" w:type="dxa"/>
            <w:tcBorders>
              <w:top w:val="nil"/>
              <w:left w:val="nil"/>
              <w:bottom w:val="nil"/>
              <w:right w:val="nil"/>
            </w:tcBorders>
            <w:shd w:val="clear" w:color="000000" w:fill="FFFFFF"/>
            <w:noWrap/>
            <w:vAlign w:val="bottom"/>
          </w:tcPr>
          <w:p w14:paraId="517047EC"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$35,555</w:t>
            </w:r>
          </w:p>
        </w:tc>
        <w:tc>
          <w:tcPr>
            <w:tcW w:w="734" w:type="dxa"/>
            <w:tcBorders>
              <w:top w:val="nil"/>
              <w:left w:val="nil"/>
              <w:bottom w:val="nil"/>
              <w:right w:val="nil"/>
            </w:tcBorders>
            <w:shd w:val="clear" w:color="000000" w:fill="BFBFBF"/>
            <w:noWrap/>
            <w:vAlign w:val="bottom"/>
          </w:tcPr>
          <w:p w14:paraId="5B840F0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6.7%</w:t>
            </w:r>
          </w:p>
        </w:tc>
        <w:tc>
          <w:tcPr>
            <w:tcW w:w="734" w:type="dxa"/>
            <w:tcBorders>
              <w:top w:val="nil"/>
              <w:left w:val="nil"/>
              <w:bottom w:val="nil"/>
              <w:right w:val="nil"/>
            </w:tcBorders>
            <w:shd w:val="clear" w:color="000000" w:fill="FFFFFF"/>
            <w:noWrap/>
            <w:vAlign w:val="bottom"/>
          </w:tcPr>
          <w:p w14:paraId="7440BD9A"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$33,310</w:t>
            </w:r>
          </w:p>
        </w:tc>
        <w:tc>
          <w:tcPr>
            <w:tcW w:w="734" w:type="dxa"/>
            <w:tcBorders>
              <w:top w:val="nil"/>
              <w:left w:val="nil"/>
              <w:bottom w:val="nil"/>
              <w:right w:val="nil"/>
            </w:tcBorders>
            <w:shd w:val="clear" w:color="000000" w:fill="BFBFBF"/>
            <w:noWrap/>
            <w:vAlign w:val="bottom"/>
          </w:tcPr>
          <w:p w14:paraId="72B6C324"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0.9%</w:t>
            </w:r>
          </w:p>
        </w:tc>
        <w:tc>
          <w:tcPr>
            <w:tcW w:w="734" w:type="dxa"/>
            <w:tcBorders>
              <w:top w:val="nil"/>
              <w:left w:val="nil"/>
              <w:bottom w:val="nil"/>
              <w:right w:val="nil"/>
            </w:tcBorders>
            <w:shd w:val="clear" w:color="000000" w:fill="FFFFFF"/>
            <w:noWrap/>
            <w:vAlign w:val="bottom"/>
          </w:tcPr>
          <w:p w14:paraId="68692234"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$33,005</w:t>
            </w:r>
          </w:p>
        </w:tc>
        <w:tc>
          <w:tcPr>
            <w:tcW w:w="734" w:type="dxa"/>
            <w:tcBorders>
              <w:top w:val="nil"/>
              <w:left w:val="nil"/>
              <w:bottom w:val="nil"/>
              <w:right w:val="nil"/>
            </w:tcBorders>
            <w:shd w:val="clear" w:color="000000" w:fill="BFBFBF"/>
            <w:noWrap/>
            <w:vAlign w:val="bottom"/>
          </w:tcPr>
          <w:p w14:paraId="245214E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0.8%</w:t>
            </w:r>
          </w:p>
        </w:tc>
        <w:tc>
          <w:tcPr>
            <w:tcW w:w="734" w:type="dxa"/>
            <w:tcBorders>
              <w:top w:val="nil"/>
              <w:left w:val="nil"/>
              <w:bottom w:val="nil"/>
              <w:right w:val="nil"/>
            </w:tcBorders>
            <w:shd w:val="clear" w:color="000000" w:fill="FFFFFF"/>
            <w:noWrap/>
            <w:vAlign w:val="bottom"/>
          </w:tcPr>
          <w:p w14:paraId="7BF8F752"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$32,740</w:t>
            </w:r>
          </w:p>
        </w:tc>
        <w:tc>
          <w:tcPr>
            <w:tcW w:w="734" w:type="dxa"/>
            <w:tcBorders>
              <w:top w:val="nil"/>
              <w:left w:val="nil"/>
              <w:bottom w:val="nil"/>
              <w:right w:val="nil"/>
            </w:tcBorders>
            <w:shd w:val="clear" w:color="000000" w:fill="BFBFBF"/>
            <w:noWrap/>
            <w:vAlign w:val="bottom"/>
          </w:tcPr>
          <w:p w14:paraId="19350C56"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0.9%</w:t>
            </w:r>
          </w:p>
        </w:tc>
      </w:tr>
      <w:tr w:rsidR="00A83362" w:rsidRPr="00E12C39" w14:paraId="77B0313E" w14:textId="77777777" w:rsidTr="0070537E">
        <w:trPr>
          <w:trHeight w:val="288"/>
        </w:trPr>
        <w:tc>
          <w:tcPr>
            <w:tcW w:w="1836" w:type="dxa"/>
            <w:tcBorders>
              <w:top w:val="nil"/>
              <w:left w:val="nil"/>
              <w:bottom w:val="nil"/>
              <w:right w:val="nil"/>
            </w:tcBorders>
            <w:shd w:val="clear" w:color="000000" w:fill="FFFFFF"/>
            <w:noWrap/>
            <w:vAlign w:val="bottom"/>
          </w:tcPr>
          <w:p w14:paraId="2B9E6776"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76F3E252"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49,028</w:t>
            </w:r>
          </w:p>
        </w:tc>
        <w:tc>
          <w:tcPr>
            <w:tcW w:w="734" w:type="dxa"/>
            <w:tcBorders>
              <w:top w:val="nil"/>
              <w:left w:val="nil"/>
              <w:bottom w:val="nil"/>
              <w:right w:val="nil"/>
            </w:tcBorders>
            <w:shd w:val="clear" w:color="000000" w:fill="BFBFBF"/>
            <w:noWrap/>
            <w:vAlign w:val="bottom"/>
          </w:tcPr>
          <w:p w14:paraId="053E566F"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4.2%</w:t>
            </w:r>
          </w:p>
        </w:tc>
        <w:tc>
          <w:tcPr>
            <w:tcW w:w="734" w:type="dxa"/>
            <w:tcBorders>
              <w:top w:val="nil"/>
              <w:left w:val="nil"/>
              <w:bottom w:val="nil"/>
              <w:right w:val="nil"/>
            </w:tcBorders>
            <w:shd w:val="clear" w:color="000000" w:fill="FFFFFF"/>
            <w:noWrap/>
            <w:vAlign w:val="bottom"/>
          </w:tcPr>
          <w:p w14:paraId="43869081"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47,045</w:t>
            </w:r>
          </w:p>
        </w:tc>
        <w:tc>
          <w:tcPr>
            <w:tcW w:w="734" w:type="dxa"/>
            <w:tcBorders>
              <w:top w:val="nil"/>
              <w:left w:val="nil"/>
              <w:bottom w:val="nil"/>
              <w:right w:val="nil"/>
            </w:tcBorders>
            <w:shd w:val="clear" w:color="000000" w:fill="BFBFBF"/>
            <w:noWrap/>
            <w:vAlign w:val="bottom"/>
          </w:tcPr>
          <w:p w14:paraId="1C6276D6"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5.0%</w:t>
            </w:r>
          </w:p>
        </w:tc>
        <w:tc>
          <w:tcPr>
            <w:tcW w:w="734" w:type="dxa"/>
            <w:tcBorders>
              <w:top w:val="nil"/>
              <w:left w:val="nil"/>
              <w:bottom w:val="nil"/>
              <w:right w:val="nil"/>
            </w:tcBorders>
            <w:shd w:val="clear" w:color="000000" w:fill="FFFFFF"/>
            <w:noWrap/>
            <w:vAlign w:val="bottom"/>
          </w:tcPr>
          <w:p w14:paraId="0875BEA5"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44,800</w:t>
            </w:r>
          </w:p>
        </w:tc>
        <w:tc>
          <w:tcPr>
            <w:tcW w:w="734" w:type="dxa"/>
            <w:tcBorders>
              <w:top w:val="nil"/>
              <w:left w:val="nil"/>
              <w:bottom w:val="nil"/>
              <w:right w:val="nil"/>
            </w:tcBorders>
            <w:shd w:val="clear" w:color="000000" w:fill="BFBFBF"/>
            <w:noWrap/>
            <w:vAlign w:val="bottom"/>
          </w:tcPr>
          <w:p w14:paraId="281F7DAF"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0.7%</w:t>
            </w:r>
          </w:p>
        </w:tc>
        <w:tc>
          <w:tcPr>
            <w:tcW w:w="734" w:type="dxa"/>
            <w:tcBorders>
              <w:top w:val="nil"/>
              <w:left w:val="nil"/>
              <w:bottom w:val="nil"/>
              <w:right w:val="nil"/>
            </w:tcBorders>
            <w:shd w:val="clear" w:color="000000" w:fill="FFFFFF"/>
            <w:noWrap/>
            <w:vAlign w:val="bottom"/>
          </w:tcPr>
          <w:p w14:paraId="5B256FD3"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44,495</w:t>
            </w:r>
          </w:p>
        </w:tc>
        <w:tc>
          <w:tcPr>
            <w:tcW w:w="734" w:type="dxa"/>
            <w:tcBorders>
              <w:top w:val="nil"/>
              <w:left w:val="nil"/>
              <w:bottom w:val="nil"/>
              <w:right w:val="nil"/>
            </w:tcBorders>
            <w:shd w:val="clear" w:color="000000" w:fill="BFBFBF"/>
            <w:noWrap/>
            <w:vAlign w:val="bottom"/>
          </w:tcPr>
          <w:p w14:paraId="463FD5E8"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1.6%</w:t>
            </w:r>
          </w:p>
        </w:tc>
        <w:tc>
          <w:tcPr>
            <w:tcW w:w="734" w:type="dxa"/>
            <w:tcBorders>
              <w:top w:val="nil"/>
              <w:left w:val="nil"/>
              <w:bottom w:val="nil"/>
              <w:right w:val="nil"/>
            </w:tcBorders>
            <w:shd w:val="clear" w:color="000000" w:fill="FFFFFF"/>
            <w:noWrap/>
            <w:vAlign w:val="bottom"/>
          </w:tcPr>
          <w:p w14:paraId="19FE007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43,810</w:t>
            </w:r>
          </w:p>
        </w:tc>
        <w:tc>
          <w:tcPr>
            <w:tcW w:w="734" w:type="dxa"/>
            <w:tcBorders>
              <w:top w:val="nil"/>
              <w:left w:val="nil"/>
              <w:bottom w:val="nil"/>
              <w:right w:val="nil"/>
            </w:tcBorders>
            <w:shd w:val="clear" w:color="000000" w:fill="BFBFBF"/>
            <w:noWrap/>
            <w:vAlign w:val="bottom"/>
          </w:tcPr>
          <w:p w14:paraId="4064D79B"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0.6%</w:t>
            </w:r>
          </w:p>
        </w:tc>
      </w:tr>
      <w:tr w:rsidR="00A83362" w:rsidRPr="00E12C39" w14:paraId="3F66F5B8" w14:textId="77777777" w:rsidTr="0070537E">
        <w:trPr>
          <w:trHeight w:val="288"/>
        </w:trPr>
        <w:tc>
          <w:tcPr>
            <w:tcW w:w="1836" w:type="dxa"/>
            <w:tcBorders>
              <w:top w:val="nil"/>
              <w:left w:val="nil"/>
              <w:bottom w:val="nil"/>
              <w:right w:val="nil"/>
            </w:tcBorders>
            <w:shd w:val="clear" w:color="000000" w:fill="FFFFFF"/>
            <w:noWrap/>
            <w:vAlign w:val="bottom"/>
          </w:tcPr>
          <w:p w14:paraId="3D5E12DB" w14:textId="77777777" w:rsidR="00A83362" w:rsidRPr="00E12C39" w:rsidRDefault="00A83362" w:rsidP="0070537E">
            <w:pPr>
              <w:rPr>
                <w:rFonts w:ascii="Calibri" w:hAnsi="Calibri" w:cs="Calibri"/>
                <w:color w:val="0D0D0D"/>
                <w:sz w:val="19"/>
                <w:szCs w:val="19"/>
              </w:rPr>
            </w:pPr>
            <w:r>
              <w:rPr>
                <w:rFonts w:ascii="Calibri" w:hAnsi="Calibri" w:cs="Calibri"/>
                <w:color w:val="0D0D0D"/>
                <w:sz w:val="20"/>
                <w:szCs w:val="20"/>
              </w:rPr>
              <w:t xml:space="preserve">NEBHE/Canadian </w:t>
            </w:r>
          </w:p>
        </w:tc>
        <w:tc>
          <w:tcPr>
            <w:tcW w:w="918" w:type="dxa"/>
            <w:tcBorders>
              <w:top w:val="nil"/>
              <w:left w:val="nil"/>
              <w:bottom w:val="nil"/>
              <w:right w:val="nil"/>
            </w:tcBorders>
            <w:shd w:val="clear" w:color="000000" w:fill="FFFFFF"/>
            <w:noWrap/>
            <w:vAlign w:val="bottom"/>
          </w:tcPr>
          <w:p w14:paraId="5D0634CC"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44,678</w:t>
            </w:r>
          </w:p>
        </w:tc>
        <w:tc>
          <w:tcPr>
            <w:tcW w:w="734" w:type="dxa"/>
            <w:tcBorders>
              <w:top w:val="nil"/>
              <w:left w:val="nil"/>
              <w:bottom w:val="nil"/>
              <w:right w:val="nil"/>
            </w:tcBorders>
            <w:shd w:val="clear" w:color="000000" w:fill="BFBFBF"/>
            <w:noWrap/>
            <w:vAlign w:val="bottom"/>
          </w:tcPr>
          <w:p w14:paraId="52245CC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1.5%</w:t>
            </w:r>
          </w:p>
        </w:tc>
        <w:tc>
          <w:tcPr>
            <w:tcW w:w="734" w:type="dxa"/>
            <w:tcBorders>
              <w:top w:val="nil"/>
              <w:left w:val="nil"/>
              <w:bottom w:val="nil"/>
              <w:right w:val="nil"/>
            </w:tcBorders>
            <w:shd w:val="clear" w:color="000000" w:fill="FFFFFF"/>
            <w:noWrap/>
            <w:vAlign w:val="bottom"/>
          </w:tcPr>
          <w:p w14:paraId="580778D5" w14:textId="77777777" w:rsidR="00A83362" w:rsidRPr="00E12C39" w:rsidRDefault="00A83362" w:rsidP="0070537E">
            <w:pPr>
              <w:jc w:val="right"/>
              <w:rPr>
                <w:rFonts w:ascii="Calibri" w:hAnsi="Calibri" w:cs="Calibri"/>
                <w:b/>
                <w:bCs/>
                <w:color w:val="0D0D0D"/>
                <w:sz w:val="19"/>
                <w:szCs w:val="19"/>
              </w:rPr>
            </w:pPr>
            <w:r>
              <w:rPr>
                <w:rFonts w:ascii="Calibri" w:hAnsi="Calibri" w:cs="Calibri"/>
                <w:b/>
                <w:bCs/>
                <w:color w:val="0D0D0D"/>
                <w:sz w:val="20"/>
                <w:szCs w:val="20"/>
              </w:rPr>
              <w:t>44,015</w:t>
            </w:r>
          </w:p>
        </w:tc>
        <w:tc>
          <w:tcPr>
            <w:tcW w:w="734" w:type="dxa"/>
            <w:tcBorders>
              <w:top w:val="nil"/>
              <w:left w:val="nil"/>
              <w:bottom w:val="nil"/>
              <w:right w:val="nil"/>
            </w:tcBorders>
            <w:shd w:val="clear" w:color="000000" w:fill="BFBFBF"/>
            <w:noWrap/>
            <w:vAlign w:val="bottom"/>
          </w:tcPr>
          <w:p w14:paraId="31B374F9"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5.4%</w:t>
            </w:r>
          </w:p>
        </w:tc>
        <w:tc>
          <w:tcPr>
            <w:tcW w:w="734" w:type="dxa"/>
            <w:tcBorders>
              <w:top w:val="nil"/>
              <w:left w:val="nil"/>
              <w:bottom w:val="nil"/>
              <w:right w:val="nil"/>
            </w:tcBorders>
            <w:shd w:val="clear" w:color="000000" w:fill="FFFFFF"/>
            <w:noWrap/>
            <w:vAlign w:val="bottom"/>
          </w:tcPr>
          <w:p w14:paraId="4C9B3605"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41,770</w:t>
            </w:r>
          </w:p>
        </w:tc>
        <w:tc>
          <w:tcPr>
            <w:tcW w:w="734" w:type="dxa"/>
            <w:tcBorders>
              <w:top w:val="nil"/>
              <w:left w:val="nil"/>
              <w:bottom w:val="nil"/>
              <w:right w:val="nil"/>
            </w:tcBorders>
            <w:shd w:val="clear" w:color="000000" w:fill="BFBFBF"/>
            <w:noWrap/>
            <w:vAlign w:val="bottom"/>
          </w:tcPr>
          <w:p w14:paraId="7974352E" w14:textId="77777777" w:rsidR="00A83362" w:rsidRPr="00974C14" w:rsidRDefault="00A83362" w:rsidP="0070537E">
            <w:pPr>
              <w:jc w:val="right"/>
              <w:rPr>
                <w:rFonts w:ascii="Calibri" w:hAnsi="Calibri" w:cs="Calibri"/>
                <w:color w:val="0D0D0D"/>
                <w:sz w:val="19"/>
                <w:szCs w:val="19"/>
              </w:rPr>
            </w:pPr>
            <w:r w:rsidRPr="00974C14">
              <w:rPr>
                <w:rFonts w:ascii="Calibri" w:hAnsi="Calibri" w:cs="Calibri"/>
                <w:color w:val="0D0D0D"/>
                <w:sz w:val="20"/>
                <w:szCs w:val="20"/>
              </w:rPr>
              <w:t>0.7%</w:t>
            </w:r>
          </w:p>
        </w:tc>
        <w:tc>
          <w:tcPr>
            <w:tcW w:w="734" w:type="dxa"/>
            <w:tcBorders>
              <w:top w:val="nil"/>
              <w:left w:val="nil"/>
              <w:bottom w:val="nil"/>
              <w:right w:val="nil"/>
            </w:tcBorders>
            <w:shd w:val="clear" w:color="000000" w:fill="FFFFFF"/>
            <w:noWrap/>
            <w:vAlign w:val="bottom"/>
          </w:tcPr>
          <w:p w14:paraId="7A291DF8" w14:textId="77777777" w:rsidR="00A83362" w:rsidRPr="00974C14" w:rsidRDefault="00A83362" w:rsidP="0070537E">
            <w:pPr>
              <w:jc w:val="right"/>
              <w:rPr>
                <w:rFonts w:ascii="Calibri" w:hAnsi="Calibri" w:cs="Calibri"/>
                <w:color w:val="0D0D0D"/>
                <w:sz w:val="19"/>
                <w:szCs w:val="19"/>
              </w:rPr>
            </w:pPr>
            <w:r w:rsidRPr="00982C0C">
              <w:rPr>
                <w:rFonts w:ascii="Calibri" w:hAnsi="Calibri" w:cs="Calibri"/>
                <w:color w:val="0D0D0D"/>
                <w:sz w:val="20"/>
                <w:szCs w:val="20"/>
              </w:rPr>
              <w:t>41,465</w:t>
            </w:r>
          </w:p>
        </w:tc>
        <w:tc>
          <w:tcPr>
            <w:tcW w:w="734" w:type="dxa"/>
            <w:tcBorders>
              <w:top w:val="nil"/>
              <w:left w:val="nil"/>
              <w:bottom w:val="nil"/>
              <w:right w:val="nil"/>
            </w:tcBorders>
            <w:shd w:val="clear" w:color="000000" w:fill="BFBFBF"/>
            <w:noWrap/>
            <w:vAlign w:val="bottom"/>
          </w:tcPr>
          <w:p w14:paraId="166FA177"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1.5%</w:t>
            </w:r>
          </w:p>
        </w:tc>
        <w:tc>
          <w:tcPr>
            <w:tcW w:w="734" w:type="dxa"/>
            <w:tcBorders>
              <w:top w:val="nil"/>
              <w:left w:val="nil"/>
              <w:bottom w:val="nil"/>
              <w:right w:val="nil"/>
            </w:tcBorders>
            <w:shd w:val="clear" w:color="000000" w:fill="FFFFFF"/>
            <w:noWrap/>
            <w:vAlign w:val="bottom"/>
          </w:tcPr>
          <w:p w14:paraId="53921B23"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40,870</w:t>
            </w:r>
          </w:p>
        </w:tc>
        <w:tc>
          <w:tcPr>
            <w:tcW w:w="734" w:type="dxa"/>
            <w:tcBorders>
              <w:top w:val="nil"/>
              <w:left w:val="nil"/>
              <w:bottom w:val="nil"/>
              <w:right w:val="nil"/>
            </w:tcBorders>
            <w:shd w:val="clear" w:color="000000" w:fill="BFBFBF"/>
            <w:noWrap/>
            <w:vAlign w:val="bottom"/>
          </w:tcPr>
          <w:p w14:paraId="2727DD71" w14:textId="77777777" w:rsidR="00A83362" w:rsidRPr="00E12C39" w:rsidRDefault="00A83362" w:rsidP="0070537E">
            <w:pPr>
              <w:jc w:val="right"/>
              <w:rPr>
                <w:rFonts w:ascii="Calibri" w:hAnsi="Calibri" w:cs="Calibri"/>
                <w:color w:val="0D0D0D"/>
                <w:sz w:val="19"/>
                <w:szCs w:val="19"/>
              </w:rPr>
            </w:pPr>
            <w:r>
              <w:rPr>
                <w:rFonts w:ascii="Calibri" w:hAnsi="Calibri" w:cs="Calibri"/>
                <w:color w:val="0D0D0D"/>
                <w:sz w:val="20"/>
                <w:szCs w:val="20"/>
              </w:rPr>
              <w:t>0.7%</w:t>
            </w:r>
          </w:p>
        </w:tc>
      </w:tr>
    </w:tbl>
    <w:p w14:paraId="6BED5A20" w14:textId="195A055B" w:rsidR="00A83362" w:rsidRPr="00B04D7E" w:rsidRDefault="00A83362" w:rsidP="00A83362">
      <w:pPr>
        <w:spacing w:before="120"/>
        <w:ind w:left="90"/>
        <w:rPr>
          <w:rFonts w:eastAsia="Times New Roman" w:cstheme="majorBidi"/>
          <w:b/>
          <w:i/>
          <w:iCs/>
          <w:smallCaps/>
          <w:noProof/>
          <w:color w:val="000000" w:themeColor="text1"/>
          <w:sz w:val="24"/>
          <w:u w:color="5B9BD5"/>
        </w:rPr>
      </w:pPr>
      <w:r w:rsidRPr="00B04D7E">
        <w:rPr>
          <w:i/>
          <w:color w:val="0D0D0D" w:themeColor="text1" w:themeTint="F2"/>
          <w:sz w:val="14"/>
          <w:szCs w:val="14"/>
        </w:rPr>
        <w:t>Note: Some amounts presented in the above Table 2 for 2019 differ from FY2019’s MD&amp;A and are based upon restated amounts included in the System report titled, ‘Student Charges FY2020’.</w:t>
      </w:r>
      <w:r w:rsidR="00C02991" w:rsidRPr="00B04D7E">
        <w:rPr>
          <w:i/>
          <w:color w:val="0D0D0D" w:themeColor="text1" w:themeTint="F2"/>
          <w:sz w:val="14"/>
          <w:szCs w:val="14"/>
        </w:rPr>
        <w:t xml:space="preserve">  The In-State Graduate 2020 cost differs from FY2022’s MD&amp;A due to restated amounts included in the System report titled, ‘Student Charges FY2020’</w:t>
      </w:r>
      <w:r w:rsidR="005D0CCF" w:rsidRPr="00B04D7E">
        <w:rPr>
          <w:i/>
          <w:color w:val="0D0D0D" w:themeColor="text1" w:themeTint="F2"/>
          <w:sz w:val="14"/>
          <w:szCs w:val="14"/>
        </w:rPr>
        <w:t xml:space="preserve"> which was revised February 2023.</w:t>
      </w:r>
    </w:p>
    <w:p w14:paraId="0BA76601" w14:textId="77777777" w:rsidR="00A83362" w:rsidRDefault="00A83362" w:rsidP="00AC1674">
      <w:pPr>
        <w:pStyle w:val="AFR2"/>
        <w:rPr>
          <w:rFonts w:eastAsia="Times New Roman"/>
        </w:rPr>
      </w:pPr>
      <w:r>
        <w:rPr>
          <w:rFonts w:eastAsia="Times New Roman"/>
        </w:rPr>
        <w:lastRenderedPageBreak/>
        <w:t>Overview of the Financial Statements</w:t>
      </w:r>
    </w:p>
    <w:p w14:paraId="3000E8E4" w14:textId="77777777" w:rsidR="00A83362" w:rsidRDefault="00A83362" w:rsidP="00A83362">
      <w:pPr>
        <w:spacing w:after="120"/>
        <w:rPr>
          <w:rFonts w:ascii="Calibri" w:eastAsia="Times New Roman" w:hAnsi="Calibri" w:cs="Tahoma"/>
          <w:sz w:val="24"/>
        </w:rPr>
      </w:pPr>
      <w:r>
        <w:rPr>
          <w:rFonts w:ascii="Calibri" w:eastAsia="Times New Roman" w:hAnsi="Calibri" w:cs="Tahoma"/>
          <w:sz w:val="24"/>
        </w:rPr>
        <w:t xml:space="preserve">This discussion and analysis </w:t>
      </w:r>
      <w:proofErr w:type="gramStart"/>
      <w:r>
        <w:rPr>
          <w:rFonts w:ascii="Calibri" w:eastAsia="Times New Roman" w:hAnsi="Calibri" w:cs="Tahoma"/>
          <w:sz w:val="24"/>
        </w:rPr>
        <w:t>is</w:t>
      </w:r>
      <w:proofErr w:type="gramEnd"/>
      <w:r>
        <w:rPr>
          <w:rFonts w:ascii="Calibri" w:eastAsia="Times New Roman" w:hAnsi="Calibri" w:cs="Tahoma"/>
          <w:sz w:val="24"/>
        </w:rPr>
        <w:t xml:space="preserve"> an introduction to the System’s financial statements which are prepared in accordance with U.S. generally accepted accounting principles and are comprised of four components: 1) system-wide financial statements, 2) component unit financial statements, 3) fiduciary funds financial statements, and 4) notes to the financial statements. This report also contains other supplementary information in addition to the basic financial statements.</w:t>
      </w:r>
    </w:p>
    <w:p w14:paraId="2DF332F8" w14:textId="77777777" w:rsidR="00A83362" w:rsidRPr="0043381C" w:rsidRDefault="00A83362" w:rsidP="00A83362">
      <w:pPr>
        <w:spacing w:before="240"/>
        <w:rPr>
          <w:rFonts w:ascii="Calibri" w:eastAsia="Times New Roman" w:hAnsi="Calibri" w:cs="Tahoma"/>
          <w:sz w:val="24"/>
        </w:rPr>
      </w:pPr>
      <w:r>
        <w:rPr>
          <w:rFonts w:ascii="Calibri" w:eastAsia="Times New Roman" w:hAnsi="Calibri" w:cs="Tahoma"/>
          <w:sz w:val="24"/>
        </w:rPr>
        <w:t>The University of Maine Foundation is a legally separate tax-exempt component unit of the System. This entity’s financial position and activities are discretely presented in the System’s financial statements as required by Governmental Accounting Standards Board (GASB) statements</w:t>
      </w:r>
      <w:r>
        <w:rPr>
          <w:rFonts w:ascii="Calibri" w:eastAsia="Times New Roman" w:hAnsi="Calibri" w:cs="Tahoma"/>
          <w:i/>
          <w:sz w:val="24"/>
        </w:rPr>
        <w:t xml:space="preserve">. </w:t>
      </w:r>
      <w:r>
        <w:rPr>
          <w:rFonts w:ascii="Calibri" w:eastAsia="Times New Roman" w:hAnsi="Calibri" w:cs="Tahoma"/>
          <w:sz w:val="24"/>
        </w:rPr>
        <w:t xml:space="preserve">This MD&amp;A includes information only for the System, not </w:t>
      </w:r>
      <w:r w:rsidRPr="0043381C">
        <w:rPr>
          <w:rFonts w:ascii="Calibri" w:eastAsia="Times New Roman" w:hAnsi="Calibri" w:cs="Tahoma"/>
          <w:sz w:val="24"/>
        </w:rPr>
        <w:t>its component unit.</w:t>
      </w:r>
    </w:p>
    <w:p w14:paraId="65F71A26" w14:textId="77777777" w:rsidR="00A83362" w:rsidRPr="00B67972" w:rsidRDefault="00A83362" w:rsidP="00A83362">
      <w:pPr>
        <w:spacing w:before="240" w:after="120"/>
        <w:rPr>
          <w:rFonts w:ascii="Calibri" w:eastAsia="Times New Roman" w:hAnsi="Calibri" w:cs="Tahoma"/>
          <w:b/>
          <w:sz w:val="24"/>
          <w:u w:val="single"/>
        </w:rPr>
      </w:pPr>
      <w:r w:rsidRPr="00B67972">
        <w:rPr>
          <w:b/>
          <w:i/>
          <w:sz w:val="26"/>
          <w:u w:val="single" w:color="000000" w:themeColor="text1"/>
        </w:rPr>
        <w:t>System-wide Financial Statements</w:t>
      </w:r>
    </w:p>
    <w:p w14:paraId="53B31DA3" w14:textId="77777777" w:rsidR="00A83362" w:rsidRPr="00B67972" w:rsidRDefault="00A83362" w:rsidP="00A83362">
      <w:pPr>
        <w:spacing w:after="120"/>
        <w:rPr>
          <w:rFonts w:ascii="Calibri" w:eastAsia="Times New Roman" w:hAnsi="Calibri" w:cs="Tahoma"/>
          <w:sz w:val="24"/>
        </w:rPr>
      </w:pPr>
      <w:r w:rsidRPr="00B67972">
        <w:rPr>
          <w:rFonts w:ascii="Calibri" w:eastAsia="Times New Roman" w:hAnsi="Calibri" w:cs="Tahoma"/>
          <w:sz w:val="24"/>
        </w:rPr>
        <w:t>These financial statements report information about the System’s assets, liabilities, deferred inflows and outflows, net position, revenues, and expenses and are comprised of the following:</w:t>
      </w:r>
    </w:p>
    <w:p w14:paraId="1984DD65" w14:textId="77777777" w:rsidR="00A83362" w:rsidRDefault="00A83362" w:rsidP="00A83362">
      <w:pPr>
        <w:numPr>
          <w:ilvl w:val="0"/>
          <w:numId w:val="1"/>
        </w:numPr>
        <w:ind w:left="720"/>
        <w:rPr>
          <w:rFonts w:ascii="Calibri" w:eastAsia="Times New Roman" w:hAnsi="Calibri" w:cs="Tahoma"/>
          <w:sz w:val="24"/>
        </w:rPr>
      </w:pPr>
      <w:r>
        <w:rPr>
          <w:rFonts w:ascii="Calibri" w:eastAsia="Times New Roman" w:hAnsi="Calibri" w:cs="Tahoma"/>
          <w:sz w:val="24"/>
        </w:rPr>
        <w:t>Statements of Net Position</w:t>
      </w:r>
    </w:p>
    <w:p w14:paraId="192E23BE" w14:textId="77777777" w:rsidR="00A83362" w:rsidRDefault="00A83362" w:rsidP="00A83362">
      <w:pPr>
        <w:numPr>
          <w:ilvl w:val="0"/>
          <w:numId w:val="1"/>
        </w:numPr>
        <w:tabs>
          <w:tab w:val="num" w:pos="1080"/>
        </w:tabs>
        <w:ind w:left="720"/>
        <w:rPr>
          <w:rFonts w:ascii="Calibri" w:eastAsia="Times New Roman" w:hAnsi="Calibri" w:cs="Tahoma"/>
          <w:sz w:val="24"/>
        </w:rPr>
      </w:pPr>
      <w:r>
        <w:rPr>
          <w:rFonts w:ascii="Calibri" w:eastAsia="Times New Roman" w:hAnsi="Calibri" w:cs="Tahoma"/>
          <w:sz w:val="24"/>
        </w:rPr>
        <w:t>Statements of Revenues, Expenses, and Changes in Net Position</w:t>
      </w:r>
    </w:p>
    <w:p w14:paraId="1A1DDE68" w14:textId="77777777" w:rsidR="00A83362" w:rsidRDefault="00A83362" w:rsidP="00A83362">
      <w:pPr>
        <w:numPr>
          <w:ilvl w:val="0"/>
          <w:numId w:val="1"/>
        </w:numPr>
        <w:tabs>
          <w:tab w:val="num" w:pos="1080"/>
        </w:tabs>
        <w:ind w:left="720"/>
        <w:rPr>
          <w:rFonts w:ascii="Calibri" w:eastAsia="Times New Roman" w:hAnsi="Calibri" w:cs="Tahoma"/>
          <w:sz w:val="24"/>
        </w:rPr>
      </w:pPr>
      <w:r>
        <w:rPr>
          <w:rFonts w:ascii="Calibri" w:eastAsia="Times New Roman" w:hAnsi="Calibri" w:cs="Tahoma"/>
          <w:sz w:val="24"/>
        </w:rPr>
        <w:t>Statements of Cash Flows</w:t>
      </w:r>
    </w:p>
    <w:p w14:paraId="06E9FFF8" w14:textId="77777777" w:rsidR="00A83362" w:rsidRPr="00A316AD" w:rsidRDefault="00A83362" w:rsidP="00A83362">
      <w:pPr>
        <w:spacing w:before="240" w:after="120"/>
        <w:rPr>
          <w:rFonts w:ascii="Calibri" w:eastAsia="Times New Roman" w:hAnsi="Calibri" w:cs="Tahoma"/>
          <w:b/>
          <w:sz w:val="24"/>
          <w:u w:val="single"/>
        </w:rPr>
      </w:pPr>
      <w:r w:rsidRPr="00A316AD">
        <w:rPr>
          <w:b/>
          <w:i/>
          <w:sz w:val="26"/>
          <w:u w:val="single" w:color="000000" w:themeColor="text1"/>
        </w:rPr>
        <w:t>Fiduciary Funds Financial Statements</w:t>
      </w:r>
    </w:p>
    <w:p w14:paraId="5A0D8BCF" w14:textId="77777777" w:rsidR="00A83362" w:rsidRPr="007867F1" w:rsidRDefault="00A83362" w:rsidP="00A83362">
      <w:pPr>
        <w:rPr>
          <w:rFonts w:ascii="Calibri" w:eastAsia="Times New Roman" w:hAnsi="Calibri" w:cs="Tahoma"/>
          <w:sz w:val="24"/>
        </w:rPr>
      </w:pPr>
      <w:r w:rsidRPr="007867F1">
        <w:rPr>
          <w:rFonts w:ascii="Calibri" w:eastAsia="Times New Roman" w:hAnsi="Calibri" w:cs="Tahoma"/>
          <w:sz w:val="24"/>
        </w:rPr>
        <w:t xml:space="preserve">These financial statements include information about assets held by the System </w:t>
      </w:r>
      <w:r>
        <w:rPr>
          <w:rFonts w:ascii="Calibri" w:eastAsia="Times New Roman" w:hAnsi="Calibri" w:cs="Tahoma"/>
          <w:sz w:val="24"/>
        </w:rPr>
        <w:t xml:space="preserve">on behalf of other entities </w:t>
      </w:r>
      <w:r w:rsidRPr="007867F1">
        <w:rPr>
          <w:rFonts w:ascii="Calibri" w:eastAsia="Times New Roman" w:hAnsi="Calibri" w:cs="Tahoma"/>
          <w:sz w:val="24"/>
        </w:rPr>
        <w:t>as a</w:t>
      </w:r>
      <w:r>
        <w:rPr>
          <w:rFonts w:ascii="Calibri" w:eastAsia="Times New Roman" w:hAnsi="Calibri" w:cs="Tahoma"/>
          <w:sz w:val="24"/>
        </w:rPr>
        <w:t xml:space="preserve"> trustee or fiduciary</w:t>
      </w:r>
      <w:r w:rsidRPr="007867F1">
        <w:rPr>
          <w:rFonts w:ascii="Calibri" w:eastAsia="Times New Roman" w:hAnsi="Calibri" w:cs="Tahoma"/>
          <w:sz w:val="24"/>
        </w:rPr>
        <w:t xml:space="preserve">. The System is responsible for ensuring </w:t>
      </w:r>
      <w:r>
        <w:rPr>
          <w:rFonts w:ascii="Calibri" w:eastAsia="Times New Roman" w:hAnsi="Calibri" w:cs="Tahoma"/>
          <w:sz w:val="24"/>
        </w:rPr>
        <w:t>such</w:t>
      </w:r>
      <w:r w:rsidRPr="007867F1">
        <w:rPr>
          <w:rFonts w:ascii="Calibri" w:eastAsia="Times New Roman" w:hAnsi="Calibri" w:cs="Tahoma"/>
          <w:sz w:val="24"/>
        </w:rPr>
        <w:t xml:space="preserve"> assets are used only for their intended purposes and by those to whom the assets belong. Included in these fiduciary financial statements are </w:t>
      </w:r>
      <w:r>
        <w:rPr>
          <w:rFonts w:ascii="Calibri" w:eastAsia="Times New Roman" w:hAnsi="Calibri" w:cs="Tahoma"/>
          <w:sz w:val="24"/>
        </w:rPr>
        <w:t>investments</w:t>
      </w:r>
      <w:r w:rsidRPr="007867F1">
        <w:rPr>
          <w:rFonts w:ascii="Calibri" w:eastAsia="Times New Roman" w:hAnsi="Calibri" w:cs="Tahoma"/>
          <w:sz w:val="24"/>
        </w:rPr>
        <w:t xml:space="preserve"> held on behalf of the System’s pension and other postemployment benefit trusts, </w:t>
      </w:r>
      <w:r>
        <w:rPr>
          <w:rFonts w:ascii="Calibri" w:eastAsia="Times New Roman" w:hAnsi="Calibri" w:cs="Tahoma"/>
          <w:sz w:val="24"/>
        </w:rPr>
        <w:t>monies</w:t>
      </w:r>
      <w:r w:rsidRPr="007867F1">
        <w:rPr>
          <w:rFonts w:ascii="Calibri" w:eastAsia="Times New Roman" w:hAnsi="Calibri" w:cs="Tahoma"/>
          <w:sz w:val="24"/>
        </w:rPr>
        <w:t xml:space="preserve"> invested by external parties in the System’s managed investment and endowment pools, and cash held on behalf of various student government groups.</w:t>
      </w:r>
    </w:p>
    <w:p w14:paraId="54B95F50" w14:textId="77777777" w:rsidR="00A83362" w:rsidRPr="007867F1" w:rsidRDefault="00A83362" w:rsidP="00A83362">
      <w:pPr>
        <w:rPr>
          <w:rFonts w:ascii="Calibri" w:eastAsia="Times New Roman" w:hAnsi="Calibri" w:cs="Tahoma"/>
          <w:sz w:val="24"/>
        </w:rPr>
      </w:pPr>
    </w:p>
    <w:p w14:paraId="668A551B" w14:textId="77777777" w:rsidR="00A83362" w:rsidRPr="007867F1" w:rsidRDefault="00A83362" w:rsidP="00A83362">
      <w:pPr>
        <w:spacing w:after="120"/>
        <w:rPr>
          <w:rFonts w:ascii="Calibri" w:eastAsia="Times New Roman" w:hAnsi="Calibri" w:cs="Tahoma"/>
          <w:sz w:val="24"/>
        </w:rPr>
      </w:pPr>
      <w:r w:rsidRPr="007867F1">
        <w:rPr>
          <w:rFonts w:ascii="Calibri" w:eastAsia="Times New Roman" w:hAnsi="Calibri" w:cs="Tahoma"/>
          <w:sz w:val="24"/>
        </w:rPr>
        <w:t>The fiduciary funds financial statements are comprised of the following:</w:t>
      </w:r>
    </w:p>
    <w:p w14:paraId="63EFCCDD" w14:textId="77777777" w:rsidR="00A83362" w:rsidRPr="007867F1" w:rsidRDefault="00A83362" w:rsidP="00A83362">
      <w:pPr>
        <w:pStyle w:val="ListParagraph"/>
        <w:numPr>
          <w:ilvl w:val="0"/>
          <w:numId w:val="14"/>
        </w:numPr>
        <w:contextualSpacing w:val="0"/>
        <w:rPr>
          <w:rFonts w:ascii="Calibri" w:hAnsi="Calibri" w:cs="Tahoma"/>
        </w:rPr>
      </w:pPr>
      <w:r w:rsidRPr="007867F1">
        <w:rPr>
          <w:rFonts w:ascii="Calibri" w:hAnsi="Calibri" w:cs="Tahoma"/>
        </w:rPr>
        <w:t>Statements of Fiduciary Net Position</w:t>
      </w:r>
    </w:p>
    <w:p w14:paraId="0193353F" w14:textId="77777777" w:rsidR="00A83362" w:rsidRPr="007867F1" w:rsidRDefault="00A83362" w:rsidP="00A83362">
      <w:pPr>
        <w:pStyle w:val="ListParagraph"/>
        <w:numPr>
          <w:ilvl w:val="0"/>
          <w:numId w:val="14"/>
        </w:numPr>
        <w:contextualSpacing w:val="0"/>
        <w:rPr>
          <w:rFonts w:ascii="Calibri" w:hAnsi="Calibri" w:cs="Tahoma"/>
        </w:rPr>
      </w:pPr>
      <w:r w:rsidRPr="007867F1">
        <w:rPr>
          <w:rFonts w:ascii="Calibri" w:hAnsi="Calibri" w:cs="Tahoma"/>
        </w:rPr>
        <w:t>Statements of Changes in Fiduciary Net Position</w:t>
      </w:r>
    </w:p>
    <w:p w14:paraId="076E6823" w14:textId="77777777" w:rsidR="00A83362" w:rsidRPr="00A316AD" w:rsidRDefault="00A83362" w:rsidP="00A83362">
      <w:pPr>
        <w:spacing w:before="240" w:after="120"/>
        <w:rPr>
          <w:rFonts w:ascii="Calibri" w:hAnsi="Calibri" w:cs="Tahoma"/>
          <w:b/>
          <w:u w:val="single"/>
        </w:rPr>
      </w:pPr>
      <w:r w:rsidRPr="00A316AD">
        <w:rPr>
          <w:b/>
          <w:i/>
          <w:sz w:val="26"/>
          <w:u w:val="single" w:color="000000" w:themeColor="text1"/>
        </w:rPr>
        <w:t>Notes to the Financial Statements</w:t>
      </w:r>
    </w:p>
    <w:p w14:paraId="0DE8255A" w14:textId="2AD77C25" w:rsidR="00A83362" w:rsidRDefault="00A83362" w:rsidP="00AC1674">
      <w:pPr>
        <w:rPr>
          <w:b/>
          <w:i/>
          <w:sz w:val="26"/>
          <w:u w:val="single" w:color="000000" w:themeColor="text1"/>
        </w:rPr>
      </w:pPr>
      <w:r w:rsidRPr="00790AF8">
        <w:rPr>
          <w:rFonts w:ascii="Calibri" w:hAnsi="Calibri" w:cs="Tahoma"/>
          <w:sz w:val="24"/>
          <w:szCs w:val="24"/>
        </w:rPr>
        <w:t>The notes to the financial statements provide additional information that is essential to a full understanding of the data provided in both the system-wide and fiduciary funds financial statements.</w:t>
      </w:r>
      <w:r>
        <w:rPr>
          <w:b/>
          <w:i/>
          <w:sz w:val="26"/>
          <w:u w:val="single" w:color="000000" w:themeColor="text1"/>
        </w:rPr>
        <w:br w:type="page"/>
      </w:r>
    </w:p>
    <w:p w14:paraId="1DEDB212" w14:textId="77777777" w:rsidR="00A83362" w:rsidRPr="00A316AD" w:rsidRDefault="00A83362" w:rsidP="00A83362">
      <w:pPr>
        <w:tabs>
          <w:tab w:val="left" w:pos="3885"/>
        </w:tabs>
        <w:spacing w:before="240" w:after="120"/>
        <w:rPr>
          <w:rFonts w:ascii="Calibri" w:hAnsi="Calibri" w:cs="Tahoma"/>
          <w:b/>
          <w:u w:val="single"/>
        </w:rPr>
      </w:pPr>
      <w:r>
        <w:rPr>
          <w:b/>
          <w:i/>
          <w:sz w:val="26"/>
          <w:u w:val="single" w:color="000000" w:themeColor="text1"/>
        </w:rPr>
        <w:lastRenderedPageBreak/>
        <w:t>Other</w:t>
      </w:r>
      <w:r w:rsidRPr="00A316AD">
        <w:rPr>
          <w:b/>
          <w:i/>
          <w:sz w:val="26"/>
          <w:u w:val="single" w:color="000000" w:themeColor="text1"/>
        </w:rPr>
        <w:t xml:space="preserve"> Information</w:t>
      </w:r>
    </w:p>
    <w:p w14:paraId="42D5197E" w14:textId="77777777" w:rsidR="00A83362" w:rsidRPr="00790AF8" w:rsidRDefault="00A83362" w:rsidP="00A83362">
      <w:pPr>
        <w:rPr>
          <w:rFonts w:ascii="Calibri" w:hAnsi="Calibri" w:cs="Tahoma"/>
          <w:sz w:val="24"/>
          <w:szCs w:val="24"/>
        </w:rPr>
      </w:pPr>
      <w:r w:rsidRPr="00790AF8">
        <w:rPr>
          <w:rFonts w:ascii="Calibri" w:hAnsi="Calibri" w:cs="Tahoma"/>
          <w:sz w:val="24"/>
          <w:szCs w:val="24"/>
        </w:rPr>
        <w:t>This report also provides certain required supplementary information related to the System’s retirement and other postemployment benefit plans and a Schedule of Activities required by the State of Maine.</w:t>
      </w:r>
    </w:p>
    <w:p w14:paraId="043FDAC5" w14:textId="77777777" w:rsidR="00A83362" w:rsidRDefault="00A83362" w:rsidP="00A83362">
      <w:pPr>
        <w:pStyle w:val="AFR2"/>
        <w:rPr>
          <w:rFonts w:eastAsia="Times New Roman"/>
        </w:rPr>
      </w:pPr>
      <w:r>
        <w:rPr>
          <w:rFonts w:eastAsia="Times New Roman"/>
        </w:rPr>
        <w:t>Statements of Net Position</w:t>
      </w:r>
    </w:p>
    <w:p w14:paraId="20B86739" w14:textId="77777777" w:rsidR="00A83362" w:rsidRDefault="00A83362" w:rsidP="00A83362">
      <w:pPr>
        <w:rPr>
          <w:rFonts w:ascii="Calibri" w:hAnsi="Calibri" w:cs="Tahoma"/>
          <w:sz w:val="24"/>
        </w:rPr>
      </w:pPr>
      <w:r>
        <w:rPr>
          <w:rFonts w:ascii="Calibri" w:hAnsi="Calibri" w:cs="Tahoma"/>
          <w:sz w:val="24"/>
        </w:rPr>
        <w:t xml:space="preserve">The Statements of Net Position present the financial position of the System at one point in time – June 30 – and include all assets, deferred outflows of resources, liabilities, deferred inflows of resources, and net position of the System. These statements are the primary statements used to report financial condition. Net position represents the residual interest in the System’s assets and deferred outflows of resources after liabilities and deferred inflows of resources are deducted. The change in net position is an indicator of whether the overall financial condition has improved or deteriorated during the year. Table 3 </w:t>
      </w:r>
      <w:r w:rsidRPr="00D0786F">
        <w:rPr>
          <w:rFonts w:ascii="Calibri" w:hAnsi="Calibri" w:cs="Tahoma"/>
          <w:sz w:val="24"/>
        </w:rPr>
        <w:t xml:space="preserve">on page </w:t>
      </w:r>
      <w:r w:rsidRPr="00D0786F">
        <w:rPr>
          <w:rFonts w:ascii="Calibri" w:hAnsi="Calibri" w:cs="Tahoma"/>
          <w:color w:val="0D0D0D" w:themeColor="text1" w:themeTint="F2"/>
          <w:sz w:val="24"/>
        </w:rPr>
        <w:t>19</w:t>
      </w:r>
      <w:r>
        <w:rPr>
          <w:rFonts w:ascii="Calibri" w:hAnsi="Calibri" w:cs="Tahoma"/>
          <w:sz w:val="24"/>
        </w:rPr>
        <w:t xml:space="preserve"> shows Condensed Statements of Net Position for the past five years.</w:t>
      </w:r>
    </w:p>
    <w:p w14:paraId="5D5CBD43" w14:textId="77777777" w:rsidR="00A83362" w:rsidRDefault="00A83362" w:rsidP="00A83362">
      <w:pPr>
        <w:pStyle w:val="AFR3"/>
      </w:pPr>
      <w:r w:rsidRPr="00721CFD">
        <w:t>Restatement of Prior Year</w:t>
      </w:r>
    </w:p>
    <w:p w14:paraId="49D59F16" w14:textId="6ED1E7E7" w:rsidR="00A83362" w:rsidRDefault="00A83362" w:rsidP="00A83362">
      <w:pPr>
        <w:pStyle w:val="AFR3"/>
        <w:spacing w:before="0"/>
        <w:rPr>
          <w:rFonts w:ascii="Calibri" w:hAnsi="Calibri" w:cs="Tahoma"/>
          <w:b w:val="0"/>
          <w:i w:val="0"/>
          <w:sz w:val="24"/>
          <w:u w:val="none"/>
        </w:rPr>
      </w:pPr>
      <w:r>
        <w:rPr>
          <w:rFonts w:ascii="Calibri" w:hAnsi="Calibri" w:cs="Tahoma"/>
          <w:b w:val="0"/>
          <w:i w:val="0"/>
          <w:sz w:val="24"/>
          <w:u w:val="none"/>
        </w:rPr>
        <w:t xml:space="preserve">The FY22 financial statements have been restated to reflect adoption of </w:t>
      </w:r>
      <w:r w:rsidR="00212CB1">
        <w:rPr>
          <w:rFonts w:ascii="Calibri" w:hAnsi="Calibri" w:cs="Tahoma"/>
          <w:b w:val="0"/>
          <w:i w:val="0"/>
          <w:sz w:val="24"/>
          <w:u w:val="none"/>
        </w:rPr>
        <w:t xml:space="preserve">GASB Statement No. 94, </w:t>
      </w:r>
      <w:r w:rsidR="00212CB1" w:rsidRPr="00BC0FDB">
        <w:rPr>
          <w:rFonts w:ascii="Calibri" w:hAnsi="Calibri" w:cs="Tahoma"/>
          <w:b w:val="0"/>
          <w:sz w:val="24"/>
          <w:u w:val="none"/>
        </w:rPr>
        <w:t>Public-Private and Public-Public Partnerships and Availability Payment Arrangements</w:t>
      </w:r>
      <w:r w:rsidR="00212CB1">
        <w:rPr>
          <w:rFonts w:ascii="Calibri" w:hAnsi="Calibri" w:cs="Tahoma"/>
          <w:b w:val="0"/>
          <w:i w:val="0"/>
          <w:sz w:val="24"/>
          <w:u w:val="none"/>
        </w:rPr>
        <w:t xml:space="preserve"> and </w:t>
      </w:r>
      <w:r>
        <w:rPr>
          <w:rFonts w:ascii="Calibri" w:hAnsi="Calibri" w:cs="Tahoma"/>
          <w:b w:val="0"/>
          <w:i w:val="0"/>
          <w:sz w:val="24"/>
          <w:u w:val="none"/>
        </w:rPr>
        <w:t xml:space="preserve">GASB Statement No. 96, </w:t>
      </w:r>
      <w:r>
        <w:rPr>
          <w:rFonts w:ascii="Calibri" w:hAnsi="Calibri" w:cs="Tahoma"/>
          <w:b w:val="0"/>
          <w:sz w:val="24"/>
          <w:u w:val="none"/>
        </w:rPr>
        <w:t>Subscription-Based Information Technology Arrangements</w:t>
      </w:r>
      <w:r>
        <w:rPr>
          <w:rFonts w:ascii="Calibri" w:hAnsi="Calibri" w:cs="Tahoma"/>
          <w:b w:val="0"/>
          <w:i w:val="0"/>
          <w:sz w:val="24"/>
          <w:u w:val="none"/>
        </w:rPr>
        <w:t>. The overall impact on the FY22 data in the Condensed Statements of Net Position is that:</w:t>
      </w:r>
    </w:p>
    <w:p w14:paraId="4AC3B44A" w14:textId="40110571" w:rsidR="00B96E5B" w:rsidRPr="00B96E5B" w:rsidRDefault="00B96E5B" w:rsidP="00B96E5B">
      <w:pPr>
        <w:pStyle w:val="AFR3"/>
        <w:numPr>
          <w:ilvl w:val="0"/>
          <w:numId w:val="15"/>
        </w:numPr>
        <w:spacing w:before="0" w:after="0"/>
        <w:rPr>
          <w:rFonts w:ascii="Calibri" w:hAnsi="Calibri" w:cs="Tahoma"/>
          <w:b w:val="0"/>
          <w:i w:val="0"/>
          <w:sz w:val="24"/>
          <w:u w:val="none"/>
        </w:rPr>
      </w:pPr>
      <w:r w:rsidRPr="00B96E5B">
        <w:rPr>
          <w:rFonts w:ascii="Calibri" w:hAnsi="Calibri" w:cs="Tahoma"/>
          <w:b w:val="0"/>
          <w:i w:val="0"/>
          <w:sz w:val="24"/>
          <w:u w:val="none"/>
        </w:rPr>
        <w:t>Other current assets decreased $1 million</w:t>
      </w:r>
    </w:p>
    <w:p w14:paraId="2344F07A" w14:textId="389517ED" w:rsidR="00A83362" w:rsidRDefault="00A83362" w:rsidP="00A83362">
      <w:pPr>
        <w:pStyle w:val="AFR3"/>
        <w:numPr>
          <w:ilvl w:val="0"/>
          <w:numId w:val="15"/>
        </w:numPr>
        <w:spacing w:before="0" w:after="0"/>
        <w:rPr>
          <w:rFonts w:ascii="Calibri" w:hAnsi="Calibri" w:cs="Tahoma"/>
          <w:b w:val="0"/>
          <w:i w:val="0"/>
          <w:sz w:val="24"/>
          <w:u w:val="none"/>
        </w:rPr>
      </w:pPr>
      <w:r w:rsidRPr="005D1175">
        <w:rPr>
          <w:rFonts w:ascii="Calibri" w:hAnsi="Calibri" w:cs="Tahoma"/>
          <w:b w:val="0"/>
          <w:i w:val="0"/>
          <w:sz w:val="24"/>
          <w:u w:val="none"/>
        </w:rPr>
        <w:t>Capital assets, net increased $15 million</w:t>
      </w:r>
    </w:p>
    <w:p w14:paraId="1EA1B466" w14:textId="72C97FC2" w:rsidR="00D32DFE" w:rsidRPr="00A96213" w:rsidRDefault="00C63E25" w:rsidP="00A96213">
      <w:pPr>
        <w:pStyle w:val="AFR3"/>
        <w:numPr>
          <w:ilvl w:val="0"/>
          <w:numId w:val="15"/>
        </w:numPr>
        <w:spacing w:before="0" w:after="0"/>
        <w:rPr>
          <w:rFonts w:ascii="Calibri" w:hAnsi="Calibri" w:cs="Tahoma"/>
          <w:sz w:val="24"/>
          <w:u w:val="none"/>
        </w:rPr>
      </w:pPr>
      <w:r w:rsidRPr="008A4B0D">
        <w:rPr>
          <w:rFonts w:ascii="Calibri" w:hAnsi="Calibri" w:cs="Tahoma"/>
          <w:b w:val="0"/>
          <w:i w:val="0"/>
          <w:sz w:val="24"/>
          <w:u w:val="none"/>
        </w:rPr>
        <w:t xml:space="preserve">Obligations for right of use assets </w:t>
      </w:r>
      <w:r w:rsidR="00A83362" w:rsidRPr="008A4B0D">
        <w:rPr>
          <w:rFonts w:ascii="Calibri" w:hAnsi="Calibri" w:cs="Tahoma"/>
          <w:b w:val="0"/>
          <w:i w:val="0"/>
          <w:sz w:val="24"/>
          <w:u w:val="none"/>
        </w:rPr>
        <w:t>increased $</w:t>
      </w:r>
      <w:r w:rsidR="000E1705" w:rsidRPr="008A4B0D">
        <w:rPr>
          <w:rFonts w:ascii="Calibri" w:hAnsi="Calibri" w:cs="Tahoma"/>
          <w:b w:val="0"/>
          <w:i w:val="0"/>
          <w:sz w:val="24"/>
          <w:u w:val="none"/>
        </w:rPr>
        <w:t>1</w:t>
      </w:r>
      <w:r w:rsidR="008A4B0D">
        <w:rPr>
          <w:rFonts w:ascii="Calibri" w:hAnsi="Calibri" w:cs="Tahoma"/>
          <w:b w:val="0"/>
          <w:i w:val="0"/>
          <w:sz w:val="24"/>
          <w:u w:val="none"/>
        </w:rPr>
        <w:t>8</w:t>
      </w:r>
      <w:r w:rsidR="00007258" w:rsidRPr="008A4B0D">
        <w:rPr>
          <w:rFonts w:ascii="Calibri" w:hAnsi="Calibri" w:cs="Tahoma"/>
          <w:b w:val="0"/>
          <w:i w:val="0"/>
          <w:sz w:val="24"/>
          <w:u w:val="none"/>
        </w:rPr>
        <w:t xml:space="preserve"> </w:t>
      </w:r>
      <w:r w:rsidR="00A83362" w:rsidRPr="008A4B0D">
        <w:rPr>
          <w:rFonts w:ascii="Calibri" w:hAnsi="Calibri" w:cs="Tahoma"/>
          <w:b w:val="0"/>
          <w:i w:val="0"/>
          <w:sz w:val="24"/>
          <w:u w:val="none"/>
        </w:rPr>
        <w:t>million</w:t>
      </w:r>
    </w:p>
    <w:p w14:paraId="36CDCDF6" w14:textId="4CACDCDC" w:rsidR="00A83362" w:rsidRDefault="00A83362" w:rsidP="00A83362">
      <w:pPr>
        <w:pStyle w:val="AFR3"/>
        <w:numPr>
          <w:ilvl w:val="0"/>
          <w:numId w:val="15"/>
        </w:numPr>
        <w:spacing w:before="0" w:after="0"/>
        <w:rPr>
          <w:rFonts w:ascii="Calibri" w:hAnsi="Calibri" w:cs="Tahoma"/>
          <w:b w:val="0"/>
          <w:i w:val="0"/>
          <w:sz w:val="24"/>
          <w:u w:val="none"/>
        </w:rPr>
      </w:pPr>
      <w:r w:rsidRPr="005D1175">
        <w:rPr>
          <w:rFonts w:ascii="Calibri" w:hAnsi="Calibri" w:cs="Tahoma"/>
          <w:b w:val="0"/>
          <w:i w:val="0"/>
          <w:sz w:val="24"/>
          <w:u w:val="none"/>
        </w:rPr>
        <w:t>Deferred inflows of resources decreased $4 million</w:t>
      </w:r>
    </w:p>
    <w:p w14:paraId="10632472" w14:textId="77777777" w:rsidR="00A83362" w:rsidRPr="008A3E54" w:rsidRDefault="00A83362" w:rsidP="00A83362">
      <w:pPr>
        <w:pStyle w:val="AFR3"/>
      </w:pPr>
      <w:r w:rsidRPr="008A3E54">
        <w:t>Postemployment Health Plan Considerations</w:t>
      </w:r>
    </w:p>
    <w:p w14:paraId="4679E73B" w14:textId="4EDBDDC2" w:rsidR="00A83362" w:rsidRPr="00293993" w:rsidRDefault="00A83362" w:rsidP="00A83362">
      <w:pPr>
        <w:pStyle w:val="AFR3"/>
        <w:rPr>
          <w:rFonts w:ascii="Calibri" w:hAnsi="Calibri" w:cs="Tahoma"/>
          <w:b w:val="0"/>
          <w:i w:val="0"/>
          <w:sz w:val="24"/>
          <w:highlight w:val="yellow"/>
          <w:u w:val="none"/>
        </w:rPr>
      </w:pPr>
      <w:r w:rsidRPr="008A3E54">
        <w:rPr>
          <w:rFonts w:ascii="Calibri" w:hAnsi="Calibri" w:cs="Tahoma"/>
          <w:b w:val="0"/>
          <w:i w:val="0"/>
          <w:sz w:val="24"/>
          <w:u w:val="none"/>
        </w:rPr>
        <w:t xml:space="preserve">The System’s Other Postemployment Benefits (OPEB) plan’s impact on the FY23 Statement of Net Position is primarily due to </w:t>
      </w:r>
      <w:r w:rsidR="00EA108C">
        <w:rPr>
          <w:rFonts w:ascii="Calibri" w:hAnsi="Calibri" w:cs="Tahoma"/>
          <w:b w:val="0"/>
          <w:i w:val="0"/>
          <w:sz w:val="24"/>
          <w:u w:val="none"/>
        </w:rPr>
        <w:t>differences between expected and actual experience</w:t>
      </w:r>
      <w:r w:rsidR="00A02EA3">
        <w:rPr>
          <w:rFonts w:ascii="Calibri" w:hAnsi="Calibri" w:cs="Tahoma"/>
          <w:b w:val="0"/>
          <w:i w:val="0"/>
          <w:sz w:val="24"/>
          <w:u w:val="none"/>
        </w:rPr>
        <w:t xml:space="preserve"> including impacts of the </w:t>
      </w:r>
      <w:r w:rsidR="00D31EB9">
        <w:rPr>
          <w:rFonts w:ascii="Calibri" w:hAnsi="Calibri" w:cs="Tahoma"/>
          <w:b w:val="0"/>
          <w:i w:val="0"/>
          <w:sz w:val="24"/>
          <w:u w:val="none"/>
        </w:rPr>
        <w:t xml:space="preserve">Special </w:t>
      </w:r>
      <w:r w:rsidR="00A02EA3">
        <w:rPr>
          <w:rFonts w:ascii="Calibri" w:hAnsi="Calibri" w:cs="Tahoma"/>
          <w:b w:val="0"/>
          <w:i w:val="0"/>
          <w:sz w:val="24"/>
          <w:u w:val="none"/>
        </w:rPr>
        <w:t xml:space="preserve">Retirement Incentive </w:t>
      </w:r>
      <w:r w:rsidR="00637F4E">
        <w:rPr>
          <w:rFonts w:ascii="Calibri" w:hAnsi="Calibri" w:cs="Tahoma"/>
          <w:b w:val="0"/>
          <w:i w:val="0"/>
          <w:sz w:val="24"/>
          <w:u w:val="none"/>
        </w:rPr>
        <w:t>P</w:t>
      </w:r>
      <w:r w:rsidR="00D31EB9">
        <w:rPr>
          <w:rFonts w:ascii="Calibri" w:hAnsi="Calibri" w:cs="Tahoma"/>
          <w:b w:val="0"/>
          <w:i w:val="0"/>
          <w:sz w:val="24"/>
          <w:u w:val="none"/>
        </w:rPr>
        <w:t xml:space="preserve">lan </w:t>
      </w:r>
      <w:r w:rsidR="003B25E2">
        <w:rPr>
          <w:rFonts w:ascii="Calibri" w:hAnsi="Calibri" w:cs="Tahoma"/>
          <w:b w:val="0"/>
          <w:i w:val="0"/>
          <w:sz w:val="24"/>
          <w:u w:val="none"/>
        </w:rPr>
        <w:t>and</w:t>
      </w:r>
      <w:r w:rsidR="00EA108C">
        <w:rPr>
          <w:rFonts w:ascii="Calibri" w:hAnsi="Calibri" w:cs="Tahoma"/>
          <w:b w:val="0"/>
          <w:i w:val="0"/>
          <w:sz w:val="24"/>
          <w:u w:val="none"/>
        </w:rPr>
        <w:t xml:space="preserve"> changes in </w:t>
      </w:r>
      <w:r w:rsidR="00C67CC2">
        <w:rPr>
          <w:rFonts w:ascii="Calibri" w:hAnsi="Calibri" w:cs="Tahoma"/>
          <w:b w:val="0"/>
          <w:i w:val="0"/>
          <w:sz w:val="24"/>
          <w:u w:val="none"/>
        </w:rPr>
        <w:t xml:space="preserve">the </w:t>
      </w:r>
      <w:r w:rsidR="00EA108C">
        <w:rPr>
          <w:rFonts w:ascii="Calibri" w:hAnsi="Calibri" w:cs="Tahoma"/>
          <w:b w:val="0"/>
          <w:i w:val="0"/>
          <w:sz w:val="24"/>
          <w:u w:val="none"/>
        </w:rPr>
        <w:t>medical trend rate assumption.</w:t>
      </w:r>
      <w:r w:rsidRPr="00300C4E">
        <w:rPr>
          <w:rFonts w:ascii="Calibri" w:hAnsi="Calibri" w:cs="Tahoma"/>
          <w:b w:val="0"/>
          <w:i w:val="0"/>
          <w:sz w:val="24"/>
          <w:u w:val="none"/>
        </w:rPr>
        <w:t xml:space="preserve"> </w:t>
      </w:r>
    </w:p>
    <w:p w14:paraId="4DA896A7" w14:textId="5638BE66" w:rsidR="00A83362" w:rsidRPr="00300C4E" w:rsidRDefault="00A83362" w:rsidP="00A83362">
      <w:pPr>
        <w:pStyle w:val="AFR3"/>
        <w:rPr>
          <w:rFonts w:ascii="Calibri" w:hAnsi="Calibri" w:cs="Tahoma"/>
          <w:b w:val="0"/>
          <w:i w:val="0"/>
          <w:sz w:val="24"/>
          <w:u w:val="none"/>
        </w:rPr>
      </w:pPr>
      <w:r w:rsidRPr="00300C4E">
        <w:rPr>
          <w:rFonts w:ascii="Calibri" w:hAnsi="Calibri" w:cs="Tahoma"/>
          <w:b w:val="0"/>
          <w:i w:val="0"/>
          <w:sz w:val="24"/>
          <w:u w:val="none"/>
        </w:rPr>
        <w:t>For reporting in the System’s Condensed Statements of Net Position, the total OPEB liability/asset is netted with the OPEB Trust assets. At June 30, 2023, the System had a net OPEB asset of $2</w:t>
      </w:r>
      <w:r>
        <w:rPr>
          <w:rFonts w:ascii="Calibri" w:hAnsi="Calibri" w:cs="Tahoma"/>
          <w:b w:val="0"/>
          <w:i w:val="0"/>
          <w:sz w:val="24"/>
          <w:u w:val="none"/>
        </w:rPr>
        <w:t>1</w:t>
      </w:r>
      <w:r w:rsidRPr="00300C4E">
        <w:rPr>
          <w:rFonts w:ascii="Calibri" w:hAnsi="Calibri" w:cs="Tahoma"/>
          <w:b w:val="0"/>
          <w:i w:val="0"/>
          <w:sz w:val="24"/>
          <w:u w:val="none"/>
        </w:rPr>
        <w:t xml:space="preserve"> million compared with a net OPEB liability of $18 million at June 30, 2022.</w:t>
      </w:r>
    </w:p>
    <w:p w14:paraId="57A864CD" w14:textId="77777777" w:rsidR="00A83362" w:rsidRPr="00300C4E" w:rsidRDefault="00A83362" w:rsidP="00A83362">
      <w:pPr>
        <w:pStyle w:val="AFR3"/>
        <w:rPr>
          <w:rFonts w:ascii="Calibri" w:hAnsi="Calibri" w:cs="Tahoma"/>
          <w:b w:val="0"/>
          <w:i w:val="0"/>
          <w:sz w:val="24"/>
          <w:u w:val="none"/>
        </w:rPr>
      </w:pPr>
      <w:r w:rsidRPr="00300C4E">
        <w:rPr>
          <w:rFonts w:ascii="Calibri" w:hAnsi="Calibri" w:cs="Tahoma"/>
          <w:b w:val="0"/>
          <w:i w:val="0"/>
          <w:sz w:val="24"/>
          <w:u w:val="none"/>
        </w:rPr>
        <w:t>Other lines of the Condensed Statements of Net Position that were significantly adjusted by the FY23 actuarial results include the following:</w:t>
      </w:r>
    </w:p>
    <w:p w14:paraId="722FE808" w14:textId="77777777" w:rsidR="00A83362" w:rsidRPr="00300C4E" w:rsidRDefault="00A83362" w:rsidP="00A83362">
      <w:pPr>
        <w:pStyle w:val="AFR3"/>
        <w:numPr>
          <w:ilvl w:val="0"/>
          <w:numId w:val="21"/>
        </w:numPr>
        <w:spacing w:before="0" w:after="0"/>
        <w:rPr>
          <w:rFonts w:ascii="Calibri" w:hAnsi="Calibri" w:cs="Tahoma"/>
          <w:b w:val="0"/>
          <w:i w:val="0"/>
          <w:sz w:val="24"/>
          <w:u w:val="none"/>
        </w:rPr>
      </w:pPr>
      <w:r w:rsidRPr="00300C4E">
        <w:rPr>
          <w:rFonts w:ascii="Calibri" w:hAnsi="Calibri" w:cs="Tahoma"/>
          <w:b w:val="0"/>
          <w:i w:val="0"/>
          <w:sz w:val="24"/>
          <w:u w:val="none"/>
        </w:rPr>
        <w:t>Deferred outflows of resources associated with the OPEB plan decreased $12 million.</w:t>
      </w:r>
    </w:p>
    <w:p w14:paraId="32E579C3" w14:textId="23049777" w:rsidR="00A83362" w:rsidRPr="00300C4E" w:rsidRDefault="00A83362" w:rsidP="00A83362">
      <w:pPr>
        <w:pStyle w:val="AFR3"/>
        <w:numPr>
          <w:ilvl w:val="0"/>
          <w:numId w:val="21"/>
        </w:numPr>
        <w:spacing w:before="0" w:after="0"/>
      </w:pPr>
      <w:r w:rsidRPr="00300C4E">
        <w:rPr>
          <w:rFonts w:ascii="Calibri" w:hAnsi="Calibri" w:cs="Tahoma"/>
          <w:b w:val="0"/>
          <w:i w:val="0"/>
          <w:sz w:val="24"/>
          <w:u w:val="none"/>
        </w:rPr>
        <w:t>Deferred inflows of resources associated with the OPEB plan increased $</w:t>
      </w:r>
      <w:r w:rsidR="00C63E25" w:rsidRPr="00300C4E">
        <w:rPr>
          <w:rFonts w:ascii="Calibri" w:hAnsi="Calibri" w:cs="Tahoma"/>
          <w:b w:val="0"/>
          <w:i w:val="0"/>
          <w:sz w:val="24"/>
          <w:u w:val="none"/>
        </w:rPr>
        <w:t>2</w:t>
      </w:r>
      <w:r w:rsidR="00C63E25">
        <w:rPr>
          <w:rFonts w:ascii="Calibri" w:hAnsi="Calibri" w:cs="Tahoma"/>
          <w:b w:val="0"/>
          <w:bCs/>
          <w:i w:val="0"/>
          <w:iCs/>
          <w:sz w:val="24"/>
          <w:u w:val="none"/>
        </w:rPr>
        <w:t>1</w:t>
      </w:r>
      <w:r w:rsidR="00C63E25" w:rsidRPr="00300C4E">
        <w:rPr>
          <w:rFonts w:ascii="Calibri" w:hAnsi="Calibri" w:cs="Tahoma"/>
          <w:b w:val="0"/>
          <w:i w:val="0"/>
          <w:sz w:val="24"/>
          <w:u w:val="none"/>
        </w:rPr>
        <w:t xml:space="preserve"> </w:t>
      </w:r>
      <w:r w:rsidRPr="00300C4E">
        <w:rPr>
          <w:rFonts w:ascii="Calibri" w:hAnsi="Calibri" w:cs="Tahoma"/>
          <w:b w:val="0"/>
          <w:i w:val="0"/>
          <w:sz w:val="24"/>
          <w:u w:val="none"/>
        </w:rPr>
        <w:t>million.</w:t>
      </w:r>
    </w:p>
    <w:p w14:paraId="287CF540" w14:textId="77777777" w:rsidR="00A83362" w:rsidRDefault="00A83362" w:rsidP="00A83362">
      <w:pPr>
        <w:spacing w:after="160" w:line="259" w:lineRule="auto"/>
        <w:rPr>
          <w:b/>
          <w:i/>
          <w:sz w:val="26"/>
          <w:u w:val="single" w:color="000000" w:themeColor="text1"/>
        </w:rPr>
      </w:pPr>
      <w:r>
        <w:br w:type="page"/>
      </w:r>
    </w:p>
    <w:p w14:paraId="5CD94FB2" w14:textId="77777777" w:rsidR="00A83362" w:rsidRDefault="00A83362" w:rsidP="00A83362">
      <w:pPr>
        <w:pStyle w:val="AFR3"/>
      </w:pPr>
      <w:r>
        <w:lastRenderedPageBreak/>
        <w:t>Overview of Condensed Statements of Net Position</w:t>
      </w:r>
    </w:p>
    <w:p w14:paraId="17D34964" w14:textId="77777777" w:rsidR="00A83362" w:rsidRPr="005205E4" w:rsidRDefault="00A83362" w:rsidP="00A83362">
      <w:pPr>
        <w:rPr>
          <w:rFonts w:ascii="Calibri" w:hAnsi="Calibri" w:cs="Tahoma"/>
          <w:sz w:val="24"/>
        </w:rPr>
      </w:pPr>
      <w:r>
        <w:rPr>
          <w:rFonts w:ascii="Calibri" w:hAnsi="Calibri" w:cs="Tahoma"/>
          <w:sz w:val="24"/>
        </w:rPr>
        <w:t xml:space="preserve">As shown in Table 3, assets and liabilities are classified as current or noncurrent.  Current assets are available to satisfy current liabilities, which in turn are those amounts expected to be payable within the next year. Total assets and deferred outflows of resources </w:t>
      </w:r>
      <w:r w:rsidRPr="005205E4">
        <w:rPr>
          <w:rFonts w:ascii="Calibri" w:hAnsi="Calibri" w:cs="Tahoma"/>
          <w:sz w:val="24"/>
        </w:rPr>
        <w:t xml:space="preserve">of </w:t>
      </w:r>
      <w:r w:rsidRPr="00A316AD">
        <w:rPr>
          <w:rFonts w:ascii="Calibri" w:hAnsi="Calibri" w:cs="Tahoma"/>
          <w:sz w:val="24"/>
        </w:rPr>
        <w:t>$1.</w:t>
      </w:r>
      <w:r>
        <w:rPr>
          <w:rFonts w:ascii="Calibri" w:hAnsi="Calibri" w:cs="Tahoma"/>
          <w:sz w:val="24"/>
        </w:rPr>
        <w:t>5</w:t>
      </w:r>
      <w:r w:rsidRPr="005205E4">
        <w:rPr>
          <w:rFonts w:ascii="Calibri" w:hAnsi="Calibri" w:cs="Tahoma"/>
          <w:sz w:val="24"/>
        </w:rPr>
        <w:t xml:space="preserve"> billion </w:t>
      </w:r>
      <w:r>
        <w:rPr>
          <w:rFonts w:ascii="Calibri" w:hAnsi="Calibri" w:cs="Tahoma"/>
          <w:sz w:val="24"/>
        </w:rPr>
        <w:t xml:space="preserve">at June 30, </w:t>
      </w:r>
      <w:r w:rsidRPr="005205E4">
        <w:rPr>
          <w:rFonts w:ascii="Calibri" w:hAnsi="Calibri" w:cs="Tahoma"/>
          <w:sz w:val="24"/>
        </w:rPr>
        <w:t>202</w:t>
      </w:r>
      <w:r>
        <w:rPr>
          <w:rFonts w:ascii="Calibri" w:hAnsi="Calibri" w:cs="Tahoma"/>
          <w:sz w:val="24"/>
        </w:rPr>
        <w:t>3</w:t>
      </w:r>
      <w:r w:rsidRPr="005205E4">
        <w:rPr>
          <w:rFonts w:ascii="Calibri" w:hAnsi="Calibri" w:cs="Tahoma"/>
          <w:sz w:val="24"/>
        </w:rPr>
        <w:t xml:space="preserve">, </w:t>
      </w:r>
      <w:r w:rsidRPr="00A316AD">
        <w:rPr>
          <w:rFonts w:ascii="Calibri" w:hAnsi="Calibri" w:cs="Tahoma"/>
          <w:sz w:val="24"/>
        </w:rPr>
        <w:t>increased</w:t>
      </w:r>
      <w:r w:rsidRPr="005205E4">
        <w:rPr>
          <w:rFonts w:ascii="Calibri" w:hAnsi="Calibri" w:cs="Tahoma"/>
          <w:sz w:val="24"/>
        </w:rPr>
        <w:t xml:space="preserve"> </w:t>
      </w:r>
      <w:r w:rsidRPr="00A316AD">
        <w:rPr>
          <w:rFonts w:ascii="Calibri" w:hAnsi="Calibri" w:cs="Tahoma"/>
          <w:sz w:val="24"/>
        </w:rPr>
        <w:t>$</w:t>
      </w:r>
      <w:r>
        <w:rPr>
          <w:rFonts w:ascii="Calibri" w:hAnsi="Calibri" w:cs="Tahoma"/>
          <w:sz w:val="24"/>
        </w:rPr>
        <w:t>117</w:t>
      </w:r>
      <w:r w:rsidRPr="005205E4">
        <w:rPr>
          <w:rFonts w:ascii="Calibri" w:hAnsi="Calibri" w:cs="Tahoma"/>
          <w:sz w:val="24"/>
        </w:rPr>
        <w:t xml:space="preserve"> million, or </w:t>
      </w:r>
      <w:r>
        <w:rPr>
          <w:rFonts w:ascii="Calibri" w:hAnsi="Calibri" w:cs="Tahoma"/>
          <w:sz w:val="24"/>
        </w:rPr>
        <w:t>8</w:t>
      </w:r>
      <w:r w:rsidRPr="00A316AD">
        <w:rPr>
          <w:rFonts w:ascii="Calibri" w:hAnsi="Calibri" w:cs="Tahoma"/>
          <w:sz w:val="24"/>
        </w:rPr>
        <w:t>%</w:t>
      </w:r>
      <w:r w:rsidRPr="005205E4">
        <w:rPr>
          <w:rFonts w:ascii="Calibri" w:hAnsi="Calibri" w:cs="Tahoma"/>
          <w:sz w:val="24"/>
        </w:rPr>
        <w:t xml:space="preserve"> over the prior year.</w:t>
      </w:r>
    </w:p>
    <w:p w14:paraId="1FB3401F" w14:textId="77777777" w:rsidR="00A83362" w:rsidRPr="00DE50BF" w:rsidRDefault="00A83362" w:rsidP="00A83362">
      <w:pPr>
        <w:rPr>
          <w:rFonts w:cstheme="minorHAnsi"/>
          <w:sz w:val="20"/>
          <w:szCs w:val="20"/>
        </w:rPr>
      </w:pPr>
    </w:p>
    <w:p w14:paraId="3AAFA0FB" w14:textId="7EF82F06" w:rsidR="00A83362" w:rsidRDefault="00A83362" w:rsidP="00A83362">
      <w:pPr>
        <w:rPr>
          <w:rFonts w:ascii="Calibri" w:eastAsia="Times New Roman" w:hAnsi="Calibri" w:cs="Tahoma"/>
          <w:sz w:val="24"/>
        </w:rPr>
      </w:pPr>
      <w:r>
        <w:rPr>
          <w:rFonts w:ascii="Calibri" w:hAnsi="Calibri" w:cs="Tahoma"/>
          <w:sz w:val="24"/>
        </w:rPr>
        <w:t xml:space="preserve">The major component of current assets is operating investments, which </w:t>
      </w:r>
      <w:r w:rsidRPr="005205E4">
        <w:rPr>
          <w:rFonts w:ascii="Calibri" w:hAnsi="Calibri" w:cs="Tahoma"/>
          <w:sz w:val="24"/>
        </w:rPr>
        <w:t xml:space="preserve">totaled </w:t>
      </w:r>
      <w:r w:rsidRPr="00E239E3">
        <w:rPr>
          <w:rFonts w:ascii="Calibri" w:hAnsi="Calibri" w:cs="Tahoma"/>
          <w:sz w:val="24"/>
        </w:rPr>
        <w:t>$</w:t>
      </w:r>
      <w:r>
        <w:rPr>
          <w:rFonts w:ascii="Calibri" w:hAnsi="Calibri" w:cs="Tahoma"/>
          <w:sz w:val="24"/>
        </w:rPr>
        <w:t>259</w:t>
      </w:r>
      <w:r w:rsidRPr="005205E4">
        <w:rPr>
          <w:rFonts w:ascii="Calibri" w:hAnsi="Calibri" w:cs="Tahoma"/>
          <w:sz w:val="24"/>
        </w:rPr>
        <w:t xml:space="preserve"> million </w:t>
      </w:r>
      <w:r>
        <w:rPr>
          <w:rFonts w:ascii="Calibri" w:hAnsi="Calibri" w:cs="Tahoma"/>
          <w:sz w:val="24"/>
        </w:rPr>
        <w:t xml:space="preserve">at June 30, 2023 and $307 million at June 30, 2022. </w:t>
      </w:r>
      <w:r>
        <w:rPr>
          <w:rFonts w:ascii="Calibri" w:eastAsia="Times New Roman" w:hAnsi="Calibri" w:cs="Tahoma"/>
          <w:sz w:val="24"/>
        </w:rPr>
        <w:t>Noncurrent assets consist mainly of endowment investments and capital assets, net of depreciation</w:t>
      </w:r>
      <w:r w:rsidR="00792492">
        <w:rPr>
          <w:rFonts w:ascii="Calibri" w:eastAsia="Times New Roman" w:hAnsi="Calibri" w:cs="Tahoma"/>
          <w:sz w:val="24"/>
        </w:rPr>
        <w:t xml:space="preserve"> and amortization</w:t>
      </w:r>
      <w:r>
        <w:rPr>
          <w:rFonts w:ascii="Calibri" w:eastAsia="Times New Roman" w:hAnsi="Calibri" w:cs="Tahoma"/>
          <w:sz w:val="24"/>
        </w:rPr>
        <w:t xml:space="preserve">. Endowment investments totaled </w:t>
      </w:r>
      <w:r w:rsidRPr="00E239E3">
        <w:rPr>
          <w:rFonts w:ascii="Calibri" w:eastAsia="Times New Roman" w:hAnsi="Calibri" w:cs="Tahoma"/>
          <w:sz w:val="24"/>
        </w:rPr>
        <w:t>$</w:t>
      </w:r>
      <w:r w:rsidRPr="00721CFD">
        <w:rPr>
          <w:rFonts w:ascii="Calibri" w:eastAsia="Times New Roman" w:hAnsi="Calibri" w:cs="Tahoma"/>
          <w:sz w:val="24"/>
        </w:rPr>
        <w:t>1</w:t>
      </w:r>
      <w:r>
        <w:rPr>
          <w:rFonts w:ascii="Calibri" w:eastAsia="Times New Roman" w:hAnsi="Calibri" w:cs="Tahoma"/>
          <w:sz w:val="24"/>
        </w:rPr>
        <w:t>50</w:t>
      </w:r>
      <w:r w:rsidRPr="00E239E3">
        <w:rPr>
          <w:rFonts w:ascii="Calibri" w:eastAsia="Times New Roman" w:hAnsi="Calibri" w:cs="Tahoma"/>
          <w:sz w:val="24"/>
        </w:rPr>
        <w:t xml:space="preserve"> million at June 30, 202</w:t>
      </w:r>
      <w:r>
        <w:rPr>
          <w:rFonts w:ascii="Calibri" w:eastAsia="Times New Roman" w:hAnsi="Calibri" w:cs="Tahoma"/>
          <w:sz w:val="24"/>
        </w:rPr>
        <w:t>3</w:t>
      </w:r>
      <w:r w:rsidRPr="00E239E3">
        <w:rPr>
          <w:rFonts w:ascii="Calibri" w:eastAsia="Times New Roman" w:hAnsi="Calibri" w:cs="Tahoma"/>
          <w:sz w:val="24"/>
        </w:rPr>
        <w:t>, a</w:t>
      </w:r>
      <w:r>
        <w:rPr>
          <w:rFonts w:ascii="Calibri" w:eastAsia="Times New Roman" w:hAnsi="Calibri" w:cs="Tahoma"/>
          <w:sz w:val="24"/>
        </w:rPr>
        <w:t>n</w:t>
      </w:r>
      <w:r w:rsidRPr="00E239E3">
        <w:rPr>
          <w:rFonts w:ascii="Calibri" w:eastAsia="Times New Roman" w:hAnsi="Calibri" w:cs="Tahoma"/>
          <w:sz w:val="24"/>
        </w:rPr>
        <w:t xml:space="preserve"> </w:t>
      </w:r>
      <w:r>
        <w:rPr>
          <w:rFonts w:ascii="Calibri" w:eastAsia="Times New Roman" w:hAnsi="Calibri" w:cs="Tahoma"/>
          <w:sz w:val="24"/>
        </w:rPr>
        <w:t>in</w:t>
      </w:r>
      <w:r w:rsidRPr="00E239E3">
        <w:rPr>
          <w:rFonts w:ascii="Calibri" w:eastAsia="Times New Roman" w:hAnsi="Calibri" w:cs="Tahoma"/>
          <w:sz w:val="24"/>
        </w:rPr>
        <w:t>crease of $</w:t>
      </w:r>
      <w:r>
        <w:rPr>
          <w:rFonts w:ascii="Calibri" w:eastAsia="Times New Roman" w:hAnsi="Calibri" w:cs="Tahoma"/>
          <w:sz w:val="24"/>
        </w:rPr>
        <w:t>9</w:t>
      </w:r>
      <w:r w:rsidRPr="00E239E3">
        <w:rPr>
          <w:rFonts w:ascii="Calibri" w:eastAsia="Times New Roman" w:hAnsi="Calibri" w:cs="Tahoma"/>
          <w:sz w:val="24"/>
        </w:rPr>
        <w:t xml:space="preserve"> million, or </w:t>
      </w:r>
      <w:r w:rsidR="00604577">
        <w:rPr>
          <w:rFonts w:ascii="Calibri" w:eastAsia="Times New Roman" w:hAnsi="Calibri" w:cs="Tahoma"/>
          <w:sz w:val="24"/>
        </w:rPr>
        <w:t>6</w:t>
      </w:r>
      <w:r w:rsidRPr="00E239E3">
        <w:rPr>
          <w:rFonts w:ascii="Calibri" w:eastAsia="Times New Roman" w:hAnsi="Calibri" w:cs="Tahoma"/>
          <w:sz w:val="24"/>
        </w:rPr>
        <w:t xml:space="preserve">%, from </w:t>
      </w:r>
      <w:r>
        <w:rPr>
          <w:rFonts w:ascii="Calibri" w:eastAsia="Times New Roman" w:hAnsi="Calibri" w:cs="Tahoma"/>
          <w:sz w:val="24"/>
        </w:rPr>
        <w:t xml:space="preserve">the FY22 year-end balance of </w:t>
      </w:r>
      <w:r w:rsidRPr="00E239E3">
        <w:rPr>
          <w:rFonts w:ascii="Calibri" w:eastAsia="Times New Roman" w:hAnsi="Calibri" w:cs="Tahoma"/>
          <w:sz w:val="24"/>
        </w:rPr>
        <w:t>$</w:t>
      </w:r>
      <w:r>
        <w:rPr>
          <w:rFonts w:ascii="Calibri" w:eastAsia="Times New Roman" w:hAnsi="Calibri" w:cs="Tahoma"/>
          <w:sz w:val="24"/>
        </w:rPr>
        <w:t>141</w:t>
      </w:r>
      <w:r w:rsidRPr="00CA1110">
        <w:rPr>
          <w:rFonts w:ascii="Calibri" w:eastAsia="Times New Roman" w:hAnsi="Calibri" w:cs="Tahoma"/>
          <w:sz w:val="24"/>
        </w:rPr>
        <w:t xml:space="preserve"> </w:t>
      </w:r>
      <w:r>
        <w:rPr>
          <w:rFonts w:ascii="Calibri" w:eastAsia="Times New Roman" w:hAnsi="Calibri" w:cs="Tahoma"/>
          <w:sz w:val="24"/>
        </w:rPr>
        <w:t xml:space="preserve">million, and a $16 million, or </w:t>
      </w:r>
      <w:r w:rsidR="00604577">
        <w:rPr>
          <w:rFonts w:ascii="Calibri" w:eastAsia="Times New Roman" w:hAnsi="Calibri" w:cs="Tahoma"/>
          <w:sz w:val="24"/>
        </w:rPr>
        <w:t>10</w:t>
      </w:r>
      <w:r>
        <w:rPr>
          <w:rFonts w:ascii="Calibri" w:eastAsia="Times New Roman" w:hAnsi="Calibri" w:cs="Tahoma"/>
          <w:sz w:val="24"/>
        </w:rPr>
        <w:t xml:space="preserve">%, decrease from FY21. Capital assets, net of accumulated depreciation </w:t>
      </w:r>
      <w:r w:rsidR="00792492">
        <w:rPr>
          <w:rFonts w:ascii="Calibri" w:eastAsia="Times New Roman" w:hAnsi="Calibri" w:cs="Tahoma"/>
          <w:sz w:val="24"/>
        </w:rPr>
        <w:t xml:space="preserve">and amortization </w:t>
      </w:r>
      <w:r>
        <w:rPr>
          <w:rFonts w:ascii="Calibri" w:eastAsia="Times New Roman" w:hAnsi="Calibri" w:cs="Tahoma"/>
          <w:sz w:val="24"/>
        </w:rPr>
        <w:t xml:space="preserve">totaled </w:t>
      </w:r>
      <w:r w:rsidRPr="00E239E3">
        <w:rPr>
          <w:rFonts w:ascii="Calibri" w:eastAsia="Times New Roman" w:hAnsi="Calibri" w:cs="Tahoma"/>
          <w:sz w:val="24"/>
        </w:rPr>
        <w:t>$</w:t>
      </w:r>
      <w:r>
        <w:rPr>
          <w:rFonts w:ascii="Calibri" w:eastAsia="Times New Roman" w:hAnsi="Calibri" w:cs="Tahoma"/>
          <w:sz w:val="24"/>
        </w:rPr>
        <w:t>935</w:t>
      </w:r>
      <w:r w:rsidRPr="00D37859">
        <w:rPr>
          <w:rFonts w:ascii="Calibri" w:eastAsia="Times New Roman" w:hAnsi="Calibri" w:cs="Tahoma"/>
          <w:sz w:val="24"/>
        </w:rPr>
        <w:t xml:space="preserve"> </w:t>
      </w:r>
      <w:r>
        <w:rPr>
          <w:rFonts w:ascii="Calibri" w:eastAsia="Times New Roman" w:hAnsi="Calibri" w:cs="Tahoma"/>
          <w:sz w:val="24"/>
        </w:rPr>
        <w:t xml:space="preserve">million and </w:t>
      </w:r>
      <w:r w:rsidRPr="00B946D7">
        <w:rPr>
          <w:rFonts w:ascii="Calibri" w:eastAsia="Times New Roman" w:hAnsi="Calibri" w:cs="Tahoma"/>
          <w:sz w:val="24"/>
        </w:rPr>
        <w:t>$</w:t>
      </w:r>
      <w:r>
        <w:rPr>
          <w:rFonts w:ascii="Calibri" w:eastAsia="Times New Roman" w:hAnsi="Calibri" w:cs="Tahoma"/>
          <w:sz w:val="24"/>
        </w:rPr>
        <w:t>813</w:t>
      </w:r>
      <w:r w:rsidRPr="00B946D7">
        <w:rPr>
          <w:rFonts w:ascii="Calibri" w:eastAsia="Times New Roman" w:hAnsi="Calibri" w:cs="Tahoma"/>
          <w:sz w:val="24"/>
        </w:rPr>
        <w:t xml:space="preserve"> </w:t>
      </w:r>
      <w:r>
        <w:rPr>
          <w:rFonts w:ascii="Calibri" w:eastAsia="Times New Roman" w:hAnsi="Calibri" w:cs="Tahoma"/>
          <w:sz w:val="24"/>
        </w:rPr>
        <w:t>million at June 30, 2023 and 2022, respectively.</w:t>
      </w:r>
    </w:p>
    <w:p w14:paraId="7EBF8E1A" w14:textId="77777777" w:rsidR="00A83362" w:rsidRPr="00DE50BF" w:rsidRDefault="00A83362" w:rsidP="00A83362">
      <w:pPr>
        <w:ind w:left="360"/>
        <w:rPr>
          <w:rFonts w:cstheme="minorHAnsi"/>
          <w:sz w:val="20"/>
          <w:szCs w:val="20"/>
        </w:rPr>
      </w:pPr>
    </w:p>
    <w:p w14:paraId="15BB823F" w14:textId="77777777" w:rsidR="00A83362" w:rsidRDefault="00A83362" w:rsidP="00A83362">
      <w:pPr>
        <w:rPr>
          <w:rFonts w:ascii="Calibri" w:hAnsi="Calibri" w:cs="Tahoma"/>
          <w:sz w:val="24"/>
        </w:rPr>
      </w:pPr>
      <w:r>
        <w:rPr>
          <w:rFonts w:ascii="Calibri" w:hAnsi="Calibri" w:cs="Tahoma"/>
          <w:sz w:val="24"/>
        </w:rPr>
        <w:t xml:space="preserve">Current liabilities of $120 million and $174 million at June 30, 2023 and 2022, respectively, consist primarily of accounts payable and various accrued liabilities including those for the System’s healthcare claims, defined contribution retirement plan and payroll taxes. Impacts to accounts payable and accrued liabilities include </w:t>
      </w:r>
      <w:r w:rsidRPr="006662FE">
        <w:rPr>
          <w:rFonts w:ascii="Calibri" w:hAnsi="Calibri" w:cs="Tahoma"/>
          <w:sz w:val="24"/>
        </w:rPr>
        <w:t>the timing of the last check cycle for the fiscal year, the level of construction activity in progress, and budget constraints.</w:t>
      </w:r>
    </w:p>
    <w:p w14:paraId="558055AB" w14:textId="77777777" w:rsidR="00A83362" w:rsidRPr="00DE50BF" w:rsidRDefault="00A83362" w:rsidP="00A83362">
      <w:pPr>
        <w:ind w:left="360"/>
        <w:rPr>
          <w:rFonts w:cstheme="minorHAnsi"/>
          <w:sz w:val="20"/>
          <w:szCs w:val="20"/>
        </w:rPr>
      </w:pPr>
    </w:p>
    <w:p w14:paraId="37637676" w14:textId="624A8848" w:rsidR="00A83362" w:rsidRDefault="00A83362" w:rsidP="00A83362">
      <w:pPr>
        <w:rPr>
          <w:rFonts w:ascii="Calibri" w:eastAsia="Times New Roman" w:hAnsi="Calibri" w:cs="Tahoma"/>
          <w:bCs/>
          <w:sz w:val="24"/>
          <w:szCs w:val="20"/>
        </w:rPr>
      </w:pPr>
      <w:r>
        <w:rPr>
          <w:rFonts w:ascii="Calibri" w:eastAsia="Times New Roman" w:hAnsi="Calibri" w:cs="Tahoma"/>
          <w:sz w:val="24"/>
        </w:rPr>
        <w:t>At $349 million, total noncurrent liabilities</w:t>
      </w:r>
      <w:r w:rsidRPr="00162FC5">
        <w:rPr>
          <w:rFonts w:ascii="Calibri" w:eastAsia="Times New Roman" w:hAnsi="Calibri" w:cs="Tahoma"/>
          <w:color w:val="FF0000"/>
          <w:sz w:val="24"/>
        </w:rPr>
        <w:t xml:space="preserve"> </w:t>
      </w:r>
      <w:r>
        <w:rPr>
          <w:rFonts w:ascii="Calibri" w:eastAsia="Times New Roman" w:hAnsi="Calibri" w:cs="Tahoma"/>
          <w:sz w:val="24"/>
        </w:rPr>
        <w:t>in</w:t>
      </w:r>
      <w:r w:rsidRPr="00E239E3">
        <w:rPr>
          <w:rFonts w:ascii="Calibri" w:eastAsia="Times New Roman" w:hAnsi="Calibri" w:cs="Tahoma"/>
          <w:sz w:val="24"/>
        </w:rPr>
        <w:t>creased $</w:t>
      </w:r>
      <w:r>
        <w:rPr>
          <w:rFonts w:ascii="Calibri" w:eastAsia="Times New Roman" w:hAnsi="Calibri" w:cs="Tahoma"/>
          <w:sz w:val="24"/>
        </w:rPr>
        <w:t>118</w:t>
      </w:r>
      <w:r w:rsidRPr="00D37859">
        <w:rPr>
          <w:rFonts w:ascii="Calibri" w:eastAsia="Times New Roman" w:hAnsi="Calibri" w:cs="Tahoma"/>
          <w:sz w:val="24"/>
        </w:rPr>
        <w:t xml:space="preserve"> </w:t>
      </w:r>
      <w:r>
        <w:rPr>
          <w:rFonts w:ascii="Calibri" w:eastAsia="Times New Roman" w:hAnsi="Calibri" w:cs="Tahoma"/>
          <w:sz w:val="24"/>
        </w:rPr>
        <w:t>million, or 51</w:t>
      </w:r>
      <w:r w:rsidRPr="00E239E3">
        <w:rPr>
          <w:rFonts w:ascii="Calibri" w:eastAsia="Times New Roman" w:hAnsi="Calibri" w:cs="Tahoma"/>
          <w:sz w:val="24"/>
        </w:rPr>
        <w:t>%</w:t>
      </w:r>
      <w:r>
        <w:rPr>
          <w:rFonts w:ascii="Calibri" w:eastAsia="Times New Roman" w:hAnsi="Calibri" w:cs="Tahoma"/>
          <w:sz w:val="24"/>
        </w:rPr>
        <w:t>, from June 30, 2022 to 2023. This in</w:t>
      </w:r>
      <w:r w:rsidRPr="00D37859">
        <w:rPr>
          <w:rFonts w:ascii="Calibri" w:eastAsia="Times New Roman" w:hAnsi="Calibri" w:cs="Tahoma"/>
          <w:sz w:val="24"/>
        </w:rPr>
        <w:t>crease i</w:t>
      </w:r>
      <w:r>
        <w:rPr>
          <w:rFonts w:ascii="Calibri" w:eastAsia="Times New Roman" w:hAnsi="Calibri" w:cs="Tahoma"/>
          <w:sz w:val="24"/>
        </w:rPr>
        <w:t>s primarily the result of a $121</w:t>
      </w:r>
      <w:r w:rsidRPr="00721CFD">
        <w:rPr>
          <w:rFonts w:ascii="Calibri" w:eastAsia="Times New Roman" w:hAnsi="Calibri" w:cs="Tahoma"/>
          <w:sz w:val="24"/>
        </w:rPr>
        <w:t xml:space="preserve"> million </w:t>
      </w:r>
      <w:r>
        <w:rPr>
          <w:rFonts w:ascii="Calibri" w:eastAsia="Times New Roman" w:hAnsi="Calibri" w:cs="Tahoma"/>
          <w:sz w:val="24"/>
        </w:rPr>
        <w:t>in</w:t>
      </w:r>
      <w:r w:rsidRPr="00721CFD">
        <w:rPr>
          <w:rFonts w:ascii="Calibri" w:eastAsia="Times New Roman" w:hAnsi="Calibri" w:cs="Tahoma"/>
          <w:sz w:val="24"/>
        </w:rPr>
        <w:t>crease in long-term debt</w:t>
      </w:r>
      <w:r>
        <w:rPr>
          <w:rFonts w:ascii="Calibri" w:eastAsia="Times New Roman" w:hAnsi="Calibri" w:cs="Tahoma"/>
          <w:sz w:val="24"/>
        </w:rPr>
        <w:t>. For FY22 and FY21, the System had t</w:t>
      </w:r>
      <w:r>
        <w:rPr>
          <w:rFonts w:ascii="Calibri" w:eastAsia="Times New Roman" w:hAnsi="Calibri" w:cs="Tahoma"/>
          <w:bCs/>
          <w:sz w:val="24"/>
          <w:szCs w:val="20"/>
        </w:rPr>
        <w:t>otal noncurrent liabilities of $</w:t>
      </w:r>
      <w:r w:rsidRPr="00721CFD">
        <w:rPr>
          <w:rFonts w:ascii="Calibri" w:eastAsia="Times New Roman" w:hAnsi="Calibri" w:cs="Tahoma"/>
          <w:bCs/>
          <w:sz w:val="24"/>
          <w:szCs w:val="20"/>
        </w:rPr>
        <w:t>2</w:t>
      </w:r>
      <w:r>
        <w:rPr>
          <w:rFonts w:ascii="Calibri" w:eastAsia="Times New Roman" w:hAnsi="Calibri" w:cs="Tahoma"/>
          <w:bCs/>
          <w:sz w:val="24"/>
          <w:szCs w:val="20"/>
        </w:rPr>
        <w:t>31</w:t>
      </w:r>
      <w:r w:rsidRPr="00721CFD">
        <w:rPr>
          <w:rFonts w:ascii="Calibri" w:eastAsia="Times New Roman" w:hAnsi="Calibri" w:cs="Tahoma"/>
          <w:bCs/>
          <w:sz w:val="24"/>
          <w:szCs w:val="20"/>
        </w:rPr>
        <w:t xml:space="preserve"> million and $2</w:t>
      </w:r>
      <w:r>
        <w:rPr>
          <w:rFonts w:ascii="Calibri" w:eastAsia="Times New Roman" w:hAnsi="Calibri" w:cs="Tahoma"/>
          <w:bCs/>
          <w:sz w:val="24"/>
          <w:szCs w:val="20"/>
        </w:rPr>
        <w:t>39</w:t>
      </w:r>
      <w:r w:rsidRPr="00721CFD">
        <w:rPr>
          <w:rFonts w:ascii="Calibri" w:eastAsia="Times New Roman" w:hAnsi="Calibri" w:cs="Tahoma"/>
          <w:bCs/>
          <w:sz w:val="24"/>
          <w:szCs w:val="20"/>
        </w:rPr>
        <w:t xml:space="preserve"> million respectively, with the change</w:t>
      </w:r>
      <w:r w:rsidR="00194537">
        <w:rPr>
          <w:rFonts w:ascii="Calibri" w:eastAsia="Times New Roman" w:hAnsi="Calibri" w:cs="Tahoma"/>
          <w:bCs/>
          <w:sz w:val="24"/>
          <w:szCs w:val="20"/>
        </w:rPr>
        <w:t xml:space="preserve"> attributable to </w:t>
      </w:r>
      <w:r w:rsidRPr="00721CFD">
        <w:rPr>
          <w:rFonts w:ascii="Calibri" w:eastAsia="Times New Roman" w:hAnsi="Calibri" w:cs="Tahoma"/>
          <w:bCs/>
          <w:sz w:val="24"/>
          <w:szCs w:val="20"/>
        </w:rPr>
        <w:t xml:space="preserve">a </w:t>
      </w:r>
      <w:r>
        <w:rPr>
          <w:rFonts w:ascii="Calibri" w:eastAsia="Times New Roman" w:hAnsi="Calibri" w:cs="Tahoma"/>
          <w:bCs/>
          <w:sz w:val="24"/>
          <w:szCs w:val="20"/>
        </w:rPr>
        <w:t>$3</w:t>
      </w:r>
      <w:r w:rsidR="00194537">
        <w:rPr>
          <w:rFonts w:ascii="Calibri" w:eastAsia="Times New Roman" w:hAnsi="Calibri" w:cs="Tahoma"/>
          <w:bCs/>
          <w:sz w:val="24"/>
          <w:szCs w:val="20"/>
        </w:rPr>
        <w:t>4</w:t>
      </w:r>
      <w:r>
        <w:rPr>
          <w:rFonts w:ascii="Calibri" w:eastAsia="Times New Roman" w:hAnsi="Calibri" w:cs="Tahoma"/>
          <w:bCs/>
          <w:sz w:val="24"/>
          <w:szCs w:val="20"/>
        </w:rPr>
        <w:t xml:space="preserve"> million </w:t>
      </w:r>
      <w:r w:rsidR="00194537">
        <w:rPr>
          <w:rFonts w:ascii="Calibri" w:eastAsia="Times New Roman" w:hAnsi="Calibri" w:cs="Tahoma"/>
          <w:bCs/>
          <w:sz w:val="24"/>
          <w:szCs w:val="20"/>
        </w:rPr>
        <w:t xml:space="preserve">increase </w:t>
      </w:r>
      <w:r>
        <w:rPr>
          <w:rFonts w:ascii="Calibri" w:eastAsia="Times New Roman" w:hAnsi="Calibri" w:cs="Tahoma"/>
          <w:bCs/>
          <w:sz w:val="24"/>
          <w:szCs w:val="20"/>
        </w:rPr>
        <w:t xml:space="preserve">in </w:t>
      </w:r>
      <w:r w:rsidR="00194537">
        <w:rPr>
          <w:rFonts w:ascii="Calibri" w:eastAsia="Times New Roman" w:hAnsi="Calibri" w:cs="Tahoma"/>
          <w:bCs/>
          <w:sz w:val="24"/>
          <w:szCs w:val="20"/>
        </w:rPr>
        <w:t xml:space="preserve">obligations for right of use assets, a decrease in </w:t>
      </w:r>
      <w:r>
        <w:rPr>
          <w:rFonts w:ascii="Calibri" w:eastAsia="Times New Roman" w:hAnsi="Calibri" w:cs="Tahoma"/>
          <w:bCs/>
          <w:sz w:val="24"/>
          <w:szCs w:val="20"/>
        </w:rPr>
        <w:t xml:space="preserve">long-term debt </w:t>
      </w:r>
      <w:r w:rsidR="00194537">
        <w:rPr>
          <w:rFonts w:ascii="Calibri" w:eastAsia="Times New Roman" w:hAnsi="Calibri" w:cs="Tahoma"/>
          <w:bCs/>
          <w:sz w:val="24"/>
          <w:szCs w:val="20"/>
        </w:rPr>
        <w:t xml:space="preserve">of $57 million and an increase of $15 million in other noncurrent liabilities. </w:t>
      </w:r>
    </w:p>
    <w:p w14:paraId="7DC45193" w14:textId="77777777" w:rsidR="00A83362" w:rsidRPr="00790AF8" w:rsidRDefault="00A83362" w:rsidP="00A83362">
      <w:pPr>
        <w:rPr>
          <w:rFonts w:ascii="Calibri" w:hAnsi="Calibri" w:cs="Tahoma"/>
          <w:sz w:val="20"/>
          <w:szCs w:val="20"/>
        </w:rPr>
      </w:pPr>
    </w:p>
    <w:p w14:paraId="6F7A63E5" w14:textId="1AA42E4F" w:rsidR="00A83362" w:rsidRDefault="00A83362" w:rsidP="00A83362">
      <w:pPr>
        <w:rPr>
          <w:rFonts w:ascii="Calibri" w:hAnsi="Calibri" w:cs="Tahoma"/>
          <w:color w:val="0D0D0D" w:themeColor="text1" w:themeTint="F2"/>
          <w:sz w:val="24"/>
        </w:rPr>
        <w:sectPr w:rsidR="00A83362" w:rsidSect="0070537E">
          <w:headerReference w:type="default" r:id="rId24"/>
          <w:pgSz w:w="12240" w:h="15840"/>
          <w:pgMar w:top="1440" w:right="1440" w:bottom="1440" w:left="1440" w:header="720" w:footer="720" w:gutter="0"/>
          <w:cols w:space="720"/>
          <w:titlePg/>
          <w:docGrid w:linePitch="360"/>
        </w:sectPr>
      </w:pPr>
      <w:r>
        <w:rPr>
          <w:rFonts w:ascii="Calibri" w:hAnsi="Calibri" w:cs="Tahoma"/>
          <w:sz w:val="24"/>
        </w:rPr>
        <w:t xml:space="preserve">Total net position at June 30, 2023 of </w:t>
      </w:r>
      <w:r w:rsidRPr="00230CD9">
        <w:rPr>
          <w:rFonts w:ascii="Calibri" w:hAnsi="Calibri" w:cs="Tahoma"/>
          <w:sz w:val="24"/>
        </w:rPr>
        <w:t>$</w:t>
      </w:r>
      <w:r>
        <w:rPr>
          <w:rFonts w:ascii="Calibri" w:hAnsi="Calibri" w:cs="Tahoma"/>
          <w:sz w:val="24"/>
        </w:rPr>
        <w:t>1</w:t>
      </w:r>
      <w:r w:rsidR="00194537">
        <w:rPr>
          <w:rFonts w:ascii="Calibri" w:hAnsi="Calibri" w:cs="Tahoma"/>
          <w:sz w:val="24"/>
        </w:rPr>
        <w:t xml:space="preserve"> </w:t>
      </w:r>
      <w:r>
        <w:rPr>
          <w:rFonts w:ascii="Calibri" w:hAnsi="Calibri" w:cs="Tahoma"/>
          <w:sz w:val="24"/>
        </w:rPr>
        <w:t>b</w:t>
      </w:r>
      <w:r w:rsidRPr="00230CD9">
        <w:rPr>
          <w:rFonts w:ascii="Calibri" w:hAnsi="Calibri" w:cs="Tahoma"/>
          <w:sz w:val="24"/>
        </w:rPr>
        <w:t>illion increased $</w:t>
      </w:r>
      <w:r>
        <w:rPr>
          <w:rFonts w:ascii="Calibri" w:hAnsi="Calibri" w:cs="Tahoma"/>
          <w:sz w:val="24"/>
        </w:rPr>
        <w:t>31</w:t>
      </w:r>
      <w:r w:rsidRPr="00230CD9">
        <w:rPr>
          <w:rFonts w:ascii="Calibri" w:hAnsi="Calibri" w:cs="Tahoma"/>
          <w:sz w:val="24"/>
        </w:rPr>
        <w:t xml:space="preserve"> million, or </w:t>
      </w:r>
      <w:r>
        <w:rPr>
          <w:rFonts w:ascii="Calibri" w:hAnsi="Calibri" w:cs="Tahoma"/>
          <w:sz w:val="24"/>
        </w:rPr>
        <w:t>3</w:t>
      </w:r>
      <w:r w:rsidRPr="00230CD9">
        <w:rPr>
          <w:rFonts w:ascii="Calibri" w:hAnsi="Calibri" w:cs="Tahoma"/>
          <w:sz w:val="24"/>
        </w:rPr>
        <w:t>%,</w:t>
      </w:r>
      <w:r>
        <w:rPr>
          <w:rFonts w:ascii="Calibri" w:hAnsi="Calibri" w:cs="Tahoma"/>
          <w:sz w:val="24"/>
        </w:rPr>
        <w:t xml:space="preserve"> from the June 30, 2022 balance, which</w:t>
      </w:r>
      <w:r w:rsidRPr="00AA1A8F">
        <w:rPr>
          <w:rFonts w:ascii="Calibri" w:hAnsi="Calibri" w:cs="Tahoma"/>
          <w:sz w:val="24"/>
        </w:rPr>
        <w:t xml:space="preserve"> </w:t>
      </w:r>
      <w:r w:rsidRPr="00E239E3">
        <w:rPr>
          <w:rFonts w:ascii="Calibri" w:hAnsi="Calibri" w:cs="Tahoma"/>
          <w:sz w:val="24"/>
        </w:rPr>
        <w:t xml:space="preserve">increased </w:t>
      </w:r>
      <w:r w:rsidRPr="00B946D7">
        <w:rPr>
          <w:rFonts w:ascii="Calibri" w:hAnsi="Calibri" w:cs="Tahoma"/>
          <w:sz w:val="24"/>
        </w:rPr>
        <w:t>$</w:t>
      </w:r>
      <w:r>
        <w:rPr>
          <w:rFonts w:ascii="Calibri" w:hAnsi="Calibri" w:cs="Tahoma"/>
          <w:sz w:val="24"/>
        </w:rPr>
        <w:t xml:space="preserve">26 million, or 3%, from the June 30, 2021 balance.  Additional information about net position is presented on page </w:t>
      </w:r>
      <w:r w:rsidRPr="006B537A">
        <w:rPr>
          <w:rFonts w:ascii="Calibri" w:hAnsi="Calibri" w:cs="Tahoma"/>
          <w:color w:val="0D0D0D" w:themeColor="text1" w:themeTint="F2"/>
          <w:sz w:val="24"/>
        </w:rPr>
        <w:t>2</w:t>
      </w:r>
      <w:r>
        <w:rPr>
          <w:rFonts w:ascii="Calibri" w:hAnsi="Calibri" w:cs="Tahoma"/>
          <w:color w:val="0D0D0D" w:themeColor="text1" w:themeTint="F2"/>
          <w:sz w:val="24"/>
        </w:rPr>
        <w:t>5</w:t>
      </w:r>
      <w:r w:rsidRPr="00790AF8">
        <w:rPr>
          <w:rFonts w:ascii="Calibri" w:hAnsi="Calibri" w:cs="Tahoma"/>
          <w:color w:val="0D0D0D" w:themeColor="text1" w:themeTint="F2"/>
          <w:sz w:val="24"/>
        </w:rPr>
        <w:t>.</w:t>
      </w:r>
    </w:p>
    <w:p w14:paraId="45572CD2" w14:textId="77777777" w:rsidR="00A83362" w:rsidRDefault="00A83362" w:rsidP="00A83362">
      <w:pPr>
        <w:spacing w:after="160" w:line="259" w:lineRule="auto"/>
        <w:rPr>
          <w:b/>
          <w:bCs/>
          <w:color w:val="0D0D0D" w:themeColor="text1" w:themeTint="F2"/>
          <w:sz w:val="28"/>
          <w:szCs w:val="28"/>
        </w:rPr>
      </w:pPr>
      <w:r>
        <w:rPr>
          <w:b/>
          <w:bCs/>
          <w:color w:val="0D0D0D" w:themeColor="text1" w:themeTint="F2"/>
          <w:sz w:val="28"/>
          <w:szCs w:val="28"/>
        </w:rPr>
        <w:br w:type="page"/>
      </w:r>
    </w:p>
    <w:p w14:paraId="3C5F4C08" w14:textId="77777777" w:rsidR="00A83362" w:rsidRPr="00721CFD" w:rsidRDefault="00A83362" w:rsidP="00A83362">
      <w:pPr>
        <w:jc w:val="center"/>
        <w:rPr>
          <w:b/>
          <w:bCs/>
          <w:color w:val="0D0D0D" w:themeColor="text1" w:themeTint="F2"/>
        </w:rPr>
      </w:pPr>
      <w:r w:rsidRPr="00721CFD">
        <w:rPr>
          <w:b/>
          <w:bCs/>
          <w:color w:val="0D0D0D" w:themeColor="text1" w:themeTint="F2"/>
          <w:sz w:val="28"/>
          <w:szCs w:val="28"/>
        </w:rPr>
        <w:lastRenderedPageBreak/>
        <w:t>Table 3: Condensed Statements of Net Position as of June 30</w:t>
      </w:r>
    </w:p>
    <w:p w14:paraId="2EF49D48" w14:textId="77777777" w:rsidR="00A83362" w:rsidRDefault="00A83362" w:rsidP="00A83362">
      <w:pPr>
        <w:jc w:val="center"/>
      </w:pPr>
      <w:r w:rsidRPr="00721CFD">
        <w:rPr>
          <w:b/>
          <w:bCs/>
          <w:color w:val="0D0D0D" w:themeColor="text1" w:themeTint="F2"/>
        </w:rPr>
        <w:t>(In millions)</w:t>
      </w:r>
    </w:p>
    <w:p w14:paraId="7942ACD8" w14:textId="127CD121" w:rsidR="00A83362" w:rsidRDefault="0080291A" w:rsidP="00A83362">
      <w:pPr>
        <w:rPr>
          <w:b/>
          <w:i/>
          <w:sz w:val="26"/>
          <w:u w:val="single" w:color="000000" w:themeColor="text1"/>
        </w:rPr>
      </w:pPr>
      <w:r w:rsidRPr="0080291A">
        <w:rPr>
          <w:noProof/>
        </w:rPr>
        <w:drawing>
          <wp:inline distT="0" distB="0" distL="0" distR="0" wp14:anchorId="178B44ED" wp14:editId="13D17781">
            <wp:extent cx="5943600" cy="4839447"/>
            <wp:effectExtent l="0" t="0" r="0" b="0"/>
            <wp:docPr id="20781127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273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8072"/>
                    <a:stretch/>
                  </pic:blipFill>
                  <pic:spPr bwMode="auto">
                    <a:xfrm>
                      <a:off x="0" y="0"/>
                      <a:ext cx="5943600" cy="4839447"/>
                    </a:xfrm>
                    <a:prstGeom prst="rect">
                      <a:avLst/>
                    </a:prstGeom>
                    <a:noFill/>
                    <a:ln>
                      <a:noFill/>
                    </a:ln>
                    <a:extLst>
                      <a:ext uri="{53640926-AAD7-44D8-BBD7-CCE9431645EC}">
                        <a14:shadowObscured xmlns:a14="http://schemas.microsoft.com/office/drawing/2010/main"/>
                      </a:ext>
                    </a:extLst>
                  </pic:spPr>
                </pic:pic>
              </a:graphicData>
            </a:graphic>
          </wp:inline>
        </w:drawing>
      </w:r>
    </w:p>
    <w:p w14:paraId="0DEDC492" w14:textId="3FF94F5A" w:rsidR="00A83362" w:rsidRDefault="00A83362" w:rsidP="00A83362">
      <w:pPr>
        <w:spacing w:after="160" w:line="259" w:lineRule="auto"/>
        <w:rPr>
          <w:b/>
          <w:i/>
          <w:sz w:val="26"/>
          <w:u w:val="single" w:color="000000" w:themeColor="text1"/>
        </w:rPr>
      </w:pPr>
      <w:r>
        <w:br w:type="page"/>
      </w:r>
    </w:p>
    <w:p w14:paraId="759AD04E" w14:textId="77777777" w:rsidR="00A83362" w:rsidRPr="008D4582" w:rsidRDefault="00A83362" w:rsidP="00A83362">
      <w:pPr>
        <w:pStyle w:val="AFR3"/>
      </w:pPr>
      <w:r w:rsidRPr="00452591">
        <w:lastRenderedPageBreak/>
        <w:t>Managed Investment Pool (MIP)</w:t>
      </w:r>
    </w:p>
    <w:p w14:paraId="4F36342D" w14:textId="77777777" w:rsidR="00A83362" w:rsidRDefault="00A83362" w:rsidP="00A83362">
      <w:pPr>
        <w:tabs>
          <w:tab w:val="left" w:pos="4860"/>
        </w:tabs>
        <w:rPr>
          <w:rFonts w:ascii="Calibri" w:eastAsia="Times New Roman" w:hAnsi="Calibri" w:cs="Tahoma"/>
          <w:sz w:val="24"/>
        </w:rPr>
      </w:pPr>
      <w:r>
        <w:rPr>
          <w:rFonts w:ascii="Calibri" w:eastAsia="Times New Roman" w:hAnsi="Calibri" w:cs="Tahoma"/>
          <w:sz w:val="24"/>
        </w:rPr>
        <w:t xml:space="preserve">The System pools certain funds for investment purposes including the System’s endowment pool monies, endowment monies belonging to the System’s affiliated organizations, and monies on behalf of the following entities: the UMS OPEB Trust, </w:t>
      </w:r>
      <w:r w:rsidRPr="00721CFD">
        <w:rPr>
          <w:rFonts w:ascii="Calibri" w:eastAsia="Times New Roman" w:hAnsi="Calibri" w:cs="Tahoma"/>
          <w:sz w:val="24"/>
        </w:rPr>
        <w:t>Maine Maritime Academy</w:t>
      </w:r>
      <w:r>
        <w:rPr>
          <w:rFonts w:ascii="Calibri" w:eastAsia="Times New Roman" w:hAnsi="Calibri" w:cs="Tahoma"/>
          <w:sz w:val="24"/>
        </w:rPr>
        <w:t xml:space="preserve"> (MMA) [redeemed in spring 2022], </w:t>
      </w:r>
      <w:proofErr w:type="spellStart"/>
      <w:r>
        <w:rPr>
          <w:rFonts w:ascii="Calibri" w:eastAsia="Times New Roman" w:hAnsi="Calibri" w:cs="Tahoma"/>
          <w:sz w:val="24"/>
        </w:rPr>
        <w:t>USM</w:t>
      </w:r>
      <w:proofErr w:type="spellEnd"/>
      <w:r>
        <w:rPr>
          <w:rFonts w:ascii="Calibri" w:eastAsia="Times New Roman" w:hAnsi="Calibri" w:cs="Tahoma"/>
          <w:sz w:val="24"/>
        </w:rPr>
        <w:t xml:space="preserve"> Osher Map Library Foundation [redeemed in spring 2023], and the University of Maine School of Law Foundation.</w:t>
      </w:r>
    </w:p>
    <w:p w14:paraId="6D7C754A" w14:textId="77777777" w:rsidR="00A83362" w:rsidRPr="00DE50BF" w:rsidRDefault="00A83362" w:rsidP="00A83362">
      <w:pPr>
        <w:tabs>
          <w:tab w:val="left" w:pos="4860"/>
        </w:tabs>
        <w:rPr>
          <w:rFonts w:ascii="Calibri" w:eastAsia="Times New Roman" w:hAnsi="Calibri" w:cs="Tahoma"/>
          <w:sz w:val="20"/>
        </w:rPr>
      </w:pPr>
    </w:p>
    <w:p w14:paraId="5AAC9B02" w14:textId="77777777" w:rsidR="00A83362" w:rsidRPr="00DD3935" w:rsidRDefault="00A83362" w:rsidP="00A83362">
      <w:pPr>
        <w:tabs>
          <w:tab w:val="left" w:pos="4860"/>
        </w:tabs>
        <w:spacing w:after="240"/>
        <w:rPr>
          <w:rFonts w:ascii="Calibri" w:eastAsia="Times New Roman" w:hAnsi="Calibri" w:cs="Tahoma"/>
          <w:sz w:val="24"/>
        </w:rPr>
      </w:pPr>
      <w:r>
        <w:rPr>
          <w:rFonts w:ascii="Calibri" w:eastAsia="Times New Roman" w:hAnsi="Calibri" w:cs="Tahoma"/>
          <w:sz w:val="24"/>
        </w:rPr>
        <w:t>Chart 3 shows the June 30, 2021, 2022 and 2023 fair values of the MIP investments, including the amounts held on behalf of each entity.</w:t>
      </w:r>
    </w:p>
    <w:p w14:paraId="2AC370C6" w14:textId="77777777" w:rsidR="00A83362" w:rsidRDefault="00A83362" w:rsidP="00A83362">
      <w:pPr>
        <w:tabs>
          <w:tab w:val="left" w:pos="4860"/>
        </w:tabs>
        <w:spacing w:before="240"/>
        <w:jc w:val="center"/>
        <w:rPr>
          <w:rFonts w:ascii="Calibri" w:eastAsia="Times New Roman" w:hAnsi="Calibri" w:cs="Tahoma"/>
          <w:sz w:val="24"/>
        </w:rPr>
      </w:pPr>
      <w:r>
        <w:rPr>
          <w:noProof/>
        </w:rPr>
        <w:drawing>
          <wp:inline distT="0" distB="0" distL="0" distR="0" wp14:anchorId="57AD95D9" wp14:editId="65E25804">
            <wp:extent cx="5314950" cy="3150870"/>
            <wp:effectExtent l="0" t="0" r="0" b="0"/>
            <wp:docPr id="14" name="Chart 14">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2D219D" w14:textId="77777777" w:rsidR="000E7902" w:rsidRDefault="00A83362" w:rsidP="00A83362">
      <w:pPr>
        <w:tabs>
          <w:tab w:val="left" w:pos="4860"/>
        </w:tabs>
        <w:spacing w:before="240"/>
        <w:rPr>
          <w:rFonts w:ascii="Calibri" w:eastAsia="Times New Roman" w:hAnsi="Calibri" w:cs="Tahoma"/>
          <w:sz w:val="24"/>
        </w:rPr>
      </w:pPr>
      <w:r>
        <w:rPr>
          <w:rFonts w:ascii="Calibri" w:eastAsia="Times New Roman" w:hAnsi="Calibri" w:cs="Tahoma"/>
          <w:sz w:val="24"/>
        </w:rPr>
        <w:t xml:space="preserve">‘UMS Endowments’ noted in Chart </w:t>
      </w:r>
      <w:r w:rsidR="00E22D21">
        <w:rPr>
          <w:rFonts w:ascii="Calibri" w:eastAsia="Times New Roman" w:hAnsi="Calibri" w:cs="Tahoma"/>
          <w:sz w:val="24"/>
        </w:rPr>
        <w:t xml:space="preserve">3 </w:t>
      </w:r>
      <w:r>
        <w:rPr>
          <w:rFonts w:ascii="Calibri" w:eastAsia="Times New Roman" w:hAnsi="Calibri" w:cs="Tahoma"/>
          <w:sz w:val="24"/>
        </w:rPr>
        <w:t xml:space="preserve">is the System’s share of the MIP investments and is included as part of the ‘Endowment Investments’ noted in the accompanying Condensed Statements of Net Position. </w:t>
      </w:r>
    </w:p>
    <w:p w14:paraId="26CA15A0" w14:textId="162D3626" w:rsidR="00A83362" w:rsidRDefault="00A83362" w:rsidP="00A83362">
      <w:pPr>
        <w:tabs>
          <w:tab w:val="left" w:pos="4860"/>
        </w:tabs>
        <w:spacing w:before="240"/>
        <w:rPr>
          <w:rFonts w:ascii="Calibri" w:eastAsia="Times New Roman" w:hAnsi="Calibri" w:cs="Tahoma"/>
          <w:sz w:val="24"/>
        </w:rPr>
      </w:pPr>
      <w:r>
        <w:rPr>
          <w:rFonts w:ascii="Calibri" w:eastAsia="Times New Roman" w:hAnsi="Calibri" w:cs="Tahoma"/>
          <w:sz w:val="24"/>
        </w:rPr>
        <w:t>The portion of the MIP representing UMS Affiliates’ Endowments is included in the Statements of Fiduciary Net Position as ‘Investment in UMS endowment pool’. The total of the OPEB Trust and the University of Maine School of Law Foundation portions of the MIP are included in the Statements of Fiduciary Net Position as ‘Investment in UMS managed investment pool’.</w:t>
      </w:r>
    </w:p>
    <w:p w14:paraId="31AC6FB8" w14:textId="77777777" w:rsidR="00A83362" w:rsidRPr="00DE50BF" w:rsidRDefault="00A83362" w:rsidP="00A83362">
      <w:pPr>
        <w:tabs>
          <w:tab w:val="left" w:pos="4860"/>
        </w:tabs>
        <w:rPr>
          <w:rFonts w:ascii="Calibri" w:eastAsia="Times New Roman" w:hAnsi="Calibri" w:cs="Tahoma"/>
          <w:sz w:val="20"/>
        </w:rPr>
      </w:pPr>
    </w:p>
    <w:p w14:paraId="057EF0B2" w14:textId="77777777" w:rsidR="00D82A8D" w:rsidRDefault="00D82A8D">
      <w:pPr>
        <w:spacing w:after="160" w:line="259" w:lineRule="auto"/>
        <w:rPr>
          <w:rFonts w:ascii="Calibri" w:eastAsia="Times New Roman" w:hAnsi="Calibri" w:cs="Tahoma"/>
          <w:sz w:val="24"/>
        </w:rPr>
      </w:pPr>
      <w:r>
        <w:rPr>
          <w:rFonts w:ascii="Calibri" w:eastAsia="Times New Roman" w:hAnsi="Calibri" w:cs="Tahoma"/>
          <w:sz w:val="24"/>
        </w:rPr>
        <w:br w:type="page"/>
      </w:r>
    </w:p>
    <w:p w14:paraId="3F46C275" w14:textId="4543278E" w:rsidR="00A83362" w:rsidRDefault="00A83362" w:rsidP="00A83362">
      <w:pPr>
        <w:tabs>
          <w:tab w:val="left" w:pos="4860"/>
        </w:tabs>
        <w:spacing w:after="120"/>
        <w:rPr>
          <w:rFonts w:ascii="Calibri" w:eastAsia="Times New Roman" w:hAnsi="Calibri" w:cs="Tahoma"/>
          <w:sz w:val="24"/>
        </w:rPr>
      </w:pPr>
      <w:r>
        <w:rPr>
          <w:rFonts w:ascii="Calibri" w:eastAsia="Times New Roman" w:hAnsi="Calibri" w:cs="Tahoma"/>
          <w:sz w:val="24"/>
        </w:rPr>
        <w:lastRenderedPageBreak/>
        <w:t xml:space="preserve">The MIP investments are diversified among </w:t>
      </w:r>
      <w:proofErr w:type="gramStart"/>
      <w:r>
        <w:rPr>
          <w:rFonts w:ascii="Calibri" w:eastAsia="Times New Roman" w:hAnsi="Calibri" w:cs="Tahoma"/>
          <w:sz w:val="24"/>
        </w:rPr>
        <w:t>a number of</w:t>
      </w:r>
      <w:proofErr w:type="gramEnd"/>
      <w:r>
        <w:rPr>
          <w:rFonts w:ascii="Calibri" w:eastAsia="Times New Roman" w:hAnsi="Calibri" w:cs="Tahoma"/>
          <w:sz w:val="24"/>
        </w:rPr>
        <w:t xml:space="preserve"> asset classes to minimize risk while optimizing return. </w:t>
      </w:r>
      <w:r w:rsidR="00387A2D">
        <w:rPr>
          <w:rFonts w:ascii="Calibri" w:eastAsia="Times New Roman" w:hAnsi="Calibri" w:cs="Tahoma"/>
          <w:sz w:val="24"/>
        </w:rPr>
        <w:t>T</w:t>
      </w:r>
      <w:r>
        <w:rPr>
          <w:rFonts w:ascii="Calibri" w:eastAsia="Times New Roman" w:hAnsi="Calibri" w:cs="Tahoma"/>
          <w:sz w:val="24"/>
        </w:rPr>
        <w:t xml:space="preserve">he percentage of holdings in each asset class </w:t>
      </w:r>
      <w:r w:rsidR="00D82A8D">
        <w:rPr>
          <w:rFonts w:ascii="Calibri" w:eastAsia="Times New Roman" w:hAnsi="Calibri" w:cs="Tahoma"/>
          <w:sz w:val="24"/>
        </w:rPr>
        <w:t>for</w:t>
      </w:r>
      <w:r>
        <w:rPr>
          <w:rFonts w:ascii="Calibri" w:eastAsia="Times New Roman" w:hAnsi="Calibri" w:cs="Tahoma"/>
          <w:sz w:val="24"/>
        </w:rPr>
        <w:t xml:space="preserve"> the past 5 years</w:t>
      </w:r>
      <w:r w:rsidR="00387A2D">
        <w:rPr>
          <w:rFonts w:ascii="Calibri" w:eastAsia="Times New Roman" w:hAnsi="Calibri" w:cs="Tahoma"/>
          <w:sz w:val="24"/>
        </w:rPr>
        <w:t xml:space="preserve"> is summarized below</w:t>
      </w:r>
      <w:r>
        <w:rPr>
          <w:rFonts w:ascii="Calibri" w:eastAsia="Times New Roman" w:hAnsi="Calibri" w:cs="Tahoma"/>
          <w:sz w:val="24"/>
        </w:rPr>
        <w:t>.</w:t>
      </w:r>
    </w:p>
    <w:p w14:paraId="161BFFD0" w14:textId="110930AC" w:rsidR="000D04E7" w:rsidRDefault="000D04E7" w:rsidP="00C24B6D">
      <w:pPr>
        <w:tabs>
          <w:tab w:val="left" w:pos="4860"/>
        </w:tabs>
        <w:rPr>
          <w:rFonts w:ascii="Calibri" w:eastAsia="Times New Roman" w:hAnsi="Calibri" w:cs="Tahoma"/>
          <w:sz w:val="24"/>
          <w:szCs w:val="24"/>
        </w:rPr>
      </w:pPr>
    </w:p>
    <w:tbl>
      <w:tblPr>
        <w:tblW w:w="6100" w:type="dxa"/>
        <w:jc w:val="center"/>
        <w:tblLook w:val="04A0" w:firstRow="1" w:lastRow="0" w:firstColumn="1" w:lastColumn="0" w:noHBand="0" w:noVBand="1"/>
      </w:tblPr>
      <w:tblGrid>
        <w:gridCol w:w="2560"/>
        <w:gridCol w:w="708"/>
        <w:gridCol w:w="708"/>
        <w:gridCol w:w="708"/>
        <w:gridCol w:w="708"/>
        <w:gridCol w:w="708"/>
      </w:tblGrid>
      <w:tr w:rsidR="000D04E7" w:rsidRPr="000D04E7" w14:paraId="26C8541E" w14:textId="77777777" w:rsidTr="0080291A">
        <w:trPr>
          <w:trHeight w:val="315"/>
          <w:jc w:val="center"/>
        </w:trPr>
        <w:tc>
          <w:tcPr>
            <w:tcW w:w="2560" w:type="dxa"/>
            <w:tcBorders>
              <w:top w:val="nil"/>
              <w:left w:val="nil"/>
              <w:bottom w:val="nil"/>
              <w:right w:val="nil"/>
            </w:tcBorders>
            <w:shd w:val="clear" w:color="000000" w:fill="FFFFFF"/>
            <w:noWrap/>
            <w:vAlign w:val="bottom"/>
            <w:hideMark/>
          </w:tcPr>
          <w:p w14:paraId="4B317E97"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 </w:t>
            </w:r>
          </w:p>
        </w:tc>
        <w:tc>
          <w:tcPr>
            <w:tcW w:w="708" w:type="dxa"/>
            <w:tcBorders>
              <w:top w:val="nil"/>
              <w:left w:val="nil"/>
              <w:bottom w:val="single" w:sz="12" w:space="0" w:color="0D0D0D"/>
              <w:right w:val="nil"/>
            </w:tcBorders>
            <w:shd w:val="clear" w:color="000000" w:fill="FFFFFF"/>
            <w:vAlign w:val="bottom"/>
            <w:hideMark/>
          </w:tcPr>
          <w:p w14:paraId="44D25141" w14:textId="77777777" w:rsidR="000D04E7" w:rsidRPr="000D04E7" w:rsidRDefault="000D04E7" w:rsidP="000D04E7">
            <w:pPr>
              <w:jc w:val="center"/>
              <w:rPr>
                <w:rFonts w:ascii="Calibri" w:eastAsia="Times New Roman" w:hAnsi="Calibri" w:cs="Calibri"/>
                <w:b/>
                <w:bCs/>
                <w:sz w:val="20"/>
                <w:szCs w:val="20"/>
              </w:rPr>
            </w:pPr>
            <w:r w:rsidRPr="000D04E7">
              <w:rPr>
                <w:rFonts w:ascii="Calibri" w:eastAsia="Times New Roman" w:hAnsi="Calibri" w:cs="Calibri"/>
                <w:b/>
                <w:bCs/>
                <w:sz w:val="20"/>
                <w:szCs w:val="20"/>
              </w:rPr>
              <w:t>2023</w:t>
            </w:r>
          </w:p>
        </w:tc>
        <w:tc>
          <w:tcPr>
            <w:tcW w:w="708" w:type="dxa"/>
            <w:tcBorders>
              <w:top w:val="nil"/>
              <w:left w:val="nil"/>
              <w:bottom w:val="single" w:sz="12" w:space="0" w:color="0D0D0D"/>
              <w:right w:val="nil"/>
            </w:tcBorders>
            <w:shd w:val="clear" w:color="000000" w:fill="FFFFFF"/>
            <w:vAlign w:val="bottom"/>
            <w:hideMark/>
          </w:tcPr>
          <w:p w14:paraId="538401C1" w14:textId="77777777" w:rsidR="000D04E7" w:rsidRPr="000D04E7" w:rsidRDefault="000D04E7" w:rsidP="000D04E7">
            <w:pPr>
              <w:jc w:val="center"/>
              <w:rPr>
                <w:rFonts w:ascii="Calibri" w:eastAsia="Times New Roman" w:hAnsi="Calibri" w:cs="Calibri"/>
                <w:b/>
                <w:bCs/>
                <w:sz w:val="20"/>
                <w:szCs w:val="20"/>
              </w:rPr>
            </w:pPr>
            <w:r w:rsidRPr="000D04E7">
              <w:rPr>
                <w:rFonts w:ascii="Calibri" w:eastAsia="Times New Roman" w:hAnsi="Calibri" w:cs="Calibri"/>
                <w:b/>
                <w:bCs/>
                <w:sz w:val="20"/>
                <w:szCs w:val="20"/>
              </w:rPr>
              <w:t>2022</w:t>
            </w:r>
          </w:p>
        </w:tc>
        <w:tc>
          <w:tcPr>
            <w:tcW w:w="708" w:type="dxa"/>
            <w:tcBorders>
              <w:top w:val="nil"/>
              <w:left w:val="nil"/>
              <w:bottom w:val="single" w:sz="12" w:space="0" w:color="0D0D0D"/>
              <w:right w:val="nil"/>
            </w:tcBorders>
            <w:shd w:val="clear" w:color="000000" w:fill="FFFFFF"/>
            <w:vAlign w:val="bottom"/>
            <w:hideMark/>
          </w:tcPr>
          <w:p w14:paraId="0A442C79" w14:textId="77777777" w:rsidR="000D04E7" w:rsidRPr="000D04E7" w:rsidRDefault="000D04E7" w:rsidP="000D04E7">
            <w:pPr>
              <w:jc w:val="center"/>
              <w:rPr>
                <w:rFonts w:ascii="Calibri" w:eastAsia="Times New Roman" w:hAnsi="Calibri" w:cs="Calibri"/>
                <w:b/>
                <w:bCs/>
                <w:sz w:val="20"/>
                <w:szCs w:val="20"/>
              </w:rPr>
            </w:pPr>
            <w:r w:rsidRPr="000D04E7">
              <w:rPr>
                <w:rFonts w:ascii="Calibri" w:eastAsia="Times New Roman" w:hAnsi="Calibri" w:cs="Calibri"/>
                <w:b/>
                <w:bCs/>
                <w:sz w:val="20"/>
                <w:szCs w:val="20"/>
              </w:rPr>
              <w:t>2021</w:t>
            </w:r>
          </w:p>
        </w:tc>
        <w:tc>
          <w:tcPr>
            <w:tcW w:w="708" w:type="dxa"/>
            <w:tcBorders>
              <w:top w:val="nil"/>
              <w:left w:val="nil"/>
              <w:bottom w:val="single" w:sz="12" w:space="0" w:color="0D0D0D"/>
              <w:right w:val="nil"/>
            </w:tcBorders>
            <w:shd w:val="clear" w:color="000000" w:fill="FFFFFF"/>
            <w:vAlign w:val="bottom"/>
            <w:hideMark/>
          </w:tcPr>
          <w:p w14:paraId="746ACBE3" w14:textId="77777777" w:rsidR="000D04E7" w:rsidRPr="000D04E7" w:rsidRDefault="000D04E7" w:rsidP="000D04E7">
            <w:pPr>
              <w:jc w:val="center"/>
              <w:rPr>
                <w:rFonts w:ascii="Calibri" w:eastAsia="Times New Roman" w:hAnsi="Calibri" w:cs="Calibri"/>
                <w:b/>
                <w:bCs/>
                <w:sz w:val="20"/>
                <w:szCs w:val="20"/>
              </w:rPr>
            </w:pPr>
            <w:r w:rsidRPr="000D04E7">
              <w:rPr>
                <w:rFonts w:ascii="Calibri" w:eastAsia="Times New Roman" w:hAnsi="Calibri" w:cs="Calibri"/>
                <w:b/>
                <w:bCs/>
                <w:sz w:val="20"/>
                <w:szCs w:val="20"/>
              </w:rPr>
              <w:t>2020</w:t>
            </w:r>
          </w:p>
        </w:tc>
        <w:tc>
          <w:tcPr>
            <w:tcW w:w="708" w:type="dxa"/>
            <w:tcBorders>
              <w:top w:val="nil"/>
              <w:left w:val="nil"/>
              <w:bottom w:val="single" w:sz="12" w:space="0" w:color="0D0D0D"/>
              <w:right w:val="nil"/>
            </w:tcBorders>
            <w:shd w:val="clear" w:color="000000" w:fill="FFFFFF"/>
            <w:vAlign w:val="bottom"/>
            <w:hideMark/>
          </w:tcPr>
          <w:p w14:paraId="401CAA91" w14:textId="77777777" w:rsidR="000D04E7" w:rsidRPr="000D04E7" w:rsidRDefault="000D04E7" w:rsidP="000D04E7">
            <w:pPr>
              <w:jc w:val="center"/>
              <w:rPr>
                <w:rFonts w:ascii="Calibri" w:eastAsia="Times New Roman" w:hAnsi="Calibri" w:cs="Calibri"/>
                <w:b/>
                <w:bCs/>
                <w:sz w:val="20"/>
                <w:szCs w:val="20"/>
              </w:rPr>
            </w:pPr>
            <w:r w:rsidRPr="000D04E7">
              <w:rPr>
                <w:rFonts w:ascii="Calibri" w:eastAsia="Times New Roman" w:hAnsi="Calibri" w:cs="Calibri"/>
                <w:b/>
                <w:bCs/>
                <w:sz w:val="20"/>
                <w:szCs w:val="20"/>
              </w:rPr>
              <w:t>2019</w:t>
            </w:r>
          </w:p>
        </w:tc>
      </w:tr>
      <w:tr w:rsidR="000D04E7" w:rsidRPr="000D04E7" w14:paraId="65BD5311" w14:textId="77777777" w:rsidTr="0080291A">
        <w:trPr>
          <w:trHeight w:val="315"/>
          <w:jc w:val="center"/>
        </w:trPr>
        <w:tc>
          <w:tcPr>
            <w:tcW w:w="2560" w:type="dxa"/>
            <w:tcBorders>
              <w:top w:val="nil"/>
              <w:left w:val="nil"/>
              <w:bottom w:val="nil"/>
              <w:right w:val="nil"/>
            </w:tcBorders>
            <w:shd w:val="clear" w:color="000000" w:fill="FFFFFF"/>
            <w:noWrap/>
            <w:vAlign w:val="bottom"/>
            <w:hideMark/>
          </w:tcPr>
          <w:p w14:paraId="6E4FDBC3"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Domestic Equities</w:t>
            </w:r>
          </w:p>
        </w:tc>
        <w:tc>
          <w:tcPr>
            <w:tcW w:w="708" w:type="dxa"/>
            <w:tcBorders>
              <w:top w:val="nil"/>
              <w:left w:val="nil"/>
              <w:bottom w:val="nil"/>
              <w:right w:val="nil"/>
            </w:tcBorders>
            <w:shd w:val="clear" w:color="000000" w:fill="FFFFFF"/>
            <w:noWrap/>
            <w:vAlign w:val="bottom"/>
            <w:hideMark/>
          </w:tcPr>
          <w:p w14:paraId="08AEB204"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30%</w:t>
            </w:r>
          </w:p>
        </w:tc>
        <w:tc>
          <w:tcPr>
            <w:tcW w:w="708" w:type="dxa"/>
            <w:tcBorders>
              <w:top w:val="nil"/>
              <w:left w:val="nil"/>
              <w:bottom w:val="nil"/>
              <w:right w:val="nil"/>
            </w:tcBorders>
            <w:shd w:val="clear" w:color="000000" w:fill="FFFFFF"/>
            <w:noWrap/>
            <w:vAlign w:val="bottom"/>
            <w:hideMark/>
          </w:tcPr>
          <w:p w14:paraId="30F005C4"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29%</w:t>
            </w:r>
          </w:p>
        </w:tc>
        <w:tc>
          <w:tcPr>
            <w:tcW w:w="708" w:type="dxa"/>
            <w:tcBorders>
              <w:top w:val="nil"/>
              <w:left w:val="nil"/>
              <w:bottom w:val="nil"/>
              <w:right w:val="nil"/>
            </w:tcBorders>
            <w:shd w:val="clear" w:color="000000" w:fill="FFFFFF"/>
            <w:noWrap/>
            <w:vAlign w:val="bottom"/>
            <w:hideMark/>
          </w:tcPr>
          <w:p w14:paraId="031A0088"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29%</w:t>
            </w:r>
          </w:p>
        </w:tc>
        <w:tc>
          <w:tcPr>
            <w:tcW w:w="708" w:type="dxa"/>
            <w:tcBorders>
              <w:top w:val="nil"/>
              <w:left w:val="nil"/>
              <w:bottom w:val="nil"/>
              <w:right w:val="nil"/>
            </w:tcBorders>
            <w:shd w:val="clear" w:color="000000" w:fill="FFFFFF"/>
            <w:noWrap/>
            <w:vAlign w:val="bottom"/>
            <w:hideMark/>
          </w:tcPr>
          <w:p w14:paraId="17930A18"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24%</w:t>
            </w:r>
          </w:p>
        </w:tc>
        <w:tc>
          <w:tcPr>
            <w:tcW w:w="708" w:type="dxa"/>
            <w:tcBorders>
              <w:top w:val="nil"/>
              <w:left w:val="nil"/>
              <w:bottom w:val="nil"/>
              <w:right w:val="nil"/>
            </w:tcBorders>
            <w:shd w:val="clear" w:color="000000" w:fill="FFFFFF"/>
            <w:noWrap/>
            <w:vAlign w:val="bottom"/>
            <w:hideMark/>
          </w:tcPr>
          <w:p w14:paraId="7EF70665"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30%</w:t>
            </w:r>
          </w:p>
        </w:tc>
      </w:tr>
      <w:tr w:rsidR="000D04E7" w:rsidRPr="000D04E7" w14:paraId="42278A42"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2B288F1D"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International Equities</w:t>
            </w:r>
          </w:p>
        </w:tc>
        <w:tc>
          <w:tcPr>
            <w:tcW w:w="708" w:type="dxa"/>
            <w:tcBorders>
              <w:top w:val="nil"/>
              <w:left w:val="nil"/>
              <w:bottom w:val="nil"/>
              <w:right w:val="nil"/>
            </w:tcBorders>
            <w:shd w:val="clear" w:color="000000" w:fill="FFFFFF"/>
            <w:noWrap/>
            <w:vAlign w:val="bottom"/>
            <w:hideMark/>
          </w:tcPr>
          <w:p w14:paraId="4E072081"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18%</w:t>
            </w:r>
          </w:p>
        </w:tc>
        <w:tc>
          <w:tcPr>
            <w:tcW w:w="708" w:type="dxa"/>
            <w:tcBorders>
              <w:top w:val="nil"/>
              <w:left w:val="nil"/>
              <w:bottom w:val="nil"/>
              <w:right w:val="nil"/>
            </w:tcBorders>
            <w:shd w:val="clear" w:color="000000" w:fill="FFFFFF"/>
            <w:noWrap/>
            <w:vAlign w:val="bottom"/>
            <w:hideMark/>
          </w:tcPr>
          <w:p w14:paraId="0276CDF5"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16%</w:t>
            </w:r>
          </w:p>
        </w:tc>
        <w:tc>
          <w:tcPr>
            <w:tcW w:w="708" w:type="dxa"/>
            <w:tcBorders>
              <w:top w:val="nil"/>
              <w:left w:val="nil"/>
              <w:bottom w:val="nil"/>
              <w:right w:val="nil"/>
            </w:tcBorders>
            <w:shd w:val="clear" w:color="000000" w:fill="FFFFFF"/>
            <w:noWrap/>
            <w:vAlign w:val="bottom"/>
            <w:hideMark/>
          </w:tcPr>
          <w:p w14:paraId="22C7E25C"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21%</w:t>
            </w:r>
          </w:p>
        </w:tc>
        <w:tc>
          <w:tcPr>
            <w:tcW w:w="708" w:type="dxa"/>
            <w:tcBorders>
              <w:top w:val="nil"/>
              <w:left w:val="nil"/>
              <w:bottom w:val="nil"/>
              <w:right w:val="nil"/>
            </w:tcBorders>
            <w:shd w:val="clear" w:color="000000" w:fill="FFFFFF"/>
            <w:noWrap/>
            <w:vAlign w:val="bottom"/>
            <w:hideMark/>
          </w:tcPr>
          <w:p w14:paraId="6943994C"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22%</w:t>
            </w:r>
          </w:p>
        </w:tc>
        <w:tc>
          <w:tcPr>
            <w:tcW w:w="708" w:type="dxa"/>
            <w:tcBorders>
              <w:top w:val="nil"/>
              <w:left w:val="nil"/>
              <w:bottom w:val="nil"/>
              <w:right w:val="nil"/>
            </w:tcBorders>
            <w:shd w:val="clear" w:color="000000" w:fill="FFFFFF"/>
            <w:noWrap/>
            <w:vAlign w:val="bottom"/>
            <w:hideMark/>
          </w:tcPr>
          <w:p w14:paraId="615CDA17"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25%</w:t>
            </w:r>
          </w:p>
        </w:tc>
      </w:tr>
      <w:tr w:rsidR="000D04E7" w:rsidRPr="000D04E7" w14:paraId="3B7EE460"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01EFE105"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Global Equities</w:t>
            </w:r>
          </w:p>
        </w:tc>
        <w:tc>
          <w:tcPr>
            <w:tcW w:w="708" w:type="dxa"/>
            <w:tcBorders>
              <w:top w:val="nil"/>
              <w:left w:val="nil"/>
              <w:bottom w:val="nil"/>
              <w:right w:val="nil"/>
            </w:tcBorders>
            <w:shd w:val="clear" w:color="000000" w:fill="FFFFFF"/>
            <w:noWrap/>
            <w:vAlign w:val="bottom"/>
            <w:hideMark/>
          </w:tcPr>
          <w:p w14:paraId="6A982487"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w:t>
            </w:r>
          </w:p>
        </w:tc>
        <w:tc>
          <w:tcPr>
            <w:tcW w:w="708" w:type="dxa"/>
            <w:tcBorders>
              <w:top w:val="nil"/>
              <w:left w:val="nil"/>
              <w:bottom w:val="nil"/>
              <w:right w:val="nil"/>
            </w:tcBorders>
            <w:shd w:val="clear" w:color="000000" w:fill="FFFFFF"/>
            <w:noWrap/>
            <w:vAlign w:val="bottom"/>
            <w:hideMark/>
          </w:tcPr>
          <w:p w14:paraId="69BE3339"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9%</w:t>
            </w:r>
          </w:p>
        </w:tc>
        <w:tc>
          <w:tcPr>
            <w:tcW w:w="708" w:type="dxa"/>
            <w:tcBorders>
              <w:top w:val="nil"/>
              <w:left w:val="nil"/>
              <w:bottom w:val="nil"/>
              <w:right w:val="nil"/>
            </w:tcBorders>
            <w:shd w:val="clear" w:color="000000" w:fill="FFFFFF"/>
            <w:noWrap/>
            <w:vAlign w:val="bottom"/>
            <w:hideMark/>
          </w:tcPr>
          <w:p w14:paraId="40BFFCEE"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w:t>
            </w:r>
          </w:p>
        </w:tc>
        <w:tc>
          <w:tcPr>
            <w:tcW w:w="708" w:type="dxa"/>
            <w:tcBorders>
              <w:top w:val="nil"/>
              <w:left w:val="nil"/>
              <w:bottom w:val="nil"/>
              <w:right w:val="nil"/>
            </w:tcBorders>
            <w:shd w:val="clear" w:color="000000" w:fill="FFFFFF"/>
            <w:noWrap/>
            <w:vAlign w:val="bottom"/>
            <w:hideMark/>
          </w:tcPr>
          <w:p w14:paraId="20570D88"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9%</w:t>
            </w:r>
          </w:p>
        </w:tc>
        <w:tc>
          <w:tcPr>
            <w:tcW w:w="708" w:type="dxa"/>
            <w:tcBorders>
              <w:top w:val="nil"/>
              <w:left w:val="nil"/>
              <w:bottom w:val="nil"/>
              <w:right w:val="nil"/>
            </w:tcBorders>
            <w:shd w:val="clear" w:color="000000" w:fill="FFFFFF"/>
            <w:noWrap/>
            <w:vAlign w:val="bottom"/>
            <w:hideMark/>
          </w:tcPr>
          <w:p w14:paraId="46AED06E"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0%</w:t>
            </w:r>
          </w:p>
        </w:tc>
      </w:tr>
      <w:tr w:rsidR="000D04E7" w:rsidRPr="000D04E7" w14:paraId="4C0A711E"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0E0C1D9B"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Fixed Income</w:t>
            </w:r>
          </w:p>
        </w:tc>
        <w:tc>
          <w:tcPr>
            <w:tcW w:w="708" w:type="dxa"/>
            <w:tcBorders>
              <w:top w:val="nil"/>
              <w:left w:val="nil"/>
              <w:bottom w:val="nil"/>
              <w:right w:val="nil"/>
            </w:tcBorders>
            <w:shd w:val="clear" w:color="000000" w:fill="FFFFFF"/>
            <w:noWrap/>
            <w:vAlign w:val="bottom"/>
            <w:hideMark/>
          </w:tcPr>
          <w:p w14:paraId="01D877EA"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26%</w:t>
            </w:r>
          </w:p>
        </w:tc>
        <w:tc>
          <w:tcPr>
            <w:tcW w:w="708" w:type="dxa"/>
            <w:tcBorders>
              <w:top w:val="nil"/>
              <w:left w:val="nil"/>
              <w:bottom w:val="nil"/>
              <w:right w:val="nil"/>
            </w:tcBorders>
            <w:shd w:val="clear" w:color="000000" w:fill="FFFFFF"/>
            <w:noWrap/>
            <w:vAlign w:val="bottom"/>
            <w:hideMark/>
          </w:tcPr>
          <w:p w14:paraId="687CECC0"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28%</w:t>
            </w:r>
          </w:p>
        </w:tc>
        <w:tc>
          <w:tcPr>
            <w:tcW w:w="708" w:type="dxa"/>
            <w:tcBorders>
              <w:top w:val="nil"/>
              <w:left w:val="nil"/>
              <w:bottom w:val="nil"/>
              <w:right w:val="nil"/>
            </w:tcBorders>
            <w:shd w:val="clear" w:color="000000" w:fill="FFFFFF"/>
            <w:noWrap/>
            <w:vAlign w:val="bottom"/>
            <w:hideMark/>
          </w:tcPr>
          <w:p w14:paraId="1B936A0E"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25%</w:t>
            </w:r>
          </w:p>
        </w:tc>
        <w:tc>
          <w:tcPr>
            <w:tcW w:w="708" w:type="dxa"/>
            <w:tcBorders>
              <w:top w:val="nil"/>
              <w:left w:val="nil"/>
              <w:bottom w:val="nil"/>
              <w:right w:val="nil"/>
            </w:tcBorders>
            <w:shd w:val="clear" w:color="000000" w:fill="FFFFFF"/>
            <w:noWrap/>
            <w:vAlign w:val="bottom"/>
            <w:hideMark/>
          </w:tcPr>
          <w:p w14:paraId="01585F93"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22%</w:t>
            </w:r>
          </w:p>
        </w:tc>
        <w:tc>
          <w:tcPr>
            <w:tcW w:w="708" w:type="dxa"/>
            <w:tcBorders>
              <w:top w:val="nil"/>
              <w:left w:val="nil"/>
              <w:bottom w:val="nil"/>
              <w:right w:val="nil"/>
            </w:tcBorders>
            <w:shd w:val="clear" w:color="000000" w:fill="FFFFFF"/>
            <w:noWrap/>
            <w:vAlign w:val="bottom"/>
            <w:hideMark/>
          </w:tcPr>
          <w:p w14:paraId="36573EA1"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23%</w:t>
            </w:r>
          </w:p>
        </w:tc>
      </w:tr>
      <w:tr w:rsidR="000D04E7" w:rsidRPr="000D04E7" w14:paraId="7C5F5889"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47A26DE8"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Global Asset Allocation</w:t>
            </w:r>
          </w:p>
        </w:tc>
        <w:tc>
          <w:tcPr>
            <w:tcW w:w="708" w:type="dxa"/>
            <w:tcBorders>
              <w:top w:val="nil"/>
              <w:left w:val="nil"/>
              <w:bottom w:val="nil"/>
              <w:right w:val="nil"/>
            </w:tcBorders>
            <w:shd w:val="clear" w:color="000000" w:fill="FFFFFF"/>
            <w:noWrap/>
            <w:vAlign w:val="bottom"/>
            <w:hideMark/>
          </w:tcPr>
          <w:p w14:paraId="3D5F273C"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7%</w:t>
            </w:r>
          </w:p>
        </w:tc>
        <w:tc>
          <w:tcPr>
            <w:tcW w:w="708" w:type="dxa"/>
            <w:tcBorders>
              <w:top w:val="nil"/>
              <w:left w:val="nil"/>
              <w:bottom w:val="nil"/>
              <w:right w:val="nil"/>
            </w:tcBorders>
            <w:shd w:val="clear" w:color="000000" w:fill="FFFFFF"/>
            <w:noWrap/>
            <w:vAlign w:val="bottom"/>
            <w:hideMark/>
          </w:tcPr>
          <w:p w14:paraId="06710D5B"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8%</w:t>
            </w:r>
          </w:p>
        </w:tc>
        <w:tc>
          <w:tcPr>
            <w:tcW w:w="708" w:type="dxa"/>
            <w:tcBorders>
              <w:top w:val="nil"/>
              <w:left w:val="nil"/>
              <w:bottom w:val="nil"/>
              <w:right w:val="nil"/>
            </w:tcBorders>
            <w:shd w:val="clear" w:color="000000" w:fill="FFFFFF"/>
            <w:noWrap/>
            <w:vAlign w:val="bottom"/>
            <w:hideMark/>
          </w:tcPr>
          <w:p w14:paraId="3A1A0665"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7%</w:t>
            </w:r>
          </w:p>
        </w:tc>
        <w:tc>
          <w:tcPr>
            <w:tcW w:w="708" w:type="dxa"/>
            <w:tcBorders>
              <w:top w:val="nil"/>
              <w:left w:val="nil"/>
              <w:bottom w:val="nil"/>
              <w:right w:val="nil"/>
            </w:tcBorders>
            <w:shd w:val="clear" w:color="000000" w:fill="FFFFFF"/>
            <w:noWrap/>
            <w:vAlign w:val="bottom"/>
            <w:hideMark/>
          </w:tcPr>
          <w:p w14:paraId="13741C39"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14%</w:t>
            </w:r>
          </w:p>
        </w:tc>
        <w:tc>
          <w:tcPr>
            <w:tcW w:w="708" w:type="dxa"/>
            <w:tcBorders>
              <w:top w:val="nil"/>
              <w:left w:val="nil"/>
              <w:bottom w:val="nil"/>
              <w:right w:val="nil"/>
            </w:tcBorders>
            <w:shd w:val="clear" w:color="000000" w:fill="FFFFFF"/>
            <w:noWrap/>
            <w:vAlign w:val="bottom"/>
            <w:hideMark/>
          </w:tcPr>
          <w:p w14:paraId="686B6DC7"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15%</w:t>
            </w:r>
          </w:p>
        </w:tc>
      </w:tr>
      <w:tr w:rsidR="000D04E7" w:rsidRPr="000D04E7" w14:paraId="36F9648E"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70D47986"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Hedge Funds</w:t>
            </w:r>
          </w:p>
        </w:tc>
        <w:tc>
          <w:tcPr>
            <w:tcW w:w="708" w:type="dxa"/>
            <w:tcBorders>
              <w:top w:val="nil"/>
              <w:left w:val="nil"/>
              <w:bottom w:val="nil"/>
              <w:right w:val="nil"/>
            </w:tcBorders>
            <w:shd w:val="clear" w:color="000000" w:fill="FFFFFF"/>
            <w:noWrap/>
            <w:vAlign w:val="bottom"/>
            <w:hideMark/>
          </w:tcPr>
          <w:p w14:paraId="22471054"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7%</w:t>
            </w:r>
          </w:p>
        </w:tc>
        <w:tc>
          <w:tcPr>
            <w:tcW w:w="708" w:type="dxa"/>
            <w:tcBorders>
              <w:top w:val="nil"/>
              <w:left w:val="nil"/>
              <w:bottom w:val="nil"/>
              <w:right w:val="nil"/>
            </w:tcBorders>
            <w:shd w:val="clear" w:color="000000" w:fill="FFFFFF"/>
            <w:noWrap/>
            <w:vAlign w:val="bottom"/>
            <w:hideMark/>
          </w:tcPr>
          <w:p w14:paraId="1B4A29BB"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9%</w:t>
            </w:r>
          </w:p>
        </w:tc>
        <w:tc>
          <w:tcPr>
            <w:tcW w:w="708" w:type="dxa"/>
            <w:tcBorders>
              <w:top w:val="nil"/>
              <w:left w:val="nil"/>
              <w:bottom w:val="nil"/>
              <w:right w:val="nil"/>
            </w:tcBorders>
            <w:shd w:val="clear" w:color="000000" w:fill="FFFFFF"/>
            <w:noWrap/>
            <w:vAlign w:val="bottom"/>
            <w:hideMark/>
          </w:tcPr>
          <w:p w14:paraId="072F9BCA"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7%</w:t>
            </w:r>
          </w:p>
        </w:tc>
        <w:tc>
          <w:tcPr>
            <w:tcW w:w="708" w:type="dxa"/>
            <w:tcBorders>
              <w:top w:val="nil"/>
              <w:left w:val="nil"/>
              <w:bottom w:val="nil"/>
              <w:right w:val="nil"/>
            </w:tcBorders>
            <w:shd w:val="clear" w:color="000000" w:fill="FFFFFF"/>
            <w:noWrap/>
            <w:vAlign w:val="bottom"/>
            <w:hideMark/>
          </w:tcPr>
          <w:p w14:paraId="48785858"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6%</w:t>
            </w:r>
          </w:p>
        </w:tc>
        <w:tc>
          <w:tcPr>
            <w:tcW w:w="708" w:type="dxa"/>
            <w:tcBorders>
              <w:top w:val="nil"/>
              <w:left w:val="nil"/>
              <w:bottom w:val="nil"/>
              <w:right w:val="nil"/>
            </w:tcBorders>
            <w:shd w:val="clear" w:color="000000" w:fill="FFFFFF"/>
            <w:noWrap/>
            <w:vAlign w:val="bottom"/>
            <w:hideMark/>
          </w:tcPr>
          <w:p w14:paraId="4BE1F824"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6%</w:t>
            </w:r>
          </w:p>
        </w:tc>
      </w:tr>
      <w:tr w:rsidR="000D04E7" w:rsidRPr="000D04E7" w14:paraId="56DF4601"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6E30C428"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Private Equity</w:t>
            </w:r>
          </w:p>
        </w:tc>
        <w:tc>
          <w:tcPr>
            <w:tcW w:w="708" w:type="dxa"/>
            <w:tcBorders>
              <w:top w:val="nil"/>
              <w:left w:val="nil"/>
              <w:bottom w:val="nil"/>
              <w:right w:val="nil"/>
            </w:tcBorders>
            <w:shd w:val="clear" w:color="000000" w:fill="FFFFFF"/>
            <w:noWrap/>
            <w:vAlign w:val="bottom"/>
            <w:hideMark/>
          </w:tcPr>
          <w:p w14:paraId="5FE231C2"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w:t>
            </w:r>
          </w:p>
        </w:tc>
        <w:tc>
          <w:tcPr>
            <w:tcW w:w="708" w:type="dxa"/>
            <w:tcBorders>
              <w:top w:val="nil"/>
              <w:left w:val="nil"/>
              <w:bottom w:val="nil"/>
              <w:right w:val="nil"/>
            </w:tcBorders>
            <w:shd w:val="clear" w:color="000000" w:fill="FFFFFF"/>
            <w:noWrap/>
            <w:vAlign w:val="bottom"/>
            <w:hideMark/>
          </w:tcPr>
          <w:p w14:paraId="039BC9CE"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w:t>
            </w:r>
          </w:p>
        </w:tc>
        <w:tc>
          <w:tcPr>
            <w:tcW w:w="708" w:type="dxa"/>
            <w:tcBorders>
              <w:top w:val="nil"/>
              <w:left w:val="nil"/>
              <w:bottom w:val="nil"/>
              <w:right w:val="nil"/>
            </w:tcBorders>
            <w:shd w:val="clear" w:color="000000" w:fill="FFFFFF"/>
            <w:noWrap/>
            <w:vAlign w:val="bottom"/>
            <w:hideMark/>
          </w:tcPr>
          <w:p w14:paraId="0A998DA6"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w:t>
            </w:r>
          </w:p>
        </w:tc>
        <w:tc>
          <w:tcPr>
            <w:tcW w:w="708" w:type="dxa"/>
            <w:tcBorders>
              <w:top w:val="nil"/>
              <w:left w:val="nil"/>
              <w:bottom w:val="nil"/>
              <w:right w:val="nil"/>
            </w:tcBorders>
            <w:shd w:val="clear" w:color="000000" w:fill="FFFFFF"/>
            <w:noWrap/>
            <w:vAlign w:val="bottom"/>
            <w:hideMark/>
          </w:tcPr>
          <w:p w14:paraId="3FDBDA6B"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w:t>
            </w:r>
          </w:p>
        </w:tc>
        <w:tc>
          <w:tcPr>
            <w:tcW w:w="708" w:type="dxa"/>
            <w:tcBorders>
              <w:top w:val="nil"/>
              <w:left w:val="nil"/>
              <w:bottom w:val="nil"/>
              <w:right w:val="nil"/>
            </w:tcBorders>
            <w:shd w:val="clear" w:color="000000" w:fill="FFFFFF"/>
            <w:noWrap/>
            <w:vAlign w:val="bottom"/>
            <w:hideMark/>
          </w:tcPr>
          <w:p w14:paraId="70570ECA"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w:t>
            </w:r>
          </w:p>
        </w:tc>
      </w:tr>
      <w:tr w:rsidR="000D04E7" w:rsidRPr="000D04E7" w14:paraId="41F83103" w14:textId="77777777" w:rsidTr="0080291A">
        <w:trPr>
          <w:trHeight w:val="300"/>
          <w:jc w:val="center"/>
        </w:trPr>
        <w:tc>
          <w:tcPr>
            <w:tcW w:w="2560" w:type="dxa"/>
            <w:tcBorders>
              <w:top w:val="nil"/>
              <w:left w:val="nil"/>
              <w:bottom w:val="nil"/>
              <w:right w:val="nil"/>
            </w:tcBorders>
            <w:shd w:val="clear" w:color="000000" w:fill="FFFFFF"/>
            <w:noWrap/>
            <w:vAlign w:val="bottom"/>
            <w:hideMark/>
          </w:tcPr>
          <w:p w14:paraId="4E8D807C"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Cash</w:t>
            </w:r>
          </w:p>
        </w:tc>
        <w:tc>
          <w:tcPr>
            <w:tcW w:w="708" w:type="dxa"/>
            <w:tcBorders>
              <w:top w:val="nil"/>
              <w:left w:val="nil"/>
              <w:bottom w:val="nil"/>
              <w:right w:val="nil"/>
            </w:tcBorders>
            <w:shd w:val="clear" w:color="000000" w:fill="FFFFFF"/>
            <w:noWrap/>
            <w:vAlign w:val="bottom"/>
            <w:hideMark/>
          </w:tcPr>
          <w:p w14:paraId="2586F302" w14:textId="00BB44C1" w:rsidR="000D04E7" w:rsidRPr="000D04E7" w:rsidRDefault="00A64869" w:rsidP="000D04E7">
            <w:pPr>
              <w:jc w:val="right"/>
              <w:rPr>
                <w:rFonts w:ascii="Calibri" w:eastAsia="Times New Roman" w:hAnsi="Calibri" w:cs="Calibri"/>
                <w:color w:val="000000"/>
              </w:rPr>
            </w:pPr>
            <w:r>
              <w:rPr>
                <w:rFonts w:ascii="Calibri" w:eastAsia="Times New Roman" w:hAnsi="Calibri" w:cs="Calibri"/>
                <w:color w:val="000000"/>
              </w:rPr>
              <w:t>1</w:t>
            </w:r>
            <w:r w:rsidR="000D04E7" w:rsidRPr="000D04E7">
              <w:rPr>
                <w:rFonts w:ascii="Calibri" w:eastAsia="Times New Roman" w:hAnsi="Calibri" w:cs="Calibri"/>
                <w:color w:val="000000"/>
              </w:rPr>
              <w:t>%</w:t>
            </w:r>
          </w:p>
        </w:tc>
        <w:tc>
          <w:tcPr>
            <w:tcW w:w="708" w:type="dxa"/>
            <w:tcBorders>
              <w:top w:val="nil"/>
              <w:left w:val="nil"/>
              <w:bottom w:val="nil"/>
              <w:right w:val="nil"/>
            </w:tcBorders>
            <w:shd w:val="clear" w:color="000000" w:fill="FFFFFF"/>
            <w:noWrap/>
            <w:vAlign w:val="bottom"/>
            <w:hideMark/>
          </w:tcPr>
          <w:p w14:paraId="45256506"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0%</w:t>
            </w:r>
          </w:p>
        </w:tc>
        <w:tc>
          <w:tcPr>
            <w:tcW w:w="708" w:type="dxa"/>
            <w:tcBorders>
              <w:top w:val="nil"/>
              <w:left w:val="nil"/>
              <w:bottom w:val="nil"/>
              <w:right w:val="nil"/>
            </w:tcBorders>
            <w:shd w:val="clear" w:color="000000" w:fill="FFFFFF"/>
            <w:noWrap/>
            <w:vAlign w:val="bottom"/>
            <w:hideMark/>
          </w:tcPr>
          <w:p w14:paraId="46A17417"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0%</w:t>
            </w:r>
          </w:p>
        </w:tc>
        <w:tc>
          <w:tcPr>
            <w:tcW w:w="708" w:type="dxa"/>
            <w:tcBorders>
              <w:top w:val="nil"/>
              <w:left w:val="nil"/>
              <w:bottom w:val="nil"/>
              <w:right w:val="nil"/>
            </w:tcBorders>
            <w:shd w:val="clear" w:color="000000" w:fill="FFFFFF"/>
            <w:noWrap/>
            <w:vAlign w:val="bottom"/>
            <w:hideMark/>
          </w:tcPr>
          <w:p w14:paraId="3AEF7930"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2%</w:t>
            </w:r>
          </w:p>
        </w:tc>
        <w:tc>
          <w:tcPr>
            <w:tcW w:w="708" w:type="dxa"/>
            <w:tcBorders>
              <w:top w:val="nil"/>
              <w:left w:val="nil"/>
              <w:bottom w:val="nil"/>
              <w:right w:val="nil"/>
            </w:tcBorders>
            <w:shd w:val="clear" w:color="000000" w:fill="FFFFFF"/>
            <w:noWrap/>
            <w:vAlign w:val="bottom"/>
            <w:hideMark/>
          </w:tcPr>
          <w:p w14:paraId="1008F052"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0%</w:t>
            </w:r>
          </w:p>
        </w:tc>
      </w:tr>
      <w:tr w:rsidR="000D04E7" w:rsidRPr="000D04E7" w14:paraId="0EEC468C" w14:textId="77777777" w:rsidTr="0080291A">
        <w:trPr>
          <w:trHeight w:val="315"/>
          <w:jc w:val="center"/>
        </w:trPr>
        <w:tc>
          <w:tcPr>
            <w:tcW w:w="2560" w:type="dxa"/>
            <w:tcBorders>
              <w:top w:val="nil"/>
              <w:left w:val="nil"/>
              <w:bottom w:val="nil"/>
              <w:right w:val="nil"/>
            </w:tcBorders>
            <w:shd w:val="clear" w:color="000000" w:fill="FFFFFF"/>
            <w:noWrap/>
            <w:vAlign w:val="bottom"/>
            <w:hideMark/>
          </w:tcPr>
          <w:p w14:paraId="697D14E8" w14:textId="77777777" w:rsidR="000D04E7" w:rsidRPr="000D04E7" w:rsidRDefault="000D04E7" w:rsidP="000D04E7">
            <w:pPr>
              <w:rPr>
                <w:rFonts w:ascii="Calibri" w:eastAsia="Times New Roman" w:hAnsi="Calibri" w:cs="Calibri"/>
                <w:color w:val="000000"/>
              </w:rPr>
            </w:pPr>
            <w:r w:rsidRPr="000D04E7">
              <w:rPr>
                <w:rFonts w:ascii="Calibri" w:eastAsia="Times New Roman" w:hAnsi="Calibri" w:cs="Calibri"/>
                <w:color w:val="000000"/>
              </w:rPr>
              <w:t> </w:t>
            </w:r>
          </w:p>
        </w:tc>
        <w:tc>
          <w:tcPr>
            <w:tcW w:w="708" w:type="dxa"/>
            <w:tcBorders>
              <w:top w:val="single" w:sz="4" w:space="0" w:color="auto"/>
              <w:left w:val="nil"/>
              <w:bottom w:val="double" w:sz="6" w:space="0" w:color="auto"/>
              <w:right w:val="nil"/>
            </w:tcBorders>
            <w:shd w:val="clear" w:color="000000" w:fill="FFFFFF"/>
            <w:noWrap/>
            <w:vAlign w:val="bottom"/>
            <w:hideMark/>
          </w:tcPr>
          <w:p w14:paraId="7E97F9CB"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100%</w:t>
            </w:r>
          </w:p>
        </w:tc>
        <w:tc>
          <w:tcPr>
            <w:tcW w:w="708" w:type="dxa"/>
            <w:tcBorders>
              <w:top w:val="single" w:sz="4" w:space="0" w:color="auto"/>
              <w:left w:val="nil"/>
              <w:bottom w:val="double" w:sz="6" w:space="0" w:color="auto"/>
              <w:right w:val="nil"/>
            </w:tcBorders>
            <w:shd w:val="clear" w:color="000000" w:fill="FFFFFF"/>
            <w:noWrap/>
            <w:vAlign w:val="bottom"/>
            <w:hideMark/>
          </w:tcPr>
          <w:p w14:paraId="2756E812"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100%</w:t>
            </w:r>
          </w:p>
        </w:tc>
        <w:tc>
          <w:tcPr>
            <w:tcW w:w="708" w:type="dxa"/>
            <w:tcBorders>
              <w:top w:val="single" w:sz="4" w:space="0" w:color="auto"/>
              <w:left w:val="nil"/>
              <w:bottom w:val="double" w:sz="6" w:space="0" w:color="auto"/>
              <w:right w:val="nil"/>
            </w:tcBorders>
            <w:shd w:val="clear" w:color="000000" w:fill="FFFFFF"/>
            <w:noWrap/>
            <w:vAlign w:val="bottom"/>
            <w:hideMark/>
          </w:tcPr>
          <w:p w14:paraId="4C11AFD0"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100%</w:t>
            </w:r>
          </w:p>
        </w:tc>
        <w:tc>
          <w:tcPr>
            <w:tcW w:w="708" w:type="dxa"/>
            <w:tcBorders>
              <w:top w:val="single" w:sz="4" w:space="0" w:color="auto"/>
              <w:left w:val="nil"/>
              <w:bottom w:val="double" w:sz="6" w:space="0" w:color="auto"/>
              <w:right w:val="nil"/>
            </w:tcBorders>
            <w:shd w:val="clear" w:color="000000" w:fill="FFFFFF"/>
            <w:noWrap/>
            <w:vAlign w:val="bottom"/>
            <w:hideMark/>
          </w:tcPr>
          <w:p w14:paraId="5D929E05"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100%</w:t>
            </w:r>
          </w:p>
        </w:tc>
        <w:tc>
          <w:tcPr>
            <w:tcW w:w="708" w:type="dxa"/>
            <w:tcBorders>
              <w:top w:val="single" w:sz="4" w:space="0" w:color="auto"/>
              <w:left w:val="nil"/>
              <w:bottom w:val="double" w:sz="6" w:space="0" w:color="auto"/>
              <w:right w:val="nil"/>
            </w:tcBorders>
            <w:shd w:val="clear" w:color="000000" w:fill="FFFFFF"/>
            <w:noWrap/>
            <w:vAlign w:val="bottom"/>
            <w:hideMark/>
          </w:tcPr>
          <w:p w14:paraId="5CC50F64" w14:textId="77777777" w:rsidR="000D04E7" w:rsidRPr="000D04E7" w:rsidRDefault="000D04E7" w:rsidP="000D04E7">
            <w:pPr>
              <w:jc w:val="right"/>
              <w:rPr>
                <w:rFonts w:ascii="Calibri" w:eastAsia="Times New Roman" w:hAnsi="Calibri" w:cs="Calibri"/>
                <w:color w:val="000000"/>
              </w:rPr>
            </w:pPr>
            <w:r w:rsidRPr="000D04E7">
              <w:rPr>
                <w:rFonts w:ascii="Calibri" w:eastAsia="Times New Roman" w:hAnsi="Calibri" w:cs="Calibri"/>
                <w:color w:val="000000"/>
              </w:rPr>
              <w:t>100%</w:t>
            </w:r>
          </w:p>
        </w:tc>
      </w:tr>
    </w:tbl>
    <w:p w14:paraId="55922C81" w14:textId="77777777" w:rsidR="00387A2D" w:rsidRDefault="00387A2D" w:rsidP="00A83362">
      <w:pPr>
        <w:tabs>
          <w:tab w:val="left" w:pos="4860"/>
        </w:tabs>
        <w:spacing w:after="120"/>
        <w:rPr>
          <w:rFonts w:ascii="Calibri" w:eastAsia="Times New Roman" w:hAnsi="Calibri" w:cs="Tahoma"/>
          <w:sz w:val="24"/>
          <w:szCs w:val="24"/>
        </w:rPr>
      </w:pPr>
    </w:p>
    <w:p w14:paraId="189EC977" w14:textId="41739759" w:rsidR="00A83362" w:rsidRDefault="00A83362" w:rsidP="00A83362">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As</w:t>
      </w:r>
      <w:r>
        <w:rPr>
          <w:rFonts w:ascii="Calibri" w:eastAsia="Times New Roman" w:hAnsi="Calibri" w:cs="Tahoma"/>
          <w:sz w:val="24"/>
        </w:rPr>
        <w:t xml:space="preserve"> shown in Chart </w:t>
      </w:r>
      <w:r w:rsidR="000D04E7">
        <w:rPr>
          <w:rFonts w:ascii="Calibri" w:eastAsia="Times New Roman" w:hAnsi="Calibri" w:cs="Tahoma"/>
          <w:sz w:val="24"/>
        </w:rPr>
        <w:t>4</w:t>
      </w:r>
      <w:r>
        <w:rPr>
          <w:rFonts w:ascii="Calibri" w:eastAsia="Times New Roman" w:hAnsi="Calibri" w:cs="Tahoma"/>
          <w:sz w:val="24"/>
        </w:rPr>
        <w:t xml:space="preserve">, </w:t>
      </w:r>
      <w:r>
        <w:rPr>
          <w:rFonts w:ascii="Calibri" w:eastAsia="Times New Roman" w:hAnsi="Calibri" w:cs="Tahoma"/>
          <w:sz w:val="24"/>
          <w:szCs w:val="24"/>
        </w:rPr>
        <w:t xml:space="preserve">in FY23 the MIP realized a net of fees </w:t>
      </w:r>
      <w:r w:rsidR="00E22D21">
        <w:rPr>
          <w:rFonts w:ascii="Calibri" w:eastAsia="Times New Roman" w:hAnsi="Calibri" w:cs="Tahoma"/>
          <w:sz w:val="24"/>
          <w:szCs w:val="24"/>
        </w:rPr>
        <w:t>return</w:t>
      </w:r>
      <w:r w:rsidR="00E22D21" w:rsidRPr="00172B24">
        <w:rPr>
          <w:rFonts w:ascii="Calibri" w:eastAsia="Times New Roman" w:hAnsi="Calibri" w:cs="Tahoma"/>
          <w:sz w:val="24"/>
          <w:szCs w:val="24"/>
        </w:rPr>
        <w:t xml:space="preserve"> </w:t>
      </w:r>
      <w:r w:rsidRPr="00172B24">
        <w:rPr>
          <w:rFonts w:ascii="Calibri" w:eastAsia="Times New Roman" w:hAnsi="Calibri" w:cs="Tahoma"/>
          <w:sz w:val="24"/>
          <w:szCs w:val="24"/>
        </w:rPr>
        <w:t xml:space="preserve">of </w:t>
      </w:r>
      <w:r>
        <w:rPr>
          <w:rFonts w:ascii="Calibri" w:eastAsia="Times New Roman" w:hAnsi="Calibri" w:cs="Tahoma"/>
          <w:sz w:val="24"/>
          <w:szCs w:val="24"/>
        </w:rPr>
        <w:t>10.6</w:t>
      </w:r>
      <w:r w:rsidRPr="003A4A61">
        <w:rPr>
          <w:rFonts w:ascii="Calibri" w:eastAsia="Times New Roman" w:hAnsi="Calibri" w:cs="Tahoma"/>
          <w:sz w:val="24"/>
          <w:szCs w:val="24"/>
        </w:rPr>
        <w:t xml:space="preserve">%, </w:t>
      </w:r>
      <w:r>
        <w:rPr>
          <w:rFonts w:ascii="Calibri" w:eastAsia="Times New Roman" w:hAnsi="Calibri" w:cs="Tahoma"/>
          <w:sz w:val="24"/>
          <w:szCs w:val="24"/>
        </w:rPr>
        <w:t>up</w:t>
      </w:r>
      <w:r w:rsidRPr="00172B24">
        <w:rPr>
          <w:rFonts w:ascii="Calibri" w:eastAsia="Times New Roman" w:hAnsi="Calibri" w:cs="Tahoma"/>
          <w:sz w:val="24"/>
          <w:szCs w:val="24"/>
        </w:rPr>
        <w:t xml:space="preserve"> </w:t>
      </w:r>
      <w:r>
        <w:rPr>
          <w:rFonts w:ascii="Calibri" w:eastAsia="Times New Roman" w:hAnsi="Calibri" w:cs="Tahoma"/>
          <w:sz w:val="24"/>
          <w:szCs w:val="24"/>
        </w:rPr>
        <w:t>from a loss of (</w:t>
      </w:r>
      <w:proofErr w:type="gramStart"/>
      <w:r>
        <w:rPr>
          <w:rFonts w:ascii="Calibri" w:eastAsia="Times New Roman" w:hAnsi="Calibri" w:cs="Tahoma"/>
          <w:sz w:val="24"/>
          <w:szCs w:val="24"/>
        </w:rPr>
        <w:t>12.5)</w:t>
      </w:r>
      <w:r w:rsidRPr="00C77182">
        <w:rPr>
          <w:rFonts w:ascii="Calibri" w:eastAsia="Times New Roman" w:hAnsi="Calibri" w:cs="Tahoma"/>
          <w:sz w:val="24"/>
          <w:szCs w:val="24"/>
        </w:rPr>
        <w:t>%</w:t>
      </w:r>
      <w:proofErr w:type="gramEnd"/>
      <w:r>
        <w:rPr>
          <w:rFonts w:ascii="Calibri" w:eastAsia="Times New Roman" w:hAnsi="Calibri" w:cs="Tahoma"/>
          <w:sz w:val="24"/>
          <w:szCs w:val="24"/>
        </w:rPr>
        <w:t xml:space="preserve"> in FY22. The pooled investments have a 5-year annualized net of fees return of 5.8</w:t>
      </w:r>
      <w:r w:rsidRPr="00116231">
        <w:rPr>
          <w:rFonts w:ascii="Calibri" w:eastAsia="Times New Roman" w:hAnsi="Calibri" w:cs="Tahoma"/>
          <w:sz w:val="24"/>
          <w:szCs w:val="24"/>
        </w:rPr>
        <w:t>%</w:t>
      </w:r>
      <w:r w:rsidRPr="00172B24">
        <w:rPr>
          <w:rFonts w:ascii="Calibri" w:eastAsia="Times New Roman" w:hAnsi="Calibri" w:cs="Tahoma"/>
          <w:sz w:val="24"/>
          <w:szCs w:val="24"/>
        </w:rPr>
        <w:t>.</w:t>
      </w:r>
    </w:p>
    <w:p w14:paraId="1EA38E3C" w14:textId="77777777" w:rsidR="00A83362" w:rsidRDefault="00A83362" w:rsidP="00A83362">
      <w:pPr>
        <w:tabs>
          <w:tab w:val="left" w:pos="9000"/>
        </w:tabs>
        <w:spacing w:before="160" w:after="160"/>
        <w:ind w:left="360" w:hanging="360"/>
        <w:jc w:val="center"/>
        <w:rPr>
          <w:b/>
          <w:i/>
          <w:sz w:val="26"/>
          <w:u w:val="single" w:color="000000" w:themeColor="text1"/>
        </w:rPr>
      </w:pPr>
      <w:r>
        <w:rPr>
          <w:noProof/>
        </w:rPr>
        <w:drawing>
          <wp:inline distT="0" distB="0" distL="0" distR="0" wp14:anchorId="2E064D0A" wp14:editId="37578E96">
            <wp:extent cx="4431030" cy="3145155"/>
            <wp:effectExtent l="0" t="0" r="7620" b="0"/>
            <wp:docPr id="1672683219" name="Chart 1672683219">
              <a:extLst xmlns:a="http://schemas.openxmlformats.org/drawingml/2006/main">
                <a:ext uri="{FF2B5EF4-FFF2-40B4-BE49-F238E27FC236}">
                  <a16:creationId xmlns:a16="http://schemas.microsoft.com/office/drawing/2014/main" id="{00000000-0008-0000-02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type="page"/>
      </w:r>
    </w:p>
    <w:p w14:paraId="03944986" w14:textId="77777777" w:rsidR="00A83362" w:rsidRDefault="00A83362" w:rsidP="00A83362">
      <w:pPr>
        <w:pStyle w:val="AFR3"/>
      </w:pPr>
      <w:r>
        <w:lastRenderedPageBreak/>
        <w:t>Endowments (Including Affiliates)</w:t>
      </w:r>
    </w:p>
    <w:p w14:paraId="6AD55638" w14:textId="77777777" w:rsidR="00A83362" w:rsidRDefault="00A83362" w:rsidP="00A83362">
      <w:pPr>
        <w:tabs>
          <w:tab w:val="left" w:pos="4860"/>
        </w:tabs>
        <w:rPr>
          <w:rFonts w:eastAsia="Times New Roman" w:cstheme="minorHAnsi"/>
          <w:sz w:val="24"/>
        </w:rPr>
      </w:pPr>
      <w:r>
        <w:rPr>
          <w:rFonts w:eastAsia="Times New Roman" w:cstheme="minorHAnsi"/>
          <w:sz w:val="24"/>
        </w:rPr>
        <w:t>Endowments are generally created from donor gifts or bequests with the funds invested to create present and future income with the original amount of the gift (corpus) retained in perpetuity and are considered restricted non-expendable. If the donor established criteria to determine how the expendable amounts are to be used, such amounts are considered restricted expendable. If the use of expendable amounts is left to the discretion of the System, the endowment income and appreciation are considered unrestricted.</w:t>
      </w:r>
    </w:p>
    <w:p w14:paraId="1559998F" w14:textId="77777777" w:rsidR="00A83362" w:rsidRPr="00DE50BF" w:rsidRDefault="00A83362" w:rsidP="00A83362">
      <w:pPr>
        <w:tabs>
          <w:tab w:val="left" w:pos="4860"/>
        </w:tabs>
        <w:rPr>
          <w:rFonts w:eastAsia="Times New Roman" w:cstheme="minorHAnsi"/>
          <w:sz w:val="20"/>
        </w:rPr>
      </w:pPr>
    </w:p>
    <w:p w14:paraId="2964B620" w14:textId="77777777" w:rsidR="00A83362" w:rsidRDefault="00A83362" w:rsidP="00A83362">
      <w:pPr>
        <w:rPr>
          <w:rFonts w:eastAsia="Times New Roman" w:cstheme="minorHAnsi"/>
          <w:sz w:val="24"/>
          <w:szCs w:val="24"/>
        </w:rPr>
      </w:pPr>
      <w:r>
        <w:rPr>
          <w:rFonts w:eastAsia="Times New Roman" w:cstheme="minorHAnsi"/>
          <w:sz w:val="24"/>
          <w:szCs w:val="24"/>
        </w:rPr>
        <w:t xml:space="preserve">As mentioned in the previous MIP section, the System uses a pooled investment approach for its endowments (unless otherwise specified by the donor) and the endowments of three affiliates. Affiliates investing in the endowment pool include: the University of Maine at Fort Kent Foundation, the University of Southern Maine Foundation, and the John L. Martin Scholarship Fund, Inc.  </w:t>
      </w:r>
    </w:p>
    <w:p w14:paraId="17ABC5CA" w14:textId="77777777" w:rsidR="00A83362" w:rsidRPr="00DE50BF" w:rsidRDefault="00A83362" w:rsidP="00A83362">
      <w:pPr>
        <w:ind w:left="360"/>
        <w:rPr>
          <w:rFonts w:eastAsia="Times New Roman" w:cstheme="minorHAnsi"/>
          <w:sz w:val="20"/>
          <w:szCs w:val="24"/>
        </w:rPr>
      </w:pPr>
    </w:p>
    <w:p w14:paraId="33CF99E5" w14:textId="38A9F427" w:rsidR="00A83362" w:rsidRPr="00A67908" w:rsidRDefault="00A83362" w:rsidP="00A83362">
      <w:pPr>
        <w:rPr>
          <w:rFonts w:eastAsia="Times New Roman" w:cstheme="minorHAnsi"/>
          <w:sz w:val="24"/>
          <w:szCs w:val="24"/>
        </w:rPr>
      </w:pPr>
      <w:r w:rsidRPr="00A67908">
        <w:rPr>
          <w:rFonts w:eastAsia="Times New Roman" w:cstheme="minorHAnsi"/>
          <w:sz w:val="24"/>
          <w:szCs w:val="24"/>
        </w:rPr>
        <w:t xml:space="preserve">As shown in Chart </w:t>
      </w:r>
      <w:r w:rsidR="000D04E7">
        <w:rPr>
          <w:rFonts w:eastAsia="Times New Roman" w:cstheme="minorHAnsi"/>
          <w:sz w:val="24"/>
          <w:szCs w:val="24"/>
        </w:rPr>
        <w:t>5</w:t>
      </w:r>
      <w:r w:rsidRPr="00A67908">
        <w:rPr>
          <w:rFonts w:eastAsia="Times New Roman" w:cstheme="minorHAnsi"/>
          <w:sz w:val="24"/>
          <w:szCs w:val="24"/>
        </w:rPr>
        <w:t>, the UMS and its affiliates</w:t>
      </w:r>
      <w:r w:rsidR="000E7902">
        <w:rPr>
          <w:rFonts w:eastAsia="Times New Roman" w:cstheme="minorHAnsi"/>
          <w:sz w:val="24"/>
          <w:szCs w:val="24"/>
        </w:rPr>
        <w:t>’</w:t>
      </w:r>
      <w:r w:rsidRPr="00A67908">
        <w:rPr>
          <w:rFonts w:eastAsia="Times New Roman" w:cstheme="minorHAnsi"/>
          <w:sz w:val="24"/>
          <w:szCs w:val="24"/>
        </w:rPr>
        <w:t xml:space="preserve"> share of these pooled endowment investments had a fair value of $</w:t>
      </w:r>
      <w:r w:rsidRPr="00721CFD">
        <w:rPr>
          <w:rFonts w:eastAsia="Times New Roman" w:cstheme="minorHAnsi"/>
          <w:sz w:val="24"/>
          <w:szCs w:val="24"/>
        </w:rPr>
        <w:t>1</w:t>
      </w:r>
      <w:r>
        <w:rPr>
          <w:rFonts w:eastAsia="Times New Roman" w:cstheme="minorHAnsi"/>
          <w:sz w:val="24"/>
          <w:szCs w:val="24"/>
        </w:rPr>
        <w:t>82</w:t>
      </w:r>
      <w:r w:rsidRPr="00AD1246">
        <w:rPr>
          <w:rFonts w:eastAsia="Times New Roman" w:cstheme="minorHAnsi"/>
          <w:sz w:val="24"/>
          <w:szCs w:val="24"/>
        </w:rPr>
        <w:t xml:space="preserve"> million at June 30, 202</w:t>
      </w:r>
      <w:r>
        <w:rPr>
          <w:rFonts w:eastAsia="Times New Roman" w:cstheme="minorHAnsi"/>
          <w:sz w:val="24"/>
          <w:szCs w:val="24"/>
        </w:rPr>
        <w:t>3</w:t>
      </w:r>
      <w:r w:rsidRPr="00AD1246">
        <w:rPr>
          <w:rFonts w:eastAsia="Times New Roman" w:cstheme="minorHAnsi"/>
          <w:sz w:val="24"/>
          <w:szCs w:val="24"/>
        </w:rPr>
        <w:t>, a</w:t>
      </w:r>
      <w:r>
        <w:rPr>
          <w:rFonts w:eastAsia="Times New Roman" w:cstheme="minorHAnsi"/>
          <w:sz w:val="24"/>
          <w:szCs w:val="24"/>
        </w:rPr>
        <w:t>n</w:t>
      </w:r>
      <w:r w:rsidRPr="00AD1246">
        <w:rPr>
          <w:rFonts w:eastAsia="Times New Roman" w:cstheme="minorHAnsi"/>
          <w:sz w:val="24"/>
          <w:szCs w:val="24"/>
        </w:rPr>
        <w:t xml:space="preserve"> </w:t>
      </w:r>
      <w:r>
        <w:rPr>
          <w:rFonts w:eastAsia="Times New Roman" w:cstheme="minorHAnsi"/>
          <w:sz w:val="24"/>
          <w:szCs w:val="24"/>
        </w:rPr>
        <w:t>in</w:t>
      </w:r>
      <w:r w:rsidRPr="00AD1246">
        <w:rPr>
          <w:rFonts w:eastAsia="Times New Roman" w:cstheme="minorHAnsi"/>
          <w:sz w:val="24"/>
          <w:szCs w:val="24"/>
        </w:rPr>
        <w:t>crease of $</w:t>
      </w:r>
      <w:r>
        <w:rPr>
          <w:rFonts w:eastAsia="Times New Roman" w:cstheme="minorHAnsi"/>
          <w:sz w:val="24"/>
          <w:szCs w:val="24"/>
        </w:rPr>
        <w:t>14</w:t>
      </w:r>
      <w:r w:rsidRPr="00A67908">
        <w:rPr>
          <w:rFonts w:eastAsia="Times New Roman" w:cstheme="minorHAnsi"/>
          <w:sz w:val="24"/>
          <w:szCs w:val="24"/>
        </w:rPr>
        <w:t xml:space="preserve"> million from the prior year. This included a</w:t>
      </w:r>
      <w:r>
        <w:rPr>
          <w:rFonts w:eastAsia="Times New Roman" w:cstheme="minorHAnsi"/>
          <w:sz w:val="24"/>
          <w:szCs w:val="24"/>
        </w:rPr>
        <w:t>n</w:t>
      </w:r>
      <w:r w:rsidRPr="00A67908">
        <w:rPr>
          <w:rFonts w:eastAsia="Times New Roman" w:cstheme="minorHAnsi"/>
          <w:sz w:val="24"/>
          <w:szCs w:val="24"/>
        </w:rPr>
        <w:t xml:space="preserve"> </w:t>
      </w:r>
      <w:r>
        <w:rPr>
          <w:rFonts w:eastAsia="Times New Roman" w:cstheme="minorHAnsi"/>
          <w:sz w:val="24"/>
          <w:szCs w:val="24"/>
        </w:rPr>
        <w:t>in</w:t>
      </w:r>
      <w:r w:rsidRPr="00A67908">
        <w:rPr>
          <w:rFonts w:eastAsia="Times New Roman" w:cstheme="minorHAnsi"/>
          <w:sz w:val="24"/>
          <w:szCs w:val="24"/>
        </w:rPr>
        <w:t xml:space="preserve">crease </w:t>
      </w:r>
      <w:r>
        <w:rPr>
          <w:rFonts w:eastAsia="Times New Roman" w:cstheme="minorHAnsi"/>
          <w:sz w:val="24"/>
          <w:szCs w:val="24"/>
        </w:rPr>
        <w:t xml:space="preserve">of </w:t>
      </w:r>
      <w:r w:rsidRPr="00A67908">
        <w:rPr>
          <w:rFonts w:eastAsia="Times New Roman" w:cstheme="minorHAnsi"/>
          <w:sz w:val="24"/>
          <w:szCs w:val="24"/>
        </w:rPr>
        <w:t>$</w:t>
      </w:r>
      <w:r>
        <w:rPr>
          <w:rFonts w:eastAsia="Times New Roman" w:cstheme="minorHAnsi"/>
          <w:sz w:val="24"/>
          <w:szCs w:val="24"/>
        </w:rPr>
        <w:t>18</w:t>
      </w:r>
      <w:r w:rsidRPr="00EE6F2E">
        <w:rPr>
          <w:rFonts w:eastAsia="Times New Roman" w:cstheme="minorHAnsi"/>
          <w:sz w:val="24"/>
          <w:szCs w:val="24"/>
        </w:rPr>
        <w:t xml:space="preserve"> million in </w:t>
      </w:r>
      <w:r>
        <w:rPr>
          <w:rFonts w:eastAsia="Times New Roman" w:cstheme="minorHAnsi"/>
          <w:sz w:val="24"/>
          <w:szCs w:val="24"/>
        </w:rPr>
        <w:t>positive</w:t>
      </w:r>
      <w:r w:rsidRPr="00EE6F2E">
        <w:rPr>
          <w:rFonts w:eastAsia="Times New Roman" w:cstheme="minorHAnsi"/>
          <w:sz w:val="24"/>
          <w:szCs w:val="24"/>
        </w:rPr>
        <w:t xml:space="preserve"> net performance less $</w:t>
      </w:r>
      <w:r w:rsidR="003F2FA0">
        <w:rPr>
          <w:rFonts w:eastAsia="Times New Roman" w:cstheme="minorHAnsi"/>
          <w:sz w:val="24"/>
          <w:szCs w:val="24"/>
        </w:rPr>
        <w:t>7</w:t>
      </w:r>
      <w:r w:rsidR="003F2FA0" w:rsidRPr="00A67908">
        <w:rPr>
          <w:rFonts w:eastAsia="Times New Roman" w:cstheme="minorHAnsi"/>
          <w:sz w:val="24"/>
          <w:szCs w:val="24"/>
        </w:rPr>
        <w:t xml:space="preserve"> </w:t>
      </w:r>
      <w:r w:rsidRPr="00A67908">
        <w:rPr>
          <w:rFonts w:eastAsia="Times New Roman" w:cstheme="minorHAnsi"/>
          <w:sz w:val="24"/>
          <w:szCs w:val="24"/>
        </w:rPr>
        <w:t>million distributed for scholarships and other operating activities</w:t>
      </w:r>
      <w:r>
        <w:rPr>
          <w:rFonts w:eastAsia="Times New Roman" w:cstheme="minorHAnsi"/>
          <w:sz w:val="24"/>
          <w:szCs w:val="24"/>
        </w:rPr>
        <w:t xml:space="preserve"> offset by contributions of $3 million</w:t>
      </w:r>
      <w:r w:rsidRPr="00A67908">
        <w:rPr>
          <w:rFonts w:eastAsia="Times New Roman" w:cstheme="minorHAnsi"/>
          <w:sz w:val="24"/>
          <w:szCs w:val="24"/>
        </w:rPr>
        <w:t>.</w:t>
      </w:r>
    </w:p>
    <w:p w14:paraId="3E4FB2EB" w14:textId="77777777" w:rsidR="00A83362" w:rsidRPr="00A67908" w:rsidRDefault="00A83362" w:rsidP="00A83362">
      <w:pPr>
        <w:ind w:left="360"/>
        <w:rPr>
          <w:rFonts w:eastAsia="Times New Roman" w:cstheme="minorHAnsi"/>
          <w:sz w:val="20"/>
          <w:szCs w:val="24"/>
        </w:rPr>
      </w:pPr>
    </w:p>
    <w:p w14:paraId="128FBB37" w14:textId="32942AF4" w:rsidR="00A83362" w:rsidRDefault="00A83362" w:rsidP="00A83362">
      <w:pPr>
        <w:spacing w:after="240"/>
        <w:rPr>
          <w:rFonts w:eastAsia="Times New Roman" w:cstheme="minorHAnsi"/>
          <w:sz w:val="24"/>
          <w:szCs w:val="24"/>
        </w:rPr>
      </w:pPr>
      <w:r w:rsidRPr="00A67908">
        <w:rPr>
          <w:rFonts w:eastAsia="Times New Roman" w:cstheme="minorHAnsi"/>
          <w:sz w:val="24"/>
          <w:szCs w:val="24"/>
        </w:rPr>
        <w:t>The pool’s June 30, 202</w:t>
      </w:r>
      <w:r>
        <w:rPr>
          <w:rFonts w:eastAsia="Times New Roman" w:cstheme="minorHAnsi"/>
          <w:sz w:val="24"/>
          <w:szCs w:val="24"/>
        </w:rPr>
        <w:t>2</w:t>
      </w:r>
      <w:r w:rsidRPr="00A67908">
        <w:rPr>
          <w:rFonts w:eastAsia="Times New Roman" w:cstheme="minorHAnsi"/>
          <w:sz w:val="24"/>
          <w:szCs w:val="24"/>
        </w:rPr>
        <w:t xml:space="preserve"> fair value of $</w:t>
      </w:r>
      <w:r w:rsidR="00007258">
        <w:rPr>
          <w:rFonts w:eastAsia="Times New Roman" w:cstheme="minorHAnsi"/>
          <w:sz w:val="24"/>
          <w:szCs w:val="24"/>
        </w:rPr>
        <w:t>16</w:t>
      </w:r>
      <w:r w:rsidR="00610135">
        <w:rPr>
          <w:rFonts w:eastAsia="Times New Roman" w:cstheme="minorHAnsi"/>
          <w:sz w:val="24"/>
          <w:szCs w:val="24"/>
        </w:rPr>
        <w:t>8</w:t>
      </w:r>
      <w:r w:rsidR="00007258" w:rsidRPr="00A67908">
        <w:rPr>
          <w:rFonts w:eastAsia="Times New Roman" w:cstheme="minorHAnsi"/>
          <w:sz w:val="24"/>
          <w:szCs w:val="24"/>
        </w:rPr>
        <w:t xml:space="preserve"> </w:t>
      </w:r>
      <w:r w:rsidRPr="00A67908">
        <w:rPr>
          <w:rFonts w:eastAsia="Times New Roman" w:cstheme="minorHAnsi"/>
          <w:sz w:val="24"/>
          <w:szCs w:val="24"/>
        </w:rPr>
        <w:t xml:space="preserve">million had </w:t>
      </w:r>
      <w:r>
        <w:rPr>
          <w:rFonts w:eastAsia="Times New Roman" w:cstheme="minorHAnsi"/>
          <w:sz w:val="24"/>
          <w:szCs w:val="24"/>
        </w:rPr>
        <w:t>de</w:t>
      </w:r>
      <w:r w:rsidRPr="00A67908">
        <w:rPr>
          <w:rFonts w:eastAsia="Times New Roman" w:cstheme="minorHAnsi"/>
          <w:sz w:val="24"/>
          <w:szCs w:val="24"/>
        </w:rPr>
        <w:t>creased $</w:t>
      </w:r>
      <w:r>
        <w:rPr>
          <w:rFonts w:eastAsia="Times New Roman" w:cstheme="minorHAnsi"/>
          <w:sz w:val="24"/>
          <w:szCs w:val="24"/>
        </w:rPr>
        <w:t>28</w:t>
      </w:r>
      <w:r w:rsidRPr="00A67908">
        <w:rPr>
          <w:rFonts w:eastAsia="Times New Roman" w:cstheme="minorHAnsi"/>
          <w:sz w:val="24"/>
          <w:szCs w:val="24"/>
        </w:rPr>
        <w:t xml:space="preserve"> million from the 20</w:t>
      </w:r>
      <w:r>
        <w:rPr>
          <w:rFonts w:eastAsia="Times New Roman" w:cstheme="minorHAnsi"/>
          <w:sz w:val="24"/>
          <w:szCs w:val="24"/>
        </w:rPr>
        <w:t>21</w:t>
      </w:r>
      <w:r w:rsidRPr="00A67908">
        <w:rPr>
          <w:rFonts w:eastAsia="Times New Roman" w:cstheme="minorHAnsi"/>
          <w:sz w:val="24"/>
          <w:szCs w:val="24"/>
        </w:rPr>
        <w:t xml:space="preserve"> year-end fair value of $1</w:t>
      </w:r>
      <w:r>
        <w:rPr>
          <w:rFonts w:eastAsia="Times New Roman" w:cstheme="minorHAnsi"/>
          <w:sz w:val="24"/>
          <w:szCs w:val="24"/>
        </w:rPr>
        <w:t>96</w:t>
      </w:r>
      <w:r w:rsidRPr="00A67908">
        <w:rPr>
          <w:rFonts w:eastAsia="Times New Roman" w:cstheme="minorHAnsi"/>
          <w:sz w:val="24"/>
          <w:szCs w:val="24"/>
        </w:rPr>
        <w:t xml:space="preserve"> million. This included a </w:t>
      </w:r>
      <w:r>
        <w:rPr>
          <w:rFonts w:eastAsia="Times New Roman" w:cstheme="minorHAnsi"/>
          <w:sz w:val="24"/>
          <w:szCs w:val="24"/>
        </w:rPr>
        <w:t>de</w:t>
      </w:r>
      <w:r w:rsidRPr="00A67908">
        <w:rPr>
          <w:rFonts w:eastAsia="Times New Roman" w:cstheme="minorHAnsi"/>
          <w:sz w:val="24"/>
          <w:szCs w:val="24"/>
        </w:rPr>
        <w:t xml:space="preserve">crease </w:t>
      </w:r>
      <w:r>
        <w:rPr>
          <w:rFonts w:eastAsia="Times New Roman" w:cstheme="minorHAnsi"/>
          <w:sz w:val="24"/>
          <w:szCs w:val="24"/>
        </w:rPr>
        <w:t xml:space="preserve">of </w:t>
      </w:r>
      <w:r w:rsidRPr="00A67908">
        <w:rPr>
          <w:rFonts w:eastAsia="Times New Roman" w:cstheme="minorHAnsi"/>
          <w:sz w:val="24"/>
          <w:szCs w:val="24"/>
        </w:rPr>
        <w:t>$</w:t>
      </w:r>
      <w:r w:rsidRPr="00EE6F2E">
        <w:rPr>
          <w:rFonts w:eastAsia="Times New Roman" w:cstheme="minorHAnsi"/>
          <w:sz w:val="24"/>
          <w:szCs w:val="24"/>
        </w:rPr>
        <w:t xml:space="preserve">26 million </w:t>
      </w:r>
      <w:r w:rsidR="00F570F3">
        <w:rPr>
          <w:rFonts w:eastAsia="Times New Roman" w:cstheme="minorHAnsi"/>
          <w:sz w:val="24"/>
          <w:szCs w:val="24"/>
        </w:rPr>
        <w:t>from</w:t>
      </w:r>
      <w:r w:rsidR="00F570F3" w:rsidRPr="00EE6F2E">
        <w:rPr>
          <w:rFonts w:eastAsia="Times New Roman" w:cstheme="minorHAnsi"/>
          <w:sz w:val="24"/>
          <w:szCs w:val="24"/>
        </w:rPr>
        <w:t xml:space="preserve"> </w:t>
      </w:r>
      <w:r w:rsidRPr="00EE6F2E">
        <w:rPr>
          <w:rFonts w:eastAsia="Times New Roman" w:cstheme="minorHAnsi"/>
          <w:sz w:val="24"/>
          <w:szCs w:val="24"/>
        </w:rPr>
        <w:t>negative net performance less $</w:t>
      </w:r>
      <w:r w:rsidRPr="00721CFD">
        <w:rPr>
          <w:rFonts w:eastAsia="Times New Roman" w:cstheme="minorHAnsi"/>
          <w:sz w:val="24"/>
          <w:szCs w:val="24"/>
        </w:rPr>
        <w:t>7</w:t>
      </w:r>
      <w:r w:rsidRPr="00A67908">
        <w:rPr>
          <w:rFonts w:eastAsia="Times New Roman" w:cstheme="minorHAnsi"/>
          <w:sz w:val="24"/>
          <w:szCs w:val="24"/>
        </w:rPr>
        <w:t xml:space="preserve"> million distributed for scholarships and other operating activities</w:t>
      </w:r>
      <w:r w:rsidR="00F570F3">
        <w:rPr>
          <w:rFonts w:eastAsia="Times New Roman" w:cstheme="minorHAnsi"/>
          <w:sz w:val="24"/>
          <w:szCs w:val="24"/>
        </w:rPr>
        <w:t>,</w:t>
      </w:r>
      <w:r>
        <w:rPr>
          <w:rFonts w:eastAsia="Times New Roman" w:cstheme="minorHAnsi"/>
          <w:sz w:val="24"/>
          <w:szCs w:val="24"/>
        </w:rPr>
        <w:t xml:space="preserve"> offset by contributions of $5 million</w:t>
      </w:r>
      <w:r w:rsidRPr="00A67908">
        <w:rPr>
          <w:rFonts w:eastAsia="Times New Roman" w:cstheme="minorHAnsi"/>
          <w:sz w:val="24"/>
          <w:szCs w:val="24"/>
        </w:rPr>
        <w:t>.</w:t>
      </w:r>
    </w:p>
    <w:p w14:paraId="2F0DD84A" w14:textId="77777777" w:rsidR="00A83362" w:rsidRDefault="00A83362" w:rsidP="00A83362">
      <w:pPr>
        <w:spacing w:after="240"/>
        <w:jc w:val="center"/>
        <w:rPr>
          <w:rFonts w:eastAsia="Times New Roman" w:cstheme="minorHAnsi"/>
          <w:sz w:val="24"/>
          <w:szCs w:val="24"/>
        </w:rPr>
      </w:pPr>
      <w:r>
        <w:rPr>
          <w:noProof/>
        </w:rPr>
        <w:drawing>
          <wp:inline distT="0" distB="0" distL="0" distR="0" wp14:anchorId="4BE9AE0E" wp14:editId="3505D102">
            <wp:extent cx="5248656" cy="3685032"/>
            <wp:effectExtent l="0" t="0" r="0" b="0"/>
            <wp:docPr id="24" name="Chart 24">
              <a:extLst xmlns:a="http://schemas.openxmlformats.org/drawingml/2006/main">
                <a:ext uri="{FF2B5EF4-FFF2-40B4-BE49-F238E27FC236}">
                  <a16:creationId xmlns:a16="http://schemas.microsoft.com/office/drawing/2014/main" id="{00000000-0008-0000-0300-0000020000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2F6846" w14:textId="77777777" w:rsidR="00A83362" w:rsidRDefault="00A83362" w:rsidP="00A83362">
      <w:pPr>
        <w:rPr>
          <w:rFonts w:cstheme="minorHAnsi"/>
          <w:sz w:val="24"/>
        </w:rPr>
      </w:pPr>
      <w:r>
        <w:rPr>
          <w:rFonts w:cstheme="minorHAnsi"/>
          <w:sz w:val="24"/>
        </w:rPr>
        <w:lastRenderedPageBreak/>
        <w:t>Of the $</w:t>
      </w:r>
      <w:r w:rsidRPr="00721CFD">
        <w:rPr>
          <w:rFonts w:cstheme="minorHAnsi"/>
          <w:sz w:val="24"/>
        </w:rPr>
        <w:t>1</w:t>
      </w:r>
      <w:r>
        <w:rPr>
          <w:rFonts w:cstheme="minorHAnsi"/>
          <w:sz w:val="24"/>
        </w:rPr>
        <w:t>82</w:t>
      </w:r>
      <w:r w:rsidRPr="0018120B">
        <w:rPr>
          <w:rFonts w:cstheme="minorHAnsi"/>
          <w:sz w:val="24"/>
        </w:rPr>
        <w:t xml:space="preserve"> million in pooled endowment investment</w:t>
      </w:r>
      <w:r>
        <w:rPr>
          <w:rFonts w:cstheme="minorHAnsi"/>
          <w:sz w:val="24"/>
        </w:rPr>
        <w:t>s</w:t>
      </w:r>
      <w:r w:rsidRPr="0018120B">
        <w:rPr>
          <w:rFonts w:cstheme="minorHAnsi"/>
          <w:sz w:val="24"/>
        </w:rPr>
        <w:t xml:space="preserve">, </w:t>
      </w:r>
      <w:r>
        <w:rPr>
          <w:rFonts w:cstheme="minorHAnsi"/>
          <w:sz w:val="24"/>
        </w:rPr>
        <w:t xml:space="preserve">at June 30, 2023, </w:t>
      </w:r>
      <w:r w:rsidRPr="0018120B">
        <w:rPr>
          <w:rFonts w:cstheme="minorHAnsi"/>
          <w:sz w:val="24"/>
        </w:rPr>
        <w:t>$</w:t>
      </w:r>
      <w:r w:rsidRPr="00721CFD">
        <w:rPr>
          <w:rFonts w:cstheme="minorHAnsi"/>
          <w:sz w:val="24"/>
        </w:rPr>
        <w:t>1</w:t>
      </w:r>
      <w:r>
        <w:rPr>
          <w:rFonts w:cstheme="minorHAnsi"/>
          <w:sz w:val="24"/>
        </w:rPr>
        <w:t>4</w:t>
      </w:r>
      <w:r w:rsidRPr="0018120B">
        <w:rPr>
          <w:rFonts w:cstheme="minorHAnsi"/>
          <w:sz w:val="24"/>
        </w:rPr>
        <w:t>8 million are UMS Endowments and $</w:t>
      </w:r>
      <w:r w:rsidRPr="00721CFD">
        <w:rPr>
          <w:rFonts w:cstheme="minorHAnsi"/>
          <w:sz w:val="24"/>
        </w:rPr>
        <w:t>3</w:t>
      </w:r>
      <w:r>
        <w:rPr>
          <w:rFonts w:cstheme="minorHAnsi"/>
          <w:sz w:val="24"/>
        </w:rPr>
        <w:t>4 million are Affiliates Endowments. The fair value of the UMS Endowments is reported as part of the ‘Endowment Investments’ in the accompanying Condensed Statements of Net Position, and the fair value of the Affiliates Endowments is reported in the Statements of Fiduciary Net Position as ‘Investment in UMS endowment pool’.</w:t>
      </w:r>
    </w:p>
    <w:p w14:paraId="52C013A7" w14:textId="77777777" w:rsidR="00A83362" w:rsidRPr="002008D4" w:rsidRDefault="00A83362" w:rsidP="00A83362">
      <w:pPr>
        <w:rPr>
          <w:rFonts w:cstheme="minorHAnsi"/>
          <w:sz w:val="20"/>
          <w:szCs w:val="20"/>
        </w:rPr>
      </w:pPr>
    </w:p>
    <w:p w14:paraId="2DBEDFC9" w14:textId="77777777" w:rsidR="00A83362" w:rsidRDefault="00A83362" w:rsidP="00A83362">
      <w:pPr>
        <w:rPr>
          <w:rFonts w:cstheme="minorHAnsi"/>
          <w:sz w:val="24"/>
        </w:rPr>
      </w:pPr>
      <w:r>
        <w:rPr>
          <w:rFonts w:cstheme="minorHAnsi"/>
          <w:sz w:val="24"/>
        </w:rPr>
        <w:t xml:space="preserve">The UMS endowment distribution formula is designed to smooth market volatility. The method uses a 3-year market value average with a percentage-spending rate applied. The spending rate applied in </w:t>
      </w:r>
      <w:r w:rsidRPr="008E0F06">
        <w:rPr>
          <w:rFonts w:cstheme="minorHAnsi"/>
          <w:sz w:val="24"/>
        </w:rPr>
        <w:t>FY17 thru FY2</w:t>
      </w:r>
      <w:r>
        <w:rPr>
          <w:rFonts w:cstheme="minorHAnsi"/>
          <w:sz w:val="24"/>
        </w:rPr>
        <w:t>3</w:t>
      </w:r>
      <w:r w:rsidRPr="008E0F06">
        <w:rPr>
          <w:rFonts w:cstheme="minorHAnsi"/>
          <w:sz w:val="24"/>
        </w:rPr>
        <w:t xml:space="preserve"> was 4.5</w:t>
      </w:r>
      <w:r>
        <w:rPr>
          <w:rFonts w:cstheme="minorHAnsi"/>
          <w:sz w:val="24"/>
        </w:rPr>
        <w:t>%.</w:t>
      </w:r>
    </w:p>
    <w:p w14:paraId="0E9BEE00" w14:textId="77777777" w:rsidR="00A83362" w:rsidRDefault="00A83362" w:rsidP="00A83362">
      <w:pPr>
        <w:pStyle w:val="AFR3"/>
        <w:rPr>
          <w:rFonts w:cstheme="minorHAnsi"/>
        </w:rPr>
      </w:pPr>
      <w:r>
        <w:rPr>
          <w:rFonts w:cstheme="minorHAnsi"/>
        </w:rPr>
        <w:t>Capital Assets and Debt Activities</w:t>
      </w:r>
    </w:p>
    <w:p w14:paraId="0F063086" w14:textId="77777777" w:rsidR="00A83362" w:rsidRDefault="00A83362" w:rsidP="00A83362">
      <w:pPr>
        <w:rPr>
          <w:rFonts w:cstheme="minorHAnsi"/>
          <w:sz w:val="24"/>
        </w:rPr>
      </w:pPr>
      <w:r>
        <w:rPr>
          <w:rFonts w:cstheme="minorHAnsi"/>
          <w:sz w:val="24"/>
        </w:rPr>
        <w:t xml:space="preserve">Table 4 on the </w:t>
      </w:r>
      <w:r w:rsidRPr="00831AE2">
        <w:rPr>
          <w:rFonts w:cstheme="minorHAnsi"/>
          <w:sz w:val="24"/>
        </w:rPr>
        <w:t>next</w:t>
      </w:r>
      <w:r>
        <w:rPr>
          <w:rFonts w:cstheme="minorHAnsi"/>
          <w:sz w:val="24"/>
        </w:rPr>
        <w:t xml:space="preserve"> </w:t>
      </w:r>
      <w:r w:rsidRPr="002008D4">
        <w:rPr>
          <w:rFonts w:cstheme="minorHAnsi"/>
          <w:sz w:val="24"/>
        </w:rPr>
        <w:t xml:space="preserve">page </w:t>
      </w:r>
      <w:r>
        <w:rPr>
          <w:rFonts w:cstheme="minorHAnsi"/>
          <w:sz w:val="24"/>
        </w:rPr>
        <w:t>shows the status of major capital construction projects as of June 30, 2023 and the related budget approved by the UMS Board of Trustees.</w:t>
      </w:r>
    </w:p>
    <w:p w14:paraId="7B8032D5" w14:textId="77777777" w:rsidR="00A83362" w:rsidRPr="00DE50BF" w:rsidRDefault="00A83362" w:rsidP="00A83362">
      <w:pPr>
        <w:ind w:left="360"/>
        <w:rPr>
          <w:rFonts w:cstheme="minorHAnsi"/>
          <w:sz w:val="20"/>
          <w:szCs w:val="20"/>
        </w:rPr>
      </w:pPr>
    </w:p>
    <w:p w14:paraId="002B1164" w14:textId="77777777" w:rsidR="00A83362" w:rsidRDefault="00A83362" w:rsidP="00A83362">
      <w:pPr>
        <w:rPr>
          <w:rFonts w:cstheme="minorHAnsi"/>
          <w:sz w:val="24"/>
        </w:rPr>
      </w:pPr>
      <w:r>
        <w:rPr>
          <w:rFonts w:cstheme="minorHAnsi"/>
          <w:sz w:val="24"/>
        </w:rPr>
        <w:t>The System’s facilities are critical to each university’s mission as they provide the physical framework and environment for education, research, cultural</w:t>
      </w:r>
      <w:bookmarkStart w:id="4" w:name="OLE_LINK9"/>
      <w:bookmarkStart w:id="5" w:name="OLE_LINK8"/>
      <w:r>
        <w:rPr>
          <w:rFonts w:cstheme="minorHAnsi"/>
          <w:sz w:val="24"/>
        </w:rPr>
        <w:t xml:space="preserve"> programs, and residential life. The System continually evaluates its long-term capital and strategic needs, including which facilities to upgrade, retire, or build. </w:t>
      </w:r>
      <w:bookmarkEnd w:id="4"/>
      <w:bookmarkEnd w:id="5"/>
      <w:r>
        <w:rPr>
          <w:rFonts w:cstheme="minorHAnsi"/>
          <w:sz w:val="24"/>
        </w:rPr>
        <w:t>Capital assets are funded with various sources of funds including state bonds, gifts, grants, educational and general funds, and System revenue bonds.</w:t>
      </w:r>
    </w:p>
    <w:p w14:paraId="0F46CE1F" w14:textId="77777777" w:rsidR="00A83362" w:rsidRPr="00DE50BF" w:rsidRDefault="00A83362" w:rsidP="00A83362">
      <w:pPr>
        <w:ind w:left="360"/>
        <w:rPr>
          <w:rFonts w:cstheme="minorHAnsi"/>
          <w:sz w:val="20"/>
          <w:szCs w:val="20"/>
        </w:rPr>
      </w:pPr>
    </w:p>
    <w:p w14:paraId="2A5E35DC" w14:textId="75E4E6B8" w:rsidR="00A83362" w:rsidRDefault="00A83362" w:rsidP="00A83362">
      <w:pPr>
        <w:rPr>
          <w:rFonts w:cstheme="minorHAnsi"/>
          <w:sz w:val="24"/>
        </w:rPr>
      </w:pPr>
      <w:r>
        <w:rPr>
          <w:rFonts w:cstheme="minorHAnsi"/>
          <w:sz w:val="24"/>
        </w:rPr>
        <w:t xml:space="preserve">During FY23, the System had capital asset additions </w:t>
      </w:r>
      <w:r w:rsidRPr="00B14597">
        <w:rPr>
          <w:rFonts w:cstheme="minorHAnsi"/>
          <w:sz w:val="24"/>
        </w:rPr>
        <w:t>of $</w:t>
      </w:r>
      <w:r>
        <w:rPr>
          <w:rFonts w:cstheme="minorHAnsi"/>
          <w:sz w:val="24"/>
        </w:rPr>
        <w:t>1</w:t>
      </w:r>
      <w:r w:rsidR="00705811">
        <w:rPr>
          <w:rFonts w:cstheme="minorHAnsi"/>
          <w:sz w:val="24"/>
        </w:rPr>
        <w:t>76</w:t>
      </w:r>
      <w:r w:rsidRPr="00B14597">
        <w:rPr>
          <w:rFonts w:cstheme="minorHAnsi"/>
          <w:sz w:val="24"/>
        </w:rPr>
        <w:t xml:space="preserve"> million, which included $</w:t>
      </w:r>
      <w:r>
        <w:rPr>
          <w:rFonts w:cstheme="minorHAnsi"/>
          <w:sz w:val="24"/>
        </w:rPr>
        <w:t>143</w:t>
      </w:r>
      <w:r w:rsidRPr="00B14597">
        <w:rPr>
          <w:rFonts w:cstheme="minorHAnsi"/>
          <w:sz w:val="24"/>
        </w:rPr>
        <w:t xml:space="preserve"> </w:t>
      </w:r>
      <w:r>
        <w:rPr>
          <w:rFonts w:cstheme="minorHAnsi"/>
          <w:sz w:val="24"/>
        </w:rPr>
        <w:t xml:space="preserve">million of construction in progress, </w:t>
      </w:r>
      <w:r w:rsidR="00705811">
        <w:rPr>
          <w:rFonts w:cstheme="minorHAnsi"/>
          <w:sz w:val="24"/>
        </w:rPr>
        <w:t>$24 million of right</w:t>
      </w:r>
      <w:r w:rsidR="00E55D25">
        <w:rPr>
          <w:rFonts w:cstheme="minorHAnsi"/>
          <w:sz w:val="24"/>
        </w:rPr>
        <w:t xml:space="preserve"> of </w:t>
      </w:r>
      <w:r w:rsidR="00705811">
        <w:rPr>
          <w:rFonts w:cstheme="minorHAnsi"/>
          <w:sz w:val="24"/>
        </w:rPr>
        <w:t xml:space="preserve">use building assets, </w:t>
      </w:r>
      <w:r w:rsidRPr="00B14597">
        <w:rPr>
          <w:rFonts w:cstheme="minorHAnsi"/>
          <w:sz w:val="24"/>
        </w:rPr>
        <w:t>$</w:t>
      </w:r>
      <w:r>
        <w:rPr>
          <w:rFonts w:cstheme="minorHAnsi"/>
          <w:sz w:val="24"/>
        </w:rPr>
        <w:t>7</w:t>
      </w:r>
      <w:r w:rsidRPr="00B14597">
        <w:rPr>
          <w:rFonts w:cstheme="minorHAnsi"/>
          <w:sz w:val="24"/>
        </w:rPr>
        <w:t xml:space="preserve"> million of equipment</w:t>
      </w:r>
      <w:r w:rsidR="00705811">
        <w:rPr>
          <w:rFonts w:cstheme="minorHAnsi"/>
          <w:sz w:val="24"/>
        </w:rPr>
        <w:t>, and $2 million of subscription</w:t>
      </w:r>
      <w:r w:rsidR="00E55D25">
        <w:rPr>
          <w:rFonts w:cstheme="minorHAnsi"/>
          <w:sz w:val="24"/>
        </w:rPr>
        <w:t xml:space="preserve"> </w:t>
      </w:r>
      <w:r w:rsidR="00705811">
        <w:rPr>
          <w:rFonts w:cstheme="minorHAnsi"/>
          <w:sz w:val="24"/>
        </w:rPr>
        <w:t>based IT arrangements</w:t>
      </w:r>
      <w:r>
        <w:rPr>
          <w:rFonts w:cstheme="minorHAnsi"/>
          <w:sz w:val="24"/>
        </w:rPr>
        <w:t>. In FY22, the System had capital asset additions of $1</w:t>
      </w:r>
      <w:r w:rsidR="00705811">
        <w:rPr>
          <w:rFonts w:cstheme="minorHAnsi"/>
          <w:sz w:val="24"/>
        </w:rPr>
        <w:t>45</w:t>
      </w:r>
      <w:r>
        <w:rPr>
          <w:rFonts w:cstheme="minorHAnsi"/>
          <w:sz w:val="24"/>
        </w:rPr>
        <w:t xml:space="preserve"> million, which included $114 million of construction in progress</w:t>
      </w:r>
      <w:r w:rsidR="00705811">
        <w:rPr>
          <w:rFonts w:cstheme="minorHAnsi"/>
          <w:sz w:val="24"/>
        </w:rPr>
        <w:t>, $22 million of right</w:t>
      </w:r>
      <w:r w:rsidR="00E55D25">
        <w:rPr>
          <w:rFonts w:cstheme="minorHAnsi"/>
          <w:sz w:val="24"/>
        </w:rPr>
        <w:t xml:space="preserve"> of </w:t>
      </w:r>
      <w:r w:rsidR="00705811">
        <w:rPr>
          <w:rFonts w:cstheme="minorHAnsi"/>
          <w:sz w:val="24"/>
        </w:rPr>
        <w:t xml:space="preserve">use building assets, </w:t>
      </w:r>
      <w:r>
        <w:rPr>
          <w:rFonts w:cstheme="minorHAnsi"/>
          <w:sz w:val="24"/>
        </w:rPr>
        <w:t>$5 million of equipment</w:t>
      </w:r>
      <w:r w:rsidR="00705811">
        <w:rPr>
          <w:rFonts w:cstheme="minorHAnsi"/>
          <w:sz w:val="24"/>
        </w:rPr>
        <w:t>, and $4 million of subscription</w:t>
      </w:r>
      <w:r w:rsidR="00E55D25">
        <w:rPr>
          <w:rFonts w:cstheme="minorHAnsi"/>
          <w:sz w:val="24"/>
        </w:rPr>
        <w:t xml:space="preserve"> </w:t>
      </w:r>
      <w:r w:rsidR="00705811">
        <w:rPr>
          <w:rFonts w:cstheme="minorHAnsi"/>
          <w:sz w:val="24"/>
        </w:rPr>
        <w:t>based IT arrangements</w:t>
      </w:r>
      <w:r>
        <w:rPr>
          <w:rFonts w:cstheme="minorHAnsi"/>
          <w:sz w:val="24"/>
        </w:rPr>
        <w:t xml:space="preserve">. </w:t>
      </w:r>
    </w:p>
    <w:p w14:paraId="7B44FC69" w14:textId="77777777" w:rsidR="00A83362" w:rsidRDefault="00A83362" w:rsidP="00A83362">
      <w:pPr>
        <w:rPr>
          <w:rFonts w:cstheme="minorHAnsi"/>
          <w:sz w:val="24"/>
        </w:rPr>
      </w:pPr>
    </w:p>
    <w:p w14:paraId="2094431B" w14:textId="26C9E67E" w:rsidR="00A83362" w:rsidRDefault="00A83362" w:rsidP="00A83362">
      <w:pPr>
        <w:spacing w:line="256" w:lineRule="auto"/>
        <w:rPr>
          <w:rFonts w:cstheme="minorHAnsi"/>
          <w:sz w:val="24"/>
        </w:rPr>
      </w:pPr>
      <w:r>
        <w:rPr>
          <w:rFonts w:cstheme="minorHAnsi"/>
          <w:sz w:val="24"/>
        </w:rPr>
        <w:t xml:space="preserve">The System strives to manage all its financial resources effectively, including the prudent use of debt to finance construction projects that support the System’s mission. </w:t>
      </w:r>
      <w:r w:rsidRPr="00DB161D">
        <w:rPr>
          <w:rFonts w:cstheme="minorHAnsi"/>
          <w:sz w:val="24"/>
        </w:rPr>
        <w:t xml:space="preserve">The System issued new revenue bonds </w:t>
      </w:r>
      <w:r w:rsidR="000E7902">
        <w:rPr>
          <w:rFonts w:cstheme="minorHAnsi"/>
          <w:sz w:val="24"/>
        </w:rPr>
        <w:t xml:space="preserve">with </w:t>
      </w:r>
      <w:r w:rsidR="00CA783C">
        <w:rPr>
          <w:rFonts w:cstheme="minorHAnsi"/>
          <w:sz w:val="24"/>
        </w:rPr>
        <w:t xml:space="preserve">a par amount of $157.8 million </w:t>
      </w:r>
      <w:r w:rsidRPr="00DB161D">
        <w:rPr>
          <w:rFonts w:cstheme="minorHAnsi"/>
          <w:sz w:val="24"/>
        </w:rPr>
        <w:t xml:space="preserve">in FY23 to pay off the 2021 bond anticipation notes, to refund </w:t>
      </w:r>
      <w:r w:rsidR="00E55D25">
        <w:rPr>
          <w:rFonts w:cstheme="minorHAnsi"/>
          <w:sz w:val="24"/>
        </w:rPr>
        <w:t>2013 revenue bonds</w:t>
      </w:r>
      <w:r w:rsidRPr="00DB161D">
        <w:rPr>
          <w:rFonts w:cstheme="minorHAnsi"/>
          <w:sz w:val="24"/>
        </w:rPr>
        <w:t>, and to finance additional capital projects.</w:t>
      </w:r>
      <w:r w:rsidR="00CA783C">
        <w:rPr>
          <w:rFonts w:cstheme="minorHAnsi"/>
          <w:sz w:val="24"/>
        </w:rPr>
        <w:t xml:space="preserve"> The System also borrowed $11 million through a lease purchase agreement to fund an energy improvement project at UMF.</w:t>
      </w:r>
    </w:p>
    <w:p w14:paraId="72DF1921" w14:textId="77777777" w:rsidR="00A83362" w:rsidRDefault="00A83362" w:rsidP="00A83362">
      <w:pPr>
        <w:spacing w:line="256" w:lineRule="auto"/>
        <w:rPr>
          <w:rFonts w:cstheme="minorHAnsi"/>
          <w:sz w:val="24"/>
        </w:rPr>
      </w:pPr>
    </w:p>
    <w:p w14:paraId="73D3FB46" w14:textId="0274ABFD" w:rsidR="00A83362" w:rsidRDefault="00A83362" w:rsidP="00A83362">
      <w:pPr>
        <w:spacing w:line="256" w:lineRule="auto"/>
        <w:rPr>
          <w:rFonts w:cstheme="minorHAnsi"/>
          <w:b/>
          <w:sz w:val="24"/>
        </w:rPr>
      </w:pPr>
      <w:r w:rsidRPr="007A7884">
        <w:rPr>
          <w:rFonts w:cstheme="minorHAnsi"/>
          <w:sz w:val="24"/>
        </w:rPr>
        <w:t>The System’s total outstanding debt as of June 30, 2023 was $</w:t>
      </w:r>
      <w:r w:rsidRPr="00126B97">
        <w:rPr>
          <w:rFonts w:cstheme="minorHAnsi"/>
          <w:sz w:val="24"/>
        </w:rPr>
        <w:t>2</w:t>
      </w:r>
      <w:r w:rsidR="00705811">
        <w:rPr>
          <w:rFonts w:cstheme="minorHAnsi"/>
          <w:sz w:val="24"/>
        </w:rPr>
        <w:t>37</w:t>
      </w:r>
      <w:r w:rsidRPr="00126B97">
        <w:rPr>
          <w:rFonts w:cstheme="minorHAnsi"/>
          <w:sz w:val="24"/>
        </w:rPr>
        <w:t xml:space="preserve"> million, an increase of $</w:t>
      </w:r>
      <w:r w:rsidR="00705811">
        <w:rPr>
          <w:rFonts w:cstheme="minorHAnsi"/>
          <w:sz w:val="24"/>
        </w:rPr>
        <w:t>85</w:t>
      </w:r>
      <w:r w:rsidRPr="00126B97">
        <w:rPr>
          <w:rFonts w:cstheme="minorHAnsi"/>
          <w:sz w:val="24"/>
        </w:rPr>
        <w:t xml:space="preserve"> million, or 5</w:t>
      </w:r>
      <w:r w:rsidR="00705811">
        <w:rPr>
          <w:rFonts w:cstheme="minorHAnsi"/>
          <w:sz w:val="24"/>
        </w:rPr>
        <w:t>6</w:t>
      </w:r>
      <w:r w:rsidRPr="00126B97">
        <w:rPr>
          <w:rFonts w:cstheme="minorHAnsi"/>
          <w:sz w:val="24"/>
        </w:rPr>
        <w:t xml:space="preserve">%, </w:t>
      </w:r>
      <w:r w:rsidRPr="007A7884">
        <w:rPr>
          <w:rFonts w:cstheme="minorHAnsi"/>
          <w:sz w:val="24"/>
        </w:rPr>
        <w:t>from the FY22 total debt of $1</w:t>
      </w:r>
      <w:r w:rsidR="00705811">
        <w:rPr>
          <w:rFonts w:cstheme="minorHAnsi"/>
          <w:sz w:val="24"/>
        </w:rPr>
        <w:t>52</w:t>
      </w:r>
      <w:r w:rsidRPr="007A7884">
        <w:rPr>
          <w:rFonts w:cstheme="minorHAnsi"/>
          <w:sz w:val="24"/>
        </w:rPr>
        <w:t xml:space="preserve"> million. In FY22, total debt decreased $</w:t>
      </w:r>
      <w:r w:rsidR="00CA783C">
        <w:rPr>
          <w:rFonts w:cstheme="minorHAnsi"/>
          <w:sz w:val="24"/>
        </w:rPr>
        <w:t>15</w:t>
      </w:r>
      <w:r w:rsidR="00CA783C" w:rsidRPr="007A7884">
        <w:rPr>
          <w:rFonts w:cstheme="minorHAnsi"/>
          <w:sz w:val="24"/>
        </w:rPr>
        <w:t xml:space="preserve"> </w:t>
      </w:r>
      <w:r w:rsidRPr="007A7884">
        <w:rPr>
          <w:rFonts w:cstheme="minorHAnsi"/>
          <w:sz w:val="24"/>
        </w:rPr>
        <w:t xml:space="preserve">million, or </w:t>
      </w:r>
      <w:r w:rsidR="00101996">
        <w:rPr>
          <w:rFonts w:cstheme="minorHAnsi"/>
          <w:sz w:val="24"/>
        </w:rPr>
        <w:t>9</w:t>
      </w:r>
      <w:r w:rsidRPr="007A7884">
        <w:rPr>
          <w:rFonts w:cstheme="minorHAnsi"/>
          <w:sz w:val="24"/>
        </w:rPr>
        <w:t>%, from the FY21 total debt of $</w:t>
      </w:r>
      <w:r w:rsidR="00101996" w:rsidRPr="007A7884">
        <w:rPr>
          <w:rFonts w:cstheme="minorHAnsi"/>
          <w:sz w:val="24"/>
        </w:rPr>
        <w:t>16</w:t>
      </w:r>
      <w:r w:rsidR="00101996">
        <w:rPr>
          <w:rFonts w:cstheme="minorHAnsi"/>
          <w:sz w:val="24"/>
        </w:rPr>
        <w:t>7</w:t>
      </w:r>
      <w:r w:rsidR="00101996" w:rsidRPr="007A7884">
        <w:rPr>
          <w:rFonts w:cstheme="minorHAnsi"/>
          <w:sz w:val="24"/>
        </w:rPr>
        <w:t xml:space="preserve"> </w:t>
      </w:r>
      <w:r w:rsidRPr="007A7884">
        <w:rPr>
          <w:rFonts w:cstheme="minorHAnsi"/>
          <w:sz w:val="24"/>
        </w:rPr>
        <w:t>million.</w:t>
      </w:r>
      <w:r>
        <w:rPr>
          <w:rFonts w:cstheme="minorHAnsi"/>
          <w:b/>
          <w:sz w:val="24"/>
        </w:rPr>
        <w:br w:type="page"/>
      </w:r>
    </w:p>
    <w:p w14:paraId="265BA90A" w14:textId="39247C46" w:rsidR="00A83362" w:rsidRPr="001A18A6" w:rsidRDefault="00A83362" w:rsidP="00A83362">
      <w:pPr>
        <w:jc w:val="center"/>
        <w:rPr>
          <w:rFonts w:cstheme="minorHAnsi"/>
          <w:b/>
          <w:sz w:val="24"/>
        </w:rPr>
      </w:pPr>
      <w:r w:rsidRPr="001A18A6">
        <w:rPr>
          <w:rFonts w:cstheme="minorHAnsi"/>
          <w:b/>
          <w:sz w:val="24"/>
        </w:rPr>
        <w:lastRenderedPageBreak/>
        <w:t xml:space="preserve">Table 4: Major Capital Projects Completed During </w:t>
      </w:r>
      <w:r w:rsidR="002117D1" w:rsidRPr="001A18A6">
        <w:rPr>
          <w:rFonts w:cstheme="minorHAnsi"/>
          <w:b/>
          <w:sz w:val="24"/>
        </w:rPr>
        <w:t>FY2</w:t>
      </w:r>
      <w:r w:rsidR="002117D1">
        <w:rPr>
          <w:rFonts w:cstheme="minorHAnsi"/>
          <w:b/>
          <w:sz w:val="24"/>
        </w:rPr>
        <w:t>3</w:t>
      </w:r>
      <w:r w:rsidR="002117D1" w:rsidRPr="001A18A6">
        <w:rPr>
          <w:rFonts w:cstheme="minorHAnsi"/>
          <w:b/>
          <w:sz w:val="24"/>
        </w:rPr>
        <w:t xml:space="preserve"> </w:t>
      </w:r>
      <w:r w:rsidRPr="001A18A6">
        <w:rPr>
          <w:rFonts w:cstheme="minorHAnsi"/>
          <w:b/>
          <w:sz w:val="24"/>
        </w:rPr>
        <w:t xml:space="preserve">or In Progress at June 30, </w:t>
      </w:r>
      <w:r w:rsidR="002117D1" w:rsidRPr="001A18A6">
        <w:rPr>
          <w:rFonts w:cstheme="minorHAnsi"/>
          <w:b/>
          <w:sz w:val="24"/>
        </w:rPr>
        <w:t>202</w:t>
      </w:r>
      <w:r w:rsidR="002117D1">
        <w:rPr>
          <w:rFonts w:cstheme="minorHAnsi"/>
          <w:b/>
          <w:sz w:val="24"/>
        </w:rPr>
        <w:t>3</w:t>
      </w:r>
    </w:p>
    <w:p w14:paraId="25709ACF" w14:textId="77777777" w:rsidR="00A83362" w:rsidRPr="006D6C84" w:rsidRDefault="00A83362" w:rsidP="00A83362">
      <w:pPr>
        <w:jc w:val="center"/>
        <w:rPr>
          <w:rFonts w:cstheme="minorHAnsi"/>
          <w:b/>
          <w:sz w:val="21"/>
          <w:szCs w:val="21"/>
        </w:rPr>
      </w:pPr>
      <w:r w:rsidRPr="006D6C84">
        <w:rPr>
          <w:rFonts w:cstheme="minorHAnsi"/>
          <w:b/>
          <w:sz w:val="21"/>
          <w:szCs w:val="21"/>
        </w:rPr>
        <w:t>(In millions)</w:t>
      </w:r>
    </w:p>
    <w:p w14:paraId="6BEFB730" w14:textId="77777777" w:rsidR="00A83362" w:rsidRPr="00790AF8" w:rsidRDefault="00A83362" w:rsidP="00A83362">
      <w:pPr>
        <w:rPr>
          <w:rFonts w:cstheme="minorHAnsi"/>
          <w:sz w:val="16"/>
        </w:rPr>
      </w:pPr>
    </w:p>
    <w:p w14:paraId="66538AEC" w14:textId="45128BDA" w:rsidR="00A83362" w:rsidRDefault="00E60D6E" w:rsidP="00A83362">
      <w:pPr>
        <w:jc w:val="center"/>
        <w:rPr>
          <w:rFonts w:cstheme="minorHAnsi"/>
          <w:sz w:val="24"/>
        </w:rPr>
      </w:pPr>
      <w:r w:rsidRPr="00E60D6E">
        <w:rPr>
          <w:noProof/>
        </w:rPr>
        <w:drawing>
          <wp:inline distT="0" distB="0" distL="0" distR="0" wp14:anchorId="51EFC926" wp14:editId="3B2FFC43">
            <wp:extent cx="5757490" cy="7680960"/>
            <wp:effectExtent l="0" t="0" r="0" b="0"/>
            <wp:docPr id="1023951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51447" name="Picture 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490" cy="7680960"/>
                    </a:xfrm>
                    <a:prstGeom prst="rect">
                      <a:avLst/>
                    </a:prstGeom>
                    <a:noFill/>
                    <a:ln>
                      <a:noFill/>
                    </a:ln>
                  </pic:spPr>
                </pic:pic>
              </a:graphicData>
            </a:graphic>
          </wp:inline>
        </w:drawing>
      </w:r>
      <w:r w:rsidR="00A83362">
        <w:rPr>
          <w:rFonts w:cstheme="minorHAnsi"/>
          <w:sz w:val="24"/>
        </w:rPr>
        <w:br w:type="page"/>
      </w:r>
    </w:p>
    <w:p w14:paraId="2E055B86" w14:textId="77777777" w:rsidR="00A83362" w:rsidRDefault="00A83362" w:rsidP="00A83362">
      <w:pPr>
        <w:pStyle w:val="AFR3"/>
        <w:rPr>
          <w:rFonts w:cstheme="minorHAnsi"/>
        </w:rPr>
      </w:pPr>
      <w:r>
        <w:rPr>
          <w:rFonts w:cstheme="minorHAnsi"/>
        </w:rPr>
        <w:lastRenderedPageBreak/>
        <w:t>Deferred Outflows and Inflows of Resources</w:t>
      </w:r>
    </w:p>
    <w:p w14:paraId="1E94EAB7" w14:textId="77777777" w:rsidR="00A83362" w:rsidRDefault="00A83362" w:rsidP="00A83362">
      <w:pPr>
        <w:rPr>
          <w:rFonts w:cstheme="minorHAnsi"/>
          <w:sz w:val="24"/>
        </w:rPr>
      </w:pPr>
      <w:r w:rsidRPr="009A53AD">
        <w:rPr>
          <w:rFonts w:cstheme="minorHAnsi"/>
          <w:sz w:val="24"/>
        </w:rPr>
        <w:t>The System’s deferred outflows and deferred inflows of resources primarily relate to the System’s defined benefit pension plans and its other postemployment health plan (OPEB).</w:t>
      </w:r>
      <w:r>
        <w:rPr>
          <w:rFonts w:cstheme="minorHAnsi"/>
          <w:sz w:val="24"/>
        </w:rPr>
        <w:t xml:space="preserve"> The total of these deferrals can fluctuate significantly from year-to-year depending on changes in assumptions used for the plans, differences between expected and actual experience, and differences between projected and actual earnings on plan investments.  To smooth the impact of these changes, they are amortized over a period of years.</w:t>
      </w:r>
    </w:p>
    <w:p w14:paraId="51FD2973" w14:textId="77777777" w:rsidR="00A83362" w:rsidRPr="002008D4" w:rsidRDefault="00A83362" w:rsidP="00A83362">
      <w:pPr>
        <w:rPr>
          <w:rFonts w:cstheme="minorHAnsi"/>
          <w:sz w:val="20"/>
          <w:szCs w:val="20"/>
        </w:rPr>
      </w:pPr>
    </w:p>
    <w:p w14:paraId="782BF8BD" w14:textId="5B1F770C" w:rsidR="00A83362" w:rsidRDefault="00A83362" w:rsidP="00A83362">
      <w:pPr>
        <w:rPr>
          <w:rFonts w:cstheme="minorHAnsi"/>
          <w:sz w:val="24"/>
        </w:rPr>
      </w:pPr>
      <w:r>
        <w:rPr>
          <w:rFonts w:cstheme="minorHAnsi"/>
          <w:sz w:val="24"/>
        </w:rPr>
        <w:t xml:space="preserve">At June 30, 2023 deferred outflows of resources </w:t>
      </w:r>
      <w:r w:rsidRPr="00F70170">
        <w:rPr>
          <w:rFonts w:cstheme="minorHAnsi"/>
          <w:sz w:val="24"/>
        </w:rPr>
        <w:t xml:space="preserve">totaled $17 million, a decrease of $15 million from the prior year balance of $32 million. The decrease is primarily due to </w:t>
      </w:r>
      <w:r w:rsidRPr="009A53AD">
        <w:rPr>
          <w:rFonts w:cstheme="minorHAnsi"/>
          <w:sz w:val="24"/>
        </w:rPr>
        <w:t>a decrease of $</w:t>
      </w:r>
      <w:r w:rsidR="00A027DB" w:rsidRPr="009A53AD">
        <w:rPr>
          <w:rFonts w:cstheme="minorHAnsi"/>
          <w:sz w:val="24"/>
        </w:rPr>
        <w:t>1</w:t>
      </w:r>
      <w:r w:rsidR="00A027DB">
        <w:rPr>
          <w:rFonts w:cstheme="minorHAnsi"/>
          <w:sz w:val="24"/>
        </w:rPr>
        <w:t>2</w:t>
      </w:r>
      <w:r w:rsidR="00A027DB" w:rsidRPr="009A53AD">
        <w:rPr>
          <w:rFonts w:cstheme="minorHAnsi"/>
          <w:sz w:val="24"/>
        </w:rPr>
        <w:t xml:space="preserve"> </w:t>
      </w:r>
      <w:r w:rsidRPr="009A53AD">
        <w:rPr>
          <w:rFonts w:cstheme="minorHAnsi"/>
          <w:sz w:val="24"/>
        </w:rPr>
        <w:t>million related to OPEB</w:t>
      </w:r>
      <w:r w:rsidRPr="00370746">
        <w:rPr>
          <w:rFonts w:cstheme="minorHAnsi"/>
          <w:sz w:val="24"/>
        </w:rPr>
        <w:t>.</w:t>
      </w:r>
      <w:r>
        <w:rPr>
          <w:rFonts w:cstheme="minorHAnsi"/>
          <w:sz w:val="24"/>
        </w:rPr>
        <w:t xml:space="preserve"> In FY22, the System’s deferred outflows of resources increased $14 million from the June 30, 2021 balance of $18 million, due to a $14 million increase also related to OPEB.</w:t>
      </w:r>
    </w:p>
    <w:p w14:paraId="49F2744E" w14:textId="77777777" w:rsidR="00A83362" w:rsidRPr="00DE50BF" w:rsidRDefault="00A83362" w:rsidP="00A83362">
      <w:pPr>
        <w:rPr>
          <w:rFonts w:cstheme="minorHAnsi"/>
          <w:sz w:val="20"/>
          <w:szCs w:val="20"/>
        </w:rPr>
      </w:pPr>
    </w:p>
    <w:p w14:paraId="7564A1BC" w14:textId="4678A8FD" w:rsidR="00A83362" w:rsidRDefault="00A83362" w:rsidP="00A83362">
      <w:pPr>
        <w:rPr>
          <w:rFonts w:cstheme="minorHAnsi"/>
          <w:sz w:val="24"/>
        </w:rPr>
      </w:pPr>
      <w:r>
        <w:rPr>
          <w:rFonts w:cstheme="minorHAnsi"/>
          <w:sz w:val="24"/>
        </w:rPr>
        <w:t xml:space="preserve">Deferred inflows of resources of </w:t>
      </w:r>
      <w:r w:rsidRPr="009A53AD">
        <w:rPr>
          <w:rFonts w:cstheme="minorHAnsi"/>
          <w:sz w:val="24"/>
        </w:rPr>
        <w:t>$5</w:t>
      </w:r>
      <w:r>
        <w:rPr>
          <w:rFonts w:cstheme="minorHAnsi"/>
          <w:sz w:val="24"/>
        </w:rPr>
        <w:t>4</w:t>
      </w:r>
      <w:r w:rsidRPr="009A53AD">
        <w:rPr>
          <w:rFonts w:cstheme="minorHAnsi"/>
          <w:sz w:val="24"/>
        </w:rPr>
        <w:t xml:space="preserve"> million at June 30, 2023 increased $2</w:t>
      </w:r>
      <w:r>
        <w:rPr>
          <w:rFonts w:cstheme="minorHAnsi"/>
          <w:sz w:val="24"/>
        </w:rPr>
        <w:t>1</w:t>
      </w:r>
      <w:r w:rsidRPr="009A53AD">
        <w:rPr>
          <w:rFonts w:cstheme="minorHAnsi"/>
          <w:sz w:val="24"/>
        </w:rPr>
        <w:t xml:space="preserve"> million from the $33 million at June 30, 2022. The increase is primarily due to an increase of $</w:t>
      </w:r>
      <w:r w:rsidR="00A027DB">
        <w:rPr>
          <w:rFonts w:cstheme="minorHAnsi"/>
          <w:sz w:val="24"/>
        </w:rPr>
        <w:t>21</w:t>
      </w:r>
      <w:r w:rsidR="00A027DB" w:rsidRPr="009A53AD">
        <w:rPr>
          <w:rFonts w:cstheme="minorHAnsi"/>
          <w:sz w:val="24"/>
        </w:rPr>
        <w:t xml:space="preserve"> </w:t>
      </w:r>
      <w:r w:rsidRPr="009A53AD">
        <w:rPr>
          <w:rFonts w:cstheme="minorHAnsi"/>
          <w:sz w:val="24"/>
        </w:rPr>
        <w:t>million related to the System’s OPEB plan.</w:t>
      </w:r>
      <w:r>
        <w:rPr>
          <w:rFonts w:cstheme="minorHAnsi"/>
          <w:sz w:val="24"/>
        </w:rPr>
        <w:t xml:space="preserve"> In FY22, the System’s deferred inflows of resources decreased $2</w:t>
      </w:r>
      <w:r w:rsidR="00B55DBD">
        <w:rPr>
          <w:rFonts w:cstheme="minorHAnsi"/>
          <w:sz w:val="24"/>
        </w:rPr>
        <w:t>9</w:t>
      </w:r>
      <w:r>
        <w:rPr>
          <w:rFonts w:cstheme="minorHAnsi"/>
          <w:sz w:val="24"/>
        </w:rPr>
        <w:t xml:space="preserve"> million from the $62 million at June 30, 2021, primarily due to a decrease of $24 million related to the System’s OPEB plan.</w:t>
      </w:r>
    </w:p>
    <w:p w14:paraId="309D9B7D" w14:textId="77777777" w:rsidR="00A83362" w:rsidRDefault="00A83362" w:rsidP="00A83362">
      <w:pPr>
        <w:pStyle w:val="AFR3"/>
        <w:rPr>
          <w:rFonts w:cstheme="minorHAnsi"/>
        </w:rPr>
      </w:pPr>
      <w:r>
        <w:rPr>
          <w:rFonts w:cstheme="minorHAnsi"/>
        </w:rPr>
        <w:t>Net Position</w:t>
      </w:r>
    </w:p>
    <w:p w14:paraId="2962DD5C" w14:textId="77777777" w:rsidR="00A83362" w:rsidRPr="00AA74FC" w:rsidRDefault="00A83362" w:rsidP="00A83362">
      <w:pPr>
        <w:rPr>
          <w:rFonts w:cstheme="minorHAnsi"/>
          <w:sz w:val="24"/>
        </w:rPr>
      </w:pPr>
      <w:r>
        <w:rPr>
          <w:rFonts w:cstheme="minorHAnsi"/>
          <w:color w:val="000000" w:themeColor="text1"/>
          <w:sz w:val="24"/>
        </w:rPr>
        <w:t xml:space="preserve">As seen in the Condensed Statements of Net Position shown in Table 3 </w:t>
      </w:r>
      <w:r w:rsidRPr="00790722">
        <w:rPr>
          <w:rFonts w:cstheme="minorHAnsi"/>
          <w:color w:val="000000" w:themeColor="text1"/>
          <w:sz w:val="24"/>
        </w:rPr>
        <w:t>on page</w:t>
      </w:r>
      <w:r>
        <w:rPr>
          <w:rFonts w:cstheme="minorHAnsi"/>
          <w:color w:val="000000" w:themeColor="text1"/>
          <w:sz w:val="24"/>
        </w:rPr>
        <w:t xml:space="preserve"> </w:t>
      </w:r>
      <w:r w:rsidRPr="003B2FB3">
        <w:rPr>
          <w:rFonts w:cstheme="minorHAnsi"/>
          <w:color w:val="0D0D0D" w:themeColor="text1" w:themeTint="F2"/>
          <w:sz w:val="24"/>
        </w:rPr>
        <w:t>1</w:t>
      </w:r>
      <w:r>
        <w:rPr>
          <w:rFonts w:cstheme="minorHAnsi"/>
          <w:color w:val="0D0D0D" w:themeColor="text1" w:themeTint="F2"/>
          <w:sz w:val="24"/>
        </w:rPr>
        <w:t>9</w:t>
      </w:r>
      <w:r w:rsidRPr="006E44D1">
        <w:rPr>
          <w:rFonts w:cstheme="minorHAnsi"/>
          <w:color w:val="0D0D0D" w:themeColor="text1" w:themeTint="F2"/>
          <w:sz w:val="24"/>
        </w:rPr>
        <w:t>,</w:t>
      </w:r>
      <w:r w:rsidRPr="00753E47">
        <w:rPr>
          <w:rFonts w:cstheme="minorHAnsi"/>
          <w:sz w:val="24"/>
        </w:rPr>
        <w:t xml:space="preserve"> </w:t>
      </w:r>
      <w:r w:rsidRPr="00AA74FC">
        <w:rPr>
          <w:rFonts w:cstheme="minorHAnsi"/>
          <w:sz w:val="24"/>
        </w:rPr>
        <w:t>the System’s total net position is presented by the below noted four categories.</w:t>
      </w:r>
    </w:p>
    <w:p w14:paraId="50D2C8D2" w14:textId="77777777" w:rsidR="00A83362" w:rsidRPr="00B73AEE" w:rsidRDefault="00A83362" w:rsidP="00A83362">
      <w:pPr>
        <w:rPr>
          <w:rFonts w:cstheme="minorHAnsi"/>
          <w:color w:val="FF0000"/>
          <w:sz w:val="20"/>
        </w:rPr>
      </w:pPr>
    </w:p>
    <w:p w14:paraId="416EF52F" w14:textId="77777777" w:rsidR="00A83362" w:rsidRDefault="00A83362" w:rsidP="00A83362">
      <w:pPr>
        <w:rPr>
          <w:rFonts w:cstheme="minorHAnsi"/>
          <w:color w:val="000000" w:themeColor="text1"/>
          <w:sz w:val="24"/>
        </w:rPr>
      </w:pPr>
      <w:r>
        <w:rPr>
          <w:rFonts w:cstheme="minorHAnsi"/>
          <w:b/>
          <w:color w:val="000000" w:themeColor="text1"/>
          <w:sz w:val="24"/>
        </w:rPr>
        <w:t>Net investment in capital assets</w:t>
      </w:r>
      <w:r>
        <w:rPr>
          <w:rFonts w:cstheme="minorHAnsi"/>
          <w:color w:val="000000" w:themeColor="text1"/>
          <w:sz w:val="24"/>
        </w:rPr>
        <w:t xml:space="preserve"> represents the historical cost of the System’s capital assets reduced by total accumulated depreciation and outstanding balances of debt attributable to the acquisition, construction, or improvement of those assets. The System’s net investment in capital assets was </w:t>
      </w:r>
      <w:r w:rsidRPr="00FA191E">
        <w:rPr>
          <w:rFonts w:cstheme="minorHAnsi"/>
          <w:sz w:val="24"/>
        </w:rPr>
        <w:t>$</w:t>
      </w:r>
      <w:r>
        <w:rPr>
          <w:rFonts w:cstheme="minorHAnsi"/>
          <w:color w:val="0D0D0D" w:themeColor="text1" w:themeTint="F2"/>
          <w:sz w:val="24"/>
        </w:rPr>
        <w:t>635</w:t>
      </w:r>
      <w:r>
        <w:rPr>
          <w:rFonts w:cstheme="minorHAnsi"/>
          <w:color w:val="000000" w:themeColor="text1"/>
          <w:sz w:val="24"/>
        </w:rPr>
        <w:t xml:space="preserve"> million at June 30, 2023 and $589 million at June 30, 2022.</w:t>
      </w:r>
    </w:p>
    <w:p w14:paraId="58C0DE32" w14:textId="77777777" w:rsidR="00A83362" w:rsidRPr="00DE50BF" w:rsidRDefault="00A83362" w:rsidP="00A83362">
      <w:pPr>
        <w:rPr>
          <w:rFonts w:cstheme="minorHAnsi"/>
          <w:color w:val="000000" w:themeColor="text1"/>
          <w:sz w:val="20"/>
        </w:rPr>
      </w:pPr>
    </w:p>
    <w:p w14:paraId="2C4838DD" w14:textId="61AF1CD7" w:rsidR="00A83362" w:rsidRDefault="00A83362" w:rsidP="00A83362">
      <w:pPr>
        <w:rPr>
          <w:rFonts w:cstheme="minorHAnsi"/>
          <w:color w:val="000000" w:themeColor="text1"/>
          <w:sz w:val="24"/>
        </w:rPr>
      </w:pPr>
      <w:r>
        <w:rPr>
          <w:rFonts w:cstheme="minorHAnsi"/>
          <w:color w:val="000000" w:themeColor="text1"/>
          <w:sz w:val="24"/>
        </w:rPr>
        <w:t xml:space="preserve">The </w:t>
      </w:r>
      <w:r w:rsidRPr="00FA191E">
        <w:rPr>
          <w:rFonts w:cstheme="minorHAnsi"/>
          <w:sz w:val="24"/>
        </w:rPr>
        <w:t>FY2</w:t>
      </w:r>
      <w:r>
        <w:rPr>
          <w:rFonts w:cstheme="minorHAnsi"/>
          <w:sz w:val="24"/>
        </w:rPr>
        <w:t>3</w:t>
      </w:r>
      <w:r w:rsidRPr="00FA191E">
        <w:rPr>
          <w:rFonts w:cstheme="minorHAnsi"/>
          <w:sz w:val="24"/>
        </w:rPr>
        <w:t xml:space="preserve"> </w:t>
      </w:r>
      <w:r w:rsidRPr="00DB6EEE">
        <w:rPr>
          <w:rFonts w:cstheme="minorHAnsi"/>
          <w:sz w:val="24"/>
        </w:rPr>
        <w:t xml:space="preserve">increase </w:t>
      </w:r>
      <w:r w:rsidRPr="00DB6EEE">
        <w:rPr>
          <w:rFonts w:cstheme="minorHAnsi"/>
          <w:color w:val="000000" w:themeColor="text1"/>
          <w:sz w:val="24"/>
        </w:rPr>
        <w:t xml:space="preserve">in net investment in capital assets of </w:t>
      </w:r>
      <w:r w:rsidRPr="00DB6EEE">
        <w:rPr>
          <w:rFonts w:cstheme="minorHAnsi"/>
          <w:sz w:val="24"/>
        </w:rPr>
        <w:t>$</w:t>
      </w:r>
      <w:r w:rsidR="007B600C">
        <w:rPr>
          <w:rFonts w:cstheme="minorHAnsi"/>
          <w:sz w:val="24"/>
        </w:rPr>
        <w:t>46</w:t>
      </w:r>
      <w:r w:rsidR="007B600C" w:rsidRPr="00DB6EEE">
        <w:rPr>
          <w:rFonts w:cstheme="minorHAnsi"/>
          <w:sz w:val="24"/>
        </w:rPr>
        <w:t xml:space="preserve"> </w:t>
      </w:r>
      <w:r w:rsidRPr="00DB6EEE">
        <w:rPr>
          <w:rFonts w:cstheme="minorHAnsi"/>
          <w:color w:val="000000" w:themeColor="text1"/>
          <w:sz w:val="24"/>
        </w:rPr>
        <w:t xml:space="preserve">million was comprised of capital </w:t>
      </w:r>
      <w:r w:rsidRPr="00DB6EEE">
        <w:rPr>
          <w:rFonts w:cstheme="minorHAnsi"/>
          <w:sz w:val="24"/>
        </w:rPr>
        <w:t>asset additions of $</w:t>
      </w:r>
      <w:r w:rsidR="007B600C" w:rsidRPr="00DB6EEE">
        <w:rPr>
          <w:rFonts w:cstheme="minorHAnsi"/>
          <w:sz w:val="24"/>
        </w:rPr>
        <w:t>1</w:t>
      </w:r>
      <w:r w:rsidR="007B600C">
        <w:rPr>
          <w:rFonts w:cstheme="minorHAnsi"/>
          <w:sz w:val="24"/>
        </w:rPr>
        <w:t>76</w:t>
      </w:r>
      <w:r w:rsidR="007B600C" w:rsidRPr="00DB6EEE">
        <w:rPr>
          <w:rFonts w:cstheme="minorHAnsi"/>
          <w:sz w:val="24"/>
        </w:rPr>
        <w:t xml:space="preserve"> </w:t>
      </w:r>
      <w:r w:rsidRPr="00DB6EEE">
        <w:rPr>
          <w:rFonts w:cstheme="minorHAnsi"/>
          <w:color w:val="000000" w:themeColor="text1"/>
          <w:sz w:val="24"/>
        </w:rPr>
        <w:t xml:space="preserve">million </w:t>
      </w:r>
      <w:r w:rsidR="007B600C">
        <w:rPr>
          <w:rFonts w:cstheme="minorHAnsi"/>
          <w:color w:val="000000" w:themeColor="text1"/>
          <w:sz w:val="24"/>
        </w:rPr>
        <w:t xml:space="preserve">plus reduction of debt and other liabilities through </w:t>
      </w:r>
      <w:proofErr w:type="spellStart"/>
      <w:r w:rsidR="007B600C">
        <w:rPr>
          <w:rFonts w:cstheme="minorHAnsi"/>
          <w:color w:val="000000" w:themeColor="text1"/>
          <w:sz w:val="24"/>
        </w:rPr>
        <w:t>refundings</w:t>
      </w:r>
      <w:proofErr w:type="spellEnd"/>
      <w:r w:rsidR="007B600C">
        <w:rPr>
          <w:rFonts w:cstheme="minorHAnsi"/>
          <w:color w:val="000000" w:themeColor="text1"/>
          <w:sz w:val="24"/>
        </w:rPr>
        <w:t xml:space="preserve"> and payments of $114 million, plus $20 million of debt reclassified to unexpended plant, </w:t>
      </w:r>
      <w:r w:rsidRPr="00DB6EEE">
        <w:rPr>
          <w:rFonts w:cstheme="minorHAnsi"/>
          <w:sz w:val="24"/>
        </w:rPr>
        <w:t>less $</w:t>
      </w:r>
      <w:r w:rsidR="007B600C">
        <w:rPr>
          <w:rFonts w:cstheme="minorHAnsi"/>
          <w:sz w:val="24"/>
        </w:rPr>
        <w:t>50</w:t>
      </w:r>
      <w:r w:rsidR="007B600C" w:rsidRPr="00DB6EEE">
        <w:rPr>
          <w:rFonts w:cstheme="minorHAnsi"/>
          <w:sz w:val="24"/>
        </w:rPr>
        <w:t xml:space="preserve"> </w:t>
      </w:r>
      <w:r w:rsidRPr="00DB6EEE">
        <w:rPr>
          <w:rFonts w:cstheme="minorHAnsi"/>
          <w:color w:val="000000" w:themeColor="text1"/>
          <w:sz w:val="24"/>
        </w:rPr>
        <w:t xml:space="preserve">million of depreciation </w:t>
      </w:r>
      <w:r w:rsidR="007B600C">
        <w:rPr>
          <w:rFonts w:cstheme="minorHAnsi"/>
          <w:color w:val="000000" w:themeColor="text1"/>
          <w:sz w:val="24"/>
        </w:rPr>
        <w:t xml:space="preserve">and amortization </w:t>
      </w:r>
      <w:r w:rsidRPr="00DB6EEE">
        <w:rPr>
          <w:rFonts w:cstheme="minorHAnsi"/>
          <w:color w:val="000000" w:themeColor="text1"/>
          <w:sz w:val="24"/>
        </w:rPr>
        <w:t>expense,</w:t>
      </w:r>
      <w:r w:rsidRPr="00DB6EEE">
        <w:rPr>
          <w:rFonts w:cstheme="minorHAnsi"/>
          <w:sz w:val="24"/>
        </w:rPr>
        <w:t xml:space="preserve"> less </w:t>
      </w:r>
      <w:r w:rsidR="007B600C">
        <w:rPr>
          <w:rFonts w:cstheme="minorHAnsi"/>
          <w:sz w:val="24"/>
        </w:rPr>
        <w:t xml:space="preserve">new </w:t>
      </w:r>
      <w:proofErr w:type="gramStart"/>
      <w:r w:rsidR="007B600C">
        <w:rPr>
          <w:rFonts w:cstheme="minorHAnsi"/>
          <w:sz w:val="24"/>
        </w:rPr>
        <w:t>debt</w:t>
      </w:r>
      <w:proofErr w:type="gramEnd"/>
      <w:r w:rsidR="007B600C">
        <w:rPr>
          <w:rFonts w:cstheme="minorHAnsi"/>
          <w:sz w:val="24"/>
        </w:rPr>
        <w:t xml:space="preserve"> and other liabilities of $211 million and less </w:t>
      </w:r>
      <w:r w:rsidRPr="00DB6EEE">
        <w:rPr>
          <w:rFonts w:cstheme="minorHAnsi"/>
          <w:sz w:val="24"/>
        </w:rPr>
        <w:t>$</w:t>
      </w:r>
      <w:r w:rsidR="007B600C">
        <w:rPr>
          <w:rFonts w:cstheme="minorHAnsi"/>
          <w:sz w:val="24"/>
        </w:rPr>
        <w:t>3</w:t>
      </w:r>
      <w:r w:rsidR="007B600C" w:rsidRPr="00DB6EEE">
        <w:rPr>
          <w:rFonts w:cstheme="minorHAnsi"/>
          <w:color w:val="000000" w:themeColor="text1"/>
          <w:sz w:val="24"/>
        </w:rPr>
        <w:t xml:space="preserve"> </w:t>
      </w:r>
      <w:r w:rsidRPr="00DB6EEE">
        <w:rPr>
          <w:rFonts w:cstheme="minorHAnsi"/>
          <w:color w:val="000000" w:themeColor="text1"/>
          <w:sz w:val="24"/>
        </w:rPr>
        <w:t>million of capital asset retirements</w:t>
      </w:r>
      <w:r w:rsidR="007B600C">
        <w:rPr>
          <w:rFonts w:cstheme="minorHAnsi"/>
          <w:color w:val="000000" w:themeColor="text1"/>
          <w:sz w:val="24"/>
        </w:rPr>
        <w:t>.</w:t>
      </w:r>
    </w:p>
    <w:p w14:paraId="64CB7A6A" w14:textId="77777777" w:rsidR="007B600C" w:rsidRPr="00DE50BF" w:rsidRDefault="007B600C" w:rsidP="00A83362">
      <w:pPr>
        <w:rPr>
          <w:rFonts w:cstheme="minorHAnsi"/>
          <w:color w:val="000000" w:themeColor="text1"/>
          <w:sz w:val="20"/>
        </w:rPr>
      </w:pPr>
    </w:p>
    <w:p w14:paraId="69BA446F" w14:textId="77777777" w:rsidR="00A83362" w:rsidRDefault="00A83362" w:rsidP="00A83362">
      <w:pPr>
        <w:rPr>
          <w:rFonts w:cstheme="minorHAnsi"/>
          <w:color w:val="000000" w:themeColor="text1"/>
          <w:sz w:val="24"/>
        </w:rPr>
      </w:pPr>
      <w:r w:rsidRPr="006A730E">
        <w:rPr>
          <w:rFonts w:cstheme="minorHAnsi"/>
          <w:color w:val="000000" w:themeColor="text1"/>
          <w:sz w:val="24"/>
        </w:rPr>
        <w:t>The FY2</w:t>
      </w:r>
      <w:r>
        <w:rPr>
          <w:rFonts w:cstheme="minorHAnsi"/>
          <w:color w:val="000000" w:themeColor="text1"/>
          <w:sz w:val="24"/>
        </w:rPr>
        <w:t>2</w:t>
      </w:r>
      <w:r w:rsidRPr="006A730E">
        <w:rPr>
          <w:rFonts w:cstheme="minorHAnsi"/>
          <w:color w:val="000000" w:themeColor="text1"/>
          <w:sz w:val="24"/>
        </w:rPr>
        <w:t xml:space="preserve"> </w:t>
      </w:r>
      <w:r>
        <w:rPr>
          <w:rFonts w:cstheme="minorHAnsi"/>
          <w:color w:val="000000" w:themeColor="text1"/>
          <w:sz w:val="24"/>
        </w:rPr>
        <w:t>increase</w:t>
      </w:r>
      <w:r w:rsidRPr="006A730E">
        <w:rPr>
          <w:rFonts w:cstheme="minorHAnsi"/>
          <w:color w:val="000000" w:themeColor="text1"/>
          <w:sz w:val="24"/>
        </w:rPr>
        <w:t xml:space="preserve"> in net investment in capital assets of $</w:t>
      </w:r>
      <w:r>
        <w:rPr>
          <w:rFonts w:cstheme="minorHAnsi"/>
          <w:color w:val="000000" w:themeColor="text1"/>
          <w:sz w:val="24"/>
        </w:rPr>
        <w:t>40</w:t>
      </w:r>
      <w:r w:rsidRPr="006A730E">
        <w:rPr>
          <w:rFonts w:cstheme="minorHAnsi"/>
          <w:color w:val="000000" w:themeColor="text1"/>
          <w:sz w:val="24"/>
        </w:rPr>
        <w:t xml:space="preserve"> million was comprised of capital asset additions of $</w:t>
      </w:r>
      <w:r>
        <w:rPr>
          <w:rFonts w:cstheme="minorHAnsi"/>
          <w:color w:val="000000" w:themeColor="text1"/>
          <w:sz w:val="24"/>
        </w:rPr>
        <w:t>119</w:t>
      </w:r>
      <w:r w:rsidRPr="006A730E">
        <w:rPr>
          <w:rFonts w:cstheme="minorHAnsi"/>
          <w:color w:val="000000" w:themeColor="text1"/>
          <w:sz w:val="24"/>
        </w:rPr>
        <w:t xml:space="preserve"> million less $4</w:t>
      </w:r>
      <w:r w:rsidRPr="003B2FB3">
        <w:rPr>
          <w:rFonts w:cstheme="minorHAnsi"/>
          <w:color w:val="000000" w:themeColor="text1"/>
          <w:sz w:val="24"/>
        </w:rPr>
        <w:t>4</w:t>
      </w:r>
      <w:r w:rsidRPr="006A730E">
        <w:rPr>
          <w:rFonts w:cstheme="minorHAnsi"/>
          <w:color w:val="000000" w:themeColor="text1"/>
          <w:sz w:val="24"/>
        </w:rPr>
        <w:t xml:space="preserve"> million of depreciation expense, less $</w:t>
      </w:r>
      <w:r>
        <w:rPr>
          <w:rFonts w:cstheme="minorHAnsi"/>
          <w:color w:val="000000" w:themeColor="text1"/>
          <w:sz w:val="24"/>
        </w:rPr>
        <w:t>1</w:t>
      </w:r>
      <w:r w:rsidRPr="006A730E">
        <w:rPr>
          <w:rFonts w:cstheme="minorHAnsi"/>
          <w:color w:val="000000" w:themeColor="text1"/>
          <w:sz w:val="24"/>
        </w:rPr>
        <w:t xml:space="preserve"> million of capital asset retirements, less </w:t>
      </w:r>
      <w:r>
        <w:rPr>
          <w:rFonts w:cstheme="minorHAnsi"/>
          <w:color w:val="000000" w:themeColor="text1"/>
          <w:sz w:val="24"/>
        </w:rPr>
        <w:t>an increase in debt and other liabilities of $7 million, and less a $27 million reclassification of debt from unexpended plant to invested in capital assets.</w:t>
      </w:r>
    </w:p>
    <w:p w14:paraId="29E04179" w14:textId="77777777" w:rsidR="00A83362" w:rsidRPr="00DE50BF" w:rsidRDefault="00A83362" w:rsidP="00A83362">
      <w:pPr>
        <w:rPr>
          <w:rFonts w:cstheme="minorHAnsi"/>
          <w:color w:val="000000" w:themeColor="text1"/>
          <w:sz w:val="20"/>
        </w:rPr>
      </w:pPr>
    </w:p>
    <w:p w14:paraId="1B3C8F0F" w14:textId="696A7B16" w:rsidR="00A83362" w:rsidRDefault="00A83362" w:rsidP="00A83362">
      <w:pPr>
        <w:rPr>
          <w:rFonts w:cstheme="minorHAnsi"/>
          <w:color w:val="000000" w:themeColor="text1"/>
          <w:sz w:val="24"/>
        </w:rPr>
      </w:pPr>
      <w:r>
        <w:rPr>
          <w:rFonts w:cstheme="minorHAnsi"/>
          <w:b/>
          <w:color w:val="000000" w:themeColor="text1"/>
          <w:sz w:val="24"/>
        </w:rPr>
        <w:t>Restricted-nonexpendable net position</w:t>
      </w:r>
      <w:r>
        <w:rPr>
          <w:rFonts w:cstheme="minorHAnsi"/>
          <w:color w:val="000000" w:themeColor="text1"/>
          <w:sz w:val="24"/>
        </w:rPr>
        <w:t xml:space="preserve"> represents the corpus of the System’s permanent endowment funds. Items that impact this category of net position include new endowment gifts and fair value fluctuations for those endowments whose fair value has fallen below the endowment corpus. The June 30, 2023 balance of </w:t>
      </w:r>
      <w:r w:rsidRPr="00A316AD">
        <w:rPr>
          <w:rFonts w:cstheme="minorHAnsi"/>
          <w:sz w:val="24"/>
        </w:rPr>
        <w:t>$</w:t>
      </w:r>
      <w:r>
        <w:rPr>
          <w:rFonts w:cstheme="minorHAnsi"/>
          <w:sz w:val="24"/>
        </w:rPr>
        <w:t>72</w:t>
      </w:r>
      <w:r>
        <w:rPr>
          <w:rFonts w:cstheme="minorHAnsi"/>
          <w:color w:val="000000" w:themeColor="text1"/>
          <w:sz w:val="24"/>
        </w:rPr>
        <w:t xml:space="preserve"> million </w:t>
      </w:r>
      <w:r w:rsidRPr="00721CFD">
        <w:rPr>
          <w:rFonts w:cstheme="minorHAnsi"/>
          <w:sz w:val="24"/>
        </w:rPr>
        <w:t>in</w:t>
      </w:r>
      <w:r w:rsidRPr="00A316AD">
        <w:rPr>
          <w:rFonts w:cstheme="minorHAnsi"/>
          <w:sz w:val="24"/>
        </w:rPr>
        <w:t>creased $</w:t>
      </w:r>
      <w:r>
        <w:rPr>
          <w:rFonts w:cstheme="minorHAnsi"/>
          <w:sz w:val="24"/>
        </w:rPr>
        <w:t>1</w:t>
      </w:r>
      <w:r>
        <w:rPr>
          <w:rFonts w:cstheme="minorHAnsi"/>
          <w:color w:val="000000" w:themeColor="text1"/>
          <w:sz w:val="24"/>
        </w:rPr>
        <w:t xml:space="preserve"> million, or </w:t>
      </w:r>
      <w:r w:rsidR="00EE609B">
        <w:rPr>
          <w:rFonts w:cstheme="minorHAnsi"/>
          <w:color w:val="000000" w:themeColor="text1"/>
          <w:sz w:val="24"/>
        </w:rPr>
        <w:t>1</w:t>
      </w:r>
      <w:r w:rsidRPr="00A316AD">
        <w:rPr>
          <w:rFonts w:cstheme="minorHAnsi"/>
          <w:sz w:val="24"/>
        </w:rPr>
        <w:t>%</w:t>
      </w:r>
      <w:r>
        <w:rPr>
          <w:rFonts w:cstheme="minorHAnsi"/>
          <w:color w:val="000000" w:themeColor="text1"/>
          <w:sz w:val="24"/>
        </w:rPr>
        <w:t xml:space="preserve">, over </w:t>
      </w:r>
      <w:r>
        <w:rPr>
          <w:rFonts w:cstheme="minorHAnsi"/>
          <w:color w:val="000000" w:themeColor="text1"/>
          <w:sz w:val="24"/>
        </w:rPr>
        <w:lastRenderedPageBreak/>
        <w:t>the $71 million at June 30, 2022. For FY22, restricted-nonexpendable net position increased $2 million, or 3%, from the FY21 year-end balance of $69 million.</w:t>
      </w:r>
    </w:p>
    <w:p w14:paraId="7D48EC97" w14:textId="77777777" w:rsidR="00A83362" w:rsidRDefault="00A83362" w:rsidP="00A83362">
      <w:pPr>
        <w:tabs>
          <w:tab w:val="left" w:pos="630"/>
        </w:tabs>
        <w:rPr>
          <w:rFonts w:cstheme="minorHAnsi"/>
          <w:b/>
          <w:color w:val="000000" w:themeColor="text1"/>
          <w:sz w:val="24"/>
          <w:shd w:val="clear" w:color="auto" w:fill="FFFFFF" w:themeFill="background1"/>
        </w:rPr>
      </w:pPr>
    </w:p>
    <w:p w14:paraId="71A95B42" w14:textId="47B6312A" w:rsidR="00A83362" w:rsidRDefault="00A83362" w:rsidP="00A83362">
      <w:pPr>
        <w:tabs>
          <w:tab w:val="left" w:pos="630"/>
        </w:tabs>
        <w:rPr>
          <w:rFonts w:cstheme="minorHAnsi"/>
          <w:color w:val="000000" w:themeColor="text1"/>
          <w:sz w:val="24"/>
          <w:shd w:val="clear" w:color="auto" w:fill="FFFFFF" w:themeFill="background1"/>
        </w:rPr>
      </w:pPr>
      <w:r>
        <w:rPr>
          <w:rFonts w:cstheme="minorHAnsi"/>
          <w:b/>
          <w:color w:val="000000" w:themeColor="text1"/>
          <w:sz w:val="24"/>
          <w:shd w:val="clear" w:color="auto" w:fill="FFFFFF" w:themeFill="background1"/>
        </w:rPr>
        <w:t>Restricted-expendable net position</w:t>
      </w:r>
      <w:r>
        <w:rPr>
          <w:rFonts w:cstheme="minorHAnsi"/>
          <w:color w:val="000000" w:themeColor="text1"/>
          <w:sz w:val="24"/>
          <w:shd w:val="clear" w:color="auto" w:fill="FFFFFF" w:themeFill="background1"/>
        </w:rPr>
        <w:t xml:space="preserve"> consists of a variety of funds including unexpended gifts, quasi-endowments and appreciation on true endowments, subject to externally imposed conditions on spending. The restrictions include a variety of purposes including student financial aid, capital asset acquisitions, research, and public service. The June 30, 2023 balance of </w:t>
      </w:r>
      <w:r w:rsidRPr="00A316AD">
        <w:rPr>
          <w:rFonts w:cstheme="minorHAnsi"/>
          <w:sz w:val="24"/>
          <w:shd w:val="clear" w:color="auto" w:fill="FFFFFF" w:themeFill="background1"/>
        </w:rPr>
        <w:t>$</w:t>
      </w:r>
      <w:r>
        <w:rPr>
          <w:rFonts w:cstheme="minorHAnsi"/>
          <w:sz w:val="24"/>
          <w:shd w:val="clear" w:color="auto" w:fill="FFFFFF" w:themeFill="background1"/>
        </w:rPr>
        <w:t>152</w:t>
      </w:r>
      <w:r>
        <w:rPr>
          <w:rFonts w:cstheme="minorHAnsi"/>
          <w:color w:val="000000" w:themeColor="text1"/>
          <w:sz w:val="24"/>
          <w:shd w:val="clear" w:color="auto" w:fill="FFFFFF" w:themeFill="background1"/>
        </w:rPr>
        <w:t xml:space="preserve"> million in</w:t>
      </w:r>
      <w:r w:rsidRPr="00A316AD">
        <w:rPr>
          <w:rFonts w:cstheme="minorHAnsi"/>
          <w:sz w:val="24"/>
          <w:shd w:val="clear" w:color="auto" w:fill="FFFFFF" w:themeFill="background1"/>
        </w:rPr>
        <w:t>crease</w:t>
      </w:r>
      <w:r>
        <w:rPr>
          <w:rFonts w:cstheme="minorHAnsi"/>
          <w:sz w:val="24"/>
          <w:shd w:val="clear" w:color="auto" w:fill="FFFFFF" w:themeFill="background1"/>
        </w:rPr>
        <w:t xml:space="preserve">d </w:t>
      </w:r>
      <w:r w:rsidRPr="00A316AD">
        <w:rPr>
          <w:rFonts w:cstheme="minorHAnsi"/>
          <w:sz w:val="24"/>
          <w:shd w:val="clear" w:color="auto" w:fill="FFFFFF" w:themeFill="background1"/>
        </w:rPr>
        <w:t>$</w:t>
      </w:r>
      <w:r>
        <w:rPr>
          <w:rFonts w:cstheme="minorHAnsi"/>
          <w:sz w:val="24"/>
          <w:shd w:val="clear" w:color="auto" w:fill="FFFFFF" w:themeFill="background1"/>
        </w:rPr>
        <w:t>5</w:t>
      </w:r>
      <w:r>
        <w:rPr>
          <w:rFonts w:cstheme="minorHAnsi"/>
          <w:color w:val="000000" w:themeColor="text1"/>
          <w:sz w:val="24"/>
          <w:shd w:val="clear" w:color="auto" w:fill="FFFFFF" w:themeFill="background1"/>
        </w:rPr>
        <w:t xml:space="preserve"> million, or 3</w:t>
      </w:r>
      <w:r w:rsidRPr="00A316AD">
        <w:rPr>
          <w:rFonts w:cstheme="minorHAnsi"/>
          <w:sz w:val="24"/>
          <w:shd w:val="clear" w:color="auto" w:fill="FFFFFF" w:themeFill="background1"/>
        </w:rPr>
        <w:t>%</w:t>
      </w:r>
      <w:r>
        <w:rPr>
          <w:rFonts w:cstheme="minorHAnsi"/>
          <w:sz w:val="24"/>
          <w:shd w:val="clear" w:color="auto" w:fill="FFFFFF" w:themeFill="background1"/>
        </w:rPr>
        <w:t xml:space="preserve"> from the June 30, 2022 balance of $147 million.  This increase </w:t>
      </w:r>
      <w:r>
        <w:rPr>
          <w:rFonts w:cstheme="minorHAnsi"/>
          <w:color w:val="000000" w:themeColor="text1"/>
          <w:sz w:val="24"/>
          <w:shd w:val="clear" w:color="auto" w:fill="FFFFFF" w:themeFill="background1"/>
        </w:rPr>
        <w:t xml:space="preserve">is primarily attributable to </w:t>
      </w:r>
      <w:r w:rsidRPr="00697A20">
        <w:rPr>
          <w:rFonts w:cstheme="minorHAnsi"/>
          <w:sz w:val="24"/>
          <w:shd w:val="clear" w:color="auto" w:fill="FFFFFF" w:themeFill="background1"/>
        </w:rPr>
        <w:t xml:space="preserve">a $7 million increase in the expendable portion of endowments, resulting from positive investment performance </w:t>
      </w:r>
      <w:r w:rsidR="00EE609B">
        <w:rPr>
          <w:rFonts w:cstheme="minorHAnsi"/>
          <w:sz w:val="24"/>
          <w:shd w:val="clear" w:color="auto" w:fill="FFFFFF" w:themeFill="background1"/>
        </w:rPr>
        <w:t>less</w:t>
      </w:r>
      <w:r w:rsidR="00EE609B" w:rsidRPr="00697A20">
        <w:rPr>
          <w:rFonts w:cstheme="minorHAnsi"/>
          <w:sz w:val="24"/>
          <w:shd w:val="clear" w:color="auto" w:fill="FFFFFF" w:themeFill="background1"/>
        </w:rPr>
        <w:t xml:space="preserve"> </w:t>
      </w:r>
      <w:r w:rsidRPr="00697A20">
        <w:rPr>
          <w:rFonts w:cstheme="minorHAnsi"/>
          <w:sz w:val="24"/>
          <w:shd w:val="clear" w:color="auto" w:fill="FFFFFF" w:themeFill="background1"/>
        </w:rPr>
        <w:t>endowment income distributed for operations</w:t>
      </w:r>
      <w:r w:rsidR="00BE2110">
        <w:rPr>
          <w:rFonts w:cstheme="minorHAnsi"/>
          <w:sz w:val="24"/>
          <w:shd w:val="clear" w:color="auto" w:fill="FFFFFF" w:themeFill="background1"/>
        </w:rPr>
        <w:t xml:space="preserve"> and a </w:t>
      </w:r>
      <w:r w:rsidRPr="00697A20">
        <w:rPr>
          <w:rFonts w:cstheme="minorHAnsi"/>
          <w:sz w:val="24"/>
          <w:shd w:val="clear" w:color="auto" w:fill="FFFFFF" w:themeFill="background1"/>
        </w:rPr>
        <w:t>$1 million increase in unspent restricted gift.  Offsetting these increases was</w:t>
      </w:r>
      <w:r w:rsidRPr="00697A20">
        <w:rPr>
          <w:rFonts w:cstheme="minorHAnsi"/>
          <w:color w:val="000000" w:themeColor="text1"/>
          <w:sz w:val="24"/>
          <w:shd w:val="clear" w:color="auto" w:fill="FFFFFF" w:themeFill="background1"/>
        </w:rPr>
        <w:t xml:space="preserve"> a </w:t>
      </w:r>
      <w:r w:rsidR="00BE2110">
        <w:rPr>
          <w:rFonts w:cstheme="minorHAnsi"/>
          <w:color w:val="000000" w:themeColor="text1"/>
          <w:sz w:val="24"/>
          <w:shd w:val="clear" w:color="auto" w:fill="FFFFFF" w:themeFill="background1"/>
        </w:rPr>
        <w:t xml:space="preserve">net </w:t>
      </w:r>
      <w:r w:rsidRPr="00697A20">
        <w:rPr>
          <w:rFonts w:cstheme="minorHAnsi"/>
          <w:sz w:val="24"/>
          <w:shd w:val="clear" w:color="auto" w:fill="FFFFFF" w:themeFill="background1"/>
        </w:rPr>
        <w:t>$3 million decrease from other managed restricted-expendable funds.</w:t>
      </w:r>
      <w:r>
        <w:rPr>
          <w:rFonts w:cstheme="minorHAnsi"/>
          <w:sz w:val="24"/>
          <w:shd w:val="clear" w:color="auto" w:fill="FFFFFF" w:themeFill="background1"/>
        </w:rPr>
        <w:t xml:space="preserve">  </w:t>
      </w:r>
    </w:p>
    <w:p w14:paraId="091EDD4E" w14:textId="77777777" w:rsidR="00A83362" w:rsidRPr="00DE50BF" w:rsidRDefault="00A83362" w:rsidP="00A83362">
      <w:pPr>
        <w:tabs>
          <w:tab w:val="left" w:pos="630"/>
        </w:tabs>
        <w:rPr>
          <w:rFonts w:cstheme="minorHAnsi"/>
          <w:color w:val="000000" w:themeColor="text1"/>
          <w:sz w:val="20"/>
          <w:szCs w:val="20"/>
          <w:shd w:val="clear" w:color="auto" w:fill="FFFFFF" w:themeFill="background1"/>
        </w:rPr>
      </w:pPr>
    </w:p>
    <w:p w14:paraId="001CA33A" w14:textId="7DFBC3C0" w:rsidR="00A83362" w:rsidRDefault="00A83362" w:rsidP="00A83362">
      <w:pPr>
        <w:tabs>
          <w:tab w:val="left" w:pos="630"/>
        </w:tabs>
        <w:rPr>
          <w:rFonts w:cstheme="minorHAnsi"/>
          <w:color w:val="000000" w:themeColor="text1"/>
          <w:sz w:val="24"/>
          <w:shd w:val="clear" w:color="auto" w:fill="FFFFFF" w:themeFill="background1"/>
        </w:rPr>
      </w:pPr>
      <w:r>
        <w:rPr>
          <w:rFonts w:cstheme="minorHAnsi"/>
          <w:color w:val="000000" w:themeColor="text1"/>
          <w:sz w:val="24"/>
          <w:shd w:val="clear" w:color="auto" w:fill="FFFFFF" w:themeFill="background1"/>
        </w:rPr>
        <w:t>The FY22 increase of $</w:t>
      </w:r>
      <w:r w:rsidR="00EE609B">
        <w:rPr>
          <w:rFonts w:cstheme="minorHAnsi"/>
          <w:color w:val="000000" w:themeColor="text1"/>
          <w:sz w:val="24"/>
          <w:shd w:val="clear" w:color="auto" w:fill="FFFFFF" w:themeFill="background1"/>
        </w:rPr>
        <w:t xml:space="preserve">3 </w:t>
      </w:r>
      <w:r>
        <w:rPr>
          <w:rFonts w:cstheme="minorHAnsi"/>
          <w:color w:val="000000" w:themeColor="text1"/>
          <w:sz w:val="24"/>
          <w:shd w:val="clear" w:color="auto" w:fill="FFFFFF" w:themeFill="background1"/>
        </w:rPr>
        <w:t xml:space="preserve">million, or </w:t>
      </w:r>
      <w:r w:rsidR="00EE609B">
        <w:rPr>
          <w:rFonts w:cstheme="minorHAnsi"/>
          <w:color w:val="000000" w:themeColor="text1"/>
          <w:sz w:val="24"/>
          <w:shd w:val="clear" w:color="auto" w:fill="FFFFFF" w:themeFill="background1"/>
        </w:rPr>
        <w:t>2</w:t>
      </w:r>
      <w:r>
        <w:rPr>
          <w:rFonts w:cstheme="minorHAnsi"/>
          <w:color w:val="000000" w:themeColor="text1"/>
          <w:sz w:val="24"/>
          <w:shd w:val="clear" w:color="auto" w:fill="FFFFFF" w:themeFill="background1"/>
        </w:rPr>
        <w:t xml:space="preserve">%, is primarily attributable to </w:t>
      </w:r>
      <w:r w:rsidR="00EE609B">
        <w:rPr>
          <w:rFonts w:cstheme="minorHAnsi"/>
          <w:color w:val="000000" w:themeColor="text1"/>
          <w:sz w:val="24"/>
          <w:shd w:val="clear" w:color="auto" w:fill="FFFFFF" w:themeFill="background1"/>
        </w:rPr>
        <w:t xml:space="preserve">a </w:t>
      </w:r>
      <w:r w:rsidRPr="001E1FD4">
        <w:rPr>
          <w:rFonts w:cstheme="minorHAnsi"/>
          <w:sz w:val="24"/>
          <w:shd w:val="clear" w:color="auto" w:fill="FFFFFF" w:themeFill="background1"/>
        </w:rPr>
        <w:t>$</w:t>
      </w:r>
      <w:r w:rsidR="00EE609B">
        <w:rPr>
          <w:rFonts w:cstheme="minorHAnsi"/>
          <w:sz w:val="24"/>
          <w:shd w:val="clear" w:color="auto" w:fill="FFFFFF" w:themeFill="background1"/>
        </w:rPr>
        <w:t>25</w:t>
      </w:r>
      <w:r w:rsidR="00EE609B" w:rsidRPr="001E1FD4">
        <w:rPr>
          <w:rFonts w:cstheme="minorHAnsi"/>
          <w:sz w:val="24"/>
          <w:shd w:val="clear" w:color="auto" w:fill="FFFFFF" w:themeFill="background1"/>
        </w:rPr>
        <w:t xml:space="preserve"> </w:t>
      </w:r>
      <w:r w:rsidRPr="001E1FD4">
        <w:rPr>
          <w:rFonts w:cstheme="minorHAnsi"/>
          <w:sz w:val="24"/>
          <w:shd w:val="clear" w:color="auto" w:fill="FFFFFF" w:themeFill="background1"/>
        </w:rPr>
        <w:t xml:space="preserve">million </w:t>
      </w:r>
      <w:r>
        <w:rPr>
          <w:rFonts w:cstheme="minorHAnsi"/>
          <w:sz w:val="24"/>
          <w:shd w:val="clear" w:color="auto" w:fill="FFFFFF" w:themeFill="background1"/>
        </w:rPr>
        <w:t xml:space="preserve">increase in unspent restricted gift balances and </w:t>
      </w:r>
      <w:r w:rsidRPr="001E1FD4">
        <w:rPr>
          <w:rFonts w:cstheme="minorHAnsi"/>
          <w:sz w:val="24"/>
          <w:shd w:val="clear" w:color="auto" w:fill="FFFFFF" w:themeFill="background1"/>
        </w:rPr>
        <w:t xml:space="preserve">a </w:t>
      </w:r>
      <w:r w:rsidR="00EE609B">
        <w:rPr>
          <w:rFonts w:cstheme="minorHAnsi"/>
          <w:sz w:val="24"/>
          <w:shd w:val="clear" w:color="auto" w:fill="FFFFFF" w:themeFill="background1"/>
        </w:rPr>
        <w:t xml:space="preserve">net </w:t>
      </w:r>
      <w:r w:rsidRPr="00AE3BB9">
        <w:rPr>
          <w:rFonts w:cstheme="minorHAnsi"/>
          <w:sz w:val="24"/>
          <w:shd w:val="clear" w:color="auto" w:fill="FFFFFF" w:themeFill="background1"/>
        </w:rPr>
        <w:t>$</w:t>
      </w:r>
      <w:r w:rsidR="00EE609B">
        <w:rPr>
          <w:rFonts w:cstheme="minorHAnsi"/>
          <w:sz w:val="24"/>
          <w:shd w:val="clear" w:color="auto" w:fill="FFFFFF" w:themeFill="background1"/>
        </w:rPr>
        <w:t>2</w:t>
      </w:r>
      <w:r w:rsidRPr="001E1FD4">
        <w:rPr>
          <w:rFonts w:cstheme="minorHAnsi"/>
          <w:sz w:val="24"/>
          <w:shd w:val="clear" w:color="auto" w:fill="FFFFFF" w:themeFill="background1"/>
        </w:rPr>
        <w:t xml:space="preserve"> </w:t>
      </w:r>
      <w:r w:rsidRPr="00AE3BB9">
        <w:rPr>
          <w:rFonts w:cstheme="minorHAnsi"/>
          <w:sz w:val="24"/>
          <w:shd w:val="clear" w:color="auto" w:fill="FFFFFF" w:themeFill="background1"/>
        </w:rPr>
        <w:t xml:space="preserve">million increase </w:t>
      </w:r>
      <w:r w:rsidRPr="001E1FD4">
        <w:rPr>
          <w:rFonts w:cstheme="minorHAnsi"/>
          <w:color w:val="000000" w:themeColor="text1"/>
          <w:sz w:val="24"/>
          <w:shd w:val="clear" w:color="auto" w:fill="FFFFFF" w:themeFill="background1"/>
        </w:rPr>
        <w:t>from other managed restricted-expendable funds</w:t>
      </w:r>
      <w:r w:rsidRPr="007557AB">
        <w:rPr>
          <w:rFonts w:cstheme="minorHAnsi"/>
          <w:color w:val="000000" w:themeColor="text1"/>
          <w:sz w:val="24"/>
          <w:shd w:val="clear" w:color="auto" w:fill="FFFFFF" w:themeFill="background1"/>
        </w:rPr>
        <w:t>.</w:t>
      </w:r>
      <w:r>
        <w:rPr>
          <w:rFonts w:cstheme="minorHAnsi"/>
          <w:color w:val="000000" w:themeColor="text1"/>
          <w:sz w:val="24"/>
          <w:shd w:val="clear" w:color="auto" w:fill="FFFFFF" w:themeFill="background1"/>
        </w:rPr>
        <w:t xml:space="preserve"> </w:t>
      </w:r>
      <w:r w:rsidRPr="00375BF7">
        <w:rPr>
          <w:rFonts w:cstheme="minorHAnsi"/>
          <w:sz w:val="24"/>
          <w:shd w:val="clear" w:color="auto" w:fill="FFFFFF" w:themeFill="background1"/>
        </w:rPr>
        <w:t>Offsetting these increases was</w:t>
      </w:r>
      <w:r w:rsidRPr="00375BF7">
        <w:rPr>
          <w:rFonts w:cstheme="minorHAnsi"/>
          <w:color w:val="000000" w:themeColor="text1"/>
          <w:sz w:val="24"/>
          <w:shd w:val="clear" w:color="auto" w:fill="FFFFFF" w:themeFill="background1"/>
        </w:rPr>
        <w:t xml:space="preserve"> a </w:t>
      </w:r>
      <w:r w:rsidRPr="00375BF7">
        <w:rPr>
          <w:rFonts w:cstheme="minorHAnsi"/>
          <w:sz w:val="24"/>
          <w:shd w:val="clear" w:color="auto" w:fill="FFFFFF" w:themeFill="background1"/>
        </w:rPr>
        <w:t>$24 million decrease in the expendable portion of endowments, resulting from negative investment performance and endowment income distributed for operations.</w:t>
      </w:r>
      <w:r>
        <w:rPr>
          <w:rFonts w:cstheme="minorHAnsi"/>
          <w:sz w:val="24"/>
          <w:shd w:val="clear" w:color="auto" w:fill="FFFFFF" w:themeFill="background1"/>
        </w:rPr>
        <w:t xml:space="preserve">  </w:t>
      </w:r>
    </w:p>
    <w:p w14:paraId="65AE89C9" w14:textId="77777777" w:rsidR="00A83362" w:rsidRPr="00DE50BF" w:rsidRDefault="00A83362" w:rsidP="00A83362">
      <w:pPr>
        <w:tabs>
          <w:tab w:val="left" w:pos="630"/>
        </w:tabs>
        <w:ind w:right="288"/>
        <w:rPr>
          <w:rFonts w:cstheme="minorHAnsi"/>
          <w:color w:val="000000" w:themeColor="text1"/>
          <w:sz w:val="20"/>
          <w:szCs w:val="20"/>
          <w:shd w:val="clear" w:color="auto" w:fill="FFFFFF" w:themeFill="background1"/>
        </w:rPr>
      </w:pPr>
    </w:p>
    <w:p w14:paraId="73E8DA2E" w14:textId="77777777" w:rsidR="00A83362" w:rsidRDefault="00A83362" w:rsidP="00A83362">
      <w:pPr>
        <w:rPr>
          <w:rFonts w:cstheme="minorHAnsi"/>
          <w:color w:val="000000" w:themeColor="text1"/>
          <w:sz w:val="24"/>
        </w:rPr>
      </w:pPr>
      <w:r>
        <w:rPr>
          <w:rFonts w:cstheme="minorHAnsi"/>
          <w:b/>
          <w:color w:val="000000" w:themeColor="text1"/>
          <w:sz w:val="24"/>
        </w:rPr>
        <w:t>Unrestricted net position</w:t>
      </w:r>
      <w:r>
        <w:rPr>
          <w:rFonts w:cstheme="minorHAnsi"/>
          <w:color w:val="000000" w:themeColor="text1"/>
          <w:sz w:val="24"/>
        </w:rPr>
        <w:t xml:space="preserve"> is not subject to externally imposed stipulations; however, these resources are critical for the financial stability of the UMS and have been designated by management for specific areas, including operational and capital needs, compensating for operating investment and other budget fluctuations, and benefits costs including covering the risks associated with self-insured plans. Given both the physical and financial size of the System, funds must be readily available to cover various situations including emergency and other unforeseen expenditures, strategic priorities, operating losses, over-expenditures on budgeted items, and benefits costs.</w:t>
      </w:r>
    </w:p>
    <w:p w14:paraId="47071018" w14:textId="77777777" w:rsidR="00A83362" w:rsidRDefault="00A83362" w:rsidP="00A83362">
      <w:pPr>
        <w:rPr>
          <w:rFonts w:cstheme="minorHAnsi"/>
          <w:color w:val="000000" w:themeColor="text1"/>
          <w:sz w:val="24"/>
        </w:rPr>
      </w:pPr>
    </w:p>
    <w:p w14:paraId="75014C72" w14:textId="5F051003" w:rsidR="00A83362" w:rsidRDefault="00A83362" w:rsidP="00A83362">
      <w:pPr>
        <w:rPr>
          <w:rFonts w:eastAsia="Times New Roman" w:cstheme="minorHAnsi"/>
          <w:b/>
          <w:i/>
          <w:iCs/>
          <w:smallCaps/>
          <w:noProof/>
          <w:color w:val="000000" w:themeColor="text1"/>
          <w:sz w:val="32"/>
          <w:szCs w:val="28"/>
          <w:u w:color="5B9BD5"/>
        </w:rPr>
      </w:pPr>
      <w:r>
        <w:rPr>
          <w:rFonts w:cstheme="minorHAnsi"/>
          <w:color w:val="000000" w:themeColor="text1"/>
          <w:sz w:val="24"/>
        </w:rPr>
        <w:t xml:space="preserve">The balance of </w:t>
      </w:r>
      <w:r w:rsidRPr="00A316AD">
        <w:rPr>
          <w:rFonts w:cstheme="minorHAnsi"/>
          <w:sz w:val="24"/>
        </w:rPr>
        <w:t>$</w:t>
      </w:r>
      <w:r>
        <w:rPr>
          <w:rFonts w:cstheme="minorHAnsi"/>
          <w:sz w:val="24"/>
        </w:rPr>
        <w:t>142</w:t>
      </w:r>
      <w:r>
        <w:rPr>
          <w:rFonts w:cstheme="minorHAnsi"/>
          <w:color w:val="000000" w:themeColor="text1"/>
          <w:sz w:val="24"/>
        </w:rPr>
        <w:t xml:space="preserve"> million at June 30, 2023 decreased by </w:t>
      </w:r>
      <w:r w:rsidRPr="00A316AD">
        <w:rPr>
          <w:rFonts w:cstheme="minorHAnsi"/>
          <w:sz w:val="24"/>
        </w:rPr>
        <w:t>$</w:t>
      </w:r>
      <w:r>
        <w:rPr>
          <w:rFonts w:cstheme="minorHAnsi"/>
          <w:sz w:val="24"/>
        </w:rPr>
        <w:t>20</w:t>
      </w:r>
      <w:r>
        <w:rPr>
          <w:rFonts w:cstheme="minorHAnsi"/>
          <w:color w:val="000000" w:themeColor="text1"/>
          <w:sz w:val="24"/>
        </w:rPr>
        <w:t xml:space="preserve"> million, or 12</w:t>
      </w:r>
      <w:r w:rsidRPr="00A316AD">
        <w:rPr>
          <w:rFonts w:cstheme="minorHAnsi"/>
          <w:sz w:val="24"/>
        </w:rPr>
        <w:t>%</w:t>
      </w:r>
      <w:r>
        <w:rPr>
          <w:rFonts w:cstheme="minorHAnsi"/>
          <w:color w:val="000000" w:themeColor="text1"/>
          <w:sz w:val="24"/>
        </w:rPr>
        <w:t>, from the FY22 year-end balance of $</w:t>
      </w:r>
      <w:r w:rsidR="00B241A9">
        <w:rPr>
          <w:rFonts w:cstheme="minorHAnsi"/>
          <w:color w:val="000000" w:themeColor="text1"/>
          <w:sz w:val="24"/>
        </w:rPr>
        <w:t xml:space="preserve">162 </w:t>
      </w:r>
      <w:r>
        <w:rPr>
          <w:rFonts w:cstheme="minorHAnsi"/>
          <w:color w:val="000000" w:themeColor="text1"/>
          <w:sz w:val="24"/>
        </w:rPr>
        <w:t>million. For FY22, unrestricted net position decreased $</w:t>
      </w:r>
      <w:r w:rsidR="00B241A9">
        <w:rPr>
          <w:rFonts w:cstheme="minorHAnsi"/>
          <w:color w:val="000000" w:themeColor="text1"/>
          <w:sz w:val="24"/>
        </w:rPr>
        <w:t xml:space="preserve">20 </w:t>
      </w:r>
      <w:r>
        <w:rPr>
          <w:rFonts w:cstheme="minorHAnsi"/>
          <w:color w:val="000000" w:themeColor="text1"/>
          <w:sz w:val="24"/>
        </w:rPr>
        <w:t>million, or 11%, from the FY21 year-end balance of $182 million.</w:t>
      </w:r>
    </w:p>
    <w:p w14:paraId="4DDEA88D" w14:textId="77777777" w:rsidR="00A83362" w:rsidRDefault="00A83362" w:rsidP="00A83362">
      <w:pPr>
        <w:pStyle w:val="AFR2"/>
        <w:rPr>
          <w:rFonts w:eastAsia="Times New Roman" w:cstheme="minorHAnsi"/>
        </w:rPr>
      </w:pPr>
      <w:r>
        <w:rPr>
          <w:rFonts w:eastAsia="Times New Roman" w:cstheme="minorHAnsi"/>
        </w:rPr>
        <w:t>Statements of Revenues, Expenses, and Changes in Net Position</w:t>
      </w:r>
    </w:p>
    <w:p w14:paraId="71F4FBDE" w14:textId="77777777" w:rsidR="00A83362" w:rsidRDefault="00A83362" w:rsidP="00A83362">
      <w:pPr>
        <w:rPr>
          <w:rFonts w:cstheme="minorHAnsi"/>
          <w:color w:val="000000"/>
          <w:sz w:val="24"/>
        </w:rPr>
      </w:pPr>
      <w:r>
        <w:rPr>
          <w:rFonts w:cstheme="minorHAnsi"/>
          <w:sz w:val="24"/>
        </w:rPr>
        <w:t>The</w:t>
      </w:r>
      <w:r>
        <w:rPr>
          <w:rFonts w:cstheme="minorHAnsi"/>
          <w:color w:val="000000"/>
          <w:sz w:val="24"/>
        </w:rPr>
        <w:t xml:space="preserve"> Statements of Revenues, Expenses, and Changes in Net Position reports operating revenues, operating expenses, nonoperating revenues (expenses), other changes in net position, and the resulting change in net position for the fiscal year. </w:t>
      </w:r>
    </w:p>
    <w:p w14:paraId="5E6F5AE6" w14:textId="77777777" w:rsidR="00A83362" w:rsidRDefault="00A83362" w:rsidP="00A83362">
      <w:pPr>
        <w:pStyle w:val="AFR3"/>
      </w:pPr>
      <w:r>
        <w:t>Restatement of Prior Year</w:t>
      </w:r>
    </w:p>
    <w:p w14:paraId="70FF0F14" w14:textId="6273A242" w:rsidR="00A83362" w:rsidRDefault="00A83362" w:rsidP="00A83362">
      <w:pPr>
        <w:pStyle w:val="AFR3"/>
        <w:spacing w:before="0"/>
        <w:rPr>
          <w:rFonts w:ascii="Calibri" w:hAnsi="Calibri" w:cs="Tahoma"/>
          <w:b w:val="0"/>
          <w:i w:val="0"/>
          <w:sz w:val="24"/>
          <w:u w:val="none"/>
        </w:rPr>
      </w:pPr>
      <w:r>
        <w:rPr>
          <w:rFonts w:ascii="Calibri" w:hAnsi="Calibri" w:cs="Tahoma"/>
          <w:b w:val="0"/>
          <w:i w:val="0"/>
          <w:sz w:val="24"/>
          <w:u w:val="none"/>
        </w:rPr>
        <w:t xml:space="preserve">The FY22 financial statements have been restated to reflect a change in the reporting of revenues and expenses related to </w:t>
      </w:r>
      <w:proofErr w:type="gramStart"/>
      <w:r w:rsidR="00BC0FDB">
        <w:rPr>
          <w:rFonts w:ascii="Calibri" w:hAnsi="Calibri" w:cs="Tahoma"/>
          <w:b w:val="0"/>
          <w:i w:val="0"/>
          <w:sz w:val="24"/>
          <w:u w:val="none"/>
        </w:rPr>
        <w:t>subscription based</w:t>
      </w:r>
      <w:proofErr w:type="gramEnd"/>
      <w:r w:rsidR="00BC0FDB">
        <w:rPr>
          <w:rFonts w:ascii="Calibri" w:hAnsi="Calibri" w:cs="Tahoma"/>
          <w:b w:val="0"/>
          <w:i w:val="0"/>
          <w:sz w:val="24"/>
          <w:u w:val="none"/>
        </w:rPr>
        <w:t xml:space="preserve"> </w:t>
      </w:r>
      <w:r w:rsidR="00A902FD">
        <w:rPr>
          <w:rFonts w:ascii="Calibri" w:hAnsi="Calibri" w:cs="Tahoma"/>
          <w:b w:val="0"/>
          <w:i w:val="0"/>
          <w:sz w:val="24"/>
          <w:u w:val="none"/>
        </w:rPr>
        <w:t xml:space="preserve">information technology arrangements </w:t>
      </w:r>
      <w:r>
        <w:rPr>
          <w:rFonts w:ascii="Calibri" w:hAnsi="Calibri" w:cs="Tahoma"/>
          <w:b w:val="0"/>
          <w:i w:val="0"/>
          <w:sz w:val="24"/>
          <w:u w:val="none"/>
        </w:rPr>
        <w:t xml:space="preserve">per the adoption of GASB </w:t>
      </w:r>
      <w:r w:rsidR="00363398">
        <w:rPr>
          <w:rFonts w:ascii="Calibri" w:hAnsi="Calibri" w:cs="Tahoma"/>
          <w:b w:val="0"/>
          <w:i w:val="0"/>
          <w:sz w:val="24"/>
          <w:u w:val="none"/>
        </w:rPr>
        <w:t xml:space="preserve">Statement No. </w:t>
      </w:r>
      <w:r>
        <w:rPr>
          <w:rFonts w:ascii="Calibri" w:hAnsi="Calibri" w:cs="Tahoma"/>
          <w:b w:val="0"/>
          <w:i w:val="0"/>
          <w:sz w:val="24"/>
          <w:u w:val="none"/>
        </w:rPr>
        <w:t xml:space="preserve">96, </w:t>
      </w:r>
      <w:r>
        <w:rPr>
          <w:rFonts w:ascii="Calibri" w:hAnsi="Calibri" w:cs="Tahoma"/>
          <w:b w:val="0"/>
          <w:sz w:val="24"/>
          <w:u w:val="none"/>
        </w:rPr>
        <w:t>Subscription-Based Information Technology Arrangements</w:t>
      </w:r>
      <w:r>
        <w:rPr>
          <w:rFonts w:ascii="Calibri" w:hAnsi="Calibri" w:cs="Tahoma"/>
          <w:b w:val="0"/>
          <w:i w:val="0"/>
          <w:sz w:val="24"/>
          <w:u w:val="none"/>
        </w:rPr>
        <w:t xml:space="preserve">.  </w:t>
      </w:r>
      <w:r w:rsidRPr="002D5D41">
        <w:rPr>
          <w:rFonts w:ascii="Calibri" w:hAnsi="Calibri" w:cs="Tahoma"/>
          <w:b w:val="0"/>
          <w:i w:val="0"/>
          <w:sz w:val="24"/>
          <w:u w:val="none"/>
        </w:rPr>
        <w:t xml:space="preserve">Revenue and expenses netting to a decrease in net position of $65 thousand </w:t>
      </w:r>
      <w:r w:rsidRPr="002D5D41">
        <w:rPr>
          <w:rFonts w:ascii="Calibri" w:hAnsi="Calibri" w:cs="Tahoma"/>
          <w:b w:val="0"/>
          <w:i w:val="0"/>
          <w:sz w:val="24"/>
          <w:u w:val="none"/>
        </w:rPr>
        <w:lastRenderedPageBreak/>
        <w:t>have been moved in various segments of the Statements of Revenues, Expenses, and Changes in Net Position.</w:t>
      </w:r>
      <w:r>
        <w:rPr>
          <w:rFonts w:ascii="Calibri" w:hAnsi="Calibri" w:cs="Tahoma"/>
          <w:b w:val="0"/>
          <w:i w:val="0"/>
          <w:sz w:val="24"/>
          <w:u w:val="none"/>
        </w:rPr>
        <w:t xml:space="preserve">  </w:t>
      </w:r>
    </w:p>
    <w:p w14:paraId="03F27731" w14:textId="77777777" w:rsidR="00A83362" w:rsidRPr="00F84C1C" w:rsidRDefault="00A83362" w:rsidP="00A83362">
      <w:pPr>
        <w:spacing w:before="240" w:after="120"/>
        <w:rPr>
          <w:b/>
          <w:i/>
          <w:sz w:val="26"/>
          <w:u w:val="single" w:color="000000" w:themeColor="text1"/>
        </w:rPr>
      </w:pPr>
      <w:r>
        <w:rPr>
          <w:b/>
          <w:i/>
          <w:sz w:val="26"/>
          <w:u w:val="single" w:color="000000" w:themeColor="text1"/>
        </w:rPr>
        <w:t>Overview of Condensed Statements of Revenues, Expenses, and Changes in Net Position</w:t>
      </w:r>
    </w:p>
    <w:p w14:paraId="07D34F46" w14:textId="37A09765" w:rsidR="00A83362" w:rsidRDefault="00A83362" w:rsidP="00A83362">
      <w:pPr>
        <w:spacing w:after="120"/>
        <w:rPr>
          <w:rFonts w:cstheme="minorHAnsi"/>
          <w:color w:val="000000"/>
          <w:sz w:val="24"/>
        </w:rPr>
      </w:pPr>
      <w:r>
        <w:rPr>
          <w:rFonts w:cstheme="minorHAnsi"/>
          <w:color w:val="000000"/>
          <w:sz w:val="24"/>
        </w:rPr>
        <w:t xml:space="preserve">Table 5, on the </w:t>
      </w:r>
      <w:r w:rsidRPr="009F10BE">
        <w:rPr>
          <w:rFonts w:cstheme="minorHAnsi"/>
          <w:color w:val="000000"/>
          <w:sz w:val="24"/>
        </w:rPr>
        <w:t>next page, shows</w:t>
      </w:r>
      <w:r>
        <w:rPr>
          <w:rFonts w:cstheme="minorHAnsi"/>
          <w:color w:val="000000"/>
          <w:sz w:val="24"/>
        </w:rPr>
        <w:t xml:space="preserve"> Condensed Statements of Revenues, Expenses, and Changes in Net Position for the past five fiscal years ended June 30. The FY23 net position increased $</w:t>
      </w:r>
      <w:r w:rsidR="00230CE6" w:rsidRPr="00E85C5E">
        <w:rPr>
          <w:rFonts w:cstheme="minorHAnsi"/>
          <w:color w:val="000000" w:themeColor="text1"/>
          <w:sz w:val="24"/>
        </w:rPr>
        <w:t>3</w:t>
      </w:r>
      <w:r w:rsidR="00230CE6">
        <w:rPr>
          <w:rFonts w:cstheme="minorHAnsi"/>
          <w:color w:val="000000" w:themeColor="text1"/>
          <w:sz w:val="24"/>
        </w:rPr>
        <w:t>1</w:t>
      </w:r>
      <w:r w:rsidR="00230CE6">
        <w:rPr>
          <w:rFonts w:cstheme="minorHAnsi"/>
          <w:color w:val="000000"/>
          <w:sz w:val="24"/>
        </w:rPr>
        <w:t xml:space="preserve"> </w:t>
      </w:r>
      <w:r>
        <w:rPr>
          <w:rFonts w:cstheme="minorHAnsi"/>
          <w:color w:val="000000"/>
          <w:sz w:val="24"/>
        </w:rPr>
        <w:t>million</w:t>
      </w:r>
      <w:r w:rsidR="00230CE6">
        <w:rPr>
          <w:rFonts w:cstheme="minorHAnsi"/>
          <w:color w:val="000000"/>
          <w:sz w:val="24"/>
        </w:rPr>
        <w:t xml:space="preserve"> </w:t>
      </w:r>
      <w:r w:rsidR="00626A80">
        <w:rPr>
          <w:rFonts w:cstheme="minorHAnsi"/>
          <w:color w:val="000000"/>
          <w:sz w:val="24"/>
        </w:rPr>
        <w:t xml:space="preserve">while FY22 (restated) increased $26 million. </w:t>
      </w:r>
      <w:r>
        <w:rPr>
          <w:rFonts w:cstheme="minorHAnsi"/>
          <w:color w:val="000000"/>
          <w:sz w:val="24"/>
        </w:rPr>
        <w:t>Notable factors in this shift include the following:</w:t>
      </w:r>
    </w:p>
    <w:p w14:paraId="1E94FB3C" w14:textId="77777777" w:rsidR="00230CE6" w:rsidRDefault="00230CE6" w:rsidP="00A83362">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$19 million increase in noncapital State of Maine appropriations</w:t>
      </w:r>
      <w:r w:rsidRPr="00E85C5E" w:rsidDel="00230CE6">
        <w:rPr>
          <w:rFonts w:asciiTheme="minorHAnsi" w:eastAsiaTheme="minorHAnsi" w:hAnsiTheme="minorHAnsi" w:cstheme="minorHAnsi"/>
          <w:color w:val="000000"/>
          <w:szCs w:val="22"/>
        </w:rPr>
        <w:t xml:space="preserve"> </w:t>
      </w:r>
    </w:p>
    <w:p w14:paraId="587FAB51" w14:textId="77777777" w:rsidR="00A83362" w:rsidRPr="00E85C5E" w:rsidRDefault="00A83362" w:rsidP="00A83362">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$60 million decrease in coronavirus relief funding</w:t>
      </w:r>
    </w:p>
    <w:p w14:paraId="34DC33F1" w14:textId="77777777" w:rsidR="00A83362" w:rsidRDefault="00A83362" w:rsidP="00A83362">
      <w:pPr>
        <w:pStyle w:val="ListParagraph"/>
        <w:numPr>
          <w:ilvl w:val="0"/>
          <w:numId w:val="23"/>
        </w:numPr>
        <w:rPr>
          <w:rFonts w:asciiTheme="minorHAnsi" w:eastAsiaTheme="minorHAnsi" w:hAnsiTheme="minorHAnsi" w:cstheme="minorHAnsi"/>
          <w:color w:val="000000"/>
          <w:szCs w:val="22"/>
        </w:rPr>
      </w:pPr>
      <w:r w:rsidRPr="00E85C5E">
        <w:rPr>
          <w:rFonts w:asciiTheme="minorHAnsi" w:eastAsiaTheme="minorHAnsi" w:hAnsiTheme="minorHAnsi" w:cstheme="minorHAnsi"/>
          <w:color w:val="000000"/>
          <w:szCs w:val="22"/>
        </w:rPr>
        <w:t>$27 million increase in investment income from operating investments</w:t>
      </w:r>
    </w:p>
    <w:p w14:paraId="7EC18581" w14:textId="77777777" w:rsidR="00A83362" w:rsidRDefault="00A83362" w:rsidP="00A83362">
      <w:pPr>
        <w:pStyle w:val="ListParagraph"/>
        <w:numPr>
          <w:ilvl w:val="0"/>
          <w:numId w:val="23"/>
        </w:numPr>
        <w:rPr>
          <w:rFonts w:asciiTheme="minorHAnsi" w:eastAsiaTheme="minorHAnsi" w:hAnsiTheme="minorHAnsi" w:cstheme="minorHAnsi"/>
          <w:color w:val="000000"/>
          <w:szCs w:val="22"/>
        </w:rPr>
      </w:pPr>
      <w:r w:rsidRPr="00E85C5E">
        <w:rPr>
          <w:rFonts w:asciiTheme="minorHAnsi" w:eastAsiaTheme="minorHAnsi" w:hAnsiTheme="minorHAnsi" w:cstheme="minorHAnsi"/>
          <w:color w:val="000000"/>
          <w:szCs w:val="22"/>
        </w:rPr>
        <w:t>$34 million increase in market returns for endowment investments</w:t>
      </w:r>
    </w:p>
    <w:p w14:paraId="62CDE913" w14:textId="37A74455" w:rsidR="00A83362" w:rsidRPr="00230CE6" w:rsidRDefault="00A83362" w:rsidP="00230CE6">
      <w:pPr>
        <w:pStyle w:val="ListParagraph"/>
        <w:numPr>
          <w:ilvl w:val="0"/>
          <w:numId w:val="23"/>
        </w:numPr>
        <w:rPr>
          <w:rFonts w:asciiTheme="minorHAnsi" w:eastAsiaTheme="minorHAnsi" w:hAnsiTheme="minorHAnsi" w:cstheme="minorHAnsi"/>
          <w:color w:val="000000"/>
          <w:szCs w:val="22"/>
        </w:rPr>
      </w:pPr>
      <w:r w:rsidRPr="00230CE6">
        <w:rPr>
          <w:rFonts w:asciiTheme="minorHAnsi" w:eastAsiaTheme="minorHAnsi" w:hAnsiTheme="minorHAnsi" w:cstheme="minorHAnsi"/>
          <w:color w:val="000000"/>
          <w:szCs w:val="22"/>
        </w:rPr>
        <w:t>Net $</w:t>
      </w:r>
      <w:r w:rsidR="00230CE6" w:rsidRPr="00230CE6">
        <w:rPr>
          <w:rFonts w:asciiTheme="minorHAnsi" w:eastAsiaTheme="minorHAnsi" w:hAnsiTheme="minorHAnsi" w:cstheme="minorHAnsi"/>
          <w:color w:val="000000"/>
          <w:szCs w:val="22"/>
        </w:rPr>
        <w:t>1</w:t>
      </w:r>
      <w:r w:rsidR="00626A80">
        <w:rPr>
          <w:rFonts w:asciiTheme="minorHAnsi" w:eastAsiaTheme="minorHAnsi" w:hAnsiTheme="minorHAnsi" w:cstheme="minorHAnsi"/>
          <w:color w:val="000000"/>
          <w:szCs w:val="22"/>
        </w:rPr>
        <w:t>5</w:t>
      </w:r>
      <w:r w:rsidR="00230CE6" w:rsidRPr="00230CE6">
        <w:rPr>
          <w:rFonts w:asciiTheme="minorHAnsi" w:eastAsiaTheme="minorHAnsi" w:hAnsiTheme="minorHAnsi" w:cstheme="minorHAnsi"/>
          <w:color w:val="000000"/>
          <w:szCs w:val="22"/>
        </w:rPr>
        <w:t xml:space="preserve"> </w:t>
      </w:r>
      <w:r w:rsidRPr="00230CE6">
        <w:rPr>
          <w:rFonts w:asciiTheme="minorHAnsi" w:eastAsiaTheme="minorHAnsi" w:hAnsiTheme="minorHAnsi" w:cstheme="minorHAnsi"/>
          <w:color w:val="000000"/>
          <w:szCs w:val="22"/>
        </w:rPr>
        <w:t xml:space="preserve">million </w:t>
      </w:r>
      <w:r w:rsidR="00626A80">
        <w:rPr>
          <w:rFonts w:asciiTheme="minorHAnsi" w:eastAsiaTheme="minorHAnsi" w:hAnsiTheme="minorHAnsi" w:cstheme="minorHAnsi"/>
          <w:color w:val="000000"/>
          <w:szCs w:val="22"/>
        </w:rPr>
        <w:t>de</w:t>
      </w:r>
      <w:r w:rsidR="00230CE6" w:rsidRPr="00230CE6">
        <w:rPr>
          <w:rFonts w:asciiTheme="minorHAnsi" w:eastAsiaTheme="minorHAnsi" w:hAnsiTheme="minorHAnsi" w:cstheme="minorHAnsi"/>
          <w:color w:val="000000"/>
          <w:szCs w:val="22"/>
        </w:rPr>
        <w:t xml:space="preserve">crease </w:t>
      </w:r>
      <w:r w:rsidRPr="00230CE6">
        <w:rPr>
          <w:rFonts w:asciiTheme="minorHAnsi" w:eastAsiaTheme="minorHAnsi" w:hAnsiTheme="minorHAnsi" w:cstheme="minorHAnsi"/>
          <w:color w:val="000000"/>
          <w:szCs w:val="22"/>
        </w:rPr>
        <w:t xml:space="preserve">in various other revenue </w:t>
      </w:r>
      <w:r w:rsidR="00230CE6" w:rsidRPr="00230CE6">
        <w:rPr>
          <w:rFonts w:asciiTheme="minorHAnsi" w:eastAsiaTheme="minorHAnsi" w:hAnsiTheme="minorHAnsi" w:cstheme="minorHAnsi"/>
          <w:color w:val="000000"/>
          <w:szCs w:val="22"/>
        </w:rPr>
        <w:t xml:space="preserve">and expense </w:t>
      </w:r>
      <w:r w:rsidRPr="00230CE6">
        <w:rPr>
          <w:rFonts w:asciiTheme="minorHAnsi" w:eastAsiaTheme="minorHAnsi" w:hAnsiTheme="minorHAnsi" w:cstheme="minorHAnsi"/>
          <w:color w:val="000000"/>
          <w:szCs w:val="22"/>
        </w:rPr>
        <w:t>lines</w:t>
      </w:r>
    </w:p>
    <w:p w14:paraId="107376B1" w14:textId="77777777" w:rsidR="00A83362" w:rsidRPr="00975B97" w:rsidRDefault="00A83362" w:rsidP="00A83362">
      <w:pPr>
        <w:pStyle w:val="ListParagraph"/>
        <w:ind w:left="770"/>
        <w:rPr>
          <w:rFonts w:asciiTheme="minorHAnsi" w:eastAsiaTheme="minorHAnsi" w:hAnsiTheme="minorHAnsi" w:cstheme="minorHAnsi"/>
          <w:color w:val="000000"/>
          <w:szCs w:val="22"/>
        </w:rPr>
      </w:pPr>
    </w:p>
    <w:p w14:paraId="7DC85610" w14:textId="15375486" w:rsidR="00626A80" w:rsidRDefault="00A83362" w:rsidP="00A83362">
      <w:pPr>
        <w:rPr>
          <w:rFonts w:cstheme="minorHAnsi"/>
          <w:color w:val="000000"/>
          <w:sz w:val="24"/>
        </w:rPr>
      </w:pPr>
      <w:r>
        <w:rPr>
          <w:rFonts w:cstheme="minorHAnsi"/>
          <w:color w:val="000000"/>
          <w:sz w:val="24"/>
        </w:rPr>
        <w:t xml:space="preserve">The </w:t>
      </w:r>
      <w:r w:rsidR="00230CE6">
        <w:rPr>
          <w:rFonts w:cstheme="minorHAnsi"/>
          <w:color w:val="000000"/>
          <w:sz w:val="24"/>
        </w:rPr>
        <w:t xml:space="preserve">FY22 net position </w:t>
      </w:r>
      <w:r>
        <w:rPr>
          <w:rFonts w:cstheme="minorHAnsi"/>
          <w:color w:val="000000"/>
          <w:sz w:val="24"/>
        </w:rPr>
        <w:t>increase</w:t>
      </w:r>
      <w:r w:rsidR="009B6716">
        <w:rPr>
          <w:rFonts w:cstheme="minorHAnsi"/>
          <w:color w:val="000000"/>
          <w:sz w:val="24"/>
        </w:rPr>
        <w:t xml:space="preserve"> of </w:t>
      </w:r>
      <w:r>
        <w:rPr>
          <w:rFonts w:cstheme="minorHAnsi"/>
          <w:color w:val="000000"/>
          <w:sz w:val="24"/>
        </w:rPr>
        <w:t>$</w:t>
      </w:r>
      <w:r w:rsidR="00230CE6">
        <w:rPr>
          <w:rFonts w:cstheme="minorHAnsi"/>
          <w:color w:val="000000"/>
          <w:sz w:val="24"/>
        </w:rPr>
        <w:t xml:space="preserve">26 </w:t>
      </w:r>
      <w:r>
        <w:rPr>
          <w:rFonts w:cstheme="minorHAnsi"/>
          <w:color w:val="000000"/>
          <w:sz w:val="24"/>
        </w:rPr>
        <w:t>million</w:t>
      </w:r>
      <w:r w:rsidR="00B53664">
        <w:rPr>
          <w:rFonts w:cstheme="minorHAnsi"/>
          <w:color w:val="000000"/>
          <w:sz w:val="24"/>
        </w:rPr>
        <w:t xml:space="preserve"> was down</w:t>
      </w:r>
      <w:r w:rsidR="00F73F1A">
        <w:rPr>
          <w:rFonts w:cstheme="minorHAnsi"/>
          <w:color w:val="000000"/>
          <w:sz w:val="24"/>
        </w:rPr>
        <w:t xml:space="preserve"> </w:t>
      </w:r>
      <w:r w:rsidR="00B53664">
        <w:rPr>
          <w:rFonts w:cstheme="minorHAnsi"/>
          <w:color w:val="000000"/>
          <w:sz w:val="24"/>
        </w:rPr>
        <w:t xml:space="preserve">$86 million </w:t>
      </w:r>
      <w:r w:rsidR="0023684D">
        <w:rPr>
          <w:rFonts w:cstheme="minorHAnsi"/>
          <w:color w:val="000000"/>
          <w:sz w:val="24"/>
        </w:rPr>
        <w:t>from</w:t>
      </w:r>
      <w:r w:rsidR="00B53664">
        <w:rPr>
          <w:rFonts w:cstheme="minorHAnsi"/>
          <w:color w:val="000000"/>
          <w:sz w:val="24"/>
        </w:rPr>
        <w:t xml:space="preserve"> </w:t>
      </w:r>
      <w:r w:rsidR="00626A80">
        <w:rPr>
          <w:rFonts w:cstheme="minorHAnsi"/>
          <w:color w:val="000000"/>
          <w:sz w:val="24"/>
        </w:rPr>
        <w:t>FY21</w:t>
      </w:r>
      <w:r w:rsidR="00B53664">
        <w:rPr>
          <w:rFonts w:cstheme="minorHAnsi"/>
          <w:color w:val="000000"/>
          <w:sz w:val="24"/>
        </w:rPr>
        <w:t>’s increase of</w:t>
      </w:r>
      <w:r w:rsidR="00E5482F">
        <w:rPr>
          <w:rFonts w:cstheme="minorHAnsi"/>
          <w:color w:val="000000"/>
          <w:sz w:val="24"/>
        </w:rPr>
        <w:t xml:space="preserve"> $112 million</w:t>
      </w:r>
      <w:r w:rsidR="00626A80">
        <w:rPr>
          <w:rFonts w:cstheme="minorHAnsi"/>
          <w:color w:val="000000"/>
          <w:sz w:val="24"/>
        </w:rPr>
        <w:t>. Notable factors in this shift include the following:</w:t>
      </w:r>
    </w:p>
    <w:p w14:paraId="038E6C37" w14:textId="77777777" w:rsidR="00626A80" w:rsidRPr="00A83D58" w:rsidRDefault="00626A80" w:rsidP="00A83362">
      <w:pPr>
        <w:rPr>
          <w:rFonts w:ascii="Calibri" w:hAnsi="Calibri" w:cs="Calibri"/>
          <w:color w:val="000000"/>
          <w:sz w:val="24"/>
        </w:rPr>
      </w:pPr>
    </w:p>
    <w:p w14:paraId="65029ED9"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$62 million increase in operating revenues</w:t>
      </w:r>
    </w:p>
    <w:p w14:paraId="1CB12372"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OPEB expense of $3 million compared with OPEB income of $46 million in FY21</w:t>
      </w:r>
    </w:p>
    <w:p w14:paraId="0B795B3E"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$82 million increase in other operating expenses</w:t>
      </w:r>
    </w:p>
    <w:p w14:paraId="413CCDC3"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$26 million increase in coronavirus relief funding</w:t>
      </w:r>
    </w:p>
    <w:p w14:paraId="2695DE89"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$36 million decrease in investment income from operating investments</w:t>
      </w:r>
    </w:p>
    <w:p w14:paraId="1E8D10A1"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$27 million increase in capital grants and gifts mainly related to construction of the Ferland Engineering Education and Design Center</w:t>
      </w:r>
    </w:p>
    <w:p w14:paraId="3FD7A763" w14:textId="77777777" w:rsidR="00626A80" w:rsidRPr="00A83D58" w:rsidRDefault="00626A80" w:rsidP="00A83D58">
      <w:pPr>
        <w:pStyle w:val="ListParagraph"/>
        <w:numPr>
          <w:ilvl w:val="0"/>
          <w:numId w:val="31"/>
        </w:numPr>
        <w:rPr>
          <w:rFonts w:ascii="Calibri" w:hAnsi="Calibri" w:cs="Calibri"/>
          <w:b/>
          <w:color w:val="000000"/>
        </w:rPr>
      </w:pPr>
      <w:r w:rsidRPr="00A83D58">
        <w:rPr>
          <w:rFonts w:ascii="Calibri" w:hAnsi="Calibri" w:cs="Calibri"/>
          <w:color w:val="000000"/>
        </w:rPr>
        <w:t>$55 million decrease in market returns for endowment investments</w:t>
      </w:r>
    </w:p>
    <w:p w14:paraId="389D1049" w14:textId="440D8226" w:rsidR="00A83362" w:rsidRPr="00A83D58" w:rsidRDefault="00626A80" w:rsidP="00A83D58">
      <w:pPr>
        <w:pStyle w:val="ListParagraph"/>
        <w:numPr>
          <w:ilvl w:val="0"/>
          <w:numId w:val="31"/>
        </w:numPr>
        <w:rPr>
          <w:rFonts w:cstheme="minorHAnsi"/>
          <w:b/>
          <w:color w:val="000000"/>
        </w:rPr>
      </w:pPr>
      <w:r w:rsidRPr="00A83D58">
        <w:rPr>
          <w:rFonts w:ascii="Calibri" w:hAnsi="Calibri" w:cs="Calibri"/>
          <w:color w:val="000000"/>
        </w:rPr>
        <w:t>Net $21 million increase in various other nonoperating revenue lines</w:t>
      </w:r>
      <w:r w:rsidR="00A83362" w:rsidRPr="00A83D58">
        <w:rPr>
          <w:rFonts w:ascii="Calibri" w:hAnsi="Calibri" w:cs="Calibri"/>
          <w:color w:val="000000"/>
        </w:rPr>
        <w:t>.</w:t>
      </w:r>
      <w:r w:rsidR="00A83362" w:rsidRPr="00A83D58">
        <w:rPr>
          <w:rFonts w:cstheme="minorHAnsi"/>
          <w:b/>
          <w:color w:val="000000"/>
        </w:rPr>
        <w:br w:type="page"/>
      </w:r>
    </w:p>
    <w:p w14:paraId="7C868BE5" w14:textId="77777777" w:rsidR="00A83362" w:rsidRPr="001A18A6" w:rsidRDefault="00A83362" w:rsidP="00A83362">
      <w:pPr>
        <w:jc w:val="center"/>
        <w:rPr>
          <w:rFonts w:cstheme="minorHAnsi"/>
          <w:b/>
          <w:color w:val="000000"/>
          <w:sz w:val="24"/>
          <w:szCs w:val="24"/>
        </w:rPr>
      </w:pPr>
      <w:r w:rsidRPr="001A18A6">
        <w:rPr>
          <w:rFonts w:cstheme="minorHAnsi"/>
          <w:b/>
          <w:color w:val="000000"/>
          <w:sz w:val="24"/>
          <w:szCs w:val="24"/>
        </w:rPr>
        <w:lastRenderedPageBreak/>
        <w:t>Table 5: Condensed Statements of Revenues, Expenses, and Changes in Net Position</w:t>
      </w:r>
    </w:p>
    <w:p w14:paraId="50B1C60E" w14:textId="77777777" w:rsidR="00A83362" w:rsidRPr="001A18A6" w:rsidRDefault="00A83362" w:rsidP="00A83362">
      <w:pPr>
        <w:jc w:val="center"/>
        <w:rPr>
          <w:rFonts w:cstheme="minorHAnsi"/>
          <w:b/>
          <w:color w:val="000000"/>
          <w:sz w:val="24"/>
          <w:szCs w:val="24"/>
        </w:rPr>
      </w:pPr>
      <w:r w:rsidRPr="001A18A6">
        <w:rPr>
          <w:rFonts w:cstheme="minorHAnsi"/>
          <w:b/>
          <w:color w:val="000000"/>
          <w:sz w:val="24"/>
          <w:szCs w:val="24"/>
        </w:rPr>
        <w:t>Years Ended June 30</w:t>
      </w:r>
    </w:p>
    <w:p w14:paraId="4F07D649" w14:textId="77777777" w:rsidR="00A83362" w:rsidRDefault="00A83362" w:rsidP="00A83362">
      <w:pPr>
        <w:jc w:val="center"/>
        <w:rPr>
          <w:rFonts w:cstheme="minorHAnsi"/>
          <w:b/>
          <w:color w:val="000000"/>
          <w:sz w:val="20"/>
          <w:szCs w:val="24"/>
        </w:rPr>
      </w:pPr>
      <w:r w:rsidRPr="001A18A6">
        <w:rPr>
          <w:rFonts w:cstheme="minorHAnsi"/>
          <w:b/>
          <w:color w:val="000000"/>
          <w:sz w:val="20"/>
          <w:szCs w:val="24"/>
        </w:rPr>
        <w:t>(In millions)</w:t>
      </w:r>
    </w:p>
    <w:p w14:paraId="7AB48821" w14:textId="77777777" w:rsidR="00A83362" w:rsidRDefault="00A83362" w:rsidP="00A83362">
      <w:pPr>
        <w:jc w:val="center"/>
        <w:rPr>
          <w:rFonts w:cstheme="minorHAnsi"/>
          <w:b/>
          <w:color w:val="000000"/>
          <w:sz w:val="20"/>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785"/>
        <w:gridCol w:w="1042"/>
        <w:gridCol w:w="1011"/>
        <w:gridCol w:w="991"/>
        <w:gridCol w:w="805"/>
      </w:tblGrid>
      <w:tr w:rsidR="00391F86" w:rsidRPr="00A41E5B" w14:paraId="24E800D6" w14:textId="77777777" w:rsidTr="00441E8E">
        <w:trPr>
          <w:jc w:val="center"/>
        </w:trPr>
        <w:tc>
          <w:tcPr>
            <w:tcW w:w="4500" w:type="dxa"/>
            <w:tcBorders>
              <w:bottom w:val="single" w:sz="24" w:space="0" w:color="00688D"/>
            </w:tcBorders>
          </w:tcPr>
          <w:p w14:paraId="7A2B4749" w14:textId="77777777" w:rsidR="00391F86" w:rsidRPr="00391F86" w:rsidRDefault="00391F86" w:rsidP="001A12F8">
            <w:pPr>
              <w:rPr>
                <w:sz w:val="21"/>
                <w:szCs w:val="21"/>
              </w:rPr>
            </w:pPr>
          </w:p>
        </w:tc>
        <w:tc>
          <w:tcPr>
            <w:tcW w:w="722" w:type="dxa"/>
            <w:tcBorders>
              <w:bottom w:val="single" w:sz="24" w:space="0" w:color="00688D"/>
            </w:tcBorders>
            <w:vAlign w:val="bottom"/>
          </w:tcPr>
          <w:p w14:paraId="695AB7AC" w14:textId="77777777" w:rsidR="00391F86" w:rsidRPr="00391F86" w:rsidRDefault="00391F86" w:rsidP="001A12F8">
            <w:pPr>
              <w:jc w:val="center"/>
              <w:rPr>
                <w:b/>
                <w:bCs/>
                <w:sz w:val="21"/>
                <w:szCs w:val="21"/>
              </w:rPr>
            </w:pPr>
            <w:r w:rsidRPr="00391F86">
              <w:rPr>
                <w:b/>
                <w:bCs/>
                <w:sz w:val="21"/>
                <w:szCs w:val="21"/>
              </w:rPr>
              <w:t>2023</w:t>
            </w:r>
          </w:p>
        </w:tc>
        <w:tc>
          <w:tcPr>
            <w:tcW w:w="745" w:type="dxa"/>
            <w:tcBorders>
              <w:bottom w:val="single" w:sz="24" w:space="0" w:color="00688D"/>
            </w:tcBorders>
            <w:shd w:val="clear" w:color="auto" w:fill="D9D9D9" w:themeFill="background1" w:themeFillShade="D9"/>
            <w:vAlign w:val="bottom"/>
          </w:tcPr>
          <w:p w14:paraId="4DC72E07" w14:textId="77777777" w:rsidR="00007258" w:rsidRDefault="00007258" w:rsidP="001A12F8">
            <w:pPr>
              <w:jc w:val="center"/>
              <w:rPr>
                <w:b/>
                <w:bCs/>
                <w:sz w:val="21"/>
                <w:szCs w:val="21"/>
              </w:rPr>
            </w:pPr>
            <w:r>
              <w:rPr>
                <w:b/>
                <w:bCs/>
                <w:sz w:val="21"/>
                <w:szCs w:val="21"/>
              </w:rPr>
              <w:t>Restated</w:t>
            </w:r>
          </w:p>
          <w:p w14:paraId="584540F0" w14:textId="2616A510" w:rsidR="00391F86" w:rsidRPr="00391F86" w:rsidRDefault="00391F86" w:rsidP="001A12F8">
            <w:pPr>
              <w:jc w:val="center"/>
              <w:rPr>
                <w:b/>
                <w:bCs/>
                <w:sz w:val="21"/>
                <w:szCs w:val="21"/>
              </w:rPr>
            </w:pPr>
            <w:r w:rsidRPr="00391F86">
              <w:rPr>
                <w:b/>
                <w:bCs/>
                <w:sz w:val="21"/>
                <w:szCs w:val="21"/>
              </w:rPr>
              <w:t>2022</w:t>
            </w:r>
          </w:p>
        </w:tc>
        <w:tc>
          <w:tcPr>
            <w:tcW w:w="963" w:type="dxa"/>
            <w:tcBorders>
              <w:bottom w:val="single" w:sz="24" w:space="0" w:color="00688D"/>
            </w:tcBorders>
            <w:vAlign w:val="bottom"/>
          </w:tcPr>
          <w:p w14:paraId="6943ED27" w14:textId="77777777" w:rsidR="00391F86" w:rsidRPr="00391F86" w:rsidRDefault="00391F86" w:rsidP="001A12F8">
            <w:pPr>
              <w:jc w:val="center"/>
              <w:rPr>
                <w:b/>
                <w:bCs/>
                <w:sz w:val="21"/>
                <w:szCs w:val="21"/>
              </w:rPr>
            </w:pPr>
            <w:r w:rsidRPr="00391F86">
              <w:rPr>
                <w:b/>
                <w:bCs/>
                <w:sz w:val="21"/>
                <w:szCs w:val="21"/>
              </w:rPr>
              <w:t>2021</w:t>
            </w:r>
          </w:p>
        </w:tc>
        <w:tc>
          <w:tcPr>
            <w:tcW w:w="944" w:type="dxa"/>
            <w:tcBorders>
              <w:bottom w:val="single" w:sz="24" w:space="0" w:color="00688D"/>
            </w:tcBorders>
            <w:shd w:val="clear" w:color="auto" w:fill="D9D9D9" w:themeFill="background1" w:themeFillShade="D9"/>
            <w:vAlign w:val="bottom"/>
          </w:tcPr>
          <w:p w14:paraId="5A073591" w14:textId="77777777" w:rsidR="00391F86" w:rsidRPr="00391F86" w:rsidRDefault="00391F86" w:rsidP="001A12F8">
            <w:pPr>
              <w:jc w:val="center"/>
              <w:rPr>
                <w:b/>
                <w:bCs/>
                <w:sz w:val="21"/>
                <w:szCs w:val="21"/>
              </w:rPr>
            </w:pPr>
            <w:r w:rsidRPr="00391F86">
              <w:rPr>
                <w:b/>
                <w:bCs/>
                <w:sz w:val="21"/>
                <w:szCs w:val="21"/>
              </w:rPr>
              <w:t>2020</w:t>
            </w:r>
          </w:p>
        </w:tc>
        <w:tc>
          <w:tcPr>
            <w:tcW w:w="766" w:type="dxa"/>
            <w:tcBorders>
              <w:bottom w:val="single" w:sz="24" w:space="0" w:color="00688D"/>
            </w:tcBorders>
            <w:vAlign w:val="bottom"/>
          </w:tcPr>
          <w:p w14:paraId="619ED1EB" w14:textId="77777777" w:rsidR="00391F86" w:rsidRPr="00391F86" w:rsidRDefault="00391F86" w:rsidP="001A12F8">
            <w:pPr>
              <w:jc w:val="center"/>
              <w:rPr>
                <w:b/>
                <w:bCs/>
                <w:sz w:val="21"/>
                <w:szCs w:val="21"/>
              </w:rPr>
            </w:pPr>
            <w:r w:rsidRPr="00391F86">
              <w:rPr>
                <w:b/>
                <w:bCs/>
                <w:sz w:val="21"/>
                <w:szCs w:val="21"/>
              </w:rPr>
              <w:t>2019</w:t>
            </w:r>
          </w:p>
        </w:tc>
      </w:tr>
      <w:tr w:rsidR="00391F86" w:rsidRPr="00F5015A" w14:paraId="7C923603" w14:textId="77777777" w:rsidTr="00441E8E">
        <w:trPr>
          <w:trHeight w:val="330"/>
          <w:jc w:val="center"/>
        </w:trPr>
        <w:tc>
          <w:tcPr>
            <w:tcW w:w="4500" w:type="dxa"/>
            <w:tcBorders>
              <w:top w:val="single" w:sz="24" w:space="0" w:color="00688D"/>
            </w:tcBorders>
            <w:noWrap/>
            <w:vAlign w:val="bottom"/>
            <w:hideMark/>
          </w:tcPr>
          <w:p w14:paraId="7374CAC3"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Operating Revenues</w:t>
            </w:r>
          </w:p>
        </w:tc>
        <w:tc>
          <w:tcPr>
            <w:tcW w:w="722" w:type="dxa"/>
            <w:tcBorders>
              <w:top w:val="single" w:sz="24" w:space="0" w:color="00688D"/>
            </w:tcBorders>
            <w:noWrap/>
            <w:vAlign w:val="bottom"/>
            <w:hideMark/>
          </w:tcPr>
          <w:p w14:paraId="62937D72"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745" w:type="dxa"/>
            <w:tcBorders>
              <w:top w:val="single" w:sz="24" w:space="0" w:color="00688D"/>
            </w:tcBorders>
            <w:shd w:val="clear" w:color="auto" w:fill="D9D9D9" w:themeFill="background1" w:themeFillShade="D9"/>
            <w:noWrap/>
            <w:vAlign w:val="bottom"/>
            <w:hideMark/>
          </w:tcPr>
          <w:p w14:paraId="4F4059C0"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963" w:type="dxa"/>
            <w:tcBorders>
              <w:top w:val="single" w:sz="24" w:space="0" w:color="00688D"/>
            </w:tcBorders>
            <w:vAlign w:val="bottom"/>
            <w:hideMark/>
          </w:tcPr>
          <w:p w14:paraId="72C004B2"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944" w:type="dxa"/>
            <w:tcBorders>
              <w:top w:val="single" w:sz="24" w:space="0" w:color="00688D"/>
            </w:tcBorders>
            <w:shd w:val="clear" w:color="auto" w:fill="D9D9D9" w:themeFill="background1" w:themeFillShade="D9"/>
            <w:vAlign w:val="bottom"/>
            <w:hideMark/>
          </w:tcPr>
          <w:p w14:paraId="4B811AB9"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766" w:type="dxa"/>
            <w:tcBorders>
              <w:top w:val="single" w:sz="24" w:space="0" w:color="00688D"/>
            </w:tcBorders>
            <w:vAlign w:val="bottom"/>
            <w:hideMark/>
          </w:tcPr>
          <w:p w14:paraId="32EB0100"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r>
      <w:tr w:rsidR="00391F86" w:rsidRPr="00F5015A" w14:paraId="20AD7B34" w14:textId="77777777" w:rsidTr="00391F86">
        <w:trPr>
          <w:trHeight w:val="315"/>
          <w:jc w:val="center"/>
        </w:trPr>
        <w:tc>
          <w:tcPr>
            <w:tcW w:w="4500" w:type="dxa"/>
            <w:noWrap/>
            <w:vAlign w:val="bottom"/>
            <w:hideMark/>
          </w:tcPr>
          <w:p w14:paraId="102F0934"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Net student fees</w:t>
            </w:r>
          </w:p>
        </w:tc>
        <w:tc>
          <w:tcPr>
            <w:tcW w:w="722" w:type="dxa"/>
            <w:noWrap/>
            <w:vAlign w:val="bottom"/>
            <w:hideMark/>
          </w:tcPr>
          <w:p w14:paraId="7780C9F5"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251</w:t>
            </w:r>
          </w:p>
        </w:tc>
        <w:tc>
          <w:tcPr>
            <w:tcW w:w="745" w:type="dxa"/>
            <w:shd w:val="clear" w:color="auto" w:fill="D9D9D9" w:themeFill="background1" w:themeFillShade="D9"/>
            <w:noWrap/>
            <w:vAlign w:val="bottom"/>
            <w:hideMark/>
          </w:tcPr>
          <w:p w14:paraId="22D0B371" w14:textId="77777777" w:rsidR="00391F86" w:rsidRPr="00F5015A" w:rsidRDefault="00391F86" w:rsidP="001A12F8">
            <w:pPr>
              <w:ind w:leftChars="-6" w:hangingChars="6" w:hanging="13"/>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263</w:t>
            </w:r>
          </w:p>
        </w:tc>
        <w:tc>
          <w:tcPr>
            <w:tcW w:w="963" w:type="dxa"/>
            <w:noWrap/>
            <w:vAlign w:val="bottom"/>
            <w:hideMark/>
          </w:tcPr>
          <w:p w14:paraId="3B80BE3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239</w:t>
            </w:r>
          </w:p>
        </w:tc>
        <w:tc>
          <w:tcPr>
            <w:tcW w:w="944" w:type="dxa"/>
            <w:shd w:val="clear" w:color="auto" w:fill="D9D9D9" w:themeFill="background1" w:themeFillShade="D9"/>
            <w:noWrap/>
            <w:vAlign w:val="bottom"/>
            <w:hideMark/>
          </w:tcPr>
          <w:p w14:paraId="550DCE0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248</w:t>
            </w:r>
          </w:p>
        </w:tc>
        <w:tc>
          <w:tcPr>
            <w:tcW w:w="766" w:type="dxa"/>
            <w:noWrap/>
            <w:vAlign w:val="bottom"/>
            <w:hideMark/>
          </w:tcPr>
          <w:p w14:paraId="0DA57CB2"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264</w:t>
            </w:r>
          </w:p>
        </w:tc>
      </w:tr>
      <w:tr w:rsidR="00391F86" w:rsidRPr="00F5015A" w14:paraId="55243E2E" w14:textId="77777777" w:rsidTr="00441E8E">
        <w:trPr>
          <w:trHeight w:val="315"/>
          <w:jc w:val="center"/>
        </w:trPr>
        <w:tc>
          <w:tcPr>
            <w:tcW w:w="4500" w:type="dxa"/>
            <w:noWrap/>
            <w:vAlign w:val="bottom"/>
            <w:hideMark/>
          </w:tcPr>
          <w:p w14:paraId="3A5C38C2"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Grants, contracts and recovery of indirect costs</w:t>
            </w:r>
          </w:p>
        </w:tc>
        <w:tc>
          <w:tcPr>
            <w:tcW w:w="722" w:type="dxa"/>
            <w:noWrap/>
            <w:vAlign w:val="bottom"/>
            <w:hideMark/>
          </w:tcPr>
          <w:p w14:paraId="7EFA2D29"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168</w:t>
            </w:r>
          </w:p>
        </w:tc>
        <w:tc>
          <w:tcPr>
            <w:tcW w:w="745" w:type="dxa"/>
            <w:shd w:val="clear" w:color="auto" w:fill="D9D9D9" w:themeFill="background1" w:themeFillShade="D9"/>
            <w:noWrap/>
            <w:vAlign w:val="bottom"/>
            <w:hideMark/>
          </w:tcPr>
          <w:p w14:paraId="5EA3710F"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163</w:t>
            </w:r>
          </w:p>
        </w:tc>
        <w:tc>
          <w:tcPr>
            <w:tcW w:w="963" w:type="dxa"/>
            <w:noWrap/>
            <w:vAlign w:val="bottom"/>
            <w:hideMark/>
          </w:tcPr>
          <w:p w14:paraId="3F352D5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136</w:t>
            </w:r>
          </w:p>
        </w:tc>
        <w:tc>
          <w:tcPr>
            <w:tcW w:w="944" w:type="dxa"/>
            <w:shd w:val="clear" w:color="auto" w:fill="D9D9D9" w:themeFill="background1" w:themeFillShade="D9"/>
            <w:noWrap/>
            <w:vAlign w:val="bottom"/>
            <w:hideMark/>
          </w:tcPr>
          <w:p w14:paraId="7618EA6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121</w:t>
            </w:r>
          </w:p>
        </w:tc>
        <w:tc>
          <w:tcPr>
            <w:tcW w:w="766" w:type="dxa"/>
            <w:noWrap/>
            <w:vAlign w:val="bottom"/>
            <w:hideMark/>
          </w:tcPr>
          <w:p w14:paraId="34E520B3"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113</w:t>
            </w:r>
          </w:p>
        </w:tc>
      </w:tr>
      <w:tr w:rsidR="00391F86" w:rsidRPr="00F5015A" w14:paraId="0EA298B1" w14:textId="77777777" w:rsidTr="00441E8E">
        <w:trPr>
          <w:trHeight w:val="315"/>
          <w:jc w:val="center"/>
        </w:trPr>
        <w:tc>
          <w:tcPr>
            <w:tcW w:w="4500" w:type="dxa"/>
            <w:tcBorders>
              <w:bottom w:val="single" w:sz="4" w:space="0" w:color="00688D"/>
            </w:tcBorders>
            <w:noWrap/>
            <w:vAlign w:val="bottom"/>
            <w:hideMark/>
          </w:tcPr>
          <w:p w14:paraId="6A724BAA"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Other operating revenues</w:t>
            </w:r>
          </w:p>
        </w:tc>
        <w:tc>
          <w:tcPr>
            <w:tcW w:w="722" w:type="dxa"/>
            <w:tcBorders>
              <w:bottom w:val="single" w:sz="4" w:space="0" w:color="00688D"/>
            </w:tcBorders>
            <w:noWrap/>
            <w:vAlign w:val="bottom"/>
            <w:hideMark/>
          </w:tcPr>
          <w:p w14:paraId="3DCDBA9C"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45</w:t>
            </w:r>
          </w:p>
        </w:tc>
        <w:tc>
          <w:tcPr>
            <w:tcW w:w="745" w:type="dxa"/>
            <w:tcBorders>
              <w:bottom w:val="single" w:sz="4" w:space="0" w:color="00688D"/>
            </w:tcBorders>
            <w:shd w:val="clear" w:color="auto" w:fill="D9D9D9" w:themeFill="background1" w:themeFillShade="D9"/>
            <w:noWrap/>
            <w:vAlign w:val="bottom"/>
            <w:hideMark/>
          </w:tcPr>
          <w:p w14:paraId="187CC432"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41</w:t>
            </w:r>
          </w:p>
        </w:tc>
        <w:tc>
          <w:tcPr>
            <w:tcW w:w="963" w:type="dxa"/>
            <w:tcBorders>
              <w:bottom w:val="single" w:sz="4" w:space="0" w:color="00688D"/>
            </w:tcBorders>
            <w:noWrap/>
            <w:vAlign w:val="bottom"/>
            <w:hideMark/>
          </w:tcPr>
          <w:p w14:paraId="057F7D9F"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30</w:t>
            </w:r>
          </w:p>
        </w:tc>
        <w:tc>
          <w:tcPr>
            <w:tcW w:w="944" w:type="dxa"/>
            <w:tcBorders>
              <w:bottom w:val="single" w:sz="4" w:space="0" w:color="00688D"/>
            </w:tcBorders>
            <w:shd w:val="clear" w:color="auto" w:fill="D9D9D9" w:themeFill="background1" w:themeFillShade="D9"/>
            <w:noWrap/>
            <w:vAlign w:val="bottom"/>
            <w:hideMark/>
          </w:tcPr>
          <w:p w14:paraId="0702ECDF"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44</w:t>
            </w:r>
          </w:p>
        </w:tc>
        <w:tc>
          <w:tcPr>
            <w:tcW w:w="766" w:type="dxa"/>
            <w:tcBorders>
              <w:bottom w:val="single" w:sz="4" w:space="0" w:color="00688D"/>
            </w:tcBorders>
            <w:noWrap/>
            <w:vAlign w:val="bottom"/>
            <w:hideMark/>
          </w:tcPr>
          <w:p w14:paraId="1645CBA8"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53</w:t>
            </w:r>
          </w:p>
        </w:tc>
      </w:tr>
      <w:tr w:rsidR="00391F86" w:rsidRPr="00F5015A" w14:paraId="20EDE912" w14:textId="77777777" w:rsidTr="00441E8E">
        <w:trPr>
          <w:trHeight w:val="315"/>
          <w:jc w:val="center"/>
        </w:trPr>
        <w:tc>
          <w:tcPr>
            <w:tcW w:w="4500" w:type="dxa"/>
            <w:tcBorders>
              <w:top w:val="single" w:sz="4" w:space="0" w:color="00688D"/>
            </w:tcBorders>
            <w:noWrap/>
            <w:vAlign w:val="bottom"/>
            <w:hideMark/>
          </w:tcPr>
          <w:p w14:paraId="0EC87BAC"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Total Operating Revenues</w:t>
            </w:r>
          </w:p>
        </w:tc>
        <w:tc>
          <w:tcPr>
            <w:tcW w:w="722" w:type="dxa"/>
            <w:tcBorders>
              <w:top w:val="single" w:sz="4" w:space="0" w:color="00688D"/>
            </w:tcBorders>
            <w:noWrap/>
            <w:vAlign w:val="bottom"/>
            <w:hideMark/>
          </w:tcPr>
          <w:p w14:paraId="3C3D1FE5"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464</w:t>
            </w:r>
          </w:p>
        </w:tc>
        <w:tc>
          <w:tcPr>
            <w:tcW w:w="745" w:type="dxa"/>
            <w:tcBorders>
              <w:top w:val="single" w:sz="4" w:space="0" w:color="00688D"/>
            </w:tcBorders>
            <w:shd w:val="clear" w:color="auto" w:fill="D9D9D9" w:themeFill="background1" w:themeFillShade="D9"/>
            <w:noWrap/>
            <w:vAlign w:val="bottom"/>
            <w:hideMark/>
          </w:tcPr>
          <w:p w14:paraId="0FFD66B1"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467</w:t>
            </w:r>
          </w:p>
        </w:tc>
        <w:tc>
          <w:tcPr>
            <w:tcW w:w="963" w:type="dxa"/>
            <w:tcBorders>
              <w:top w:val="single" w:sz="4" w:space="0" w:color="00688D"/>
            </w:tcBorders>
            <w:noWrap/>
            <w:vAlign w:val="bottom"/>
            <w:hideMark/>
          </w:tcPr>
          <w:p w14:paraId="07594741"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405</w:t>
            </w:r>
          </w:p>
        </w:tc>
        <w:tc>
          <w:tcPr>
            <w:tcW w:w="944" w:type="dxa"/>
            <w:tcBorders>
              <w:top w:val="single" w:sz="4" w:space="0" w:color="00688D"/>
            </w:tcBorders>
            <w:shd w:val="clear" w:color="auto" w:fill="D9D9D9" w:themeFill="background1" w:themeFillShade="D9"/>
            <w:noWrap/>
            <w:vAlign w:val="bottom"/>
            <w:hideMark/>
          </w:tcPr>
          <w:p w14:paraId="070F4FE0"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413</w:t>
            </w:r>
          </w:p>
        </w:tc>
        <w:tc>
          <w:tcPr>
            <w:tcW w:w="766" w:type="dxa"/>
            <w:tcBorders>
              <w:top w:val="single" w:sz="4" w:space="0" w:color="00688D"/>
            </w:tcBorders>
            <w:noWrap/>
            <w:vAlign w:val="bottom"/>
            <w:hideMark/>
          </w:tcPr>
          <w:p w14:paraId="7177EDE2"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430</w:t>
            </w:r>
          </w:p>
        </w:tc>
      </w:tr>
      <w:tr w:rsidR="00391F86" w:rsidRPr="00F5015A" w14:paraId="6738F191" w14:textId="77777777" w:rsidTr="00441E8E">
        <w:trPr>
          <w:trHeight w:val="315"/>
          <w:jc w:val="center"/>
        </w:trPr>
        <w:tc>
          <w:tcPr>
            <w:tcW w:w="4500" w:type="dxa"/>
            <w:tcBorders>
              <w:bottom w:val="single" w:sz="4" w:space="0" w:color="00688D"/>
            </w:tcBorders>
            <w:noWrap/>
            <w:vAlign w:val="bottom"/>
            <w:hideMark/>
          </w:tcPr>
          <w:p w14:paraId="621315A7"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Operating Expenses</w:t>
            </w:r>
          </w:p>
        </w:tc>
        <w:tc>
          <w:tcPr>
            <w:tcW w:w="722" w:type="dxa"/>
            <w:tcBorders>
              <w:bottom w:val="single" w:sz="4" w:space="0" w:color="00688D"/>
            </w:tcBorders>
            <w:noWrap/>
            <w:vAlign w:val="bottom"/>
            <w:hideMark/>
          </w:tcPr>
          <w:p w14:paraId="113297C4"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(810)</w:t>
            </w:r>
          </w:p>
        </w:tc>
        <w:tc>
          <w:tcPr>
            <w:tcW w:w="745" w:type="dxa"/>
            <w:tcBorders>
              <w:bottom w:val="single" w:sz="4" w:space="0" w:color="00688D"/>
            </w:tcBorders>
            <w:shd w:val="clear" w:color="auto" w:fill="D9D9D9" w:themeFill="background1" w:themeFillShade="D9"/>
            <w:noWrap/>
            <w:vAlign w:val="bottom"/>
            <w:hideMark/>
          </w:tcPr>
          <w:p w14:paraId="5CF4E37D"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(811)</w:t>
            </w:r>
          </w:p>
        </w:tc>
        <w:tc>
          <w:tcPr>
            <w:tcW w:w="963" w:type="dxa"/>
            <w:tcBorders>
              <w:bottom w:val="single" w:sz="4" w:space="0" w:color="00688D"/>
            </w:tcBorders>
            <w:noWrap/>
            <w:vAlign w:val="bottom"/>
            <w:hideMark/>
          </w:tcPr>
          <w:p w14:paraId="39C80F7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(680)</w:t>
            </w:r>
          </w:p>
        </w:tc>
        <w:tc>
          <w:tcPr>
            <w:tcW w:w="944" w:type="dxa"/>
            <w:tcBorders>
              <w:bottom w:val="single" w:sz="4" w:space="0" w:color="00688D"/>
            </w:tcBorders>
            <w:shd w:val="clear" w:color="auto" w:fill="D9D9D9" w:themeFill="background1" w:themeFillShade="D9"/>
            <w:noWrap/>
            <w:vAlign w:val="bottom"/>
            <w:hideMark/>
          </w:tcPr>
          <w:p w14:paraId="4B065F5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(716)</w:t>
            </w:r>
          </w:p>
        </w:tc>
        <w:tc>
          <w:tcPr>
            <w:tcW w:w="766" w:type="dxa"/>
            <w:tcBorders>
              <w:bottom w:val="single" w:sz="4" w:space="0" w:color="00688D"/>
            </w:tcBorders>
            <w:noWrap/>
            <w:vAlign w:val="bottom"/>
            <w:hideMark/>
          </w:tcPr>
          <w:p w14:paraId="4E85346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(724)</w:t>
            </w:r>
          </w:p>
        </w:tc>
      </w:tr>
      <w:tr w:rsidR="00391F86" w:rsidRPr="00F5015A" w14:paraId="77064D9E" w14:textId="77777777" w:rsidTr="00441E8E">
        <w:trPr>
          <w:trHeight w:val="315"/>
          <w:jc w:val="center"/>
        </w:trPr>
        <w:tc>
          <w:tcPr>
            <w:tcW w:w="4500" w:type="dxa"/>
            <w:tcBorders>
              <w:top w:val="single" w:sz="4" w:space="0" w:color="00688D"/>
              <w:bottom w:val="single" w:sz="4" w:space="0" w:color="00688D"/>
            </w:tcBorders>
            <w:noWrap/>
            <w:vAlign w:val="bottom"/>
            <w:hideMark/>
          </w:tcPr>
          <w:p w14:paraId="0E983BD1"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Operating Loss</w:t>
            </w:r>
          </w:p>
        </w:tc>
        <w:tc>
          <w:tcPr>
            <w:tcW w:w="722" w:type="dxa"/>
            <w:tcBorders>
              <w:top w:val="single" w:sz="4" w:space="0" w:color="00688D"/>
              <w:bottom w:val="single" w:sz="4" w:space="0" w:color="00688D"/>
            </w:tcBorders>
            <w:noWrap/>
            <w:vAlign w:val="bottom"/>
            <w:hideMark/>
          </w:tcPr>
          <w:p w14:paraId="013B893C"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(346)</w:t>
            </w:r>
          </w:p>
        </w:tc>
        <w:tc>
          <w:tcPr>
            <w:tcW w:w="745" w:type="dxa"/>
            <w:tcBorders>
              <w:top w:val="single" w:sz="4" w:space="0" w:color="00688D"/>
              <w:bottom w:val="single" w:sz="4" w:space="0" w:color="00688D"/>
            </w:tcBorders>
            <w:shd w:val="clear" w:color="auto" w:fill="D9D9D9" w:themeFill="background1" w:themeFillShade="D9"/>
            <w:noWrap/>
            <w:vAlign w:val="bottom"/>
            <w:hideMark/>
          </w:tcPr>
          <w:p w14:paraId="640C8123"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(344)</w:t>
            </w:r>
          </w:p>
        </w:tc>
        <w:tc>
          <w:tcPr>
            <w:tcW w:w="963" w:type="dxa"/>
            <w:tcBorders>
              <w:top w:val="single" w:sz="4" w:space="0" w:color="00688D"/>
              <w:bottom w:val="single" w:sz="4" w:space="0" w:color="00688D"/>
            </w:tcBorders>
            <w:noWrap/>
            <w:vAlign w:val="bottom"/>
            <w:hideMark/>
          </w:tcPr>
          <w:p w14:paraId="4EC2FA5A"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(275)</w:t>
            </w:r>
          </w:p>
        </w:tc>
        <w:tc>
          <w:tcPr>
            <w:tcW w:w="944" w:type="dxa"/>
            <w:tcBorders>
              <w:top w:val="single" w:sz="4" w:space="0" w:color="00688D"/>
              <w:bottom w:val="single" w:sz="4" w:space="0" w:color="00688D"/>
            </w:tcBorders>
            <w:shd w:val="clear" w:color="auto" w:fill="D9D9D9" w:themeFill="background1" w:themeFillShade="D9"/>
            <w:noWrap/>
            <w:vAlign w:val="bottom"/>
            <w:hideMark/>
          </w:tcPr>
          <w:p w14:paraId="290B1D72"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(303)</w:t>
            </w:r>
          </w:p>
        </w:tc>
        <w:tc>
          <w:tcPr>
            <w:tcW w:w="766" w:type="dxa"/>
            <w:tcBorders>
              <w:top w:val="single" w:sz="4" w:space="0" w:color="00688D"/>
              <w:bottom w:val="single" w:sz="4" w:space="0" w:color="00688D"/>
            </w:tcBorders>
            <w:noWrap/>
            <w:vAlign w:val="bottom"/>
            <w:hideMark/>
          </w:tcPr>
          <w:p w14:paraId="2A75749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(294)</w:t>
            </w:r>
          </w:p>
        </w:tc>
      </w:tr>
      <w:tr w:rsidR="00391F86" w:rsidRPr="00F5015A" w14:paraId="49CBE1B1" w14:textId="77777777" w:rsidTr="00441E8E">
        <w:trPr>
          <w:trHeight w:val="315"/>
          <w:jc w:val="center"/>
        </w:trPr>
        <w:tc>
          <w:tcPr>
            <w:tcW w:w="4500" w:type="dxa"/>
            <w:tcBorders>
              <w:top w:val="single" w:sz="4" w:space="0" w:color="00688D"/>
            </w:tcBorders>
            <w:noWrap/>
            <w:vAlign w:val="bottom"/>
            <w:hideMark/>
          </w:tcPr>
          <w:p w14:paraId="47DCB044"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Nonoperating Revenues (Expenses)</w:t>
            </w:r>
          </w:p>
        </w:tc>
        <w:tc>
          <w:tcPr>
            <w:tcW w:w="722" w:type="dxa"/>
            <w:tcBorders>
              <w:top w:val="single" w:sz="4" w:space="0" w:color="00688D"/>
            </w:tcBorders>
            <w:noWrap/>
            <w:vAlign w:val="bottom"/>
            <w:hideMark/>
          </w:tcPr>
          <w:p w14:paraId="786302EE"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745" w:type="dxa"/>
            <w:tcBorders>
              <w:top w:val="single" w:sz="4" w:space="0" w:color="00688D"/>
            </w:tcBorders>
            <w:shd w:val="clear" w:color="auto" w:fill="D9D9D9" w:themeFill="background1" w:themeFillShade="D9"/>
            <w:noWrap/>
            <w:vAlign w:val="bottom"/>
            <w:hideMark/>
          </w:tcPr>
          <w:p w14:paraId="097469B0"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963" w:type="dxa"/>
            <w:tcBorders>
              <w:top w:val="single" w:sz="4" w:space="0" w:color="00688D"/>
            </w:tcBorders>
            <w:noWrap/>
            <w:vAlign w:val="bottom"/>
            <w:hideMark/>
          </w:tcPr>
          <w:p w14:paraId="520736EA"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944" w:type="dxa"/>
            <w:tcBorders>
              <w:top w:val="single" w:sz="4" w:space="0" w:color="00688D"/>
            </w:tcBorders>
            <w:shd w:val="clear" w:color="auto" w:fill="D9D9D9" w:themeFill="background1" w:themeFillShade="D9"/>
            <w:noWrap/>
            <w:vAlign w:val="bottom"/>
            <w:hideMark/>
          </w:tcPr>
          <w:p w14:paraId="79D28EC3"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766" w:type="dxa"/>
            <w:tcBorders>
              <w:top w:val="single" w:sz="4" w:space="0" w:color="00688D"/>
            </w:tcBorders>
            <w:noWrap/>
            <w:vAlign w:val="bottom"/>
            <w:hideMark/>
          </w:tcPr>
          <w:p w14:paraId="1DBBD44A"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r>
      <w:tr w:rsidR="00391F86" w:rsidRPr="00F5015A" w14:paraId="5C22C530" w14:textId="77777777" w:rsidTr="00391F86">
        <w:trPr>
          <w:trHeight w:val="315"/>
          <w:jc w:val="center"/>
        </w:trPr>
        <w:tc>
          <w:tcPr>
            <w:tcW w:w="4500" w:type="dxa"/>
            <w:noWrap/>
            <w:vAlign w:val="bottom"/>
            <w:hideMark/>
          </w:tcPr>
          <w:p w14:paraId="2D9E0FBB"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Noncapital State of Maine appropriations</w:t>
            </w:r>
          </w:p>
        </w:tc>
        <w:tc>
          <w:tcPr>
            <w:tcW w:w="722" w:type="dxa"/>
            <w:noWrap/>
            <w:vAlign w:val="bottom"/>
            <w:hideMark/>
          </w:tcPr>
          <w:p w14:paraId="23CE36E7"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248</w:t>
            </w:r>
          </w:p>
        </w:tc>
        <w:tc>
          <w:tcPr>
            <w:tcW w:w="745" w:type="dxa"/>
            <w:shd w:val="clear" w:color="auto" w:fill="D9D9D9" w:themeFill="background1" w:themeFillShade="D9"/>
            <w:noWrap/>
            <w:vAlign w:val="bottom"/>
            <w:hideMark/>
          </w:tcPr>
          <w:p w14:paraId="391CF7B6"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229</w:t>
            </w:r>
          </w:p>
        </w:tc>
        <w:tc>
          <w:tcPr>
            <w:tcW w:w="963" w:type="dxa"/>
            <w:noWrap/>
            <w:vAlign w:val="bottom"/>
            <w:hideMark/>
          </w:tcPr>
          <w:p w14:paraId="2757D903"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218</w:t>
            </w:r>
          </w:p>
        </w:tc>
        <w:tc>
          <w:tcPr>
            <w:tcW w:w="944" w:type="dxa"/>
            <w:shd w:val="clear" w:color="auto" w:fill="D9D9D9" w:themeFill="background1" w:themeFillShade="D9"/>
            <w:noWrap/>
            <w:vAlign w:val="bottom"/>
            <w:hideMark/>
          </w:tcPr>
          <w:p w14:paraId="702CFE0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220</w:t>
            </w:r>
          </w:p>
        </w:tc>
        <w:tc>
          <w:tcPr>
            <w:tcW w:w="766" w:type="dxa"/>
            <w:noWrap/>
            <w:vAlign w:val="bottom"/>
            <w:hideMark/>
          </w:tcPr>
          <w:p w14:paraId="091A971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212</w:t>
            </w:r>
          </w:p>
        </w:tc>
      </w:tr>
      <w:tr w:rsidR="00391F86" w:rsidRPr="00F5015A" w14:paraId="58D34B16" w14:textId="77777777" w:rsidTr="00391F86">
        <w:trPr>
          <w:trHeight w:val="315"/>
          <w:jc w:val="center"/>
        </w:trPr>
        <w:tc>
          <w:tcPr>
            <w:tcW w:w="4500" w:type="dxa"/>
            <w:noWrap/>
            <w:vAlign w:val="bottom"/>
            <w:hideMark/>
          </w:tcPr>
          <w:p w14:paraId="3CF3A3FF"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Federal Pell grants</w:t>
            </w:r>
          </w:p>
        </w:tc>
        <w:tc>
          <w:tcPr>
            <w:tcW w:w="722" w:type="dxa"/>
            <w:noWrap/>
            <w:vAlign w:val="bottom"/>
            <w:hideMark/>
          </w:tcPr>
          <w:p w14:paraId="69E73424"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32</w:t>
            </w:r>
          </w:p>
        </w:tc>
        <w:tc>
          <w:tcPr>
            <w:tcW w:w="745" w:type="dxa"/>
            <w:shd w:val="clear" w:color="auto" w:fill="D9D9D9" w:themeFill="background1" w:themeFillShade="D9"/>
            <w:noWrap/>
            <w:vAlign w:val="bottom"/>
            <w:hideMark/>
          </w:tcPr>
          <w:p w14:paraId="65C8465B"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34</w:t>
            </w:r>
          </w:p>
        </w:tc>
        <w:tc>
          <w:tcPr>
            <w:tcW w:w="963" w:type="dxa"/>
            <w:noWrap/>
            <w:vAlign w:val="bottom"/>
            <w:hideMark/>
          </w:tcPr>
          <w:p w14:paraId="4F4005DF"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35</w:t>
            </w:r>
          </w:p>
        </w:tc>
        <w:tc>
          <w:tcPr>
            <w:tcW w:w="944" w:type="dxa"/>
            <w:shd w:val="clear" w:color="auto" w:fill="D9D9D9" w:themeFill="background1" w:themeFillShade="D9"/>
            <w:noWrap/>
            <w:vAlign w:val="bottom"/>
            <w:hideMark/>
          </w:tcPr>
          <w:p w14:paraId="662E1CAB"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38</w:t>
            </w:r>
          </w:p>
        </w:tc>
        <w:tc>
          <w:tcPr>
            <w:tcW w:w="766" w:type="dxa"/>
            <w:noWrap/>
            <w:vAlign w:val="bottom"/>
            <w:hideMark/>
          </w:tcPr>
          <w:p w14:paraId="120EB21A"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40</w:t>
            </w:r>
          </w:p>
        </w:tc>
      </w:tr>
      <w:tr w:rsidR="00391F86" w:rsidRPr="00F5015A" w14:paraId="0C981F89" w14:textId="77777777" w:rsidTr="00391F86">
        <w:trPr>
          <w:trHeight w:val="315"/>
          <w:jc w:val="center"/>
        </w:trPr>
        <w:tc>
          <w:tcPr>
            <w:tcW w:w="4500" w:type="dxa"/>
            <w:noWrap/>
            <w:vAlign w:val="bottom"/>
            <w:hideMark/>
          </w:tcPr>
          <w:p w14:paraId="3CF47B4F"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Coronavirus relief funding</w:t>
            </w:r>
          </w:p>
        </w:tc>
        <w:tc>
          <w:tcPr>
            <w:tcW w:w="722" w:type="dxa"/>
            <w:noWrap/>
            <w:vAlign w:val="bottom"/>
            <w:hideMark/>
          </w:tcPr>
          <w:p w14:paraId="0A2B6A42"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w:t>
            </w:r>
          </w:p>
        </w:tc>
        <w:tc>
          <w:tcPr>
            <w:tcW w:w="745" w:type="dxa"/>
            <w:shd w:val="clear" w:color="auto" w:fill="D9D9D9" w:themeFill="background1" w:themeFillShade="D9"/>
            <w:noWrap/>
            <w:vAlign w:val="bottom"/>
            <w:hideMark/>
          </w:tcPr>
          <w:p w14:paraId="3E981050"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63</w:t>
            </w:r>
          </w:p>
        </w:tc>
        <w:tc>
          <w:tcPr>
            <w:tcW w:w="963" w:type="dxa"/>
            <w:noWrap/>
            <w:vAlign w:val="bottom"/>
            <w:hideMark/>
          </w:tcPr>
          <w:p w14:paraId="6AB69897"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37</w:t>
            </w:r>
          </w:p>
        </w:tc>
        <w:tc>
          <w:tcPr>
            <w:tcW w:w="944" w:type="dxa"/>
            <w:shd w:val="clear" w:color="auto" w:fill="D9D9D9" w:themeFill="background1" w:themeFillShade="D9"/>
            <w:noWrap/>
            <w:vAlign w:val="bottom"/>
            <w:hideMark/>
          </w:tcPr>
          <w:p w14:paraId="7A08B64A"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15</w:t>
            </w:r>
          </w:p>
        </w:tc>
        <w:tc>
          <w:tcPr>
            <w:tcW w:w="766" w:type="dxa"/>
            <w:noWrap/>
            <w:vAlign w:val="bottom"/>
            <w:hideMark/>
          </w:tcPr>
          <w:p w14:paraId="3B462221"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w:t>
            </w:r>
          </w:p>
        </w:tc>
      </w:tr>
      <w:tr w:rsidR="00391F86" w:rsidRPr="00F5015A" w14:paraId="013C4005" w14:textId="77777777" w:rsidTr="00391F86">
        <w:trPr>
          <w:trHeight w:val="315"/>
          <w:jc w:val="center"/>
        </w:trPr>
        <w:tc>
          <w:tcPr>
            <w:tcW w:w="4500" w:type="dxa"/>
            <w:noWrap/>
            <w:vAlign w:val="bottom"/>
            <w:hideMark/>
          </w:tcPr>
          <w:p w14:paraId="42FE928D"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Gifts currently expendable</w:t>
            </w:r>
          </w:p>
        </w:tc>
        <w:tc>
          <w:tcPr>
            <w:tcW w:w="722" w:type="dxa"/>
            <w:noWrap/>
            <w:vAlign w:val="bottom"/>
            <w:hideMark/>
          </w:tcPr>
          <w:p w14:paraId="3B490583"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29</w:t>
            </w:r>
          </w:p>
        </w:tc>
        <w:tc>
          <w:tcPr>
            <w:tcW w:w="745" w:type="dxa"/>
            <w:shd w:val="clear" w:color="auto" w:fill="D9D9D9" w:themeFill="background1" w:themeFillShade="D9"/>
            <w:noWrap/>
            <w:vAlign w:val="bottom"/>
            <w:hideMark/>
          </w:tcPr>
          <w:p w14:paraId="7B6547B5"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20</w:t>
            </w:r>
          </w:p>
        </w:tc>
        <w:tc>
          <w:tcPr>
            <w:tcW w:w="963" w:type="dxa"/>
            <w:noWrap/>
            <w:vAlign w:val="bottom"/>
            <w:hideMark/>
          </w:tcPr>
          <w:p w14:paraId="777CD1C7"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19</w:t>
            </w:r>
          </w:p>
        </w:tc>
        <w:tc>
          <w:tcPr>
            <w:tcW w:w="944" w:type="dxa"/>
            <w:shd w:val="clear" w:color="auto" w:fill="D9D9D9" w:themeFill="background1" w:themeFillShade="D9"/>
            <w:noWrap/>
            <w:vAlign w:val="bottom"/>
            <w:hideMark/>
          </w:tcPr>
          <w:p w14:paraId="0A88B63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19</w:t>
            </w:r>
          </w:p>
        </w:tc>
        <w:tc>
          <w:tcPr>
            <w:tcW w:w="766" w:type="dxa"/>
            <w:noWrap/>
            <w:vAlign w:val="bottom"/>
            <w:hideMark/>
          </w:tcPr>
          <w:p w14:paraId="39C2CCE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16</w:t>
            </w:r>
          </w:p>
        </w:tc>
      </w:tr>
      <w:tr w:rsidR="00391F86" w:rsidRPr="00F5015A" w14:paraId="5BF3A782" w14:textId="77777777" w:rsidTr="00391F86">
        <w:trPr>
          <w:trHeight w:val="315"/>
          <w:jc w:val="center"/>
        </w:trPr>
        <w:tc>
          <w:tcPr>
            <w:tcW w:w="4500" w:type="dxa"/>
            <w:noWrap/>
            <w:vAlign w:val="bottom"/>
            <w:hideMark/>
          </w:tcPr>
          <w:p w14:paraId="7F70C1D3"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Endowment return used for operations</w:t>
            </w:r>
          </w:p>
        </w:tc>
        <w:tc>
          <w:tcPr>
            <w:tcW w:w="722" w:type="dxa"/>
            <w:noWrap/>
            <w:vAlign w:val="bottom"/>
            <w:hideMark/>
          </w:tcPr>
          <w:p w14:paraId="23C8BCD5"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6</w:t>
            </w:r>
          </w:p>
        </w:tc>
        <w:tc>
          <w:tcPr>
            <w:tcW w:w="745" w:type="dxa"/>
            <w:shd w:val="clear" w:color="auto" w:fill="D9D9D9" w:themeFill="background1" w:themeFillShade="D9"/>
            <w:noWrap/>
            <w:vAlign w:val="bottom"/>
            <w:hideMark/>
          </w:tcPr>
          <w:p w14:paraId="6700FC16"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6</w:t>
            </w:r>
          </w:p>
        </w:tc>
        <w:tc>
          <w:tcPr>
            <w:tcW w:w="963" w:type="dxa"/>
            <w:noWrap/>
            <w:vAlign w:val="bottom"/>
            <w:hideMark/>
          </w:tcPr>
          <w:p w14:paraId="2BD3C77D"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6</w:t>
            </w:r>
          </w:p>
        </w:tc>
        <w:tc>
          <w:tcPr>
            <w:tcW w:w="944" w:type="dxa"/>
            <w:shd w:val="clear" w:color="auto" w:fill="D9D9D9" w:themeFill="background1" w:themeFillShade="D9"/>
            <w:noWrap/>
            <w:vAlign w:val="bottom"/>
            <w:hideMark/>
          </w:tcPr>
          <w:p w14:paraId="7698C4A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6</w:t>
            </w:r>
          </w:p>
        </w:tc>
        <w:tc>
          <w:tcPr>
            <w:tcW w:w="766" w:type="dxa"/>
            <w:noWrap/>
            <w:vAlign w:val="bottom"/>
            <w:hideMark/>
          </w:tcPr>
          <w:p w14:paraId="5DBDF883"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6</w:t>
            </w:r>
          </w:p>
        </w:tc>
      </w:tr>
      <w:tr w:rsidR="00391F86" w:rsidRPr="00F5015A" w14:paraId="78D33ED1" w14:textId="77777777" w:rsidTr="00441E8E">
        <w:trPr>
          <w:trHeight w:val="315"/>
          <w:jc w:val="center"/>
        </w:trPr>
        <w:tc>
          <w:tcPr>
            <w:tcW w:w="4500" w:type="dxa"/>
            <w:noWrap/>
            <w:vAlign w:val="bottom"/>
            <w:hideMark/>
          </w:tcPr>
          <w:p w14:paraId="2D6E11FA"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Investment income (loss)</w:t>
            </w:r>
          </w:p>
        </w:tc>
        <w:tc>
          <w:tcPr>
            <w:tcW w:w="722" w:type="dxa"/>
            <w:noWrap/>
            <w:vAlign w:val="bottom"/>
            <w:hideMark/>
          </w:tcPr>
          <w:p w14:paraId="72B45EF0"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13</w:t>
            </w:r>
          </w:p>
        </w:tc>
        <w:tc>
          <w:tcPr>
            <w:tcW w:w="745" w:type="dxa"/>
            <w:shd w:val="clear" w:color="auto" w:fill="D9D9D9" w:themeFill="background1" w:themeFillShade="D9"/>
            <w:noWrap/>
            <w:vAlign w:val="bottom"/>
            <w:hideMark/>
          </w:tcPr>
          <w:p w14:paraId="0CAB0318"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(14)</w:t>
            </w:r>
          </w:p>
        </w:tc>
        <w:tc>
          <w:tcPr>
            <w:tcW w:w="963" w:type="dxa"/>
            <w:noWrap/>
            <w:vAlign w:val="bottom"/>
            <w:hideMark/>
          </w:tcPr>
          <w:p w14:paraId="17A2646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22</w:t>
            </w:r>
          </w:p>
        </w:tc>
        <w:tc>
          <w:tcPr>
            <w:tcW w:w="944" w:type="dxa"/>
            <w:shd w:val="clear" w:color="auto" w:fill="D9D9D9" w:themeFill="background1" w:themeFillShade="D9"/>
            <w:noWrap/>
            <w:vAlign w:val="bottom"/>
            <w:hideMark/>
          </w:tcPr>
          <w:p w14:paraId="4BF244C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9</w:t>
            </w:r>
          </w:p>
        </w:tc>
        <w:tc>
          <w:tcPr>
            <w:tcW w:w="766" w:type="dxa"/>
            <w:noWrap/>
            <w:vAlign w:val="bottom"/>
            <w:hideMark/>
          </w:tcPr>
          <w:p w14:paraId="2844F762"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12</w:t>
            </w:r>
          </w:p>
        </w:tc>
      </w:tr>
      <w:tr w:rsidR="00391F86" w:rsidRPr="00F5015A" w14:paraId="7FF8AD3C" w14:textId="77777777" w:rsidTr="00441E8E">
        <w:trPr>
          <w:trHeight w:val="315"/>
          <w:jc w:val="center"/>
        </w:trPr>
        <w:tc>
          <w:tcPr>
            <w:tcW w:w="4500" w:type="dxa"/>
            <w:tcBorders>
              <w:bottom w:val="single" w:sz="4" w:space="0" w:color="00688D"/>
            </w:tcBorders>
            <w:noWrap/>
            <w:vAlign w:val="bottom"/>
            <w:hideMark/>
          </w:tcPr>
          <w:p w14:paraId="5B1DDE6C"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Interest expense, net</w:t>
            </w:r>
          </w:p>
        </w:tc>
        <w:tc>
          <w:tcPr>
            <w:tcW w:w="722" w:type="dxa"/>
            <w:tcBorders>
              <w:bottom w:val="single" w:sz="4" w:space="0" w:color="00688D"/>
            </w:tcBorders>
            <w:noWrap/>
            <w:vAlign w:val="bottom"/>
            <w:hideMark/>
          </w:tcPr>
          <w:p w14:paraId="23EAB0E0"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(8)</w:t>
            </w:r>
          </w:p>
        </w:tc>
        <w:tc>
          <w:tcPr>
            <w:tcW w:w="745" w:type="dxa"/>
            <w:tcBorders>
              <w:bottom w:val="single" w:sz="4" w:space="0" w:color="00688D"/>
            </w:tcBorders>
            <w:shd w:val="clear" w:color="auto" w:fill="D9D9D9" w:themeFill="background1" w:themeFillShade="D9"/>
            <w:noWrap/>
            <w:vAlign w:val="bottom"/>
            <w:hideMark/>
          </w:tcPr>
          <w:p w14:paraId="7D903A78"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(4)</w:t>
            </w:r>
          </w:p>
        </w:tc>
        <w:tc>
          <w:tcPr>
            <w:tcW w:w="963" w:type="dxa"/>
            <w:tcBorders>
              <w:bottom w:val="single" w:sz="4" w:space="0" w:color="00688D"/>
            </w:tcBorders>
            <w:noWrap/>
            <w:vAlign w:val="bottom"/>
            <w:hideMark/>
          </w:tcPr>
          <w:p w14:paraId="211FF72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w:t>
            </w:r>
          </w:p>
        </w:tc>
        <w:tc>
          <w:tcPr>
            <w:tcW w:w="944" w:type="dxa"/>
            <w:tcBorders>
              <w:bottom w:val="single" w:sz="4" w:space="0" w:color="00688D"/>
            </w:tcBorders>
            <w:shd w:val="clear" w:color="auto" w:fill="D9D9D9" w:themeFill="background1" w:themeFillShade="D9"/>
            <w:noWrap/>
            <w:vAlign w:val="bottom"/>
            <w:hideMark/>
          </w:tcPr>
          <w:p w14:paraId="625A03E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w:t>
            </w:r>
          </w:p>
        </w:tc>
        <w:tc>
          <w:tcPr>
            <w:tcW w:w="766" w:type="dxa"/>
            <w:tcBorders>
              <w:bottom w:val="single" w:sz="4" w:space="0" w:color="00688D"/>
            </w:tcBorders>
            <w:noWrap/>
            <w:vAlign w:val="bottom"/>
            <w:hideMark/>
          </w:tcPr>
          <w:p w14:paraId="3254F2F0"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w:t>
            </w:r>
          </w:p>
        </w:tc>
      </w:tr>
      <w:tr w:rsidR="00391F86" w:rsidRPr="00F5015A" w14:paraId="4F9B1831" w14:textId="77777777" w:rsidTr="00441E8E">
        <w:trPr>
          <w:trHeight w:val="315"/>
          <w:jc w:val="center"/>
        </w:trPr>
        <w:tc>
          <w:tcPr>
            <w:tcW w:w="4500" w:type="dxa"/>
            <w:tcBorders>
              <w:top w:val="single" w:sz="4" w:space="0" w:color="00688D"/>
              <w:bottom w:val="single" w:sz="4" w:space="0" w:color="00688D"/>
            </w:tcBorders>
            <w:noWrap/>
            <w:vAlign w:val="bottom"/>
            <w:hideMark/>
          </w:tcPr>
          <w:p w14:paraId="021AE504"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Net Nonoperating Revenues (Expenses)</w:t>
            </w:r>
          </w:p>
        </w:tc>
        <w:tc>
          <w:tcPr>
            <w:tcW w:w="722" w:type="dxa"/>
            <w:tcBorders>
              <w:top w:val="single" w:sz="4" w:space="0" w:color="00688D"/>
              <w:bottom w:val="single" w:sz="4" w:space="0" w:color="00688D"/>
            </w:tcBorders>
            <w:noWrap/>
            <w:vAlign w:val="bottom"/>
            <w:hideMark/>
          </w:tcPr>
          <w:p w14:paraId="5CD074A3"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323</w:t>
            </w:r>
          </w:p>
        </w:tc>
        <w:tc>
          <w:tcPr>
            <w:tcW w:w="745" w:type="dxa"/>
            <w:tcBorders>
              <w:top w:val="single" w:sz="4" w:space="0" w:color="00688D"/>
              <w:bottom w:val="single" w:sz="4" w:space="0" w:color="00688D"/>
            </w:tcBorders>
            <w:shd w:val="clear" w:color="auto" w:fill="D9D9D9" w:themeFill="background1" w:themeFillShade="D9"/>
            <w:noWrap/>
            <w:vAlign w:val="bottom"/>
            <w:hideMark/>
          </w:tcPr>
          <w:p w14:paraId="4417752C"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334</w:t>
            </w:r>
          </w:p>
        </w:tc>
        <w:tc>
          <w:tcPr>
            <w:tcW w:w="963" w:type="dxa"/>
            <w:tcBorders>
              <w:top w:val="single" w:sz="4" w:space="0" w:color="00688D"/>
              <w:bottom w:val="single" w:sz="4" w:space="0" w:color="00688D"/>
            </w:tcBorders>
            <w:noWrap/>
            <w:vAlign w:val="bottom"/>
            <w:hideMark/>
          </w:tcPr>
          <w:p w14:paraId="52F6EF4D"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333</w:t>
            </w:r>
          </w:p>
        </w:tc>
        <w:tc>
          <w:tcPr>
            <w:tcW w:w="944" w:type="dxa"/>
            <w:tcBorders>
              <w:top w:val="single" w:sz="4" w:space="0" w:color="00688D"/>
              <w:bottom w:val="single" w:sz="4" w:space="0" w:color="00688D"/>
            </w:tcBorders>
            <w:shd w:val="clear" w:color="auto" w:fill="D9D9D9" w:themeFill="background1" w:themeFillShade="D9"/>
            <w:noWrap/>
            <w:vAlign w:val="bottom"/>
            <w:hideMark/>
          </w:tcPr>
          <w:p w14:paraId="66474067"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303</w:t>
            </w:r>
          </w:p>
        </w:tc>
        <w:tc>
          <w:tcPr>
            <w:tcW w:w="766" w:type="dxa"/>
            <w:tcBorders>
              <w:top w:val="single" w:sz="4" w:space="0" w:color="00688D"/>
              <w:bottom w:val="single" w:sz="4" w:space="0" w:color="00688D"/>
            </w:tcBorders>
            <w:noWrap/>
            <w:vAlign w:val="bottom"/>
            <w:hideMark/>
          </w:tcPr>
          <w:p w14:paraId="567E8AAE"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282</w:t>
            </w:r>
          </w:p>
        </w:tc>
      </w:tr>
      <w:tr w:rsidR="00391F86" w:rsidRPr="00F5015A" w14:paraId="1C45D52B" w14:textId="77777777" w:rsidTr="00441E8E">
        <w:trPr>
          <w:trHeight w:val="315"/>
          <w:jc w:val="center"/>
        </w:trPr>
        <w:tc>
          <w:tcPr>
            <w:tcW w:w="4500" w:type="dxa"/>
            <w:tcBorders>
              <w:top w:val="single" w:sz="4" w:space="0" w:color="00688D"/>
              <w:bottom w:val="single" w:sz="4" w:space="0" w:color="00688D"/>
            </w:tcBorders>
            <w:noWrap/>
            <w:vAlign w:val="bottom"/>
            <w:hideMark/>
          </w:tcPr>
          <w:p w14:paraId="0BFBE79F"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Income (Loss) Before Other Changes in Net Position</w:t>
            </w:r>
          </w:p>
        </w:tc>
        <w:tc>
          <w:tcPr>
            <w:tcW w:w="722" w:type="dxa"/>
            <w:tcBorders>
              <w:top w:val="single" w:sz="4" w:space="0" w:color="00688D"/>
              <w:bottom w:val="single" w:sz="4" w:space="0" w:color="00688D"/>
            </w:tcBorders>
            <w:noWrap/>
            <w:vAlign w:val="bottom"/>
            <w:hideMark/>
          </w:tcPr>
          <w:p w14:paraId="59F16DBE"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(23)</w:t>
            </w:r>
          </w:p>
        </w:tc>
        <w:tc>
          <w:tcPr>
            <w:tcW w:w="745" w:type="dxa"/>
            <w:tcBorders>
              <w:top w:val="single" w:sz="4" w:space="0" w:color="00688D"/>
              <w:bottom w:val="single" w:sz="4" w:space="0" w:color="00688D"/>
            </w:tcBorders>
            <w:shd w:val="clear" w:color="auto" w:fill="D9D9D9" w:themeFill="background1" w:themeFillShade="D9"/>
            <w:noWrap/>
            <w:vAlign w:val="bottom"/>
            <w:hideMark/>
          </w:tcPr>
          <w:p w14:paraId="1E0BE798"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(10)</w:t>
            </w:r>
          </w:p>
        </w:tc>
        <w:tc>
          <w:tcPr>
            <w:tcW w:w="963" w:type="dxa"/>
            <w:tcBorders>
              <w:top w:val="single" w:sz="4" w:space="0" w:color="00688D"/>
              <w:bottom w:val="single" w:sz="4" w:space="0" w:color="00688D"/>
            </w:tcBorders>
            <w:noWrap/>
            <w:vAlign w:val="bottom"/>
            <w:hideMark/>
          </w:tcPr>
          <w:p w14:paraId="49C0765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58</w:t>
            </w:r>
          </w:p>
        </w:tc>
        <w:tc>
          <w:tcPr>
            <w:tcW w:w="944" w:type="dxa"/>
            <w:tcBorders>
              <w:top w:val="single" w:sz="4" w:space="0" w:color="00688D"/>
              <w:bottom w:val="single" w:sz="4" w:space="0" w:color="00688D"/>
            </w:tcBorders>
            <w:shd w:val="clear" w:color="auto" w:fill="D9D9D9" w:themeFill="background1" w:themeFillShade="D9"/>
            <w:noWrap/>
            <w:vAlign w:val="bottom"/>
            <w:hideMark/>
          </w:tcPr>
          <w:p w14:paraId="7788529F"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w:t>
            </w:r>
          </w:p>
        </w:tc>
        <w:tc>
          <w:tcPr>
            <w:tcW w:w="766" w:type="dxa"/>
            <w:tcBorders>
              <w:top w:val="single" w:sz="4" w:space="0" w:color="00688D"/>
              <w:bottom w:val="single" w:sz="4" w:space="0" w:color="00688D"/>
            </w:tcBorders>
            <w:noWrap/>
            <w:vAlign w:val="bottom"/>
            <w:hideMark/>
          </w:tcPr>
          <w:p w14:paraId="43D6A35C"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(12)</w:t>
            </w:r>
          </w:p>
        </w:tc>
      </w:tr>
      <w:tr w:rsidR="00391F86" w:rsidRPr="00F5015A" w14:paraId="265BD335" w14:textId="77777777" w:rsidTr="00441E8E">
        <w:trPr>
          <w:trHeight w:val="315"/>
          <w:jc w:val="center"/>
        </w:trPr>
        <w:tc>
          <w:tcPr>
            <w:tcW w:w="4500" w:type="dxa"/>
            <w:tcBorders>
              <w:top w:val="single" w:sz="4" w:space="0" w:color="00688D"/>
            </w:tcBorders>
            <w:noWrap/>
            <w:vAlign w:val="bottom"/>
            <w:hideMark/>
          </w:tcPr>
          <w:p w14:paraId="3E0F96CE"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Other Changes in Net Position</w:t>
            </w:r>
          </w:p>
        </w:tc>
        <w:tc>
          <w:tcPr>
            <w:tcW w:w="722" w:type="dxa"/>
            <w:tcBorders>
              <w:top w:val="single" w:sz="4" w:space="0" w:color="00688D"/>
            </w:tcBorders>
            <w:noWrap/>
            <w:vAlign w:val="bottom"/>
            <w:hideMark/>
          </w:tcPr>
          <w:p w14:paraId="771941E9"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745" w:type="dxa"/>
            <w:tcBorders>
              <w:top w:val="single" w:sz="4" w:space="0" w:color="00688D"/>
            </w:tcBorders>
            <w:shd w:val="clear" w:color="auto" w:fill="D9D9D9" w:themeFill="background1" w:themeFillShade="D9"/>
            <w:noWrap/>
            <w:vAlign w:val="bottom"/>
            <w:hideMark/>
          </w:tcPr>
          <w:p w14:paraId="1F02891F"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w:t>
            </w:r>
          </w:p>
        </w:tc>
        <w:tc>
          <w:tcPr>
            <w:tcW w:w="963" w:type="dxa"/>
            <w:tcBorders>
              <w:top w:val="single" w:sz="4" w:space="0" w:color="00688D"/>
            </w:tcBorders>
            <w:vAlign w:val="bottom"/>
            <w:hideMark/>
          </w:tcPr>
          <w:p w14:paraId="3F533F4E"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944" w:type="dxa"/>
            <w:tcBorders>
              <w:top w:val="single" w:sz="4" w:space="0" w:color="00688D"/>
            </w:tcBorders>
            <w:shd w:val="clear" w:color="auto" w:fill="D9D9D9" w:themeFill="background1" w:themeFillShade="D9"/>
            <w:vAlign w:val="bottom"/>
            <w:hideMark/>
          </w:tcPr>
          <w:p w14:paraId="77B0736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c>
          <w:tcPr>
            <w:tcW w:w="766" w:type="dxa"/>
            <w:tcBorders>
              <w:top w:val="single" w:sz="4" w:space="0" w:color="00688D"/>
            </w:tcBorders>
            <w:vAlign w:val="bottom"/>
            <w:hideMark/>
          </w:tcPr>
          <w:p w14:paraId="4747BE4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w:t>
            </w:r>
          </w:p>
        </w:tc>
      </w:tr>
      <w:tr w:rsidR="00391F86" w:rsidRPr="00F5015A" w14:paraId="63185407" w14:textId="77777777" w:rsidTr="00391F86">
        <w:trPr>
          <w:trHeight w:val="315"/>
          <w:jc w:val="center"/>
        </w:trPr>
        <w:tc>
          <w:tcPr>
            <w:tcW w:w="4500" w:type="dxa"/>
            <w:noWrap/>
            <w:vAlign w:val="bottom"/>
            <w:hideMark/>
          </w:tcPr>
          <w:p w14:paraId="2BC2662E"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State of Maine capital appropriations</w:t>
            </w:r>
          </w:p>
        </w:tc>
        <w:tc>
          <w:tcPr>
            <w:tcW w:w="722" w:type="dxa"/>
            <w:noWrap/>
            <w:vAlign w:val="bottom"/>
            <w:hideMark/>
          </w:tcPr>
          <w:p w14:paraId="5BD6C8F4"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21</w:t>
            </w:r>
          </w:p>
        </w:tc>
        <w:tc>
          <w:tcPr>
            <w:tcW w:w="745" w:type="dxa"/>
            <w:shd w:val="clear" w:color="auto" w:fill="D9D9D9" w:themeFill="background1" w:themeFillShade="D9"/>
            <w:noWrap/>
            <w:vAlign w:val="bottom"/>
            <w:hideMark/>
          </w:tcPr>
          <w:p w14:paraId="59E8151A"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25</w:t>
            </w:r>
          </w:p>
        </w:tc>
        <w:tc>
          <w:tcPr>
            <w:tcW w:w="963" w:type="dxa"/>
            <w:noWrap/>
            <w:vAlign w:val="bottom"/>
            <w:hideMark/>
          </w:tcPr>
          <w:p w14:paraId="377E65D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16</w:t>
            </w:r>
          </w:p>
        </w:tc>
        <w:tc>
          <w:tcPr>
            <w:tcW w:w="944" w:type="dxa"/>
            <w:shd w:val="clear" w:color="auto" w:fill="D9D9D9" w:themeFill="background1" w:themeFillShade="D9"/>
            <w:noWrap/>
            <w:vAlign w:val="bottom"/>
            <w:hideMark/>
          </w:tcPr>
          <w:p w14:paraId="071558A0"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14</w:t>
            </w:r>
          </w:p>
        </w:tc>
        <w:tc>
          <w:tcPr>
            <w:tcW w:w="766" w:type="dxa"/>
            <w:noWrap/>
            <w:vAlign w:val="bottom"/>
            <w:hideMark/>
          </w:tcPr>
          <w:p w14:paraId="58F5A71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6</w:t>
            </w:r>
          </w:p>
        </w:tc>
      </w:tr>
      <w:tr w:rsidR="00391F86" w:rsidRPr="00F5015A" w14:paraId="475FDE2D" w14:textId="77777777" w:rsidTr="00391F86">
        <w:trPr>
          <w:trHeight w:val="315"/>
          <w:jc w:val="center"/>
        </w:trPr>
        <w:tc>
          <w:tcPr>
            <w:tcW w:w="4500" w:type="dxa"/>
            <w:noWrap/>
            <w:vAlign w:val="bottom"/>
            <w:hideMark/>
          </w:tcPr>
          <w:p w14:paraId="375C8A9A"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Capital grants and gifts</w:t>
            </w:r>
          </w:p>
        </w:tc>
        <w:tc>
          <w:tcPr>
            <w:tcW w:w="722" w:type="dxa"/>
            <w:noWrap/>
            <w:vAlign w:val="bottom"/>
            <w:hideMark/>
          </w:tcPr>
          <w:p w14:paraId="743E0BA9"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26</w:t>
            </w:r>
          </w:p>
        </w:tc>
        <w:tc>
          <w:tcPr>
            <w:tcW w:w="745" w:type="dxa"/>
            <w:shd w:val="clear" w:color="auto" w:fill="D9D9D9" w:themeFill="background1" w:themeFillShade="D9"/>
            <w:noWrap/>
            <w:vAlign w:val="bottom"/>
            <w:hideMark/>
          </w:tcPr>
          <w:p w14:paraId="0B524ACF"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35</w:t>
            </w:r>
          </w:p>
        </w:tc>
        <w:tc>
          <w:tcPr>
            <w:tcW w:w="963" w:type="dxa"/>
            <w:noWrap/>
            <w:vAlign w:val="bottom"/>
            <w:hideMark/>
          </w:tcPr>
          <w:p w14:paraId="6F0C96C7"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8</w:t>
            </w:r>
          </w:p>
        </w:tc>
        <w:tc>
          <w:tcPr>
            <w:tcW w:w="944" w:type="dxa"/>
            <w:shd w:val="clear" w:color="auto" w:fill="D9D9D9" w:themeFill="background1" w:themeFillShade="D9"/>
            <w:noWrap/>
            <w:vAlign w:val="bottom"/>
            <w:hideMark/>
          </w:tcPr>
          <w:p w14:paraId="5101373E"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3</w:t>
            </w:r>
          </w:p>
        </w:tc>
        <w:tc>
          <w:tcPr>
            <w:tcW w:w="766" w:type="dxa"/>
            <w:noWrap/>
            <w:vAlign w:val="bottom"/>
            <w:hideMark/>
          </w:tcPr>
          <w:p w14:paraId="36B1358B"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w:t>
            </w:r>
          </w:p>
        </w:tc>
      </w:tr>
      <w:tr w:rsidR="00391F86" w:rsidRPr="00F5015A" w14:paraId="1BA4AA13" w14:textId="77777777" w:rsidTr="00441E8E">
        <w:trPr>
          <w:trHeight w:val="315"/>
          <w:jc w:val="center"/>
        </w:trPr>
        <w:tc>
          <w:tcPr>
            <w:tcW w:w="4500" w:type="dxa"/>
            <w:noWrap/>
            <w:vAlign w:val="bottom"/>
            <w:hideMark/>
          </w:tcPr>
          <w:p w14:paraId="43DB4588"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Endow. return, net of amount used for operations</w:t>
            </w:r>
          </w:p>
        </w:tc>
        <w:tc>
          <w:tcPr>
            <w:tcW w:w="722" w:type="dxa"/>
            <w:noWrap/>
            <w:vAlign w:val="bottom"/>
            <w:hideMark/>
          </w:tcPr>
          <w:p w14:paraId="4E073C6F"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8</w:t>
            </w:r>
          </w:p>
        </w:tc>
        <w:tc>
          <w:tcPr>
            <w:tcW w:w="745" w:type="dxa"/>
            <w:shd w:val="clear" w:color="auto" w:fill="D9D9D9" w:themeFill="background1" w:themeFillShade="D9"/>
            <w:noWrap/>
            <w:vAlign w:val="bottom"/>
            <w:hideMark/>
          </w:tcPr>
          <w:p w14:paraId="06A659DA"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(26)</w:t>
            </w:r>
          </w:p>
        </w:tc>
        <w:tc>
          <w:tcPr>
            <w:tcW w:w="963" w:type="dxa"/>
            <w:noWrap/>
            <w:vAlign w:val="bottom"/>
            <w:hideMark/>
          </w:tcPr>
          <w:p w14:paraId="36D1A669"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29</w:t>
            </w:r>
          </w:p>
        </w:tc>
        <w:tc>
          <w:tcPr>
            <w:tcW w:w="944" w:type="dxa"/>
            <w:shd w:val="clear" w:color="auto" w:fill="D9D9D9" w:themeFill="background1" w:themeFillShade="D9"/>
            <w:noWrap/>
            <w:vAlign w:val="bottom"/>
            <w:hideMark/>
          </w:tcPr>
          <w:p w14:paraId="23E9D60D"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(4)</w:t>
            </w:r>
          </w:p>
        </w:tc>
        <w:tc>
          <w:tcPr>
            <w:tcW w:w="766" w:type="dxa"/>
            <w:noWrap/>
            <w:vAlign w:val="bottom"/>
            <w:hideMark/>
          </w:tcPr>
          <w:p w14:paraId="5CC56446"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(2)</w:t>
            </w:r>
          </w:p>
        </w:tc>
      </w:tr>
      <w:tr w:rsidR="00391F86" w:rsidRPr="00F5015A" w14:paraId="6DD1B64B" w14:textId="77777777" w:rsidTr="00441E8E">
        <w:trPr>
          <w:trHeight w:val="315"/>
          <w:jc w:val="center"/>
        </w:trPr>
        <w:tc>
          <w:tcPr>
            <w:tcW w:w="4500" w:type="dxa"/>
            <w:tcBorders>
              <w:bottom w:val="single" w:sz="4" w:space="0" w:color="00688D"/>
            </w:tcBorders>
            <w:noWrap/>
            <w:vAlign w:val="bottom"/>
            <w:hideMark/>
          </w:tcPr>
          <w:p w14:paraId="171D49CF" w14:textId="77777777" w:rsidR="00391F86" w:rsidRPr="00F5015A" w:rsidRDefault="00391F86" w:rsidP="001A12F8">
            <w:pPr>
              <w:ind w:firstLineChars="100" w:firstLine="210"/>
              <w:rPr>
                <w:rFonts w:ascii="Calibri" w:eastAsia="Times New Roman" w:hAnsi="Calibri" w:cs="Calibri"/>
                <w:color w:val="000000"/>
                <w:sz w:val="21"/>
                <w:szCs w:val="21"/>
              </w:rPr>
            </w:pPr>
            <w:r w:rsidRPr="00F5015A">
              <w:rPr>
                <w:rFonts w:ascii="Calibri" w:eastAsia="Times New Roman" w:hAnsi="Calibri" w:cs="Calibri"/>
                <w:color w:val="000000"/>
                <w:sz w:val="21"/>
                <w:szCs w:val="21"/>
              </w:rPr>
              <w:t>Other</w:t>
            </w:r>
          </w:p>
        </w:tc>
        <w:tc>
          <w:tcPr>
            <w:tcW w:w="722" w:type="dxa"/>
            <w:tcBorders>
              <w:bottom w:val="single" w:sz="4" w:space="0" w:color="00688D"/>
            </w:tcBorders>
            <w:noWrap/>
            <w:vAlign w:val="bottom"/>
            <w:hideMark/>
          </w:tcPr>
          <w:p w14:paraId="59A558CC"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(1)</w:t>
            </w:r>
          </w:p>
        </w:tc>
        <w:tc>
          <w:tcPr>
            <w:tcW w:w="745" w:type="dxa"/>
            <w:tcBorders>
              <w:bottom w:val="single" w:sz="4" w:space="0" w:color="00688D"/>
            </w:tcBorders>
            <w:shd w:val="clear" w:color="auto" w:fill="D9D9D9" w:themeFill="background1" w:themeFillShade="D9"/>
            <w:noWrap/>
            <w:vAlign w:val="bottom"/>
            <w:hideMark/>
          </w:tcPr>
          <w:p w14:paraId="374C78B4" w14:textId="77777777" w:rsidR="00391F86" w:rsidRPr="00F5015A" w:rsidRDefault="00391F86" w:rsidP="001A12F8">
            <w:pPr>
              <w:ind w:firstLineChars="100" w:firstLine="211"/>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2</w:t>
            </w:r>
          </w:p>
        </w:tc>
        <w:tc>
          <w:tcPr>
            <w:tcW w:w="963" w:type="dxa"/>
            <w:tcBorders>
              <w:bottom w:val="single" w:sz="4" w:space="0" w:color="00688D"/>
            </w:tcBorders>
            <w:noWrap/>
            <w:vAlign w:val="bottom"/>
            <w:hideMark/>
          </w:tcPr>
          <w:p w14:paraId="0BBF6F21"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w:t>
            </w:r>
          </w:p>
        </w:tc>
        <w:tc>
          <w:tcPr>
            <w:tcW w:w="944" w:type="dxa"/>
            <w:tcBorders>
              <w:bottom w:val="single" w:sz="4" w:space="0" w:color="00688D"/>
            </w:tcBorders>
            <w:shd w:val="clear" w:color="auto" w:fill="D9D9D9" w:themeFill="background1" w:themeFillShade="D9"/>
            <w:noWrap/>
            <w:vAlign w:val="bottom"/>
            <w:hideMark/>
          </w:tcPr>
          <w:p w14:paraId="4A170161"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w:t>
            </w:r>
          </w:p>
        </w:tc>
        <w:tc>
          <w:tcPr>
            <w:tcW w:w="766" w:type="dxa"/>
            <w:tcBorders>
              <w:bottom w:val="single" w:sz="4" w:space="0" w:color="00688D"/>
            </w:tcBorders>
            <w:noWrap/>
            <w:vAlign w:val="bottom"/>
            <w:hideMark/>
          </w:tcPr>
          <w:p w14:paraId="6F9CCF83"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8</w:t>
            </w:r>
          </w:p>
        </w:tc>
      </w:tr>
      <w:tr w:rsidR="00391F86" w:rsidRPr="00F5015A" w14:paraId="77CB9E42" w14:textId="77777777" w:rsidTr="00441E8E">
        <w:trPr>
          <w:trHeight w:val="315"/>
          <w:jc w:val="center"/>
        </w:trPr>
        <w:tc>
          <w:tcPr>
            <w:tcW w:w="4500" w:type="dxa"/>
            <w:tcBorders>
              <w:top w:val="single" w:sz="4" w:space="0" w:color="00688D"/>
              <w:bottom w:val="single" w:sz="4" w:space="0" w:color="00688D"/>
            </w:tcBorders>
            <w:noWrap/>
            <w:vAlign w:val="bottom"/>
            <w:hideMark/>
          </w:tcPr>
          <w:p w14:paraId="214B560E"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Total Other Changes in Net Position</w:t>
            </w:r>
          </w:p>
        </w:tc>
        <w:tc>
          <w:tcPr>
            <w:tcW w:w="722" w:type="dxa"/>
            <w:tcBorders>
              <w:top w:val="single" w:sz="4" w:space="0" w:color="00688D"/>
              <w:bottom w:val="single" w:sz="4" w:space="0" w:color="00688D"/>
            </w:tcBorders>
            <w:noWrap/>
            <w:vAlign w:val="bottom"/>
            <w:hideMark/>
          </w:tcPr>
          <w:p w14:paraId="623125D5"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54</w:t>
            </w:r>
          </w:p>
        </w:tc>
        <w:tc>
          <w:tcPr>
            <w:tcW w:w="745" w:type="dxa"/>
            <w:tcBorders>
              <w:top w:val="single" w:sz="4" w:space="0" w:color="00688D"/>
              <w:bottom w:val="single" w:sz="4" w:space="0" w:color="00688D"/>
            </w:tcBorders>
            <w:shd w:val="clear" w:color="auto" w:fill="D9D9D9" w:themeFill="background1" w:themeFillShade="D9"/>
            <w:noWrap/>
            <w:vAlign w:val="bottom"/>
            <w:hideMark/>
          </w:tcPr>
          <w:p w14:paraId="128558EA"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36</w:t>
            </w:r>
          </w:p>
        </w:tc>
        <w:tc>
          <w:tcPr>
            <w:tcW w:w="963" w:type="dxa"/>
            <w:tcBorders>
              <w:top w:val="single" w:sz="4" w:space="0" w:color="00688D"/>
              <w:bottom w:val="single" w:sz="4" w:space="0" w:color="00688D"/>
            </w:tcBorders>
            <w:noWrap/>
            <w:vAlign w:val="bottom"/>
            <w:hideMark/>
          </w:tcPr>
          <w:p w14:paraId="20B0B82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54</w:t>
            </w:r>
          </w:p>
        </w:tc>
        <w:tc>
          <w:tcPr>
            <w:tcW w:w="944" w:type="dxa"/>
            <w:tcBorders>
              <w:top w:val="single" w:sz="4" w:space="0" w:color="00688D"/>
              <w:bottom w:val="single" w:sz="4" w:space="0" w:color="00688D"/>
            </w:tcBorders>
            <w:shd w:val="clear" w:color="auto" w:fill="D9D9D9" w:themeFill="background1" w:themeFillShade="D9"/>
            <w:noWrap/>
            <w:vAlign w:val="bottom"/>
            <w:hideMark/>
          </w:tcPr>
          <w:p w14:paraId="3694FA38"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14</w:t>
            </w:r>
          </w:p>
        </w:tc>
        <w:tc>
          <w:tcPr>
            <w:tcW w:w="766" w:type="dxa"/>
            <w:tcBorders>
              <w:top w:val="single" w:sz="4" w:space="0" w:color="00688D"/>
              <w:bottom w:val="single" w:sz="4" w:space="0" w:color="00688D"/>
            </w:tcBorders>
            <w:noWrap/>
            <w:vAlign w:val="bottom"/>
            <w:hideMark/>
          </w:tcPr>
          <w:p w14:paraId="0C501894"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16</w:t>
            </w:r>
          </w:p>
        </w:tc>
      </w:tr>
      <w:tr w:rsidR="00391F86" w:rsidRPr="00F5015A" w14:paraId="7C6E663E" w14:textId="77777777" w:rsidTr="00441E8E">
        <w:trPr>
          <w:trHeight w:val="330"/>
          <w:jc w:val="center"/>
        </w:trPr>
        <w:tc>
          <w:tcPr>
            <w:tcW w:w="4500" w:type="dxa"/>
            <w:tcBorders>
              <w:top w:val="single" w:sz="4" w:space="0" w:color="00688D"/>
              <w:bottom w:val="triple" w:sz="4" w:space="0" w:color="00688D"/>
            </w:tcBorders>
            <w:noWrap/>
            <w:vAlign w:val="bottom"/>
            <w:hideMark/>
          </w:tcPr>
          <w:p w14:paraId="59834887" w14:textId="77777777" w:rsidR="00391F86" w:rsidRPr="00F5015A" w:rsidRDefault="00391F86" w:rsidP="001A12F8">
            <w:pPr>
              <w:rPr>
                <w:rFonts w:ascii="Calibri" w:eastAsia="Times New Roman" w:hAnsi="Calibri" w:cs="Calibri"/>
                <w:color w:val="000000"/>
                <w:sz w:val="21"/>
                <w:szCs w:val="21"/>
              </w:rPr>
            </w:pPr>
            <w:r w:rsidRPr="00F5015A">
              <w:rPr>
                <w:rFonts w:ascii="Calibri" w:eastAsia="Times New Roman" w:hAnsi="Calibri" w:cs="Calibri"/>
                <w:color w:val="000000"/>
                <w:sz w:val="21"/>
                <w:szCs w:val="21"/>
              </w:rPr>
              <w:t>Change in Net Position</w:t>
            </w:r>
          </w:p>
        </w:tc>
        <w:tc>
          <w:tcPr>
            <w:tcW w:w="722" w:type="dxa"/>
            <w:tcBorders>
              <w:top w:val="single" w:sz="4" w:space="0" w:color="00688D"/>
              <w:bottom w:val="triple" w:sz="4" w:space="0" w:color="00688D"/>
            </w:tcBorders>
            <w:noWrap/>
            <w:vAlign w:val="bottom"/>
            <w:hideMark/>
          </w:tcPr>
          <w:p w14:paraId="1C825B4E"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31</w:t>
            </w:r>
          </w:p>
        </w:tc>
        <w:tc>
          <w:tcPr>
            <w:tcW w:w="745" w:type="dxa"/>
            <w:tcBorders>
              <w:top w:val="single" w:sz="4" w:space="0" w:color="00688D"/>
              <w:bottom w:val="triple" w:sz="4" w:space="0" w:color="00688D"/>
            </w:tcBorders>
            <w:shd w:val="clear" w:color="auto" w:fill="D9D9D9" w:themeFill="background1" w:themeFillShade="D9"/>
            <w:noWrap/>
            <w:vAlign w:val="bottom"/>
            <w:hideMark/>
          </w:tcPr>
          <w:p w14:paraId="4FF58744" w14:textId="77777777" w:rsidR="00391F86" w:rsidRPr="00F5015A" w:rsidRDefault="00391F86" w:rsidP="001A12F8">
            <w:pPr>
              <w:jc w:val="right"/>
              <w:rPr>
                <w:rFonts w:ascii="Calibri" w:eastAsia="Times New Roman" w:hAnsi="Calibri" w:cs="Calibri"/>
                <w:b/>
                <w:bCs/>
                <w:color w:val="000000"/>
                <w:sz w:val="21"/>
                <w:szCs w:val="21"/>
              </w:rPr>
            </w:pPr>
            <w:r w:rsidRPr="00F5015A">
              <w:rPr>
                <w:rFonts w:ascii="Calibri" w:eastAsia="Times New Roman" w:hAnsi="Calibri" w:cs="Calibri"/>
                <w:b/>
                <w:bCs/>
                <w:color w:val="000000"/>
                <w:sz w:val="21"/>
                <w:szCs w:val="21"/>
              </w:rPr>
              <w:t>$    26</w:t>
            </w:r>
          </w:p>
        </w:tc>
        <w:tc>
          <w:tcPr>
            <w:tcW w:w="963" w:type="dxa"/>
            <w:tcBorders>
              <w:top w:val="single" w:sz="4" w:space="0" w:color="00688D"/>
              <w:bottom w:val="triple" w:sz="4" w:space="0" w:color="00688D"/>
            </w:tcBorders>
            <w:noWrap/>
            <w:vAlign w:val="bottom"/>
            <w:hideMark/>
          </w:tcPr>
          <w:p w14:paraId="195323EE"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112</w:t>
            </w:r>
          </w:p>
        </w:tc>
        <w:tc>
          <w:tcPr>
            <w:tcW w:w="944" w:type="dxa"/>
            <w:tcBorders>
              <w:top w:val="single" w:sz="4" w:space="0" w:color="00688D"/>
              <w:bottom w:val="triple" w:sz="4" w:space="0" w:color="00688D"/>
            </w:tcBorders>
            <w:shd w:val="clear" w:color="auto" w:fill="D9D9D9" w:themeFill="background1" w:themeFillShade="D9"/>
            <w:noWrap/>
            <w:vAlign w:val="bottom"/>
            <w:hideMark/>
          </w:tcPr>
          <w:p w14:paraId="25962E57"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14</w:t>
            </w:r>
          </w:p>
        </w:tc>
        <w:tc>
          <w:tcPr>
            <w:tcW w:w="766" w:type="dxa"/>
            <w:tcBorders>
              <w:top w:val="single" w:sz="4" w:space="0" w:color="00688D"/>
              <w:bottom w:val="triple" w:sz="4" w:space="0" w:color="00688D"/>
            </w:tcBorders>
            <w:noWrap/>
            <w:vAlign w:val="bottom"/>
            <w:hideMark/>
          </w:tcPr>
          <w:p w14:paraId="0D7C8105" w14:textId="77777777" w:rsidR="00391F86" w:rsidRPr="00F5015A" w:rsidRDefault="00391F86" w:rsidP="001A12F8">
            <w:pPr>
              <w:jc w:val="right"/>
              <w:rPr>
                <w:rFonts w:ascii="Calibri" w:eastAsia="Times New Roman" w:hAnsi="Calibri" w:cs="Calibri"/>
                <w:color w:val="000000"/>
                <w:sz w:val="21"/>
                <w:szCs w:val="21"/>
              </w:rPr>
            </w:pPr>
            <w:r w:rsidRPr="00F5015A">
              <w:rPr>
                <w:rFonts w:ascii="Calibri" w:eastAsia="Times New Roman" w:hAnsi="Calibri" w:cs="Calibri"/>
                <w:color w:val="000000"/>
                <w:sz w:val="21"/>
                <w:szCs w:val="21"/>
              </w:rPr>
              <w:t>$      4</w:t>
            </w:r>
          </w:p>
        </w:tc>
      </w:tr>
    </w:tbl>
    <w:p w14:paraId="7AD7637A" w14:textId="55B0C967" w:rsidR="00A83362" w:rsidRDefault="00A83362" w:rsidP="00A83362">
      <w:pPr>
        <w:rPr>
          <w:rFonts w:cstheme="minorHAnsi"/>
          <w:b/>
          <w:color w:val="000000"/>
          <w:sz w:val="20"/>
          <w:szCs w:val="24"/>
        </w:rPr>
      </w:pPr>
    </w:p>
    <w:p w14:paraId="34104B83" w14:textId="77777777" w:rsidR="00A83362" w:rsidRDefault="00A83362" w:rsidP="00A83362">
      <w:pPr>
        <w:pStyle w:val="AFR3"/>
        <w:rPr>
          <w:rFonts w:cstheme="minorHAnsi"/>
        </w:rPr>
      </w:pPr>
      <w:r>
        <w:rPr>
          <w:rFonts w:cstheme="minorHAnsi"/>
        </w:rPr>
        <w:t>Operating and Nonoperating Revenue</w:t>
      </w:r>
    </w:p>
    <w:p w14:paraId="702DB4BB" w14:textId="77777777" w:rsidR="00A83362" w:rsidRDefault="00A83362" w:rsidP="00A83362">
      <w:pPr>
        <w:spacing w:after="120"/>
        <w:rPr>
          <w:rFonts w:eastAsia="Times New Roman" w:cstheme="minorHAnsi"/>
          <w:sz w:val="24"/>
        </w:rPr>
      </w:pPr>
      <w:r>
        <w:rPr>
          <w:rFonts w:eastAsia="Times New Roman" w:cstheme="minorHAnsi"/>
          <w:sz w:val="24"/>
        </w:rPr>
        <w:t>UMS revenues and expenses are categorized as either operating or nonoperating.</w:t>
      </w:r>
    </w:p>
    <w:p w14:paraId="247B6977" w14:textId="77777777" w:rsidR="00A83362" w:rsidRDefault="00A83362" w:rsidP="00A83362">
      <w:pPr>
        <w:pStyle w:val="ListParagraph"/>
        <w:numPr>
          <w:ilvl w:val="0"/>
          <w:numId w:val="18"/>
        </w:numPr>
        <w:contextualSpacing w:val="0"/>
        <w:rPr>
          <w:rFonts w:cstheme="minorHAnsi"/>
        </w:rPr>
      </w:pPr>
      <w:r w:rsidRPr="00790AF8">
        <w:rPr>
          <w:rFonts w:asciiTheme="minorHAnsi" w:hAnsiTheme="minorHAnsi" w:cstheme="minorHAnsi"/>
          <w:szCs w:val="22"/>
        </w:rPr>
        <w:t xml:space="preserve">In addition to tuition and fees, the System receives </w:t>
      </w:r>
      <w:r>
        <w:rPr>
          <w:rFonts w:asciiTheme="minorHAnsi" w:hAnsiTheme="minorHAnsi" w:cstheme="minorHAnsi"/>
          <w:szCs w:val="22"/>
        </w:rPr>
        <w:t xml:space="preserve">operating </w:t>
      </w:r>
      <w:r w:rsidRPr="00790AF8">
        <w:rPr>
          <w:rFonts w:asciiTheme="minorHAnsi" w:hAnsiTheme="minorHAnsi" w:cstheme="minorHAnsi"/>
          <w:szCs w:val="22"/>
        </w:rPr>
        <w:t xml:space="preserve">revenue from other sources such as governmental and privately funded grants and contracts; </w:t>
      </w:r>
      <w:r>
        <w:rPr>
          <w:rFonts w:asciiTheme="minorHAnsi" w:hAnsiTheme="minorHAnsi" w:cstheme="minorHAnsi"/>
          <w:szCs w:val="22"/>
        </w:rPr>
        <w:t>educational sales and services</w:t>
      </w:r>
      <w:r w:rsidRPr="00790AF8">
        <w:rPr>
          <w:rFonts w:asciiTheme="minorHAnsi" w:hAnsiTheme="minorHAnsi" w:cstheme="minorHAnsi"/>
          <w:szCs w:val="22"/>
        </w:rPr>
        <w:t xml:space="preserve">; and </w:t>
      </w:r>
      <w:r>
        <w:rPr>
          <w:rFonts w:asciiTheme="minorHAnsi" w:hAnsiTheme="minorHAnsi" w:cstheme="minorHAnsi"/>
          <w:szCs w:val="22"/>
        </w:rPr>
        <w:t>auxiliary enterprises</w:t>
      </w:r>
      <w:r w:rsidRPr="00790AF8">
        <w:rPr>
          <w:rFonts w:asciiTheme="minorHAnsi" w:hAnsiTheme="minorHAnsi" w:cstheme="minorHAnsi"/>
          <w:szCs w:val="22"/>
        </w:rPr>
        <w:t>.</w:t>
      </w:r>
    </w:p>
    <w:p w14:paraId="2D89B3B4" w14:textId="77777777" w:rsidR="00A83362" w:rsidRPr="00796CA3" w:rsidRDefault="00A83362" w:rsidP="00A83362">
      <w:pPr>
        <w:pStyle w:val="ListParagraph"/>
        <w:numPr>
          <w:ilvl w:val="0"/>
          <w:numId w:val="18"/>
        </w:numPr>
        <w:contextualSpacing w:val="0"/>
        <w:rPr>
          <w:rFonts w:cstheme="minorHAnsi"/>
        </w:rPr>
      </w:pPr>
      <w:r w:rsidRPr="00790AF8">
        <w:rPr>
          <w:rFonts w:asciiTheme="minorHAnsi" w:hAnsiTheme="minorHAnsi" w:cstheme="minorHAnsi"/>
          <w:szCs w:val="22"/>
        </w:rPr>
        <w:t>Certain significant recurring revenues and expenses are considered nonoperating including state noncapital appropriations, federal Pell grants, coronavirus relief funding, gifts, endowment return used for operations, investment income, and interest expense.</w:t>
      </w:r>
    </w:p>
    <w:p w14:paraId="16BFC015" w14:textId="77777777" w:rsidR="00A83362" w:rsidRDefault="00A83362" w:rsidP="00A83362">
      <w:pPr>
        <w:ind w:left="360"/>
        <w:rPr>
          <w:rFonts w:eastAsia="Times New Roman" w:cstheme="minorHAnsi"/>
        </w:rPr>
      </w:pPr>
    </w:p>
    <w:p w14:paraId="5538A83D" w14:textId="77777777" w:rsidR="00A83362" w:rsidRDefault="00A83362" w:rsidP="00A83362">
      <w:pPr>
        <w:rPr>
          <w:rFonts w:eastAsia="Times New Roman" w:cstheme="minorHAnsi"/>
          <w:sz w:val="24"/>
        </w:rPr>
      </w:pPr>
      <w:r>
        <w:rPr>
          <w:rFonts w:eastAsia="Times New Roman" w:cstheme="minorHAnsi"/>
          <w:sz w:val="24"/>
        </w:rPr>
        <w:lastRenderedPageBreak/>
        <w:t>The following pie charts illustrate the total operating and net nonoperating revenue sources used to fund the System’s activities for FY23 and FY22.</w:t>
      </w:r>
    </w:p>
    <w:p w14:paraId="799B185A" w14:textId="77777777" w:rsidR="00A83362" w:rsidRPr="00B73AEE" w:rsidRDefault="00A83362" w:rsidP="00A83362">
      <w:pPr>
        <w:rPr>
          <w:rFonts w:eastAsia="Times New Roman" w:cstheme="minorHAnsi"/>
          <w:b/>
          <w:color w:val="0D0D0D" w:themeColor="text1" w:themeTint="F2"/>
          <w:sz w:val="24"/>
          <w:szCs w:val="28"/>
        </w:rPr>
      </w:pPr>
    </w:p>
    <w:p w14:paraId="4E023FFD" w14:textId="60AF0924" w:rsidR="00A83362" w:rsidRDefault="00A83362" w:rsidP="00A83362">
      <w:pPr>
        <w:ind w:left="360"/>
        <w:jc w:val="center"/>
        <w:rPr>
          <w:rFonts w:eastAsia="Times New Roman" w:cstheme="minorHAnsi"/>
          <w:b/>
          <w:color w:val="0D0D0D" w:themeColor="text1" w:themeTint="F2"/>
          <w:sz w:val="28"/>
          <w:szCs w:val="28"/>
        </w:rPr>
      </w:pPr>
      <w:r>
        <w:rPr>
          <w:rFonts w:eastAsia="Times New Roman" w:cstheme="minorHAnsi"/>
          <w:b/>
          <w:color w:val="0D0D0D" w:themeColor="text1" w:themeTint="F2"/>
          <w:sz w:val="28"/>
          <w:szCs w:val="28"/>
        </w:rPr>
        <w:t xml:space="preserve">Chart </w:t>
      </w:r>
      <w:r w:rsidR="000D04E7">
        <w:rPr>
          <w:rFonts w:eastAsia="Times New Roman" w:cstheme="minorHAnsi"/>
          <w:b/>
          <w:color w:val="0D0D0D" w:themeColor="text1" w:themeTint="F2"/>
          <w:sz w:val="28"/>
          <w:szCs w:val="28"/>
        </w:rPr>
        <w:t>6</w:t>
      </w:r>
      <w:r>
        <w:rPr>
          <w:rFonts w:eastAsia="Times New Roman" w:cstheme="minorHAnsi"/>
          <w:b/>
          <w:color w:val="0D0D0D" w:themeColor="text1" w:themeTint="F2"/>
          <w:sz w:val="28"/>
          <w:szCs w:val="28"/>
        </w:rPr>
        <w:t>: Total Operating and Net Nonoperating Revenue</w:t>
      </w:r>
    </w:p>
    <w:p w14:paraId="475D9A29" w14:textId="77777777" w:rsidR="00A83362" w:rsidRDefault="00A83362" w:rsidP="00A83362">
      <w:pPr>
        <w:ind w:left="360"/>
        <w:jc w:val="center"/>
        <w:rPr>
          <w:rFonts w:eastAsia="Times New Roman" w:cstheme="minorHAnsi"/>
          <w:b/>
          <w:color w:val="0D0D0D" w:themeColor="text1" w:themeTint="F2"/>
          <w:sz w:val="28"/>
          <w:szCs w:val="28"/>
        </w:rPr>
      </w:pPr>
      <w:r>
        <w:rPr>
          <w:rFonts w:eastAsia="Times New Roman" w:cstheme="minorHAnsi"/>
          <w:b/>
          <w:noProof/>
          <w:color w:val="0D0D0D" w:themeColor="text1" w:themeTint="F2"/>
          <w:sz w:val="28"/>
          <w:szCs w:val="28"/>
        </w:rPr>
        <w:drawing>
          <wp:inline distT="0" distB="0" distL="0" distR="0" wp14:anchorId="68617F18" wp14:editId="384B26ED">
            <wp:extent cx="6407150" cy="355409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7150" cy="3554095"/>
                    </a:xfrm>
                    <a:prstGeom prst="rect">
                      <a:avLst/>
                    </a:prstGeom>
                    <a:noFill/>
                  </pic:spPr>
                </pic:pic>
              </a:graphicData>
            </a:graphic>
          </wp:inline>
        </w:drawing>
      </w:r>
    </w:p>
    <w:p w14:paraId="6CEFFB25" w14:textId="77777777" w:rsidR="00A83362" w:rsidRDefault="00A83362" w:rsidP="00A83362">
      <w:pPr>
        <w:ind w:left="360"/>
        <w:jc w:val="center"/>
        <w:rPr>
          <w:rFonts w:eastAsia="Times New Roman" w:cstheme="minorHAnsi"/>
          <w:b/>
          <w:color w:val="0D0D0D" w:themeColor="text1" w:themeTint="F2"/>
          <w:sz w:val="28"/>
          <w:szCs w:val="28"/>
        </w:rPr>
      </w:pPr>
      <w:r>
        <w:rPr>
          <w:noProof/>
        </w:rPr>
        <w:drawing>
          <wp:inline distT="0" distB="0" distL="0" distR="0" wp14:anchorId="16D50162" wp14:editId="3F57A4E6">
            <wp:extent cx="5943600" cy="3388360"/>
            <wp:effectExtent l="0" t="0" r="0" b="0"/>
            <wp:docPr id="548599788" name="Chart 548599788">
              <a:extLst xmlns:a="http://schemas.openxmlformats.org/drawingml/2006/main">
                <a:ext uri="{FF2B5EF4-FFF2-40B4-BE49-F238E27FC236}">
                  <a16:creationId xmlns:a16="http://schemas.microsoft.com/office/drawing/2014/main" id="{3B0A2D0C-88F2-4173-B581-B5AC9D024DA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82BBFE" w14:textId="77777777" w:rsidR="00A83362" w:rsidRDefault="00A83362" w:rsidP="00A83362">
      <w:pPr>
        <w:spacing w:after="160" w:line="259" w:lineRule="auto"/>
        <w:rPr>
          <w:b/>
          <w:i/>
          <w:sz w:val="26"/>
          <w:u w:val="single" w:color="000000" w:themeColor="text1"/>
        </w:rPr>
      </w:pPr>
      <w:r>
        <w:br w:type="page"/>
      </w:r>
    </w:p>
    <w:p w14:paraId="2B72DB5D" w14:textId="77777777" w:rsidR="00A83362" w:rsidRPr="00790AF8" w:rsidRDefault="00A83362" w:rsidP="00A83362">
      <w:pPr>
        <w:pStyle w:val="AFR3"/>
      </w:pPr>
      <w:r w:rsidRPr="000C35A5">
        <w:lastRenderedPageBreak/>
        <w:t>Net Student Fees Revenue</w:t>
      </w:r>
    </w:p>
    <w:p w14:paraId="70563B53" w14:textId="338F95DD" w:rsidR="00A83362" w:rsidRDefault="00A83362" w:rsidP="00A83362">
      <w:pPr>
        <w:spacing w:after="160" w:line="256" w:lineRule="auto"/>
        <w:rPr>
          <w:rFonts w:eastAsia="Times New Roman" w:cstheme="minorHAnsi"/>
          <w:sz w:val="24"/>
        </w:rPr>
      </w:pPr>
      <w:r>
        <w:rPr>
          <w:rFonts w:eastAsia="Times New Roman" w:cstheme="minorHAnsi"/>
          <w:sz w:val="24"/>
        </w:rPr>
        <w:t xml:space="preserve">Net student fees </w:t>
      </w:r>
      <w:r w:rsidR="00D559A2">
        <w:rPr>
          <w:rFonts w:eastAsia="Times New Roman" w:cstheme="minorHAnsi"/>
          <w:sz w:val="24"/>
        </w:rPr>
        <w:t xml:space="preserve">revenue </w:t>
      </w:r>
      <w:r>
        <w:rPr>
          <w:rFonts w:eastAsia="Times New Roman" w:cstheme="minorHAnsi"/>
          <w:sz w:val="24"/>
        </w:rPr>
        <w:t xml:space="preserve">of </w:t>
      </w:r>
      <w:r w:rsidRPr="00A316AD">
        <w:rPr>
          <w:rFonts w:eastAsia="Times New Roman" w:cstheme="minorHAnsi"/>
          <w:sz w:val="24"/>
        </w:rPr>
        <w:t>$</w:t>
      </w:r>
      <w:r w:rsidRPr="003152A0">
        <w:rPr>
          <w:rFonts w:eastAsia="Times New Roman" w:cstheme="minorHAnsi"/>
          <w:color w:val="0D0D0D" w:themeColor="text1" w:themeTint="F2"/>
          <w:sz w:val="24"/>
        </w:rPr>
        <w:t>251</w:t>
      </w:r>
      <w:r w:rsidRPr="007706DF">
        <w:rPr>
          <w:rFonts w:eastAsia="Times New Roman" w:cstheme="minorHAnsi"/>
          <w:sz w:val="24"/>
        </w:rPr>
        <w:t xml:space="preserve"> </w:t>
      </w:r>
      <w:r>
        <w:rPr>
          <w:rFonts w:eastAsia="Times New Roman" w:cstheme="minorHAnsi"/>
          <w:sz w:val="24"/>
        </w:rPr>
        <w:t>million for FY23</w:t>
      </w:r>
      <w:r w:rsidR="00D559A2">
        <w:rPr>
          <w:rFonts w:eastAsia="Times New Roman" w:cstheme="minorHAnsi"/>
          <w:sz w:val="24"/>
        </w:rPr>
        <w:t>, is</w:t>
      </w:r>
      <w:r>
        <w:rPr>
          <w:rFonts w:eastAsia="Times New Roman" w:cstheme="minorHAnsi"/>
          <w:sz w:val="24"/>
        </w:rPr>
        <w:t xml:space="preserve"> the largest source of revenues used to fund operating expenses, representing </w:t>
      </w:r>
      <w:r w:rsidRPr="003152A0">
        <w:rPr>
          <w:rFonts w:eastAsia="Times New Roman" w:cstheme="minorHAnsi"/>
          <w:color w:val="0D0D0D" w:themeColor="text1" w:themeTint="F2"/>
          <w:sz w:val="24"/>
        </w:rPr>
        <w:t>3</w:t>
      </w:r>
      <w:r>
        <w:rPr>
          <w:rFonts w:eastAsia="Times New Roman" w:cstheme="minorHAnsi"/>
          <w:color w:val="0D0D0D" w:themeColor="text1" w:themeTint="F2"/>
          <w:sz w:val="24"/>
        </w:rPr>
        <w:t>2</w:t>
      </w:r>
      <w:r w:rsidRPr="00A316AD">
        <w:rPr>
          <w:rFonts w:eastAsia="Times New Roman" w:cstheme="minorHAnsi"/>
          <w:sz w:val="24"/>
        </w:rPr>
        <w:t>%</w:t>
      </w:r>
      <w:r>
        <w:rPr>
          <w:rFonts w:eastAsia="Times New Roman" w:cstheme="minorHAnsi"/>
          <w:sz w:val="24"/>
        </w:rPr>
        <w:t xml:space="preserve"> of total operating and net nonoperating revenues. Net student fees of $263 million for FY22 represented 33% of that year’s total operating and net nonoperating revenues.</w:t>
      </w:r>
    </w:p>
    <w:p w14:paraId="372ED65D" w14:textId="77777777" w:rsidR="00A83362" w:rsidRDefault="00A83362" w:rsidP="00A83362">
      <w:pPr>
        <w:spacing w:after="160" w:line="256" w:lineRule="auto"/>
        <w:rPr>
          <w:rFonts w:eastAsia="Times New Roman" w:cstheme="minorHAnsi"/>
          <w:sz w:val="24"/>
        </w:rPr>
      </w:pPr>
      <w:r>
        <w:rPr>
          <w:rFonts w:eastAsia="Times New Roman" w:cstheme="minorHAnsi"/>
          <w:sz w:val="24"/>
        </w:rPr>
        <w:t>Net student fees revenue is comprised of tuition and fees and residence and dining fees less scholarship allowances:</w:t>
      </w:r>
    </w:p>
    <w:p w14:paraId="1AE28754" w14:textId="77777777" w:rsidR="00A83362" w:rsidRPr="000F4BEA" w:rsidRDefault="00A83362" w:rsidP="00A83362">
      <w:pPr>
        <w:pStyle w:val="ListParagraph"/>
        <w:numPr>
          <w:ilvl w:val="0"/>
          <w:numId w:val="13"/>
        </w:numPr>
        <w:spacing w:line="256" w:lineRule="auto"/>
        <w:rPr>
          <w:rFonts w:cstheme="minorHAnsi"/>
        </w:rPr>
      </w:pPr>
      <w:r w:rsidRPr="00DE50BF">
        <w:rPr>
          <w:rFonts w:asciiTheme="minorHAnsi" w:hAnsiTheme="minorHAnsi" w:cstheme="minorHAnsi"/>
          <w:szCs w:val="22"/>
        </w:rPr>
        <w:t xml:space="preserve">Tuition and fees totaled </w:t>
      </w:r>
      <w:r w:rsidRPr="00A316AD">
        <w:rPr>
          <w:rFonts w:asciiTheme="minorHAnsi" w:hAnsiTheme="minorHAnsi" w:cstheme="minorHAnsi"/>
          <w:szCs w:val="22"/>
        </w:rPr>
        <w:t>$</w:t>
      </w:r>
      <w:r>
        <w:rPr>
          <w:rFonts w:asciiTheme="minorHAnsi" w:hAnsiTheme="minorHAnsi" w:cstheme="minorHAnsi"/>
          <w:szCs w:val="22"/>
        </w:rPr>
        <w:t>314</w:t>
      </w:r>
      <w:r w:rsidRPr="007706DF">
        <w:rPr>
          <w:rFonts w:asciiTheme="minorHAnsi" w:hAnsiTheme="minorHAnsi" w:cstheme="minorHAnsi"/>
          <w:szCs w:val="22"/>
        </w:rPr>
        <w:t xml:space="preserve"> </w:t>
      </w:r>
      <w:r w:rsidRPr="00DE50BF">
        <w:rPr>
          <w:rFonts w:asciiTheme="minorHAnsi" w:hAnsiTheme="minorHAnsi" w:cstheme="minorHAnsi"/>
          <w:szCs w:val="22"/>
        </w:rPr>
        <w:t xml:space="preserve">million in </w:t>
      </w:r>
      <w:r w:rsidRPr="00D37B7A">
        <w:rPr>
          <w:rFonts w:asciiTheme="minorHAnsi" w:hAnsiTheme="minorHAnsi" w:cstheme="minorHAnsi"/>
          <w:szCs w:val="22"/>
        </w:rPr>
        <w:t>FY2</w:t>
      </w:r>
      <w:r>
        <w:rPr>
          <w:rFonts w:asciiTheme="minorHAnsi" w:hAnsiTheme="minorHAnsi" w:cstheme="minorHAnsi"/>
          <w:szCs w:val="22"/>
        </w:rPr>
        <w:t>3</w:t>
      </w:r>
      <w:r w:rsidRPr="00DE50BF">
        <w:rPr>
          <w:rFonts w:asciiTheme="minorHAnsi" w:hAnsiTheme="minorHAnsi" w:cstheme="minorHAnsi"/>
          <w:szCs w:val="22"/>
        </w:rPr>
        <w:t xml:space="preserve">, </w:t>
      </w:r>
      <w:r>
        <w:rPr>
          <w:rFonts w:asciiTheme="minorHAnsi" w:hAnsiTheme="minorHAnsi" w:cstheme="minorHAnsi"/>
          <w:szCs w:val="22"/>
        </w:rPr>
        <w:t>de</w:t>
      </w:r>
      <w:r w:rsidRPr="00A316AD">
        <w:rPr>
          <w:rFonts w:asciiTheme="minorHAnsi" w:hAnsiTheme="minorHAnsi" w:cstheme="minorHAnsi"/>
          <w:szCs w:val="22"/>
        </w:rPr>
        <w:t>creasing</w:t>
      </w:r>
      <w:r w:rsidRPr="00CA04B1">
        <w:rPr>
          <w:rFonts w:asciiTheme="minorHAnsi" w:hAnsiTheme="minorHAnsi" w:cstheme="minorHAnsi"/>
          <w:szCs w:val="22"/>
        </w:rPr>
        <w:t xml:space="preserve"> </w:t>
      </w:r>
      <w:r w:rsidRPr="00A316AD">
        <w:rPr>
          <w:rFonts w:asciiTheme="minorHAnsi" w:hAnsiTheme="minorHAnsi" w:cstheme="minorHAnsi"/>
          <w:szCs w:val="22"/>
        </w:rPr>
        <w:t>$</w:t>
      </w:r>
      <w:r>
        <w:rPr>
          <w:rFonts w:asciiTheme="minorHAnsi" w:hAnsiTheme="minorHAnsi" w:cstheme="minorHAnsi"/>
          <w:szCs w:val="22"/>
        </w:rPr>
        <w:t>14</w:t>
      </w:r>
      <w:r w:rsidRPr="00DE50BF">
        <w:rPr>
          <w:rFonts w:asciiTheme="minorHAnsi" w:hAnsiTheme="minorHAnsi" w:cstheme="minorHAnsi"/>
          <w:szCs w:val="22"/>
        </w:rPr>
        <w:t xml:space="preserve"> million, or</w:t>
      </w:r>
      <w:r>
        <w:rPr>
          <w:rFonts w:asciiTheme="minorHAnsi" w:hAnsiTheme="minorHAnsi" w:cstheme="minorHAnsi"/>
          <w:szCs w:val="22"/>
        </w:rPr>
        <w:t xml:space="preserve"> 4</w:t>
      </w:r>
      <w:r w:rsidRPr="00A316AD">
        <w:rPr>
          <w:rFonts w:asciiTheme="minorHAnsi" w:hAnsiTheme="minorHAnsi" w:cstheme="minorHAnsi"/>
          <w:szCs w:val="22"/>
        </w:rPr>
        <w:t>%</w:t>
      </w:r>
      <w:r w:rsidRPr="00DE50BF">
        <w:rPr>
          <w:rFonts w:asciiTheme="minorHAnsi" w:hAnsiTheme="minorHAnsi" w:cstheme="minorHAnsi"/>
          <w:szCs w:val="22"/>
        </w:rPr>
        <w:t>, from the prior year. FY</w:t>
      </w:r>
      <w:r>
        <w:rPr>
          <w:rFonts w:asciiTheme="minorHAnsi" w:hAnsiTheme="minorHAnsi" w:cstheme="minorHAnsi"/>
          <w:szCs w:val="22"/>
        </w:rPr>
        <w:t>22</w:t>
      </w:r>
      <w:r w:rsidRPr="00DE50BF">
        <w:rPr>
          <w:rFonts w:asciiTheme="minorHAnsi" w:hAnsiTheme="minorHAnsi" w:cstheme="minorHAnsi"/>
          <w:szCs w:val="22"/>
        </w:rPr>
        <w:t xml:space="preserve"> revenues increased $</w:t>
      </w:r>
      <w:r>
        <w:rPr>
          <w:rFonts w:asciiTheme="minorHAnsi" w:hAnsiTheme="minorHAnsi" w:cstheme="minorHAnsi"/>
          <w:szCs w:val="22"/>
        </w:rPr>
        <w:t>7</w:t>
      </w:r>
      <w:r w:rsidRPr="00DE50BF">
        <w:rPr>
          <w:rFonts w:asciiTheme="minorHAnsi" w:hAnsiTheme="minorHAnsi" w:cstheme="minorHAnsi"/>
          <w:szCs w:val="22"/>
        </w:rPr>
        <w:t xml:space="preserve"> million, or </w:t>
      </w:r>
      <w:r>
        <w:rPr>
          <w:rFonts w:asciiTheme="minorHAnsi" w:hAnsiTheme="minorHAnsi" w:cstheme="minorHAnsi"/>
          <w:szCs w:val="22"/>
        </w:rPr>
        <w:t>2</w:t>
      </w:r>
      <w:r w:rsidRPr="00DE50BF">
        <w:rPr>
          <w:rFonts w:asciiTheme="minorHAnsi" w:hAnsiTheme="minorHAnsi" w:cstheme="minorHAnsi"/>
          <w:szCs w:val="22"/>
        </w:rPr>
        <w:t>%, from FY</w:t>
      </w:r>
      <w:r>
        <w:rPr>
          <w:rFonts w:asciiTheme="minorHAnsi" w:hAnsiTheme="minorHAnsi" w:cstheme="minorHAnsi"/>
          <w:szCs w:val="22"/>
        </w:rPr>
        <w:t>21.</w:t>
      </w:r>
    </w:p>
    <w:p w14:paraId="7F6E5750" w14:textId="77777777" w:rsidR="00A83362" w:rsidRPr="006B2CB2" w:rsidRDefault="00A83362" w:rsidP="00A83362">
      <w:pPr>
        <w:numPr>
          <w:ilvl w:val="0"/>
          <w:numId w:val="2"/>
        </w:numPr>
        <w:ind w:left="720"/>
        <w:rPr>
          <w:rFonts w:eastAsia="Times New Roman" w:cstheme="minorHAnsi"/>
          <w:sz w:val="24"/>
        </w:rPr>
      </w:pPr>
      <w:r w:rsidRPr="006B2CB2">
        <w:rPr>
          <w:rFonts w:eastAsia="Times New Roman" w:cstheme="minorHAnsi"/>
          <w:sz w:val="24"/>
        </w:rPr>
        <w:t>Residence and dining fees of $6</w:t>
      </w:r>
      <w:r>
        <w:rPr>
          <w:rFonts w:eastAsia="Times New Roman" w:cstheme="minorHAnsi"/>
          <w:sz w:val="24"/>
        </w:rPr>
        <w:t>7</w:t>
      </w:r>
      <w:r w:rsidRPr="006B2CB2">
        <w:rPr>
          <w:rFonts w:eastAsia="Times New Roman" w:cstheme="minorHAnsi"/>
          <w:sz w:val="24"/>
        </w:rPr>
        <w:t xml:space="preserve"> million in FY2</w:t>
      </w:r>
      <w:r>
        <w:rPr>
          <w:rFonts w:eastAsia="Times New Roman" w:cstheme="minorHAnsi"/>
          <w:sz w:val="24"/>
        </w:rPr>
        <w:t>3</w:t>
      </w:r>
      <w:r w:rsidRPr="006B2CB2">
        <w:rPr>
          <w:rFonts w:eastAsia="Times New Roman" w:cstheme="minorHAnsi"/>
          <w:sz w:val="24"/>
        </w:rPr>
        <w:t xml:space="preserve"> were up $2 million, or 3%, compared with FY2</w:t>
      </w:r>
      <w:r>
        <w:rPr>
          <w:rFonts w:eastAsia="Times New Roman" w:cstheme="minorHAnsi"/>
          <w:sz w:val="24"/>
        </w:rPr>
        <w:t>2</w:t>
      </w:r>
      <w:r w:rsidRPr="006B2CB2">
        <w:rPr>
          <w:rFonts w:eastAsia="Times New Roman" w:cstheme="minorHAnsi"/>
          <w:sz w:val="24"/>
        </w:rPr>
        <w:t xml:space="preserve">. </w:t>
      </w:r>
      <w:r>
        <w:rPr>
          <w:rFonts w:eastAsia="Times New Roman" w:cstheme="minorHAnsi"/>
          <w:sz w:val="24"/>
        </w:rPr>
        <w:t xml:space="preserve"> </w:t>
      </w:r>
      <w:r w:rsidRPr="006B2CB2">
        <w:rPr>
          <w:rFonts w:eastAsia="Times New Roman" w:cstheme="minorHAnsi"/>
          <w:sz w:val="24"/>
        </w:rPr>
        <w:t>FY2</w:t>
      </w:r>
      <w:r>
        <w:rPr>
          <w:rFonts w:eastAsia="Times New Roman" w:cstheme="minorHAnsi"/>
          <w:sz w:val="24"/>
        </w:rPr>
        <w:t>2</w:t>
      </w:r>
      <w:r w:rsidRPr="006B2CB2">
        <w:rPr>
          <w:rFonts w:eastAsia="Times New Roman" w:cstheme="minorHAnsi"/>
          <w:sz w:val="24"/>
        </w:rPr>
        <w:t xml:space="preserve"> residence and dining fees </w:t>
      </w:r>
      <w:r>
        <w:rPr>
          <w:rFonts w:eastAsia="Times New Roman" w:cstheme="minorHAnsi"/>
          <w:sz w:val="24"/>
        </w:rPr>
        <w:t>in</w:t>
      </w:r>
      <w:r w:rsidRPr="006B2CB2">
        <w:rPr>
          <w:rFonts w:eastAsia="Times New Roman" w:cstheme="minorHAnsi"/>
          <w:sz w:val="24"/>
        </w:rPr>
        <w:t>creased $</w:t>
      </w:r>
      <w:r>
        <w:rPr>
          <w:rFonts w:eastAsia="Times New Roman" w:cstheme="minorHAnsi"/>
          <w:sz w:val="24"/>
        </w:rPr>
        <w:t>25</w:t>
      </w:r>
      <w:r w:rsidRPr="006B2CB2">
        <w:rPr>
          <w:rFonts w:eastAsia="Times New Roman" w:cstheme="minorHAnsi"/>
          <w:sz w:val="24"/>
        </w:rPr>
        <w:t xml:space="preserve"> million, or </w:t>
      </w:r>
      <w:r>
        <w:rPr>
          <w:rFonts w:eastAsia="Times New Roman" w:cstheme="minorHAnsi"/>
          <w:sz w:val="24"/>
        </w:rPr>
        <w:t>6</w:t>
      </w:r>
      <w:r w:rsidRPr="006B2CB2">
        <w:rPr>
          <w:rFonts w:eastAsia="Times New Roman" w:cstheme="minorHAnsi"/>
          <w:sz w:val="24"/>
        </w:rPr>
        <w:t>3%, compared with FY2</w:t>
      </w:r>
      <w:r>
        <w:rPr>
          <w:rFonts w:eastAsia="Times New Roman" w:cstheme="minorHAnsi"/>
          <w:sz w:val="24"/>
        </w:rPr>
        <w:t>1</w:t>
      </w:r>
      <w:r w:rsidRPr="006B2CB2">
        <w:rPr>
          <w:rFonts w:eastAsia="Times New Roman" w:cstheme="minorHAnsi"/>
          <w:sz w:val="24"/>
        </w:rPr>
        <w:t xml:space="preserve">. </w:t>
      </w:r>
    </w:p>
    <w:p w14:paraId="471881F0" w14:textId="77777777" w:rsidR="00A83362" w:rsidRDefault="00A83362" w:rsidP="00A83362">
      <w:pPr>
        <w:numPr>
          <w:ilvl w:val="0"/>
          <w:numId w:val="2"/>
        </w:numPr>
        <w:ind w:left="720"/>
        <w:rPr>
          <w:rFonts w:eastAsia="Times New Roman" w:cstheme="minorHAnsi"/>
          <w:sz w:val="24"/>
        </w:rPr>
      </w:pPr>
      <w:r>
        <w:rPr>
          <w:rFonts w:eastAsia="Times New Roman" w:cstheme="minorHAnsi"/>
          <w:sz w:val="24"/>
        </w:rPr>
        <w:t xml:space="preserve">Scholarship allowances totaled </w:t>
      </w:r>
      <w:r w:rsidRPr="00A316AD">
        <w:rPr>
          <w:rFonts w:eastAsia="Times New Roman" w:cstheme="minorHAnsi"/>
          <w:sz w:val="24"/>
        </w:rPr>
        <w:t>$</w:t>
      </w:r>
      <w:r>
        <w:rPr>
          <w:rFonts w:eastAsia="Times New Roman" w:cstheme="minorHAnsi"/>
          <w:sz w:val="24"/>
        </w:rPr>
        <w:t>130 million in FY23, remaining flat with the prior year.  The FY22 scholarship allowances increased $8 million, or 7%, from FY21.</w:t>
      </w:r>
    </w:p>
    <w:p w14:paraId="123DA0FE" w14:textId="77777777" w:rsidR="00A83362" w:rsidRDefault="00A83362" w:rsidP="00A83362">
      <w:pPr>
        <w:pStyle w:val="AFR3"/>
        <w:rPr>
          <w:rFonts w:cstheme="minorHAnsi"/>
        </w:rPr>
      </w:pPr>
      <w:r>
        <w:rPr>
          <w:rFonts w:cstheme="minorHAnsi"/>
        </w:rPr>
        <w:br w:type="page"/>
      </w:r>
    </w:p>
    <w:p w14:paraId="6155EAB7" w14:textId="77777777" w:rsidR="00A83362" w:rsidRDefault="00A83362" w:rsidP="00A83362">
      <w:pPr>
        <w:pStyle w:val="AFR3"/>
        <w:rPr>
          <w:rFonts w:cstheme="minorHAnsi"/>
        </w:rPr>
      </w:pPr>
      <w:r>
        <w:rPr>
          <w:rFonts w:cstheme="minorHAnsi"/>
        </w:rPr>
        <w:lastRenderedPageBreak/>
        <w:t>Student Financial Aid</w:t>
      </w:r>
    </w:p>
    <w:p w14:paraId="381A6265" w14:textId="77777777" w:rsidR="00A83362" w:rsidRDefault="00A83362" w:rsidP="00A83362">
      <w:pPr>
        <w:tabs>
          <w:tab w:val="left" w:pos="540"/>
        </w:tabs>
        <w:spacing w:after="160"/>
        <w:rPr>
          <w:rFonts w:eastAsia="Times New Roman" w:cstheme="minorHAnsi"/>
          <w:sz w:val="24"/>
        </w:rPr>
      </w:pPr>
      <w:r>
        <w:rPr>
          <w:rFonts w:eastAsia="Times New Roman" w:cstheme="minorHAnsi"/>
          <w:sz w:val="24"/>
        </w:rPr>
        <w:t>Student financial aid awards are made from a variety of sources including federal, state, private, and university funds. Funding received by the UMS from third parties is recognized as grants and contracts revenue (operating), federal Pell grants revenue (nonoperating) or gift revenue (nonoperating) on the Statements of Revenues, Expenses, and Changes in Net Position while the distribution of aid from all sources is shown as one of two components:</w:t>
      </w:r>
    </w:p>
    <w:p w14:paraId="673D9674" w14:textId="77777777" w:rsidR="00A83362" w:rsidRDefault="00A83362" w:rsidP="00A83362">
      <w:pPr>
        <w:numPr>
          <w:ilvl w:val="2"/>
          <w:numId w:val="12"/>
        </w:numPr>
        <w:tabs>
          <w:tab w:val="left" w:pos="990"/>
        </w:tabs>
        <w:ind w:left="720"/>
        <w:rPr>
          <w:rFonts w:eastAsia="Times New Roman" w:cstheme="minorHAnsi"/>
          <w:sz w:val="24"/>
        </w:rPr>
      </w:pPr>
      <w:r>
        <w:rPr>
          <w:rFonts w:eastAsia="Times New Roman" w:cstheme="minorHAnsi"/>
          <w:sz w:val="24"/>
        </w:rPr>
        <w:t>Scholarship Allowances – financial aid retained by the System to cover students’ tuition, fees, and on-campus housing and meals. These amounts are reported as a direct offset to operating revenues as a component of the net student fees revenue line.</w:t>
      </w:r>
    </w:p>
    <w:p w14:paraId="40C1D135" w14:textId="77777777" w:rsidR="00A83362" w:rsidRDefault="00A83362" w:rsidP="00A83362">
      <w:pPr>
        <w:numPr>
          <w:ilvl w:val="2"/>
          <w:numId w:val="12"/>
        </w:numPr>
        <w:tabs>
          <w:tab w:val="left" w:pos="990"/>
        </w:tabs>
        <w:ind w:left="720"/>
        <w:rPr>
          <w:rFonts w:eastAsia="Times New Roman" w:cstheme="minorHAnsi"/>
          <w:sz w:val="24"/>
        </w:rPr>
      </w:pPr>
      <w:r>
        <w:rPr>
          <w:rFonts w:eastAsia="Times New Roman" w:cstheme="minorHAnsi"/>
          <w:sz w:val="24"/>
        </w:rPr>
        <w:t>Student Aid Expense – financial aid refunded to students to cover off-campus living costs, books, and other personal living expenses. These amounts are reported as operating expense.</w:t>
      </w:r>
    </w:p>
    <w:p w14:paraId="6683BBC3" w14:textId="77777777" w:rsidR="00A83362" w:rsidRDefault="00A83362" w:rsidP="00A83362">
      <w:pPr>
        <w:tabs>
          <w:tab w:val="left" w:pos="540"/>
        </w:tabs>
        <w:spacing w:before="200" w:after="160"/>
        <w:rPr>
          <w:rFonts w:eastAsia="Times New Roman" w:cstheme="minorHAnsi"/>
          <w:sz w:val="24"/>
        </w:rPr>
      </w:pPr>
      <w:r>
        <w:rPr>
          <w:rFonts w:eastAsia="Times New Roman" w:cstheme="minorHAnsi"/>
          <w:sz w:val="24"/>
        </w:rPr>
        <w:t>Federal financial aid awards are based on a student’s financial need considering their total cost of education which includes tuition and fees, housing and meals (both on and off campus), books, and other personal living expenses.</w:t>
      </w:r>
    </w:p>
    <w:p w14:paraId="66C71C0D" w14:textId="77777777" w:rsidR="00A83362" w:rsidRDefault="00A83362" w:rsidP="00A83362">
      <w:pPr>
        <w:tabs>
          <w:tab w:val="left" w:pos="540"/>
        </w:tabs>
        <w:spacing w:after="160"/>
        <w:jc w:val="center"/>
        <w:rPr>
          <w:rFonts w:eastAsia="Times New Roman" w:cstheme="minorHAnsi"/>
          <w:sz w:val="24"/>
        </w:rPr>
      </w:pPr>
      <w:r w:rsidRPr="00403B99">
        <w:rPr>
          <w:noProof/>
        </w:rPr>
        <w:t xml:space="preserve"> </w:t>
      </w:r>
      <w:r>
        <w:rPr>
          <w:noProof/>
        </w:rPr>
        <w:drawing>
          <wp:inline distT="0" distB="0" distL="0" distR="0" wp14:anchorId="7555F26A" wp14:editId="3AED7B92">
            <wp:extent cx="4495800" cy="2857500"/>
            <wp:effectExtent l="0" t="0" r="0" b="0"/>
            <wp:docPr id="64103852" name="Chart 64103852">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8C145B" w14:textId="52E19485" w:rsidR="00A83362" w:rsidRPr="00C86CAD" w:rsidRDefault="00A83362" w:rsidP="00A83362">
      <w:pPr>
        <w:tabs>
          <w:tab w:val="left" w:pos="540"/>
        </w:tabs>
        <w:rPr>
          <w:rFonts w:eastAsia="Times New Roman" w:cstheme="minorHAnsi"/>
          <w:sz w:val="24"/>
        </w:rPr>
      </w:pPr>
      <w:r>
        <w:rPr>
          <w:rFonts w:eastAsia="Times New Roman" w:cstheme="minorHAnsi"/>
          <w:sz w:val="24"/>
        </w:rPr>
        <w:t xml:space="preserve">During FY23, total financial aid provided to students was </w:t>
      </w:r>
      <w:r w:rsidRPr="00303CD4">
        <w:rPr>
          <w:rFonts w:eastAsia="Times New Roman" w:cstheme="minorHAnsi"/>
          <w:sz w:val="24"/>
        </w:rPr>
        <w:t xml:space="preserve">$157 million, decreasing $31 million, or 16%, </w:t>
      </w:r>
      <w:r w:rsidRPr="00A41488">
        <w:rPr>
          <w:rFonts w:eastAsia="Times New Roman" w:cstheme="minorHAnsi"/>
          <w:sz w:val="24"/>
        </w:rPr>
        <w:t xml:space="preserve">from FY22 financial aid of $188 million. </w:t>
      </w:r>
      <w:r w:rsidRPr="00C304AF">
        <w:rPr>
          <w:rFonts w:eastAsia="Times New Roman" w:cstheme="minorHAnsi"/>
          <w:sz w:val="24"/>
        </w:rPr>
        <w:t xml:space="preserve">This net decrease includes a $4 million decrease in unrestricted institutional aid, </w:t>
      </w:r>
      <w:r>
        <w:rPr>
          <w:rFonts w:eastAsia="Times New Roman" w:cstheme="minorHAnsi"/>
          <w:sz w:val="24"/>
        </w:rPr>
        <w:t xml:space="preserve">a $2 million decrease in both PELL awards and State of Maine Grant funds, </w:t>
      </w:r>
      <w:r w:rsidRPr="002D27FF">
        <w:rPr>
          <w:rFonts w:eastAsia="Times New Roman" w:cstheme="minorHAnsi"/>
          <w:sz w:val="24"/>
        </w:rPr>
        <w:t>a</w:t>
      </w:r>
      <w:r>
        <w:rPr>
          <w:rFonts w:eastAsia="Times New Roman" w:cstheme="minorHAnsi"/>
          <w:sz w:val="24"/>
        </w:rPr>
        <w:t xml:space="preserve">nd a </w:t>
      </w:r>
      <w:r w:rsidRPr="002D27FF">
        <w:rPr>
          <w:rFonts w:eastAsia="Times New Roman" w:cstheme="minorHAnsi"/>
          <w:sz w:val="24"/>
        </w:rPr>
        <w:t>decrease of $2</w:t>
      </w:r>
      <w:r>
        <w:rPr>
          <w:rFonts w:eastAsia="Times New Roman" w:cstheme="minorHAnsi"/>
          <w:sz w:val="24"/>
        </w:rPr>
        <w:t>3</w:t>
      </w:r>
      <w:r w:rsidRPr="002D27FF">
        <w:rPr>
          <w:rFonts w:eastAsia="Times New Roman" w:cstheme="minorHAnsi"/>
          <w:sz w:val="24"/>
        </w:rPr>
        <w:t xml:space="preserve"> million in funding from the federal </w:t>
      </w:r>
      <w:r w:rsidR="00D411AF">
        <w:rPr>
          <w:rFonts w:eastAsia="Times New Roman" w:cstheme="minorHAnsi"/>
          <w:sz w:val="24"/>
        </w:rPr>
        <w:t>c</w:t>
      </w:r>
      <w:r w:rsidR="00D411AF" w:rsidRPr="002D27FF">
        <w:rPr>
          <w:rFonts w:eastAsia="Times New Roman" w:cstheme="minorHAnsi"/>
          <w:sz w:val="24"/>
        </w:rPr>
        <w:t xml:space="preserve">oronavirus </w:t>
      </w:r>
      <w:r w:rsidR="00D411AF">
        <w:rPr>
          <w:rFonts w:eastAsia="Times New Roman" w:cstheme="minorHAnsi"/>
          <w:sz w:val="24"/>
        </w:rPr>
        <w:t>r</w:t>
      </w:r>
      <w:r w:rsidR="00D411AF" w:rsidRPr="002D27FF">
        <w:rPr>
          <w:rFonts w:eastAsia="Times New Roman" w:cstheme="minorHAnsi"/>
          <w:sz w:val="24"/>
        </w:rPr>
        <w:t xml:space="preserve">elief </w:t>
      </w:r>
      <w:r w:rsidRPr="002D27FF">
        <w:rPr>
          <w:rFonts w:eastAsia="Times New Roman" w:cstheme="minorHAnsi"/>
          <w:sz w:val="24"/>
        </w:rPr>
        <w:t>funds.</w:t>
      </w:r>
      <w:r>
        <w:rPr>
          <w:rFonts w:eastAsia="Times New Roman" w:cstheme="minorHAnsi"/>
          <w:sz w:val="24"/>
        </w:rPr>
        <w:t xml:space="preserve"> </w:t>
      </w:r>
    </w:p>
    <w:p w14:paraId="3BF5EE01" w14:textId="77777777" w:rsidR="00A83362" w:rsidRDefault="00A83362" w:rsidP="00A83362">
      <w:pPr>
        <w:tabs>
          <w:tab w:val="left" w:pos="540"/>
        </w:tabs>
        <w:rPr>
          <w:rFonts w:eastAsia="Times New Roman" w:cstheme="minorHAnsi"/>
          <w:sz w:val="20"/>
          <w:szCs w:val="20"/>
        </w:rPr>
      </w:pPr>
    </w:p>
    <w:p w14:paraId="64B87B72" w14:textId="0F5D4488" w:rsidR="00A83362" w:rsidRDefault="00A83362" w:rsidP="00A83362">
      <w:pPr>
        <w:tabs>
          <w:tab w:val="left" w:pos="540"/>
        </w:tabs>
        <w:rPr>
          <w:rFonts w:cstheme="minorHAnsi"/>
          <w:b/>
          <w:i/>
          <w:sz w:val="26"/>
          <w:u w:val="single" w:color="000000" w:themeColor="text1"/>
        </w:rPr>
      </w:pPr>
      <w:r>
        <w:rPr>
          <w:rFonts w:eastAsia="Times New Roman" w:cstheme="minorHAnsi"/>
          <w:sz w:val="24"/>
        </w:rPr>
        <w:t>During FY22, total financial aid provided to students was $188 million, in</w:t>
      </w:r>
      <w:r w:rsidRPr="00A316AD">
        <w:rPr>
          <w:rFonts w:eastAsia="Times New Roman" w:cstheme="minorHAnsi"/>
          <w:sz w:val="24"/>
        </w:rPr>
        <w:t>creasing $</w:t>
      </w:r>
      <w:r>
        <w:rPr>
          <w:rFonts w:eastAsia="Times New Roman" w:cstheme="minorHAnsi"/>
          <w:sz w:val="24"/>
        </w:rPr>
        <w:t>26 million, or 16</w:t>
      </w:r>
      <w:r w:rsidRPr="00A316AD">
        <w:rPr>
          <w:rFonts w:eastAsia="Times New Roman" w:cstheme="minorHAnsi"/>
          <w:sz w:val="24"/>
        </w:rPr>
        <w:t>%</w:t>
      </w:r>
      <w:r>
        <w:rPr>
          <w:rFonts w:eastAsia="Times New Roman" w:cstheme="minorHAnsi"/>
          <w:sz w:val="24"/>
        </w:rPr>
        <w:t>, from FY21 financial aid of $162 million. The net increase</w:t>
      </w:r>
      <w:r w:rsidRPr="00C86CAD">
        <w:rPr>
          <w:rFonts w:eastAsia="Times New Roman" w:cstheme="minorHAnsi"/>
          <w:sz w:val="24"/>
        </w:rPr>
        <w:t xml:space="preserve"> includes </w:t>
      </w:r>
      <w:r>
        <w:rPr>
          <w:rFonts w:eastAsia="Times New Roman" w:cstheme="minorHAnsi"/>
          <w:sz w:val="24"/>
        </w:rPr>
        <w:t>a $</w:t>
      </w:r>
      <w:r w:rsidRPr="001673CF">
        <w:rPr>
          <w:rFonts w:eastAsia="Times New Roman" w:cstheme="minorHAnsi"/>
          <w:sz w:val="24"/>
        </w:rPr>
        <w:t xml:space="preserve">1 million </w:t>
      </w:r>
      <w:r w:rsidRPr="00721CFD">
        <w:rPr>
          <w:rFonts w:eastAsia="Times New Roman" w:cstheme="minorHAnsi"/>
          <w:sz w:val="24"/>
        </w:rPr>
        <w:t>decrease in Pell awards</w:t>
      </w:r>
      <w:r>
        <w:rPr>
          <w:rFonts w:eastAsia="Times New Roman" w:cstheme="minorHAnsi"/>
          <w:sz w:val="24"/>
        </w:rPr>
        <w:t>,</w:t>
      </w:r>
      <w:r w:rsidRPr="001673CF">
        <w:rPr>
          <w:rFonts w:eastAsia="Times New Roman" w:cstheme="minorHAnsi"/>
          <w:sz w:val="24"/>
        </w:rPr>
        <w:t xml:space="preserve"> an </w:t>
      </w:r>
      <w:r w:rsidRPr="00721CFD">
        <w:rPr>
          <w:rFonts w:eastAsia="Times New Roman" w:cstheme="minorHAnsi"/>
          <w:sz w:val="24"/>
        </w:rPr>
        <w:t>in</w:t>
      </w:r>
      <w:r w:rsidRPr="001673CF">
        <w:rPr>
          <w:rFonts w:eastAsia="Times New Roman" w:cstheme="minorHAnsi"/>
          <w:sz w:val="24"/>
        </w:rPr>
        <w:t>crease of</w:t>
      </w:r>
      <w:r w:rsidRPr="00721CFD">
        <w:rPr>
          <w:rFonts w:eastAsia="Times New Roman" w:cstheme="minorHAnsi"/>
          <w:sz w:val="24"/>
        </w:rPr>
        <w:t xml:space="preserve"> </w:t>
      </w:r>
      <w:r w:rsidRPr="001673CF">
        <w:rPr>
          <w:rFonts w:eastAsia="Times New Roman" w:cstheme="minorHAnsi"/>
          <w:sz w:val="24"/>
        </w:rPr>
        <w:t>$1</w:t>
      </w:r>
      <w:r w:rsidRPr="00721CFD">
        <w:rPr>
          <w:rFonts w:eastAsia="Times New Roman" w:cstheme="minorHAnsi"/>
          <w:sz w:val="24"/>
        </w:rPr>
        <w:t>8</w:t>
      </w:r>
      <w:r w:rsidRPr="001673CF">
        <w:rPr>
          <w:rFonts w:eastAsia="Times New Roman" w:cstheme="minorHAnsi"/>
          <w:sz w:val="24"/>
        </w:rPr>
        <w:t xml:space="preserve"> million in funding from </w:t>
      </w:r>
      <w:r w:rsidRPr="00721CFD">
        <w:rPr>
          <w:rFonts w:eastAsia="Times New Roman" w:cstheme="minorHAnsi"/>
          <w:sz w:val="24"/>
        </w:rPr>
        <w:t xml:space="preserve">the federal </w:t>
      </w:r>
      <w:r w:rsidR="00D411AF">
        <w:rPr>
          <w:rFonts w:eastAsia="Times New Roman" w:cstheme="minorHAnsi"/>
          <w:sz w:val="24"/>
        </w:rPr>
        <w:t>c</w:t>
      </w:r>
      <w:r w:rsidR="00D411AF" w:rsidRPr="00721CFD">
        <w:rPr>
          <w:rFonts w:eastAsia="Times New Roman" w:cstheme="minorHAnsi"/>
          <w:sz w:val="24"/>
        </w:rPr>
        <w:t xml:space="preserve">oronavirus </w:t>
      </w:r>
      <w:r w:rsidR="00D411AF">
        <w:rPr>
          <w:rFonts w:eastAsia="Times New Roman" w:cstheme="minorHAnsi"/>
          <w:sz w:val="24"/>
        </w:rPr>
        <w:t>r</w:t>
      </w:r>
      <w:r w:rsidR="00D411AF" w:rsidRPr="00721CFD">
        <w:rPr>
          <w:rFonts w:eastAsia="Times New Roman" w:cstheme="minorHAnsi"/>
          <w:sz w:val="24"/>
        </w:rPr>
        <w:t xml:space="preserve">elief </w:t>
      </w:r>
      <w:r w:rsidRPr="00721CFD">
        <w:rPr>
          <w:rFonts w:eastAsia="Times New Roman" w:cstheme="minorHAnsi"/>
          <w:sz w:val="24"/>
        </w:rPr>
        <w:t>funds</w:t>
      </w:r>
      <w:r w:rsidRPr="001673CF">
        <w:rPr>
          <w:rFonts w:eastAsia="Times New Roman" w:cstheme="minorHAnsi"/>
          <w:sz w:val="24"/>
        </w:rPr>
        <w:t xml:space="preserve">, </w:t>
      </w:r>
      <w:r w:rsidRPr="00721CFD">
        <w:rPr>
          <w:rFonts w:eastAsia="Times New Roman" w:cstheme="minorHAnsi"/>
          <w:sz w:val="24"/>
        </w:rPr>
        <w:t>$6 million in</w:t>
      </w:r>
      <w:r>
        <w:rPr>
          <w:rFonts w:eastAsia="Times New Roman" w:cstheme="minorHAnsi"/>
          <w:sz w:val="24"/>
        </w:rPr>
        <w:t>crease in</w:t>
      </w:r>
      <w:r w:rsidRPr="00721CFD">
        <w:rPr>
          <w:rFonts w:eastAsia="Times New Roman" w:cstheme="minorHAnsi"/>
          <w:sz w:val="24"/>
        </w:rPr>
        <w:t xml:space="preserve"> State of Maine Grant funds </w:t>
      </w:r>
      <w:r>
        <w:rPr>
          <w:rFonts w:eastAsia="Times New Roman" w:cstheme="minorHAnsi"/>
          <w:sz w:val="24"/>
        </w:rPr>
        <w:t>and</w:t>
      </w:r>
      <w:r w:rsidRPr="001673CF">
        <w:rPr>
          <w:rFonts w:eastAsia="Times New Roman" w:cstheme="minorHAnsi"/>
          <w:sz w:val="24"/>
        </w:rPr>
        <w:t xml:space="preserve"> $3 million </w:t>
      </w:r>
      <w:r>
        <w:rPr>
          <w:rFonts w:eastAsia="Times New Roman" w:cstheme="minorHAnsi"/>
          <w:sz w:val="24"/>
        </w:rPr>
        <w:t xml:space="preserve">increase </w:t>
      </w:r>
      <w:r w:rsidRPr="001673CF">
        <w:rPr>
          <w:rFonts w:eastAsia="Times New Roman" w:cstheme="minorHAnsi"/>
          <w:sz w:val="24"/>
        </w:rPr>
        <w:t>in unrestricted institutional aid.</w:t>
      </w:r>
    </w:p>
    <w:p w14:paraId="1464B183" w14:textId="77777777" w:rsidR="00A83362" w:rsidRDefault="00A83362" w:rsidP="00A83362">
      <w:pPr>
        <w:pStyle w:val="AFR3"/>
        <w:rPr>
          <w:rFonts w:cstheme="minorHAnsi"/>
        </w:rPr>
      </w:pPr>
      <w:r>
        <w:rPr>
          <w:rFonts w:cstheme="minorHAnsi"/>
        </w:rPr>
        <w:lastRenderedPageBreak/>
        <w:t>Grants, Contracts, and Indirect Cost Recovery</w:t>
      </w:r>
    </w:p>
    <w:p w14:paraId="75FAB40C" w14:textId="77777777" w:rsidR="00A83362" w:rsidRDefault="00A83362" w:rsidP="00A83362">
      <w:pPr>
        <w:tabs>
          <w:tab w:val="left" w:pos="540"/>
        </w:tabs>
        <w:spacing w:after="120"/>
        <w:rPr>
          <w:rFonts w:eastAsia="Times New Roman" w:cstheme="minorHAnsi"/>
          <w:sz w:val="24"/>
        </w:rPr>
      </w:pPr>
      <w:r>
        <w:rPr>
          <w:rFonts w:eastAsia="Times New Roman" w:cstheme="minorHAnsi"/>
          <w:sz w:val="24"/>
        </w:rPr>
        <w:t xml:space="preserve">Grants and contracts revenues are recognized to the extent of related expenses. Consequently, reported revenues will fluctuate based on the timing of expenses across fiscal years. The System receives funding from federal, state, and private sources for student aid, </w:t>
      </w:r>
      <w:proofErr w:type="gramStart"/>
      <w:r>
        <w:rPr>
          <w:rFonts w:eastAsia="Times New Roman" w:cstheme="minorHAnsi"/>
          <w:sz w:val="24"/>
        </w:rPr>
        <w:t>research</w:t>
      </w:r>
      <w:proofErr w:type="gramEnd"/>
      <w:r>
        <w:rPr>
          <w:rFonts w:eastAsia="Times New Roman" w:cstheme="minorHAnsi"/>
          <w:sz w:val="24"/>
        </w:rPr>
        <w:t xml:space="preserve"> and other activities with the majority of funding being provided by the federal government. State research and development funding is often used to leverage federal dollars.</w:t>
      </w:r>
    </w:p>
    <w:p w14:paraId="2DDA18D0" w14:textId="77983307" w:rsidR="00A83362" w:rsidRDefault="002117D1" w:rsidP="00A83362">
      <w:pPr>
        <w:tabs>
          <w:tab w:val="left" w:pos="540"/>
          <w:tab w:val="left" w:pos="8280"/>
        </w:tabs>
        <w:spacing w:after="120"/>
        <w:jc w:val="center"/>
        <w:rPr>
          <w:rFonts w:eastAsia="Times New Roman" w:cstheme="minorHAnsi"/>
          <w:sz w:val="24"/>
        </w:rPr>
      </w:pPr>
      <w:r>
        <w:rPr>
          <w:noProof/>
          <w14:ligatures w14:val="standardContextual"/>
        </w:rPr>
        <w:drawing>
          <wp:inline distT="0" distB="0" distL="0" distR="0" wp14:anchorId="042D0A8D" wp14:editId="43AA52BA">
            <wp:extent cx="4572000" cy="3238500"/>
            <wp:effectExtent l="0" t="0" r="0" b="0"/>
            <wp:docPr id="1342998117" name="Chart 1">
              <a:extLst xmlns:a="http://schemas.openxmlformats.org/drawingml/2006/main">
                <a:ext uri="{FF2B5EF4-FFF2-40B4-BE49-F238E27FC236}">
                  <a16:creationId xmlns:a16="http://schemas.microsoft.com/office/drawing/2014/main" id="{00000000-0008-0000-00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F69F22" w14:textId="501D54F7" w:rsidR="00A83362" w:rsidRPr="00D5048A" w:rsidRDefault="00A83362" w:rsidP="00A83362">
      <w:pPr>
        <w:tabs>
          <w:tab w:val="left" w:pos="540"/>
        </w:tabs>
        <w:rPr>
          <w:rFonts w:eastAsia="Times New Roman" w:cstheme="minorHAnsi"/>
          <w:sz w:val="24"/>
        </w:rPr>
      </w:pPr>
      <w:r>
        <w:rPr>
          <w:rFonts w:eastAsia="Times New Roman" w:cstheme="minorHAnsi"/>
          <w:sz w:val="24"/>
        </w:rPr>
        <w:t xml:space="preserve">Grants and contracts operating revenues totaled </w:t>
      </w:r>
      <w:r w:rsidRPr="00A316AD">
        <w:rPr>
          <w:rFonts w:eastAsia="Times New Roman" w:cstheme="minorHAnsi"/>
          <w:sz w:val="24"/>
        </w:rPr>
        <w:t>$</w:t>
      </w:r>
      <w:r w:rsidR="00D32128">
        <w:rPr>
          <w:rFonts w:eastAsia="Times New Roman" w:cstheme="minorHAnsi"/>
          <w:sz w:val="24"/>
        </w:rPr>
        <w:t xml:space="preserve">143 </w:t>
      </w:r>
      <w:r>
        <w:rPr>
          <w:rFonts w:eastAsia="Times New Roman" w:cstheme="minorHAnsi"/>
          <w:sz w:val="24"/>
        </w:rPr>
        <w:t xml:space="preserve">million in FY23, </w:t>
      </w:r>
      <w:r w:rsidRPr="00721CFD">
        <w:rPr>
          <w:rFonts w:eastAsia="Times New Roman" w:cstheme="minorHAnsi"/>
          <w:sz w:val="24"/>
        </w:rPr>
        <w:t>in</w:t>
      </w:r>
      <w:r w:rsidRPr="00A316AD">
        <w:rPr>
          <w:rFonts w:eastAsia="Times New Roman" w:cstheme="minorHAnsi"/>
          <w:sz w:val="24"/>
        </w:rPr>
        <w:t>creasing $</w:t>
      </w:r>
      <w:r w:rsidR="00D32128">
        <w:rPr>
          <w:rFonts w:eastAsia="Times New Roman" w:cstheme="minorHAnsi"/>
          <w:sz w:val="24"/>
        </w:rPr>
        <w:t>3</w:t>
      </w:r>
      <w:r>
        <w:rPr>
          <w:rFonts w:eastAsia="Times New Roman" w:cstheme="minorHAnsi"/>
          <w:sz w:val="24"/>
        </w:rPr>
        <w:t xml:space="preserve"> million, or </w:t>
      </w:r>
      <w:r w:rsidR="00D32128">
        <w:rPr>
          <w:rFonts w:eastAsia="Times New Roman" w:cstheme="minorHAnsi"/>
          <w:sz w:val="24"/>
        </w:rPr>
        <w:t>2</w:t>
      </w:r>
      <w:r w:rsidRPr="00A316AD">
        <w:rPr>
          <w:rFonts w:eastAsia="Times New Roman" w:cstheme="minorHAnsi"/>
          <w:sz w:val="24"/>
        </w:rPr>
        <w:t>%</w:t>
      </w:r>
      <w:r>
        <w:rPr>
          <w:rFonts w:eastAsia="Times New Roman" w:cstheme="minorHAnsi"/>
          <w:sz w:val="24"/>
        </w:rPr>
        <w:t xml:space="preserve">, from FY22. </w:t>
      </w:r>
      <w:r w:rsidRPr="00C17E70">
        <w:rPr>
          <w:rFonts w:eastAsia="Times New Roman" w:cstheme="minorHAnsi"/>
          <w:sz w:val="24"/>
        </w:rPr>
        <w:t xml:space="preserve">This increase is the net change in funding from over 400 different sponsors. The largest sponsor increase was $4 million related to National Science Foundation funding.  </w:t>
      </w:r>
    </w:p>
    <w:p w14:paraId="6A439E56" w14:textId="77777777" w:rsidR="00A83362" w:rsidRDefault="00A83362" w:rsidP="00A83362">
      <w:pPr>
        <w:tabs>
          <w:tab w:val="left" w:pos="540"/>
        </w:tabs>
        <w:rPr>
          <w:rFonts w:eastAsia="Times New Roman" w:cstheme="minorHAnsi"/>
          <w:sz w:val="20"/>
          <w:szCs w:val="20"/>
        </w:rPr>
      </w:pPr>
    </w:p>
    <w:p w14:paraId="3F1E31EB" w14:textId="77777777" w:rsidR="00A83362" w:rsidRPr="00CA04B1" w:rsidRDefault="00A83362" w:rsidP="00A83362">
      <w:pPr>
        <w:tabs>
          <w:tab w:val="left" w:pos="540"/>
        </w:tabs>
        <w:rPr>
          <w:rFonts w:eastAsia="Times New Roman" w:cstheme="minorHAnsi"/>
          <w:sz w:val="24"/>
        </w:rPr>
      </w:pPr>
      <w:r w:rsidRPr="00CA04B1">
        <w:rPr>
          <w:rFonts w:eastAsia="Times New Roman" w:cstheme="minorHAnsi"/>
          <w:sz w:val="24"/>
        </w:rPr>
        <w:t>FY2</w:t>
      </w:r>
      <w:r>
        <w:rPr>
          <w:rFonts w:eastAsia="Times New Roman" w:cstheme="minorHAnsi"/>
          <w:sz w:val="24"/>
        </w:rPr>
        <w:t>2</w:t>
      </w:r>
      <w:r w:rsidRPr="00CA04B1">
        <w:rPr>
          <w:rFonts w:eastAsia="Times New Roman" w:cstheme="minorHAnsi"/>
          <w:sz w:val="24"/>
        </w:rPr>
        <w:t xml:space="preserve"> </w:t>
      </w:r>
      <w:r>
        <w:rPr>
          <w:rFonts w:eastAsia="Times New Roman" w:cstheme="minorHAnsi"/>
          <w:sz w:val="24"/>
        </w:rPr>
        <w:t xml:space="preserve">operating </w:t>
      </w:r>
      <w:r w:rsidRPr="00CA04B1">
        <w:rPr>
          <w:rFonts w:eastAsia="Times New Roman" w:cstheme="minorHAnsi"/>
          <w:sz w:val="24"/>
        </w:rPr>
        <w:t>grants and contracts revenues totaled $</w:t>
      </w:r>
      <w:r>
        <w:rPr>
          <w:rFonts w:eastAsia="Times New Roman" w:cstheme="minorHAnsi"/>
          <w:sz w:val="24"/>
        </w:rPr>
        <w:t>140</w:t>
      </w:r>
      <w:r w:rsidRPr="00CA04B1">
        <w:rPr>
          <w:rFonts w:eastAsia="Times New Roman" w:cstheme="minorHAnsi"/>
          <w:sz w:val="24"/>
        </w:rPr>
        <w:t xml:space="preserve"> million, increasing $</w:t>
      </w:r>
      <w:r>
        <w:rPr>
          <w:rFonts w:eastAsia="Times New Roman" w:cstheme="minorHAnsi"/>
          <w:sz w:val="24"/>
        </w:rPr>
        <w:t>21</w:t>
      </w:r>
      <w:r w:rsidRPr="00CA04B1">
        <w:rPr>
          <w:rFonts w:eastAsia="Times New Roman" w:cstheme="minorHAnsi"/>
          <w:sz w:val="24"/>
        </w:rPr>
        <w:t xml:space="preserve"> million, or </w:t>
      </w:r>
      <w:r>
        <w:rPr>
          <w:rFonts w:eastAsia="Times New Roman" w:cstheme="minorHAnsi"/>
          <w:sz w:val="24"/>
        </w:rPr>
        <w:t>18</w:t>
      </w:r>
      <w:r w:rsidRPr="00CA04B1">
        <w:rPr>
          <w:rFonts w:eastAsia="Times New Roman" w:cstheme="minorHAnsi"/>
          <w:sz w:val="24"/>
        </w:rPr>
        <w:t>%, from FY</w:t>
      </w:r>
      <w:r>
        <w:rPr>
          <w:rFonts w:eastAsia="Times New Roman" w:cstheme="minorHAnsi"/>
          <w:sz w:val="24"/>
        </w:rPr>
        <w:t>21</w:t>
      </w:r>
      <w:r w:rsidRPr="00CA04B1">
        <w:rPr>
          <w:rFonts w:eastAsia="Times New Roman" w:cstheme="minorHAnsi"/>
          <w:sz w:val="24"/>
        </w:rPr>
        <w:t>. This increase was the net change in funding from over 4</w:t>
      </w:r>
      <w:r>
        <w:rPr>
          <w:rFonts w:eastAsia="Times New Roman" w:cstheme="minorHAnsi"/>
          <w:sz w:val="24"/>
        </w:rPr>
        <w:t>0</w:t>
      </w:r>
      <w:r w:rsidRPr="00CA04B1">
        <w:rPr>
          <w:rFonts w:eastAsia="Times New Roman" w:cstheme="minorHAnsi"/>
          <w:sz w:val="24"/>
        </w:rPr>
        <w:t xml:space="preserve">0 different sponsors. The largest </w:t>
      </w:r>
      <w:r>
        <w:rPr>
          <w:rFonts w:eastAsia="Times New Roman" w:cstheme="minorHAnsi"/>
          <w:sz w:val="24"/>
        </w:rPr>
        <w:t>sponsor</w:t>
      </w:r>
      <w:r w:rsidRPr="00CA04B1">
        <w:rPr>
          <w:rFonts w:eastAsia="Times New Roman" w:cstheme="minorHAnsi"/>
          <w:sz w:val="24"/>
        </w:rPr>
        <w:t xml:space="preserve"> increase was </w:t>
      </w:r>
      <w:r>
        <w:rPr>
          <w:rFonts w:eastAsia="Times New Roman" w:cstheme="minorHAnsi"/>
          <w:sz w:val="24"/>
        </w:rPr>
        <w:t xml:space="preserve">a </w:t>
      </w:r>
      <w:r w:rsidRPr="00CA04B1">
        <w:rPr>
          <w:rFonts w:eastAsia="Times New Roman" w:cstheme="minorHAnsi"/>
          <w:sz w:val="24"/>
        </w:rPr>
        <w:t>$</w:t>
      </w:r>
      <w:r>
        <w:rPr>
          <w:rFonts w:eastAsia="Times New Roman" w:cstheme="minorHAnsi"/>
          <w:sz w:val="24"/>
        </w:rPr>
        <w:t>6</w:t>
      </w:r>
      <w:r w:rsidRPr="00CA04B1">
        <w:rPr>
          <w:rFonts w:eastAsia="Times New Roman" w:cstheme="minorHAnsi"/>
          <w:sz w:val="24"/>
        </w:rPr>
        <w:t xml:space="preserve"> million</w:t>
      </w:r>
      <w:r>
        <w:rPr>
          <w:rFonts w:eastAsia="Times New Roman" w:cstheme="minorHAnsi"/>
          <w:sz w:val="24"/>
        </w:rPr>
        <w:t xml:space="preserve"> related to State of Maine funding for financial aid</w:t>
      </w:r>
      <w:r w:rsidRPr="00CA04B1">
        <w:rPr>
          <w:rFonts w:eastAsia="Times New Roman" w:cstheme="minorHAnsi"/>
          <w:sz w:val="24"/>
        </w:rPr>
        <w:t>.</w:t>
      </w:r>
    </w:p>
    <w:p w14:paraId="046DD4B3" w14:textId="77777777" w:rsidR="00A83362" w:rsidRPr="00735A4C" w:rsidRDefault="00A83362" w:rsidP="00A83362">
      <w:pPr>
        <w:tabs>
          <w:tab w:val="left" w:pos="540"/>
        </w:tabs>
        <w:rPr>
          <w:rFonts w:eastAsia="Times New Roman" w:cstheme="minorHAnsi"/>
          <w:sz w:val="20"/>
          <w:szCs w:val="20"/>
        </w:rPr>
      </w:pPr>
    </w:p>
    <w:p w14:paraId="04857FB8" w14:textId="77777777" w:rsidR="00A83362" w:rsidRDefault="00A83362" w:rsidP="00A83362">
      <w:pPr>
        <w:tabs>
          <w:tab w:val="left" w:pos="540"/>
        </w:tabs>
        <w:rPr>
          <w:rFonts w:cstheme="minorHAnsi"/>
          <w:b/>
          <w:i/>
          <w:sz w:val="26"/>
          <w:u w:val="single" w:color="000000" w:themeColor="text1"/>
        </w:rPr>
      </w:pPr>
      <w:r>
        <w:rPr>
          <w:rFonts w:eastAsia="Times New Roman" w:cstheme="minorHAnsi"/>
          <w:sz w:val="24"/>
        </w:rPr>
        <w:t xml:space="preserve">In addition to providing for direct costs, grants and contracts sponsors provide for recovery of Facilities and Administrative (F&amp;A) costs, which are also known as indirect costs. The amount of allowable F&amp;A costs is calculated for each grant and contract using the applicable negotiated rate subject to specific sponsor limitations and other proposal and award conditions. Recovery of indirect costs </w:t>
      </w:r>
      <w:r w:rsidRPr="00A316AD">
        <w:rPr>
          <w:rFonts w:eastAsia="Times New Roman" w:cstheme="minorHAnsi"/>
          <w:sz w:val="24"/>
        </w:rPr>
        <w:t>totaled $</w:t>
      </w:r>
      <w:r>
        <w:rPr>
          <w:rFonts w:eastAsia="Times New Roman" w:cstheme="minorHAnsi"/>
          <w:sz w:val="24"/>
        </w:rPr>
        <w:t>25</w:t>
      </w:r>
      <w:r w:rsidRPr="00A316AD">
        <w:rPr>
          <w:rFonts w:eastAsia="Times New Roman" w:cstheme="minorHAnsi"/>
          <w:sz w:val="24"/>
        </w:rPr>
        <w:t xml:space="preserve"> million </w:t>
      </w:r>
      <w:r>
        <w:rPr>
          <w:rFonts w:eastAsia="Times New Roman" w:cstheme="minorHAnsi"/>
          <w:sz w:val="24"/>
        </w:rPr>
        <w:t xml:space="preserve">for FY23, </w:t>
      </w:r>
      <w:r w:rsidRPr="00721CFD">
        <w:rPr>
          <w:rFonts w:eastAsia="Times New Roman" w:cstheme="minorHAnsi"/>
          <w:sz w:val="24"/>
        </w:rPr>
        <w:t>in</w:t>
      </w:r>
      <w:r w:rsidRPr="00A316AD">
        <w:rPr>
          <w:rFonts w:eastAsia="Times New Roman" w:cstheme="minorHAnsi"/>
          <w:sz w:val="24"/>
        </w:rPr>
        <w:t>creasing $</w:t>
      </w:r>
      <w:r>
        <w:rPr>
          <w:rFonts w:eastAsia="Times New Roman" w:cstheme="minorHAnsi"/>
          <w:sz w:val="24"/>
        </w:rPr>
        <w:t>2</w:t>
      </w:r>
      <w:r w:rsidRPr="00A316AD">
        <w:rPr>
          <w:rFonts w:eastAsia="Times New Roman" w:cstheme="minorHAnsi"/>
          <w:sz w:val="24"/>
        </w:rPr>
        <w:t xml:space="preserve"> million from FY2</w:t>
      </w:r>
      <w:r>
        <w:rPr>
          <w:rFonts w:eastAsia="Times New Roman" w:cstheme="minorHAnsi"/>
          <w:sz w:val="24"/>
        </w:rPr>
        <w:t>2</w:t>
      </w:r>
      <w:r w:rsidRPr="00A316AD">
        <w:rPr>
          <w:rFonts w:eastAsia="Times New Roman" w:cstheme="minorHAnsi"/>
          <w:sz w:val="24"/>
        </w:rPr>
        <w:t>. Recovery of indirect costs totaled $</w:t>
      </w:r>
      <w:r>
        <w:rPr>
          <w:rFonts w:eastAsia="Times New Roman" w:cstheme="minorHAnsi"/>
          <w:sz w:val="24"/>
        </w:rPr>
        <w:t>23</w:t>
      </w:r>
      <w:r w:rsidRPr="00A316AD">
        <w:rPr>
          <w:rFonts w:eastAsia="Times New Roman" w:cstheme="minorHAnsi"/>
          <w:sz w:val="24"/>
        </w:rPr>
        <w:t xml:space="preserve"> million for FY2</w:t>
      </w:r>
      <w:r>
        <w:rPr>
          <w:rFonts w:eastAsia="Times New Roman" w:cstheme="minorHAnsi"/>
          <w:sz w:val="24"/>
        </w:rPr>
        <w:t>2</w:t>
      </w:r>
      <w:r w:rsidRPr="00A316AD">
        <w:rPr>
          <w:rFonts w:eastAsia="Times New Roman" w:cstheme="minorHAnsi"/>
          <w:sz w:val="24"/>
        </w:rPr>
        <w:t>, which was an increase</w:t>
      </w:r>
      <w:r>
        <w:rPr>
          <w:rFonts w:eastAsia="Times New Roman" w:cstheme="minorHAnsi"/>
          <w:sz w:val="24"/>
        </w:rPr>
        <w:t xml:space="preserve"> of</w:t>
      </w:r>
      <w:r w:rsidRPr="00A316AD">
        <w:rPr>
          <w:rFonts w:eastAsia="Times New Roman" w:cstheme="minorHAnsi"/>
          <w:sz w:val="24"/>
        </w:rPr>
        <w:t xml:space="preserve"> </w:t>
      </w:r>
      <w:r>
        <w:rPr>
          <w:rFonts w:eastAsia="Times New Roman" w:cstheme="minorHAnsi"/>
          <w:sz w:val="24"/>
        </w:rPr>
        <w:t>$6 million from FY21.</w:t>
      </w:r>
    </w:p>
    <w:p w14:paraId="10815B29" w14:textId="77777777" w:rsidR="00A83362" w:rsidRDefault="00A83362" w:rsidP="00A83362">
      <w:pPr>
        <w:pStyle w:val="AFR3"/>
        <w:rPr>
          <w:rFonts w:cstheme="minorHAnsi"/>
        </w:rPr>
      </w:pPr>
      <w:r>
        <w:rPr>
          <w:rFonts w:cstheme="minorHAnsi"/>
        </w:rPr>
        <w:br w:type="page"/>
      </w:r>
    </w:p>
    <w:p w14:paraId="4D92F8E7" w14:textId="77777777" w:rsidR="00A83362" w:rsidRDefault="00A83362" w:rsidP="00A83362">
      <w:pPr>
        <w:pStyle w:val="AFR3"/>
        <w:rPr>
          <w:rFonts w:cstheme="minorHAnsi"/>
        </w:rPr>
      </w:pPr>
      <w:r>
        <w:rPr>
          <w:rFonts w:cstheme="minorHAnsi"/>
        </w:rPr>
        <w:lastRenderedPageBreak/>
        <w:t>Noncapital State of Maine Appropriations</w:t>
      </w:r>
    </w:p>
    <w:p w14:paraId="1A639AED" w14:textId="77777777" w:rsidR="00A83362" w:rsidRDefault="00A83362" w:rsidP="00A83362">
      <w:pPr>
        <w:tabs>
          <w:tab w:val="left" w:pos="540"/>
        </w:tabs>
        <w:rPr>
          <w:rFonts w:eastAsia="Times New Roman" w:cstheme="minorHAnsi"/>
          <w:sz w:val="24"/>
        </w:rPr>
      </w:pPr>
      <w:r>
        <w:rPr>
          <w:rFonts w:eastAsia="Times New Roman" w:cstheme="minorHAnsi"/>
          <w:sz w:val="24"/>
        </w:rPr>
        <w:t>State noncapital appropriation revenue includes amounts for general operations and amounts legislatively earmarked for research and development, financial aid, and various other areas. Although not considered operating revenue under GASB reporting requirements, the noncapital state appropriation was the second largest funding source for educational and general operations behind net student fees.</w:t>
      </w:r>
    </w:p>
    <w:p w14:paraId="7A3B23E0" w14:textId="77777777" w:rsidR="00A83362" w:rsidRPr="00735A4C" w:rsidRDefault="00A83362" w:rsidP="00A83362">
      <w:pPr>
        <w:tabs>
          <w:tab w:val="left" w:pos="540"/>
        </w:tabs>
        <w:ind w:left="360"/>
        <w:rPr>
          <w:rFonts w:eastAsia="Times New Roman" w:cstheme="minorHAnsi"/>
          <w:sz w:val="20"/>
          <w:szCs w:val="20"/>
        </w:rPr>
      </w:pPr>
    </w:p>
    <w:p w14:paraId="49DC47E7" w14:textId="1A37999D" w:rsidR="00A83362" w:rsidRDefault="00A83362" w:rsidP="00A83362">
      <w:pPr>
        <w:tabs>
          <w:tab w:val="left" w:pos="540"/>
        </w:tabs>
        <w:rPr>
          <w:rFonts w:eastAsia="Times New Roman" w:cstheme="minorHAnsi"/>
          <w:sz w:val="24"/>
        </w:rPr>
      </w:pPr>
      <w:r>
        <w:rPr>
          <w:rFonts w:eastAsia="Times New Roman" w:cstheme="minorHAnsi"/>
          <w:sz w:val="24"/>
        </w:rPr>
        <w:t xml:space="preserve">As shown in Chart </w:t>
      </w:r>
      <w:r w:rsidR="00387A2D">
        <w:rPr>
          <w:rFonts w:eastAsia="Times New Roman" w:cstheme="minorHAnsi"/>
          <w:sz w:val="24"/>
        </w:rPr>
        <w:t>9</w:t>
      </w:r>
      <w:r>
        <w:rPr>
          <w:rFonts w:eastAsia="Times New Roman" w:cstheme="minorHAnsi"/>
          <w:sz w:val="24"/>
        </w:rPr>
        <w:t xml:space="preserve">, the System received </w:t>
      </w:r>
      <w:r w:rsidRPr="00A316AD">
        <w:rPr>
          <w:rFonts w:eastAsia="Times New Roman" w:cstheme="minorHAnsi"/>
          <w:sz w:val="24"/>
        </w:rPr>
        <w:t>$</w:t>
      </w:r>
      <w:r>
        <w:rPr>
          <w:rFonts w:eastAsia="Times New Roman" w:cstheme="minorHAnsi"/>
          <w:sz w:val="24"/>
        </w:rPr>
        <w:t>248</w:t>
      </w:r>
      <w:r w:rsidRPr="00162FC5">
        <w:rPr>
          <w:rFonts w:eastAsia="Times New Roman" w:cstheme="minorHAnsi"/>
          <w:color w:val="FF0000"/>
          <w:sz w:val="24"/>
        </w:rPr>
        <w:t xml:space="preserve"> </w:t>
      </w:r>
      <w:r>
        <w:rPr>
          <w:rFonts w:eastAsia="Times New Roman" w:cstheme="minorHAnsi"/>
          <w:sz w:val="24"/>
        </w:rPr>
        <w:t>million in noncapital state appropriation revenue during FY23, up</w:t>
      </w:r>
      <w:r w:rsidRPr="00A316AD">
        <w:rPr>
          <w:rFonts w:eastAsia="Times New Roman" w:cstheme="minorHAnsi"/>
          <w:sz w:val="24"/>
        </w:rPr>
        <w:t xml:space="preserve"> $</w:t>
      </w:r>
      <w:r>
        <w:rPr>
          <w:rFonts w:eastAsia="Times New Roman" w:cstheme="minorHAnsi"/>
          <w:sz w:val="24"/>
        </w:rPr>
        <w:t>19 million, or 8</w:t>
      </w:r>
      <w:r w:rsidRPr="00CA04B1">
        <w:rPr>
          <w:rFonts w:eastAsia="Times New Roman" w:cstheme="minorHAnsi"/>
          <w:sz w:val="24"/>
        </w:rPr>
        <w:t>%</w:t>
      </w:r>
      <w:r>
        <w:rPr>
          <w:rFonts w:eastAsia="Times New Roman" w:cstheme="minorHAnsi"/>
          <w:sz w:val="24"/>
        </w:rPr>
        <w:t xml:space="preserve"> from FY22. The System received $229 million in noncapital state appropriation revenue during FY22, up $11 million, or 5%, from FY21.</w:t>
      </w:r>
    </w:p>
    <w:p w14:paraId="22BF48C1" w14:textId="77777777" w:rsidR="00A83362" w:rsidRPr="00735A4C" w:rsidRDefault="00A83362" w:rsidP="00A83362">
      <w:pPr>
        <w:tabs>
          <w:tab w:val="left" w:pos="540"/>
        </w:tabs>
        <w:ind w:left="360"/>
        <w:rPr>
          <w:rFonts w:eastAsia="Times New Roman" w:cstheme="minorHAnsi"/>
          <w:sz w:val="20"/>
          <w:szCs w:val="20"/>
        </w:rPr>
      </w:pPr>
    </w:p>
    <w:p w14:paraId="1F56D3CE" w14:textId="56389425" w:rsidR="00A83362" w:rsidRDefault="00A83362" w:rsidP="00A83362">
      <w:pPr>
        <w:tabs>
          <w:tab w:val="left" w:pos="540"/>
        </w:tabs>
        <w:rPr>
          <w:rFonts w:eastAsia="Times New Roman" w:cstheme="minorHAnsi"/>
          <w:sz w:val="24"/>
        </w:rPr>
      </w:pPr>
      <w:r w:rsidRPr="00197133">
        <w:rPr>
          <w:rFonts w:eastAsia="Times New Roman" w:cstheme="minorHAnsi"/>
          <w:sz w:val="24"/>
        </w:rPr>
        <w:t xml:space="preserve">At $248 million, noncapital state appropriation revenue covered </w:t>
      </w:r>
      <w:r w:rsidR="00581262" w:rsidRPr="00197133">
        <w:rPr>
          <w:rFonts w:eastAsia="Times New Roman" w:cstheme="minorHAnsi"/>
          <w:color w:val="000000" w:themeColor="text1"/>
          <w:sz w:val="24"/>
        </w:rPr>
        <w:t>7</w:t>
      </w:r>
      <w:r w:rsidR="00581262">
        <w:rPr>
          <w:rFonts w:eastAsia="Times New Roman" w:cstheme="minorHAnsi"/>
          <w:color w:val="000000" w:themeColor="text1"/>
          <w:sz w:val="24"/>
        </w:rPr>
        <w:t>2</w:t>
      </w:r>
      <w:r w:rsidRPr="00197133">
        <w:rPr>
          <w:rFonts w:eastAsia="Times New Roman" w:cstheme="minorHAnsi"/>
          <w:sz w:val="24"/>
        </w:rPr>
        <w:t>% of the $</w:t>
      </w:r>
      <w:r w:rsidR="00581262" w:rsidRPr="00197133">
        <w:rPr>
          <w:rFonts w:eastAsia="Times New Roman" w:cstheme="minorHAnsi"/>
          <w:sz w:val="24"/>
        </w:rPr>
        <w:t>3</w:t>
      </w:r>
      <w:r w:rsidR="00581262">
        <w:rPr>
          <w:rFonts w:eastAsia="Times New Roman" w:cstheme="minorHAnsi"/>
          <w:sz w:val="24"/>
        </w:rPr>
        <w:t>46</w:t>
      </w:r>
      <w:r w:rsidR="00581262" w:rsidRPr="00197133">
        <w:rPr>
          <w:rFonts w:eastAsia="Times New Roman" w:cstheme="minorHAnsi"/>
          <w:sz w:val="24"/>
        </w:rPr>
        <w:t xml:space="preserve"> </w:t>
      </w:r>
      <w:r w:rsidRPr="00197133">
        <w:rPr>
          <w:rFonts w:eastAsia="Times New Roman" w:cstheme="minorHAnsi"/>
          <w:sz w:val="24"/>
        </w:rPr>
        <w:t>million operating loss in FY23,</w:t>
      </w:r>
      <w:r>
        <w:rPr>
          <w:rFonts w:eastAsia="Times New Roman" w:cstheme="minorHAnsi"/>
          <w:sz w:val="24"/>
        </w:rPr>
        <w:t xml:space="preserve"> up </w:t>
      </w:r>
      <w:r w:rsidRPr="002D081F">
        <w:rPr>
          <w:rFonts w:eastAsia="Times New Roman" w:cstheme="minorHAnsi"/>
          <w:sz w:val="24"/>
        </w:rPr>
        <w:t xml:space="preserve">from the operating loss coverage level of </w:t>
      </w:r>
      <w:r>
        <w:rPr>
          <w:rFonts w:eastAsia="Times New Roman" w:cstheme="minorHAnsi"/>
          <w:sz w:val="24"/>
        </w:rPr>
        <w:t>66</w:t>
      </w:r>
      <w:r w:rsidRPr="002D081F">
        <w:rPr>
          <w:rFonts w:eastAsia="Times New Roman" w:cstheme="minorHAnsi"/>
          <w:sz w:val="24"/>
        </w:rPr>
        <w:t>% in FY2</w:t>
      </w:r>
      <w:r>
        <w:rPr>
          <w:rFonts w:eastAsia="Times New Roman" w:cstheme="minorHAnsi"/>
          <w:sz w:val="24"/>
        </w:rPr>
        <w:t>2</w:t>
      </w:r>
      <w:r w:rsidRPr="002D081F">
        <w:rPr>
          <w:rFonts w:eastAsia="Times New Roman" w:cstheme="minorHAnsi"/>
          <w:sz w:val="24"/>
        </w:rPr>
        <w:t>.</w:t>
      </w:r>
    </w:p>
    <w:p w14:paraId="61084872" w14:textId="77777777" w:rsidR="00A83362" w:rsidRDefault="00A83362" w:rsidP="00A83362">
      <w:pPr>
        <w:tabs>
          <w:tab w:val="left" w:pos="540"/>
        </w:tabs>
        <w:rPr>
          <w:rFonts w:eastAsia="Times New Roman" w:cstheme="minorHAnsi"/>
          <w:sz w:val="24"/>
        </w:rPr>
      </w:pPr>
    </w:p>
    <w:p w14:paraId="15D0299D" w14:textId="43E17C3C" w:rsidR="00A83362" w:rsidRPr="00FE6467" w:rsidRDefault="002117D1" w:rsidP="00A83362">
      <w:pPr>
        <w:tabs>
          <w:tab w:val="left" w:pos="540"/>
        </w:tabs>
        <w:jc w:val="center"/>
        <w:rPr>
          <w:rFonts w:eastAsia="Times New Roman" w:cstheme="minorHAnsi"/>
          <w:sz w:val="24"/>
        </w:rPr>
      </w:pPr>
      <w:r>
        <w:rPr>
          <w:noProof/>
          <w14:ligatures w14:val="standardContextual"/>
        </w:rPr>
        <w:drawing>
          <wp:inline distT="0" distB="0" distL="0" distR="0" wp14:anchorId="4F69B037" wp14:editId="7834765E">
            <wp:extent cx="4598670" cy="2857500"/>
            <wp:effectExtent l="0" t="0" r="0" b="0"/>
            <wp:docPr id="696046052" name="Chart 1">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D92A99" w14:textId="77777777" w:rsidR="00A83362" w:rsidRDefault="00A83362" w:rsidP="00A83362">
      <w:pPr>
        <w:pStyle w:val="AFR3"/>
        <w:rPr>
          <w:rFonts w:cstheme="minorHAnsi"/>
        </w:rPr>
      </w:pPr>
      <w:r>
        <w:rPr>
          <w:rFonts w:cstheme="minorHAnsi"/>
        </w:rPr>
        <w:t>Coronavirus Relief Funding</w:t>
      </w:r>
    </w:p>
    <w:p w14:paraId="3F44231F" w14:textId="17002AEB" w:rsidR="00A83362" w:rsidRDefault="00A83362" w:rsidP="00A83362">
      <w:pPr>
        <w:spacing w:after="120"/>
        <w:rPr>
          <w:rFonts w:eastAsia="Times New Roman" w:cstheme="minorHAnsi"/>
          <w:sz w:val="24"/>
        </w:rPr>
      </w:pPr>
      <w:r>
        <w:rPr>
          <w:rFonts w:eastAsia="Times New Roman" w:cstheme="minorHAnsi"/>
          <w:sz w:val="24"/>
        </w:rPr>
        <w:t>The coronavirus relief funding of $</w:t>
      </w:r>
      <w:r w:rsidR="00DB309B">
        <w:rPr>
          <w:rFonts w:eastAsia="Times New Roman" w:cstheme="minorHAnsi"/>
          <w:sz w:val="24"/>
        </w:rPr>
        <w:t>3</w:t>
      </w:r>
      <w:r>
        <w:rPr>
          <w:rFonts w:eastAsia="Times New Roman" w:cstheme="minorHAnsi"/>
          <w:sz w:val="24"/>
        </w:rPr>
        <w:t xml:space="preserve"> million and $63 million for FY23 and FY22, respectively includes both a federal component and a state component.</w:t>
      </w:r>
    </w:p>
    <w:p w14:paraId="340439B3" w14:textId="77777777" w:rsidR="00A83362" w:rsidRPr="00790AF8" w:rsidRDefault="00A83362" w:rsidP="00A83362">
      <w:pPr>
        <w:spacing w:after="120"/>
        <w:rPr>
          <w:rFonts w:eastAsia="Times New Roman" w:cstheme="minorHAnsi"/>
          <w:b/>
          <w:i/>
          <w:sz w:val="24"/>
        </w:rPr>
      </w:pPr>
      <w:r w:rsidRPr="00790AF8">
        <w:rPr>
          <w:rFonts w:eastAsia="Times New Roman" w:cstheme="minorHAnsi"/>
          <w:b/>
          <w:i/>
          <w:sz w:val="24"/>
        </w:rPr>
        <w:t xml:space="preserve">Federal </w:t>
      </w:r>
      <w:r>
        <w:rPr>
          <w:rFonts w:eastAsia="Times New Roman" w:cstheme="minorHAnsi"/>
          <w:b/>
          <w:i/>
          <w:sz w:val="24"/>
        </w:rPr>
        <w:t>F</w:t>
      </w:r>
      <w:r w:rsidRPr="00790AF8">
        <w:rPr>
          <w:rFonts w:eastAsia="Times New Roman" w:cstheme="minorHAnsi"/>
          <w:b/>
          <w:i/>
          <w:sz w:val="24"/>
        </w:rPr>
        <w:t>unding</w:t>
      </w:r>
    </w:p>
    <w:p w14:paraId="21264EE9" w14:textId="77777777" w:rsidR="00A83362" w:rsidRPr="000944F1" w:rsidRDefault="00A83362" w:rsidP="00A83362">
      <w:pPr>
        <w:spacing w:after="160"/>
        <w:rPr>
          <w:rFonts w:eastAsia="Times New Roman" w:cstheme="minorHAnsi"/>
          <w:sz w:val="24"/>
        </w:rPr>
      </w:pPr>
      <w:r w:rsidRPr="00A316AD">
        <w:rPr>
          <w:rFonts w:eastAsia="Times New Roman" w:cstheme="minorHAnsi"/>
          <w:sz w:val="24"/>
        </w:rPr>
        <w:t xml:space="preserve">In response to the </w:t>
      </w:r>
      <w:r w:rsidRPr="000944F1">
        <w:rPr>
          <w:rFonts w:eastAsia="Times New Roman" w:cstheme="minorHAnsi"/>
          <w:sz w:val="24"/>
        </w:rPr>
        <w:t>COVID-19 pandemic that began in March 2020, the federal government signed into law various acts to provide economic relief to the nation, including higher education.  The U</w:t>
      </w:r>
      <w:r>
        <w:rPr>
          <w:rFonts w:eastAsia="Times New Roman" w:cstheme="minorHAnsi"/>
          <w:sz w:val="24"/>
        </w:rPr>
        <w:t>.</w:t>
      </w:r>
      <w:r w:rsidRPr="000944F1">
        <w:rPr>
          <w:rFonts w:eastAsia="Times New Roman" w:cstheme="minorHAnsi"/>
          <w:sz w:val="24"/>
        </w:rPr>
        <w:t>S</w:t>
      </w:r>
      <w:r>
        <w:rPr>
          <w:rFonts w:eastAsia="Times New Roman" w:cstheme="minorHAnsi"/>
          <w:sz w:val="24"/>
        </w:rPr>
        <w:t>.</w:t>
      </w:r>
      <w:r w:rsidRPr="000944F1">
        <w:rPr>
          <w:rFonts w:eastAsia="Times New Roman" w:cstheme="minorHAnsi"/>
          <w:sz w:val="24"/>
        </w:rPr>
        <w:t xml:space="preserve"> Department of Education </w:t>
      </w:r>
      <w:r>
        <w:rPr>
          <w:rFonts w:eastAsia="Times New Roman" w:cstheme="minorHAnsi"/>
          <w:sz w:val="24"/>
        </w:rPr>
        <w:t xml:space="preserve">has </w:t>
      </w:r>
      <w:r w:rsidRPr="000944F1">
        <w:rPr>
          <w:rFonts w:eastAsia="Times New Roman" w:cstheme="minorHAnsi"/>
          <w:sz w:val="24"/>
        </w:rPr>
        <w:t>awarded the System a total of $</w:t>
      </w:r>
      <w:r w:rsidRPr="00721CFD">
        <w:rPr>
          <w:rFonts w:eastAsia="Times New Roman" w:cstheme="minorHAnsi"/>
          <w:sz w:val="24"/>
        </w:rPr>
        <w:t>10</w:t>
      </w:r>
      <w:r>
        <w:rPr>
          <w:rFonts w:eastAsia="Times New Roman" w:cstheme="minorHAnsi"/>
          <w:sz w:val="24"/>
        </w:rPr>
        <w:t>4</w:t>
      </w:r>
      <w:r w:rsidRPr="000944F1">
        <w:rPr>
          <w:rFonts w:eastAsia="Times New Roman" w:cstheme="minorHAnsi"/>
          <w:sz w:val="24"/>
        </w:rPr>
        <w:t xml:space="preserve"> million under the following acts:</w:t>
      </w:r>
    </w:p>
    <w:p w14:paraId="55AE140A" w14:textId="77777777" w:rsidR="00A83362" w:rsidRPr="00721CFD" w:rsidRDefault="00A83362" w:rsidP="00A83362">
      <w:pPr>
        <w:pStyle w:val="ListParagraph"/>
        <w:numPr>
          <w:ilvl w:val="0"/>
          <w:numId w:val="16"/>
        </w:numPr>
        <w:rPr>
          <w:rFonts w:cstheme="minorHAnsi"/>
        </w:rPr>
      </w:pPr>
      <w:r w:rsidRPr="00721CFD">
        <w:rPr>
          <w:rFonts w:asciiTheme="minorHAnsi" w:hAnsiTheme="minorHAnsi" w:cstheme="minorHAnsi"/>
          <w:szCs w:val="22"/>
        </w:rPr>
        <w:t>Coronavirus Aid, Relief and Economic Security (CARES) Act - $1</w:t>
      </w:r>
      <w:r>
        <w:rPr>
          <w:rFonts w:asciiTheme="minorHAnsi" w:hAnsiTheme="minorHAnsi" w:cstheme="minorHAnsi"/>
          <w:szCs w:val="22"/>
        </w:rPr>
        <w:t>8</w:t>
      </w:r>
      <w:r w:rsidRPr="00721CFD">
        <w:rPr>
          <w:rFonts w:asciiTheme="minorHAnsi" w:hAnsiTheme="minorHAnsi" w:cstheme="minorHAnsi"/>
          <w:szCs w:val="22"/>
        </w:rPr>
        <w:t xml:space="preserve"> million awarded in FY20.</w:t>
      </w:r>
    </w:p>
    <w:p w14:paraId="1243A3D8" w14:textId="77777777" w:rsidR="00A83362" w:rsidRPr="00721CFD" w:rsidRDefault="00A83362" w:rsidP="00A83362">
      <w:pPr>
        <w:pStyle w:val="ListParagraph"/>
        <w:numPr>
          <w:ilvl w:val="0"/>
          <w:numId w:val="16"/>
        </w:numPr>
        <w:rPr>
          <w:rFonts w:cstheme="minorHAnsi"/>
        </w:rPr>
      </w:pPr>
      <w:r w:rsidRPr="00721CFD">
        <w:rPr>
          <w:rFonts w:asciiTheme="minorHAnsi" w:hAnsiTheme="minorHAnsi" w:cstheme="minorHAnsi"/>
          <w:szCs w:val="22"/>
        </w:rPr>
        <w:lastRenderedPageBreak/>
        <w:t>Coronavirus Response and Relief Supplemental Appropriations (CRRSA) Act - $3</w:t>
      </w:r>
      <w:r>
        <w:rPr>
          <w:rFonts w:asciiTheme="minorHAnsi" w:hAnsiTheme="minorHAnsi" w:cstheme="minorHAnsi"/>
          <w:szCs w:val="22"/>
        </w:rPr>
        <w:t>2</w:t>
      </w:r>
      <w:r w:rsidRPr="00721CFD">
        <w:rPr>
          <w:rFonts w:asciiTheme="minorHAnsi" w:hAnsiTheme="minorHAnsi" w:cstheme="minorHAnsi"/>
          <w:szCs w:val="22"/>
        </w:rPr>
        <w:t xml:space="preserve"> million awarded in FY21.</w:t>
      </w:r>
    </w:p>
    <w:p w14:paraId="47F151A3" w14:textId="77777777" w:rsidR="00A83362" w:rsidRPr="00721CFD" w:rsidRDefault="00A83362" w:rsidP="00A83362">
      <w:pPr>
        <w:pStyle w:val="ListParagraph"/>
        <w:numPr>
          <w:ilvl w:val="0"/>
          <w:numId w:val="16"/>
        </w:numPr>
        <w:rPr>
          <w:rFonts w:cstheme="minorHAnsi"/>
        </w:rPr>
      </w:pPr>
      <w:r w:rsidRPr="00721CFD">
        <w:rPr>
          <w:rFonts w:asciiTheme="minorHAnsi" w:hAnsiTheme="minorHAnsi" w:cstheme="minorHAnsi"/>
          <w:szCs w:val="22"/>
        </w:rPr>
        <w:t>American Rescue Plan (ARP) Act - $54 million awarded in late FY21.</w:t>
      </w:r>
    </w:p>
    <w:p w14:paraId="0FD5AE96" w14:textId="77777777" w:rsidR="00A83362" w:rsidRPr="000944F1" w:rsidRDefault="00A83362" w:rsidP="00A83362">
      <w:pPr>
        <w:ind w:left="360"/>
        <w:rPr>
          <w:rFonts w:cstheme="minorHAnsi"/>
        </w:rPr>
      </w:pPr>
    </w:p>
    <w:p w14:paraId="13977834" w14:textId="77777777" w:rsidR="00A83362" w:rsidRDefault="00A83362" w:rsidP="00A83362">
      <w:pPr>
        <w:rPr>
          <w:rFonts w:cstheme="minorHAnsi"/>
          <w:sz w:val="24"/>
          <w:szCs w:val="24"/>
        </w:rPr>
      </w:pPr>
      <w:r w:rsidRPr="0055135D">
        <w:rPr>
          <w:rFonts w:cstheme="minorHAnsi"/>
          <w:sz w:val="24"/>
          <w:szCs w:val="24"/>
        </w:rPr>
        <w:t xml:space="preserve">Under these acts, the System </w:t>
      </w:r>
      <w:r>
        <w:rPr>
          <w:rFonts w:cstheme="minorHAnsi"/>
          <w:sz w:val="24"/>
          <w:szCs w:val="24"/>
        </w:rPr>
        <w:t>received total awards o</w:t>
      </w:r>
      <w:r w:rsidRPr="0055135D">
        <w:rPr>
          <w:rFonts w:cstheme="minorHAnsi"/>
          <w:sz w:val="24"/>
          <w:szCs w:val="24"/>
        </w:rPr>
        <w:t xml:space="preserve">f </w:t>
      </w:r>
      <w:r w:rsidRPr="005245B7">
        <w:rPr>
          <w:rFonts w:cstheme="minorHAnsi"/>
          <w:sz w:val="24"/>
          <w:szCs w:val="24"/>
        </w:rPr>
        <w:t>$</w:t>
      </w:r>
      <w:r w:rsidRPr="00721CFD">
        <w:rPr>
          <w:rFonts w:cstheme="minorHAnsi"/>
          <w:sz w:val="24"/>
          <w:szCs w:val="24"/>
        </w:rPr>
        <w:t>4</w:t>
      </w:r>
      <w:r>
        <w:rPr>
          <w:rFonts w:cstheme="minorHAnsi"/>
          <w:sz w:val="24"/>
          <w:szCs w:val="24"/>
        </w:rPr>
        <w:t>5</w:t>
      </w:r>
      <w:r w:rsidRPr="005245B7">
        <w:rPr>
          <w:rFonts w:cstheme="minorHAnsi"/>
          <w:sz w:val="24"/>
          <w:szCs w:val="24"/>
        </w:rPr>
        <w:t xml:space="preserve"> million to use for emergency aid to students and total awards of $</w:t>
      </w:r>
      <w:r w:rsidRPr="00721CFD">
        <w:rPr>
          <w:rFonts w:cstheme="minorHAnsi"/>
          <w:sz w:val="24"/>
          <w:szCs w:val="24"/>
        </w:rPr>
        <w:t>59</w:t>
      </w:r>
      <w:r w:rsidRPr="005245B7">
        <w:rPr>
          <w:rFonts w:cstheme="minorHAnsi"/>
          <w:sz w:val="24"/>
          <w:szCs w:val="24"/>
        </w:rPr>
        <w:t xml:space="preserve"> million to use for various other pandemic related costs including reimbursement of </w:t>
      </w:r>
      <w:r w:rsidRPr="00721CFD">
        <w:rPr>
          <w:rFonts w:cstheme="minorHAnsi"/>
          <w:sz w:val="24"/>
          <w:szCs w:val="24"/>
        </w:rPr>
        <w:t>refunded room and board revenues and recovery of lost revenues</w:t>
      </w:r>
      <w:r w:rsidRPr="005245B7">
        <w:rPr>
          <w:rFonts w:cstheme="minorHAnsi"/>
          <w:sz w:val="24"/>
          <w:szCs w:val="24"/>
        </w:rPr>
        <w:t>.</w:t>
      </w:r>
    </w:p>
    <w:p w14:paraId="34EB0FD9" w14:textId="77777777" w:rsidR="00A83362" w:rsidRDefault="00A83362" w:rsidP="00A83362">
      <w:pPr>
        <w:rPr>
          <w:rFonts w:cstheme="minorHAnsi"/>
          <w:sz w:val="24"/>
          <w:szCs w:val="24"/>
        </w:rPr>
      </w:pPr>
    </w:p>
    <w:p w14:paraId="38CBD113" w14:textId="031E21ED" w:rsidR="00A83362" w:rsidRDefault="00A83362" w:rsidP="00A83362">
      <w:pPr>
        <w:rPr>
          <w:rFonts w:cstheme="minorHAnsi"/>
          <w:sz w:val="24"/>
          <w:szCs w:val="24"/>
        </w:rPr>
      </w:pPr>
      <w:r>
        <w:rPr>
          <w:rFonts w:cstheme="minorHAnsi"/>
          <w:sz w:val="24"/>
          <w:szCs w:val="24"/>
        </w:rPr>
        <w:t xml:space="preserve">In the accompanying financial statements, the System has recognized revenue from the above federal awards in </w:t>
      </w:r>
      <w:r w:rsidRPr="0055135D">
        <w:rPr>
          <w:rFonts w:cstheme="minorHAnsi"/>
          <w:sz w:val="24"/>
          <w:szCs w:val="24"/>
        </w:rPr>
        <w:t>accordance with GASB guidance</w:t>
      </w:r>
      <w:r>
        <w:rPr>
          <w:rFonts w:cstheme="minorHAnsi"/>
          <w:sz w:val="24"/>
          <w:szCs w:val="24"/>
        </w:rPr>
        <w:t xml:space="preserve">. Under this guidance, revenue recognition does not necessarily correlate with the same fiscal year that the System applied allowable costs against the awards. </w:t>
      </w:r>
      <w:r w:rsidRPr="00721CFD">
        <w:rPr>
          <w:rFonts w:cstheme="minorHAnsi"/>
          <w:sz w:val="24"/>
          <w:szCs w:val="24"/>
        </w:rPr>
        <w:t xml:space="preserve">For example, some of the </w:t>
      </w:r>
      <w:r w:rsidR="00231815" w:rsidRPr="00721CFD">
        <w:rPr>
          <w:rFonts w:cstheme="minorHAnsi"/>
          <w:sz w:val="24"/>
          <w:szCs w:val="24"/>
        </w:rPr>
        <w:t>FY2</w:t>
      </w:r>
      <w:r w:rsidR="00231815">
        <w:rPr>
          <w:rFonts w:cstheme="minorHAnsi"/>
          <w:sz w:val="24"/>
          <w:szCs w:val="24"/>
        </w:rPr>
        <w:t>3</w:t>
      </w:r>
      <w:r w:rsidR="00231815" w:rsidRPr="00721CFD">
        <w:rPr>
          <w:rFonts w:cstheme="minorHAnsi"/>
          <w:sz w:val="24"/>
          <w:szCs w:val="24"/>
        </w:rPr>
        <w:t xml:space="preserve"> </w:t>
      </w:r>
      <w:r w:rsidRPr="00721CFD">
        <w:rPr>
          <w:rFonts w:cstheme="minorHAnsi"/>
          <w:sz w:val="24"/>
          <w:szCs w:val="24"/>
        </w:rPr>
        <w:t xml:space="preserve">revenue recognized in the accompanying financial statements related to costs applied against the federal awards in </w:t>
      </w:r>
      <w:r w:rsidR="00231815" w:rsidRPr="00721CFD">
        <w:rPr>
          <w:rFonts w:cstheme="minorHAnsi"/>
          <w:sz w:val="24"/>
          <w:szCs w:val="24"/>
        </w:rPr>
        <w:t>FY2</w:t>
      </w:r>
      <w:r w:rsidR="00231815">
        <w:rPr>
          <w:rFonts w:cstheme="minorHAnsi"/>
          <w:sz w:val="24"/>
          <w:szCs w:val="24"/>
        </w:rPr>
        <w:t>2</w:t>
      </w:r>
      <w:r w:rsidRPr="00721CFD">
        <w:rPr>
          <w:rFonts w:cstheme="minorHAnsi"/>
          <w:sz w:val="24"/>
          <w:szCs w:val="24"/>
        </w:rPr>
        <w:t>. Also, certain costs applied against the federal awards in FY2</w:t>
      </w:r>
      <w:r w:rsidR="00231815">
        <w:rPr>
          <w:rFonts w:cstheme="minorHAnsi"/>
          <w:sz w:val="24"/>
          <w:szCs w:val="24"/>
        </w:rPr>
        <w:t>1</w:t>
      </w:r>
      <w:r w:rsidRPr="00721CFD">
        <w:rPr>
          <w:rFonts w:cstheme="minorHAnsi"/>
          <w:sz w:val="24"/>
          <w:szCs w:val="24"/>
        </w:rPr>
        <w:t xml:space="preserve"> were not recognized as revenue until FY2</w:t>
      </w:r>
      <w:r w:rsidR="00231815">
        <w:rPr>
          <w:rFonts w:cstheme="minorHAnsi"/>
          <w:sz w:val="24"/>
          <w:szCs w:val="24"/>
        </w:rPr>
        <w:t>2</w:t>
      </w:r>
      <w:r w:rsidRPr="00721CFD">
        <w:rPr>
          <w:rFonts w:cstheme="minorHAnsi"/>
          <w:sz w:val="24"/>
          <w:szCs w:val="24"/>
        </w:rPr>
        <w:t>.</w:t>
      </w:r>
    </w:p>
    <w:p w14:paraId="7E208630" w14:textId="77777777" w:rsidR="00A83362" w:rsidRDefault="00A83362" w:rsidP="00A83362">
      <w:pPr>
        <w:rPr>
          <w:rFonts w:cstheme="minorHAnsi"/>
          <w:sz w:val="24"/>
          <w:szCs w:val="24"/>
        </w:rPr>
      </w:pPr>
    </w:p>
    <w:p w14:paraId="40C8D9CC" w14:textId="29035DFA" w:rsidR="00A83362" w:rsidRPr="00D04DEE" w:rsidRDefault="00A83362" w:rsidP="00A83362">
      <w:pPr>
        <w:spacing w:after="120"/>
        <w:rPr>
          <w:rFonts w:cstheme="minorHAnsi"/>
          <w:sz w:val="24"/>
          <w:szCs w:val="24"/>
        </w:rPr>
      </w:pPr>
      <w:r w:rsidRPr="00790AF8">
        <w:rPr>
          <w:rFonts w:cstheme="minorHAnsi"/>
          <w:sz w:val="24"/>
          <w:szCs w:val="24"/>
        </w:rPr>
        <w:t>FY2</w:t>
      </w:r>
      <w:r>
        <w:rPr>
          <w:rFonts w:cstheme="minorHAnsi"/>
          <w:sz w:val="24"/>
          <w:szCs w:val="24"/>
        </w:rPr>
        <w:t>3</w:t>
      </w:r>
      <w:r w:rsidRPr="00790AF8">
        <w:rPr>
          <w:rFonts w:cstheme="minorHAnsi"/>
          <w:sz w:val="24"/>
          <w:szCs w:val="24"/>
        </w:rPr>
        <w:t xml:space="preserve"> federal coronavirus relief funding revenue </w:t>
      </w:r>
      <w:r>
        <w:rPr>
          <w:rFonts w:cstheme="minorHAnsi"/>
          <w:sz w:val="24"/>
          <w:szCs w:val="24"/>
        </w:rPr>
        <w:t>totals</w:t>
      </w:r>
      <w:r w:rsidRPr="00790AF8">
        <w:rPr>
          <w:rFonts w:cstheme="minorHAnsi"/>
          <w:sz w:val="24"/>
          <w:szCs w:val="24"/>
        </w:rPr>
        <w:t xml:space="preserve"> </w:t>
      </w:r>
      <w:r w:rsidRPr="00D04DEE">
        <w:rPr>
          <w:rFonts w:cstheme="minorHAnsi"/>
          <w:sz w:val="24"/>
          <w:szCs w:val="24"/>
        </w:rPr>
        <w:t>$</w:t>
      </w:r>
      <w:r w:rsidR="00533D09">
        <w:rPr>
          <w:rFonts w:cstheme="minorHAnsi"/>
          <w:sz w:val="24"/>
          <w:szCs w:val="24"/>
        </w:rPr>
        <w:t>1</w:t>
      </w:r>
      <w:r w:rsidR="00533D09" w:rsidRPr="00D04DEE">
        <w:rPr>
          <w:rFonts w:cstheme="minorHAnsi"/>
          <w:sz w:val="24"/>
          <w:szCs w:val="24"/>
        </w:rPr>
        <w:t xml:space="preserve"> </w:t>
      </w:r>
      <w:r w:rsidRPr="00D04DEE">
        <w:rPr>
          <w:rFonts w:cstheme="minorHAnsi"/>
          <w:sz w:val="24"/>
          <w:szCs w:val="24"/>
        </w:rPr>
        <w:t>million and is related to the following costs:</w:t>
      </w:r>
    </w:p>
    <w:p w14:paraId="74583269" w14:textId="3FC53CA7" w:rsidR="00A83362" w:rsidRPr="00533D09" w:rsidRDefault="00A83362" w:rsidP="00A83362">
      <w:pPr>
        <w:pStyle w:val="ListParagraph"/>
        <w:numPr>
          <w:ilvl w:val="0"/>
          <w:numId w:val="20"/>
        </w:numPr>
        <w:rPr>
          <w:rFonts w:cstheme="minorHAnsi"/>
        </w:rPr>
      </w:pPr>
      <w:r w:rsidRPr="00533D09">
        <w:rPr>
          <w:rFonts w:asciiTheme="minorHAnsi" w:eastAsiaTheme="minorHAnsi" w:hAnsiTheme="minorHAnsi" w:cstheme="minorHAnsi"/>
        </w:rPr>
        <w:t>Emergency awards made to students in FY23 - $</w:t>
      </w:r>
      <w:r w:rsidR="00533D09" w:rsidRPr="00533D09">
        <w:rPr>
          <w:rFonts w:asciiTheme="minorHAnsi" w:eastAsiaTheme="minorHAnsi" w:hAnsiTheme="minorHAnsi" w:cstheme="minorHAnsi"/>
        </w:rPr>
        <w:t>2</w:t>
      </w:r>
      <w:r w:rsidR="00533D09" w:rsidRPr="004B6F10">
        <w:rPr>
          <w:rFonts w:asciiTheme="minorHAnsi" w:eastAsiaTheme="minorHAnsi" w:hAnsiTheme="minorHAnsi" w:cstheme="minorHAnsi"/>
        </w:rPr>
        <w:t>37</w:t>
      </w:r>
      <w:r w:rsidR="00533D09" w:rsidRPr="00533D09">
        <w:rPr>
          <w:rFonts w:asciiTheme="minorHAnsi" w:eastAsiaTheme="minorHAnsi" w:hAnsiTheme="minorHAnsi" w:cstheme="minorHAnsi"/>
        </w:rPr>
        <w:t xml:space="preserve"> </w:t>
      </w:r>
      <w:r w:rsidRPr="00533D09">
        <w:rPr>
          <w:rFonts w:asciiTheme="minorHAnsi" w:eastAsiaTheme="minorHAnsi" w:hAnsiTheme="minorHAnsi" w:cstheme="minorHAnsi"/>
        </w:rPr>
        <w:t>thousand</w:t>
      </w:r>
    </w:p>
    <w:p w14:paraId="7692D509" w14:textId="66EAB981" w:rsidR="00A83362" w:rsidRPr="00533D09" w:rsidRDefault="00A83362" w:rsidP="00A83362">
      <w:pPr>
        <w:pStyle w:val="ListParagraph"/>
        <w:numPr>
          <w:ilvl w:val="0"/>
          <w:numId w:val="19"/>
        </w:numPr>
        <w:rPr>
          <w:rFonts w:cstheme="minorHAnsi"/>
        </w:rPr>
      </w:pPr>
      <w:r w:rsidRPr="00533D09">
        <w:rPr>
          <w:rFonts w:asciiTheme="minorHAnsi" w:eastAsiaTheme="minorHAnsi" w:hAnsiTheme="minorHAnsi" w:cstheme="minorHAnsi"/>
        </w:rPr>
        <w:t>Recovery of lost FY21 and FY22 revenues - $</w:t>
      </w:r>
      <w:r w:rsidR="00533D09" w:rsidRPr="004B6F10">
        <w:rPr>
          <w:rFonts w:asciiTheme="minorHAnsi" w:eastAsiaTheme="minorHAnsi" w:hAnsiTheme="minorHAnsi" w:cstheme="minorHAnsi"/>
        </w:rPr>
        <w:t>490</w:t>
      </w:r>
      <w:r w:rsidR="00533D09" w:rsidRPr="00533D09">
        <w:rPr>
          <w:rFonts w:asciiTheme="minorHAnsi" w:eastAsiaTheme="minorHAnsi" w:hAnsiTheme="minorHAnsi" w:cstheme="minorHAnsi"/>
        </w:rPr>
        <w:t xml:space="preserve"> </w:t>
      </w:r>
      <w:r w:rsidRPr="00533D09">
        <w:rPr>
          <w:rFonts w:asciiTheme="minorHAnsi" w:eastAsiaTheme="minorHAnsi" w:hAnsiTheme="minorHAnsi" w:cstheme="minorHAnsi"/>
        </w:rPr>
        <w:t>thousand</w:t>
      </w:r>
    </w:p>
    <w:p w14:paraId="7B189115" w14:textId="3A22C460" w:rsidR="00A83362" w:rsidRPr="00533D09" w:rsidRDefault="00A83362" w:rsidP="001834CF">
      <w:pPr>
        <w:pStyle w:val="ListParagraph"/>
        <w:numPr>
          <w:ilvl w:val="0"/>
          <w:numId w:val="19"/>
        </w:numPr>
        <w:rPr>
          <w:rFonts w:cstheme="minorHAnsi"/>
        </w:rPr>
      </w:pPr>
      <w:r w:rsidRPr="00342061">
        <w:rPr>
          <w:rFonts w:asciiTheme="minorHAnsi" w:eastAsiaTheme="minorHAnsi" w:hAnsiTheme="minorHAnsi" w:cstheme="minorHAnsi"/>
        </w:rPr>
        <w:t>Other pandemic related costs - $</w:t>
      </w:r>
      <w:r w:rsidR="00533D09" w:rsidRPr="004B6F10">
        <w:rPr>
          <w:rFonts w:asciiTheme="minorHAnsi" w:eastAsiaTheme="minorHAnsi" w:hAnsiTheme="minorHAnsi" w:cstheme="minorHAnsi"/>
        </w:rPr>
        <w:t>273</w:t>
      </w:r>
      <w:r w:rsidR="00533D09">
        <w:rPr>
          <w:rFonts w:asciiTheme="minorHAnsi" w:eastAsiaTheme="minorHAnsi" w:hAnsiTheme="minorHAnsi" w:cstheme="minorHAnsi"/>
        </w:rPr>
        <w:t xml:space="preserve"> thousand</w:t>
      </w:r>
    </w:p>
    <w:p w14:paraId="11B7B5C7" w14:textId="77777777" w:rsidR="00533D09" w:rsidRPr="00533D09" w:rsidRDefault="00533D09" w:rsidP="004B6F10">
      <w:pPr>
        <w:ind w:left="360"/>
        <w:rPr>
          <w:rFonts w:cstheme="minorHAnsi"/>
        </w:rPr>
      </w:pPr>
    </w:p>
    <w:p w14:paraId="616BB487" w14:textId="691B91C7" w:rsidR="00B621E7" w:rsidRDefault="00B621E7" w:rsidP="00A83362">
      <w:pPr>
        <w:rPr>
          <w:rFonts w:cstheme="minorHAnsi"/>
          <w:sz w:val="24"/>
          <w:szCs w:val="24"/>
        </w:rPr>
      </w:pPr>
      <w:r>
        <w:rPr>
          <w:rFonts w:cstheme="minorHAnsi"/>
          <w:sz w:val="24"/>
          <w:szCs w:val="24"/>
        </w:rPr>
        <w:t xml:space="preserve">In FY23, an additional $2 million of federal coronavirus relief funding is reported in the Statements of Revenues, Expenses, and Changes in Net Position as part of capital grants and gifts </w:t>
      </w:r>
      <w:r w:rsidR="00533D09">
        <w:rPr>
          <w:rFonts w:cstheme="minorHAnsi"/>
          <w:sz w:val="24"/>
          <w:szCs w:val="24"/>
        </w:rPr>
        <w:t xml:space="preserve">revenue </w:t>
      </w:r>
      <w:r>
        <w:rPr>
          <w:rFonts w:cstheme="minorHAnsi"/>
          <w:sz w:val="24"/>
          <w:szCs w:val="24"/>
        </w:rPr>
        <w:t>as the monies were utilized for capital improvements.</w:t>
      </w:r>
    </w:p>
    <w:p w14:paraId="606130A1" w14:textId="77777777" w:rsidR="00B621E7" w:rsidRPr="00661599" w:rsidRDefault="00B621E7" w:rsidP="00A83362">
      <w:pPr>
        <w:rPr>
          <w:rFonts w:cstheme="minorHAnsi"/>
          <w:sz w:val="24"/>
          <w:szCs w:val="24"/>
        </w:rPr>
      </w:pPr>
    </w:p>
    <w:p w14:paraId="7882C471" w14:textId="77777777" w:rsidR="00A83362" w:rsidRPr="00790AF8" w:rsidRDefault="00A83362" w:rsidP="00A83362">
      <w:pPr>
        <w:spacing w:after="120"/>
        <w:rPr>
          <w:rFonts w:cstheme="minorHAnsi"/>
          <w:sz w:val="24"/>
          <w:szCs w:val="24"/>
        </w:rPr>
      </w:pPr>
      <w:r w:rsidRPr="00790AF8">
        <w:rPr>
          <w:rFonts w:cstheme="minorHAnsi"/>
          <w:sz w:val="24"/>
          <w:szCs w:val="24"/>
        </w:rPr>
        <w:t>FY2</w:t>
      </w:r>
      <w:r>
        <w:rPr>
          <w:rFonts w:cstheme="minorHAnsi"/>
          <w:sz w:val="24"/>
          <w:szCs w:val="24"/>
        </w:rPr>
        <w:t>2</w:t>
      </w:r>
      <w:r w:rsidRPr="00790AF8">
        <w:rPr>
          <w:rFonts w:cstheme="minorHAnsi"/>
          <w:sz w:val="24"/>
          <w:szCs w:val="24"/>
        </w:rPr>
        <w:t xml:space="preserve"> federal coronavirus relief funding revenue </w:t>
      </w:r>
      <w:r>
        <w:rPr>
          <w:rFonts w:cstheme="minorHAnsi"/>
          <w:sz w:val="24"/>
          <w:szCs w:val="24"/>
        </w:rPr>
        <w:t>totaled</w:t>
      </w:r>
      <w:r w:rsidRPr="00790AF8">
        <w:rPr>
          <w:rFonts w:cstheme="minorHAnsi"/>
          <w:sz w:val="24"/>
          <w:szCs w:val="24"/>
        </w:rPr>
        <w:t xml:space="preserve"> $</w:t>
      </w:r>
      <w:r>
        <w:rPr>
          <w:rFonts w:cstheme="minorHAnsi"/>
          <w:sz w:val="24"/>
          <w:szCs w:val="24"/>
        </w:rPr>
        <w:t>55</w:t>
      </w:r>
      <w:r w:rsidRPr="00790AF8">
        <w:rPr>
          <w:rFonts w:cstheme="minorHAnsi"/>
          <w:sz w:val="24"/>
          <w:szCs w:val="24"/>
        </w:rPr>
        <w:t xml:space="preserve"> million </w:t>
      </w:r>
      <w:r>
        <w:rPr>
          <w:rFonts w:cstheme="minorHAnsi"/>
          <w:sz w:val="24"/>
          <w:szCs w:val="24"/>
        </w:rPr>
        <w:t>and is r</w:t>
      </w:r>
      <w:r w:rsidRPr="00790AF8">
        <w:rPr>
          <w:rFonts w:cstheme="minorHAnsi"/>
          <w:sz w:val="24"/>
          <w:szCs w:val="24"/>
        </w:rPr>
        <w:t>elated to the following costs:</w:t>
      </w:r>
    </w:p>
    <w:p w14:paraId="4BB71FF5" w14:textId="77777777" w:rsidR="00A83362" w:rsidRPr="00721CFD" w:rsidRDefault="00A83362" w:rsidP="00A83362">
      <w:pPr>
        <w:pStyle w:val="ListParagraph"/>
        <w:numPr>
          <w:ilvl w:val="0"/>
          <w:numId w:val="20"/>
        </w:numPr>
        <w:rPr>
          <w:rFonts w:cstheme="minorHAnsi"/>
        </w:rPr>
      </w:pPr>
      <w:r w:rsidRPr="00721CFD">
        <w:rPr>
          <w:rFonts w:asciiTheme="minorHAnsi" w:eastAsiaTheme="minorHAnsi" w:hAnsiTheme="minorHAnsi" w:cstheme="minorHAnsi"/>
        </w:rPr>
        <w:t>Emergency awards made to students in FY22 - $2</w:t>
      </w:r>
      <w:r>
        <w:rPr>
          <w:rFonts w:asciiTheme="minorHAnsi" w:eastAsiaTheme="minorHAnsi" w:hAnsiTheme="minorHAnsi" w:cstheme="minorHAnsi"/>
        </w:rPr>
        <w:t>8</w:t>
      </w:r>
      <w:r w:rsidRPr="00721CFD">
        <w:rPr>
          <w:rFonts w:asciiTheme="minorHAnsi" w:eastAsiaTheme="minorHAnsi" w:hAnsiTheme="minorHAnsi" w:cstheme="minorHAnsi"/>
        </w:rPr>
        <w:t xml:space="preserve"> million</w:t>
      </w:r>
    </w:p>
    <w:p w14:paraId="4B51CC0D" w14:textId="77777777" w:rsidR="00A83362" w:rsidRPr="00721CFD" w:rsidRDefault="00A83362" w:rsidP="00A83362">
      <w:pPr>
        <w:pStyle w:val="ListParagraph"/>
        <w:numPr>
          <w:ilvl w:val="0"/>
          <w:numId w:val="19"/>
        </w:numPr>
        <w:rPr>
          <w:rFonts w:cstheme="minorHAnsi"/>
        </w:rPr>
      </w:pPr>
      <w:r w:rsidRPr="00721CFD">
        <w:rPr>
          <w:rFonts w:asciiTheme="minorHAnsi" w:eastAsiaTheme="minorHAnsi" w:hAnsiTheme="minorHAnsi" w:cstheme="minorHAnsi"/>
        </w:rPr>
        <w:t xml:space="preserve">Recovery of lost </w:t>
      </w:r>
      <w:r>
        <w:rPr>
          <w:rFonts w:asciiTheme="minorHAnsi" w:eastAsiaTheme="minorHAnsi" w:hAnsiTheme="minorHAnsi" w:cstheme="minorHAnsi"/>
        </w:rPr>
        <w:t xml:space="preserve">FY21 and </w:t>
      </w:r>
      <w:r w:rsidRPr="00721CFD">
        <w:rPr>
          <w:rFonts w:asciiTheme="minorHAnsi" w:eastAsiaTheme="minorHAnsi" w:hAnsiTheme="minorHAnsi" w:cstheme="minorHAnsi"/>
        </w:rPr>
        <w:t>FY22 revenues - $2</w:t>
      </w:r>
      <w:r>
        <w:rPr>
          <w:rFonts w:asciiTheme="minorHAnsi" w:eastAsiaTheme="minorHAnsi" w:hAnsiTheme="minorHAnsi" w:cstheme="minorHAnsi"/>
        </w:rPr>
        <w:t>2</w:t>
      </w:r>
      <w:r w:rsidRPr="00721CFD">
        <w:rPr>
          <w:rFonts w:asciiTheme="minorHAnsi" w:eastAsiaTheme="minorHAnsi" w:hAnsiTheme="minorHAnsi" w:cstheme="minorHAnsi"/>
        </w:rPr>
        <w:t xml:space="preserve"> million</w:t>
      </w:r>
    </w:p>
    <w:p w14:paraId="1C0DE498" w14:textId="77777777" w:rsidR="00A83362" w:rsidRPr="006A2C84" w:rsidRDefault="00A83362" w:rsidP="00A83362">
      <w:pPr>
        <w:pStyle w:val="ListParagraph"/>
        <w:numPr>
          <w:ilvl w:val="0"/>
          <w:numId w:val="19"/>
        </w:numPr>
        <w:rPr>
          <w:rFonts w:cstheme="minorHAnsi"/>
        </w:rPr>
      </w:pPr>
      <w:r w:rsidRPr="00721CFD">
        <w:rPr>
          <w:rFonts w:asciiTheme="minorHAnsi" w:eastAsiaTheme="minorHAnsi" w:hAnsiTheme="minorHAnsi" w:cstheme="minorHAnsi"/>
        </w:rPr>
        <w:t>Other pandemic related costs - $</w:t>
      </w:r>
      <w:r>
        <w:rPr>
          <w:rFonts w:asciiTheme="minorHAnsi" w:eastAsiaTheme="minorHAnsi" w:hAnsiTheme="minorHAnsi" w:cstheme="minorHAnsi"/>
        </w:rPr>
        <w:t>5</w:t>
      </w:r>
      <w:r w:rsidRPr="00721CFD">
        <w:rPr>
          <w:rFonts w:asciiTheme="minorHAnsi" w:eastAsiaTheme="minorHAnsi" w:hAnsiTheme="minorHAnsi" w:cstheme="minorHAnsi"/>
        </w:rPr>
        <w:t xml:space="preserve"> million</w:t>
      </w:r>
    </w:p>
    <w:p w14:paraId="5C0754D6" w14:textId="77777777" w:rsidR="00A83362" w:rsidRPr="000544FC" w:rsidRDefault="00A83362" w:rsidP="00A83362">
      <w:pPr>
        <w:spacing w:before="120" w:after="120"/>
        <w:rPr>
          <w:rFonts w:eastAsia="Times New Roman" w:cstheme="minorHAnsi"/>
          <w:b/>
          <w:i/>
          <w:sz w:val="24"/>
        </w:rPr>
      </w:pPr>
      <w:r w:rsidRPr="00661599">
        <w:rPr>
          <w:rFonts w:eastAsia="Times New Roman" w:cstheme="minorHAnsi"/>
          <w:b/>
          <w:i/>
          <w:sz w:val="24"/>
        </w:rPr>
        <w:t>State Funding</w:t>
      </w:r>
    </w:p>
    <w:p w14:paraId="7AB24B9C" w14:textId="6918D4A1" w:rsidR="003C7D96" w:rsidRPr="00342061" w:rsidRDefault="00342061" w:rsidP="004B6F10">
      <w:pPr>
        <w:rPr>
          <w:rFonts w:cstheme="minorHAnsi"/>
          <w:sz w:val="24"/>
          <w:szCs w:val="24"/>
        </w:rPr>
      </w:pPr>
      <w:r>
        <w:rPr>
          <w:rFonts w:eastAsia="Times New Roman" w:cstheme="minorHAnsi"/>
          <w:sz w:val="24"/>
        </w:rPr>
        <w:t>From its American Rescue Plan Act funds, t</w:t>
      </w:r>
      <w:r w:rsidR="00A83362">
        <w:rPr>
          <w:rFonts w:eastAsia="Times New Roman" w:cstheme="minorHAnsi"/>
          <w:sz w:val="24"/>
        </w:rPr>
        <w:t>he State of Maine awarded the System a total of $</w:t>
      </w:r>
      <w:r w:rsidR="00533D09">
        <w:rPr>
          <w:rFonts w:eastAsia="Times New Roman" w:cstheme="minorHAnsi"/>
          <w:sz w:val="24"/>
        </w:rPr>
        <w:t xml:space="preserve">35 </w:t>
      </w:r>
      <w:r w:rsidR="00A83362">
        <w:rPr>
          <w:rFonts w:eastAsia="Times New Roman" w:cstheme="minorHAnsi"/>
          <w:sz w:val="24"/>
        </w:rPr>
        <w:t>million to be used for projects related to the Maine Jobs and Recovery Plan</w:t>
      </w:r>
      <w:r w:rsidR="00533D09">
        <w:rPr>
          <w:rFonts w:eastAsia="Times New Roman" w:cstheme="minorHAnsi"/>
          <w:sz w:val="24"/>
        </w:rPr>
        <w:t xml:space="preserve"> (MJRP). During FY23, the System recognized $2 million of coronavirus relief funding from this source of funds. In FY23, </w:t>
      </w:r>
      <w:r>
        <w:rPr>
          <w:rFonts w:eastAsia="Times New Roman" w:cstheme="minorHAnsi"/>
          <w:sz w:val="24"/>
        </w:rPr>
        <w:t xml:space="preserve">the System has reported </w:t>
      </w:r>
      <w:r w:rsidR="00533D09">
        <w:rPr>
          <w:rFonts w:eastAsia="Times New Roman" w:cstheme="minorHAnsi"/>
          <w:sz w:val="24"/>
        </w:rPr>
        <w:t xml:space="preserve">an additional $4 million of MJRP funds </w:t>
      </w:r>
      <w:r>
        <w:rPr>
          <w:rFonts w:eastAsia="Times New Roman" w:cstheme="minorHAnsi"/>
          <w:sz w:val="24"/>
        </w:rPr>
        <w:t xml:space="preserve">as part of capital grants and gifts revenue </w:t>
      </w:r>
      <w:r w:rsidR="00533D09">
        <w:rPr>
          <w:rFonts w:eastAsia="Times New Roman" w:cstheme="minorHAnsi"/>
          <w:sz w:val="24"/>
        </w:rPr>
        <w:t xml:space="preserve">in the Statements of </w:t>
      </w:r>
      <w:r w:rsidR="003C7D96">
        <w:rPr>
          <w:rFonts w:cstheme="minorHAnsi"/>
          <w:sz w:val="24"/>
          <w:szCs w:val="24"/>
        </w:rPr>
        <w:t xml:space="preserve">Revenues, Expenses, and Changes in Net Position </w:t>
      </w:r>
      <w:r w:rsidR="003C7D96" w:rsidRPr="00342061">
        <w:rPr>
          <w:rFonts w:cstheme="minorHAnsi"/>
          <w:sz w:val="24"/>
          <w:szCs w:val="24"/>
        </w:rPr>
        <w:t>as the monies were utilized for capital improvements.</w:t>
      </w:r>
    </w:p>
    <w:p w14:paraId="45E7A430" w14:textId="265394FF" w:rsidR="00533D09" w:rsidRDefault="00533D09" w:rsidP="004B6F10">
      <w:pPr>
        <w:rPr>
          <w:rFonts w:eastAsia="Times New Roman" w:cstheme="minorHAnsi"/>
          <w:sz w:val="24"/>
        </w:rPr>
      </w:pPr>
    </w:p>
    <w:p w14:paraId="204E89BC" w14:textId="6131AA87" w:rsidR="00A83362" w:rsidRPr="0055135D" w:rsidRDefault="003C7D96" w:rsidP="00A83362">
      <w:pPr>
        <w:spacing w:after="120"/>
        <w:rPr>
          <w:rFonts w:cstheme="minorHAnsi"/>
          <w:sz w:val="24"/>
          <w:szCs w:val="24"/>
        </w:rPr>
      </w:pPr>
      <w:r>
        <w:rPr>
          <w:rFonts w:eastAsia="Times New Roman" w:cstheme="minorHAnsi"/>
          <w:sz w:val="24"/>
        </w:rPr>
        <w:t xml:space="preserve">During FY22, the </w:t>
      </w:r>
      <w:r w:rsidR="00342061">
        <w:rPr>
          <w:rFonts w:eastAsia="Times New Roman" w:cstheme="minorHAnsi"/>
          <w:sz w:val="24"/>
        </w:rPr>
        <w:t>System recognized $8</w:t>
      </w:r>
      <w:r w:rsidR="00BA0078">
        <w:rPr>
          <w:rFonts w:eastAsia="Times New Roman" w:cstheme="minorHAnsi"/>
          <w:sz w:val="24"/>
        </w:rPr>
        <w:t xml:space="preserve"> million of coronavirus relief funding from a $15 million </w:t>
      </w:r>
      <w:r>
        <w:rPr>
          <w:rFonts w:eastAsia="Times New Roman" w:cstheme="minorHAnsi"/>
          <w:sz w:val="24"/>
        </w:rPr>
        <w:t xml:space="preserve">State of Maine </w:t>
      </w:r>
      <w:r w:rsidR="00BA0078">
        <w:rPr>
          <w:rFonts w:eastAsia="Times New Roman" w:cstheme="minorHAnsi"/>
          <w:sz w:val="24"/>
        </w:rPr>
        <w:t xml:space="preserve">grant awarded to the System in FY21 for </w:t>
      </w:r>
      <w:r w:rsidR="00A83362">
        <w:rPr>
          <w:rFonts w:eastAsia="Times New Roman" w:cstheme="minorHAnsi"/>
          <w:sz w:val="24"/>
        </w:rPr>
        <w:t xml:space="preserve">COVID-19 testing costs, personal protective equipment, and quarantine related costs. </w:t>
      </w:r>
    </w:p>
    <w:p w14:paraId="1AF485B5" w14:textId="77777777" w:rsidR="00A83362" w:rsidRPr="00796CA3" w:rsidRDefault="00A83362" w:rsidP="00A83362">
      <w:pPr>
        <w:spacing w:before="240" w:after="120"/>
        <w:rPr>
          <w:rFonts w:cstheme="minorHAnsi"/>
        </w:rPr>
      </w:pPr>
      <w:r w:rsidRPr="00661599">
        <w:rPr>
          <w:rFonts w:cstheme="minorHAnsi"/>
          <w:b/>
          <w:i/>
          <w:sz w:val="26"/>
          <w:u w:val="single" w:color="000000" w:themeColor="text1"/>
        </w:rPr>
        <w:lastRenderedPageBreak/>
        <w:t>Cash Gifts</w:t>
      </w:r>
    </w:p>
    <w:p w14:paraId="20CC2F59" w14:textId="2054CBAB" w:rsidR="006B08B5" w:rsidRDefault="00A83362" w:rsidP="00A83362">
      <w:pPr>
        <w:rPr>
          <w:rFonts w:cstheme="minorHAnsi"/>
          <w:sz w:val="24"/>
          <w:szCs w:val="24"/>
        </w:rPr>
      </w:pPr>
      <w:r>
        <w:rPr>
          <w:rFonts w:cstheme="minorHAnsi"/>
          <w:sz w:val="24"/>
          <w:szCs w:val="24"/>
        </w:rPr>
        <w:t xml:space="preserve">As shown in Chart </w:t>
      </w:r>
      <w:r w:rsidR="00387A2D">
        <w:rPr>
          <w:rFonts w:cstheme="minorHAnsi"/>
          <w:sz w:val="24"/>
          <w:szCs w:val="24"/>
        </w:rPr>
        <w:t>10</w:t>
      </w:r>
      <w:r>
        <w:rPr>
          <w:rFonts w:cstheme="minorHAnsi"/>
          <w:sz w:val="24"/>
          <w:szCs w:val="24"/>
        </w:rPr>
        <w:t xml:space="preserve">, total cash gifts of </w:t>
      </w:r>
      <w:r w:rsidRPr="00765520">
        <w:rPr>
          <w:rFonts w:cstheme="minorHAnsi"/>
          <w:sz w:val="24"/>
          <w:szCs w:val="24"/>
        </w:rPr>
        <w:t>$</w:t>
      </w:r>
      <w:r>
        <w:rPr>
          <w:rFonts w:cstheme="minorHAnsi"/>
          <w:sz w:val="24"/>
          <w:szCs w:val="24"/>
        </w:rPr>
        <w:t>35</w:t>
      </w:r>
      <w:r w:rsidRPr="00BC63C4">
        <w:rPr>
          <w:rFonts w:cstheme="minorHAnsi"/>
          <w:sz w:val="24"/>
          <w:szCs w:val="24"/>
        </w:rPr>
        <w:t xml:space="preserve"> million received in FY2</w:t>
      </w:r>
      <w:r>
        <w:rPr>
          <w:rFonts w:cstheme="minorHAnsi"/>
          <w:sz w:val="24"/>
          <w:szCs w:val="24"/>
        </w:rPr>
        <w:t>3</w:t>
      </w:r>
      <w:r w:rsidRPr="00BC63C4">
        <w:rPr>
          <w:rFonts w:cstheme="minorHAnsi"/>
          <w:sz w:val="24"/>
          <w:szCs w:val="24"/>
        </w:rPr>
        <w:t xml:space="preserve"> were </w:t>
      </w:r>
      <w:r>
        <w:rPr>
          <w:rFonts w:cstheme="minorHAnsi"/>
          <w:sz w:val="24"/>
          <w:szCs w:val="24"/>
        </w:rPr>
        <w:t>down</w:t>
      </w:r>
      <w:r w:rsidRPr="00BC63C4">
        <w:rPr>
          <w:rFonts w:cstheme="minorHAnsi"/>
          <w:sz w:val="24"/>
          <w:szCs w:val="24"/>
        </w:rPr>
        <w:t xml:space="preserve"> $</w:t>
      </w:r>
      <w:r>
        <w:rPr>
          <w:rFonts w:cstheme="minorHAnsi"/>
          <w:sz w:val="24"/>
          <w:szCs w:val="24"/>
        </w:rPr>
        <w:t>12</w:t>
      </w:r>
      <w:r w:rsidRPr="00BC63C4">
        <w:rPr>
          <w:rFonts w:cstheme="minorHAnsi"/>
          <w:sz w:val="24"/>
          <w:szCs w:val="24"/>
        </w:rPr>
        <w:t xml:space="preserve"> million from the prior year</w:t>
      </w:r>
      <w:r>
        <w:rPr>
          <w:rFonts w:cstheme="minorHAnsi"/>
          <w:sz w:val="24"/>
          <w:szCs w:val="24"/>
        </w:rPr>
        <w:t xml:space="preserve">, mainly </w:t>
      </w:r>
      <w:proofErr w:type="gramStart"/>
      <w:r>
        <w:rPr>
          <w:rFonts w:cstheme="minorHAnsi"/>
          <w:sz w:val="24"/>
          <w:szCs w:val="24"/>
        </w:rPr>
        <w:t>as a result of</w:t>
      </w:r>
      <w:proofErr w:type="gramEnd"/>
      <w:r>
        <w:rPr>
          <w:rFonts w:cstheme="minorHAnsi"/>
          <w:sz w:val="24"/>
          <w:szCs w:val="24"/>
        </w:rPr>
        <w:t xml:space="preserve"> decreased fundraising for engineering capital projects</w:t>
      </w:r>
      <w:r w:rsidR="006B08B5">
        <w:rPr>
          <w:rFonts w:cstheme="minorHAnsi"/>
          <w:sz w:val="24"/>
          <w:szCs w:val="24"/>
        </w:rPr>
        <w:t xml:space="preserve"> as those projects were completed during FY23</w:t>
      </w:r>
      <w:r w:rsidRPr="00BC63C4">
        <w:rPr>
          <w:rFonts w:cstheme="minorHAnsi"/>
          <w:sz w:val="24"/>
          <w:szCs w:val="24"/>
        </w:rPr>
        <w:t>. FY</w:t>
      </w:r>
      <w:r>
        <w:rPr>
          <w:rFonts w:cstheme="minorHAnsi"/>
          <w:sz w:val="24"/>
          <w:szCs w:val="24"/>
        </w:rPr>
        <w:t>23</w:t>
      </w:r>
      <w:r w:rsidRPr="00BC63C4">
        <w:rPr>
          <w:rFonts w:cstheme="minorHAnsi"/>
          <w:sz w:val="24"/>
          <w:szCs w:val="24"/>
        </w:rPr>
        <w:t xml:space="preserve"> gifts from </w:t>
      </w:r>
      <w:r w:rsidRPr="00721CFD">
        <w:rPr>
          <w:rFonts w:cstheme="minorHAnsi"/>
          <w:color w:val="0D0D0D" w:themeColor="text1" w:themeTint="F2"/>
          <w:sz w:val="24"/>
          <w:szCs w:val="24"/>
        </w:rPr>
        <w:t xml:space="preserve">university foundations </w:t>
      </w:r>
      <w:r>
        <w:rPr>
          <w:rFonts w:cstheme="minorHAnsi"/>
          <w:color w:val="0D0D0D" w:themeColor="text1" w:themeTint="F2"/>
          <w:sz w:val="24"/>
          <w:szCs w:val="24"/>
        </w:rPr>
        <w:t>de</w:t>
      </w:r>
      <w:r w:rsidRPr="00721CFD">
        <w:rPr>
          <w:rFonts w:cstheme="minorHAnsi"/>
          <w:color w:val="0D0D0D" w:themeColor="text1" w:themeTint="F2"/>
          <w:sz w:val="24"/>
          <w:szCs w:val="24"/>
        </w:rPr>
        <w:t>creased $</w:t>
      </w:r>
      <w:r>
        <w:rPr>
          <w:rFonts w:cstheme="minorHAnsi"/>
          <w:color w:val="0D0D0D" w:themeColor="text1" w:themeTint="F2"/>
          <w:sz w:val="24"/>
          <w:szCs w:val="24"/>
        </w:rPr>
        <w:t>16</w:t>
      </w:r>
      <w:r w:rsidRPr="00721CFD">
        <w:rPr>
          <w:rFonts w:cstheme="minorHAnsi"/>
          <w:color w:val="0D0D0D" w:themeColor="text1" w:themeTint="F2"/>
          <w:sz w:val="24"/>
          <w:szCs w:val="24"/>
        </w:rPr>
        <w:t xml:space="preserve"> million, while corporation gifts remained flat.  Gifts from non-profits</w:t>
      </w:r>
      <w:r>
        <w:rPr>
          <w:rFonts w:cstheme="minorHAnsi"/>
          <w:color w:val="0D0D0D" w:themeColor="text1" w:themeTint="F2"/>
          <w:sz w:val="24"/>
          <w:szCs w:val="24"/>
        </w:rPr>
        <w:t xml:space="preserve"> increased $2 million while alumni gifts decreased $2 million</w:t>
      </w:r>
      <w:r w:rsidRPr="00721CFD">
        <w:rPr>
          <w:rFonts w:cstheme="minorHAnsi"/>
          <w:color w:val="0D0D0D" w:themeColor="text1" w:themeTint="F2"/>
          <w:sz w:val="24"/>
          <w:szCs w:val="24"/>
        </w:rPr>
        <w:t xml:space="preserve"> and other</w:t>
      </w:r>
      <w:r w:rsidRPr="00BC63C4">
        <w:rPr>
          <w:rFonts w:cstheme="minorHAnsi"/>
          <w:color w:val="0D0D0D" w:themeColor="text1" w:themeTint="F2"/>
          <w:sz w:val="24"/>
          <w:szCs w:val="24"/>
        </w:rPr>
        <w:t xml:space="preserve"> donor types </w:t>
      </w:r>
      <w:r>
        <w:rPr>
          <w:rFonts w:cstheme="minorHAnsi"/>
          <w:color w:val="0D0D0D" w:themeColor="text1" w:themeTint="F2"/>
          <w:sz w:val="24"/>
          <w:szCs w:val="24"/>
        </w:rPr>
        <w:t>in</w:t>
      </w:r>
      <w:r w:rsidRPr="00BC63C4">
        <w:rPr>
          <w:rFonts w:cstheme="minorHAnsi"/>
          <w:color w:val="0D0D0D" w:themeColor="text1" w:themeTint="F2"/>
          <w:sz w:val="24"/>
          <w:szCs w:val="24"/>
        </w:rPr>
        <w:t>creased $</w:t>
      </w:r>
      <w:r>
        <w:rPr>
          <w:rFonts w:cstheme="minorHAnsi"/>
          <w:color w:val="0D0D0D" w:themeColor="text1" w:themeTint="F2"/>
          <w:sz w:val="24"/>
          <w:szCs w:val="24"/>
        </w:rPr>
        <w:t>4</w:t>
      </w:r>
      <w:r w:rsidRPr="00BC63C4">
        <w:rPr>
          <w:rFonts w:cstheme="minorHAnsi"/>
          <w:color w:val="0D0D0D" w:themeColor="text1" w:themeTint="F2"/>
          <w:sz w:val="24"/>
          <w:szCs w:val="24"/>
        </w:rPr>
        <w:t xml:space="preserve"> million</w:t>
      </w:r>
      <w:r w:rsidRPr="00BC63C4">
        <w:rPr>
          <w:rFonts w:cstheme="minorHAnsi"/>
          <w:sz w:val="24"/>
          <w:szCs w:val="24"/>
        </w:rPr>
        <w:t xml:space="preserve">. </w:t>
      </w:r>
    </w:p>
    <w:p w14:paraId="4186FC00" w14:textId="77777777" w:rsidR="006B08B5" w:rsidRDefault="006B08B5" w:rsidP="00A83362">
      <w:pPr>
        <w:rPr>
          <w:rFonts w:cstheme="minorHAnsi"/>
          <w:sz w:val="24"/>
          <w:szCs w:val="24"/>
        </w:rPr>
      </w:pPr>
    </w:p>
    <w:p w14:paraId="31BA2847" w14:textId="349B8152" w:rsidR="00A83362" w:rsidRDefault="00A83362" w:rsidP="00A83362">
      <w:pPr>
        <w:rPr>
          <w:rFonts w:cstheme="minorHAnsi"/>
          <w:sz w:val="24"/>
          <w:szCs w:val="24"/>
        </w:rPr>
      </w:pPr>
      <w:r w:rsidRPr="00BC63C4">
        <w:rPr>
          <w:rFonts w:cstheme="minorHAnsi"/>
          <w:sz w:val="24"/>
          <w:szCs w:val="24"/>
        </w:rPr>
        <w:t>FY2</w:t>
      </w:r>
      <w:r>
        <w:rPr>
          <w:rFonts w:cstheme="minorHAnsi"/>
          <w:sz w:val="24"/>
          <w:szCs w:val="24"/>
        </w:rPr>
        <w:t>2</w:t>
      </w:r>
      <w:r w:rsidRPr="00BC63C4">
        <w:rPr>
          <w:rFonts w:cstheme="minorHAnsi"/>
          <w:sz w:val="24"/>
          <w:szCs w:val="24"/>
        </w:rPr>
        <w:t xml:space="preserve"> gifts </w:t>
      </w:r>
      <w:r w:rsidR="006B08B5">
        <w:rPr>
          <w:rFonts w:cstheme="minorHAnsi"/>
          <w:sz w:val="24"/>
          <w:szCs w:val="24"/>
        </w:rPr>
        <w:t xml:space="preserve">were up $21 million from the prior year mainly </w:t>
      </w:r>
      <w:proofErr w:type="gramStart"/>
      <w:r w:rsidR="006B08B5">
        <w:rPr>
          <w:rFonts w:cstheme="minorHAnsi"/>
          <w:sz w:val="24"/>
          <w:szCs w:val="24"/>
        </w:rPr>
        <w:t>as a result of</w:t>
      </w:r>
      <w:proofErr w:type="gramEnd"/>
      <w:r w:rsidR="006B08B5">
        <w:rPr>
          <w:rFonts w:cstheme="minorHAnsi"/>
          <w:sz w:val="24"/>
          <w:szCs w:val="24"/>
        </w:rPr>
        <w:t xml:space="preserve"> fundraising for engineering capital projects. Gifts </w:t>
      </w:r>
      <w:r w:rsidRPr="00BC63C4">
        <w:rPr>
          <w:rFonts w:cstheme="minorHAnsi"/>
          <w:sz w:val="24"/>
          <w:szCs w:val="24"/>
        </w:rPr>
        <w:t>from university foundation</w:t>
      </w:r>
      <w:r>
        <w:rPr>
          <w:rFonts w:cstheme="minorHAnsi"/>
          <w:sz w:val="24"/>
          <w:szCs w:val="24"/>
        </w:rPr>
        <w:t>s increased $23 million</w:t>
      </w:r>
      <w:r w:rsidRPr="00BC63C4">
        <w:rPr>
          <w:rFonts w:cstheme="minorHAnsi"/>
          <w:sz w:val="24"/>
          <w:szCs w:val="24"/>
        </w:rPr>
        <w:t>,</w:t>
      </w:r>
      <w:r>
        <w:rPr>
          <w:rFonts w:cstheme="minorHAnsi"/>
          <w:sz w:val="24"/>
          <w:szCs w:val="24"/>
        </w:rPr>
        <w:t xml:space="preserve"> while</w:t>
      </w:r>
      <w:r w:rsidRPr="00BC63C4">
        <w:rPr>
          <w:rFonts w:cstheme="minorHAnsi"/>
          <w:sz w:val="24"/>
          <w:szCs w:val="24"/>
        </w:rPr>
        <w:t xml:space="preserve"> corporation</w:t>
      </w:r>
      <w:r>
        <w:rPr>
          <w:rFonts w:cstheme="minorHAnsi"/>
          <w:sz w:val="24"/>
          <w:szCs w:val="24"/>
        </w:rPr>
        <w:t xml:space="preserve"> and alumni gifts remained flat.</w:t>
      </w:r>
      <w:r w:rsidRPr="00BC63C4">
        <w:rPr>
          <w:rFonts w:cstheme="minorHAnsi"/>
          <w:sz w:val="24"/>
          <w:szCs w:val="24"/>
        </w:rPr>
        <w:t xml:space="preserve"> </w:t>
      </w:r>
      <w:r>
        <w:rPr>
          <w:rFonts w:cstheme="minorHAnsi"/>
          <w:sz w:val="24"/>
          <w:szCs w:val="24"/>
        </w:rPr>
        <w:t>Gifts from n</w:t>
      </w:r>
      <w:r w:rsidRPr="00721CFD">
        <w:rPr>
          <w:rFonts w:cstheme="minorHAnsi"/>
          <w:sz w:val="24"/>
          <w:szCs w:val="24"/>
        </w:rPr>
        <w:t xml:space="preserve">on-profits, and other donor types each </w:t>
      </w:r>
      <w:r>
        <w:rPr>
          <w:rFonts w:cstheme="minorHAnsi"/>
          <w:sz w:val="24"/>
          <w:szCs w:val="24"/>
        </w:rPr>
        <w:t>de</w:t>
      </w:r>
      <w:r w:rsidRPr="00721CFD">
        <w:rPr>
          <w:rFonts w:cstheme="minorHAnsi"/>
          <w:sz w:val="24"/>
          <w:szCs w:val="24"/>
        </w:rPr>
        <w:t xml:space="preserve">creased $1 million. </w:t>
      </w:r>
    </w:p>
    <w:p w14:paraId="4DA803C2" w14:textId="77777777" w:rsidR="00A83362" w:rsidRPr="00735A4C" w:rsidRDefault="00A83362" w:rsidP="00A83362">
      <w:pPr>
        <w:rPr>
          <w:rFonts w:cstheme="minorHAnsi"/>
          <w:sz w:val="20"/>
          <w:szCs w:val="24"/>
        </w:rPr>
      </w:pPr>
    </w:p>
    <w:p w14:paraId="41A50CC2" w14:textId="77777777" w:rsidR="00A83362" w:rsidRDefault="00A83362" w:rsidP="00A83362">
      <w:pPr>
        <w:spacing w:after="120"/>
        <w:rPr>
          <w:rFonts w:cstheme="minorHAnsi"/>
          <w:sz w:val="24"/>
          <w:szCs w:val="24"/>
        </w:rPr>
      </w:pPr>
      <w:r>
        <w:rPr>
          <w:rFonts w:cstheme="minorHAnsi"/>
          <w:sz w:val="24"/>
          <w:szCs w:val="24"/>
        </w:rPr>
        <w:t xml:space="preserve">Of the </w:t>
      </w:r>
      <w:r w:rsidRPr="00765520">
        <w:rPr>
          <w:rFonts w:cstheme="minorHAnsi"/>
          <w:sz w:val="24"/>
          <w:szCs w:val="24"/>
        </w:rPr>
        <w:t>$</w:t>
      </w:r>
      <w:r>
        <w:rPr>
          <w:rFonts w:cstheme="minorHAnsi"/>
          <w:sz w:val="24"/>
          <w:szCs w:val="24"/>
        </w:rPr>
        <w:t>35 million in gifts received in FY23, 89</w:t>
      </w:r>
      <w:r w:rsidRPr="00765520">
        <w:rPr>
          <w:rFonts w:cstheme="minorHAnsi"/>
          <w:sz w:val="24"/>
          <w:szCs w:val="24"/>
        </w:rPr>
        <w:t xml:space="preserve">% </w:t>
      </w:r>
      <w:r>
        <w:rPr>
          <w:rFonts w:cstheme="minorHAnsi"/>
          <w:sz w:val="24"/>
          <w:szCs w:val="24"/>
        </w:rPr>
        <w:t>were restricted, 10</w:t>
      </w:r>
      <w:r w:rsidRPr="00765520">
        <w:rPr>
          <w:rFonts w:cstheme="minorHAnsi"/>
          <w:sz w:val="24"/>
          <w:szCs w:val="24"/>
        </w:rPr>
        <w:t xml:space="preserve">% </w:t>
      </w:r>
      <w:r>
        <w:rPr>
          <w:rFonts w:cstheme="minorHAnsi"/>
          <w:sz w:val="24"/>
          <w:szCs w:val="24"/>
        </w:rPr>
        <w:t>were endowed, and 1</w:t>
      </w:r>
      <w:r w:rsidRPr="00765520">
        <w:rPr>
          <w:rFonts w:cstheme="minorHAnsi"/>
          <w:sz w:val="24"/>
          <w:szCs w:val="24"/>
        </w:rPr>
        <w:t xml:space="preserve">% </w:t>
      </w:r>
      <w:r>
        <w:rPr>
          <w:rFonts w:cstheme="minorHAnsi"/>
          <w:sz w:val="24"/>
          <w:szCs w:val="24"/>
        </w:rPr>
        <w:t>were unrestricted. Of the $47 million in gifts received in FY22, 93% were restricted, 6% were endowed, and 1% were unrestricted.</w:t>
      </w:r>
    </w:p>
    <w:p w14:paraId="73E73BCD" w14:textId="77777777" w:rsidR="00A83362" w:rsidRDefault="00A83362" w:rsidP="00A83362">
      <w:pPr>
        <w:spacing w:before="160" w:after="160" w:line="256" w:lineRule="auto"/>
        <w:jc w:val="center"/>
        <w:rPr>
          <w:rFonts w:cstheme="minorHAnsi"/>
        </w:rPr>
      </w:pPr>
      <w:r>
        <w:rPr>
          <w:noProof/>
        </w:rPr>
        <w:drawing>
          <wp:inline distT="0" distB="0" distL="0" distR="0" wp14:anchorId="6EF0AC8B" wp14:editId="0FADFB53">
            <wp:extent cx="4594860" cy="2813050"/>
            <wp:effectExtent l="0" t="0" r="0" b="6350"/>
            <wp:docPr id="642926506" name="Chart 642926506">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EE12B3" w14:textId="77777777" w:rsidR="00A83362" w:rsidRDefault="00A83362" w:rsidP="00A83362">
      <w:pPr>
        <w:pStyle w:val="AFR3"/>
        <w:rPr>
          <w:rFonts w:cstheme="minorHAnsi"/>
        </w:rPr>
      </w:pPr>
      <w:r>
        <w:rPr>
          <w:rFonts w:cstheme="minorHAnsi"/>
        </w:rPr>
        <w:br w:type="page"/>
      </w:r>
    </w:p>
    <w:p w14:paraId="30500DCF" w14:textId="77777777" w:rsidR="00A83362" w:rsidRDefault="00A83362" w:rsidP="00A83362">
      <w:pPr>
        <w:pStyle w:val="AFR3"/>
        <w:rPr>
          <w:rFonts w:cstheme="minorHAnsi"/>
        </w:rPr>
      </w:pPr>
      <w:r>
        <w:rPr>
          <w:rFonts w:cstheme="minorHAnsi"/>
        </w:rPr>
        <w:lastRenderedPageBreak/>
        <w:t>Operating Expenses</w:t>
      </w:r>
    </w:p>
    <w:p w14:paraId="0A2E7B32" w14:textId="77777777" w:rsidR="00A83362" w:rsidRDefault="00A83362" w:rsidP="00A83362">
      <w:pPr>
        <w:spacing w:after="240"/>
        <w:rPr>
          <w:rFonts w:eastAsia="Times New Roman" w:cstheme="minorHAnsi"/>
          <w:sz w:val="24"/>
        </w:rPr>
      </w:pPr>
      <w:r>
        <w:rPr>
          <w:rFonts w:eastAsia="Times New Roman" w:cstheme="minorHAnsi"/>
          <w:sz w:val="24"/>
        </w:rPr>
        <w:t>Table 6 shows expenses on a functional basis while Table 7 shows expenses by natural classification.</w:t>
      </w:r>
    </w:p>
    <w:p w14:paraId="3438DB19" w14:textId="77777777" w:rsidR="00A83362" w:rsidRPr="00721CFD" w:rsidRDefault="00A83362" w:rsidP="00A83362">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Table 6: Operating Expenses by Functional Classification</w:t>
      </w:r>
    </w:p>
    <w:p w14:paraId="043A0ED3" w14:textId="77777777" w:rsidR="00A83362" w:rsidRPr="00721CFD" w:rsidRDefault="00A83362" w:rsidP="00A83362">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For the Years Ended June 30</w:t>
      </w:r>
    </w:p>
    <w:p w14:paraId="425765BB" w14:textId="77777777" w:rsidR="00A83362" w:rsidRDefault="00A83362" w:rsidP="00A83362">
      <w:pPr>
        <w:spacing w:after="240"/>
        <w:jc w:val="center"/>
        <w:rPr>
          <w:rFonts w:eastAsia="Times New Roman" w:cstheme="minorHAnsi"/>
          <w:b/>
          <w:bCs/>
          <w:color w:val="0D0D0D" w:themeColor="text1" w:themeTint="F2"/>
        </w:rPr>
      </w:pPr>
      <w:r w:rsidRPr="00721CFD">
        <w:rPr>
          <w:rFonts w:eastAsia="Times New Roman" w:cstheme="minorHAnsi"/>
          <w:b/>
          <w:bCs/>
          <w:color w:val="0D0D0D" w:themeColor="text1" w:themeTint="F2"/>
        </w:rPr>
        <w:t>(In millions)</w:t>
      </w:r>
    </w:p>
    <w:tbl>
      <w:tblPr>
        <w:tblW w:w="9938" w:type="dxa"/>
        <w:jc w:val="center"/>
        <w:tblLayout w:type="fixed"/>
        <w:tblLook w:val="04A0" w:firstRow="1" w:lastRow="0" w:firstColumn="1" w:lastColumn="0" w:noHBand="0" w:noVBand="1"/>
      </w:tblPr>
      <w:tblGrid>
        <w:gridCol w:w="3240"/>
        <w:gridCol w:w="630"/>
        <w:gridCol w:w="720"/>
        <w:gridCol w:w="630"/>
        <w:gridCol w:w="720"/>
        <w:gridCol w:w="630"/>
        <w:gridCol w:w="720"/>
        <w:gridCol w:w="630"/>
        <w:gridCol w:w="690"/>
        <w:gridCol w:w="642"/>
        <w:gridCol w:w="686"/>
      </w:tblGrid>
      <w:tr w:rsidR="008A5054" w:rsidRPr="00441E8E" w14:paraId="358A5FAB" w14:textId="77777777" w:rsidTr="0047104B">
        <w:trPr>
          <w:trHeight w:val="675"/>
          <w:jc w:val="center"/>
        </w:trPr>
        <w:tc>
          <w:tcPr>
            <w:tcW w:w="3240" w:type="dxa"/>
            <w:tcBorders>
              <w:top w:val="nil"/>
              <w:left w:val="nil"/>
              <w:bottom w:val="single" w:sz="12" w:space="0" w:color="00688D"/>
              <w:right w:val="nil"/>
            </w:tcBorders>
            <w:shd w:val="clear" w:color="000000" w:fill="FFFFFF"/>
            <w:noWrap/>
            <w:vAlign w:val="bottom"/>
            <w:hideMark/>
          </w:tcPr>
          <w:p w14:paraId="193D5A19" w14:textId="77777777" w:rsidR="00441E8E" w:rsidRPr="0047104B" w:rsidRDefault="00441E8E" w:rsidP="00441E8E">
            <w:pP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 </w:t>
            </w:r>
          </w:p>
        </w:tc>
        <w:tc>
          <w:tcPr>
            <w:tcW w:w="1350" w:type="dxa"/>
            <w:gridSpan w:val="2"/>
            <w:tcBorders>
              <w:top w:val="nil"/>
              <w:left w:val="nil"/>
              <w:bottom w:val="single" w:sz="12" w:space="0" w:color="00688D"/>
              <w:right w:val="nil"/>
            </w:tcBorders>
            <w:shd w:val="clear" w:color="000000" w:fill="FFFFFF"/>
            <w:noWrap/>
            <w:vAlign w:val="bottom"/>
            <w:hideMark/>
          </w:tcPr>
          <w:p w14:paraId="61B63078" w14:textId="77777777" w:rsidR="00441E8E" w:rsidRPr="0047104B" w:rsidRDefault="00441E8E" w:rsidP="00441E8E">
            <w:pPr>
              <w:jc w:val="cente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2023</w:t>
            </w:r>
          </w:p>
        </w:tc>
        <w:tc>
          <w:tcPr>
            <w:tcW w:w="1350" w:type="dxa"/>
            <w:gridSpan w:val="2"/>
            <w:tcBorders>
              <w:top w:val="nil"/>
              <w:left w:val="nil"/>
              <w:bottom w:val="single" w:sz="12" w:space="0" w:color="00688D"/>
              <w:right w:val="nil"/>
            </w:tcBorders>
            <w:shd w:val="clear" w:color="000000" w:fill="FFFFFF"/>
            <w:vAlign w:val="bottom"/>
            <w:hideMark/>
          </w:tcPr>
          <w:p w14:paraId="256E5F0F" w14:textId="77777777" w:rsidR="00441E8E" w:rsidRPr="0047104B" w:rsidRDefault="00441E8E" w:rsidP="00441E8E">
            <w:pPr>
              <w:jc w:val="cente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Restated</w:t>
            </w:r>
            <w:r w:rsidRPr="0047104B">
              <w:rPr>
                <w:rFonts w:ascii="Calibri" w:eastAsia="Times New Roman" w:hAnsi="Calibri" w:cs="Calibri"/>
                <w:b/>
                <w:bCs/>
                <w:color w:val="0D0D0D"/>
                <w:sz w:val="20"/>
                <w:szCs w:val="20"/>
              </w:rPr>
              <w:br/>
              <w:t>2022</w:t>
            </w:r>
          </w:p>
        </w:tc>
        <w:tc>
          <w:tcPr>
            <w:tcW w:w="1350" w:type="dxa"/>
            <w:gridSpan w:val="2"/>
            <w:tcBorders>
              <w:top w:val="nil"/>
              <w:left w:val="nil"/>
              <w:bottom w:val="single" w:sz="12" w:space="0" w:color="00688D"/>
              <w:right w:val="nil"/>
            </w:tcBorders>
            <w:shd w:val="clear" w:color="000000" w:fill="FFFFFF"/>
            <w:noWrap/>
            <w:vAlign w:val="bottom"/>
            <w:hideMark/>
          </w:tcPr>
          <w:p w14:paraId="164198C5" w14:textId="77777777" w:rsidR="00441E8E" w:rsidRPr="0047104B" w:rsidRDefault="00441E8E" w:rsidP="00441E8E">
            <w:pPr>
              <w:jc w:val="cente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2021</w:t>
            </w:r>
          </w:p>
        </w:tc>
        <w:tc>
          <w:tcPr>
            <w:tcW w:w="1320" w:type="dxa"/>
            <w:gridSpan w:val="2"/>
            <w:tcBorders>
              <w:top w:val="nil"/>
              <w:left w:val="nil"/>
              <w:bottom w:val="single" w:sz="12" w:space="0" w:color="00688D"/>
              <w:right w:val="nil"/>
            </w:tcBorders>
            <w:shd w:val="clear" w:color="000000" w:fill="FFFFFF"/>
            <w:noWrap/>
            <w:vAlign w:val="bottom"/>
            <w:hideMark/>
          </w:tcPr>
          <w:p w14:paraId="6D8E7AA1" w14:textId="77777777" w:rsidR="00441E8E" w:rsidRPr="0047104B" w:rsidRDefault="00441E8E" w:rsidP="00441E8E">
            <w:pPr>
              <w:jc w:val="cente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2020</w:t>
            </w:r>
          </w:p>
        </w:tc>
        <w:tc>
          <w:tcPr>
            <w:tcW w:w="1328" w:type="dxa"/>
            <w:gridSpan w:val="2"/>
            <w:tcBorders>
              <w:top w:val="nil"/>
              <w:left w:val="nil"/>
              <w:bottom w:val="single" w:sz="12" w:space="0" w:color="00688D"/>
              <w:right w:val="nil"/>
            </w:tcBorders>
            <w:shd w:val="clear" w:color="000000" w:fill="FFFFFF"/>
            <w:vAlign w:val="bottom"/>
            <w:hideMark/>
          </w:tcPr>
          <w:p w14:paraId="0E03741E" w14:textId="56A5BCF6" w:rsidR="00441E8E" w:rsidRPr="0047104B" w:rsidRDefault="00441E8E" w:rsidP="00441E8E">
            <w:pPr>
              <w:jc w:val="center"/>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br/>
              <w:t>2019</w:t>
            </w:r>
          </w:p>
        </w:tc>
      </w:tr>
      <w:tr w:rsidR="00242F78" w:rsidRPr="00441E8E" w14:paraId="7330E3E8" w14:textId="77777777" w:rsidTr="0047104B">
        <w:trPr>
          <w:trHeight w:val="315"/>
          <w:jc w:val="center"/>
        </w:trPr>
        <w:tc>
          <w:tcPr>
            <w:tcW w:w="3240" w:type="dxa"/>
            <w:tcBorders>
              <w:top w:val="nil"/>
              <w:left w:val="nil"/>
              <w:bottom w:val="nil"/>
              <w:right w:val="nil"/>
            </w:tcBorders>
            <w:shd w:val="clear" w:color="000000" w:fill="FFFFFF"/>
            <w:noWrap/>
            <w:vAlign w:val="bottom"/>
            <w:hideMark/>
          </w:tcPr>
          <w:p w14:paraId="1884E283"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 xml:space="preserve">Instruction </w:t>
            </w:r>
          </w:p>
        </w:tc>
        <w:tc>
          <w:tcPr>
            <w:tcW w:w="630" w:type="dxa"/>
            <w:tcBorders>
              <w:top w:val="nil"/>
              <w:left w:val="nil"/>
              <w:bottom w:val="nil"/>
              <w:right w:val="nil"/>
            </w:tcBorders>
            <w:shd w:val="clear" w:color="000000" w:fill="FFFFFF"/>
            <w:noWrap/>
            <w:vAlign w:val="bottom"/>
            <w:hideMark/>
          </w:tcPr>
          <w:p w14:paraId="3CF288B1" w14:textId="45B017D2"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$199</w:t>
            </w:r>
          </w:p>
        </w:tc>
        <w:tc>
          <w:tcPr>
            <w:tcW w:w="720" w:type="dxa"/>
            <w:tcBorders>
              <w:top w:val="nil"/>
              <w:left w:val="nil"/>
              <w:bottom w:val="nil"/>
              <w:right w:val="nil"/>
            </w:tcBorders>
            <w:shd w:val="clear" w:color="000000" w:fill="BFBFBF"/>
            <w:noWrap/>
            <w:vAlign w:val="bottom"/>
            <w:hideMark/>
          </w:tcPr>
          <w:p w14:paraId="3F72C49E" w14:textId="39C1DA2A"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w:t>
            </w:r>
            <w:r w:rsidR="00242F78">
              <w:rPr>
                <w:rFonts w:ascii="Calibri" w:eastAsia="Times New Roman" w:hAnsi="Calibri" w:cs="Calibri"/>
                <w:b/>
                <w:bCs/>
                <w:color w:val="0D0D0D"/>
                <w:sz w:val="20"/>
                <w:szCs w:val="20"/>
              </w:rPr>
              <w:t>4</w:t>
            </w:r>
            <w:r w:rsidRPr="0047104B">
              <w:rPr>
                <w:rFonts w:ascii="Calibri" w:eastAsia="Times New Roman" w:hAnsi="Calibri" w:cs="Calibri"/>
                <w:b/>
                <w:bCs/>
                <w:color w:val="0D0D0D"/>
                <w:sz w:val="20"/>
                <w:szCs w:val="20"/>
              </w:rPr>
              <w:t>%</w:t>
            </w:r>
          </w:p>
        </w:tc>
        <w:tc>
          <w:tcPr>
            <w:tcW w:w="630" w:type="dxa"/>
            <w:tcBorders>
              <w:top w:val="nil"/>
              <w:left w:val="nil"/>
              <w:bottom w:val="nil"/>
              <w:right w:val="nil"/>
            </w:tcBorders>
            <w:shd w:val="clear" w:color="000000" w:fill="FFFFFF"/>
            <w:noWrap/>
            <w:vAlign w:val="bottom"/>
            <w:hideMark/>
          </w:tcPr>
          <w:p w14:paraId="30EDC4D4" w14:textId="42DF509E"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$202</w:t>
            </w:r>
          </w:p>
        </w:tc>
        <w:tc>
          <w:tcPr>
            <w:tcW w:w="720" w:type="dxa"/>
            <w:tcBorders>
              <w:top w:val="nil"/>
              <w:left w:val="nil"/>
              <w:bottom w:val="nil"/>
              <w:right w:val="nil"/>
            </w:tcBorders>
            <w:shd w:val="clear" w:color="000000" w:fill="BFBFBF"/>
            <w:noWrap/>
            <w:vAlign w:val="bottom"/>
            <w:hideMark/>
          </w:tcPr>
          <w:p w14:paraId="2CA4D448"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25%</w:t>
            </w:r>
          </w:p>
        </w:tc>
        <w:tc>
          <w:tcPr>
            <w:tcW w:w="630" w:type="dxa"/>
            <w:tcBorders>
              <w:top w:val="nil"/>
              <w:left w:val="nil"/>
              <w:bottom w:val="nil"/>
              <w:right w:val="nil"/>
            </w:tcBorders>
            <w:shd w:val="clear" w:color="000000" w:fill="FFFFFF"/>
            <w:noWrap/>
            <w:vAlign w:val="bottom"/>
            <w:hideMark/>
          </w:tcPr>
          <w:p w14:paraId="4A708AC6" w14:textId="42B79AA3"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$188</w:t>
            </w:r>
          </w:p>
        </w:tc>
        <w:tc>
          <w:tcPr>
            <w:tcW w:w="720" w:type="dxa"/>
            <w:tcBorders>
              <w:top w:val="nil"/>
              <w:left w:val="nil"/>
              <w:bottom w:val="nil"/>
              <w:right w:val="nil"/>
            </w:tcBorders>
            <w:shd w:val="clear" w:color="000000" w:fill="BFBFBF"/>
            <w:noWrap/>
            <w:vAlign w:val="bottom"/>
            <w:hideMark/>
          </w:tcPr>
          <w:p w14:paraId="5A88A5B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28%</w:t>
            </w:r>
          </w:p>
        </w:tc>
        <w:tc>
          <w:tcPr>
            <w:tcW w:w="630" w:type="dxa"/>
            <w:tcBorders>
              <w:top w:val="nil"/>
              <w:left w:val="nil"/>
              <w:bottom w:val="nil"/>
              <w:right w:val="nil"/>
            </w:tcBorders>
            <w:shd w:val="clear" w:color="000000" w:fill="FFFFFF"/>
            <w:noWrap/>
            <w:vAlign w:val="bottom"/>
            <w:hideMark/>
          </w:tcPr>
          <w:p w14:paraId="474B65BB" w14:textId="0453A3B5"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$183</w:t>
            </w:r>
          </w:p>
        </w:tc>
        <w:tc>
          <w:tcPr>
            <w:tcW w:w="686" w:type="dxa"/>
            <w:tcBorders>
              <w:top w:val="nil"/>
              <w:left w:val="nil"/>
              <w:bottom w:val="nil"/>
              <w:right w:val="nil"/>
            </w:tcBorders>
            <w:shd w:val="clear" w:color="000000" w:fill="BFBFBF"/>
            <w:noWrap/>
            <w:vAlign w:val="bottom"/>
            <w:hideMark/>
          </w:tcPr>
          <w:p w14:paraId="328A8C81"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25%</w:t>
            </w:r>
          </w:p>
        </w:tc>
        <w:tc>
          <w:tcPr>
            <w:tcW w:w="642" w:type="dxa"/>
            <w:tcBorders>
              <w:top w:val="nil"/>
              <w:left w:val="nil"/>
              <w:bottom w:val="nil"/>
              <w:right w:val="nil"/>
            </w:tcBorders>
            <w:shd w:val="clear" w:color="000000" w:fill="FFFFFF"/>
            <w:noWrap/>
            <w:vAlign w:val="bottom"/>
            <w:hideMark/>
          </w:tcPr>
          <w:p w14:paraId="083CF4FA" w14:textId="5FA027A8"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$181</w:t>
            </w:r>
          </w:p>
        </w:tc>
        <w:tc>
          <w:tcPr>
            <w:tcW w:w="686" w:type="dxa"/>
            <w:tcBorders>
              <w:top w:val="nil"/>
              <w:left w:val="nil"/>
              <w:bottom w:val="nil"/>
              <w:right w:val="nil"/>
            </w:tcBorders>
            <w:shd w:val="clear" w:color="000000" w:fill="BFBFBF"/>
            <w:noWrap/>
            <w:vAlign w:val="bottom"/>
            <w:hideMark/>
          </w:tcPr>
          <w:p w14:paraId="258ED292"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25%</w:t>
            </w:r>
          </w:p>
        </w:tc>
      </w:tr>
      <w:tr w:rsidR="00242F78" w:rsidRPr="00441E8E" w14:paraId="58780D04"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35A43651"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Academic support</w:t>
            </w:r>
          </w:p>
        </w:tc>
        <w:tc>
          <w:tcPr>
            <w:tcW w:w="630" w:type="dxa"/>
            <w:tcBorders>
              <w:top w:val="nil"/>
              <w:left w:val="nil"/>
              <w:bottom w:val="nil"/>
              <w:right w:val="nil"/>
            </w:tcBorders>
            <w:shd w:val="clear" w:color="000000" w:fill="FFFFFF"/>
            <w:noWrap/>
            <w:vAlign w:val="bottom"/>
            <w:hideMark/>
          </w:tcPr>
          <w:p w14:paraId="77C47ECA" w14:textId="2F5EAEBC"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79</w:t>
            </w:r>
          </w:p>
        </w:tc>
        <w:tc>
          <w:tcPr>
            <w:tcW w:w="720" w:type="dxa"/>
            <w:tcBorders>
              <w:top w:val="nil"/>
              <w:left w:val="nil"/>
              <w:bottom w:val="nil"/>
              <w:right w:val="nil"/>
            </w:tcBorders>
            <w:shd w:val="clear" w:color="000000" w:fill="BFBFBF"/>
            <w:noWrap/>
            <w:vAlign w:val="bottom"/>
            <w:hideMark/>
          </w:tcPr>
          <w:p w14:paraId="48410285"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10%</w:t>
            </w:r>
          </w:p>
        </w:tc>
        <w:tc>
          <w:tcPr>
            <w:tcW w:w="630" w:type="dxa"/>
            <w:tcBorders>
              <w:top w:val="nil"/>
              <w:left w:val="nil"/>
              <w:bottom w:val="nil"/>
              <w:right w:val="nil"/>
            </w:tcBorders>
            <w:shd w:val="clear" w:color="000000" w:fill="FFFFFF"/>
            <w:noWrap/>
            <w:vAlign w:val="bottom"/>
            <w:hideMark/>
          </w:tcPr>
          <w:p w14:paraId="010A7AF7" w14:textId="4F95A225"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78</w:t>
            </w:r>
          </w:p>
        </w:tc>
        <w:tc>
          <w:tcPr>
            <w:tcW w:w="720" w:type="dxa"/>
            <w:tcBorders>
              <w:top w:val="nil"/>
              <w:left w:val="nil"/>
              <w:bottom w:val="nil"/>
              <w:right w:val="nil"/>
            </w:tcBorders>
            <w:shd w:val="clear" w:color="000000" w:fill="BFBFBF"/>
            <w:noWrap/>
            <w:vAlign w:val="bottom"/>
            <w:hideMark/>
          </w:tcPr>
          <w:p w14:paraId="0A1C169F"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10%</w:t>
            </w:r>
          </w:p>
        </w:tc>
        <w:tc>
          <w:tcPr>
            <w:tcW w:w="630" w:type="dxa"/>
            <w:tcBorders>
              <w:top w:val="nil"/>
              <w:left w:val="nil"/>
              <w:bottom w:val="nil"/>
              <w:right w:val="nil"/>
            </w:tcBorders>
            <w:shd w:val="clear" w:color="000000" w:fill="FFFFFF"/>
            <w:noWrap/>
            <w:vAlign w:val="bottom"/>
            <w:hideMark/>
          </w:tcPr>
          <w:p w14:paraId="729C90C6" w14:textId="4B1F1432"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75</w:t>
            </w:r>
          </w:p>
        </w:tc>
        <w:tc>
          <w:tcPr>
            <w:tcW w:w="720" w:type="dxa"/>
            <w:tcBorders>
              <w:top w:val="nil"/>
              <w:left w:val="nil"/>
              <w:bottom w:val="nil"/>
              <w:right w:val="nil"/>
            </w:tcBorders>
            <w:shd w:val="clear" w:color="000000" w:fill="BFBFBF"/>
            <w:noWrap/>
            <w:vAlign w:val="bottom"/>
            <w:hideMark/>
          </w:tcPr>
          <w:p w14:paraId="7B6AFE6A"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11%</w:t>
            </w:r>
          </w:p>
        </w:tc>
        <w:tc>
          <w:tcPr>
            <w:tcW w:w="630" w:type="dxa"/>
            <w:tcBorders>
              <w:top w:val="nil"/>
              <w:left w:val="nil"/>
              <w:bottom w:val="nil"/>
              <w:right w:val="nil"/>
            </w:tcBorders>
            <w:shd w:val="clear" w:color="000000" w:fill="FFFFFF"/>
            <w:noWrap/>
            <w:vAlign w:val="bottom"/>
            <w:hideMark/>
          </w:tcPr>
          <w:p w14:paraId="52AF221E" w14:textId="30A45F38"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73</w:t>
            </w:r>
          </w:p>
        </w:tc>
        <w:tc>
          <w:tcPr>
            <w:tcW w:w="686" w:type="dxa"/>
            <w:tcBorders>
              <w:top w:val="nil"/>
              <w:left w:val="nil"/>
              <w:bottom w:val="nil"/>
              <w:right w:val="nil"/>
            </w:tcBorders>
            <w:shd w:val="clear" w:color="000000" w:fill="BFBFBF"/>
            <w:noWrap/>
            <w:vAlign w:val="bottom"/>
            <w:hideMark/>
          </w:tcPr>
          <w:p w14:paraId="23BCAB3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w:t>
            </w:r>
          </w:p>
        </w:tc>
        <w:tc>
          <w:tcPr>
            <w:tcW w:w="642" w:type="dxa"/>
            <w:tcBorders>
              <w:top w:val="nil"/>
              <w:left w:val="nil"/>
              <w:bottom w:val="nil"/>
              <w:right w:val="nil"/>
            </w:tcBorders>
            <w:shd w:val="clear" w:color="000000" w:fill="FFFFFF"/>
            <w:noWrap/>
            <w:vAlign w:val="bottom"/>
            <w:hideMark/>
          </w:tcPr>
          <w:p w14:paraId="18025B44" w14:textId="076649F2"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73</w:t>
            </w:r>
          </w:p>
        </w:tc>
        <w:tc>
          <w:tcPr>
            <w:tcW w:w="686" w:type="dxa"/>
            <w:tcBorders>
              <w:top w:val="nil"/>
              <w:left w:val="nil"/>
              <w:bottom w:val="nil"/>
              <w:right w:val="nil"/>
            </w:tcBorders>
            <w:shd w:val="clear" w:color="000000" w:fill="BFBFBF"/>
            <w:noWrap/>
            <w:vAlign w:val="bottom"/>
            <w:hideMark/>
          </w:tcPr>
          <w:p w14:paraId="2D740F34"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w:t>
            </w:r>
          </w:p>
        </w:tc>
      </w:tr>
      <w:tr w:rsidR="00242F78" w:rsidRPr="00441E8E" w14:paraId="0FAE7441"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1098251A"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Student services</w:t>
            </w:r>
          </w:p>
        </w:tc>
        <w:tc>
          <w:tcPr>
            <w:tcW w:w="630" w:type="dxa"/>
            <w:tcBorders>
              <w:top w:val="nil"/>
              <w:left w:val="nil"/>
              <w:bottom w:val="single" w:sz="4" w:space="0" w:color="00688D"/>
              <w:right w:val="nil"/>
            </w:tcBorders>
            <w:shd w:val="clear" w:color="000000" w:fill="FFFFFF"/>
            <w:noWrap/>
            <w:vAlign w:val="bottom"/>
            <w:hideMark/>
          </w:tcPr>
          <w:p w14:paraId="37D41756" w14:textId="5E624055"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76</w:t>
            </w:r>
          </w:p>
        </w:tc>
        <w:tc>
          <w:tcPr>
            <w:tcW w:w="720" w:type="dxa"/>
            <w:tcBorders>
              <w:top w:val="nil"/>
              <w:left w:val="nil"/>
              <w:bottom w:val="single" w:sz="4" w:space="0" w:color="auto"/>
              <w:right w:val="nil"/>
            </w:tcBorders>
            <w:shd w:val="clear" w:color="000000" w:fill="BFBFBF"/>
            <w:noWrap/>
            <w:vAlign w:val="bottom"/>
            <w:hideMark/>
          </w:tcPr>
          <w:p w14:paraId="5E8FFD41"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9%</w:t>
            </w:r>
          </w:p>
        </w:tc>
        <w:tc>
          <w:tcPr>
            <w:tcW w:w="630" w:type="dxa"/>
            <w:tcBorders>
              <w:top w:val="nil"/>
              <w:left w:val="nil"/>
              <w:bottom w:val="single" w:sz="4" w:space="0" w:color="00688D"/>
              <w:right w:val="nil"/>
            </w:tcBorders>
            <w:shd w:val="clear" w:color="000000" w:fill="FFFFFF"/>
            <w:noWrap/>
            <w:vAlign w:val="bottom"/>
            <w:hideMark/>
          </w:tcPr>
          <w:p w14:paraId="54F39D99" w14:textId="3375F71B"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69</w:t>
            </w:r>
          </w:p>
        </w:tc>
        <w:tc>
          <w:tcPr>
            <w:tcW w:w="720" w:type="dxa"/>
            <w:tcBorders>
              <w:top w:val="nil"/>
              <w:left w:val="nil"/>
              <w:bottom w:val="single" w:sz="4" w:space="0" w:color="auto"/>
              <w:right w:val="nil"/>
            </w:tcBorders>
            <w:shd w:val="clear" w:color="000000" w:fill="BFBFBF"/>
            <w:noWrap/>
            <w:vAlign w:val="bottom"/>
            <w:hideMark/>
          </w:tcPr>
          <w:p w14:paraId="20F1E182"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w:t>
            </w:r>
          </w:p>
        </w:tc>
        <w:tc>
          <w:tcPr>
            <w:tcW w:w="630" w:type="dxa"/>
            <w:tcBorders>
              <w:top w:val="nil"/>
              <w:left w:val="nil"/>
              <w:bottom w:val="single" w:sz="4" w:space="0" w:color="00688D"/>
              <w:right w:val="nil"/>
            </w:tcBorders>
            <w:shd w:val="clear" w:color="000000" w:fill="FFFFFF"/>
            <w:noWrap/>
            <w:vAlign w:val="bottom"/>
            <w:hideMark/>
          </w:tcPr>
          <w:p w14:paraId="7A64F36B" w14:textId="0065594A"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57</w:t>
            </w:r>
          </w:p>
        </w:tc>
        <w:tc>
          <w:tcPr>
            <w:tcW w:w="720" w:type="dxa"/>
            <w:tcBorders>
              <w:top w:val="nil"/>
              <w:left w:val="nil"/>
              <w:bottom w:val="single" w:sz="4" w:space="0" w:color="auto"/>
              <w:right w:val="nil"/>
            </w:tcBorders>
            <w:shd w:val="clear" w:color="000000" w:fill="BFBFBF"/>
            <w:noWrap/>
            <w:vAlign w:val="bottom"/>
            <w:hideMark/>
          </w:tcPr>
          <w:p w14:paraId="0DDB3CB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w:t>
            </w:r>
          </w:p>
        </w:tc>
        <w:tc>
          <w:tcPr>
            <w:tcW w:w="630" w:type="dxa"/>
            <w:tcBorders>
              <w:top w:val="nil"/>
              <w:left w:val="nil"/>
              <w:bottom w:val="single" w:sz="4" w:space="0" w:color="00688D"/>
              <w:right w:val="nil"/>
            </w:tcBorders>
            <w:shd w:val="clear" w:color="000000" w:fill="FFFFFF"/>
            <w:noWrap/>
            <w:vAlign w:val="bottom"/>
            <w:hideMark/>
          </w:tcPr>
          <w:p w14:paraId="2EB61C04" w14:textId="0AA680B5"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62</w:t>
            </w:r>
          </w:p>
        </w:tc>
        <w:tc>
          <w:tcPr>
            <w:tcW w:w="686" w:type="dxa"/>
            <w:tcBorders>
              <w:top w:val="nil"/>
              <w:left w:val="nil"/>
              <w:bottom w:val="single" w:sz="4" w:space="0" w:color="00688D"/>
              <w:right w:val="nil"/>
            </w:tcBorders>
            <w:shd w:val="clear" w:color="000000" w:fill="BFBFBF"/>
            <w:noWrap/>
            <w:vAlign w:val="bottom"/>
            <w:hideMark/>
          </w:tcPr>
          <w:p w14:paraId="1B5D9AE0"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c>
          <w:tcPr>
            <w:tcW w:w="642" w:type="dxa"/>
            <w:tcBorders>
              <w:top w:val="nil"/>
              <w:left w:val="nil"/>
              <w:bottom w:val="single" w:sz="4" w:space="0" w:color="00688D"/>
              <w:right w:val="nil"/>
            </w:tcBorders>
            <w:shd w:val="clear" w:color="000000" w:fill="FFFFFF"/>
            <w:noWrap/>
            <w:vAlign w:val="bottom"/>
            <w:hideMark/>
          </w:tcPr>
          <w:p w14:paraId="710B398C" w14:textId="0BEECC8E"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61</w:t>
            </w:r>
          </w:p>
        </w:tc>
        <w:tc>
          <w:tcPr>
            <w:tcW w:w="686" w:type="dxa"/>
            <w:tcBorders>
              <w:top w:val="nil"/>
              <w:left w:val="nil"/>
              <w:bottom w:val="single" w:sz="4" w:space="0" w:color="00688D"/>
              <w:right w:val="nil"/>
            </w:tcBorders>
            <w:shd w:val="clear" w:color="000000" w:fill="BFBFBF"/>
            <w:noWrap/>
            <w:vAlign w:val="bottom"/>
            <w:hideMark/>
          </w:tcPr>
          <w:p w14:paraId="56AB9636"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r>
      <w:tr w:rsidR="00242F78" w:rsidRPr="00441E8E" w14:paraId="199F3E8D"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32AEA4E6" w14:textId="77777777" w:rsidR="00441E8E" w:rsidRPr="0047104B" w:rsidRDefault="00441E8E" w:rsidP="00441E8E">
            <w:pPr>
              <w:ind w:firstLineChars="100" w:firstLine="200"/>
              <w:rPr>
                <w:rFonts w:ascii="Calibri" w:eastAsia="Times New Roman" w:hAnsi="Calibri" w:cs="Calibri"/>
                <w:color w:val="0D0D0D"/>
                <w:sz w:val="20"/>
                <w:szCs w:val="20"/>
              </w:rPr>
            </w:pPr>
            <w:r w:rsidRPr="0047104B">
              <w:rPr>
                <w:rFonts w:ascii="Calibri" w:eastAsia="Times New Roman" w:hAnsi="Calibri" w:cs="Calibri"/>
                <w:color w:val="0D0D0D"/>
                <w:sz w:val="20"/>
                <w:szCs w:val="20"/>
              </w:rPr>
              <w:t>Subtotal</w:t>
            </w:r>
          </w:p>
        </w:tc>
        <w:tc>
          <w:tcPr>
            <w:tcW w:w="630" w:type="dxa"/>
            <w:tcBorders>
              <w:top w:val="nil"/>
              <w:left w:val="nil"/>
              <w:bottom w:val="nil"/>
              <w:right w:val="nil"/>
            </w:tcBorders>
            <w:shd w:val="clear" w:color="000000" w:fill="FFFFFF"/>
            <w:noWrap/>
            <w:vAlign w:val="bottom"/>
            <w:hideMark/>
          </w:tcPr>
          <w:p w14:paraId="70F8E9BD" w14:textId="7A4AD524"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354</w:t>
            </w:r>
          </w:p>
        </w:tc>
        <w:tc>
          <w:tcPr>
            <w:tcW w:w="720" w:type="dxa"/>
            <w:tcBorders>
              <w:top w:val="nil"/>
              <w:left w:val="nil"/>
              <w:bottom w:val="nil"/>
              <w:right w:val="nil"/>
            </w:tcBorders>
            <w:shd w:val="clear" w:color="000000" w:fill="BFBFBF"/>
            <w:noWrap/>
            <w:vAlign w:val="bottom"/>
            <w:hideMark/>
          </w:tcPr>
          <w:p w14:paraId="182BDDDD" w14:textId="528D549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4</w:t>
            </w:r>
            <w:r w:rsidR="00242F78">
              <w:rPr>
                <w:rFonts w:ascii="Calibri" w:eastAsia="Times New Roman" w:hAnsi="Calibri" w:cs="Calibri"/>
                <w:b/>
                <w:bCs/>
                <w:color w:val="0D0D0D"/>
                <w:sz w:val="20"/>
                <w:szCs w:val="20"/>
              </w:rPr>
              <w:t>3</w:t>
            </w:r>
            <w:r w:rsidRPr="0047104B">
              <w:rPr>
                <w:rFonts w:ascii="Calibri" w:eastAsia="Times New Roman" w:hAnsi="Calibri" w:cs="Calibri"/>
                <w:b/>
                <w:bCs/>
                <w:color w:val="0D0D0D"/>
                <w:sz w:val="20"/>
                <w:szCs w:val="20"/>
              </w:rPr>
              <w:t>%</w:t>
            </w:r>
          </w:p>
        </w:tc>
        <w:tc>
          <w:tcPr>
            <w:tcW w:w="630" w:type="dxa"/>
            <w:tcBorders>
              <w:top w:val="nil"/>
              <w:left w:val="nil"/>
              <w:bottom w:val="nil"/>
              <w:right w:val="nil"/>
            </w:tcBorders>
            <w:shd w:val="clear" w:color="000000" w:fill="FFFFFF"/>
            <w:noWrap/>
            <w:vAlign w:val="bottom"/>
            <w:hideMark/>
          </w:tcPr>
          <w:p w14:paraId="65EB37D5" w14:textId="17C31E81"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349</w:t>
            </w:r>
          </w:p>
        </w:tc>
        <w:tc>
          <w:tcPr>
            <w:tcW w:w="720" w:type="dxa"/>
            <w:tcBorders>
              <w:top w:val="nil"/>
              <w:left w:val="nil"/>
              <w:bottom w:val="nil"/>
              <w:right w:val="nil"/>
            </w:tcBorders>
            <w:shd w:val="clear" w:color="000000" w:fill="BFBFBF"/>
            <w:noWrap/>
            <w:vAlign w:val="bottom"/>
            <w:hideMark/>
          </w:tcPr>
          <w:p w14:paraId="0BC9CA56"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43%</w:t>
            </w:r>
          </w:p>
        </w:tc>
        <w:tc>
          <w:tcPr>
            <w:tcW w:w="630" w:type="dxa"/>
            <w:tcBorders>
              <w:top w:val="nil"/>
              <w:left w:val="nil"/>
              <w:bottom w:val="nil"/>
              <w:right w:val="nil"/>
            </w:tcBorders>
            <w:shd w:val="clear" w:color="000000" w:fill="FFFFFF"/>
            <w:noWrap/>
            <w:vAlign w:val="bottom"/>
            <w:hideMark/>
          </w:tcPr>
          <w:p w14:paraId="5764048E" w14:textId="5E5BBCC2"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320</w:t>
            </w:r>
          </w:p>
        </w:tc>
        <w:tc>
          <w:tcPr>
            <w:tcW w:w="720" w:type="dxa"/>
            <w:tcBorders>
              <w:top w:val="nil"/>
              <w:left w:val="nil"/>
              <w:bottom w:val="nil"/>
              <w:right w:val="nil"/>
            </w:tcBorders>
            <w:shd w:val="clear" w:color="000000" w:fill="BFBFBF"/>
            <w:noWrap/>
            <w:vAlign w:val="bottom"/>
            <w:hideMark/>
          </w:tcPr>
          <w:p w14:paraId="330FA815"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47%</w:t>
            </w:r>
          </w:p>
        </w:tc>
        <w:tc>
          <w:tcPr>
            <w:tcW w:w="630" w:type="dxa"/>
            <w:tcBorders>
              <w:top w:val="nil"/>
              <w:left w:val="nil"/>
              <w:bottom w:val="nil"/>
              <w:right w:val="nil"/>
            </w:tcBorders>
            <w:shd w:val="clear" w:color="000000" w:fill="FFFFFF"/>
            <w:noWrap/>
            <w:vAlign w:val="bottom"/>
            <w:hideMark/>
          </w:tcPr>
          <w:p w14:paraId="7AB00810" w14:textId="6F14C3C0"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318</w:t>
            </w:r>
          </w:p>
        </w:tc>
        <w:tc>
          <w:tcPr>
            <w:tcW w:w="686" w:type="dxa"/>
            <w:tcBorders>
              <w:top w:val="nil"/>
              <w:left w:val="nil"/>
              <w:bottom w:val="nil"/>
              <w:right w:val="nil"/>
            </w:tcBorders>
            <w:shd w:val="clear" w:color="000000" w:fill="BFBFBF"/>
            <w:noWrap/>
            <w:vAlign w:val="bottom"/>
            <w:hideMark/>
          </w:tcPr>
          <w:p w14:paraId="4E32573B"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44%</w:t>
            </w:r>
          </w:p>
        </w:tc>
        <w:tc>
          <w:tcPr>
            <w:tcW w:w="642" w:type="dxa"/>
            <w:tcBorders>
              <w:top w:val="nil"/>
              <w:left w:val="nil"/>
              <w:bottom w:val="nil"/>
              <w:right w:val="nil"/>
            </w:tcBorders>
            <w:shd w:val="clear" w:color="000000" w:fill="FFFFFF"/>
            <w:noWrap/>
            <w:vAlign w:val="bottom"/>
            <w:hideMark/>
          </w:tcPr>
          <w:p w14:paraId="7C49515D" w14:textId="5FBB1E61"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315</w:t>
            </w:r>
          </w:p>
        </w:tc>
        <w:tc>
          <w:tcPr>
            <w:tcW w:w="686" w:type="dxa"/>
            <w:tcBorders>
              <w:top w:val="nil"/>
              <w:left w:val="nil"/>
              <w:bottom w:val="nil"/>
              <w:right w:val="nil"/>
            </w:tcBorders>
            <w:shd w:val="clear" w:color="000000" w:fill="BFBFBF"/>
            <w:noWrap/>
            <w:vAlign w:val="bottom"/>
            <w:hideMark/>
          </w:tcPr>
          <w:p w14:paraId="23C3624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44%</w:t>
            </w:r>
          </w:p>
        </w:tc>
      </w:tr>
      <w:tr w:rsidR="00242F78" w:rsidRPr="00441E8E" w14:paraId="6CF2A0ED"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0D2F7680"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Research</w:t>
            </w:r>
          </w:p>
        </w:tc>
        <w:tc>
          <w:tcPr>
            <w:tcW w:w="630" w:type="dxa"/>
            <w:tcBorders>
              <w:top w:val="nil"/>
              <w:left w:val="nil"/>
              <w:bottom w:val="nil"/>
              <w:right w:val="nil"/>
            </w:tcBorders>
            <w:shd w:val="clear" w:color="000000" w:fill="FFFFFF"/>
            <w:noWrap/>
            <w:vAlign w:val="bottom"/>
            <w:hideMark/>
          </w:tcPr>
          <w:p w14:paraId="70E1C6B7" w14:textId="23DFC53C"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110</w:t>
            </w:r>
          </w:p>
        </w:tc>
        <w:tc>
          <w:tcPr>
            <w:tcW w:w="720" w:type="dxa"/>
            <w:tcBorders>
              <w:top w:val="nil"/>
              <w:left w:val="nil"/>
              <w:bottom w:val="nil"/>
              <w:right w:val="nil"/>
            </w:tcBorders>
            <w:shd w:val="clear" w:color="000000" w:fill="BFBFBF"/>
            <w:noWrap/>
            <w:vAlign w:val="bottom"/>
            <w:hideMark/>
          </w:tcPr>
          <w:p w14:paraId="20915FDB"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14%</w:t>
            </w:r>
          </w:p>
        </w:tc>
        <w:tc>
          <w:tcPr>
            <w:tcW w:w="630" w:type="dxa"/>
            <w:tcBorders>
              <w:top w:val="nil"/>
              <w:left w:val="nil"/>
              <w:bottom w:val="nil"/>
              <w:right w:val="nil"/>
            </w:tcBorders>
            <w:shd w:val="clear" w:color="000000" w:fill="FFFFFF"/>
            <w:noWrap/>
            <w:vAlign w:val="bottom"/>
            <w:hideMark/>
          </w:tcPr>
          <w:p w14:paraId="04171454" w14:textId="62454DB6"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100</w:t>
            </w:r>
          </w:p>
        </w:tc>
        <w:tc>
          <w:tcPr>
            <w:tcW w:w="720" w:type="dxa"/>
            <w:tcBorders>
              <w:top w:val="nil"/>
              <w:left w:val="nil"/>
              <w:bottom w:val="nil"/>
              <w:right w:val="nil"/>
            </w:tcBorders>
            <w:shd w:val="clear" w:color="000000" w:fill="BFBFBF"/>
            <w:noWrap/>
            <w:vAlign w:val="bottom"/>
            <w:hideMark/>
          </w:tcPr>
          <w:p w14:paraId="04737DBC"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12%</w:t>
            </w:r>
          </w:p>
        </w:tc>
        <w:tc>
          <w:tcPr>
            <w:tcW w:w="630" w:type="dxa"/>
            <w:tcBorders>
              <w:top w:val="nil"/>
              <w:left w:val="nil"/>
              <w:bottom w:val="nil"/>
              <w:right w:val="nil"/>
            </w:tcBorders>
            <w:shd w:val="clear" w:color="000000" w:fill="FFFFFF"/>
            <w:noWrap/>
            <w:vAlign w:val="bottom"/>
            <w:hideMark/>
          </w:tcPr>
          <w:p w14:paraId="5DAB5702" w14:textId="6BB6C9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86</w:t>
            </w:r>
          </w:p>
        </w:tc>
        <w:tc>
          <w:tcPr>
            <w:tcW w:w="720" w:type="dxa"/>
            <w:tcBorders>
              <w:top w:val="nil"/>
              <w:left w:val="nil"/>
              <w:bottom w:val="nil"/>
              <w:right w:val="nil"/>
            </w:tcBorders>
            <w:shd w:val="clear" w:color="000000" w:fill="BFBFBF"/>
            <w:noWrap/>
            <w:vAlign w:val="bottom"/>
            <w:hideMark/>
          </w:tcPr>
          <w:p w14:paraId="1135CD08"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13%</w:t>
            </w:r>
          </w:p>
        </w:tc>
        <w:tc>
          <w:tcPr>
            <w:tcW w:w="630" w:type="dxa"/>
            <w:tcBorders>
              <w:top w:val="nil"/>
              <w:left w:val="nil"/>
              <w:bottom w:val="nil"/>
              <w:right w:val="nil"/>
            </w:tcBorders>
            <w:shd w:val="clear" w:color="000000" w:fill="FFFFFF"/>
            <w:noWrap/>
            <w:vAlign w:val="bottom"/>
            <w:hideMark/>
          </w:tcPr>
          <w:p w14:paraId="5807758F" w14:textId="6543A4C3"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80</w:t>
            </w:r>
          </w:p>
        </w:tc>
        <w:tc>
          <w:tcPr>
            <w:tcW w:w="686" w:type="dxa"/>
            <w:tcBorders>
              <w:top w:val="nil"/>
              <w:left w:val="nil"/>
              <w:bottom w:val="nil"/>
              <w:right w:val="nil"/>
            </w:tcBorders>
            <w:shd w:val="clear" w:color="000000" w:fill="BFBFBF"/>
            <w:noWrap/>
            <w:vAlign w:val="bottom"/>
            <w:hideMark/>
          </w:tcPr>
          <w:p w14:paraId="3135DDF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11%</w:t>
            </w:r>
          </w:p>
        </w:tc>
        <w:tc>
          <w:tcPr>
            <w:tcW w:w="642" w:type="dxa"/>
            <w:tcBorders>
              <w:top w:val="nil"/>
              <w:left w:val="nil"/>
              <w:bottom w:val="nil"/>
              <w:right w:val="nil"/>
            </w:tcBorders>
            <w:shd w:val="clear" w:color="000000" w:fill="FFFFFF"/>
            <w:noWrap/>
            <w:vAlign w:val="bottom"/>
            <w:hideMark/>
          </w:tcPr>
          <w:p w14:paraId="7A923A74" w14:textId="1E386EA2"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80</w:t>
            </w:r>
          </w:p>
        </w:tc>
        <w:tc>
          <w:tcPr>
            <w:tcW w:w="686" w:type="dxa"/>
            <w:tcBorders>
              <w:top w:val="nil"/>
              <w:left w:val="nil"/>
              <w:bottom w:val="nil"/>
              <w:right w:val="nil"/>
            </w:tcBorders>
            <w:shd w:val="clear" w:color="000000" w:fill="BFBFBF"/>
            <w:noWrap/>
            <w:vAlign w:val="bottom"/>
            <w:hideMark/>
          </w:tcPr>
          <w:p w14:paraId="56D96488"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11%</w:t>
            </w:r>
          </w:p>
        </w:tc>
      </w:tr>
      <w:tr w:rsidR="00242F78" w:rsidRPr="00441E8E" w14:paraId="5ACF5F22"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3314970A"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Public service</w:t>
            </w:r>
          </w:p>
        </w:tc>
        <w:tc>
          <w:tcPr>
            <w:tcW w:w="630" w:type="dxa"/>
            <w:tcBorders>
              <w:top w:val="nil"/>
              <w:left w:val="nil"/>
              <w:bottom w:val="nil"/>
              <w:right w:val="nil"/>
            </w:tcBorders>
            <w:shd w:val="clear" w:color="000000" w:fill="FFFFFF"/>
            <w:noWrap/>
            <w:vAlign w:val="bottom"/>
            <w:hideMark/>
          </w:tcPr>
          <w:p w14:paraId="37F326B0" w14:textId="5A9E4BB6"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72</w:t>
            </w:r>
          </w:p>
        </w:tc>
        <w:tc>
          <w:tcPr>
            <w:tcW w:w="720" w:type="dxa"/>
            <w:tcBorders>
              <w:top w:val="nil"/>
              <w:left w:val="nil"/>
              <w:bottom w:val="nil"/>
              <w:right w:val="nil"/>
            </w:tcBorders>
            <w:shd w:val="clear" w:color="000000" w:fill="BFBFBF"/>
            <w:noWrap/>
            <w:vAlign w:val="bottom"/>
            <w:hideMark/>
          </w:tcPr>
          <w:p w14:paraId="061FEF6E"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9%</w:t>
            </w:r>
          </w:p>
        </w:tc>
        <w:tc>
          <w:tcPr>
            <w:tcW w:w="630" w:type="dxa"/>
            <w:tcBorders>
              <w:top w:val="nil"/>
              <w:left w:val="nil"/>
              <w:bottom w:val="nil"/>
              <w:right w:val="nil"/>
            </w:tcBorders>
            <w:shd w:val="clear" w:color="000000" w:fill="FFFFFF"/>
            <w:noWrap/>
            <w:vAlign w:val="bottom"/>
            <w:hideMark/>
          </w:tcPr>
          <w:p w14:paraId="1230F900" w14:textId="2C08A240"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65</w:t>
            </w:r>
          </w:p>
        </w:tc>
        <w:tc>
          <w:tcPr>
            <w:tcW w:w="720" w:type="dxa"/>
            <w:tcBorders>
              <w:top w:val="nil"/>
              <w:left w:val="nil"/>
              <w:bottom w:val="nil"/>
              <w:right w:val="nil"/>
            </w:tcBorders>
            <w:shd w:val="clear" w:color="000000" w:fill="BFBFBF"/>
            <w:noWrap/>
            <w:vAlign w:val="bottom"/>
            <w:hideMark/>
          </w:tcPr>
          <w:p w14:paraId="7BCD24A7"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w:t>
            </w:r>
          </w:p>
        </w:tc>
        <w:tc>
          <w:tcPr>
            <w:tcW w:w="630" w:type="dxa"/>
            <w:tcBorders>
              <w:top w:val="nil"/>
              <w:left w:val="nil"/>
              <w:bottom w:val="nil"/>
              <w:right w:val="nil"/>
            </w:tcBorders>
            <w:shd w:val="clear" w:color="000000" w:fill="FFFFFF"/>
            <w:noWrap/>
            <w:vAlign w:val="bottom"/>
            <w:hideMark/>
          </w:tcPr>
          <w:p w14:paraId="08040897" w14:textId="1EB04794"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59</w:t>
            </w:r>
          </w:p>
        </w:tc>
        <w:tc>
          <w:tcPr>
            <w:tcW w:w="720" w:type="dxa"/>
            <w:tcBorders>
              <w:top w:val="nil"/>
              <w:left w:val="nil"/>
              <w:bottom w:val="nil"/>
              <w:right w:val="nil"/>
            </w:tcBorders>
            <w:shd w:val="clear" w:color="000000" w:fill="BFBFBF"/>
            <w:noWrap/>
            <w:vAlign w:val="bottom"/>
            <w:hideMark/>
          </w:tcPr>
          <w:p w14:paraId="1DCA4E51"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c>
          <w:tcPr>
            <w:tcW w:w="630" w:type="dxa"/>
            <w:tcBorders>
              <w:top w:val="nil"/>
              <w:left w:val="nil"/>
              <w:bottom w:val="nil"/>
              <w:right w:val="nil"/>
            </w:tcBorders>
            <w:shd w:val="clear" w:color="000000" w:fill="FFFFFF"/>
            <w:noWrap/>
            <w:vAlign w:val="bottom"/>
            <w:hideMark/>
          </w:tcPr>
          <w:p w14:paraId="752B3B82" w14:textId="7576AFD0"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58</w:t>
            </w:r>
          </w:p>
        </w:tc>
        <w:tc>
          <w:tcPr>
            <w:tcW w:w="686" w:type="dxa"/>
            <w:tcBorders>
              <w:top w:val="nil"/>
              <w:left w:val="nil"/>
              <w:bottom w:val="nil"/>
              <w:right w:val="nil"/>
            </w:tcBorders>
            <w:shd w:val="clear" w:color="000000" w:fill="BFBFBF"/>
            <w:noWrap/>
            <w:vAlign w:val="bottom"/>
            <w:hideMark/>
          </w:tcPr>
          <w:p w14:paraId="1696F260"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w:t>
            </w:r>
          </w:p>
        </w:tc>
        <w:tc>
          <w:tcPr>
            <w:tcW w:w="642" w:type="dxa"/>
            <w:tcBorders>
              <w:top w:val="nil"/>
              <w:left w:val="nil"/>
              <w:bottom w:val="nil"/>
              <w:right w:val="nil"/>
            </w:tcBorders>
            <w:shd w:val="clear" w:color="000000" w:fill="FFFFFF"/>
            <w:noWrap/>
            <w:vAlign w:val="bottom"/>
            <w:hideMark/>
          </w:tcPr>
          <w:p w14:paraId="37DD0200" w14:textId="6CDE10D3"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59</w:t>
            </w:r>
          </w:p>
        </w:tc>
        <w:tc>
          <w:tcPr>
            <w:tcW w:w="686" w:type="dxa"/>
            <w:tcBorders>
              <w:top w:val="nil"/>
              <w:left w:val="nil"/>
              <w:bottom w:val="nil"/>
              <w:right w:val="nil"/>
            </w:tcBorders>
            <w:shd w:val="clear" w:color="000000" w:fill="BFBFBF"/>
            <w:noWrap/>
            <w:vAlign w:val="bottom"/>
            <w:hideMark/>
          </w:tcPr>
          <w:p w14:paraId="34A28B86"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w:t>
            </w:r>
          </w:p>
        </w:tc>
      </w:tr>
      <w:tr w:rsidR="00242F78" w:rsidRPr="00441E8E" w14:paraId="023C9EF1"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608171D1"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Institutional support</w:t>
            </w:r>
          </w:p>
        </w:tc>
        <w:tc>
          <w:tcPr>
            <w:tcW w:w="630" w:type="dxa"/>
            <w:tcBorders>
              <w:top w:val="nil"/>
              <w:left w:val="nil"/>
              <w:bottom w:val="nil"/>
              <w:right w:val="nil"/>
            </w:tcBorders>
            <w:shd w:val="clear" w:color="000000" w:fill="FFFFFF"/>
            <w:noWrap/>
            <w:vAlign w:val="bottom"/>
            <w:hideMark/>
          </w:tcPr>
          <w:p w14:paraId="60F8504A" w14:textId="05CB78CF"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72</w:t>
            </w:r>
          </w:p>
        </w:tc>
        <w:tc>
          <w:tcPr>
            <w:tcW w:w="720" w:type="dxa"/>
            <w:tcBorders>
              <w:top w:val="nil"/>
              <w:left w:val="nil"/>
              <w:bottom w:val="nil"/>
              <w:right w:val="nil"/>
            </w:tcBorders>
            <w:shd w:val="clear" w:color="000000" w:fill="BFBFBF"/>
            <w:noWrap/>
            <w:vAlign w:val="bottom"/>
            <w:hideMark/>
          </w:tcPr>
          <w:p w14:paraId="312D2045"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9%</w:t>
            </w:r>
          </w:p>
        </w:tc>
        <w:tc>
          <w:tcPr>
            <w:tcW w:w="630" w:type="dxa"/>
            <w:tcBorders>
              <w:top w:val="nil"/>
              <w:left w:val="nil"/>
              <w:bottom w:val="nil"/>
              <w:right w:val="nil"/>
            </w:tcBorders>
            <w:shd w:val="clear" w:color="000000" w:fill="FFFFFF"/>
            <w:noWrap/>
            <w:vAlign w:val="bottom"/>
            <w:hideMark/>
          </w:tcPr>
          <w:p w14:paraId="2B3BB46F" w14:textId="13D9F7EB"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66</w:t>
            </w:r>
          </w:p>
        </w:tc>
        <w:tc>
          <w:tcPr>
            <w:tcW w:w="720" w:type="dxa"/>
            <w:tcBorders>
              <w:top w:val="nil"/>
              <w:left w:val="nil"/>
              <w:bottom w:val="nil"/>
              <w:right w:val="nil"/>
            </w:tcBorders>
            <w:shd w:val="clear" w:color="000000" w:fill="BFBFBF"/>
            <w:noWrap/>
            <w:vAlign w:val="bottom"/>
            <w:hideMark/>
          </w:tcPr>
          <w:p w14:paraId="2C85D719"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w:t>
            </w:r>
          </w:p>
        </w:tc>
        <w:tc>
          <w:tcPr>
            <w:tcW w:w="630" w:type="dxa"/>
            <w:tcBorders>
              <w:top w:val="nil"/>
              <w:left w:val="nil"/>
              <w:bottom w:val="nil"/>
              <w:right w:val="nil"/>
            </w:tcBorders>
            <w:shd w:val="clear" w:color="000000" w:fill="FFFFFF"/>
            <w:noWrap/>
            <w:vAlign w:val="bottom"/>
            <w:hideMark/>
          </w:tcPr>
          <w:p w14:paraId="2599AC94" w14:textId="021FF2BF"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12</w:t>
            </w:r>
          </w:p>
        </w:tc>
        <w:tc>
          <w:tcPr>
            <w:tcW w:w="720" w:type="dxa"/>
            <w:tcBorders>
              <w:top w:val="nil"/>
              <w:left w:val="nil"/>
              <w:bottom w:val="nil"/>
              <w:right w:val="nil"/>
            </w:tcBorders>
            <w:shd w:val="clear" w:color="000000" w:fill="BFBFBF"/>
            <w:noWrap/>
            <w:vAlign w:val="bottom"/>
            <w:hideMark/>
          </w:tcPr>
          <w:p w14:paraId="137E8315"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2%</w:t>
            </w:r>
          </w:p>
        </w:tc>
        <w:tc>
          <w:tcPr>
            <w:tcW w:w="630" w:type="dxa"/>
            <w:tcBorders>
              <w:top w:val="nil"/>
              <w:left w:val="nil"/>
              <w:bottom w:val="nil"/>
              <w:right w:val="nil"/>
            </w:tcBorders>
            <w:shd w:val="clear" w:color="000000" w:fill="FFFFFF"/>
            <w:noWrap/>
            <w:vAlign w:val="bottom"/>
            <w:hideMark/>
          </w:tcPr>
          <w:p w14:paraId="777783E2" w14:textId="52BE9C15"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65</w:t>
            </w:r>
          </w:p>
        </w:tc>
        <w:tc>
          <w:tcPr>
            <w:tcW w:w="686" w:type="dxa"/>
            <w:tcBorders>
              <w:top w:val="nil"/>
              <w:left w:val="nil"/>
              <w:bottom w:val="nil"/>
              <w:right w:val="nil"/>
            </w:tcBorders>
            <w:shd w:val="clear" w:color="000000" w:fill="BFBFBF"/>
            <w:noWrap/>
            <w:vAlign w:val="bottom"/>
            <w:hideMark/>
          </w:tcPr>
          <w:p w14:paraId="3F0B6B57"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c>
          <w:tcPr>
            <w:tcW w:w="642" w:type="dxa"/>
            <w:tcBorders>
              <w:top w:val="nil"/>
              <w:left w:val="nil"/>
              <w:bottom w:val="nil"/>
              <w:right w:val="nil"/>
            </w:tcBorders>
            <w:shd w:val="clear" w:color="000000" w:fill="FFFFFF"/>
            <w:noWrap/>
            <w:vAlign w:val="bottom"/>
            <w:hideMark/>
          </w:tcPr>
          <w:p w14:paraId="3421B45C" w14:textId="546CCC14"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74</w:t>
            </w:r>
          </w:p>
        </w:tc>
        <w:tc>
          <w:tcPr>
            <w:tcW w:w="686" w:type="dxa"/>
            <w:tcBorders>
              <w:top w:val="nil"/>
              <w:left w:val="nil"/>
              <w:bottom w:val="nil"/>
              <w:right w:val="nil"/>
            </w:tcBorders>
            <w:shd w:val="clear" w:color="000000" w:fill="BFBFBF"/>
            <w:noWrap/>
            <w:vAlign w:val="bottom"/>
            <w:hideMark/>
          </w:tcPr>
          <w:p w14:paraId="0C10F967"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w:t>
            </w:r>
          </w:p>
        </w:tc>
      </w:tr>
      <w:tr w:rsidR="00242F78" w:rsidRPr="00441E8E" w14:paraId="34C08488"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6AAA31B4"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Operation and maintenance of plant</w:t>
            </w:r>
          </w:p>
        </w:tc>
        <w:tc>
          <w:tcPr>
            <w:tcW w:w="630" w:type="dxa"/>
            <w:tcBorders>
              <w:top w:val="nil"/>
              <w:left w:val="nil"/>
              <w:bottom w:val="nil"/>
              <w:right w:val="nil"/>
            </w:tcBorders>
            <w:shd w:val="clear" w:color="000000" w:fill="FFFFFF"/>
            <w:noWrap/>
            <w:vAlign w:val="bottom"/>
            <w:hideMark/>
          </w:tcPr>
          <w:p w14:paraId="1E41C267" w14:textId="69E6620E"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55</w:t>
            </w:r>
          </w:p>
        </w:tc>
        <w:tc>
          <w:tcPr>
            <w:tcW w:w="720" w:type="dxa"/>
            <w:tcBorders>
              <w:top w:val="nil"/>
              <w:left w:val="nil"/>
              <w:bottom w:val="nil"/>
              <w:right w:val="nil"/>
            </w:tcBorders>
            <w:shd w:val="clear" w:color="000000" w:fill="BFBFBF"/>
            <w:noWrap/>
            <w:vAlign w:val="bottom"/>
            <w:hideMark/>
          </w:tcPr>
          <w:p w14:paraId="5BCBA522"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w:t>
            </w:r>
          </w:p>
        </w:tc>
        <w:tc>
          <w:tcPr>
            <w:tcW w:w="630" w:type="dxa"/>
            <w:tcBorders>
              <w:top w:val="nil"/>
              <w:left w:val="nil"/>
              <w:bottom w:val="nil"/>
              <w:right w:val="nil"/>
            </w:tcBorders>
            <w:shd w:val="clear" w:color="000000" w:fill="FFFFFF"/>
            <w:noWrap/>
            <w:vAlign w:val="bottom"/>
            <w:hideMark/>
          </w:tcPr>
          <w:p w14:paraId="2E8B00A4" w14:textId="27F59821"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61</w:t>
            </w:r>
          </w:p>
        </w:tc>
        <w:tc>
          <w:tcPr>
            <w:tcW w:w="720" w:type="dxa"/>
            <w:tcBorders>
              <w:top w:val="nil"/>
              <w:left w:val="nil"/>
              <w:bottom w:val="nil"/>
              <w:right w:val="nil"/>
            </w:tcBorders>
            <w:shd w:val="clear" w:color="000000" w:fill="BFBFBF"/>
            <w:noWrap/>
            <w:vAlign w:val="bottom"/>
            <w:hideMark/>
          </w:tcPr>
          <w:p w14:paraId="25A44DA6"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w:t>
            </w:r>
          </w:p>
        </w:tc>
        <w:tc>
          <w:tcPr>
            <w:tcW w:w="630" w:type="dxa"/>
            <w:tcBorders>
              <w:top w:val="nil"/>
              <w:left w:val="nil"/>
              <w:bottom w:val="nil"/>
              <w:right w:val="nil"/>
            </w:tcBorders>
            <w:shd w:val="clear" w:color="000000" w:fill="FFFFFF"/>
            <w:noWrap/>
            <w:vAlign w:val="bottom"/>
            <w:hideMark/>
          </w:tcPr>
          <w:p w14:paraId="2B43AA61" w14:textId="07166B53"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62</w:t>
            </w:r>
          </w:p>
        </w:tc>
        <w:tc>
          <w:tcPr>
            <w:tcW w:w="720" w:type="dxa"/>
            <w:tcBorders>
              <w:top w:val="nil"/>
              <w:left w:val="nil"/>
              <w:bottom w:val="nil"/>
              <w:right w:val="nil"/>
            </w:tcBorders>
            <w:shd w:val="clear" w:color="000000" w:fill="BFBFBF"/>
            <w:noWrap/>
            <w:vAlign w:val="bottom"/>
            <w:hideMark/>
          </w:tcPr>
          <w:p w14:paraId="5DEC133E"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c>
          <w:tcPr>
            <w:tcW w:w="630" w:type="dxa"/>
            <w:tcBorders>
              <w:top w:val="nil"/>
              <w:left w:val="nil"/>
              <w:bottom w:val="nil"/>
              <w:right w:val="nil"/>
            </w:tcBorders>
            <w:shd w:val="clear" w:color="000000" w:fill="FFFFFF"/>
            <w:noWrap/>
            <w:vAlign w:val="bottom"/>
            <w:hideMark/>
          </w:tcPr>
          <w:p w14:paraId="44AB20B8" w14:textId="04A8973C"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50</w:t>
            </w:r>
          </w:p>
        </w:tc>
        <w:tc>
          <w:tcPr>
            <w:tcW w:w="686" w:type="dxa"/>
            <w:tcBorders>
              <w:top w:val="nil"/>
              <w:left w:val="nil"/>
              <w:bottom w:val="nil"/>
              <w:right w:val="nil"/>
            </w:tcBorders>
            <w:shd w:val="clear" w:color="000000" w:fill="BFBFBF"/>
            <w:noWrap/>
            <w:vAlign w:val="bottom"/>
            <w:hideMark/>
          </w:tcPr>
          <w:p w14:paraId="7412FB99"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w:t>
            </w:r>
          </w:p>
        </w:tc>
        <w:tc>
          <w:tcPr>
            <w:tcW w:w="642" w:type="dxa"/>
            <w:tcBorders>
              <w:top w:val="nil"/>
              <w:left w:val="nil"/>
              <w:bottom w:val="nil"/>
              <w:right w:val="nil"/>
            </w:tcBorders>
            <w:shd w:val="clear" w:color="000000" w:fill="FFFFFF"/>
            <w:noWrap/>
            <w:vAlign w:val="bottom"/>
            <w:hideMark/>
          </w:tcPr>
          <w:p w14:paraId="174B04BC" w14:textId="37084C88"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52</w:t>
            </w:r>
          </w:p>
        </w:tc>
        <w:tc>
          <w:tcPr>
            <w:tcW w:w="686" w:type="dxa"/>
            <w:tcBorders>
              <w:top w:val="nil"/>
              <w:left w:val="nil"/>
              <w:bottom w:val="nil"/>
              <w:right w:val="nil"/>
            </w:tcBorders>
            <w:shd w:val="clear" w:color="000000" w:fill="BFBFBF"/>
            <w:noWrap/>
            <w:vAlign w:val="bottom"/>
            <w:hideMark/>
          </w:tcPr>
          <w:p w14:paraId="3401665B"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w:t>
            </w:r>
          </w:p>
        </w:tc>
      </w:tr>
      <w:tr w:rsidR="00242F78" w:rsidRPr="00441E8E" w14:paraId="2C562656"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58A91638"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Depreciation and amortization</w:t>
            </w:r>
          </w:p>
        </w:tc>
        <w:tc>
          <w:tcPr>
            <w:tcW w:w="630" w:type="dxa"/>
            <w:tcBorders>
              <w:top w:val="nil"/>
              <w:left w:val="nil"/>
              <w:bottom w:val="nil"/>
              <w:right w:val="nil"/>
            </w:tcBorders>
            <w:shd w:val="clear" w:color="000000" w:fill="FFFFFF"/>
            <w:noWrap/>
            <w:vAlign w:val="bottom"/>
            <w:hideMark/>
          </w:tcPr>
          <w:p w14:paraId="69C640C0" w14:textId="464CB084"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50</w:t>
            </w:r>
          </w:p>
        </w:tc>
        <w:tc>
          <w:tcPr>
            <w:tcW w:w="720" w:type="dxa"/>
            <w:tcBorders>
              <w:top w:val="nil"/>
              <w:left w:val="nil"/>
              <w:bottom w:val="nil"/>
              <w:right w:val="nil"/>
            </w:tcBorders>
            <w:shd w:val="clear" w:color="000000" w:fill="BFBFBF"/>
            <w:noWrap/>
            <w:vAlign w:val="bottom"/>
            <w:hideMark/>
          </w:tcPr>
          <w:p w14:paraId="75AF00DB"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w:t>
            </w:r>
          </w:p>
        </w:tc>
        <w:tc>
          <w:tcPr>
            <w:tcW w:w="630" w:type="dxa"/>
            <w:tcBorders>
              <w:top w:val="nil"/>
              <w:left w:val="nil"/>
              <w:bottom w:val="nil"/>
              <w:right w:val="nil"/>
            </w:tcBorders>
            <w:shd w:val="clear" w:color="000000" w:fill="FFFFFF"/>
            <w:noWrap/>
            <w:vAlign w:val="bottom"/>
            <w:hideMark/>
          </w:tcPr>
          <w:p w14:paraId="55C0BC1B" w14:textId="25DCF026"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47</w:t>
            </w:r>
          </w:p>
        </w:tc>
        <w:tc>
          <w:tcPr>
            <w:tcW w:w="720" w:type="dxa"/>
            <w:tcBorders>
              <w:top w:val="nil"/>
              <w:left w:val="nil"/>
              <w:bottom w:val="nil"/>
              <w:right w:val="nil"/>
            </w:tcBorders>
            <w:shd w:val="clear" w:color="000000" w:fill="BFBFBF"/>
            <w:noWrap/>
            <w:vAlign w:val="bottom"/>
            <w:hideMark/>
          </w:tcPr>
          <w:p w14:paraId="5DFD3D09"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w:t>
            </w:r>
          </w:p>
        </w:tc>
        <w:tc>
          <w:tcPr>
            <w:tcW w:w="630" w:type="dxa"/>
            <w:tcBorders>
              <w:top w:val="nil"/>
              <w:left w:val="nil"/>
              <w:bottom w:val="nil"/>
              <w:right w:val="nil"/>
            </w:tcBorders>
            <w:shd w:val="clear" w:color="000000" w:fill="FFFFFF"/>
            <w:noWrap/>
            <w:vAlign w:val="bottom"/>
            <w:hideMark/>
          </w:tcPr>
          <w:p w14:paraId="571B6B51" w14:textId="3FFA7990"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44</w:t>
            </w:r>
          </w:p>
        </w:tc>
        <w:tc>
          <w:tcPr>
            <w:tcW w:w="720" w:type="dxa"/>
            <w:tcBorders>
              <w:top w:val="nil"/>
              <w:left w:val="nil"/>
              <w:bottom w:val="nil"/>
              <w:right w:val="nil"/>
            </w:tcBorders>
            <w:shd w:val="clear" w:color="000000" w:fill="BFBFBF"/>
            <w:noWrap/>
            <w:vAlign w:val="bottom"/>
            <w:hideMark/>
          </w:tcPr>
          <w:p w14:paraId="51F0F597"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w:t>
            </w:r>
          </w:p>
        </w:tc>
        <w:tc>
          <w:tcPr>
            <w:tcW w:w="630" w:type="dxa"/>
            <w:tcBorders>
              <w:top w:val="nil"/>
              <w:left w:val="nil"/>
              <w:bottom w:val="nil"/>
              <w:right w:val="nil"/>
            </w:tcBorders>
            <w:shd w:val="clear" w:color="000000" w:fill="FFFFFF"/>
            <w:noWrap/>
            <w:vAlign w:val="bottom"/>
            <w:hideMark/>
          </w:tcPr>
          <w:p w14:paraId="240A82AA" w14:textId="59DCBF6D"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42</w:t>
            </w:r>
          </w:p>
        </w:tc>
        <w:tc>
          <w:tcPr>
            <w:tcW w:w="686" w:type="dxa"/>
            <w:tcBorders>
              <w:top w:val="nil"/>
              <w:left w:val="nil"/>
              <w:bottom w:val="nil"/>
              <w:right w:val="nil"/>
            </w:tcBorders>
            <w:shd w:val="clear" w:color="000000" w:fill="BFBFBF"/>
            <w:noWrap/>
            <w:vAlign w:val="bottom"/>
            <w:hideMark/>
          </w:tcPr>
          <w:p w14:paraId="4243814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w:t>
            </w:r>
          </w:p>
        </w:tc>
        <w:tc>
          <w:tcPr>
            <w:tcW w:w="642" w:type="dxa"/>
            <w:tcBorders>
              <w:top w:val="nil"/>
              <w:left w:val="nil"/>
              <w:bottom w:val="nil"/>
              <w:right w:val="nil"/>
            </w:tcBorders>
            <w:shd w:val="clear" w:color="000000" w:fill="FFFFFF"/>
            <w:noWrap/>
            <w:vAlign w:val="bottom"/>
            <w:hideMark/>
          </w:tcPr>
          <w:p w14:paraId="32C48D77" w14:textId="0BAAEB0F"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41</w:t>
            </w:r>
          </w:p>
        </w:tc>
        <w:tc>
          <w:tcPr>
            <w:tcW w:w="686" w:type="dxa"/>
            <w:tcBorders>
              <w:top w:val="nil"/>
              <w:left w:val="nil"/>
              <w:bottom w:val="nil"/>
              <w:right w:val="nil"/>
            </w:tcBorders>
            <w:shd w:val="clear" w:color="000000" w:fill="BFBFBF"/>
            <w:noWrap/>
            <w:vAlign w:val="bottom"/>
            <w:hideMark/>
          </w:tcPr>
          <w:p w14:paraId="3973D8EF"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w:t>
            </w:r>
          </w:p>
        </w:tc>
      </w:tr>
      <w:tr w:rsidR="00242F78" w:rsidRPr="00441E8E" w14:paraId="4AFB070C" w14:textId="77777777" w:rsidTr="0047104B">
        <w:trPr>
          <w:trHeight w:val="300"/>
          <w:jc w:val="center"/>
        </w:trPr>
        <w:tc>
          <w:tcPr>
            <w:tcW w:w="3240" w:type="dxa"/>
            <w:tcBorders>
              <w:top w:val="nil"/>
              <w:left w:val="nil"/>
              <w:bottom w:val="nil"/>
              <w:right w:val="nil"/>
            </w:tcBorders>
            <w:shd w:val="clear" w:color="000000" w:fill="FFFFFF"/>
            <w:noWrap/>
            <w:vAlign w:val="bottom"/>
            <w:hideMark/>
          </w:tcPr>
          <w:p w14:paraId="00097F19"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Student aid</w:t>
            </w:r>
          </w:p>
        </w:tc>
        <w:tc>
          <w:tcPr>
            <w:tcW w:w="630" w:type="dxa"/>
            <w:tcBorders>
              <w:top w:val="nil"/>
              <w:left w:val="nil"/>
              <w:bottom w:val="nil"/>
              <w:right w:val="nil"/>
            </w:tcBorders>
            <w:shd w:val="clear" w:color="000000" w:fill="FFFFFF"/>
            <w:noWrap/>
            <w:vAlign w:val="bottom"/>
            <w:hideMark/>
          </w:tcPr>
          <w:p w14:paraId="075D8AFF" w14:textId="071C9458"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27</w:t>
            </w:r>
          </w:p>
        </w:tc>
        <w:tc>
          <w:tcPr>
            <w:tcW w:w="720" w:type="dxa"/>
            <w:tcBorders>
              <w:top w:val="nil"/>
              <w:left w:val="nil"/>
              <w:bottom w:val="nil"/>
              <w:right w:val="nil"/>
            </w:tcBorders>
            <w:shd w:val="clear" w:color="000000" w:fill="BFBFBF"/>
            <w:noWrap/>
            <w:vAlign w:val="bottom"/>
            <w:hideMark/>
          </w:tcPr>
          <w:p w14:paraId="2AAA12DC"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3%</w:t>
            </w:r>
          </w:p>
        </w:tc>
        <w:tc>
          <w:tcPr>
            <w:tcW w:w="630" w:type="dxa"/>
            <w:tcBorders>
              <w:top w:val="nil"/>
              <w:left w:val="nil"/>
              <w:bottom w:val="nil"/>
              <w:right w:val="nil"/>
            </w:tcBorders>
            <w:shd w:val="clear" w:color="000000" w:fill="FFFFFF"/>
            <w:noWrap/>
            <w:vAlign w:val="bottom"/>
            <w:hideMark/>
          </w:tcPr>
          <w:p w14:paraId="59A24839" w14:textId="120A07E1"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58</w:t>
            </w:r>
          </w:p>
        </w:tc>
        <w:tc>
          <w:tcPr>
            <w:tcW w:w="720" w:type="dxa"/>
            <w:tcBorders>
              <w:top w:val="nil"/>
              <w:left w:val="nil"/>
              <w:bottom w:val="nil"/>
              <w:right w:val="nil"/>
            </w:tcBorders>
            <w:shd w:val="clear" w:color="000000" w:fill="BFBFBF"/>
            <w:noWrap/>
            <w:vAlign w:val="bottom"/>
            <w:hideMark/>
          </w:tcPr>
          <w:p w14:paraId="41B99337"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w:t>
            </w:r>
          </w:p>
        </w:tc>
        <w:tc>
          <w:tcPr>
            <w:tcW w:w="630" w:type="dxa"/>
            <w:tcBorders>
              <w:top w:val="nil"/>
              <w:left w:val="nil"/>
              <w:bottom w:val="nil"/>
              <w:right w:val="nil"/>
            </w:tcBorders>
            <w:shd w:val="clear" w:color="000000" w:fill="FFFFFF"/>
            <w:noWrap/>
            <w:vAlign w:val="bottom"/>
            <w:hideMark/>
          </w:tcPr>
          <w:p w14:paraId="07517D06" w14:textId="489CBC8E"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40</w:t>
            </w:r>
          </w:p>
        </w:tc>
        <w:tc>
          <w:tcPr>
            <w:tcW w:w="720" w:type="dxa"/>
            <w:tcBorders>
              <w:top w:val="nil"/>
              <w:left w:val="nil"/>
              <w:bottom w:val="nil"/>
              <w:right w:val="nil"/>
            </w:tcBorders>
            <w:shd w:val="clear" w:color="000000" w:fill="BFBFBF"/>
            <w:noWrap/>
            <w:vAlign w:val="bottom"/>
            <w:hideMark/>
          </w:tcPr>
          <w:p w14:paraId="5C361310"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w:t>
            </w:r>
          </w:p>
        </w:tc>
        <w:tc>
          <w:tcPr>
            <w:tcW w:w="630" w:type="dxa"/>
            <w:tcBorders>
              <w:top w:val="nil"/>
              <w:left w:val="nil"/>
              <w:bottom w:val="nil"/>
              <w:right w:val="nil"/>
            </w:tcBorders>
            <w:shd w:val="clear" w:color="000000" w:fill="FFFFFF"/>
            <w:noWrap/>
            <w:vAlign w:val="bottom"/>
            <w:hideMark/>
          </w:tcPr>
          <w:p w14:paraId="21863C62" w14:textId="4457080D"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40</w:t>
            </w:r>
          </w:p>
        </w:tc>
        <w:tc>
          <w:tcPr>
            <w:tcW w:w="686" w:type="dxa"/>
            <w:tcBorders>
              <w:top w:val="nil"/>
              <w:left w:val="nil"/>
              <w:bottom w:val="nil"/>
              <w:right w:val="nil"/>
            </w:tcBorders>
            <w:shd w:val="clear" w:color="000000" w:fill="BFBFBF"/>
            <w:noWrap/>
            <w:vAlign w:val="bottom"/>
            <w:hideMark/>
          </w:tcPr>
          <w:p w14:paraId="35C740D6"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w:t>
            </w:r>
          </w:p>
        </w:tc>
        <w:tc>
          <w:tcPr>
            <w:tcW w:w="642" w:type="dxa"/>
            <w:tcBorders>
              <w:top w:val="nil"/>
              <w:left w:val="nil"/>
              <w:bottom w:val="nil"/>
              <w:right w:val="nil"/>
            </w:tcBorders>
            <w:shd w:val="clear" w:color="000000" w:fill="FFFFFF"/>
            <w:noWrap/>
            <w:vAlign w:val="bottom"/>
            <w:hideMark/>
          </w:tcPr>
          <w:p w14:paraId="380F254A" w14:textId="4789C72D"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36</w:t>
            </w:r>
          </w:p>
        </w:tc>
        <w:tc>
          <w:tcPr>
            <w:tcW w:w="686" w:type="dxa"/>
            <w:tcBorders>
              <w:top w:val="nil"/>
              <w:left w:val="nil"/>
              <w:bottom w:val="nil"/>
              <w:right w:val="nil"/>
            </w:tcBorders>
            <w:shd w:val="clear" w:color="000000" w:fill="BFBFBF"/>
            <w:noWrap/>
            <w:vAlign w:val="bottom"/>
            <w:hideMark/>
          </w:tcPr>
          <w:p w14:paraId="38164FAA"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w:t>
            </w:r>
          </w:p>
        </w:tc>
      </w:tr>
      <w:tr w:rsidR="005E2731" w:rsidRPr="00441E8E" w14:paraId="7CB9A59A" w14:textId="77777777" w:rsidTr="00242F78">
        <w:trPr>
          <w:trHeight w:val="300"/>
          <w:jc w:val="center"/>
        </w:trPr>
        <w:tc>
          <w:tcPr>
            <w:tcW w:w="3240" w:type="dxa"/>
            <w:tcBorders>
              <w:top w:val="nil"/>
              <w:left w:val="nil"/>
              <w:bottom w:val="single" w:sz="4" w:space="0" w:color="00688D"/>
              <w:right w:val="nil"/>
            </w:tcBorders>
            <w:shd w:val="clear" w:color="000000" w:fill="FFFFFF"/>
            <w:noWrap/>
            <w:vAlign w:val="bottom"/>
            <w:hideMark/>
          </w:tcPr>
          <w:p w14:paraId="1B4A2C7B" w14:textId="77777777" w:rsidR="00441E8E" w:rsidRPr="0047104B" w:rsidRDefault="00441E8E" w:rsidP="00441E8E">
            <w:pPr>
              <w:rPr>
                <w:rFonts w:ascii="Calibri" w:eastAsia="Times New Roman" w:hAnsi="Calibri" w:cs="Calibri"/>
                <w:color w:val="0D0D0D"/>
                <w:sz w:val="20"/>
                <w:szCs w:val="20"/>
              </w:rPr>
            </w:pPr>
            <w:r w:rsidRPr="0047104B">
              <w:rPr>
                <w:rFonts w:ascii="Calibri" w:eastAsia="Times New Roman" w:hAnsi="Calibri" w:cs="Calibri"/>
                <w:color w:val="0D0D0D"/>
                <w:sz w:val="20"/>
                <w:szCs w:val="20"/>
              </w:rPr>
              <w:t>Auxiliary enterprises</w:t>
            </w:r>
          </w:p>
        </w:tc>
        <w:tc>
          <w:tcPr>
            <w:tcW w:w="630" w:type="dxa"/>
            <w:tcBorders>
              <w:top w:val="nil"/>
              <w:left w:val="nil"/>
              <w:bottom w:val="nil"/>
              <w:right w:val="nil"/>
            </w:tcBorders>
            <w:shd w:val="clear" w:color="000000" w:fill="FFFFFF"/>
            <w:noWrap/>
            <w:vAlign w:val="bottom"/>
            <w:hideMark/>
          </w:tcPr>
          <w:p w14:paraId="07992B5A" w14:textId="6E73A605"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70</w:t>
            </w:r>
          </w:p>
        </w:tc>
        <w:tc>
          <w:tcPr>
            <w:tcW w:w="720" w:type="dxa"/>
            <w:tcBorders>
              <w:top w:val="nil"/>
              <w:left w:val="nil"/>
              <w:bottom w:val="nil"/>
              <w:right w:val="nil"/>
            </w:tcBorders>
            <w:shd w:val="clear" w:color="000000" w:fill="BFBFBF"/>
            <w:noWrap/>
            <w:vAlign w:val="bottom"/>
            <w:hideMark/>
          </w:tcPr>
          <w:p w14:paraId="1A20C5CF"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9%</w:t>
            </w:r>
          </w:p>
        </w:tc>
        <w:tc>
          <w:tcPr>
            <w:tcW w:w="630" w:type="dxa"/>
            <w:tcBorders>
              <w:top w:val="nil"/>
              <w:left w:val="nil"/>
              <w:bottom w:val="single" w:sz="4" w:space="0" w:color="00688D"/>
              <w:right w:val="nil"/>
            </w:tcBorders>
            <w:shd w:val="clear" w:color="000000" w:fill="FFFFFF"/>
            <w:noWrap/>
            <w:vAlign w:val="bottom"/>
            <w:hideMark/>
          </w:tcPr>
          <w:p w14:paraId="76514CD2" w14:textId="2A8A2DC1"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65</w:t>
            </w:r>
          </w:p>
        </w:tc>
        <w:tc>
          <w:tcPr>
            <w:tcW w:w="720" w:type="dxa"/>
            <w:tcBorders>
              <w:top w:val="nil"/>
              <w:left w:val="nil"/>
              <w:bottom w:val="nil"/>
              <w:right w:val="nil"/>
            </w:tcBorders>
            <w:shd w:val="clear" w:color="000000" w:fill="BFBFBF"/>
            <w:noWrap/>
            <w:vAlign w:val="bottom"/>
            <w:hideMark/>
          </w:tcPr>
          <w:p w14:paraId="27FCFE17"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w:t>
            </w:r>
          </w:p>
        </w:tc>
        <w:tc>
          <w:tcPr>
            <w:tcW w:w="630" w:type="dxa"/>
            <w:tcBorders>
              <w:top w:val="nil"/>
              <w:left w:val="nil"/>
              <w:bottom w:val="single" w:sz="4" w:space="0" w:color="00688D"/>
              <w:right w:val="nil"/>
            </w:tcBorders>
            <w:shd w:val="clear" w:color="000000" w:fill="FFFFFF"/>
            <w:noWrap/>
            <w:vAlign w:val="bottom"/>
            <w:hideMark/>
          </w:tcPr>
          <w:p w14:paraId="2FAC7E1D" w14:textId="22A9011F"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57</w:t>
            </w:r>
          </w:p>
        </w:tc>
        <w:tc>
          <w:tcPr>
            <w:tcW w:w="720" w:type="dxa"/>
            <w:tcBorders>
              <w:top w:val="nil"/>
              <w:left w:val="nil"/>
              <w:bottom w:val="nil"/>
              <w:right w:val="nil"/>
            </w:tcBorders>
            <w:shd w:val="clear" w:color="000000" w:fill="BFBFBF"/>
            <w:noWrap/>
            <w:vAlign w:val="bottom"/>
            <w:hideMark/>
          </w:tcPr>
          <w:p w14:paraId="076EFC80"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8%</w:t>
            </w:r>
          </w:p>
        </w:tc>
        <w:tc>
          <w:tcPr>
            <w:tcW w:w="630" w:type="dxa"/>
            <w:tcBorders>
              <w:top w:val="nil"/>
              <w:left w:val="nil"/>
              <w:bottom w:val="single" w:sz="4" w:space="0" w:color="00688D"/>
              <w:right w:val="nil"/>
            </w:tcBorders>
            <w:shd w:val="clear" w:color="000000" w:fill="FFFFFF"/>
            <w:noWrap/>
            <w:vAlign w:val="bottom"/>
            <w:hideMark/>
          </w:tcPr>
          <w:p w14:paraId="47D9656F" w14:textId="10F5E4CB"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63</w:t>
            </w:r>
          </w:p>
        </w:tc>
        <w:tc>
          <w:tcPr>
            <w:tcW w:w="686" w:type="dxa"/>
            <w:tcBorders>
              <w:top w:val="nil"/>
              <w:left w:val="nil"/>
              <w:bottom w:val="single" w:sz="4" w:space="0" w:color="00688D"/>
              <w:right w:val="nil"/>
            </w:tcBorders>
            <w:shd w:val="clear" w:color="000000" w:fill="BFBFBF"/>
            <w:noWrap/>
            <w:vAlign w:val="bottom"/>
            <w:hideMark/>
          </w:tcPr>
          <w:p w14:paraId="7A15303B"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c>
          <w:tcPr>
            <w:tcW w:w="642" w:type="dxa"/>
            <w:tcBorders>
              <w:top w:val="nil"/>
              <w:left w:val="nil"/>
              <w:bottom w:val="single" w:sz="4" w:space="0" w:color="00688D"/>
              <w:right w:val="nil"/>
            </w:tcBorders>
            <w:shd w:val="clear" w:color="000000" w:fill="FFFFFF"/>
            <w:noWrap/>
            <w:vAlign w:val="bottom"/>
            <w:hideMark/>
          </w:tcPr>
          <w:p w14:paraId="19E850A1" w14:textId="4C17C913"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67</w:t>
            </w:r>
          </w:p>
        </w:tc>
        <w:tc>
          <w:tcPr>
            <w:tcW w:w="686" w:type="dxa"/>
            <w:tcBorders>
              <w:top w:val="nil"/>
              <w:left w:val="nil"/>
              <w:bottom w:val="single" w:sz="4" w:space="0" w:color="00688D"/>
              <w:right w:val="nil"/>
            </w:tcBorders>
            <w:shd w:val="clear" w:color="000000" w:fill="BFBFBF"/>
            <w:noWrap/>
            <w:vAlign w:val="bottom"/>
            <w:hideMark/>
          </w:tcPr>
          <w:p w14:paraId="0069FA72"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9%</w:t>
            </w:r>
          </w:p>
        </w:tc>
      </w:tr>
      <w:tr w:rsidR="00242F78" w:rsidRPr="00441E8E" w14:paraId="60B66989" w14:textId="77777777" w:rsidTr="0047104B">
        <w:trPr>
          <w:trHeight w:val="315"/>
          <w:jc w:val="center"/>
        </w:trPr>
        <w:tc>
          <w:tcPr>
            <w:tcW w:w="3240" w:type="dxa"/>
            <w:tcBorders>
              <w:top w:val="nil"/>
              <w:left w:val="nil"/>
              <w:bottom w:val="double" w:sz="6" w:space="0" w:color="00688D"/>
              <w:right w:val="nil"/>
            </w:tcBorders>
            <w:shd w:val="clear" w:color="000000" w:fill="FFFFFF"/>
            <w:noWrap/>
            <w:vAlign w:val="bottom"/>
            <w:hideMark/>
          </w:tcPr>
          <w:p w14:paraId="7912FC01" w14:textId="77777777" w:rsidR="00441E8E" w:rsidRPr="0047104B" w:rsidRDefault="00441E8E" w:rsidP="00441E8E">
            <w:pPr>
              <w:ind w:firstLineChars="100" w:firstLine="201"/>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Total Operating Expenses</w:t>
            </w:r>
          </w:p>
        </w:tc>
        <w:tc>
          <w:tcPr>
            <w:tcW w:w="630" w:type="dxa"/>
            <w:tcBorders>
              <w:top w:val="single" w:sz="4" w:space="0" w:color="00688D"/>
              <w:left w:val="nil"/>
              <w:bottom w:val="double" w:sz="6" w:space="0" w:color="00688D"/>
              <w:right w:val="nil"/>
            </w:tcBorders>
            <w:shd w:val="clear" w:color="000000" w:fill="FFFFFF"/>
            <w:noWrap/>
            <w:vAlign w:val="bottom"/>
            <w:hideMark/>
          </w:tcPr>
          <w:p w14:paraId="685AB2B7" w14:textId="7A3DC941"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$810</w:t>
            </w:r>
          </w:p>
        </w:tc>
        <w:tc>
          <w:tcPr>
            <w:tcW w:w="720" w:type="dxa"/>
            <w:tcBorders>
              <w:top w:val="single" w:sz="4" w:space="0" w:color="00688D"/>
              <w:left w:val="nil"/>
              <w:bottom w:val="double" w:sz="6" w:space="0" w:color="00688D"/>
              <w:right w:val="nil"/>
            </w:tcBorders>
            <w:shd w:val="clear" w:color="000000" w:fill="BFBFBF"/>
            <w:noWrap/>
            <w:vAlign w:val="bottom"/>
            <w:hideMark/>
          </w:tcPr>
          <w:p w14:paraId="7A86F629" w14:textId="04543A39"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10</w:t>
            </w:r>
            <w:r w:rsidR="00242F78">
              <w:rPr>
                <w:rFonts w:ascii="Calibri" w:eastAsia="Times New Roman" w:hAnsi="Calibri" w:cs="Calibri"/>
                <w:b/>
                <w:bCs/>
                <w:color w:val="0D0D0D"/>
                <w:sz w:val="20"/>
                <w:szCs w:val="20"/>
              </w:rPr>
              <w:t>0</w:t>
            </w:r>
            <w:r w:rsidRPr="0047104B">
              <w:rPr>
                <w:rFonts w:ascii="Calibri" w:eastAsia="Times New Roman" w:hAnsi="Calibri" w:cs="Calibri"/>
                <w:b/>
                <w:bCs/>
                <w:color w:val="0D0D0D"/>
                <w:sz w:val="20"/>
                <w:szCs w:val="20"/>
              </w:rPr>
              <w:t>%</w:t>
            </w:r>
          </w:p>
        </w:tc>
        <w:tc>
          <w:tcPr>
            <w:tcW w:w="630" w:type="dxa"/>
            <w:tcBorders>
              <w:top w:val="nil"/>
              <w:left w:val="nil"/>
              <w:bottom w:val="double" w:sz="6" w:space="0" w:color="00688D"/>
              <w:right w:val="nil"/>
            </w:tcBorders>
            <w:shd w:val="clear" w:color="000000" w:fill="FFFFFF"/>
            <w:noWrap/>
            <w:vAlign w:val="bottom"/>
            <w:hideMark/>
          </w:tcPr>
          <w:p w14:paraId="269E8160" w14:textId="4D72072D"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$811</w:t>
            </w:r>
          </w:p>
        </w:tc>
        <w:tc>
          <w:tcPr>
            <w:tcW w:w="720" w:type="dxa"/>
            <w:tcBorders>
              <w:top w:val="single" w:sz="4" w:space="0" w:color="00688D"/>
              <w:left w:val="nil"/>
              <w:bottom w:val="double" w:sz="6" w:space="0" w:color="00688D"/>
              <w:right w:val="nil"/>
            </w:tcBorders>
            <w:shd w:val="clear" w:color="000000" w:fill="BFBFBF"/>
            <w:noWrap/>
            <w:vAlign w:val="bottom"/>
            <w:hideMark/>
          </w:tcPr>
          <w:p w14:paraId="29D60ABB" w14:textId="77777777" w:rsidR="00441E8E" w:rsidRPr="0047104B" w:rsidRDefault="00441E8E" w:rsidP="00441E8E">
            <w:pPr>
              <w:jc w:val="right"/>
              <w:rPr>
                <w:rFonts w:ascii="Calibri" w:eastAsia="Times New Roman" w:hAnsi="Calibri" w:cs="Calibri"/>
                <w:b/>
                <w:bCs/>
                <w:color w:val="0D0D0D"/>
                <w:sz w:val="20"/>
                <w:szCs w:val="20"/>
              </w:rPr>
            </w:pPr>
            <w:r w:rsidRPr="0047104B">
              <w:rPr>
                <w:rFonts w:ascii="Calibri" w:eastAsia="Times New Roman" w:hAnsi="Calibri" w:cs="Calibri"/>
                <w:b/>
                <w:bCs/>
                <w:color w:val="0D0D0D"/>
                <w:sz w:val="20"/>
                <w:szCs w:val="20"/>
              </w:rPr>
              <w:t>100%</w:t>
            </w:r>
          </w:p>
        </w:tc>
        <w:tc>
          <w:tcPr>
            <w:tcW w:w="630" w:type="dxa"/>
            <w:tcBorders>
              <w:top w:val="nil"/>
              <w:left w:val="nil"/>
              <w:bottom w:val="double" w:sz="6" w:space="0" w:color="00688D"/>
              <w:right w:val="nil"/>
            </w:tcBorders>
            <w:shd w:val="clear" w:color="000000" w:fill="FFFFFF"/>
            <w:noWrap/>
            <w:vAlign w:val="bottom"/>
            <w:hideMark/>
          </w:tcPr>
          <w:p w14:paraId="13666D05" w14:textId="19851CA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$680</w:t>
            </w:r>
          </w:p>
        </w:tc>
        <w:tc>
          <w:tcPr>
            <w:tcW w:w="720" w:type="dxa"/>
            <w:tcBorders>
              <w:top w:val="single" w:sz="4" w:space="0" w:color="00688D"/>
              <w:left w:val="nil"/>
              <w:bottom w:val="double" w:sz="6" w:space="0" w:color="00688D"/>
              <w:right w:val="nil"/>
            </w:tcBorders>
            <w:shd w:val="clear" w:color="000000" w:fill="BFBFBF"/>
            <w:noWrap/>
            <w:vAlign w:val="bottom"/>
            <w:hideMark/>
          </w:tcPr>
          <w:p w14:paraId="5B711E6C"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100%</w:t>
            </w:r>
          </w:p>
        </w:tc>
        <w:tc>
          <w:tcPr>
            <w:tcW w:w="630" w:type="dxa"/>
            <w:tcBorders>
              <w:top w:val="nil"/>
              <w:left w:val="nil"/>
              <w:bottom w:val="double" w:sz="6" w:space="0" w:color="00688D"/>
              <w:right w:val="nil"/>
            </w:tcBorders>
            <w:shd w:val="clear" w:color="000000" w:fill="FFFFFF"/>
            <w:noWrap/>
            <w:vAlign w:val="bottom"/>
            <w:hideMark/>
          </w:tcPr>
          <w:p w14:paraId="1DA90BA0" w14:textId="744B89E4"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$716</w:t>
            </w:r>
          </w:p>
        </w:tc>
        <w:tc>
          <w:tcPr>
            <w:tcW w:w="686" w:type="dxa"/>
            <w:tcBorders>
              <w:top w:val="nil"/>
              <w:left w:val="nil"/>
              <w:bottom w:val="double" w:sz="6" w:space="0" w:color="00688D"/>
              <w:right w:val="nil"/>
            </w:tcBorders>
            <w:shd w:val="clear" w:color="000000" w:fill="BFBFBF"/>
            <w:noWrap/>
            <w:vAlign w:val="bottom"/>
            <w:hideMark/>
          </w:tcPr>
          <w:p w14:paraId="792FAC4C"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100%</w:t>
            </w:r>
          </w:p>
        </w:tc>
        <w:tc>
          <w:tcPr>
            <w:tcW w:w="642" w:type="dxa"/>
            <w:tcBorders>
              <w:top w:val="nil"/>
              <w:left w:val="nil"/>
              <w:bottom w:val="double" w:sz="6" w:space="0" w:color="00688D"/>
              <w:right w:val="nil"/>
            </w:tcBorders>
            <w:shd w:val="clear" w:color="000000" w:fill="FFFFFF"/>
            <w:noWrap/>
            <w:vAlign w:val="bottom"/>
            <w:hideMark/>
          </w:tcPr>
          <w:p w14:paraId="34F1E223" w14:textId="5C55367A"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$724</w:t>
            </w:r>
          </w:p>
        </w:tc>
        <w:tc>
          <w:tcPr>
            <w:tcW w:w="686" w:type="dxa"/>
            <w:tcBorders>
              <w:top w:val="nil"/>
              <w:left w:val="nil"/>
              <w:bottom w:val="double" w:sz="6" w:space="0" w:color="00688D"/>
              <w:right w:val="nil"/>
            </w:tcBorders>
            <w:shd w:val="clear" w:color="000000" w:fill="BFBFBF"/>
            <w:noWrap/>
            <w:vAlign w:val="bottom"/>
            <w:hideMark/>
          </w:tcPr>
          <w:p w14:paraId="3E7D1C60" w14:textId="77777777" w:rsidR="00441E8E" w:rsidRPr="0047104B" w:rsidRDefault="00441E8E" w:rsidP="00441E8E">
            <w:pPr>
              <w:jc w:val="right"/>
              <w:rPr>
                <w:rFonts w:ascii="Calibri" w:eastAsia="Times New Roman" w:hAnsi="Calibri" w:cs="Calibri"/>
                <w:color w:val="0D0D0D"/>
                <w:sz w:val="20"/>
                <w:szCs w:val="20"/>
              </w:rPr>
            </w:pPr>
            <w:r w:rsidRPr="0047104B">
              <w:rPr>
                <w:rFonts w:ascii="Calibri" w:eastAsia="Times New Roman" w:hAnsi="Calibri" w:cs="Calibri"/>
                <w:color w:val="0D0D0D"/>
                <w:sz w:val="20"/>
                <w:szCs w:val="20"/>
              </w:rPr>
              <w:t>100%</w:t>
            </w:r>
          </w:p>
        </w:tc>
      </w:tr>
    </w:tbl>
    <w:p w14:paraId="2DE68FCD" w14:textId="3716BA6D" w:rsidR="00A83362" w:rsidRPr="008A5054" w:rsidRDefault="00A83362" w:rsidP="008A5054">
      <w:pPr>
        <w:spacing w:after="120"/>
        <w:jc w:val="center"/>
        <w:rPr>
          <w:rFonts w:eastAsia="Times New Roman" w:cstheme="minorHAnsi"/>
          <w:b/>
          <w:bCs/>
          <w:color w:val="0D0D0D" w:themeColor="text1" w:themeTint="F2"/>
          <w:sz w:val="24"/>
          <w:szCs w:val="24"/>
        </w:rPr>
      </w:pPr>
    </w:p>
    <w:p w14:paraId="01276F49" w14:textId="77777777" w:rsidR="00A83362" w:rsidRPr="00721CFD" w:rsidRDefault="00A83362" w:rsidP="00A83362">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Table 7: Total Expenses by Natural Classification</w:t>
      </w:r>
    </w:p>
    <w:p w14:paraId="60E505C1" w14:textId="77777777" w:rsidR="00A83362" w:rsidRPr="00721CFD" w:rsidRDefault="00A83362" w:rsidP="00A83362">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For the Years Ended June 30</w:t>
      </w:r>
    </w:p>
    <w:p w14:paraId="4D1AACD5" w14:textId="77777777" w:rsidR="00A83362" w:rsidRPr="00721CFD" w:rsidRDefault="00A83362" w:rsidP="00A83362">
      <w:pPr>
        <w:spacing w:after="240"/>
        <w:jc w:val="center"/>
        <w:rPr>
          <w:rFonts w:eastAsia="Times New Roman" w:cstheme="minorHAnsi"/>
          <w:b/>
          <w:bCs/>
          <w:color w:val="0D0D0D" w:themeColor="text1" w:themeTint="F2"/>
          <w:szCs w:val="20"/>
        </w:rPr>
      </w:pPr>
      <w:r w:rsidRPr="00721CFD">
        <w:rPr>
          <w:rFonts w:eastAsia="Times New Roman" w:cstheme="minorHAnsi"/>
          <w:b/>
          <w:bCs/>
          <w:color w:val="0D0D0D" w:themeColor="text1" w:themeTint="F2"/>
          <w:szCs w:val="20"/>
        </w:rPr>
        <w:t>(In millions)</w:t>
      </w:r>
    </w:p>
    <w:tbl>
      <w:tblPr>
        <w:tblW w:w="9645" w:type="dxa"/>
        <w:tblLook w:val="04A0" w:firstRow="1" w:lastRow="0" w:firstColumn="1" w:lastColumn="0" w:noHBand="0" w:noVBand="1"/>
      </w:tblPr>
      <w:tblGrid>
        <w:gridCol w:w="3060"/>
        <w:gridCol w:w="642"/>
        <w:gridCol w:w="683"/>
        <w:gridCol w:w="6"/>
        <w:gridCol w:w="642"/>
        <w:gridCol w:w="676"/>
        <w:gridCol w:w="13"/>
        <w:gridCol w:w="642"/>
        <w:gridCol w:w="673"/>
        <w:gridCol w:w="13"/>
        <w:gridCol w:w="664"/>
        <w:gridCol w:w="673"/>
        <w:gridCol w:w="13"/>
        <w:gridCol w:w="642"/>
        <w:gridCol w:w="673"/>
        <w:gridCol w:w="13"/>
      </w:tblGrid>
      <w:tr w:rsidR="00441E8E" w:rsidRPr="00441E8E" w14:paraId="5C79EB13" w14:textId="77777777" w:rsidTr="00441E8E">
        <w:trPr>
          <w:gridAfter w:val="1"/>
          <w:wAfter w:w="13" w:type="dxa"/>
          <w:trHeight w:val="615"/>
        </w:trPr>
        <w:tc>
          <w:tcPr>
            <w:tcW w:w="3060" w:type="dxa"/>
            <w:tcBorders>
              <w:top w:val="nil"/>
              <w:left w:val="nil"/>
              <w:bottom w:val="single" w:sz="12" w:space="0" w:color="00688D"/>
              <w:right w:val="nil"/>
            </w:tcBorders>
            <w:shd w:val="clear" w:color="000000" w:fill="FFFFFF"/>
            <w:noWrap/>
            <w:vAlign w:val="bottom"/>
            <w:hideMark/>
          </w:tcPr>
          <w:p w14:paraId="71180F64" w14:textId="77777777" w:rsidR="00441E8E" w:rsidRPr="00441E8E" w:rsidRDefault="00441E8E" w:rsidP="00441E8E">
            <w:pP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 </w:t>
            </w:r>
          </w:p>
        </w:tc>
        <w:tc>
          <w:tcPr>
            <w:tcW w:w="1325" w:type="dxa"/>
            <w:gridSpan w:val="2"/>
            <w:tcBorders>
              <w:top w:val="nil"/>
              <w:left w:val="nil"/>
              <w:bottom w:val="single" w:sz="12" w:space="0" w:color="00688D"/>
              <w:right w:val="nil"/>
            </w:tcBorders>
            <w:shd w:val="clear" w:color="000000" w:fill="FFFFFF"/>
            <w:noWrap/>
            <w:vAlign w:val="bottom"/>
            <w:hideMark/>
          </w:tcPr>
          <w:p w14:paraId="43135E5F" w14:textId="77777777" w:rsidR="00441E8E" w:rsidRPr="00441E8E" w:rsidRDefault="00441E8E" w:rsidP="00441E8E">
            <w:pPr>
              <w:jc w:val="cente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2023</w:t>
            </w:r>
          </w:p>
        </w:tc>
        <w:tc>
          <w:tcPr>
            <w:tcW w:w="1241" w:type="dxa"/>
            <w:gridSpan w:val="3"/>
            <w:tcBorders>
              <w:top w:val="nil"/>
              <w:left w:val="nil"/>
              <w:bottom w:val="single" w:sz="12" w:space="0" w:color="00688D"/>
              <w:right w:val="nil"/>
            </w:tcBorders>
            <w:shd w:val="clear" w:color="000000" w:fill="FFFFFF"/>
            <w:vAlign w:val="bottom"/>
            <w:hideMark/>
          </w:tcPr>
          <w:p w14:paraId="591843D8" w14:textId="77777777" w:rsidR="00441E8E" w:rsidRPr="00441E8E" w:rsidRDefault="00441E8E" w:rsidP="00441E8E">
            <w:pPr>
              <w:jc w:val="cente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Restated</w:t>
            </w:r>
            <w:r w:rsidRPr="00441E8E">
              <w:rPr>
                <w:rFonts w:ascii="Calibri" w:eastAsia="Times New Roman" w:hAnsi="Calibri" w:cs="Calibri"/>
                <w:b/>
                <w:bCs/>
                <w:color w:val="0D0D0D"/>
                <w:sz w:val="21"/>
                <w:szCs w:val="21"/>
              </w:rPr>
              <w:br/>
              <w:t>2022</w:t>
            </w:r>
          </w:p>
        </w:tc>
        <w:tc>
          <w:tcPr>
            <w:tcW w:w="1328" w:type="dxa"/>
            <w:gridSpan w:val="3"/>
            <w:tcBorders>
              <w:top w:val="nil"/>
              <w:left w:val="nil"/>
              <w:bottom w:val="single" w:sz="12" w:space="0" w:color="00688D"/>
              <w:right w:val="nil"/>
            </w:tcBorders>
            <w:shd w:val="clear" w:color="000000" w:fill="FFFFFF"/>
            <w:noWrap/>
            <w:vAlign w:val="bottom"/>
            <w:hideMark/>
          </w:tcPr>
          <w:p w14:paraId="12EF8D70" w14:textId="77777777" w:rsidR="00441E8E" w:rsidRPr="00441E8E" w:rsidRDefault="00441E8E" w:rsidP="00441E8E">
            <w:pPr>
              <w:jc w:val="cente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2021</w:t>
            </w:r>
          </w:p>
        </w:tc>
        <w:tc>
          <w:tcPr>
            <w:tcW w:w="1350" w:type="dxa"/>
            <w:gridSpan w:val="3"/>
            <w:tcBorders>
              <w:top w:val="nil"/>
              <w:left w:val="nil"/>
              <w:bottom w:val="single" w:sz="12" w:space="0" w:color="00688D"/>
              <w:right w:val="nil"/>
            </w:tcBorders>
            <w:shd w:val="clear" w:color="000000" w:fill="FFFFFF"/>
            <w:noWrap/>
            <w:vAlign w:val="bottom"/>
            <w:hideMark/>
          </w:tcPr>
          <w:p w14:paraId="0B11BE9C" w14:textId="77777777" w:rsidR="00441E8E" w:rsidRPr="00441E8E" w:rsidRDefault="00441E8E" w:rsidP="00441E8E">
            <w:pPr>
              <w:jc w:val="cente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2020</w:t>
            </w:r>
          </w:p>
        </w:tc>
        <w:tc>
          <w:tcPr>
            <w:tcW w:w="1328" w:type="dxa"/>
            <w:gridSpan w:val="3"/>
            <w:tcBorders>
              <w:top w:val="nil"/>
              <w:left w:val="nil"/>
              <w:bottom w:val="single" w:sz="12" w:space="0" w:color="00688D"/>
              <w:right w:val="nil"/>
            </w:tcBorders>
            <w:shd w:val="clear" w:color="000000" w:fill="FFFFFF"/>
            <w:noWrap/>
            <w:vAlign w:val="bottom"/>
            <w:hideMark/>
          </w:tcPr>
          <w:p w14:paraId="42CA0DA2" w14:textId="77777777" w:rsidR="00441E8E" w:rsidRPr="00441E8E" w:rsidRDefault="00441E8E" w:rsidP="00441E8E">
            <w:pPr>
              <w:jc w:val="center"/>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2019</w:t>
            </w:r>
          </w:p>
        </w:tc>
      </w:tr>
      <w:tr w:rsidR="00441E8E" w:rsidRPr="00441E8E" w14:paraId="1EDADFFB" w14:textId="77777777" w:rsidTr="00441E8E">
        <w:trPr>
          <w:trHeight w:val="315"/>
        </w:trPr>
        <w:tc>
          <w:tcPr>
            <w:tcW w:w="3060" w:type="dxa"/>
            <w:tcBorders>
              <w:top w:val="nil"/>
              <w:left w:val="nil"/>
              <w:bottom w:val="nil"/>
              <w:right w:val="nil"/>
            </w:tcBorders>
            <w:shd w:val="clear" w:color="000000" w:fill="FFFFFF"/>
            <w:noWrap/>
            <w:vAlign w:val="bottom"/>
            <w:hideMark/>
          </w:tcPr>
          <w:p w14:paraId="4C3C0EF8" w14:textId="77777777" w:rsidR="00441E8E" w:rsidRPr="00441E8E" w:rsidRDefault="00441E8E" w:rsidP="00441E8E">
            <w:pPr>
              <w:rPr>
                <w:rFonts w:ascii="Calibri" w:eastAsia="Times New Roman" w:hAnsi="Calibri" w:cs="Calibri"/>
                <w:color w:val="0D0D0D"/>
                <w:sz w:val="21"/>
                <w:szCs w:val="21"/>
              </w:rPr>
            </w:pPr>
            <w:r w:rsidRPr="00441E8E">
              <w:rPr>
                <w:rFonts w:ascii="Calibri" w:eastAsia="Times New Roman" w:hAnsi="Calibri" w:cs="Calibri"/>
                <w:color w:val="0D0D0D"/>
                <w:sz w:val="21"/>
                <w:szCs w:val="21"/>
              </w:rPr>
              <w:t>Operating:</w:t>
            </w:r>
          </w:p>
        </w:tc>
        <w:tc>
          <w:tcPr>
            <w:tcW w:w="642" w:type="dxa"/>
            <w:tcBorders>
              <w:top w:val="nil"/>
              <w:left w:val="nil"/>
              <w:bottom w:val="nil"/>
              <w:right w:val="nil"/>
            </w:tcBorders>
            <w:shd w:val="clear" w:color="000000" w:fill="FFFFFF"/>
            <w:noWrap/>
            <w:vAlign w:val="bottom"/>
            <w:hideMark/>
          </w:tcPr>
          <w:p w14:paraId="37171C7B"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9" w:type="dxa"/>
            <w:gridSpan w:val="2"/>
            <w:tcBorders>
              <w:top w:val="nil"/>
              <w:left w:val="nil"/>
              <w:bottom w:val="nil"/>
              <w:right w:val="nil"/>
            </w:tcBorders>
            <w:shd w:val="clear" w:color="000000" w:fill="BFBFBF"/>
            <w:noWrap/>
            <w:vAlign w:val="bottom"/>
            <w:hideMark/>
          </w:tcPr>
          <w:p w14:paraId="0CAC731A"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559" w:type="dxa"/>
            <w:tcBorders>
              <w:top w:val="nil"/>
              <w:left w:val="nil"/>
              <w:bottom w:val="nil"/>
              <w:right w:val="nil"/>
            </w:tcBorders>
            <w:shd w:val="clear" w:color="000000" w:fill="FFFFFF"/>
            <w:noWrap/>
            <w:vAlign w:val="bottom"/>
            <w:hideMark/>
          </w:tcPr>
          <w:p w14:paraId="4EC86CCF"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9" w:type="dxa"/>
            <w:gridSpan w:val="2"/>
            <w:tcBorders>
              <w:top w:val="nil"/>
              <w:left w:val="nil"/>
              <w:bottom w:val="nil"/>
              <w:right w:val="nil"/>
            </w:tcBorders>
            <w:shd w:val="clear" w:color="000000" w:fill="BFBFBF"/>
            <w:noWrap/>
            <w:vAlign w:val="bottom"/>
            <w:hideMark/>
          </w:tcPr>
          <w:p w14:paraId="7A031C29"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42" w:type="dxa"/>
            <w:tcBorders>
              <w:top w:val="nil"/>
              <w:left w:val="nil"/>
              <w:bottom w:val="nil"/>
              <w:right w:val="nil"/>
            </w:tcBorders>
            <w:shd w:val="clear" w:color="000000" w:fill="FFFFFF"/>
            <w:noWrap/>
            <w:vAlign w:val="bottom"/>
            <w:hideMark/>
          </w:tcPr>
          <w:p w14:paraId="645C3E5D"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41D15E29"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64" w:type="dxa"/>
            <w:tcBorders>
              <w:top w:val="nil"/>
              <w:left w:val="nil"/>
              <w:bottom w:val="nil"/>
              <w:right w:val="nil"/>
            </w:tcBorders>
            <w:shd w:val="clear" w:color="000000" w:fill="FFFFFF"/>
            <w:noWrap/>
            <w:vAlign w:val="bottom"/>
            <w:hideMark/>
          </w:tcPr>
          <w:p w14:paraId="181625B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24B1704A"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42" w:type="dxa"/>
            <w:tcBorders>
              <w:top w:val="nil"/>
              <w:left w:val="nil"/>
              <w:bottom w:val="nil"/>
              <w:right w:val="nil"/>
            </w:tcBorders>
            <w:shd w:val="clear" w:color="000000" w:fill="FFFFFF"/>
            <w:noWrap/>
            <w:vAlign w:val="bottom"/>
            <w:hideMark/>
          </w:tcPr>
          <w:p w14:paraId="462D9110"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5D22E5E8"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r>
      <w:tr w:rsidR="00441E8E" w:rsidRPr="00441E8E" w14:paraId="175E77C0" w14:textId="77777777" w:rsidTr="00441E8E">
        <w:trPr>
          <w:trHeight w:val="300"/>
        </w:trPr>
        <w:tc>
          <w:tcPr>
            <w:tcW w:w="3060" w:type="dxa"/>
            <w:tcBorders>
              <w:top w:val="nil"/>
              <w:left w:val="nil"/>
              <w:bottom w:val="nil"/>
              <w:right w:val="nil"/>
            </w:tcBorders>
            <w:shd w:val="clear" w:color="000000" w:fill="FFFFFF"/>
            <w:noWrap/>
            <w:vAlign w:val="bottom"/>
            <w:hideMark/>
          </w:tcPr>
          <w:p w14:paraId="4DCF6CD6"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Compensation</w:t>
            </w:r>
          </w:p>
        </w:tc>
        <w:tc>
          <w:tcPr>
            <w:tcW w:w="642" w:type="dxa"/>
            <w:tcBorders>
              <w:top w:val="nil"/>
              <w:left w:val="nil"/>
              <w:bottom w:val="nil"/>
              <w:right w:val="nil"/>
            </w:tcBorders>
            <w:shd w:val="clear" w:color="000000" w:fill="FFFFFF"/>
            <w:noWrap/>
            <w:vAlign w:val="bottom"/>
            <w:hideMark/>
          </w:tcPr>
          <w:p w14:paraId="298F209D" w14:textId="77A574B0"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$379</w:t>
            </w:r>
          </w:p>
        </w:tc>
        <w:tc>
          <w:tcPr>
            <w:tcW w:w="689" w:type="dxa"/>
            <w:gridSpan w:val="2"/>
            <w:tcBorders>
              <w:top w:val="nil"/>
              <w:left w:val="nil"/>
              <w:bottom w:val="nil"/>
              <w:right w:val="nil"/>
            </w:tcBorders>
            <w:shd w:val="clear" w:color="000000" w:fill="BFBFBF"/>
            <w:noWrap/>
            <w:vAlign w:val="bottom"/>
            <w:hideMark/>
          </w:tcPr>
          <w:p w14:paraId="72E2FCD3"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47%</w:t>
            </w:r>
          </w:p>
        </w:tc>
        <w:tc>
          <w:tcPr>
            <w:tcW w:w="559" w:type="dxa"/>
            <w:tcBorders>
              <w:top w:val="nil"/>
              <w:left w:val="nil"/>
              <w:bottom w:val="nil"/>
              <w:right w:val="nil"/>
            </w:tcBorders>
            <w:shd w:val="clear" w:color="000000" w:fill="FFFFFF"/>
            <w:noWrap/>
            <w:vAlign w:val="bottom"/>
            <w:hideMark/>
          </w:tcPr>
          <w:p w14:paraId="090A2A09" w14:textId="2A80A665"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$362</w:t>
            </w:r>
          </w:p>
        </w:tc>
        <w:tc>
          <w:tcPr>
            <w:tcW w:w="689" w:type="dxa"/>
            <w:gridSpan w:val="2"/>
            <w:tcBorders>
              <w:top w:val="nil"/>
              <w:left w:val="nil"/>
              <w:bottom w:val="nil"/>
              <w:right w:val="nil"/>
            </w:tcBorders>
            <w:shd w:val="clear" w:color="000000" w:fill="BFBFBF"/>
            <w:noWrap/>
            <w:vAlign w:val="bottom"/>
            <w:hideMark/>
          </w:tcPr>
          <w:p w14:paraId="65FB46A7"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44%</w:t>
            </w:r>
          </w:p>
        </w:tc>
        <w:tc>
          <w:tcPr>
            <w:tcW w:w="642" w:type="dxa"/>
            <w:tcBorders>
              <w:top w:val="nil"/>
              <w:left w:val="nil"/>
              <w:bottom w:val="nil"/>
              <w:right w:val="nil"/>
            </w:tcBorders>
            <w:shd w:val="clear" w:color="000000" w:fill="FFFFFF"/>
            <w:noWrap/>
            <w:vAlign w:val="bottom"/>
            <w:hideMark/>
          </w:tcPr>
          <w:p w14:paraId="73D25506" w14:textId="70E56D75"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$336</w:t>
            </w:r>
          </w:p>
        </w:tc>
        <w:tc>
          <w:tcPr>
            <w:tcW w:w="686" w:type="dxa"/>
            <w:gridSpan w:val="2"/>
            <w:tcBorders>
              <w:top w:val="nil"/>
              <w:left w:val="nil"/>
              <w:bottom w:val="nil"/>
              <w:right w:val="nil"/>
            </w:tcBorders>
            <w:shd w:val="clear" w:color="000000" w:fill="BFBFBF"/>
            <w:noWrap/>
            <w:vAlign w:val="bottom"/>
            <w:hideMark/>
          </w:tcPr>
          <w:p w14:paraId="6714B7A5"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49%</w:t>
            </w:r>
          </w:p>
        </w:tc>
        <w:tc>
          <w:tcPr>
            <w:tcW w:w="664" w:type="dxa"/>
            <w:tcBorders>
              <w:top w:val="nil"/>
              <w:left w:val="nil"/>
              <w:bottom w:val="nil"/>
              <w:right w:val="nil"/>
            </w:tcBorders>
            <w:shd w:val="clear" w:color="000000" w:fill="FFFFFF"/>
            <w:noWrap/>
            <w:vAlign w:val="bottom"/>
            <w:hideMark/>
          </w:tcPr>
          <w:p w14:paraId="20D62782" w14:textId="33DD8292"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$331</w:t>
            </w:r>
          </w:p>
        </w:tc>
        <w:tc>
          <w:tcPr>
            <w:tcW w:w="686" w:type="dxa"/>
            <w:gridSpan w:val="2"/>
            <w:tcBorders>
              <w:top w:val="nil"/>
              <w:left w:val="nil"/>
              <w:bottom w:val="nil"/>
              <w:right w:val="nil"/>
            </w:tcBorders>
            <w:shd w:val="clear" w:color="000000" w:fill="BFBFBF"/>
            <w:noWrap/>
            <w:vAlign w:val="bottom"/>
            <w:hideMark/>
          </w:tcPr>
          <w:p w14:paraId="52B675A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46%</w:t>
            </w:r>
          </w:p>
        </w:tc>
        <w:tc>
          <w:tcPr>
            <w:tcW w:w="642" w:type="dxa"/>
            <w:tcBorders>
              <w:top w:val="nil"/>
              <w:left w:val="nil"/>
              <w:bottom w:val="nil"/>
              <w:right w:val="nil"/>
            </w:tcBorders>
            <w:shd w:val="clear" w:color="000000" w:fill="FFFFFF"/>
            <w:noWrap/>
            <w:vAlign w:val="bottom"/>
            <w:hideMark/>
          </w:tcPr>
          <w:p w14:paraId="3CCC4FD3" w14:textId="5A34B225"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$322</w:t>
            </w:r>
          </w:p>
        </w:tc>
        <w:tc>
          <w:tcPr>
            <w:tcW w:w="686" w:type="dxa"/>
            <w:gridSpan w:val="2"/>
            <w:tcBorders>
              <w:top w:val="nil"/>
              <w:left w:val="nil"/>
              <w:bottom w:val="nil"/>
              <w:right w:val="nil"/>
            </w:tcBorders>
            <w:shd w:val="clear" w:color="000000" w:fill="BFBFBF"/>
            <w:noWrap/>
            <w:vAlign w:val="bottom"/>
            <w:hideMark/>
          </w:tcPr>
          <w:p w14:paraId="051F286C"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44%</w:t>
            </w:r>
          </w:p>
        </w:tc>
      </w:tr>
      <w:tr w:rsidR="00441E8E" w:rsidRPr="00441E8E" w14:paraId="10C3609A" w14:textId="77777777" w:rsidTr="00441E8E">
        <w:trPr>
          <w:trHeight w:val="300"/>
        </w:trPr>
        <w:tc>
          <w:tcPr>
            <w:tcW w:w="3060" w:type="dxa"/>
            <w:tcBorders>
              <w:top w:val="nil"/>
              <w:left w:val="nil"/>
              <w:bottom w:val="nil"/>
              <w:right w:val="nil"/>
            </w:tcBorders>
            <w:shd w:val="clear" w:color="000000" w:fill="FFFFFF"/>
            <w:noWrap/>
            <w:vAlign w:val="bottom"/>
            <w:hideMark/>
          </w:tcPr>
          <w:p w14:paraId="1E24C34A"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Benefits</w:t>
            </w:r>
          </w:p>
        </w:tc>
        <w:tc>
          <w:tcPr>
            <w:tcW w:w="642" w:type="dxa"/>
            <w:tcBorders>
              <w:top w:val="nil"/>
              <w:left w:val="nil"/>
              <w:bottom w:val="nil"/>
              <w:right w:val="nil"/>
            </w:tcBorders>
            <w:shd w:val="clear" w:color="000000" w:fill="FFFFFF"/>
            <w:noWrap/>
            <w:vAlign w:val="bottom"/>
            <w:hideMark/>
          </w:tcPr>
          <w:p w14:paraId="0364ACC0" w14:textId="6EACD771"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147</w:t>
            </w:r>
          </w:p>
        </w:tc>
        <w:tc>
          <w:tcPr>
            <w:tcW w:w="689" w:type="dxa"/>
            <w:gridSpan w:val="2"/>
            <w:tcBorders>
              <w:top w:val="nil"/>
              <w:left w:val="nil"/>
              <w:bottom w:val="nil"/>
              <w:right w:val="nil"/>
            </w:tcBorders>
            <w:shd w:val="clear" w:color="000000" w:fill="BFBFBF"/>
            <w:noWrap/>
            <w:vAlign w:val="bottom"/>
            <w:hideMark/>
          </w:tcPr>
          <w:p w14:paraId="48440470"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18%</w:t>
            </w:r>
          </w:p>
        </w:tc>
        <w:tc>
          <w:tcPr>
            <w:tcW w:w="559" w:type="dxa"/>
            <w:tcBorders>
              <w:top w:val="nil"/>
              <w:left w:val="nil"/>
              <w:bottom w:val="nil"/>
              <w:right w:val="nil"/>
            </w:tcBorders>
            <w:shd w:val="clear" w:color="000000" w:fill="FFFFFF"/>
            <w:noWrap/>
            <w:vAlign w:val="bottom"/>
            <w:hideMark/>
          </w:tcPr>
          <w:p w14:paraId="746B097C" w14:textId="52856039"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148</w:t>
            </w:r>
          </w:p>
        </w:tc>
        <w:tc>
          <w:tcPr>
            <w:tcW w:w="689" w:type="dxa"/>
            <w:gridSpan w:val="2"/>
            <w:tcBorders>
              <w:top w:val="nil"/>
              <w:left w:val="nil"/>
              <w:bottom w:val="nil"/>
              <w:right w:val="nil"/>
            </w:tcBorders>
            <w:shd w:val="clear" w:color="000000" w:fill="BFBFBF"/>
            <w:noWrap/>
            <w:vAlign w:val="bottom"/>
            <w:hideMark/>
          </w:tcPr>
          <w:p w14:paraId="4957E138"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18%</w:t>
            </w:r>
          </w:p>
        </w:tc>
        <w:tc>
          <w:tcPr>
            <w:tcW w:w="642" w:type="dxa"/>
            <w:tcBorders>
              <w:top w:val="nil"/>
              <w:left w:val="nil"/>
              <w:bottom w:val="nil"/>
              <w:right w:val="nil"/>
            </w:tcBorders>
            <w:shd w:val="clear" w:color="000000" w:fill="FFFFFF"/>
            <w:noWrap/>
            <w:vAlign w:val="bottom"/>
            <w:hideMark/>
          </w:tcPr>
          <w:p w14:paraId="4B67EEE5" w14:textId="5528CC3F"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87</w:t>
            </w:r>
          </w:p>
        </w:tc>
        <w:tc>
          <w:tcPr>
            <w:tcW w:w="686" w:type="dxa"/>
            <w:gridSpan w:val="2"/>
            <w:tcBorders>
              <w:top w:val="nil"/>
              <w:left w:val="nil"/>
              <w:bottom w:val="nil"/>
              <w:right w:val="nil"/>
            </w:tcBorders>
            <w:shd w:val="clear" w:color="000000" w:fill="BFBFBF"/>
            <w:noWrap/>
            <w:vAlign w:val="bottom"/>
            <w:hideMark/>
          </w:tcPr>
          <w:p w14:paraId="6D44A0F4"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13%</w:t>
            </w:r>
          </w:p>
        </w:tc>
        <w:tc>
          <w:tcPr>
            <w:tcW w:w="664" w:type="dxa"/>
            <w:tcBorders>
              <w:top w:val="nil"/>
              <w:left w:val="nil"/>
              <w:bottom w:val="nil"/>
              <w:right w:val="nil"/>
            </w:tcBorders>
            <w:shd w:val="clear" w:color="000000" w:fill="FFFFFF"/>
            <w:noWrap/>
            <w:vAlign w:val="bottom"/>
            <w:hideMark/>
          </w:tcPr>
          <w:p w14:paraId="7CDFA1B4" w14:textId="3637AA64"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129</w:t>
            </w:r>
          </w:p>
        </w:tc>
        <w:tc>
          <w:tcPr>
            <w:tcW w:w="686" w:type="dxa"/>
            <w:gridSpan w:val="2"/>
            <w:tcBorders>
              <w:top w:val="nil"/>
              <w:left w:val="nil"/>
              <w:bottom w:val="nil"/>
              <w:right w:val="nil"/>
            </w:tcBorders>
            <w:shd w:val="clear" w:color="000000" w:fill="BFBFBF"/>
            <w:noWrap/>
            <w:vAlign w:val="bottom"/>
            <w:hideMark/>
          </w:tcPr>
          <w:p w14:paraId="2A4B7A57"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18%</w:t>
            </w:r>
          </w:p>
        </w:tc>
        <w:tc>
          <w:tcPr>
            <w:tcW w:w="642" w:type="dxa"/>
            <w:tcBorders>
              <w:top w:val="nil"/>
              <w:left w:val="nil"/>
              <w:bottom w:val="nil"/>
              <w:right w:val="nil"/>
            </w:tcBorders>
            <w:shd w:val="clear" w:color="000000" w:fill="FFFFFF"/>
            <w:noWrap/>
            <w:vAlign w:val="bottom"/>
            <w:hideMark/>
          </w:tcPr>
          <w:p w14:paraId="2CA13080" w14:textId="32A32024"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139</w:t>
            </w:r>
          </w:p>
        </w:tc>
        <w:tc>
          <w:tcPr>
            <w:tcW w:w="686" w:type="dxa"/>
            <w:gridSpan w:val="2"/>
            <w:tcBorders>
              <w:top w:val="nil"/>
              <w:left w:val="nil"/>
              <w:bottom w:val="nil"/>
              <w:right w:val="nil"/>
            </w:tcBorders>
            <w:shd w:val="clear" w:color="000000" w:fill="BFBFBF"/>
            <w:noWrap/>
            <w:vAlign w:val="bottom"/>
            <w:hideMark/>
          </w:tcPr>
          <w:p w14:paraId="3ECE709F"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19%</w:t>
            </w:r>
          </w:p>
        </w:tc>
      </w:tr>
      <w:tr w:rsidR="00441E8E" w:rsidRPr="00441E8E" w14:paraId="1C737D79" w14:textId="77777777" w:rsidTr="00441E8E">
        <w:trPr>
          <w:trHeight w:val="300"/>
        </w:trPr>
        <w:tc>
          <w:tcPr>
            <w:tcW w:w="3060" w:type="dxa"/>
            <w:tcBorders>
              <w:top w:val="nil"/>
              <w:left w:val="nil"/>
              <w:bottom w:val="nil"/>
              <w:right w:val="nil"/>
            </w:tcBorders>
            <w:shd w:val="clear" w:color="000000" w:fill="FFFFFF"/>
            <w:noWrap/>
            <w:vAlign w:val="bottom"/>
            <w:hideMark/>
          </w:tcPr>
          <w:p w14:paraId="325DA972"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Utilities</w:t>
            </w:r>
          </w:p>
        </w:tc>
        <w:tc>
          <w:tcPr>
            <w:tcW w:w="642" w:type="dxa"/>
            <w:tcBorders>
              <w:top w:val="nil"/>
              <w:left w:val="nil"/>
              <w:bottom w:val="nil"/>
              <w:right w:val="nil"/>
            </w:tcBorders>
            <w:shd w:val="clear" w:color="000000" w:fill="FFFFFF"/>
            <w:noWrap/>
            <w:vAlign w:val="bottom"/>
            <w:hideMark/>
          </w:tcPr>
          <w:p w14:paraId="4E3A486A" w14:textId="77D1F4F8"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27</w:t>
            </w:r>
          </w:p>
        </w:tc>
        <w:tc>
          <w:tcPr>
            <w:tcW w:w="689" w:type="dxa"/>
            <w:gridSpan w:val="2"/>
            <w:tcBorders>
              <w:top w:val="nil"/>
              <w:left w:val="nil"/>
              <w:bottom w:val="nil"/>
              <w:right w:val="nil"/>
            </w:tcBorders>
            <w:shd w:val="clear" w:color="000000" w:fill="BFBFBF"/>
            <w:noWrap/>
            <w:vAlign w:val="bottom"/>
            <w:hideMark/>
          </w:tcPr>
          <w:p w14:paraId="2CF8E7B8"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3%</w:t>
            </w:r>
          </w:p>
        </w:tc>
        <w:tc>
          <w:tcPr>
            <w:tcW w:w="559" w:type="dxa"/>
            <w:tcBorders>
              <w:top w:val="nil"/>
              <w:left w:val="nil"/>
              <w:bottom w:val="nil"/>
              <w:right w:val="nil"/>
            </w:tcBorders>
            <w:shd w:val="clear" w:color="000000" w:fill="FFFFFF"/>
            <w:noWrap/>
            <w:vAlign w:val="bottom"/>
            <w:hideMark/>
          </w:tcPr>
          <w:p w14:paraId="63DE562F" w14:textId="54728CEC"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30</w:t>
            </w:r>
          </w:p>
        </w:tc>
        <w:tc>
          <w:tcPr>
            <w:tcW w:w="689" w:type="dxa"/>
            <w:gridSpan w:val="2"/>
            <w:tcBorders>
              <w:top w:val="nil"/>
              <w:left w:val="nil"/>
              <w:bottom w:val="nil"/>
              <w:right w:val="nil"/>
            </w:tcBorders>
            <w:shd w:val="clear" w:color="000000" w:fill="BFBFBF"/>
            <w:noWrap/>
            <w:vAlign w:val="bottom"/>
            <w:hideMark/>
          </w:tcPr>
          <w:p w14:paraId="639D28D5"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4%</w:t>
            </w:r>
          </w:p>
        </w:tc>
        <w:tc>
          <w:tcPr>
            <w:tcW w:w="642" w:type="dxa"/>
            <w:tcBorders>
              <w:top w:val="nil"/>
              <w:left w:val="nil"/>
              <w:bottom w:val="nil"/>
              <w:right w:val="nil"/>
            </w:tcBorders>
            <w:shd w:val="clear" w:color="000000" w:fill="FFFFFF"/>
            <w:noWrap/>
            <w:vAlign w:val="bottom"/>
            <w:hideMark/>
          </w:tcPr>
          <w:p w14:paraId="1F345277" w14:textId="19305D70"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27</w:t>
            </w:r>
          </w:p>
        </w:tc>
        <w:tc>
          <w:tcPr>
            <w:tcW w:w="686" w:type="dxa"/>
            <w:gridSpan w:val="2"/>
            <w:tcBorders>
              <w:top w:val="nil"/>
              <w:left w:val="nil"/>
              <w:bottom w:val="nil"/>
              <w:right w:val="nil"/>
            </w:tcBorders>
            <w:shd w:val="clear" w:color="000000" w:fill="BFBFBF"/>
            <w:noWrap/>
            <w:vAlign w:val="bottom"/>
            <w:hideMark/>
          </w:tcPr>
          <w:p w14:paraId="354C65F7"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5%</w:t>
            </w:r>
          </w:p>
        </w:tc>
        <w:tc>
          <w:tcPr>
            <w:tcW w:w="664" w:type="dxa"/>
            <w:tcBorders>
              <w:top w:val="nil"/>
              <w:left w:val="nil"/>
              <w:bottom w:val="nil"/>
              <w:right w:val="nil"/>
            </w:tcBorders>
            <w:shd w:val="clear" w:color="000000" w:fill="FFFFFF"/>
            <w:noWrap/>
            <w:vAlign w:val="bottom"/>
            <w:hideMark/>
          </w:tcPr>
          <w:p w14:paraId="4EF07A30" w14:textId="10908AFC"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28</w:t>
            </w:r>
          </w:p>
        </w:tc>
        <w:tc>
          <w:tcPr>
            <w:tcW w:w="686" w:type="dxa"/>
            <w:gridSpan w:val="2"/>
            <w:tcBorders>
              <w:top w:val="nil"/>
              <w:left w:val="nil"/>
              <w:bottom w:val="nil"/>
              <w:right w:val="nil"/>
            </w:tcBorders>
            <w:shd w:val="clear" w:color="000000" w:fill="BFBFBF"/>
            <w:noWrap/>
            <w:vAlign w:val="bottom"/>
            <w:hideMark/>
          </w:tcPr>
          <w:p w14:paraId="7A8C6BE2"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w:t>
            </w:r>
          </w:p>
        </w:tc>
        <w:tc>
          <w:tcPr>
            <w:tcW w:w="642" w:type="dxa"/>
            <w:tcBorders>
              <w:top w:val="nil"/>
              <w:left w:val="nil"/>
              <w:bottom w:val="nil"/>
              <w:right w:val="nil"/>
            </w:tcBorders>
            <w:shd w:val="clear" w:color="000000" w:fill="FFFFFF"/>
            <w:noWrap/>
            <w:vAlign w:val="bottom"/>
            <w:hideMark/>
          </w:tcPr>
          <w:p w14:paraId="7813C53E" w14:textId="3714D1BB"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31</w:t>
            </w:r>
          </w:p>
        </w:tc>
        <w:tc>
          <w:tcPr>
            <w:tcW w:w="686" w:type="dxa"/>
            <w:gridSpan w:val="2"/>
            <w:tcBorders>
              <w:top w:val="nil"/>
              <w:left w:val="nil"/>
              <w:bottom w:val="nil"/>
              <w:right w:val="nil"/>
            </w:tcBorders>
            <w:shd w:val="clear" w:color="000000" w:fill="BFBFBF"/>
            <w:noWrap/>
            <w:vAlign w:val="bottom"/>
            <w:hideMark/>
          </w:tcPr>
          <w:p w14:paraId="2982DD60"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w:t>
            </w:r>
          </w:p>
        </w:tc>
      </w:tr>
      <w:tr w:rsidR="00441E8E" w:rsidRPr="00441E8E" w14:paraId="7825966C" w14:textId="77777777" w:rsidTr="00441E8E">
        <w:trPr>
          <w:trHeight w:val="300"/>
        </w:trPr>
        <w:tc>
          <w:tcPr>
            <w:tcW w:w="3060" w:type="dxa"/>
            <w:tcBorders>
              <w:top w:val="nil"/>
              <w:left w:val="nil"/>
              <w:bottom w:val="nil"/>
              <w:right w:val="nil"/>
            </w:tcBorders>
            <w:shd w:val="clear" w:color="000000" w:fill="FFFFFF"/>
            <w:noWrap/>
            <w:vAlign w:val="bottom"/>
            <w:hideMark/>
          </w:tcPr>
          <w:p w14:paraId="15A15D62"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Supplies and Services</w:t>
            </w:r>
          </w:p>
        </w:tc>
        <w:tc>
          <w:tcPr>
            <w:tcW w:w="642" w:type="dxa"/>
            <w:tcBorders>
              <w:top w:val="nil"/>
              <w:left w:val="nil"/>
              <w:bottom w:val="nil"/>
              <w:right w:val="nil"/>
            </w:tcBorders>
            <w:shd w:val="clear" w:color="000000" w:fill="FFFFFF"/>
            <w:noWrap/>
            <w:vAlign w:val="bottom"/>
            <w:hideMark/>
          </w:tcPr>
          <w:p w14:paraId="6A882495" w14:textId="4CAFD61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180</w:t>
            </w:r>
          </w:p>
        </w:tc>
        <w:tc>
          <w:tcPr>
            <w:tcW w:w="689" w:type="dxa"/>
            <w:gridSpan w:val="2"/>
            <w:tcBorders>
              <w:top w:val="nil"/>
              <w:left w:val="nil"/>
              <w:bottom w:val="nil"/>
              <w:right w:val="nil"/>
            </w:tcBorders>
            <w:shd w:val="clear" w:color="000000" w:fill="BFBFBF"/>
            <w:noWrap/>
            <w:vAlign w:val="bottom"/>
            <w:hideMark/>
          </w:tcPr>
          <w:p w14:paraId="03F059E0"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22%</w:t>
            </w:r>
          </w:p>
        </w:tc>
        <w:tc>
          <w:tcPr>
            <w:tcW w:w="559" w:type="dxa"/>
            <w:tcBorders>
              <w:top w:val="nil"/>
              <w:left w:val="nil"/>
              <w:bottom w:val="nil"/>
              <w:right w:val="nil"/>
            </w:tcBorders>
            <w:shd w:val="clear" w:color="000000" w:fill="FFFFFF"/>
            <w:noWrap/>
            <w:vAlign w:val="bottom"/>
            <w:hideMark/>
          </w:tcPr>
          <w:p w14:paraId="36B48F83" w14:textId="38F61AE5"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166</w:t>
            </w:r>
          </w:p>
        </w:tc>
        <w:tc>
          <w:tcPr>
            <w:tcW w:w="689" w:type="dxa"/>
            <w:gridSpan w:val="2"/>
            <w:tcBorders>
              <w:top w:val="nil"/>
              <w:left w:val="nil"/>
              <w:bottom w:val="nil"/>
              <w:right w:val="nil"/>
            </w:tcBorders>
            <w:shd w:val="clear" w:color="000000" w:fill="BFBFBF"/>
            <w:noWrap/>
            <w:vAlign w:val="bottom"/>
            <w:hideMark/>
          </w:tcPr>
          <w:p w14:paraId="47F263B7"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20%</w:t>
            </w:r>
          </w:p>
        </w:tc>
        <w:tc>
          <w:tcPr>
            <w:tcW w:w="642" w:type="dxa"/>
            <w:tcBorders>
              <w:top w:val="nil"/>
              <w:left w:val="nil"/>
              <w:bottom w:val="nil"/>
              <w:right w:val="nil"/>
            </w:tcBorders>
            <w:shd w:val="clear" w:color="000000" w:fill="FFFFFF"/>
            <w:noWrap/>
            <w:vAlign w:val="bottom"/>
            <w:hideMark/>
          </w:tcPr>
          <w:p w14:paraId="38E83621" w14:textId="6F7D4F4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146</w:t>
            </w:r>
          </w:p>
        </w:tc>
        <w:tc>
          <w:tcPr>
            <w:tcW w:w="686" w:type="dxa"/>
            <w:gridSpan w:val="2"/>
            <w:tcBorders>
              <w:top w:val="nil"/>
              <w:left w:val="nil"/>
              <w:bottom w:val="nil"/>
              <w:right w:val="nil"/>
            </w:tcBorders>
            <w:shd w:val="clear" w:color="000000" w:fill="BFBFBF"/>
            <w:noWrap/>
            <w:vAlign w:val="bottom"/>
            <w:hideMark/>
          </w:tcPr>
          <w:p w14:paraId="3F7150E0"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20%</w:t>
            </w:r>
          </w:p>
        </w:tc>
        <w:tc>
          <w:tcPr>
            <w:tcW w:w="664" w:type="dxa"/>
            <w:tcBorders>
              <w:top w:val="nil"/>
              <w:left w:val="nil"/>
              <w:bottom w:val="nil"/>
              <w:right w:val="nil"/>
            </w:tcBorders>
            <w:shd w:val="clear" w:color="000000" w:fill="FFFFFF"/>
            <w:noWrap/>
            <w:vAlign w:val="bottom"/>
            <w:hideMark/>
          </w:tcPr>
          <w:p w14:paraId="793886C0" w14:textId="1430920F"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146</w:t>
            </w:r>
          </w:p>
        </w:tc>
        <w:tc>
          <w:tcPr>
            <w:tcW w:w="686" w:type="dxa"/>
            <w:gridSpan w:val="2"/>
            <w:tcBorders>
              <w:top w:val="nil"/>
              <w:left w:val="nil"/>
              <w:bottom w:val="nil"/>
              <w:right w:val="nil"/>
            </w:tcBorders>
            <w:shd w:val="clear" w:color="000000" w:fill="BFBFBF"/>
            <w:noWrap/>
            <w:vAlign w:val="bottom"/>
            <w:hideMark/>
          </w:tcPr>
          <w:p w14:paraId="08966ABD"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20%</w:t>
            </w:r>
          </w:p>
        </w:tc>
        <w:tc>
          <w:tcPr>
            <w:tcW w:w="642" w:type="dxa"/>
            <w:tcBorders>
              <w:top w:val="nil"/>
              <w:left w:val="nil"/>
              <w:bottom w:val="nil"/>
              <w:right w:val="nil"/>
            </w:tcBorders>
            <w:shd w:val="clear" w:color="000000" w:fill="FFFFFF"/>
            <w:noWrap/>
            <w:vAlign w:val="bottom"/>
            <w:hideMark/>
          </w:tcPr>
          <w:p w14:paraId="0D899939" w14:textId="34BEC5CE"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155</w:t>
            </w:r>
          </w:p>
        </w:tc>
        <w:tc>
          <w:tcPr>
            <w:tcW w:w="686" w:type="dxa"/>
            <w:gridSpan w:val="2"/>
            <w:tcBorders>
              <w:top w:val="nil"/>
              <w:left w:val="nil"/>
              <w:bottom w:val="nil"/>
              <w:right w:val="nil"/>
            </w:tcBorders>
            <w:shd w:val="clear" w:color="000000" w:fill="BFBFBF"/>
            <w:noWrap/>
            <w:vAlign w:val="bottom"/>
            <w:hideMark/>
          </w:tcPr>
          <w:p w14:paraId="72C7DAE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21%</w:t>
            </w:r>
          </w:p>
        </w:tc>
      </w:tr>
      <w:tr w:rsidR="00441E8E" w:rsidRPr="00441E8E" w14:paraId="3883BEB4" w14:textId="77777777" w:rsidTr="00441E8E">
        <w:trPr>
          <w:trHeight w:val="300"/>
        </w:trPr>
        <w:tc>
          <w:tcPr>
            <w:tcW w:w="3060" w:type="dxa"/>
            <w:tcBorders>
              <w:top w:val="nil"/>
              <w:left w:val="nil"/>
              <w:bottom w:val="nil"/>
              <w:right w:val="nil"/>
            </w:tcBorders>
            <w:shd w:val="clear" w:color="000000" w:fill="FFFFFF"/>
            <w:noWrap/>
            <w:vAlign w:val="bottom"/>
            <w:hideMark/>
          </w:tcPr>
          <w:p w14:paraId="5508AA97"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Depreciation and Amortization</w:t>
            </w:r>
          </w:p>
        </w:tc>
        <w:tc>
          <w:tcPr>
            <w:tcW w:w="642" w:type="dxa"/>
            <w:tcBorders>
              <w:top w:val="nil"/>
              <w:left w:val="nil"/>
              <w:bottom w:val="nil"/>
              <w:right w:val="nil"/>
            </w:tcBorders>
            <w:shd w:val="clear" w:color="000000" w:fill="FFFFFF"/>
            <w:noWrap/>
            <w:vAlign w:val="bottom"/>
            <w:hideMark/>
          </w:tcPr>
          <w:p w14:paraId="48853859" w14:textId="10B4FDE9"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50</w:t>
            </w:r>
          </w:p>
        </w:tc>
        <w:tc>
          <w:tcPr>
            <w:tcW w:w="689" w:type="dxa"/>
            <w:gridSpan w:val="2"/>
            <w:tcBorders>
              <w:top w:val="nil"/>
              <w:left w:val="nil"/>
              <w:bottom w:val="nil"/>
              <w:right w:val="nil"/>
            </w:tcBorders>
            <w:shd w:val="clear" w:color="000000" w:fill="BFBFBF"/>
            <w:noWrap/>
            <w:vAlign w:val="bottom"/>
            <w:hideMark/>
          </w:tcPr>
          <w:p w14:paraId="39CF91D6"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6%</w:t>
            </w:r>
          </w:p>
        </w:tc>
        <w:tc>
          <w:tcPr>
            <w:tcW w:w="559" w:type="dxa"/>
            <w:tcBorders>
              <w:top w:val="nil"/>
              <w:left w:val="nil"/>
              <w:bottom w:val="nil"/>
              <w:right w:val="nil"/>
            </w:tcBorders>
            <w:shd w:val="clear" w:color="000000" w:fill="FFFFFF"/>
            <w:noWrap/>
            <w:vAlign w:val="bottom"/>
            <w:hideMark/>
          </w:tcPr>
          <w:p w14:paraId="6B1AA0F9" w14:textId="25549573"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47</w:t>
            </w:r>
          </w:p>
        </w:tc>
        <w:tc>
          <w:tcPr>
            <w:tcW w:w="689" w:type="dxa"/>
            <w:gridSpan w:val="2"/>
            <w:tcBorders>
              <w:top w:val="nil"/>
              <w:left w:val="nil"/>
              <w:bottom w:val="nil"/>
              <w:right w:val="nil"/>
            </w:tcBorders>
            <w:shd w:val="clear" w:color="000000" w:fill="BFBFBF"/>
            <w:noWrap/>
            <w:vAlign w:val="bottom"/>
            <w:hideMark/>
          </w:tcPr>
          <w:p w14:paraId="779E4F50"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6%</w:t>
            </w:r>
          </w:p>
        </w:tc>
        <w:tc>
          <w:tcPr>
            <w:tcW w:w="642" w:type="dxa"/>
            <w:tcBorders>
              <w:top w:val="nil"/>
              <w:left w:val="nil"/>
              <w:bottom w:val="nil"/>
              <w:right w:val="nil"/>
            </w:tcBorders>
            <w:shd w:val="clear" w:color="000000" w:fill="FFFFFF"/>
            <w:noWrap/>
            <w:vAlign w:val="bottom"/>
            <w:hideMark/>
          </w:tcPr>
          <w:p w14:paraId="0F55AEC5" w14:textId="35573C79"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44</w:t>
            </w:r>
          </w:p>
        </w:tc>
        <w:tc>
          <w:tcPr>
            <w:tcW w:w="686" w:type="dxa"/>
            <w:gridSpan w:val="2"/>
            <w:tcBorders>
              <w:top w:val="nil"/>
              <w:left w:val="nil"/>
              <w:bottom w:val="nil"/>
              <w:right w:val="nil"/>
            </w:tcBorders>
            <w:shd w:val="clear" w:color="000000" w:fill="BFBFBF"/>
            <w:noWrap/>
            <w:vAlign w:val="bottom"/>
            <w:hideMark/>
          </w:tcPr>
          <w:p w14:paraId="651E7509"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w:t>
            </w:r>
          </w:p>
        </w:tc>
        <w:tc>
          <w:tcPr>
            <w:tcW w:w="664" w:type="dxa"/>
            <w:tcBorders>
              <w:top w:val="nil"/>
              <w:left w:val="nil"/>
              <w:bottom w:val="nil"/>
              <w:right w:val="nil"/>
            </w:tcBorders>
            <w:shd w:val="clear" w:color="000000" w:fill="FFFFFF"/>
            <w:noWrap/>
            <w:vAlign w:val="bottom"/>
            <w:hideMark/>
          </w:tcPr>
          <w:p w14:paraId="5C7CC052" w14:textId="265FF8E1"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42</w:t>
            </w:r>
          </w:p>
        </w:tc>
        <w:tc>
          <w:tcPr>
            <w:tcW w:w="686" w:type="dxa"/>
            <w:gridSpan w:val="2"/>
            <w:tcBorders>
              <w:top w:val="nil"/>
              <w:left w:val="nil"/>
              <w:bottom w:val="nil"/>
              <w:right w:val="nil"/>
            </w:tcBorders>
            <w:shd w:val="clear" w:color="000000" w:fill="BFBFBF"/>
            <w:noWrap/>
            <w:vAlign w:val="bottom"/>
            <w:hideMark/>
          </w:tcPr>
          <w:p w14:paraId="38EAF2C4"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w:t>
            </w:r>
          </w:p>
        </w:tc>
        <w:tc>
          <w:tcPr>
            <w:tcW w:w="642" w:type="dxa"/>
            <w:tcBorders>
              <w:top w:val="nil"/>
              <w:left w:val="nil"/>
              <w:bottom w:val="nil"/>
              <w:right w:val="nil"/>
            </w:tcBorders>
            <w:shd w:val="clear" w:color="000000" w:fill="FFFFFF"/>
            <w:noWrap/>
            <w:vAlign w:val="bottom"/>
            <w:hideMark/>
          </w:tcPr>
          <w:p w14:paraId="28700F0A" w14:textId="15B745A2"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41</w:t>
            </w:r>
          </w:p>
        </w:tc>
        <w:tc>
          <w:tcPr>
            <w:tcW w:w="686" w:type="dxa"/>
            <w:gridSpan w:val="2"/>
            <w:tcBorders>
              <w:top w:val="nil"/>
              <w:left w:val="nil"/>
              <w:bottom w:val="nil"/>
              <w:right w:val="nil"/>
            </w:tcBorders>
            <w:shd w:val="clear" w:color="000000" w:fill="BFBFBF"/>
            <w:noWrap/>
            <w:vAlign w:val="bottom"/>
            <w:hideMark/>
          </w:tcPr>
          <w:p w14:paraId="6DFDB132"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w:t>
            </w:r>
          </w:p>
        </w:tc>
      </w:tr>
      <w:tr w:rsidR="00441E8E" w:rsidRPr="00441E8E" w14:paraId="3AAA292F" w14:textId="77777777" w:rsidTr="00441E8E">
        <w:trPr>
          <w:trHeight w:val="300"/>
        </w:trPr>
        <w:tc>
          <w:tcPr>
            <w:tcW w:w="3060" w:type="dxa"/>
            <w:tcBorders>
              <w:top w:val="nil"/>
              <w:left w:val="nil"/>
              <w:bottom w:val="single" w:sz="4" w:space="0" w:color="00688D"/>
              <w:right w:val="nil"/>
            </w:tcBorders>
            <w:shd w:val="clear" w:color="000000" w:fill="FFFFFF"/>
            <w:noWrap/>
            <w:vAlign w:val="bottom"/>
            <w:hideMark/>
          </w:tcPr>
          <w:p w14:paraId="3137DCD4"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Student Aid</w:t>
            </w:r>
          </w:p>
        </w:tc>
        <w:tc>
          <w:tcPr>
            <w:tcW w:w="642" w:type="dxa"/>
            <w:tcBorders>
              <w:top w:val="nil"/>
              <w:left w:val="nil"/>
              <w:bottom w:val="single" w:sz="4" w:space="0" w:color="00688D"/>
              <w:right w:val="nil"/>
            </w:tcBorders>
            <w:shd w:val="clear" w:color="000000" w:fill="FFFFFF"/>
            <w:noWrap/>
            <w:vAlign w:val="bottom"/>
            <w:hideMark/>
          </w:tcPr>
          <w:p w14:paraId="471F77E6" w14:textId="0A7D870D"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27</w:t>
            </w:r>
          </w:p>
        </w:tc>
        <w:tc>
          <w:tcPr>
            <w:tcW w:w="689" w:type="dxa"/>
            <w:gridSpan w:val="2"/>
            <w:tcBorders>
              <w:top w:val="nil"/>
              <w:left w:val="nil"/>
              <w:bottom w:val="single" w:sz="4" w:space="0" w:color="auto"/>
              <w:right w:val="nil"/>
            </w:tcBorders>
            <w:shd w:val="clear" w:color="000000" w:fill="BFBFBF"/>
            <w:noWrap/>
            <w:vAlign w:val="bottom"/>
            <w:hideMark/>
          </w:tcPr>
          <w:p w14:paraId="1D4785F4"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3%</w:t>
            </w:r>
          </w:p>
        </w:tc>
        <w:tc>
          <w:tcPr>
            <w:tcW w:w="559" w:type="dxa"/>
            <w:tcBorders>
              <w:top w:val="nil"/>
              <w:left w:val="nil"/>
              <w:bottom w:val="single" w:sz="4" w:space="0" w:color="00688D"/>
              <w:right w:val="nil"/>
            </w:tcBorders>
            <w:shd w:val="clear" w:color="000000" w:fill="FFFFFF"/>
            <w:noWrap/>
            <w:vAlign w:val="bottom"/>
            <w:hideMark/>
          </w:tcPr>
          <w:p w14:paraId="5BEA9B7C" w14:textId="61F594A6"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58</w:t>
            </w:r>
          </w:p>
        </w:tc>
        <w:tc>
          <w:tcPr>
            <w:tcW w:w="689" w:type="dxa"/>
            <w:gridSpan w:val="2"/>
            <w:tcBorders>
              <w:top w:val="nil"/>
              <w:left w:val="nil"/>
              <w:bottom w:val="single" w:sz="4" w:space="0" w:color="auto"/>
              <w:right w:val="nil"/>
            </w:tcBorders>
            <w:shd w:val="clear" w:color="000000" w:fill="BFBFBF"/>
            <w:noWrap/>
            <w:vAlign w:val="bottom"/>
            <w:hideMark/>
          </w:tcPr>
          <w:p w14:paraId="525BC694"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7%</w:t>
            </w:r>
          </w:p>
        </w:tc>
        <w:tc>
          <w:tcPr>
            <w:tcW w:w="642" w:type="dxa"/>
            <w:tcBorders>
              <w:top w:val="nil"/>
              <w:left w:val="nil"/>
              <w:bottom w:val="single" w:sz="4" w:space="0" w:color="00688D"/>
              <w:right w:val="nil"/>
            </w:tcBorders>
            <w:shd w:val="clear" w:color="000000" w:fill="FFFFFF"/>
            <w:noWrap/>
            <w:vAlign w:val="bottom"/>
            <w:hideMark/>
          </w:tcPr>
          <w:p w14:paraId="25DDF023" w14:textId="6EB7B42A"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40</w:t>
            </w:r>
          </w:p>
        </w:tc>
        <w:tc>
          <w:tcPr>
            <w:tcW w:w="686" w:type="dxa"/>
            <w:gridSpan w:val="2"/>
            <w:tcBorders>
              <w:top w:val="nil"/>
              <w:left w:val="nil"/>
              <w:bottom w:val="single" w:sz="4" w:space="0" w:color="auto"/>
              <w:right w:val="nil"/>
            </w:tcBorders>
            <w:shd w:val="clear" w:color="000000" w:fill="BFBFBF"/>
            <w:noWrap/>
            <w:vAlign w:val="bottom"/>
            <w:hideMark/>
          </w:tcPr>
          <w:p w14:paraId="4E52366C"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w:t>
            </w:r>
          </w:p>
        </w:tc>
        <w:tc>
          <w:tcPr>
            <w:tcW w:w="664" w:type="dxa"/>
            <w:tcBorders>
              <w:top w:val="nil"/>
              <w:left w:val="nil"/>
              <w:bottom w:val="single" w:sz="4" w:space="0" w:color="00688D"/>
              <w:right w:val="nil"/>
            </w:tcBorders>
            <w:shd w:val="clear" w:color="000000" w:fill="FFFFFF"/>
            <w:noWrap/>
            <w:vAlign w:val="bottom"/>
            <w:hideMark/>
          </w:tcPr>
          <w:p w14:paraId="42FEA08E" w14:textId="4ADBA8C1"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40</w:t>
            </w:r>
          </w:p>
        </w:tc>
        <w:tc>
          <w:tcPr>
            <w:tcW w:w="686" w:type="dxa"/>
            <w:gridSpan w:val="2"/>
            <w:tcBorders>
              <w:top w:val="nil"/>
              <w:left w:val="nil"/>
              <w:bottom w:val="single" w:sz="4" w:space="0" w:color="00688D"/>
              <w:right w:val="nil"/>
            </w:tcBorders>
            <w:shd w:val="clear" w:color="000000" w:fill="BFBFBF"/>
            <w:noWrap/>
            <w:vAlign w:val="bottom"/>
            <w:hideMark/>
          </w:tcPr>
          <w:p w14:paraId="3D6240D3"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5%</w:t>
            </w:r>
          </w:p>
        </w:tc>
        <w:tc>
          <w:tcPr>
            <w:tcW w:w="642" w:type="dxa"/>
            <w:tcBorders>
              <w:top w:val="nil"/>
              <w:left w:val="nil"/>
              <w:bottom w:val="single" w:sz="4" w:space="0" w:color="00688D"/>
              <w:right w:val="nil"/>
            </w:tcBorders>
            <w:shd w:val="clear" w:color="000000" w:fill="FFFFFF"/>
            <w:noWrap/>
            <w:vAlign w:val="bottom"/>
            <w:hideMark/>
          </w:tcPr>
          <w:p w14:paraId="7D5DC54D" w14:textId="32F70A81"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36</w:t>
            </w:r>
          </w:p>
        </w:tc>
        <w:tc>
          <w:tcPr>
            <w:tcW w:w="686" w:type="dxa"/>
            <w:gridSpan w:val="2"/>
            <w:tcBorders>
              <w:top w:val="nil"/>
              <w:left w:val="nil"/>
              <w:bottom w:val="single" w:sz="4" w:space="0" w:color="00688D"/>
              <w:right w:val="nil"/>
            </w:tcBorders>
            <w:shd w:val="clear" w:color="000000" w:fill="BFBFBF"/>
            <w:noWrap/>
            <w:vAlign w:val="bottom"/>
            <w:hideMark/>
          </w:tcPr>
          <w:p w14:paraId="11671555"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5%</w:t>
            </w:r>
          </w:p>
        </w:tc>
      </w:tr>
      <w:tr w:rsidR="00441E8E" w:rsidRPr="00441E8E" w14:paraId="7F2126F0" w14:textId="77777777" w:rsidTr="00441E8E">
        <w:trPr>
          <w:trHeight w:val="300"/>
        </w:trPr>
        <w:tc>
          <w:tcPr>
            <w:tcW w:w="3060" w:type="dxa"/>
            <w:tcBorders>
              <w:top w:val="nil"/>
              <w:left w:val="nil"/>
              <w:bottom w:val="nil"/>
              <w:right w:val="nil"/>
            </w:tcBorders>
            <w:shd w:val="clear" w:color="000000" w:fill="FFFFFF"/>
            <w:noWrap/>
            <w:vAlign w:val="bottom"/>
            <w:hideMark/>
          </w:tcPr>
          <w:p w14:paraId="2CFAB89B" w14:textId="77777777" w:rsidR="00441E8E" w:rsidRPr="00441E8E" w:rsidRDefault="00441E8E" w:rsidP="00441E8E">
            <w:pPr>
              <w:ind w:firstLineChars="100" w:firstLine="211"/>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Total Operating Expenses</w:t>
            </w:r>
          </w:p>
        </w:tc>
        <w:tc>
          <w:tcPr>
            <w:tcW w:w="642" w:type="dxa"/>
            <w:tcBorders>
              <w:top w:val="nil"/>
              <w:left w:val="nil"/>
              <w:bottom w:val="nil"/>
              <w:right w:val="nil"/>
            </w:tcBorders>
            <w:shd w:val="clear" w:color="000000" w:fill="FFFFFF"/>
            <w:noWrap/>
            <w:vAlign w:val="bottom"/>
            <w:hideMark/>
          </w:tcPr>
          <w:p w14:paraId="2988E58E" w14:textId="0CB2A211"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810</w:t>
            </w:r>
          </w:p>
        </w:tc>
        <w:tc>
          <w:tcPr>
            <w:tcW w:w="689" w:type="dxa"/>
            <w:gridSpan w:val="2"/>
            <w:tcBorders>
              <w:top w:val="nil"/>
              <w:left w:val="nil"/>
              <w:bottom w:val="nil"/>
              <w:right w:val="nil"/>
            </w:tcBorders>
            <w:shd w:val="clear" w:color="000000" w:fill="BFBFBF"/>
            <w:noWrap/>
            <w:vAlign w:val="bottom"/>
            <w:hideMark/>
          </w:tcPr>
          <w:p w14:paraId="03DB4ADC"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99%</w:t>
            </w:r>
          </w:p>
        </w:tc>
        <w:tc>
          <w:tcPr>
            <w:tcW w:w="559" w:type="dxa"/>
            <w:tcBorders>
              <w:top w:val="nil"/>
              <w:left w:val="nil"/>
              <w:bottom w:val="nil"/>
              <w:right w:val="nil"/>
            </w:tcBorders>
            <w:shd w:val="clear" w:color="000000" w:fill="FFFFFF"/>
            <w:noWrap/>
            <w:vAlign w:val="bottom"/>
            <w:hideMark/>
          </w:tcPr>
          <w:p w14:paraId="0ED39E56" w14:textId="43BDC32E"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811</w:t>
            </w:r>
          </w:p>
        </w:tc>
        <w:tc>
          <w:tcPr>
            <w:tcW w:w="689" w:type="dxa"/>
            <w:gridSpan w:val="2"/>
            <w:tcBorders>
              <w:top w:val="nil"/>
              <w:left w:val="nil"/>
              <w:bottom w:val="nil"/>
              <w:right w:val="nil"/>
            </w:tcBorders>
            <w:shd w:val="clear" w:color="000000" w:fill="BFBFBF"/>
            <w:noWrap/>
            <w:vAlign w:val="bottom"/>
            <w:hideMark/>
          </w:tcPr>
          <w:p w14:paraId="676DF67F"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99%</w:t>
            </w:r>
          </w:p>
        </w:tc>
        <w:tc>
          <w:tcPr>
            <w:tcW w:w="642" w:type="dxa"/>
            <w:tcBorders>
              <w:top w:val="nil"/>
              <w:left w:val="nil"/>
              <w:bottom w:val="nil"/>
              <w:right w:val="nil"/>
            </w:tcBorders>
            <w:shd w:val="clear" w:color="000000" w:fill="FFFFFF"/>
            <w:noWrap/>
            <w:vAlign w:val="bottom"/>
            <w:hideMark/>
          </w:tcPr>
          <w:p w14:paraId="00965B41" w14:textId="188790AB"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680</w:t>
            </w:r>
          </w:p>
        </w:tc>
        <w:tc>
          <w:tcPr>
            <w:tcW w:w="686" w:type="dxa"/>
            <w:gridSpan w:val="2"/>
            <w:tcBorders>
              <w:top w:val="nil"/>
              <w:left w:val="nil"/>
              <w:bottom w:val="nil"/>
              <w:right w:val="nil"/>
            </w:tcBorders>
            <w:shd w:val="clear" w:color="000000" w:fill="BFBFBF"/>
            <w:noWrap/>
            <w:vAlign w:val="bottom"/>
            <w:hideMark/>
          </w:tcPr>
          <w:p w14:paraId="23377C6B"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99%</w:t>
            </w:r>
          </w:p>
        </w:tc>
        <w:tc>
          <w:tcPr>
            <w:tcW w:w="664" w:type="dxa"/>
            <w:tcBorders>
              <w:top w:val="nil"/>
              <w:left w:val="nil"/>
              <w:bottom w:val="nil"/>
              <w:right w:val="nil"/>
            </w:tcBorders>
            <w:shd w:val="clear" w:color="000000" w:fill="FFFFFF"/>
            <w:noWrap/>
            <w:vAlign w:val="bottom"/>
            <w:hideMark/>
          </w:tcPr>
          <w:p w14:paraId="22ACEA5E" w14:textId="67E5C5DC"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716</w:t>
            </w:r>
          </w:p>
        </w:tc>
        <w:tc>
          <w:tcPr>
            <w:tcW w:w="686" w:type="dxa"/>
            <w:gridSpan w:val="2"/>
            <w:tcBorders>
              <w:top w:val="nil"/>
              <w:left w:val="nil"/>
              <w:bottom w:val="nil"/>
              <w:right w:val="nil"/>
            </w:tcBorders>
            <w:shd w:val="clear" w:color="000000" w:fill="BFBFBF"/>
            <w:noWrap/>
            <w:vAlign w:val="bottom"/>
            <w:hideMark/>
          </w:tcPr>
          <w:p w14:paraId="5EA7E0CA"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99%</w:t>
            </w:r>
          </w:p>
        </w:tc>
        <w:tc>
          <w:tcPr>
            <w:tcW w:w="642" w:type="dxa"/>
            <w:tcBorders>
              <w:top w:val="nil"/>
              <w:left w:val="nil"/>
              <w:bottom w:val="nil"/>
              <w:right w:val="nil"/>
            </w:tcBorders>
            <w:shd w:val="clear" w:color="000000" w:fill="FFFFFF"/>
            <w:noWrap/>
            <w:vAlign w:val="bottom"/>
            <w:hideMark/>
          </w:tcPr>
          <w:p w14:paraId="69679643" w14:textId="4A5AC89C"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724</w:t>
            </w:r>
          </w:p>
        </w:tc>
        <w:tc>
          <w:tcPr>
            <w:tcW w:w="686" w:type="dxa"/>
            <w:gridSpan w:val="2"/>
            <w:tcBorders>
              <w:top w:val="nil"/>
              <w:left w:val="nil"/>
              <w:bottom w:val="nil"/>
              <w:right w:val="nil"/>
            </w:tcBorders>
            <w:shd w:val="clear" w:color="000000" w:fill="BFBFBF"/>
            <w:noWrap/>
            <w:vAlign w:val="bottom"/>
            <w:hideMark/>
          </w:tcPr>
          <w:p w14:paraId="45FC67A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99%</w:t>
            </w:r>
          </w:p>
        </w:tc>
      </w:tr>
      <w:tr w:rsidR="00441E8E" w:rsidRPr="00441E8E" w14:paraId="02FACB9E" w14:textId="77777777" w:rsidTr="00441E8E">
        <w:trPr>
          <w:trHeight w:val="300"/>
        </w:trPr>
        <w:tc>
          <w:tcPr>
            <w:tcW w:w="3060" w:type="dxa"/>
            <w:tcBorders>
              <w:top w:val="nil"/>
              <w:left w:val="nil"/>
              <w:bottom w:val="nil"/>
              <w:right w:val="nil"/>
            </w:tcBorders>
            <w:shd w:val="clear" w:color="000000" w:fill="FFFFFF"/>
            <w:noWrap/>
            <w:vAlign w:val="bottom"/>
            <w:hideMark/>
          </w:tcPr>
          <w:p w14:paraId="35DFCB03" w14:textId="77777777" w:rsidR="00441E8E" w:rsidRPr="00441E8E" w:rsidRDefault="00441E8E" w:rsidP="00441E8E">
            <w:pPr>
              <w:rPr>
                <w:rFonts w:ascii="Calibri" w:eastAsia="Times New Roman" w:hAnsi="Calibri" w:cs="Calibri"/>
                <w:color w:val="0D0D0D"/>
                <w:sz w:val="21"/>
                <w:szCs w:val="21"/>
              </w:rPr>
            </w:pPr>
            <w:r w:rsidRPr="00441E8E">
              <w:rPr>
                <w:rFonts w:ascii="Calibri" w:eastAsia="Times New Roman" w:hAnsi="Calibri" w:cs="Calibri"/>
                <w:color w:val="0D0D0D"/>
                <w:sz w:val="21"/>
                <w:szCs w:val="21"/>
              </w:rPr>
              <w:t>Nonoperating:</w:t>
            </w:r>
          </w:p>
        </w:tc>
        <w:tc>
          <w:tcPr>
            <w:tcW w:w="642" w:type="dxa"/>
            <w:tcBorders>
              <w:top w:val="nil"/>
              <w:left w:val="nil"/>
              <w:bottom w:val="nil"/>
              <w:right w:val="nil"/>
            </w:tcBorders>
            <w:shd w:val="clear" w:color="000000" w:fill="FFFFFF"/>
            <w:noWrap/>
            <w:vAlign w:val="bottom"/>
            <w:hideMark/>
          </w:tcPr>
          <w:p w14:paraId="657BF573"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 </w:t>
            </w:r>
          </w:p>
        </w:tc>
        <w:tc>
          <w:tcPr>
            <w:tcW w:w="689" w:type="dxa"/>
            <w:gridSpan w:val="2"/>
            <w:tcBorders>
              <w:top w:val="nil"/>
              <w:left w:val="nil"/>
              <w:bottom w:val="nil"/>
              <w:right w:val="nil"/>
            </w:tcBorders>
            <w:shd w:val="clear" w:color="000000" w:fill="BFBFBF"/>
            <w:noWrap/>
            <w:vAlign w:val="bottom"/>
            <w:hideMark/>
          </w:tcPr>
          <w:p w14:paraId="5F8421EE"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 </w:t>
            </w:r>
          </w:p>
        </w:tc>
        <w:tc>
          <w:tcPr>
            <w:tcW w:w="559" w:type="dxa"/>
            <w:tcBorders>
              <w:top w:val="nil"/>
              <w:left w:val="nil"/>
              <w:bottom w:val="nil"/>
              <w:right w:val="nil"/>
            </w:tcBorders>
            <w:shd w:val="clear" w:color="000000" w:fill="FFFFFF"/>
            <w:noWrap/>
            <w:vAlign w:val="bottom"/>
            <w:hideMark/>
          </w:tcPr>
          <w:p w14:paraId="6B16898A"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 </w:t>
            </w:r>
          </w:p>
        </w:tc>
        <w:tc>
          <w:tcPr>
            <w:tcW w:w="689" w:type="dxa"/>
            <w:gridSpan w:val="2"/>
            <w:tcBorders>
              <w:top w:val="nil"/>
              <w:left w:val="nil"/>
              <w:bottom w:val="nil"/>
              <w:right w:val="nil"/>
            </w:tcBorders>
            <w:shd w:val="clear" w:color="000000" w:fill="BFBFBF"/>
            <w:noWrap/>
            <w:vAlign w:val="bottom"/>
            <w:hideMark/>
          </w:tcPr>
          <w:p w14:paraId="5AA76A6B"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 </w:t>
            </w:r>
          </w:p>
        </w:tc>
        <w:tc>
          <w:tcPr>
            <w:tcW w:w="642" w:type="dxa"/>
            <w:tcBorders>
              <w:top w:val="nil"/>
              <w:left w:val="nil"/>
              <w:bottom w:val="nil"/>
              <w:right w:val="nil"/>
            </w:tcBorders>
            <w:shd w:val="clear" w:color="000000" w:fill="FFFFFF"/>
            <w:noWrap/>
            <w:vAlign w:val="bottom"/>
            <w:hideMark/>
          </w:tcPr>
          <w:p w14:paraId="63AA6B4D"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1BE36069"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64" w:type="dxa"/>
            <w:tcBorders>
              <w:top w:val="nil"/>
              <w:left w:val="nil"/>
              <w:bottom w:val="nil"/>
              <w:right w:val="nil"/>
            </w:tcBorders>
            <w:shd w:val="clear" w:color="000000" w:fill="FFFFFF"/>
            <w:noWrap/>
            <w:vAlign w:val="bottom"/>
            <w:hideMark/>
          </w:tcPr>
          <w:p w14:paraId="7CF6642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136CF500"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42" w:type="dxa"/>
            <w:tcBorders>
              <w:top w:val="nil"/>
              <w:left w:val="nil"/>
              <w:bottom w:val="nil"/>
              <w:right w:val="nil"/>
            </w:tcBorders>
            <w:shd w:val="clear" w:color="000000" w:fill="FFFFFF"/>
            <w:noWrap/>
            <w:vAlign w:val="bottom"/>
            <w:hideMark/>
          </w:tcPr>
          <w:p w14:paraId="55FFC9C1"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c>
          <w:tcPr>
            <w:tcW w:w="686" w:type="dxa"/>
            <w:gridSpan w:val="2"/>
            <w:tcBorders>
              <w:top w:val="nil"/>
              <w:left w:val="nil"/>
              <w:bottom w:val="nil"/>
              <w:right w:val="nil"/>
            </w:tcBorders>
            <w:shd w:val="clear" w:color="000000" w:fill="BFBFBF"/>
            <w:noWrap/>
            <w:vAlign w:val="bottom"/>
            <w:hideMark/>
          </w:tcPr>
          <w:p w14:paraId="50EBD943"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 </w:t>
            </w:r>
          </w:p>
        </w:tc>
      </w:tr>
      <w:tr w:rsidR="00441E8E" w:rsidRPr="00441E8E" w14:paraId="410AEDEA" w14:textId="77777777" w:rsidTr="00441E8E">
        <w:trPr>
          <w:trHeight w:val="300"/>
        </w:trPr>
        <w:tc>
          <w:tcPr>
            <w:tcW w:w="3060" w:type="dxa"/>
            <w:tcBorders>
              <w:top w:val="nil"/>
              <w:left w:val="nil"/>
              <w:bottom w:val="single" w:sz="4" w:space="0" w:color="00688D"/>
              <w:right w:val="nil"/>
            </w:tcBorders>
            <w:shd w:val="clear" w:color="000000" w:fill="FFFFFF"/>
            <w:noWrap/>
            <w:vAlign w:val="bottom"/>
            <w:hideMark/>
          </w:tcPr>
          <w:p w14:paraId="6A620B91" w14:textId="77777777" w:rsidR="00441E8E" w:rsidRPr="00441E8E" w:rsidRDefault="00441E8E" w:rsidP="00441E8E">
            <w:pPr>
              <w:ind w:firstLineChars="100" w:firstLine="210"/>
              <w:rPr>
                <w:rFonts w:ascii="Calibri" w:eastAsia="Times New Roman" w:hAnsi="Calibri" w:cs="Calibri"/>
                <w:color w:val="0D0D0D"/>
                <w:sz w:val="21"/>
                <w:szCs w:val="21"/>
              </w:rPr>
            </w:pPr>
            <w:r w:rsidRPr="00441E8E">
              <w:rPr>
                <w:rFonts w:ascii="Calibri" w:eastAsia="Times New Roman" w:hAnsi="Calibri" w:cs="Calibri"/>
                <w:color w:val="0D0D0D"/>
                <w:sz w:val="21"/>
                <w:szCs w:val="21"/>
              </w:rPr>
              <w:t xml:space="preserve">Interest </w:t>
            </w:r>
          </w:p>
        </w:tc>
        <w:tc>
          <w:tcPr>
            <w:tcW w:w="642" w:type="dxa"/>
            <w:tcBorders>
              <w:top w:val="nil"/>
              <w:left w:val="nil"/>
              <w:bottom w:val="single" w:sz="4" w:space="0" w:color="00688D"/>
              <w:right w:val="nil"/>
            </w:tcBorders>
            <w:shd w:val="clear" w:color="000000" w:fill="FFFFFF"/>
            <w:noWrap/>
            <w:vAlign w:val="bottom"/>
            <w:hideMark/>
          </w:tcPr>
          <w:p w14:paraId="4E62A919" w14:textId="3C001D53"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8</w:t>
            </w:r>
          </w:p>
        </w:tc>
        <w:tc>
          <w:tcPr>
            <w:tcW w:w="689" w:type="dxa"/>
            <w:gridSpan w:val="2"/>
            <w:tcBorders>
              <w:top w:val="nil"/>
              <w:left w:val="nil"/>
              <w:bottom w:val="single" w:sz="4" w:space="0" w:color="00688D"/>
              <w:right w:val="nil"/>
            </w:tcBorders>
            <w:shd w:val="clear" w:color="000000" w:fill="BFBFBF"/>
            <w:noWrap/>
            <w:vAlign w:val="bottom"/>
            <w:hideMark/>
          </w:tcPr>
          <w:p w14:paraId="39FDF262"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w:t>
            </w:r>
          </w:p>
        </w:tc>
        <w:tc>
          <w:tcPr>
            <w:tcW w:w="559" w:type="dxa"/>
            <w:tcBorders>
              <w:top w:val="nil"/>
              <w:left w:val="nil"/>
              <w:bottom w:val="single" w:sz="4" w:space="0" w:color="00688D"/>
              <w:right w:val="nil"/>
            </w:tcBorders>
            <w:shd w:val="clear" w:color="000000" w:fill="FFFFFF"/>
            <w:noWrap/>
            <w:vAlign w:val="bottom"/>
            <w:hideMark/>
          </w:tcPr>
          <w:p w14:paraId="5E486C52" w14:textId="481AB5D0"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4</w:t>
            </w:r>
          </w:p>
        </w:tc>
        <w:tc>
          <w:tcPr>
            <w:tcW w:w="689" w:type="dxa"/>
            <w:gridSpan w:val="2"/>
            <w:tcBorders>
              <w:top w:val="nil"/>
              <w:left w:val="nil"/>
              <w:bottom w:val="single" w:sz="4" w:space="0" w:color="00688D"/>
              <w:right w:val="nil"/>
            </w:tcBorders>
            <w:shd w:val="clear" w:color="000000" w:fill="BFBFBF"/>
            <w:noWrap/>
            <w:vAlign w:val="bottom"/>
            <w:hideMark/>
          </w:tcPr>
          <w:p w14:paraId="1B707403"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w:t>
            </w:r>
          </w:p>
        </w:tc>
        <w:tc>
          <w:tcPr>
            <w:tcW w:w="642" w:type="dxa"/>
            <w:tcBorders>
              <w:top w:val="nil"/>
              <w:left w:val="nil"/>
              <w:bottom w:val="single" w:sz="4" w:space="0" w:color="00688D"/>
              <w:right w:val="nil"/>
            </w:tcBorders>
            <w:shd w:val="clear" w:color="000000" w:fill="FFFFFF"/>
            <w:noWrap/>
            <w:vAlign w:val="bottom"/>
            <w:hideMark/>
          </w:tcPr>
          <w:p w14:paraId="441F51FC" w14:textId="23C5A8B2"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w:t>
            </w:r>
          </w:p>
        </w:tc>
        <w:tc>
          <w:tcPr>
            <w:tcW w:w="686" w:type="dxa"/>
            <w:gridSpan w:val="2"/>
            <w:tcBorders>
              <w:top w:val="nil"/>
              <w:left w:val="nil"/>
              <w:bottom w:val="nil"/>
              <w:right w:val="nil"/>
            </w:tcBorders>
            <w:shd w:val="clear" w:color="000000" w:fill="BFBFBF"/>
            <w:noWrap/>
            <w:vAlign w:val="bottom"/>
            <w:hideMark/>
          </w:tcPr>
          <w:p w14:paraId="0099018C"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w:t>
            </w:r>
          </w:p>
        </w:tc>
        <w:tc>
          <w:tcPr>
            <w:tcW w:w="664" w:type="dxa"/>
            <w:tcBorders>
              <w:top w:val="nil"/>
              <w:left w:val="nil"/>
              <w:bottom w:val="single" w:sz="4" w:space="0" w:color="00688D"/>
              <w:right w:val="nil"/>
            </w:tcBorders>
            <w:shd w:val="clear" w:color="000000" w:fill="FFFFFF"/>
            <w:noWrap/>
            <w:vAlign w:val="bottom"/>
            <w:hideMark/>
          </w:tcPr>
          <w:p w14:paraId="08DD18E7" w14:textId="74E4694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w:t>
            </w:r>
          </w:p>
        </w:tc>
        <w:tc>
          <w:tcPr>
            <w:tcW w:w="686" w:type="dxa"/>
            <w:gridSpan w:val="2"/>
            <w:tcBorders>
              <w:top w:val="nil"/>
              <w:left w:val="nil"/>
              <w:bottom w:val="single" w:sz="4" w:space="0" w:color="00688D"/>
              <w:right w:val="nil"/>
            </w:tcBorders>
            <w:shd w:val="clear" w:color="000000" w:fill="BFBFBF"/>
            <w:noWrap/>
            <w:vAlign w:val="bottom"/>
            <w:hideMark/>
          </w:tcPr>
          <w:p w14:paraId="2510FC82"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w:t>
            </w:r>
          </w:p>
        </w:tc>
        <w:tc>
          <w:tcPr>
            <w:tcW w:w="642" w:type="dxa"/>
            <w:tcBorders>
              <w:top w:val="nil"/>
              <w:left w:val="nil"/>
              <w:bottom w:val="single" w:sz="4" w:space="0" w:color="00688D"/>
              <w:right w:val="nil"/>
            </w:tcBorders>
            <w:shd w:val="clear" w:color="000000" w:fill="FFFFFF"/>
            <w:noWrap/>
            <w:vAlign w:val="bottom"/>
            <w:hideMark/>
          </w:tcPr>
          <w:p w14:paraId="17B3DB1D" w14:textId="17CEE908"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4</w:t>
            </w:r>
          </w:p>
        </w:tc>
        <w:tc>
          <w:tcPr>
            <w:tcW w:w="686" w:type="dxa"/>
            <w:gridSpan w:val="2"/>
            <w:tcBorders>
              <w:top w:val="nil"/>
              <w:left w:val="nil"/>
              <w:bottom w:val="single" w:sz="4" w:space="0" w:color="00688D"/>
              <w:right w:val="nil"/>
            </w:tcBorders>
            <w:shd w:val="clear" w:color="000000" w:fill="BFBFBF"/>
            <w:noWrap/>
            <w:vAlign w:val="bottom"/>
            <w:hideMark/>
          </w:tcPr>
          <w:p w14:paraId="69E99520"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w:t>
            </w:r>
          </w:p>
        </w:tc>
      </w:tr>
      <w:tr w:rsidR="00441E8E" w:rsidRPr="00441E8E" w14:paraId="5436D971" w14:textId="77777777" w:rsidTr="00441E8E">
        <w:trPr>
          <w:trHeight w:val="315"/>
        </w:trPr>
        <w:tc>
          <w:tcPr>
            <w:tcW w:w="3060" w:type="dxa"/>
            <w:tcBorders>
              <w:top w:val="nil"/>
              <w:left w:val="nil"/>
              <w:bottom w:val="double" w:sz="6" w:space="0" w:color="00688D"/>
              <w:right w:val="nil"/>
            </w:tcBorders>
            <w:shd w:val="clear" w:color="000000" w:fill="FFFFFF"/>
            <w:noWrap/>
            <w:vAlign w:val="bottom"/>
            <w:hideMark/>
          </w:tcPr>
          <w:p w14:paraId="5B5600C6" w14:textId="77777777" w:rsidR="00441E8E" w:rsidRPr="00441E8E" w:rsidRDefault="00441E8E" w:rsidP="00441E8E">
            <w:pPr>
              <w:ind w:firstLineChars="100" w:firstLine="211"/>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Total Expenses</w:t>
            </w:r>
          </w:p>
        </w:tc>
        <w:tc>
          <w:tcPr>
            <w:tcW w:w="642" w:type="dxa"/>
            <w:tcBorders>
              <w:top w:val="nil"/>
              <w:left w:val="nil"/>
              <w:bottom w:val="double" w:sz="6" w:space="0" w:color="00688D"/>
              <w:right w:val="nil"/>
            </w:tcBorders>
            <w:shd w:val="clear" w:color="000000" w:fill="FFFFFF"/>
            <w:noWrap/>
            <w:vAlign w:val="bottom"/>
            <w:hideMark/>
          </w:tcPr>
          <w:p w14:paraId="0D6892CF" w14:textId="157E53E1"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$818</w:t>
            </w:r>
          </w:p>
        </w:tc>
        <w:tc>
          <w:tcPr>
            <w:tcW w:w="689" w:type="dxa"/>
            <w:gridSpan w:val="2"/>
            <w:tcBorders>
              <w:top w:val="nil"/>
              <w:left w:val="nil"/>
              <w:bottom w:val="double" w:sz="6" w:space="0" w:color="00688D"/>
              <w:right w:val="nil"/>
            </w:tcBorders>
            <w:shd w:val="clear" w:color="000000" w:fill="BFBFBF"/>
            <w:noWrap/>
            <w:vAlign w:val="bottom"/>
            <w:hideMark/>
          </w:tcPr>
          <w:p w14:paraId="7FD4D1BB"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100%</w:t>
            </w:r>
          </w:p>
        </w:tc>
        <w:tc>
          <w:tcPr>
            <w:tcW w:w="559" w:type="dxa"/>
            <w:tcBorders>
              <w:top w:val="nil"/>
              <w:left w:val="nil"/>
              <w:bottom w:val="double" w:sz="6" w:space="0" w:color="00688D"/>
              <w:right w:val="nil"/>
            </w:tcBorders>
            <w:shd w:val="clear" w:color="000000" w:fill="FFFFFF"/>
            <w:noWrap/>
            <w:vAlign w:val="bottom"/>
            <w:hideMark/>
          </w:tcPr>
          <w:p w14:paraId="227EFE87" w14:textId="6A4B141C"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$815</w:t>
            </w:r>
          </w:p>
        </w:tc>
        <w:tc>
          <w:tcPr>
            <w:tcW w:w="689" w:type="dxa"/>
            <w:gridSpan w:val="2"/>
            <w:tcBorders>
              <w:top w:val="nil"/>
              <w:left w:val="nil"/>
              <w:bottom w:val="double" w:sz="6" w:space="0" w:color="00688D"/>
              <w:right w:val="nil"/>
            </w:tcBorders>
            <w:shd w:val="clear" w:color="000000" w:fill="BFBFBF"/>
            <w:noWrap/>
            <w:vAlign w:val="bottom"/>
            <w:hideMark/>
          </w:tcPr>
          <w:p w14:paraId="7CF743CD" w14:textId="77777777" w:rsidR="00441E8E" w:rsidRPr="00441E8E" w:rsidRDefault="00441E8E" w:rsidP="00441E8E">
            <w:pPr>
              <w:jc w:val="right"/>
              <w:rPr>
                <w:rFonts w:ascii="Calibri" w:eastAsia="Times New Roman" w:hAnsi="Calibri" w:cs="Calibri"/>
                <w:b/>
                <w:bCs/>
                <w:color w:val="0D0D0D"/>
                <w:sz w:val="21"/>
                <w:szCs w:val="21"/>
              </w:rPr>
            </w:pPr>
            <w:r w:rsidRPr="00441E8E">
              <w:rPr>
                <w:rFonts w:ascii="Calibri" w:eastAsia="Times New Roman" w:hAnsi="Calibri" w:cs="Calibri"/>
                <w:b/>
                <w:bCs/>
                <w:color w:val="0D0D0D"/>
                <w:sz w:val="21"/>
                <w:szCs w:val="21"/>
              </w:rPr>
              <w:t>100%</w:t>
            </w:r>
          </w:p>
        </w:tc>
        <w:tc>
          <w:tcPr>
            <w:tcW w:w="642" w:type="dxa"/>
            <w:tcBorders>
              <w:top w:val="nil"/>
              <w:left w:val="nil"/>
              <w:bottom w:val="double" w:sz="6" w:space="0" w:color="00688D"/>
              <w:right w:val="nil"/>
            </w:tcBorders>
            <w:shd w:val="clear" w:color="000000" w:fill="FFFFFF"/>
            <w:noWrap/>
            <w:vAlign w:val="bottom"/>
            <w:hideMark/>
          </w:tcPr>
          <w:p w14:paraId="34F1099B" w14:textId="22DF444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$684</w:t>
            </w:r>
          </w:p>
        </w:tc>
        <w:tc>
          <w:tcPr>
            <w:tcW w:w="686" w:type="dxa"/>
            <w:gridSpan w:val="2"/>
            <w:tcBorders>
              <w:top w:val="single" w:sz="4" w:space="0" w:color="00688D"/>
              <w:left w:val="nil"/>
              <w:bottom w:val="double" w:sz="6" w:space="0" w:color="00688D"/>
              <w:right w:val="nil"/>
            </w:tcBorders>
            <w:shd w:val="clear" w:color="000000" w:fill="BFBFBF"/>
            <w:noWrap/>
            <w:vAlign w:val="bottom"/>
            <w:hideMark/>
          </w:tcPr>
          <w:p w14:paraId="1E0A5C26"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100%</w:t>
            </w:r>
          </w:p>
        </w:tc>
        <w:tc>
          <w:tcPr>
            <w:tcW w:w="664" w:type="dxa"/>
            <w:tcBorders>
              <w:top w:val="nil"/>
              <w:left w:val="nil"/>
              <w:bottom w:val="double" w:sz="6" w:space="0" w:color="00688D"/>
              <w:right w:val="nil"/>
            </w:tcBorders>
            <w:shd w:val="clear" w:color="000000" w:fill="FFFFFF"/>
            <w:noWrap/>
            <w:vAlign w:val="bottom"/>
            <w:hideMark/>
          </w:tcPr>
          <w:p w14:paraId="0E7DD34F" w14:textId="7D300E7B"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$720</w:t>
            </w:r>
          </w:p>
        </w:tc>
        <w:tc>
          <w:tcPr>
            <w:tcW w:w="686" w:type="dxa"/>
            <w:gridSpan w:val="2"/>
            <w:tcBorders>
              <w:top w:val="nil"/>
              <w:left w:val="nil"/>
              <w:bottom w:val="double" w:sz="6" w:space="0" w:color="00688D"/>
              <w:right w:val="nil"/>
            </w:tcBorders>
            <w:shd w:val="clear" w:color="000000" w:fill="BFBFBF"/>
            <w:noWrap/>
            <w:vAlign w:val="bottom"/>
            <w:hideMark/>
          </w:tcPr>
          <w:p w14:paraId="0C202557"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100%</w:t>
            </w:r>
          </w:p>
        </w:tc>
        <w:tc>
          <w:tcPr>
            <w:tcW w:w="642" w:type="dxa"/>
            <w:tcBorders>
              <w:top w:val="nil"/>
              <w:left w:val="nil"/>
              <w:bottom w:val="double" w:sz="6" w:space="0" w:color="00688D"/>
              <w:right w:val="nil"/>
            </w:tcBorders>
            <w:shd w:val="clear" w:color="000000" w:fill="FFFFFF"/>
            <w:noWrap/>
            <w:vAlign w:val="bottom"/>
            <w:hideMark/>
          </w:tcPr>
          <w:p w14:paraId="48453174" w14:textId="77CEA202"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$728</w:t>
            </w:r>
          </w:p>
        </w:tc>
        <w:tc>
          <w:tcPr>
            <w:tcW w:w="686" w:type="dxa"/>
            <w:gridSpan w:val="2"/>
            <w:tcBorders>
              <w:top w:val="nil"/>
              <w:left w:val="nil"/>
              <w:bottom w:val="double" w:sz="6" w:space="0" w:color="00688D"/>
              <w:right w:val="nil"/>
            </w:tcBorders>
            <w:shd w:val="clear" w:color="000000" w:fill="BFBFBF"/>
            <w:noWrap/>
            <w:vAlign w:val="bottom"/>
            <w:hideMark/>
          </w:tcPr>
          <w:p w14:paraId="2187077C" w14:textId="77777777" w:rsidR="00441E8E" w:rsidRPr="00441E8E" w:rsidRDefault="00441E8E" w:rsidP="00441E8E">
            <w:pPr>
              <w:jc w:val="right"/>
              <w:rPr>
                <w:rFonts w:ascii="Calibri" w:eastAsia="Times New Roman" w:hAnsi="Calibri" w:cs="Calibri"/>
                <w:color w:val="0D0D0D"/>
                <w:sz w:val="21"/>
                <w:szCs w:val="21"/>
              </w:rPr>
            </w:pPr>
            <w:r w:rsidRPr="00441E8E">
              <w:rPr>
                <w:rFonts w:ascii="Calibri" w:eastAsia="Times New Roman" w:hAnsi="Calibri" w:cs="Calibri"/>
                <w:color w:val="0D0D0D"/>
                <w:sz w:val="21"/>
                <w:szCs w:val="21"/>
              </w:rPr>
              <w:t>100%</w:t>
            </w:r>
          </w:p>
        </w:tc>
      </w:tr>
    </w:tbl>
    <w:p w14:paraId="13654604" w14:textId="6B24FB85" w:rsidR="00A83362" w:rsidRDefault="00A83362" w:rsidP="00A83362">
      <w:pPr>
        <w:spacing w:after="240"/>
        <w:rPr>
          <w:rFonts w:eastAsia="Times New Roman" w:cstheme="minorHAnsi"/>
          <w:sz w:val="24"/>
        </w:rPr>
      </w:pPr>
    </w:p>
    <w:p w14:paraId="2F3BCABD" w14:textId="75F73512" w:rsidR="00A83362" w:rsidRDefault="00A83362" w:rsidP="00A83362">
      <w:pPr>
        <w:rPr>
          <w:rFonts w:eastAsia="Times New Roman" w:cstheme="minorHAnsi"/>
          <w:sz w:val="24"/>
          <w:szCs w:val="20"/>
        </w:rPr>
      </w:pPr>
      <w:r>
        <w:rPr>
          <w:rFonts w:eastAsia="Times New Roman" w:cstheme="minorHAnsi"/>
          <w:sz w:val="24"/>
          <w:szCs w:val="20"/>
        </w:rPr>
        <w:lastRenderedPageBreak/>
        <w:t>Compensation costs were $</w:t>
      </w:r>
      <w:r w:rsidRPr="00592A5E">
        <w:rPr>
          <w:rFonts w:eastAsia="Times New Roman" w:cstheme="minorHAnsi"/>
          <w:sz w:val="24"/>
          <w:szCs w:val="20"/>
        </w:rPr>
        <w:t>3</w:t>
      </w:r>
      <w:r>
        <w:rPr>
          <w:rFonts w:eastAsia="Times New Roman" w:cstheme="minorHAnsi"/>
          <w:sz w:val="24"/>
          <w:szCs w:val="20"/>
        </w:rPr>
        <w:t xml:space="preserve">79 million in FY23, </w:t>
      </w:r>
      <w:r w:rsidRPr="00592A5E">
        <w:rPr>
          <w:rFonts w:eastAsia="Times New Roman" w:cstheme="minorHAnsi"/>
          <w:sz w:val="24"/>
          <w:szCs w:val="20"/>
        </w:rPr>
        <w:t>up 4.7% from the FY22 total of $362 million while FY23 benefits totaled $14</w:t>
      </w:r>
      <w:r>
        <w:rPr>
          <w:rFonts w:eastAsia="Times New Roman" w:cstheme="minorHAnsi"/>
          <w:sz w:val="24"/>
          <w:szCs w:val="20"/>
        </w:rPr>
        <w:t>7</w:t>
      </w:r>
      <w:r w:rsidRPr="00592A5E">
        <w:rPr>
          <w:rFonts w:eastAsia="Times New Roman" w:cstheme="minorHAnsi"/>
          <w:sz w:val="24"/>
          <w:szCs w:val="20"/>
        </w:rPr>
        <w:t xml:space="preserve"> million, down </w:t>
      </w:r>
      <w:r>
        <w:rPr>
          <w:rFonts w:eastAsia="Times New Roman" w:cstheme="minorHAnsi"/>
          <w:sz w:val="24"/>
          <w:szCs w:val="20"/>
        </w:rPr>
        <w:t>$1 million</w:t>
      </w:r>
      <w:r w:rsidRPr="00592A5E">
        <w:rPr>
          <w:rFonts w:eastAsia="Times New Roman" w:cstheme="minorHAnsi"/>
          <w:sz w:val="24"/>
          <w:szCs w:val="20"/>
        </w:rPr>
        <w:t xml:space="preserve"> from the FY22 total of $148 million. </w:t>
      </w:r>
      <w:r>
        <w:rPr>
          <w:rFonts w:eastAsia="Times New Roman" w:cstheme="minorHAnsi"/>
          <w:sz w:val="24"/>
          <w:szCs w:val="20"/>
        </w:rPr>
        <w:t xml:space="preserve">Compensation costs for FY22 saw an increase of 7.7% over the FY21 total of $336 million and FY22 benefits were up 70% from the FY21 total of $87 million primarily related to </w:t>
      </w:r>
      <w:r w:rsidR="00BF0400">
        <w:rPr>
          <w:rFonts w:eastAsia="Times New Roman" w:cstheme="minorHAnsi"/>
          <w:sz w:val="24"/>
          <w:szCs w:val="20"/>
        </w:rPr>
        <w:t xml:space="preserve">one-time changes in FY21 </w:t>
      </w:r>
      <w:r w:rsidR="008932D4">
        <w:rPr>
          <w:rFonts w:eastAsia="Times New Roman" w:cstheme="minorHAnsi"/>
          <w:sz w:val="24"/>
          <w:szCs w:val="20"/>
        </w:rPr>
        <w:t>to</w:t>
      </w:r>
      <w:r>
        <w:rPr>
          <w:rFonts w:eastAsia="Times New Roman" w:cstheme="minorHAnsi"/>
          <w:sz w:val="24"/>
          <w:szCs w:val="20"/>
        </w:rPr>
        <w:t xml:space="preserve"> the System’s OPEB plan.</w:t>
      </w:r>
    </w:p>
    <w:p w14:paraId="23DD92D9" w14:textId="77777777" w:rsidR="00A83362" w:rsidRDefault="00A83362" w:rsidP="00A83362">
      <w:pPr>
        <w:pStyle w:val="AFR2"/>
        <w:pBdr>
          <w:bottom w:val="single" w:sz="8" w:space="2" w:color="00688D"/>
        </w:pBdr>
        <w:rPr>
          <w:rFonts w:cstheme="minorHAnsi"/>
        </w:rPr>
      </w:pPr>
      <w:r>
        <w:rPr>
          <w:rFonts w:cstheme="minorHAnsi"/>
        </w:rPr>
        <w:t>Statements of Cash Flows</w:t>
      </w:r>
    </w:p>
    <w:p w14:paraId="06574EAD" w14:textId="77777777" w:rsidR="00A83362" w:rsidRDefault="00A83362" w:rsidP="00A83362">
      <w:pPr>
        <w:tabs>
          <w:tab w:val="left" w:pos="540"/>
        </w:tabs>
        <w:rPr>
          <w:rFonts w:eastAsia="Times New Roman" w:cstheme="minorHAnsi"/>
          <w:sz w:val="24"/>
          <w:szCs w:val="20"/>
        </w:rPr>
      </w:pPr>
      <w:r>
        <w:rPr>
          <w:rFonts w:eastAsia="Times New Roman" w:cstheme="minorHAnsi"/>
          <w:sz w:val="24"/>
        </w:rPr>
        <w:t>The Statements of Cash Flows examines the changes in cash position for each year of operations. Its primary purpose is to provide relevant information about the cash receipts and cash payments of the System during the fiscal year. These statements help users assess the System’s ability to generate future cash flows, its ability to meet obligations as they become due, and its need for external financing.</w:t>
      </w:r>
      <w:r>
        <w:rPr>
          <w:rFonts w:eastAsia="Times New Roman" w:cstheme="minorHAnsi"/>
          <w:sz w:val="24"/>
          <w:szCs w:val="20"/>
        </w:rPr>
        <w:t xml:space="preserve"> </w:t>
      </w:r>
    </w:p>
    <w:p w14:paraId="5E71ED08" w14:textId="77777777" w:rsidR="00A83362" w:rsidRPr="00441FE1" w:rsidRDefault="00A83362" w:rsidP="00A83362">
      <w:pPr>
        <w:pStyle w:val="AFR2"/>
        <w:pBdr>
          <w:bottom w:val="single" w:sz="8" w:space="2" w:color="00688D"/>
        </w:pBdr>
        <w:rPr>
          <w:rFonts w:cstheme="minorHAnsi"/>
        </w:rPr>
      </w:pPr>
      <w:r w:rsidRPr="005E51F2">
        <w:rPr>
          <w:rFonts w:cstheme="minorHAnsi"/>
        </w:rPr>
        <w:t xml:space="preserve">Statements of Fiduciary </w:t>
      </w:r>
      <w:r>
        <w:rPr>
          <w:rFonts w:cstheme="minorHAnsi"/>
        </w:rPr>
        <w:t>N</w:t>
      </w:r>
      <w:r w:rsidRPr="005E51F2">
        <w:rPr>
          <w:rFonts w:cstheme="minorHAnsi"/>
        </w:rPr>
        <w:t>et Position</w:t>
      </w:r>
    </w:p>
    <w:p w14:paraId="539F2FDC" w14:textId="41725519" w:rsidR="00A83362" w:rsidRDefault="00A83362" w:rsidP="00A83362">
      <w:pPr>
        <w:tabs>
          <w:tab w:val="left" w:pos="540"/>
        </w:tabs>
        <w:rPr>
          <w:rFonts w:eastAsia="Times New Roman" w:cstheme="minorHAnsi"/>
          <w:sz w:val="24"/>
        </w:rPr>
      </w:pPr>
      <w:r>
        <w:rPr>
          <w:rFonts w:eastAsia="Times New Roman" w:cstheme="minorHAnsi"/>
          <w:sz w:val="24"/>
        </w:rPr>
        <w:t>The Statements of Fiduciary Net Position present assets that the System holds in a fiduciary or trustee capacity on behalf of various external entities and groups, including the following:</w:t>
      </w:r>
    </w:p>
    <w:p w14:paraId="5A378216" w14:textId="77777777" w:rsidR="00FA15C8" w:rsidRDefault="00FA15C8" w:rsidP="00A83362">
      <w:pPr>
        <w:tabs>
          <w:tab w:val="left" w:pos="540"/>
        </w:tabs>
        <w:rPr>
          <w:rFonts w:eastAsia="Times New Roman" w:cstheme="minorHAnsi"/>
          <w:sz w:val="24"/>
        </w:rPr>
      </w:pPr>
    </w:p>
    <w:p w14:paraId="1CFBF09A" w14:textId="77777777" w:rsidR="00A83362" w:rsidRPr="00C66742" w:rsidRDefault="00A83362" w:rsidP="00A83362">
      <w:pPr>
        <w:pStyle w:val="ListParagraph"/>
        <w:numPr>
          <w:ilvl w:val="0"/>
          <w:numId w:val="17"/>
        </w:numPr>
        <w:tabs>
          <w:tab w:val="left" w:pos="540"/>
        </w:tabs>
        <w:rPr>
          <w:rFonts w:asciiTheme="minorHAnsi" w:hAnsiTheme="minorHAnsi" w:cstheme="minorHAnsi"/>
          <w:szCs w:val="22"/>
        </w:rPr>
      </w:pPr>
      <w:r w:rsidRPr="00C66742">
        <w:rPr>
          <w:rFonts w:asciiTheme="minorHAnsi" w:hAnsiTheme="minorHAnsi" w:cstheme="minorHAnsi"/>
          <w:szCs w:val="22"/>
        </w:rPr>
        <w:t>UMS</w:t>
      </w:r>
      <w:r>
        <w:rPr>
          <w:rFonts w:asciiTheme="minorHAnsi" w:hAnsiTheme="minorHAnsi" w:cstheme="minorHAnsi"/>
          <w:szCs w:val="22"/>
        </w:rPr>
        <w:t xml:space="preserve"> </w:t>
      </w:r>
      <w:r>
        <w:rPr>
          <w:rFonts w:ascii="Calibri" w:hAnsi="Calibri" w:cs="Tahoma"/>
        </w:rPr>
        <w:t>OPEB Trust</w:t>
      </w:r>
    </w:p>
    <w:p w14:paraId="084A0A15" w14:textId="572CD78C" w:rsidR="00A83362" w:rsidRDefault="00A83362" w:rsidP="00A83362">
      <w:pPr>
        <w:pStyle w:val="ListParagraph"/>
        <w:numPr>
          <w:ilvl w:val="0"/>
          <w:numId w:val="17"/>
        </w:numPr>
        <w:tabs>
          <w:tab w:val="left" w:pos="540"/>
        </w:tabs>
        <w:rPr>
          <w:rFonts w:asciiTheme="minorHAnsi" w:hAnsiTheme="minorHAnsi" w:cstheme="minorHAnsi"/>
          <w:szCs w:val="22"/>
        </w:rPr>
      </w:pPr>
      <w:r>
        <w:rPr>
          <w:rFonts w:asciiTheme="minorHAnsi" w:hAnsiTheme="minorHAnsi" w:cstheme="minorHAnsi"/>
          <w:szCs w:val="22"/>
        </w:rPr>
        <w:t xml:space="preserve">UMS Defined Benefit </w:t>
      </w:r>
      <w:r w:rsidR="0023684D">
        <w:rPr>
          <w:rFonts w:asciiTheme="minorHAnsi" w:hAnsiTheme="minorHAnsi" w:cstheme="minorHAnsi"/>
          <w:szCs w:val="22"/>
        </w:rPr>
        <w:t xml:space="preserve">Pension </w:t>
      </w:r>
      <w:r>
        <w:rPr>
          <w:rFonts w:asciiTheme="minorHAnsi" w:hAnsiTheme="minorHAnsi" w:cstheme="minorHAnsi"/>
          <w:szCs w:val="22"/>
        </w:rPr>
        <w:t>plan</w:t>
      </w:r>
    </w:p>
    <w:p w14:paraId="1B717BB5" w14:textId="77777777" w:rsidR="00A83362" w:rsidRPr="00721CFD" w:rsidRDefault="00A83362" w:rsidP="00A83362">
      <w:pPr>
        <w:pStyle w:val="ListParagraph"/>
        <w:numPr>
          <w:ilvl w:val="0"/>
          <w:numId w:val="17"/>
        </w:numPr>
        <w:tabs>
          <w:tab w:val="left" w:pos="540"/>
        </w:tabs>
        <w:rPr>
          <w:rFonts w:asciiTheme="minorHAnsi" w:hAnsiTheme="minorHAnsi" w:cstheme="minorHAnsi"/>
          <w:szCs w:val="22"/>
        </w:rPr>
      </w:pPr>
      <w:r w:rsidRPr="00721CFD">
        <w:rPr>
          <w:rFonts w:ascii="Calibri" w:hAnsi="Calibri" w:cs="Tahoma"/>
        </w:rPr>
        <w:t>Maine Maritime Academy (</w:t>
      </w:r>
      <w:r>
        <w:rPr>
          <w:rFonts w:ascii="Calibri" w:hAnsi="Calibri" w:cs="Tahoma"/>
        </w:rPr>
        <w:t>withdrew</w:t>
      </w:r>
      <w:r w:rsidRPr="00721CFD">
        <w:rPr>
          <w:rFonts w:ascii="Calibri" w:hAnsi="Calibri" w:cs="Tahoma"/>
        </w:rPr>
        <w:t xml:space="preserve"> in spring 2022)</w:t>
      </w:r>
    </w:p>
    <w:p w14:paraId="6BA38B72" w14:textId="77777777" w:rsidR="00A83362" w:rsidRPr="00C66742" w:rsidRDefault="00A83362" w:rsidP="00A83362">
      <w:pPr>
        <w:pStyle w:val="ListParagraph"/>
        <w:numPr>
          <w:ilvl w:val="0"/>
          <w:numId w:val="17"/>
        </w:numPr>
        <w:tabs>
          <w:tab w:val="left" w:pos="540"/>
        </w:tabs>
        <w:rPr>
          <w:rFonts w:ascii="Calibri" w:hAnsi="Calibri" w:cs="Tahoma"/>
        </w:rPr>
      </w:pPr>
      <w:r>
        <w:rPr>
          <w:rFonts w:ascii="Calibri" w:hAnsi="Calibri" w:cs="Tahoma"/>
        </w:rPr>
        <w:t>University of Maine School of Law Foundation</w:t>
      </w:r>
    </w:p>
    <w:p w14:paraId="7C297332" w14:textId="77777777" w:rsidR="00A83362" w:rsidRPr="00C66742" w:rsidRDefault="00A83362" w:rsidP="00A83362">
      <w:pPr>
        <w:pStyle w:val="ListParagraph"/>
        <w:numPr>
          <w:ilvl w:val="0"/>
          <w:numId w:val="17"/>
        </w:numPr>
        <w:tabs>
          <w:tab w:val="left" w:pos="540"/>
        </w:tabs>
        <w:rPr>
          <w:rFonts w:ascii="Calibri" w:hAnsi="Calibri" w:cs="Tahoma"/>
        </w:rPr>
      </w:pPr>
      <w:r w:rsidRPr="00C66742">
        <w:rPr>
          <w:rFonts w:ascii="Calibri" w:hAnsi="Calibri" w:cs="Tahoma"/>
        </w:rPr>
        <w:t>University of Maine at Fort Kent Foundation</w:t>
      </w:r>
    </w:p>
    <w:p w14:paraId="5D353CD3" w14:textId="77777777" w:rsidR="00A83362" w:rsidRPr="00C66742" w:rsidRDefault="00A83362" w:rsidP="00A83362">
      <w:pPr>
        <w:pStyle w:val="ListParagraph"/>
        <w:numPr>
          <w:ilvl w:val="0"/>
          <w:numId w:val="17"/>
        </w:numPr>
        <w:tabs>
          <w:tab w:val="left" w:pos="540"/>
        </w:tabs>
        <w:rPr>
          <w:rFonts w:ascii="Calibri" w:hAnsi="Calibri" w:cs="Tahoma"/>
        </w:rPr>
      </w:pPr>
      <w:r w:rsidRPr="00C66742">
        <w:rPr>
          <w:rFonts w:ascii="Calibri" w:hAnsi="Calibri" w:cs="Tahoma"/>
        </w:rPr>
        <w:t>University of Southern Maine Foundation</w:t>
      </w:r>
    </w:p>
    <w:p w14:paraId="5E6B47A3" w14:textId="77777777" w:rsidR="00A83362" w:rsidRDefault="00A83362" w:rsidP="00A83362">
      <w:pPr>
        <w:pStyle w:val="ListParagraph"/>
        <w:numPr>
          <w:ilvl w:val="0"/>
          <w:numId w:val="17"/>
        </w:numPr>
        <w:tabs>
          <w:tab w:val="left" w:pos="540"/>
        </w:tabs>
        <w:rPr>
          <w:rFonts w:ascii="Calibri" w:hAnsi="Calibri" w:cs="Tahoma"/>
        </w:rPr>
      </w:pPr>
      <w:r w:rsidRPr="00C66742">
        <w:rPr>
          <w:rFonts w:ascii="Calibri" w:hAnsi="Calibri" w:cs="Tahoma"/>
        </w:rPr>
        <w:t>John L. Martin Scholarship Fund, Inc</w:t>
      </w:r>
      <w:r>
        <w:rPr>
          <w:rFonts w:ascii="Calibri" w:hAnsi="Calibri" w:cs="Tahoma"/>
        </w:rPr>
        <w:t>.</w:t>
      </w:r>
    </w:p>
    <w:p w14:paraId="54A82203" w14:textId="77777777" w:rsidR="00A83362" w:rsidRPr="00C66742" w:rsidRDefault="00A83362" w:rsidP="00A83362">
      <w:pPr>
        <w:pStyle w:val="ListParagraph"/>
        <w:numPr>
          <w:ilvl w:val="0"/>
          <w:numId w:val="17"/>
        </w:numPr>
        <w:tabs>
          <w:tab w:val="left" w:pos="540"/>
        </w:tabs>
        <w:rPr>
          <w:rFonts w:ascii="Calibri" w:hAnsi="Calibri" w:cs="Tahoma"/>
        </w:rPr>
      </w:pPr>
      <w:proofErr w:type="spellStart"/>
      <w:r>
        <w:rPr>
          <w:rFonts w:ascii="Calibri" w:hAnsi="Calibri" w:cs="Tahoma"/>
        </w:rPr>
        <w:t>USM</w:t>
      </w:r>
      <w:proofErr w:type="spellEnd"/>
      <w:r>
        <w:rPr>
          <w:rFonts w:ascii="Calibri" w:hAnsi="Calibri" w:cs="Tahoma"/>
        </w:rPr>
        <w:t xml:space="preserve"> Osher Map Library Foundation (withdrew in spring 2023)</w:t>
      </w:r>
    </w:p>
    <w:p w14:paraId="512DB936" w14:textId="77777777" w:rsidR="00A83362" w:rsidRPr="00C66742" w:rsidRDefault="00A83362" w:rsidP="00A83362">
      <w:pPr>
        <w:pStyle w:val="ListParagraph"/>
        <w:numPr>
          <w:ilvl w:val="0"/>
          <w:numId w:val="17"/>
        </w:numPr>
        <w:tabs>
          <w:tab w:val="left" w:pos="540"/>
        </w:tabs>
        <w:rPr>
          <w:rFonts w:ascii="Calibri" w:hAnsi="Calibri" w:cs="Tahoma"/>
        </w:rPr>
      </w:pPr>
      <w:r>
        <w:rPr>
          <w:rFonts w:ascii="Calibri" w:hAnsi="Calibri" w:cs="Tahoma"/>
        </w:rPr>
        <w:t>Student government groups</w:t>
      </w:r>
    </w:p>
    <w:p w14:paraId="62272A93" w14:textId="77777777" w:rsidR="00A83362" w:rsidRDefault="00A83362" w:rsidP="00A83362">
      <w:pPr>
        <w:tabs>
          <w:tab w:val="left" w:pos="540"/>
        </w:tabs>
        <w:rPr>
          <w:rFonts w:eastAsia="Times New Roman" w:cstheme="minorHAnsi"/>
          <w:sz w:val="24"/>
        </w:rPr>
      </w:pPr>
    </w:p>
    <w:p w14:paraId="13994111" w14:textId="77777777" w:rsidR="00A83362" w:rsidRDefault="00A83362" w:rsidP="00A83362">
      <w:pPr>
        <w:tabs>
          <w:tab w:val="left" w:pos="540"/>
        </w:tabs>
        <w:rPr>
          <w:rFonts w:cstheme="minorHAnsi"/>
          <w:sz w:val="24"/>
          <w:szCs w:val="24"/>
        </w:rPr>
      </w:pPr>
      <w:r w:rsidRPr="00C66742">
        <w:rPr>
          <w:rFonts w:cstheme="minorHAnsi"/>
          <w:sz w:val="24"/>
          <w:szCs w:val="24"/>
        </w:rPr>
        <w:t xml:space="preserve">As shown in the </w:t>
      </w:r>
      <w:r>
        <w:rPr>
          <w:rFonts w:cstheme="minorHAnsi"/>
          <w:sz w:val="24"/>
          <w:szCs w:val="24"/>
        </w:rPr>
        <w:t>Condensed Statements of Fiduciary Net Position in Table 8, the System holds a total of $235 million in assets on behalf of the above noted entities. The vast majority of these assets are in the form of pooled investments, representing investment in the System’s MIP, either directly or indirectly through the UMS Endowment Pool. See the discussion of the UMS’ Managed Investment Pool and Endowments on pages 20</w:t>
      </w:r>
      <w:r w:rsidRPr="006E44D1">
        <w:rPr>
          <w:rFonts w:cstheme="minorHAnsi"/>
          <w:sz w:val="24"/>
          <w:szCs w:val="24"/>
        </w:rPr>
        <w:t xml:space="preserve"> and </w:t>
      </w:r>
      <w:r>
        <w:rPr>
          <w:rFonts w:cstheme="minorHAnsi"/>
          <w:sz w:val="24"/>
          <w:szCs w:val="24"/>
        </w:rPr>
        <w:t xml:space="preserve">22, respectively for more information about these investments. </w:t>
      </w:r>
    </w:p>
    <w:p w14:paraId="7961DFB8" w14:textId="77777777" w:rsidR="00A83362" w:rsidRDefault="00A83362" w:rsidP="00A83362">
      <w:pPr>
        <w:tabs>
          <w:tab w:val="left" w:pos="540"/>
        </w:tabs>
        <w:rPr>
          <w:rFonts w:cstheme="minorHAnsi"/>
          <w:sz w:val="24"/>
          <w:szCs w:val="24"/>
        </w:rPr>
      </w:pPr>
    </w:p>
    <w:p w14:paraId="3AD09F0A" w14:textId="77777777" w:rsidR="00A83362" w:rsidRDefault="00A83362" w:rsidP="00A83362">
      <w:pPr>
        <w:tabs>
          <w:tab w:val="left" w:pos="540"/>
        </w:tabs>
        <w:rPr>
          <w:rFonts w:cstheme="minorHAnsi"/>
          <w:sz w:val="24"/>
          <w:szCs w:val="24"/>
        </w:rPr>
      </w:pPr>
      <w:r>
        <w:rPr>
          <w:rFonts w:cstheme="minorHAnsi"/>
          <w:sz w:val="24"/>
          <w:szCs w:val="24"/>
        </w:rPr>
        <w:t>The Statements of Fiduciary Net Position also present liabilities and net position associated with the assets held on behalf of the external entities.</w:t>
      </w:r>
    </w:p>
    <w:p w14:paraId="70720C96" w14:textId="77777777" w:rsidR="00A83362" w:rsidRDefault="00A83362" w:rsidP="00A83362">
      <w:pPr>
        <w:tabs>
          <w:tab w:val="left" w:pos="540"/>
        </w:tabs>
        <w:rPr>
          <w:rFonts w:cstheme="minorHAnsi"/>
          <w:sz w:val="24"/>
          <w:szCs w:val="24"/>
        </w:rPr>
      </w:pPr>
    </w:p>
    <w:p w14:paraId="6259BB0B" w14:textId="77777777" w:rsidR="00A83362" w:rsidRDefault="00A83362" w:rsidP="00A83362">
      <w:pPr>
        <w:tabs>
          <w:tab w:val="left" w:pos="540"/>
        </w:tabs>
        <w:jc w:val="center"/>
        <w:rPr>
          <w:rFonts w:cstheme="minorHAnsi"/>
          <w:b/>
          <w:bCs/>
          <w:sz w:val="28"/>
          <w:szCs w:val="28"/>
        </w:rPr>
      </w:pPr>
      <w:r>
        <w:rPr>
          <w:rFonts w:cstheme="minorHAnsi"/>
          <w:b/>
          <w:bCs/>
          <w:sz w:val="28"/>
          <w:szCs w:val="28"/>
        </w:rPr>
        <w:br w:type="page"/>
      </w:r>
    </w:p>
    <w:p w14:paraId="27698C35" w14:textId="77777777" w:rsidR="00A83362" w:rsidRPr="00721CFD" w:rsidRDefault="00A83362" w:rsidP="00A83362">
      <w:pPr>
        <w:tabs>
          <w:tab w:val="left" w:pos="540"/>
        </w:tabs>
        <w:jc w:val="center"/>
        <w:rPr>
          <w:rFonts w:cstheme="minorHAnsi"/>
          <w:b/>
          <w:bCs/>
          <w:sz w:val="28"/>
          <w:szCs w:val="28"/>
        </w:rPr>
      </w:pPr>
      <w:r w:rsidRPr="00721CFD">
        <w:rPr>
          <w:rFonts w:cstheme="minorHAnsi"/>
          <w:b/>
          <w:bCs/>
          <w:sz w:val="28"/>
          <w:szCs w:val="28"/>
        </w:rPr>
        <w:lastRenderedPageBreak/>
        <w:t>Table 8: Condensed Statements of Fiduciary Net Position as of June 30</w:t>
      </w:r>
    </w:p>
    <w:p w14:paraId="1734A6B9" w14:textId="77777777" w:rsidR="00A83362" w:rsidRPr="00721CFD" w:rsidRDefault="00A83362" w:rsidP="00A83362">
      <w:pPr>
        <w:tabs>
          <w:tab w:val="left" w:pos="540"/>
        </w:tabs>
        <w:jc w:val="center"/>
        <w:rPr>
          <w:rFonts w:cstheme="minorHAnsi"/>
          <w:b/>
          <w:bCs/>
        </w:rPr>
      </w:pPr>
      <w:r w:rsidRPr="00721CFD">
        <w:rPr>
          <w:rFonts w:cstheme="minorHAnsi"/>
          <w:b/>
          <w:bCs/>
        </w:rPr>
        <w:t>(In millions)</w:t>
      </w:r>
    </w:p>
    <w:p w14:paraId="59ECB609" w14:textId="77777777" w:rsidR="00A83362" w:rsidRPr="0025499B" w:rsidRDefault="00A83362" w:rsidP="00A83362">
      <w:pPr>
        <w:pStyle w:val="AFR2"/>
        <w:pBdr>
          <w:bottom w:val="none" w:sz="0" w:space="0" w:color="auto"/>
        </w:pBdr>
        <w:spacing w:before="0" w:after="0"/>
        <w:jc w:val="center"/>
        <w:rPr>
          <w:rFonts w:cstheme="minorHAnsi"/>
          <w:b w:val="0"/>
          <w:i w:val="0"/>
          <w:sz w:val="20"/>
        </w:rPr>
      </w:pPr>
    </w:p>
    <w:tbl>
      <w:tblPr>
        <w:tblW w:w="9514" w:type="dxa"/>
        <w:tblLook w:val="04A0" w:firstRow="1" w:lastRow="0" w:firstColumn="1" w:lastColumn="0" w:noHBand="0" w:noVBand="1"/>
      </w:tblPr>
      <w:tblGrid>
        <w:gridCol w:w="3934"/>
        <w:gridCol w:w="784"/>
        <w:gridCol w:w="893"/>
        <w:gridCol w:w="727"/>
        <w:gridCol w:w="893"/>
        <w:gridCol w:w="663"/>
        <w:gridCol w:w="893"/>
        <w:gridCol w:w="727"/>
      </w:tblGrid>
      <w:tr w:rsidR="00A83362" w:rsidRPr="0025499B" w14:paraId="761C9E76" w14:textId="77777777" w:rsidTr="0070537E">
        <w:trPr>
          <w:trHeight w:val="585"/>
        </w:trPr>
        <w:tc>
          <w:tcPr>
            <w:tcW w:w="3934" w:type="dxa"/>
            <w:tcBorders>
              <w:top w:val="nil"/>
              <w:left w:val="nil"/>
              <w:bottom w:val="single" w:sz="12" w:space="0" w:color="00688D"/>
              <w:right w:val="nil"/>
            </w:tcBorders>
            <w:shd w:val="clear" w:color="000000" w:fill="FFFFFF"/>
            <w:noWrap/>
            <w:vAlign w:val="bottom"/>
            <w:hideMark/>
          </w:tcPr>
          <w:p w14:paraId="69106543" w14:textId="77777777" w:rsidR="00A83362" w:rsidRPr="0025499B" w:rsidRDefault="00A83362" w:rsidP="0070537E">
            <w:pPr>
              <w:rPr>
                <w:rFonts w:ascii="Calibri" w:eastAsia="Times New Roman" w:hAnsi="Calibri" w:cs="Calibri"/>
                <w:b/>
                <w:bCs/>
              </w:rPr>
            </w:pPr>
            <w:r w:rsidRPr="0025499B">
              <w:rPr>
                <w:rFonts w:ascii="Calibri" w:eastAsia="Times New Roman" w:hAnsi="Calibri" w:cs="Calibri"/>
                <w:b/>
                <w:bCs/>
              </w:rPr>
              <w:t> </w:t>
            </w:r>
          </w:p>
        </w:tc>
        <w:tc>
          <w:tcPr>
            <w:tcW w:w="784" w:type="dxa"/>
            <w:tcBorders>
              <w:top w:val="nil"/>
              <w:left w:val="nil"/>
              <w:bottom w:val="single" w:sz="12" w:space="0" w:color="00688D"/>
              <w:right w:val="nil"/>
            </w:tcBorders>
            <w:shd w:val="clear" w:color="000000" w:fill="FFFFFF"/>
            <w:vAlign w:val="bottom"/>
          </w:tcPr>
          <w:p w14:paraId="3509AE0E" w14:textId="77777777" w:rsidR="00A83362" w:rsidRPr="0025499B" w:rsidRDefault="00A83362" w:rsidP="0070537E">
            <w:pPr>
              <w:jc w:val="center"/>
              <w:rPr>
                <w:rFonts w:ascii="Calibri" w:eastAsia="Times New Roman" w:hAnsi="Calibri" w:cs="Calibri"/>
                <w:b/>
                <w:bCs/>
              </w:rPr>
            </w:pPr>
            <w:r>
              <w:rPr>
                <w:rFonts w:ascii="Calibri" w:eastAsia="Times New Roman" w:hAnsi="Calibri" w:cs="Calibri"/>
                <w:b/>
                <w:bCs/>
              </w:rPr>
              <w:t>2023</w:t>
            </w:r>
          </w:p>
        </w:tc>
        <w:tc>
          <w:tcPr>
            <w:tcW w:w="893" w:type="dxa"/>
            <w:tcBorders>
              <w:top w:val="nil"/>
              <w:left w:val="nil"/>
              <w:bottom w:val="single" w:sz="12" w:space="0" w:color="00688D"/>
              <w:right w:val="nil"/>
            </w:tcBorders>
            <w:shd w:val="clear" w:color="000000" w:fill="FFFFFF"/>
            <w:vAlign w:val="bottom"/>
          </w:tcPr>
          <w:p w14:paraId="4F672C72"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 Change</w:t>
            </w:r>
          </w:p>
        </w:tc>
        <w:tc>
          <w:tcPr>
            <w:tcW w:w="727" w:type="dxa"/>
            <w:tcBorders>
              <w:top w:val="nil"/>
              <w:left w:val="nil"/>
              <w:bottom w:val="single" w:sz="12" w:space="0" w:color="00688D"/>
              <w:right w:val="nil"/>
            </w:tcBorders>
            <w:shd w:val="clear" w:color="000000" w:fill="FFFFFF"/>
            <w:vAlign w:val="bottom"/>
            <w:hideMark/>
          </w:tcPr>
          <w:p w14:paraId="4420F7B1"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2022</w:t>
            </w:r>
          </w:p>
        </w:tc>
        <w:tc>
          <w:tcPr>
            <w:tcW w:w="893" w:type="dxa"/>
            <w:tcBorders>
              <w:top w:val="nil"/>
              <w:left w:val="nil"/>
              <w:bottom w:val="single" w:sz="12" w:space="0" w:color="00688D"/>
              <w:right w:val="nil"/>
            </w:tcBorders>
            <w:shd w:val="clear" w:color="000000" w:fill="FFFFFF"/>
            <w:vAlign w:val="bottom"/>
            <w:hideMark/>
          </w:tcPr>
          <w:p w14:paraId="3FCB18D1"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 Change</w:t>
            </w:r>
          </w:p>
        </w:tc>
        <w:tc>
          <w:tcPr>
            <w:tcW w:w="663" w:type="dxa"/>
            <w:tcBorders>
              <w:top w:val="nil"/>
              <w:left w:val="nil"/>
              <w:bottom w:val="single" w:sz="12" w:space="0" w:color="00688D"/>
              <w:right w:val="nil"/>
            </w:tcBorders>
            <w:shd w:val="clear" w:color="000000" w:fill="FFFFFF"/>
            <w:vAlign w:val="bottom"/>
            <w:hideMark/>
          </w:tcPr>
          <w:p w14:paraId="6D83E9C2"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2021</w:t>
            </w:r>
          </w:p>
        </w:tc>
        <w:tc>
          <w:tcPr>
            <w:tcW w:w="893" w:type="dxa"/>
            <w:tcBorders>
              <w:top w:val="nil"/>
              <w:left w:val="nil"/>
              <w:bottom w:val="single" w:sz="12" w:space="0" w:color="00688D"/>
              <w:right w:val="nil"/>
            </w:tcBorders>
            <w:shd w:val="clear" w:color="000000" w:fill="FFFFFF"/>
            <w:vAlign w:val="bottom"/>
            <w:hideMark/>
          </w:tcPr>
          <w:p w14:paraId="78AB9D87"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 Change</w:t>
            </w:r>
          </w:p>
        </w:tc>
        <w:tc>
          <w:tcPr>
            <w:tcW w:w="727" w:type="dxa"/>
            <w:tcBorders>
              <w:top w:val="nil"/>
              <w:left w:val="nil"/>
              <w:bottom w:val="single" w:sz="12" w:space="0" w:color="00688D"/>
              <w:right w:val="nil"/>
            </w:tcBorders>
            <w:shd w:val="clear" w:color="000000" w:fill="FFFFFF"/>
            <w:vAlign w:val="bottom"/>
            <w:hideMark/>
          </w:tcPr>
          <w:p w14:paraId="6AC72D2A" w14:textId="77777777" w:rsidR="00A83362" w:rsidRPr="0025499B" w:rsidRDefault="00A83362" w:rsidP="0070537E">
            <w:pPr>
              <w:jc w:val="center"/>
              <w:rPr>
                <w:rFonts w:ascii="Calibri" w:eastAsia="Times New Roman" w:hAnsi="Calibri" w:cs="Calibri"/>
                <w:b/>
                <w:bCs/>
              </w:rPr>
            </w:pPr>
            <w:r w:rsidRPr="0025499B">
              <w:rPr>
                <w:rFonts w:ascii="Calibri" w:eastAsia="Times New Roman" w:hAnsi="Calibri" w:cs="Calibri"/>
                <w:b/>
                <w:bCs/>
              </w:rPr>
              <w:t>2020</w:t>
            </w:r>
          </w:p>
        </w:tc>
      </w:tr>
      <w:tr w:rsidR="00A83362" w:rsidRPr="00A50F70" w14:paraId="32AB4E01" w14:textId="77777777" w:rsidTr="0070537E">
        <w:trPr>
          <w:trHeight w:val="300"/>
        </w:trPr>
        <w:tc>
          <w:tcPr>
            <w:tcW w:w="3934" w:type="dxa"/>
            <w:tcBorders>
              <w:top w:val="nil"/>
              <w:left w:val="nil"/>
              <w:bottom w:val="nil"/>
              <w:right w:val="nil"/>
            </w:tcBorders>
            <w:shd w:val="clear" w:color="000000" w:fill="FFFFFF"/>
            <w:noWrap/>
            <w:vAlign w:val="bottom"/>
            <w:hideMark/>
          </w:tcPr>
          <w:p w14:paraId="42F81EF6"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Cash and cash equivalents</w:t>
            </w:r>
          </w:p>
        </w:tc>
        <w:tc>
          <w:tcPr>
            <w:tcW w:w="784" w:type="dxa"/>
            <w:tcBorders>
              <w:top w:val="nil"/>
              <w:left w:val="nil"/>
              <w:bottom w:val="nil"/>
              <w:right w:val="nil"/>
            </w:tcBorders>
            <w:shd w:val="clear" w:color="000000" w:fill="FFFFFF"/>
            <w:vAlign w:val="bottom"/>
          </w:tcPr>
          <w:p w14:paraId="43C89437" w14:textId="77777777" w:rsidR="00A83362" w:rsidRPr="00A50F70" w:rsidRDefault="00A83362" w:rsidP="0070537E">
            <w:pPr>
              <w:jc w:val="right"/>
              <w:rPr>
                <w:rFonts w:ascii="Calibri" w:eastAsia="Times New Roman" w:hAnsi="Calibri" w:cs="Calibri"/>
                <w:b/>
                <w:bCs/>
              </w:rPr>
            </w:pPr>
            <w:r>
              <w:rPr>
                <w:rFonts w:ascii="Calibri" w:hAnsi="Calibri" w:cs="Calibri"/>
                <w:b/>
                <w:bCs/>
              </w:rPr>
              <w:t>$     3</w:t>
            </w:r>
          </w:p>
        </w:tc>
        <w:tc>
          <w:tcPr>
            <w:tcW w:w="893" w:type="dxa"/>
            <w:tcBorders>
              <w:top w:val="nil"/>
              <w:left w:val="nil"/>
              <w:bottom w:val="nil"/>
              <w:right w:val="nil"/>
            </w:tcBorders>
            <w:shd w:val="clear" w:color="000000" w:fill="BFBFBF"/>
            <w:vAlign w:val="bottom"/>
          </w:tcPr>
          <w:p w14:paraId="00EADB73" w14:textId="77777777" w:rsidR="00A83362" w:rsidRPr="00A50F70" w:rsidRDefault="00A83362" w:rsidP="0070537E">
            <w:pPr>
              <w:jc w:val="right"/>
              <w:rPr>
                <w:rFonts w:ascii="Calibri" w:eastAsia="Times New Roman" w:hAnsi="Calibri" w:cs="Calibri"/>
                <w:b/>
                <w:bCs/>
              </w:rPr>
            </w:pPr>
            <w:r>
              <w:rPr>
                <w:rFonts w:ascii="Calibri" w:hAnsi="Calibri" w:cs="Calibri"/>
                <w:b/>
                <w:bCs/>
              </w:rPr>
              <w:t>50%</w:t>
            </w:r>
          </w:p>
        </w:tc>
        <w:tc>
          <w:tcPr>
            <w:tcW w:w="727" w:type="dxa"/>
            <w:tcBorders>
              <w:top w:val="nil"/>
              <w:left w:val="nil"/>
              <w:bottom w:val="nil"/>
              <w:right w:val="nil"/>
            </w:tcBorders>
            <w:shd w:val="clear" w:color="000000" w:fill="FFFFFF"/>
            <w:noWrap/>
            <w:vAlign w:val="bottom"/>
            <w:hideMark/>
          </w:tcPr>
          <w:p w14:paraId="4CF1799B"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     2</w:t>
            </w:r>
          </w:p>
        </w:tc>
        <w:tc>
          <w:tcPr>
            <w:tcW w:w="893" w:type="dxa"/>
            <w:tcBorders>
              <w:top w:val="nil"/>
              <w:left w:val="nil"/>
              <w:bottom w:val="nil"/>
              <w:right w:val="nil"/>
            </w:tcBorders>
            <w:shd w:val="clear" w:color="000000" w:fill="BFBFBF"/>
            <w:noWrap/>
            <w:vAlign w:val="bottom"/>
            <w:hideMark/>
          </w:tcPr>
          <w:p w14:paraId="66D31D4D"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0%</w:t>
            </w:r>
          </w:p>
        </w:tc>
        <w:tc>
          <w:tcPr>
            <w:tcW w:w="663" w:type="dxa"/>
            <w:tcBorders>
              <w:top w:val="nil"/>
              <w:left w:val="nil"/>
              <w:bottom w:val="nil"/>
              <w:right w:val="nil"/>
            </w:tcBorders>
            <w:shd w:val="clear" w:color="000000" w:fill="FFFFFF"/>
            <w:noWrap/>
            <w:vAlign w:val="bottom"/>
            <w:hideMark/>
          </w:tcPr>
          <w:p w14:paraId="4C181127"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    2</w:t>
            </w:r>
          </w:p>
        </w:tc>
        <w:tc>
          <w:tcPr>
            <w:tcW w:w="893" w:type="dxa"/>
            <w:tcBorders>
              <w:top w:val="nil"/>
              <w:left w:val="nil"/>
              <w:bottom w:val="nil"/>
              <w:right w:val="nil"/>
            </w:tcBorders>
            <w:shd w:val="clear" w:color="000000" w:fill="BFBFBF"/>
            <w:noWrap/>
            <w:vAlign w:val="bottom"/>
            <w:hideMark/>
          </w:tcPr>
          <w:p w14:paraId="5256DA83"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0%</w:t>
            </w:r>
          </w:p>
        </w:tc>
        <w:tc>
          <w:tcPr>
            <w:tcW w:w="727" w:type="dxa"/>
            <w:tcBorders>
              <w:top w:val="nil"/>
              <w:left w:val="nil"/>
              <w:bottom w:val="nil"/>
              <w:right w:val="nil"/>
            </w:tcBorders>
            <w:shd w:val="clear" w:color="000000" w:fill="FFFFFF"/>
            <w:noWrap/>
            <w:vAlign w:val="bottom"/>
            <w:hideMark/>
          </w:tcPr>
          <w:p w14:paraId="6909A928"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    2</w:t>
            </w:r>
          </w:p>
        </w:tc>
      </w:tr>
      <w:tr w:rsidR="00A83362" w:rsidRPr="00A50F70" w14:paraId="75CCB4C7" w14:textId="77777777" w:rsidTr="0070537E">
        <w:trPr>
          <w:trHeight w:val="288"/>
        </w:trPr>
        <w:tc>
          <w:tcPr>
            <w:tcW w:w="3934" w:type="dxa"/>
            <w:tcBorders>
              <w:top w:val="nil"/>
              <w:left w:val="nil"/>
              <w:bottom w:val="nil"/>
              <w:right w:val="nil"/>
            </w:tcBorders>
            <w:shd w:val="clear" w:color="000000" w:fill="FFFFFF"/>
            <w:noWrap/>
            <w:vAlign w:val="bottom"/>
            <w:hideMark/>
          </w:tcPr>
          <w:p w14:paraId="70DC5A78"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Investments - pooled</w:t>
            </w:r>
          </w:p>
        </w:tc>
        <w:tc>
          <w:tcPr>
            <w:tcW w:w="784" w:type="dxa"/>
            <w:tcBorders>
              <w:top w:val="nil"/>
              <w:left w:val="nil"/>
              <w:bottom w:val="nil"/>
              <w:right w:val="nil"/>
            </w:tcBorders>
            <w:shd w:val="clear" w:color="000000" w:fill="FFFFFF"/>
            <w:vAlign w:val="bottom"/>
          </w:tcPr>
          <w:p w14:paraId="5087B331" w14:textId="77777777" w:rsidR="00A83362" w:rsidRPr="00A50F70" w:rsidRDefault="00A83362" w:rsidP="0070537E">
            <w:pPr>
              <w:jc w:val="right"/>
              <w:rPr>
                <w:rFonts w:ascii="Calibri" w:eastAsia="Times New Roman" w:hAnsi="Calibri" w:cs="Calibri"/>
                <w:b/>
                <w:bCs/>
              </w:rPr>
            </w:pPr>
            <w:r>
              <w:rPr>
                <w:rFonts w:ascii="Calibri" w:hAnsi="Calibri" w:cs="Calibri"/>
                <w:b/>
                <w:bCs/>
              </w:rPr>
              <w:t>213</w:t>
            </w:r>
          </w:p>
        </w:tc>
        <w:tc>
          <w:tcPr>
            <w:tcW w:w="893" w:type="dxa"/>
            <w:tcBorders>
              <w:top w:val="nil"/>
              <w:left w:val="nil"/>
              <w:bottom w:val="nil"/>
              <w:right w:val="nil"/>
            </w:tcBorders>
            <w:shd w:val="clear" w:color="000000" w:fill="BFBFBF"/>
            <w:vAlign w:val="bottom"/>
          </w:tcPr>
          <w:p w14:paraId="00F2338D" w14:textId="77777777" w:rsidR="00A83362" w:rsidRPr="00A50F70" w:rsidRDefault="00A83362" w:rsidP="0070537E">
            <w:pPr>
              <w:jc w:val="right"/>
              <w:rPr>
                <w:rFonts w:ascii="Calibri" w:eastAsia="Times New Roman" w:hAnsi="Calibri" w:cs="Calibri"/>
                <w:b/>
                <w:bCs/>
              </w:rPr>
            </w:pPr>
            <w:r>
              <w:rPr>
                <w:rFonts w:ascii="Calibri" w:hAnsi="Calibri" w:cs="Calibri"/>
                <w:b/>
                <w:bCs/>
              </w:rPr>
              <w:t>8%</w:t>
            </w:r>
          </w:p>
        </w:tc>
        <w:tc>
          <w:tcPr>
            <w:tcW w:w="727" w:type="dxa"/>
            <w:tcBorders>
              <w:top w:val="nil"/>
              <w:left w:val="nil"/>
              <w:bottom w:val="nil"/>
              <w:right w:val="nil"/>
            </w:tcBorders>
            <w:shd w:val="clear" w:color="000000" w:fill="FFFFFF"/>
            <w:noWrap/>
            <w:vAlign w:val="bottom"/>
            <w:hideMark/>
          </w:tcPr>
          <w:p w14:paraId="66B0460B"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197</w:t>
            </w:r>
          </w:p>
        </w:tc>
        <w:tc>
          <w:tcPr>
            <w:tcW w:w="893" w:type="dxa"/>
            <w:tcBorders>
              <w:top w:val="nil"/>
              <w:left w:val="nil"/>
              <w:bottom w:val="nil"/>
              <w:right w:val="nil"/>
            </w:tcBorders>
            <w:shd w:val="clear" w:color="000000" w:fill="BFBFBF"/>
            <w:noWrap/>
            <w:vAlign w:val="bottom"/>
            <w:hideMark/>
          </w:tcPr>
          <w:p w14:paraId="137BF914"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-30%</w:t>
            </w:r>
          </w:p>
        </w:tc>
        <w:tc>
          <w:tcPr>
            <w:tcW w:w="663" w:type="dxa"/>
            <w:tcBorders>
              <w:top w:val="nil"/>
              <w:left w:val="nil"/>
              <w:bottom w:val="nil"/>
              <w:right w:val="nil"/>
            </w:tcBorders>
            <w:shd w:val="clear" w:color="000000" w:fill="FFFFFF"/>
            <w:noWrap/>
            <w:vAlign w:val="bottom"/>
            <w:hideMark/>
          </w:tcPr>
          <w:p w14:paraId="160F347B"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283</w:t>
            </w:r>
          </w:p>
        </w:tc>
        <w:tc>
          <w:tcPr>
            <w:tcW w:w="893" w:type="dxa"/>
            <w:tcBorders>
              <w:top w:val="nil"/>
              <w:left w:val="nil"/>
              <w:bottom w:val="nil"/>
              <w:right w:val="nil"/>
            </w:tcBorders>
            <w:shd w:val="clear" w:color="000000" w:fill="BFBFBF"/>
            <w:noWrap/>
            <w:vAlign w:val="bottom"/>
            <w:hideMark/>
          </w:tcPr>
          <w:p w14:paraId="605D1FB5"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30%</w:t>
            </w:r>
          </w:p>
        </w:tc>
        <w:tc>
          <w:tcPr>
            <w:tcW w:w="727" w:type="dxa"/>
            <w:tcBorders>
              <w:top w:val="nil"/>
              <w:left w:val="nil"/>
              <w:bottom w:val="nil"/>
              <w:right w:val="nil"/>
            </w:tcBorders>
            <w:shd w:val="clear" w:color="000000" w:fill="FFFFFF"/>
            <w:noWrap/>
            <w:vAlign w:val="bottom"/>
            <w:hideMark/>
          </w:tcPr>
          <w:p w14:paraId="6F965877"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218</w:t>
            </w:r>
          </w:p>
        </w:tc>
      </w:tr>
      <w:tr w:rsidR="00A83362" w:rsidRPr="00A50F70" w14:paraId="516D3C0F" w14:textId="77777777" w:rsidTr="0070537E">
        <w:trPr>
          <w:trHeight w:val="288"/>
        </w:trPr>
        <w:tc>
          <w:tcPr>
            <w:tcW w:w="3934" w:type="dxa"/>
            <w:tcBorders>
              <w:top w:val="nil"/>
              <w:left w:val="nil"/>
              <w:bottom w:val="single" w:sz="4" w:space="0" w:color="00688D"/>
              <w:right w:val="nil"/>
            </w:tcBorders>
            <w:shd w:val="clear" w:color="000000" w:fill="FFFFFF"/>
            <w:noWrap/>
            <w:vAlign w:val="bottom"/>
            <w:hideMark/>
          </w:tcPr>
          <w:p w14:paraId="494037B2"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Investments - other</w:t>
            </w:r>
          </w:p>
        </w:tc>
        <w:tc>
          <w:tcPr>
            <w:tcW w:w="784" w:type="dxa"/>
            <w:tcBorders>
              <w:top w:val="nil"/>
              <w:left w:val="nil"/>
              <w:bottom w:val="single" w:sz="4" w:space="0" w:color="00688D"/>
              <w:right w:val="nil"/>
            </w:tcBorders>
            <w:shd w:val="clear" w:color="000000" w:fill="FFFFFF"/>
            <w:vAlign w:val="bottom"/>
          </w:tcPr>
          <w:p w14:paraId="3FA575D1" w14:textId="77777777" w:rsidR="00A83362" w:rsidRPr="00A50F70" w:rsidRDefault="00A83362" w:rsidP="0070537E">
            <w:pPr>
              <w:jc w:val="right"/>
              <w:rPr>
                <w:rFonts w:ascii="Calibri" w:eastAsia="Times New Roman" w:hAnsi="Calibri" w:cs="Calibri"/>
                <w:b/>
                <w:bCs/>
              </w:rPr>
            </w:pPr>
            <w:r>
              <w:rPr>
                <w:rFonts w:ascii="Calibri" w:hAnsi="Calibri" w:cs="Calibri"/>
                <w:b/>
                <w:bCs/>
              </w:rPr>
              <w:t>19</w:t>
            </w:r>
          </w:p>
        </w:tc>
        <w:tc>
          <w:tcPr>
            <w:tcW w:w="893" w:type="dxa"/>
            <w:tcBorders>
              <w:top w:val="nil"/>
              <w:left w:val="nil"/>
              <w:bottom w:val="nil"/>
              <w:right w:val="nil"/>
            </w:tcBorders>
            <w:shd w:val="clear" w:color="000000" w:fill="BFBFBF"/>
            <w:vAlign w:val="bottom"/>
          </w:tcPr>
          <w:p w14:paraId="49A597B6" w14:textId="77777777" w:rsidR="00A83362" w:rsidRPr="00A50F70" w:rsidRDefault="00A83362" w:rsidP="0070537E">
            <w:pPr>
              <w:jc w:val="right"/>
              <w:rPr>
                <w:rFonts w:ascii="Calibri" w:eastAsia="Times New Roman" w:hAnsi="Calibri" w:cs="Calibri"/>
                <w:b/>
                <w:bCs/>
              </w:rPr>
            </w:pPr>
            <w:r>
              <w:rPr>
                <w:rFonts w:ascii="Calibri" w:hAnsi="Calibri" w:cs="Calibri"/>
                <w:b/>
                <w:bCs/>
              </w:rPr>
              <w:t>-10%</w:t>
            </w:r>
          </w:p>
        </w:tc>
        <w:tc>
          <w:tcPr>
            <w:tcW w:w="727" w:type="dxa"/>
            <w:tcBorders>
              <w:top w:val="nil"/>
              <w:left w:val="nil"/>
              <w:bottom w:val="single" w:sz="4" w:space="0" w:color="00688D"/>
              <w:right w:val="nil"/>
            </w:tcBorders>
            <w:shd w:val="clear" w:color="000000" w:fill="FFFFFF"/>
            <w:noWrap/>
            <w:vAlign w:val="bottom"/>
            <w:hideMark/>
          </w:tcPr>
          <w:p w14:paraId="70B9F136"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w:t>
            </w:r>
            <w:r>
              <w:rPr>
                <w:rFonts w:ascii="Calibri" w:eastAsia="Times New Roman" w:hAnsi="Calibri" w:cs="Calibri"/>
                <w:b/>
                <w:bCs/>
              </w:rPr>
              <w:t>1</w:t>
            </w:r>
          </w:p>
        </w:tc>
        <w:tc>
          <w:tcPr>
            <w:tcW w:w="893" w:type="dxa"/>
            <w:tcBorders>
              <w:top w:val="nil"/>
              <w:left w:val="nil"/>
              <w:bottom w:val="nil"/>
              <w:right w:val="nil"/>
            </w:tcBorders>
            <w:shd w:val="clear" w:color="000000" w:fill="BFBFBF"/>
            <w:noWrap/>
            <w:vAlign w:val="bottom"/>
            <w:hideMark/>
          </w:tcPr>
          <w:p w14:paraId="2867AB7D"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-16%</w:t>
            </w:r>
          </w:p>
        </w:tc>
        <w:tc>
          <w:tcPr>
            <w:tcW w:w="663" w:type="dxa"/>
            <w:tcBorders>
              <w:top w:val="nil"/>
              <w:left w:val="nil"/>
              <w:bottom w:val="single" w:sz="4" w:space="0" w:color="00688D"/>
              <w:right w:val="nil"/>
            </w:tcBorders>
            <w:shd w:val="clear" w:color="000000" w:fill="FFFFFF"/>
            <w:noWrap/>
            <w:vAlign w:val="bottom"/>
            <w:hideMark/>
          </w:tcPr>
          <w:p w14:paraId="2C2AB274"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25</w:t>
            </w:r>
          </w:p>
        </w:tc>
        <w:tc>
          <w:tcPr>
            <w:tcW w:w="893" w:type="dxa"/>
            <w:tcBorders>
              <w:top w:val="nil"/>
              <w:left w:val="nil"/>
              <w:bottom w:val="nil"/>
              <w:right w:val="nil"/>
            </w:tcBorders>
            <w:shd w:val="clear" w:color="000000" w:fill="BFBFBF"/>
            <w:noWrap/>
            <w:vAlign w:val="bottom"/>
            <w:hideMark/>
          </w:tcPr>
          <w:p w14:paraId="7D0CD006"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0%</w:t>
            </w:r>
          </w:p>
        </w:tc>
        <w:tc>
          <w:tcPr>
            <w:tcW w:w="727" w:type="dxa"/>
            <w:tcBorders>
              <w:top w:val="nil"/>
              <w:left w:val="nil"/>
              <w:bottom w:val="single" w:sz="4" w:space="0" w:color="00688D"/>
              <w:right w:val="nil"/>
            </w:tcBorders>
            <w:shd w:val="clear" w:color="000000" w:fill="FFFFFF"/>
            <w:noWrap/>
            <w:vAlign w:val="bottom"/>
            <w:hideMark/>
          </w:tcPr>
          <w:p w14:paraId="6F9565BF"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25</w:t>
            </w:r>
          </w:p>
        </w:tc>
      </w:tr>
      <w:tr w:rsidR="00A83362" w:rsidRPr="00A50F70" w14:paraId="163161F2" w14:textId="77777777" w:rsidTr="0070537E">
        <w:trPr>
          <w:trHeight w:val="288"/>
        </w:trPr>
        <w:tc>
          <w:tcPr>
            <w:tcW w:w="3934" w:type="dxa"/>
            <w:tcBorders>
              <w:top w:val="nil"/>
              <w:left w:val="nil"/>
              <w:bottom w:val="single" w:sz="4" w:space="0" w:color="00688D"/>
              <w:right w:val="nil"/>
            </w:tcBorders>
            <w:shd w:val="clear" w:color="000000" w:fill="FFFFFF"/>
            <w:noWrap/>
            <w:vAlign w:val="bottom"/>
            <w:hideMark/>
          </w:tcPr>
          <w:p w14:paraId="66A5E609" w14:textId="77777777" w:rsidR="00A83362" w:rsidRPr="00A50F70" w:rsidRDefault="00A83362" w:rsidP="0070537E">
            <w:pPr>
              <w:rPr>
                <w:rFonts w:ascii="Calibri" w:eastAsia="Times New Roman" w:hAnsi="Calibri" w:cs="Calibri"/>
                <w:b/>
                <w:bCs/>
              </w:rPr>
            </w:pPr>
            <w:r w:rsidRPr="00A50F70">
              <w:rPr>
                <w:rFonts w:ascii="Calibri" w:eastAsia="Times New Roman" w:hAnsi="Calibri" w:cs="Calibri"/>
                <w:b/>
                <w:bCs/>
              </w:rPr>
              <w:t>Total Assets</w:t>
            </w:r>
          </w:p>
        </w:tc>
        <w:tc>
          <w:tcPr>
            <w:tcW w:w="784" w:type="dxa"/>
            <w:tcBorders>
              <w:top w:val="nil"/>
              <w:left w:val="nil"/>
              <w:bottom w:val="single" w:sz="4" w:space="0" w:color="00688D"/>
              <w:right w:val="nil"/>
            </w:tcBorders>
            <w:shd w:val="clear" w:color="000000" w:fill="FFFFFF"/>
            <w:vAlign w:val="bottom"/>
          </w:tcPr>
          <w:p w14:paraId="0576D844" w14:textId="77777777" w:rsidR="00A83362" w:rsidRPr="00A50F70" w:rsidRDefault="00A83362" w:rsidP="0070537E">
            <w:pPr>
              <w:jc w:val="right"/>
              <w:rPr>
                <w:rFonts w:ascii="Calibri" w:eastAsia="Times New Roman" w:hAnsi="Calibri" w:cs="Calibri"/>
                <w:b/>
                <w:bCs/>
              </w:rPr>
            </w:pPr>
            <w:r>
              <w:rPr>
                <w:rFonts w:ascii="Calibri" w:hAnsi="Calibri" w:cs="Calibri"/>
                <w:b/>
                <w:bCs/>
              </w:rPr>
              <w:t>235</w:t>
            </w:r>
          </w:p>
        </w:tc>
        <w:tc>
          <w:tcPr>
            <w:tcW w:w="893" w:type="dxa"/>
            <w:tcBorders>
              <w:top w:val="nil"/>
              <w:left w:val="nil"/>
              <w:bottom w:val="nil"/>
              <w:right w:val="nil"/>
            </w:tcBorders>
            <w:shd w:val="clear" w:color="000000" w:fill="BFBFBF"/>
            <w:vAlign w:val="bottom"/>
          </w:tcPr>
          <w:p w14:paraId="3B5358E2" w14:textId="77777777" w:rsidR="00A83362" w:rsidRPr="00A50F70" w:rsidRDefault="00A83362" w:rsidP="0070537E">
            <w:pPr>
              <w:jc w:val="right"/>
              <w:rPr>
                <w:rFonts w:ascii="Calibri" w:eastAsia="Times New Roman" w:hAnsi="Calibri" w:cs="Calibri"/>
                <w:b/>
                <w:bCs/>
              </w:rPr>
            </w:pPr>
            <w:r>
              <w:rPr>
                <w:rFonts w:ascii="Calibri" w:hAnsi="Calibri" w:cs="Calibri"/>
                <w:b/>
                <w:bCs/>
              </w:rPr>
              <w:t>7%</w:t>
            </w:r>
          </w:p>
        </w:tc>
        <w:tc>
          <w:tcPr>
            <w:tcW w:w="727" w:type="dxa"/>
            <w:tcBorders>
              <w:top w:val="nil"/>
              <w:left w:val="nil"/>
              <w:bottom w:val="single" w:sz="4" w:space="0" w:color="00688D"/>
              <w:right w:val="nil"/>
            </w:tcBorders>
            <w:shd w:val="clear" w:color="000000" w:fill="FFFFFF"/>
            <w:noWrap/>
            <w:vAlign w:val="bottom"/>
            <w:hideMark/>
          </w:tcPr>
          <w:p w14:paraId="0785A814"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220</w:t>
            </w:r>
          </w:p>
        </w:tc>
        <w:tc>
          <w:tcPr>
            <w:tcW w:w="893" w:type="dxa"/>
            <w:tcBorders>
              <w:top w:val="nil"/>
              <w:left w:val="nil"/>
              <w:bottom w:val="nil"/>
              <w:right w:val="nil"/>
            </w:tcBorders>
            <w:shd w:val="clear" w:color="000000" w:fill="BFBFBF"/>
            <w:noWrap/>
            <w:vAlign w:val="bottom"/>
            <w:hideMark/>
          </w:tcPr>
          <w:p w14:paraId="2D8DAFCE"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-29%</w:t>
            </w:r>
          </w:p>
        </w:tc>
        <w:tc>
          <w:tcPr>
            <w:tcW w:w="663" w:type="dxa"/>
            <w:tcBorders>
              <w:top w:val="nil"/>
              <w:left w:val="nil"/>
              <w:bottom w:val="single" w:sz="4" w:space="0" w:color="00688D"/>
              <w:right w:val="nil"/>
            </w:tcBorders>
            <w:shd w:val="clear" w:color="000000" w:fill="FFFFFF"/>
            <w:noWrap/>
            <w:vAlign w:val="bottom"/>
            <w:hideMark/>
          </w:tcPr>
          <w:p w14:paraId="2F9E2F94"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310</w:t>
            </w:r>
          </w:p>
        </w:tc>
        <w:tc>
          <w:tcPr>
            <w:tcW w:w="893" w:type="dxa"/>
            <w:tcBorders>
              <w:top w:val="nil"/>
              <w:left w:val="nil"/>
              <w:bottom w:val="nil"/>
              <w:right w:val="nil"/>
            </w:tcBorders>
            <w:shd w:val="clear" w:color="000000" w:fill="BFBFBF"/>
            <w:noWrap/>
            <w:vAlign w:val="bottom"/>
            <w:hideMark/>
          </w:tcPr>
          <w:p w14:paraId="62940E04"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27%</w:t>
            </w:r>
          </w:p>
        </w:tc>
        <w:tc>
          <w:tcPr>
            <w:tcW w:w="727" w:type="dxa"/>
            <w:tcBorders>
              <w:top w:val="nil"/>
              <w:left w:val="nil"/>
              <w:bottom w:val="single" w:sz="4" w:space="0" w:color="00688D"/>
              <w:right w:val="nil"/>
            </w:tcBorders>
            <w:shd w:val="clear" w:color="000000" w:fill="FFFFFF"/>
            <w:noWrap/>
            <w:vAlign w:val="bottom"/>
            <w:hideMark/>
          </w:tcPr>
          <w:p w14:paraId="64EA93B5"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24</w:t>
            </w:r>
            <w:r>
              <w:rPr>
                <w:rFonts w:ascii="Calibri" w:eastAsia="Times New Roman" w:hAnsi="Calibri" w:cs="Calibri"/>
              </w:rPr>
              <w:t>5</w:t>
            </w:r>
          </w:p>
        </w:tc>
      </w:tr>
      <w:tr w:rsidR="00A83362" w:rsidRPr="00A50F70" w14:paraId="2B0FE0D3" w14:textId="77777777" w:rsidTr="0070537E">
        <w:trPr>
          <w:trHeight w:val="288"/>
        </w:trPr>
        <w:tc>
          <w:tcPr>
            <w:tcW w:w="3934" w:type="dxa"/>
            <w:tcBorders>
              <w:top w:val="nil"/>
              <w:left w:val="nil"/>
              <w:bottom w:val="nil"/>
              <w:right w:val="nil"/>
            </w:tcBorders>
            <w:shd w:val="clear" w:color="000000" w:fill="FFFFFF"/>
            <w:noWrap/>
            <w:vAlign w:val="bottom"/>
            <w:hideMark/>
          </w:tcPr>
          <w:p w14:paraId="7F87368F" w14:textId="77777777" w:rsidR="00A83362" w:rsidRPr="00A50F70" w:rsidRDefault="00A83362" w:rsidP="0070537E">
            <w:pPr>
              <w:rPr>
                <w:rFonts w:ascii="Calibri" w:eastAsia="Times New Roman" w:hAnsi="Calibri" w:cs="Calibri"/>
                <w:b/>
                <w:bCs/>
              </w:rPr>
            </w:pPr>
            <w:r w:rsidRPr="00A50F70">
              <w:rPr>
                <w:rFonts w:ascii="Calibri" w:eastAsia="Times New Roman" w:hAnsi="Calibri" w:cs="Calibri"/>
                <w:b/>
                <w:bCs/>
              </w:rPr>
              <w:t> </w:t>
            </w:r>
          </w:p>
        </w:tc>
        <w:tc>
          <w:tcPr>
            <w:tcW w:w="784" w:type="dxa"/>
            <w:tcBorders>
              <w:top w:val="nil"/>
              <w:left w:val="nil"/>
              <w:bottom w:val="nil"/>
              <w:right w:val="nil"/>
            </w:tcBorders>
            <w:shd w:val="clear" w:color="000000" w:fill="FFFFFF"/>
            <w:vAlign w:val="bottom"/>
          </w:tcPr>
          <w:p w14:paraId="01450E41" w14:textId="77777777" w:rsidR="00A83362" w:rsidRPr="00A50F70" w:rsidRDefault="00A83362" w:rsidP="0070537E">
            <w:pPr>
              <w:jc w:val="right"/>
              <w:rPr>
                <w:rFonts w:ascii="Calibri" w:eastAsia="Times New Roman" w:hAnsi="Calibri" w:cs="Calibri"/>
                <w:b/>
                <w:bCs/>
              </w:rPr>
            </w:pPr>
            <w:r>
              <w:rPr>
                <w:rFonts w:ascii="Calibri" w:hAnsi="Calibri" w:cs="Calibri"/>
                <w:b/>
                <w:bCs/>
              </w:rPr>
              <w:t> </w:t>
            </w:r>
          </w:p>
        </w:tc>
        <w:tc>
          <w:tcPr>
            <w:tcW w:w="893" w:type="dxa"/>
            <w:tcBorders>
              <w:top w:val="nil"/>
              <w:left w:val="nil"/>
              <w:bottom w:val="nil"/>
              <w:right w:val="nil"/>
            </w:tcBorders>
            <w:shd w:val="clear" w:color="000000" w:fill="BFBFBF"/>
            <w:vAlign w:val="bottom"/>
          </w:tcPr>
          <w:p w14:paraId="5140824B" w14:textId="77777777" w:rsidR="00A83362" w:rsidRPr="00A50F70" w:rsidRDefault="00A83362" w:rsidP="0070537E">
            <w:pPr>
              <w:jc w:val="right"/>
              <w:rPr>
                <w:rFonts w:ascii="Calibri" w:eastAsia="Times New Roman" w:hAnsi="Calibri" w:cs="Calibri"/>
                <w:b/>
                <w:bCs/>
              </w:rPr>
            </w:pPr>
            <w:r>
              <w:rPr>
                <w:rFonts w:ascii="Calibri" w:hAnsi="Calibri" w:cs="Calibri"/>
                <w:b/>
                <w:bCs/>
              </w:rPr>
              <w:t> </w:t>
            </w:r>
          </w:p>
        </w:tc>
        <w:tc>
          <w:tcPr>
            <w:tcW w:w="727" w:type="dxa"/>
            <w:tcBorders>
              <w:top w:val="nil"/>
              <w:left w:val="nil"/>
              <w:bottom w:val="nil"/>
              <w:right w:val="nil"/>
            </w:tcBorders>
            <w:shd w:val="clear" w:color="000000" w:fill="FFFFFF"/>
            <w:noWrap/>
            <w:vAlign w:val="bottom"/>
            <w:hideMark/>
          </w:tcPr>
          <w:p w14:paraId="32D3574E"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 </w:t>
            </w:r>
          </w:p>
        </w:tc>
        <w:tc>
          <w:tcPr>
            <w:tcW w:w="893" w:type="dxa"/>
            <w:tcBorders>
              <w:top w:val="nil"/>
              <w:left w:val="nil"/>
              <w:bottom w:val="nil"/>
              <w:right w:val="nil"/>
            </w:tcBorders>
            <w:shd w:val="clear" w:color="000000" w:fill="BFBFBF"/>
            <w:noWrap/>
            <w:vAlign w:val="bottom"/>
            <w:hideMark/>
          </w:tcPr>
          <w:p w14:paraId="70C92B64"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 </w:t>
            </w:r>
          </w:p>
        </w:tc>
        <w:tc>
          <w:tcPr>
            <w:tcW w:w="663" w:type="dxa"/>
            <w:tcBorders>
              <w:top w:val="nil"/>
              <w:left w:val="nil"/>
              <w:bottom w:val="nil"/>
              <w:right w:val="nil"/>
            </w:tcBorders>
            <w:shd w:val="clear" w:color="000000" w:fill="FFFFFF"/>
            <w:noWrap/>
            <w:vAlign w:val="bottom"/>
            <w:hideMark/>
          </w:tcPr>
          <w:p w14:paraId="70929648"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 </w:t>
            </w:r>
          </w:p>
        </w:tc>
        <w:tc>
          <w:tcPr>
            <w:tcW w:w="893" w:type="dxa"/>
            <w:tcBorders>
              <w:top w:val="nil"/>
              <w:left w:val="nil"/>
              <w:bottom w:val="nil"/>
              <w:right w:val="nil"/>
            </w:tcBorders>
            <w:shd w:val="clear" w:color="000000" w:fill="BFBFBF"/>
            <w:noWrap/>
            <w:vAlign w:val="bottom"/>
            <w:hideMark/>
          </w:tcPr>
          <w:p w14:paraId="429C4B35"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 </w:t>
            </w:r>
          </w:p>
        </w:tc>
        <w:tc>
          <w:tcPr>
            <w:tcW w:w="727" w:type="dxa"/>
            <w:tcBorders>
              <w:top w:val="nil"/>
              <w:left w:val="nil"/>
              <w:bottom w:val="nil"/>
              <w:right w:val="nil"/>
            </w:tcBorders>
            <w:shd w:val="clear" w:color="000000" w:fill="FFFFFF"/>
            <w:noWrap/>
            <w:vAlign w:val="bottom"/>
            <w:hideMark/>
          </w:tcPr>
          <w:p w14:paraId="00FDFE42"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 </w:t>
            </w:r>
          </w:p>
        </w:tc>
      </w:tr>
      <w:tr w:rsidR="00A83362" w:rsidRPr="00A50F70" w14:paraId="43129902" w14:textId="77777777" w:rsidTr="0070537E">
        <w:trPr>
          <w:trHeight w:val="288"/>
        </w:trPr>
        <w:tc>
          <w:tcPr>
            <w:tcW w:w="3934" w:type="dxa"/>
            <w:tcBorders>
              <w:top w:val="nil"/>
              <w:left w:val="nil"/>
              <w:bottom w:val="single" w:sz="4" w:space="0" w:color="00688D"/>
              <w:right w:val="nil"/>
            </w:tcBorders>
            <w:shd w:val="clear" w:color="000000" w:fill="FFFFFF"/>
            <w:noWrap/>
            <w:vAlign w:val="bottom"/>
            <w:hideMark/>
          </w:tcPr>
          <w:p w14:paraId="1B30D6FF" w14:textId="77777777" w:rsidR="00A83362" w:rsidRPr="00A50F70" w:rsidRDefault="00A83362" w:rsidP="0070537E">
            <w:pPr>
              <w:rPr>
                <w:rFonts w:ascii="Calibri" w:eastAsia="Times New Roman" w:hAnsi="Calibri" w:cs="Calibri"/>
                <w:b/>
                <w:bCs/>
              </w:rPr>
            </w:pPr>
            <w:r w:rsidRPr="00A50F70">
              <w:rPr>
                <w:rFonts w:ascii="Calibri" w:eastAsia="Times New Roman" w:hAnsi="Calibri" w:cs="Calibri"/>
                <w:b/>
                <w:bCs/>
              </w:rPr>
              <w:t>Total Liabilities</w:t>
            </w:r>
          </w:p>
        </w:tc>
        <w:tc>
          <w:tcPr>
            <w:tcW w:w="784" w:type="dxa"/>
            <w:tcBorders>
              <w:top w:val="nil"/>
              <w:left w:val="nil"/>
              <w:bottom w:val="single" w:sz="4" w:space="0" w:color="00688D"/>
              <w:right w:val="nil"/>
            </w:tcBorders>
            <w:shd w:val="clear" w:color="000000" w:fill="FFFFFF"/>
            <w:vAlign w:val="bottom"/>
          </w:tcPr>
          <w:p w14:paraId="3BB4B989" w14:textId="77777777" w:rsidR="00A83362" w:rsidRPr="00A50F70" w:rsidRDefault="00A83362" w:rsidP="0070537E">
            <w:pPr>
              <w:jc w:val="right"/>
              <w:rPr>
                <w:rFonts w:ascii="Calibri" w:eastAsia="Times New Roman" w:hAnsi="Calibri" w:cs="Calibri"/>
                <w:b/>
                <w:bCs/>
              </w:rPr>
            </w:pPr>
            <w:r>
              <w:rPr>
                <w:rFonts w:ascii="Calibri" w:hAnsi="Calibri" w:cs="Calibri"/>
                <w:b/>
                <w:bCs/>
              </w:rPr>
              <w:t>-</w:t>
            </w:r>
          </w:p>
        </w:tc>
        <w:tc>
          <w:tcPr>
            <w:tcW w:w="893" w:type="dxa"/>
            <w:tcBorders>
              <w:top w:val="nil"/>
              <w:left w:val="nil"/>
              <w:bottom w:val="nil"/>
              <w:right w:val="nil"/>
            </w:tcBorders>
            <w:shd w:val="clear" w:color="000000" w:fill="BFBFBF"/>
            <w:vAlign w:val="bottom"/>
          </w:tcPr>
          <w:p w14:paraId="1F3E8424" w14:textId="77777777" w:rsidR="00A83362" w:rsidRPr="00A50F70" w:rsidRDefault="00A83362" w:rsidP="0070537E">
            <w:pPr>
              <w:jc w:val="right"/>
              <w:rPr>
                <w:rFonts w:ascii="Calibri" w:eastAsia="Times New Roman" w:hAnsi="Calibri" w:cs="Calibri"/>
                <w:b/>
                <w:bCs/>
              </w:rPr>
            </w:pPr>
            <w:r>
              <w:rPr>
                <w:rFonts w:ascii="Calibri" w:hAnsi="Calibri" w:cs="Calibri"/>
                <w:b/>
                <w:bCs/>
              </w:rPr>
              <w:t>0%</w:t>
            </w:r>
          </w:p>
        </w:tc>
        <w:tc>
          <w:tcPr>
            <w:tcW w:w="727" w:type="dxa"/>
            <w:tcBorders>
              <w:top w:val="nil"/>
              <w:left w:val="nil"/>
              <w:bottom w:val="single" w:sz="4" w:space="0" w:color="00688D"/>
              <w:right w:val="nil"/>
            </w:tcBorders>
            <w:shd w:val="clear" w:color="000000" w:fill="FFFFFF"/>
            <w:noWrap/>
            <w:vAlign w:val="bottom"/>
            <w:hideMark/>
          </w:tcPr>
          <w:p w14:paraId="3C602043"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w:t>
            </w:r>
          </w:p>
        </w:tc>
        <w:tc>
          <w:tcPr>
            <w:tcW w:w="893" w:type="dxa"/>
            <w:tcBorders>
              <w:top w:val="nil"/>
              <w:left w:val="nil"/>
              <w:bottom w:val="nil"/>
              <w:right w:val="nil"/>
            </w:tcBorders>
            <w:shd w:val="clear" w:color="000000" w:fill="BFBFBF"/>
            <w:noWrap/>
            <w:vAlign w:val="bottom"/>
            <w:hideMark/>
          </w:tcPr>
          <w:p w14:paraId="4EC2733F"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0%</w:t>
            </w:r>
          </w:p>
        </w:tc>
        <w:tc>
          <w:tcPr>
            <w:tcW w:w="663" w:type="dxa"/>
            <w:tcBorders>
              <w:top w:val="nil"/>
              <w:left w:val="nil"/>
              <w:bottom w:val="single" w:sz="4" w:space="0" w:color="00688D"/>
              <w:right w:val="nil"/>
            </w:tcBorders>
            <w:shd w:val="clear" w:color="000000" w:fill="FFFFFF"/>
            <w:noWrap/>
            <w:vAlign w:val="bottom"/>
            <w:hideMark/>
          </w:tcPr>
          <w:p w14:paraId="14CC079D"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w:t>
            </w:r>
          </w:p>
        </w:tc>
        <w:tc>
          <w:tcPr>
            <w:tcW w:w="893" w:type="dxa"/>
            <w:tcBorders>
              <w:top w:val="nil"/>
              <w:left w:val="nil"/>
              <w:bottom w:val="nil"/>
              <w:right w:val="nil"/>
            </w:tcBorders>
            <w:shd w:val="clear" w:color="000000" w:fill="BFBFBF"/>
            <w:noWrap/>
            <w:vAlign w:val="bottom"/>
            <w:hideMark/>
          </w:tcPr>
          <w:p w14:paraId="724CCFB3"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0%</w:t>
            </w:r>
          </w:p>
        </w:tc>
        <w:tc>
          <w:tcPr>
            <w:tcW w:w="727" w:type="dxa"/>
            <w:tcBorders>
              <w:top w:val="nil"/>
              <w:left w:val="nil"/>
              <w:bottom w:val="single" w:sz="4" w:space="0" w:color="00688D"/>
              <w:right w:val="nil"/>
            </w:tcBorders>
            <w:shd w:val="clear" w:color="000000" w:fill="FFFFFF"/>
            <w:noWrap/>
            <w:vAlign w:val="bottom"/>
            <w:hideMark/>
          </w:tcPr>
          <w:p w14:paraId="07C8F2AD"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w:t>
            </w:r>
          </w:p>
        </w:tc>
      </w:tr>
      <w:tr w:rsidR="00A83362" w:rsidRPr="00A50F70" w14:paraId="0F66B476" w14:textId="77777777" w:rsidTr="0070537E">
        <w:trPr>
          <w:trHeight w:val="420"/>
        </w:trPr>
        <w:tc>
          <w:tcPr>
            <w:tcW w:w="3934" w:type="dxa"/>
            <w:tcBorders>
              <w:top w:val="nil"/>
              <w:left w:val="nil"/>
              <w:bottom w:val="nil"/>
              <w:right w:val="nil"/>
            </w:tcBorders>
            <w:shd w:val="clear" w:color="000000" w:fill="FFFFFF"/>
            <w:noWrap/>
            <w:vAlign w:val="bottom"/>
            <w:hideMark/>
          </w:tcPr>
          <w:p w14:paraId="3B84CA7A"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Pensions</w:t>
            </w:r>
          </w:p>
        </w:tc>
        <w:tc>
          <w:tcPr>
            <w:tcW w:w="784" w:type="dxa"/>
            <w:tcBorders>
              <w:top w:val="nil"/>
              <w:left w:val="nil"/>
              <w:bottom w:val="nil"/>
              <w:right w:val="nil"/>
            </w:tcBorders>
            <w:shd w:val="clear" w:color="000000" w:fill="FFFFFF"/>
            <w:vAlign w:val="bottom"/>
          </w:tcPr>
          <w:p w14:paraId="7058819C" w14:textId="77777777" w:rsidR="00A83362" w:rsidRPr="00A50F70" w:rsidRDefault="00A83362" w:rsidP="0070537E">
            <w:pPr>
              <w:jc w:val="right"/>
              <w:rPr>
                <w:rFonts w:ascii="Calibri" w:eastAsia="Times New Roman" w:hAnsi="Calibri" w:cs="Calibri"/>
                <w:b/>
                <w:bCs/>
              </w:rPr>
            </w:pPr>
            <w:r>
              <w:rPr>
                <w:rFonts w:ascii="Calibri" w:hAnsi="Calibri" w:cs="Calibri"/>
                <w:b/>
                <w:bCs/>
              </w:rPr>
              <w:t>19</w:t>
            </w:r>
          </w:p>
        </w:tc>
        <w:tc>
          <w:tcPr>
            <w:tcW w:w="893" w:type="dxa"/>
            <w:tcBorders>
              <w:top w:val="nil"/>
              <w:left w:val="nil"/>
              <w:bottom w:val="nil"/>
              <w:right w:val="nil"/>
            </w:tcBorders>
            <w:shd w:val="clear" w:color="000000" w:fill="BFBFBF"/>
            <w:vAlign w:val="bottom"/>
          </w:tcPr>
          <w:p w14:paraId="0E712EF8" w14:textId="77777777" w:rsidR="00A83362" w:rsidRPr="00A50F70" w:rsidRDefault="00A83362" w:rsidP="0070537E">
            <w:pPr>
              <w:jc w:val="right"/>
              <w:rPr>
                <w:rFonts w:ascii="Calibri" w:eastAsia="Times New Roman" w:hAnsi="Calibri" w:cs="Calibri"/>
                <w:b/>
                <w:bCs/>
              </w:rPr>
            </w:pPr>
            <w:r>
              <w:rPr>
                <w:rFonts w:ascii="Calibri" w:hAnsi="Calibri" w:cs="Calibri"/>
                <w:b/>
                <w:bCs/>
              </w:rPr>
              <w:t>-5%</w:t>
            </w:r>
          </w:p>
        </w:tc>
        <w:tc>
          <w:tcPr>
            <w:tcW w:w="727" w:type="dxa"/>
            <w:tcBorders>
              <w:top w:val="nil"/>
              <w:left w:val="nil"/>
              <w:bottom w:val="nil"/>
              <w:right w:val="nil"/>
            </w:tcBorders>
            <w:shd w:val="clear" w:color="000000" w:fill="FFFFFF"/>
            <w:noWrap/>
            <w:vAlign w:val="bottom"/>
            <w:hideMark/>
          </w:tcPr>
          <w:p w14:paraId="272385C9"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20</w:t>
            </w:r>
          </w:p>
        </w:tc>
        <w:tc>
          <w:tcPr>
            <w:tcW w:w="893" w:type="dxa"/>
            <w:tcBorders>
              <w:top w:val="nil"/>
              <w:left w:val="nil"/>
              <w:bottom w:val="nil"/>
              <w:right w:val="nil"/>
            </w:tcBorders>
            <w:shd w:val="clear" w:color="000000" w:fill="BFBFBF"/>
            <w:noWrap/>
            <w:vAlign w:val="bottom"/>
            <w:hideMark/>
          </w:tcPr>
          <w:p w14:paraId="18D03182"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-20%</w:t>
            </w:r>
          </w:p>
        </w:tc>
        <w:tc>
          <w:tcPr>
            <w:tcW w:w="663" w:type="dxa"/>
            <w:tcBorders>
              <w:top w:val="nil"/>
              <w:left w:val="nil"/>
              <w:bottom w:val="nil"/>
              <w:right w:val="nil"/>
            </w:tcBorders>
            <w:shd w:val="clear" w:color="000000" w:fill="FFFFFF"/>
            <w:noWrap/>
            <w:vAlign w:val="bottom"/>
            <w:hideMark/>
          </w:tcPr>
          <w:p w14:paraId="060818A1"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25</w:t>
            </w:r>
          </w:p>
        </w:tc>
        <w:tc>
          <w:tcPr>
            <w:tcW w:w="893" w:type="dxa"/>
            <w:tcBorders>
              <w:top w:val="nil"/>
              <w:left w:val="nil"/>
              <w:bottom w:val="nil"/>
              <w:right w:val="nil"/>
            </w:tcBorders>
            <w:shd w:val="clear" w:color="000000" w:fill="BFBFBF"/>
            <w:noWrap/>
            <w:vAlign w:val="bottom"/>
            <w:hideMark/>
          </w:tcPr>
          <w:p w14:paraId="7FA58824"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0%</w:t>
            </w:r>
          </w:p>
        </w:tc>
        <w:tc>
          <w:tcPr>
            <w:tcW w:w="727" w:type="dxa"/>
            <w:tcBorders>
              <w:top w:val="nil"/>
              <w:left w:val="nil"/>
              <w:bottom w:val="nil"/>
              <w:right w:val="nil"/>
            </w:tcBorders>
            <w:shd w:val="clear" w:color="000000" w:fill="FFFFFF"/>
            <w:noWrap/>
            <w:vAlign w:val="bottom"/>
            <w:hideMark/>
          </w:tcPr>
          <w:p w14:paraId="0C64BB00"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25</w:t>
            </w:r>
          </w:p>
        </w:tc>
      </w:tr>
      <w:tr w:rsidR="00A83362" w:rsidRPr="00A50F70" w14:paraId="3D968C80" w14:textId="77777777" w:rsidTr="0070537E">
        <w:trPr>
          <w:trHeight w:val="288"/>
        </w:trPr>
        <w:tc>
          <w:tcPr>
            <w:tcW w:w="3934" w:type="dxa"/>
            <w:tcBorders>
              <w:top w:val="nil"/>
              <w:left w:val="nil"/>
              <w:bottom w:val="nil"/>
              <w:right w:val="nil"/>
            </w:tcBorders>
            <w:shd w:val="clear" w:color="000000" w:fill="FFFFFF"/>
            <w:noWrap/>
            <w:vAlign w:val="bottom"/>
            <w:hideMark/>
          </w:tcPr>
          <w:p w14:paraId="7225D4F4"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Postemployment benefits other than pensions</w:t>
            </w:r>
          </w:p>
        </w:tc>
        <w:tc>
          <w:tcPr>
            <w:tcW w:w="784" w:type="dxa"/>
            <w:tcBorders>
              <w:top w:val="nil"/>
              <w:left w:val="nil"/>
              <w:bottom w:val="nil"/>
              <w:right w:val="nil"/>
            </w:tcBorders>
            <w:shd w:val="clear" w:color="000000" w:fill="FFFFFF"/>
            <w:vAlign w:val="bottom"/>
          </w:tcPr>
          <w:p w14:paraId="3067766C" w14:textId="77777777" w:rsidR="00A83362" w:rsidRPr="00A50F70" w:rsidRDefault="00A83362" w:rsidP="0070537E">
            <w:pPr>
              <w:jc w:val="right"/>
              <w:rPr>
                <w:rFonts w:ascii="Calibri" w:eastAsia="Times New Roman" w:hAnsi="Calibri" w:cs="Calibri"/>
                <w:b/>
                <w:bCs/>
              </w:rPr>
            </w:pPr>
            <w:r>
              <w:rPr>
                <w:rFonts w:ascii="Calibri" w:hAnsi="Calibri" w:cs="Calibri"/>
                <w:b/>
                <w:bCs/>
              </w:rPr>
              <w:t>174</w:t>
            </w:r>
          </w:p>
        </w:tc>
        <w:tc>
          <w:tcPr>
            <w:tcW w:w="893" w:type="dxa"/>
            <w:tcBorders>
              <w:top w:val="nil"/>
              <w:left w:val="nil"/>
              <w:bottom w:val="nil"/>
              <w:right w:val="nil"/>
            </w:tcBorders>
            <w:shd w:val="clear" w:color="000000" w:fill="BFBFBF"/>
            <w:vAlign w:val="bottom"/>
          </w:tcPr>
          <w:p w14:paraId="0C36E8BA" w14:textId="77777777" w:rsidR="00A83362" w:rsidRPr="00A50F70" w:rsidRDefault="00A83362" w:rsidP="0070537E">
            <w:pPr>
              <w:jc w:val="right"/>
              <w:rPr>
                <w:rFonts w:ascii="Calibri" w:eastAsia="Times New Roman" w:hAnsi="Calibri" w:cs="Calibri"/>
                <w:b/>
                <w:bCs/>
              </w:rPr>
            </w:pPr>
            <w:r>
              <w:rPr>
                <w:rFonts w:ascii="Calibri" w:hAnsi="Calibri" w:cs="Calibri"/>
                <w:b/>
                <w:bCs/>
              </w:rPr>
              <w:t>12%</w:t>
            </w:r>
          </w:p>
        </w:tc>
        <w:tc>
          <w:tcPr>
            <w:tcW w:w="727" w:type="dxa"/>
            <w:tcBorders>
              <w:top w:val="nil"/>
              <w:left w:val="nil"/>
              <w:bottom w:val="nil"/>
              <w:right w:val="nil"/>
            </w:tcBorders>
            <w:shd w:val="clear" w:color="000000" w:fill="FFFFFF"/>
            <w:noWrap/>
            <w:vAlign w:val="bottom"/>
            <w:hideMark/>
          </w:tcPr>
          <w:p w14:paraId="318AD2BB"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156</w:t>
            </w:r>
          </w:p>
        </w:tc>
        <w:tc>
          <w:tcPr>
            <w:tcW w:w="893" w:type="dxa"/>
            <w:tcBorders>
              <w:top w:val="nil"/>
              <w:left w:val="nil"/>
              <w:bottom w:val="nil"/>
              <w:right w:val="nil"/>
            </w:tcBorders>
            <w:shd w:val="clear" w:color="000000" w:fill="BFBFBF"/>
            <w:noWrap/>
            <w:vAlign w:val="bottom"/>
            <w:hideMark/>
          </w:tcPr>
          <w:p w14:paraId="35C31B63"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-13%</w:t>
            </w:r>
          </w:p>
        </w:tc>
        <w:tc>
          <w:tcPr>
            <w:tcW w:w="663" w:type="dxa"/>
            <w:tcBorders>
              <w:top w:val="nil"/>
              <w:left w:val="nil"/>
              <w:bottom w:val="nil"/>
              <w:right w:val="nil"/>
            </w:tcBorders>
            <w:shd w:val="clear" w:color="000000" w:fill="FFFFFF"/>
            <w:noWrap/>
            <w:vAlign w:val="bottom"/>
            <w:hideMark/>
          </w:tcPr>
          <w:p w14:paraId="18FE7B6F"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180</w:t>
            </w:r>
          </w:p>
        </w:tc>
        <w:tc>
          <w:tcPr>
            <w:tcW w:w="893" w:type="dxa"/>
            <w:tcBorders>
              <w:top w:val="nil"/>
              <w:left w:val="nil"/>
              <w:bottom w:val="nil"/>
              <w:right w:val="nil"/>
            </w:tcBorders>
            <w:shd w:val="clear" w:color="000000" w:fill="BFBFBF"/>
            <w:noWrap/>
            <w:vAlign w:val="bottom"/>
            <w:hideMark/>
          </w:tcPr>
          <w:p w14:paraId="75D21C53"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31%</w:t>
            </w:r>
          </w:p>
        </w:tc>
        <w:tc>
          <w:tcPr>
            <w:tcW w:w="727" w:type="dxa"/>
            <w:tcBorders>
              <w:top w:val="nil"/>
              <w:left w:val="nil"/>
              <w:bottom w:val="nil"/>
              <w:right w:val="nil"/>
            </w:tcBorders>
            <w:shd w:val="clear" w:color="000000" w:fill="FFFFFF"/>
            <w:noWrap/>
            <w:vAlign w:val="bottom"/>
            <w:hideMark/>
          </w:tcPr>
          <w:p w14:paraId="1895958A"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137</w:t>
            </w:r>
          </w:p>
        </w:tc>
      </w:tr>
      <w:tr w:rsidR="00A83362" w:rsidRPr="00A50F70" w14:paraId="6932299A" w14:textId="77777777" w:rsidTr="0070537E">
        <w:trPr>
          <w:trHeight w:val="288"/>
        </w:trPr>
        <w:tc>
          <w:tcPr>
            <w:tcW w:w="3934" w:type="dxa"/>
            <w:tcBorders>
              <w:top w:val="nil"/>
              <w:left w:val="nil"/>
              <w:bottom w:val="nil"/>
              <w:right w:val="nil"/>
            </w:tcBorders>
            <w:shd w:val="clear" w:color="000000" w:fill="FFFFFF"/>
            <w:noWrap/>
            <w:vAlign w:val="bottom"/>
            <w:hideMark/>
          </w:tcPr>
          <w:p w14:paraId="5398DB46"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Pool participants</w:t>
            </w:r>
          </w:p>
        </w:tc>
        <w:tc>
          <w:tcPr>
            <w:tcW w:w="784" w:type="dxa"/>
            <w:tcBorders>
              <w:top w:val="nil"/>
              <w:left w:val="nil"/>
              <w:bottom w:val="nil"/>
              <w:right w:val="nil"/>
            </w:tcBorders>
            <w:shd w:val="clear" w:color="000000" w:fill="FFFFFF"/>
            <w:vAlign w:val="bottom"/>
          </w:tcPr>
          <w:p w14:paraId="2A20DEED" w14:textId="77777777" w:rsidR="00A83362" w:rsidRPr="00A50F70" w:rsidRDefault="00A83362" w:rsidP="0070537E">
            <w:pPr>
              <w:jc w:val="right"/>
              <w:rPr>
                <w:rFonts w:ascii="Calibri" w:eastAsia="Times New Roman" w:hAnsi="Calibri" w:cs="Calibri"/>
                <w:b/>
                <w:bCs/>
              </w:rPr>
            </w:pPr>
            <w:r>
              <w:rPr>
                <w:rFonts w:ascii="Calibri" w:hAnsi="Calibri" w:cs="Calibri"/>
                <w:b/>
                <w:bCs/>
              </w:rPr>
              <w:t>39</w:t>
            </w:r>
          </w:p>
        </w:tc>
        <w:tc>
          <w:tcPr>
            <w:tcW w:w="893" w:type="dxa"/>
            <w:tcBorders>
              <w:top w:val="nil"/>
              <w:left w:val="nil"/>
              <w:bottom w:val="nil"/>
              <w:right w:val="nil"/>
            </w:tcBorders>
            <w:shd w:val="clear" w:color="000000" w:fill="BFBFBF"/>
            <w:vAlign w:val="bottom"/>
          </w:tcPr>
          <w:p w14:paraId="4A150369" w14:textId="77777777" w:rsidR="00A83362" w:rsidRPr="00A50F70" w:rsidRDefault="00A83362" w:rsidP="0070537E">
            <w:pPr>
              <w:jc w:val="right"/>
              <w:rPr>
                <w:rFonts w:ascii="Calibri" w:eastAsia="Times New Roman" w:hAnsi="Calibri" w:cs="Calibri"/>
                <w:b/>
                <w:bCs/>
              </w:rPr>
            </w:pPr>
            <w:r>
              <w:rPr>
                <w:rFonts w:ascii="Calibri" w:hAnsi="Calibri" w:cs="Calibri"/>
                <w:b/>
                <w:bCs/>
              </w:rPr>
              <w:t>-5%</w:t>
            </w:r>
          </w:p>
        </w:tc>
        <w:tc>
          <w:tcPr>
            <w:tcW w:w="727" w:type="dxa"/>
            <w:tcBorders>
              <w:top w:val="nil"/>
              <w:left w:val="nil"/>
              <w:bottom w:val="nil"/>
              <w:right w:val="nil"/>
            </w:tcBorders>
            <w:shd w:val="clear" w:color="000000" w:fill="FFFFFF"/>
            <w:noWrap/>
            <w:vAlign w:val="bottom"/>
            <w:hideMark/>
          </w:tcPr>
          <w:p w14:paraId="2330C0C4"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41</w:t>
            </w:r>
          </w:p>
        </w:tc>
        <w:tc>
          <w:tcPr>
            <w:tcW w:w="893" w:type="dxa"/>
            <w:tcBorders>
              <w:top w:val="nil"/>
              <w:left w:val="nil"/>
              <w:bottom w:val="nil"/>
              <w:right w:val="nil"/>
            </w:tcBorders>
            <w:shd w:val="clear" w:color="000000" w:fill="BFBFBF"/>
            <w:noWrap/>
            <w:vAlign w:val="bottom"/>
            <w:hideMark/>
          </w:tcPr>
          <w:p w14:paraId="205FEF14"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-60%</w:t>
            </w:r>
          </w:p>
        </w:tc>
        <w:tc>
          <w:tcPr>
            <w:tcW w:w="663" w:type="dxa"/>
            <w:tcBorders>
              <w:top w:val="nil"/>
              <w:left w:val="nil"/>
              <w:bottom w:val="nil"/>
              <w:right w:val="nil"/>
            </w:tcBorders>
            <w:shd w:val="clear" w:color="000000" w:fill="FFFFFF"/>
            <w:noWrap/>
            <w:vAlign w:val="bottom"/>
            <w:hideMark/>
          </w:tcPr>
          <w:p w14:paraId="1B639DDF"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102</w:t>
            </w:r>
          </w:p>
        </w:tc>
        <w:tc>
          <w:tcPr>
            <w:tcW w:w="893" w:type="dxa"/>
            <w:tcBorders>
              <w:top w:val="nil"/>
              <w:left w:val="nil"/>
              <w:bottom w:val="nil"/>
              <w:right w:val="nil"/>
            </w:tcBorders>
            <w:shd w:val="clear" w:color="000000" w:fill="BFBFBF"/>
            <w:noWrap/>
            <w:vAlign w:val="bottom"/>
            <w:hideMark/>
          </w:tcPr>
          <w:p w14:paraId="57AC320D"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26%</w:t>
            </w:r>
          </w:p>
        </w:tc>
        <w:tc>
          <w:tcPr>
            <w:tcW w:w="727" w:type="dxa"/>
            <w:tcBorders>
              <w:top w:val="nil"/>
              <w:left w:val="nil"/>
              <w:bottom w:val="nil"/>
              <w:right w:val="nil"/>
            </w:tcBorders>
            <w:shd w:val="clear" w:color="000000" w:fill="FFFFFF"/>
            <w:noWrap/>
            <w:vAlign w:val="bottom"/>
            <w:hideMark/>
          </w:tcPr>
          <w:p w14:paraId="040905DA"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81</w:t>
            </w:r>
          </w:p>
        </w:tc>
      </w:tr>
      <w:tr w:rsidR="00A83362" w:rsidRPr="00A50F70" w14:paraId="18C60928" w14:textId="77777777" w:rsidTr="0070537E">
        <w:trPr>
          <w:trHeight w:val="288"/>
        </w:trPr>
        <w:tc>
          <w:tcPr>
            <w:tcW w:w="3934" w:type="dxa"/>
            <w:tcBorders>
              <w:top w:val="nil"/>
              <w:left w:val="nil"/>
              <w:bottom w:val="nil"/>
              <w:right w:val="nil"/>
            </w:tcBorders>
            <w:shd w:val="clear" w:color="000000" w:fill="FFFFFF"/>
            <w:noWrap/>
            <w:vAlign w:val="bottom"/>
            <w:hideMark/>
          </w:tcPr>
          <w:p w14:paraId="4472D5A2" w14:textId="77777777" w:rsidR="00A83362" w:rsidRPr="00A50F70" w:rsidRDefault="00A83362" w:rsidP="0070537E">
            <w:pPr>
              <w:rPr>
                <w:rFonts w:ascii="Calibri" w:eastAsia="Times New Roman" w:hAnsi="Calibri" w:cs="Calibri"/>
              </w:rPr>
            </w:pPr>
            <w:r w:rsidRPr="00A50F70">
              <w:rPr>
                <w:rFonts w:ascii="Calibri" w:eastAsia="Times New Roman" w:hAnsi="Calibri" w:cs="Calibri"/>
              </w:rPr>
              <w:t>Student and other groups</w:t>
            </w:r>
          </w:p>
        </w:tc>
        <w:tc>
          <w:tcPr>
            <w:tcW w:w="784" w:type="dxa"/>
            <w:tcBorders>
              <w:top w:val="nil"/>
              <w:left w:val="nil"/>
              <w:bottom w:val="nil"/>
              <w:right w:val="nil"/>
            </w:tcBorders>
            <w:shd w:val="clear" w:color="000000" w:fill="FFFFFF"/>
            <w:vAlign w:val="bottom"/>
          </w:tcPr>
          <w:p w14:paraId="047A75C8" w14:textId="77777777" w:rsidR="00A83362" w:rsidRPr="00A50F70" w:rsidRDefault="00A83362" w:rsidP="0070537E">
            <w:pPr>
              <w:jc w:val="right"/>
              <w:rPr>
                <w:rFonts w:ascii="Calibri" w:eastAsia="Times New Roman" w:hAnsi="Calibri" w:cs="Calibri"/>
                <w:b/>
                <w:bCs/>
              </w:rPr>
            </w:pPr>
            <w:r>
              <w:rPr>
                <w:rFonts w:ascii="Calibri" w:hAnsi="Calibri" w:cs="Calibri"/>
                <w:b/>
                <w:bCs/>
              </w:rPr>
              <w:t>3</w:t>
            </w:r>
          </w:p>
        </w:tc>
        <w:tc>
          <w:tcPr>
            <w:tcW w:w="893" w:type="dxa"/>
            <w:tcBorders>
              <w:top w:val="nil"/>
              <w:left w:val="nil"/>
              <w:bottom w:val="nil"/>
              <w:right w:val="nil"/>
            </w:tcBorders>
            <w:shd w:val="clear" w:color="000000" w:fill="BFBFBF"/>
            <w:vAlign w:val="bottom"/>
          </w:tcPr>
          <w:p w14:paraId="69052989" w14:textId="77777777" w:rsidR="00A83362" w:rsidRPr="00A50F70" w:rsidRDefault="00A83362" w:rsidP="0070537E">
            <w:pPr>
              <w:jc w:val="right"/>
              <w:rPr>
                <w:rFonts w:ascii="Calibri" w:eastAsia="Times New Roman" w:hAnsi="Calibri" w:cs="Calibri"/>
                <w:b/>
                <w:bCs/>
              </w:rPr>
            </w:pPr>
            <w:r>
              <w:rPr>
                <w:rFonts w:ascii="Calibri" w:hAnsi="Calibri" w:cs="Calibri"/>
                <w:b/>
                <w:bCs/>
              </w:rPr>
              <w:t>0%</w:t>
            </w:r>
          </w:p>
        </w:tc>
        <w:tc>
          <w:tcPr>
            <w:tcW w:w="727" w:type="dxa"/>
            <w:tcBorders>
              <w:top w:val="nil"/>
              <w:left w:val="nil"/>
              <w:bottom w:val="nil"/>
              <w:right w:val="nil"/>
            </w:tcBorders>
            <w:shd w:val="clear" w:color="000000" w:fill="FFFFFF"/>
            <w:noWrap/>
            <w:vAlign w:val="bottom"/>
            <w:hideMark/>
          </w:tcPr>
          <w:p w14:paraId="0617493C"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3</w:t>
            </w:r>
          </w:p>
        </w:tc>
        <w:tc>
          <w:tcPr>
            <w:tcW w:w="893" w:type="dxa"/>
            <w:tcBorders>
              <w:top w:val="nil"/>
              <w:left w:val="nil"/>
              <w:bottom w:val="nil"/>
              <w:right w:val="nil"/>
            </w:tcBorders>
            <w:shd w:val="clear" w:color="000000" w:fill="BFBFBF"/>
            <w:noWrap/>
            <w:vAlign w:val="bottom"/>
            <w:hideMark/>
          </w:tcPr>
          <w:p w14:paraId="46613BD1"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0%</w:t>
            </w:r>
          </w:p>
        </w:tc>
        <w:tc>
          <w:tcPr>
            <w:tcW w:w="663" w:type="dxa"/>
            <w:tcBorders>
              <w:top w:val="nil"/>
              <w:left w:val="nil"/>
              <w:bottom w:val="nil"/>
              <w:right w:val="nil"/>
            </w:tcBorders>
            <w:shd w:val="clear" w:color="000000" w:fill="FFFFFF"/>
            <w:noWrap/>
            <w:vAlign w:val="bottom"/>
            <w:hideMark/>
          </w:tcPr>
          <w:p w14:paraId="1B40A389"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3</w:t>
            </w:r>
          </w:p>
        </w:tc>
        <w:tc>
          <w:tcPr>
            <w:tcW w:w="893" w:type="dxa"/>
            <w:tcBorders>
              <w:top w:val="nil"/>
              <w:left w:val="nil"/>
              <w:bottom w:val="nil"/>
              <w:right w:val="nil"/>
            </w:tcBorders>
            <w:shd w:val="clear" w:color="000000" w:fill="BFBFBF"/>
            <w:noWrap/>
            <w:vAlign w:val="bottom"/>
            <w:hideMark/>
          </w:tcPr>
          <w:p w14:paraId="19CE73BF"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50%</w:t>
            </w:r>
          </w:p>
        </w:tc>
        <w:tc>
          <w:tcPr>
            <w:tcW w:w="727" w:type="dxa"/>
            <w:tcBorders>
              <w:top w:val="nil"/>
              <w:left w:val="nil"/>
              <w:bottom w:val="nil"/>
              <w:right w:val="nil"/>
            </w:tcBorders>
            <w:shd w:val="clear" w:color="000000" w:fill="FFFFFF"/>
            <w:noWrap/>
            <w:vAlign w:val="bottom"/>
            <w:hideMark/>
          </w:tcPr>
          <w:p w14:paraId="203B29F9"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w:t>
            </w:r>
          </w:p>
        </w:tc>
      </w:tr>
      <w:tr w:rsidR="00A83362" w:rsidRPr="00A50F70" w14:paraId="2D0640F5" w14:textId="77777777" w:rsidTr="0070537E">
        <w:trPr>
          <w:trHeight w:val="300"/>
        </w:trPr>
        <w:tc>
          <w:tcPr>
            <w:tcW w:w="3934" w:type="dxa"/>
            <w:tcBorders>
              <w:top w:val="single" w:sz="4" w:space="0" w:color="00688D"/>
              <w:left w:val="nil"/>
              <w:bottom w:val="double" w:sz="6" w:space="0" w:color="00688D"/>
              <w:right w:val="nil"/>
            </w:tcBorders>
            <w:shd w:val="clear" w:color="000000" w:fill="FFFFFF"/>
            <w:noWrap/>
            <w:vAlign w:val="bottom"/>
            <w:hideMark/>
          </w:tcPr>
          <w:p w14:paraId="0059F2E4" w14:textId="77777777" w:rsidR="00A83362" w:rsidRPr="00A50F70" w:rsidRDefault="00A83362" w:rsidP="0070537E">
            <w:pPr>
              <w:rPr>
                <w:rFonts w:ascii="Calibri" w:eastAsia="Times New Roman" w:hAnsi="Calibri" w:cs="Calibri"/>
                <w:b/>
                <w:bCs/>
              </w:rPr>
            </w:pPr>
            <w:r w:rsidRPr="00A50F70">
              <w:rPr>
                <w:rFonts w:ascii="Calibri" w:eastAsia="Times New Roman" w:hAnsi="Calibri" w:cs="Calibri"/>
                <w:b/>
                <w:bCs/>
              </w:rPr>
              <w:t>Total Net Position</w:t>
            </w:r>
          </w:p>
        </w:tc>
        <w:tc>
          <w:tcPr>
            <w:tcW w:w="784" w:type="dxa"/>
            <w:tcBorders>
              <w:top w:val="single" w:sz="4" w:space="0" w:color="00688D"/>
              <w:left w:val="nil"/>
              <w:bottom w:val="double" w:sz="6" w:space="0" w:color="00688D"/>
              <w:right w:val="nil"/>
            </w:tcBorders>
            <w:shd w:val="clear" w:color="000000" w:fill="FFFFFF"/>
            <w:vAlign w:val="bottom"/>
          </w:tcPr>
          <w:p w14:paraId="15C7C084" w14:textId="77777777" w:rsidR="00A83362" w:rsidRPr="00A50F70" w:rsidRDefault="00A83362" w:rsidP="0070537E">
            <w:pPr>
              <w:jc w:val="right"/>
              <w:rPr>
                <w:rFonts w:ascii="Calibri" w:eastAsia="Times New Roman" w:hAnsi="Calibri" w:cs="Calibri"/>
                <w:b/>
                <w:bCs/>
              </w:rPr>
            </w:pPr>
            <w:r>
              <w:rPr>
                <w:rFonts w:ascii="Calibri" w:hAnsi="Calibri" w:cs="Calibri"/>
                <w:b/>
                <w:bCs/>
              </w:rPr>
              <w:t>$235</w:t>
            </w:r>
          </w:p>
        </w:tc>
        <w:tc>
          <w:tcPr>
            <w:tcW w:w="893" w:type="dxa"/>
            <w:tcBorders>
              <w:top w:val="nil"/>
              <w:left w:val="nil"/>
              <w:bottom w:val="nil"/>
              <w:right w:val="nil"/>
            </w:tcBorders>
            <w:shd w:val="clear" w:color="000000" w:fill="BFBFBF"/>
            <w:vAlign w:val="bottom"/>
          </w:tcPr>
          <w:p w14:paraId="2B313776" w14:textId="77777777" w:rsidR="00A83362" w:rsidRPr="00A50F70" w:rsidRDefault="00A83362" w:rsidP="0070537E">
            <w:pPr>
              <w:jc w:val="right"/>
              <w:rPr>
                <w:rFonts w:ascii="Calibri" w:eastAsia="Times New Roman" w:hAnsi="Calibri" w:cs="Calibri"/>
                <w:b/>
                <w:bCs/>
              </w:rPr>
            </w:pPr>
            <w:r>
              <w:rPr>
                <w:rFonts w:ascii="Calibri" w:hAnsi="Calibri" w:cs="Calibri"/>
                <w:b/>
                <w:bCs/>
              </w:rPr>
              <w:t>7%</w:t>
            </w:r>
          </w:p>
        </w:tc>
        <w:tc>
          <w:tcPr>
            <w:tcW w:w="727" w:type="dxa"/>
            <w:tcBorders>
              <w:top w:val="single" w:sz="4" w:space="0" w:color="00688D"/>
              <w:left w:val="nil"/>
              <w:bottom w:val="double" w:sz="6" w:space="0" w:color="00688D"/>
              <w:right w:val="nil"/>
            </w:tcBorders>
            <w:shd w:val="clear" w:color="000000" w:fill="FFFFFF"/>
            <w:noWrap/>
            <w:vAlign w:val="bottom"/>
            <w:hideMark/>
          </w:tcPr>
          <w:p w14:paraId="1A2971DB"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$220</w:t>
            </w:r>
          </w:p>
        </w:tc>
        <w:tc>
          <w:tcPr>
            <w:tcW w:w="893" w:type="dxa"/>
            <w:tcBorders>
              <w:top w:val="nil"/>
              <w:left w:val="nil"/>
              <w:bottom w:val="nil"/>
              <w:right w:val="nil"/>
            </w:tcBorders>
            <w:shd w:val="clear" w:color="000000" w:fill="BFBFBF"/>
            <w:noWrap/>
            <w:vAlign w:val="bottom"/>
            <w:hideMark/>
          </w:tcPr>
          <w:p w14:paraId="4301AF42" w14:textId="77777777" w:rsidR="00A83362" w:rsidRPr="00A50F70" w:rsidRDefault="00A83362" w:rsidP="0070537E">
            <w:pPr>
              <w:jc w:val="right"/>
              <w:rPr>
                <w:rFonts w:ascii="Calibri" w:eastAsia="Times New Roman" w:hAnsi="Calibri" w:cs="Calibri"/>
                <w:b/>
                <w:bCs/>
              </w:rPr>
            </w:pPr>
            <w:r w:rsidRPr="00A50F70">
              <w:rPr>
                <w:rFonts w:ascii="Calibri" w:eastAsia="Times New Roman" w:hAnsi="Calibri" w:cs="Calibri"/>
                <w:b/>
                <w:bCs/>
              </w:rPr>
              <w:t>-29%</w:t>
            </w:r>
          </w:p>
        </w:tc>
        <w:tc>
          <w:tcPr>
            <w:tcW w:w="663" w:type="dxa"/>
            <w:tcBorders>
              <w:top w:val="single" w:sz="4" w:space="0" w:color="00688D"/>
              <w:left w:val="nil"/>
              <w:bottom w:val="double" w:sz="6" w:space="0" w:color="00688D"/>
              <w:right w:val="nil"/>
            </w:tcBorders>
            <w:shd w:val="clear" w:color="000000" w:fill="FFFFFF"/>
            <w:noWrap/>
            <w:vAlign w:val="bottom"/>
            <w:hideMark/>
          </w:tcPr>
          <w:p w14:paraId="32AD4281"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$310</w:t>
            </w:r>
          </w:p>
        </w:tc>
        <w:tc>
          <w:tcPr>
            <w:tcW w:w="893" w:type="dxa"/>
            <w:tcBorders>
              <w:top w:val="nil"/>
              <w:left w:val="nil"/>
              <w:bottom w:val="nil"/>
              <w:right w:val="nil"/>
            </w:tcBorders>
            <w:shd w:val="clear" w:color="000000" w:fill="BFBFBF"/>
            <w:noWrap/>
            <w:vAlign w:val="bottom"/>
            <w:hideMark/>
          </w:tcPr>
          <w:p w14:paraId="3BDD2C4D" w14:textId="77777777" w:rsidR="00A83362" w:rsidRPr="00C4158A" w:rsidRDefault="00A83362" w:rsidP="0070537E">
            <w:pPr>
              <w:jc w:val="right"/>
              <w:rPr>
                <w:rFonts w:ascii="Calibri" w:eastAsia="Times New Roman" w:hAnsi="Calibri" w:cs="Calibri"/>
                <w:bCs/>
              </w:rPr>
            </w:pPr>
            <w:r w:rsidRPr="00C4158A">
              <w:rPr>
                <w:rFonts w:ascii="Calibri" w:eastAsia="Times New Roman" w:hAnsi="Calibri" w:cs="Calibri"/>
                <w:bCs/>
              </w:rPr>
              <w:t>27%</w:t>
            </w:r>
          </w:p>
        </w:tc>
        <w:tc>
          <w:tcPr>
            <w:tcW w:w="727" w:type="dxa"/>
            <w:tcBorders>
              <w:top w:val="single" w:sz="4" w:space="0" w:color="00688D"/>
              <w:left w:val="nil"/>
              <w:bottom w:val="double" w:sz="6" w:space="0" w:color="00688D"/>
              <w:right w:val="nil"/>
            </w:tcBorders>
            <w:shd w:val="clear" w:color="000000" w:fill="FFFFFF"/>
            <w:noWrap/>
            <w:vAlign w:val="bottom"/>
            <w:hideMark/>
          </w:tcPr>
          <w:p w14:paraId="2EF94CDB" w14:textId="77777777" w:rsidR="00A83362" w:rsidRPr="00A50F70" w:rsidRDefault="00A83362" w:rsidP="0070537E">
            <w:pPr>
              <w:jc w:val="right"/>
              <w:rPr>
                <w:rFonts w:ascii="Calibri" w:eastAsia="Times New Roman" w:hAnsi="Calibri" w:cs="Calibri"/>
              </w:rPr>
            </w:pPr>
            <w:r w:rsidRPr="00A50F70">
              <w:rPr>
                <w:rFonts w:ascii="Calibri" w:eastAsia="Times New Roman" w:hAnsi="Calibri" w:cs="Calibri"/>
              </w:rPr>
              <w:t>$245</w:t>
            </w:r>
          </w:p>
        </w:tc>
      </w:tr>
    </w:tbl>
    <w:p w14:paraId="63F6B0D9" w14:textId="77777777" w:rsidR="00A83362" w:rsidRPr="00B77659" w:rsidRDefault="00A83362" w:rsidP="00A83362">
      <w:pPr>
        <w:pStyle w:val="AFR2"/>
        <w:pBdr>
          <w:bottom w:val="single" w:sz="8" w:space="2" w:color="00688D"/>
        </w:pBdr>
        <w:rPr>
          <w:rFonts w:cstheme="minorHAnsi"/>
        </w:rPr>
      </w:pPr>
      <w:r w:rsidRPr="005E51F2">
        <w:rPr>
          <w:rFonts w:cstheme="minorHAnsi"/>
        </w:rPr>
        <w:t xml:space="preserve">Statements of Changes in Fiduciary </w:t>
      </w:r>
      <w:r>
        <w:rPr>
          <w:rFonts w:cstheme="minorHAnsi"/>
        </w:rPr>
        <w:t>N</w:t>
      </w:r>
      <w:r w:rsidRPr="005E51F2">
        <w:rPr>
          <w:rFonts w:cstheme="minorHAnsi"/>
        </w:rPr>
        <w:t>et Position</w:t>
      </w:r>
    </w:p>
    <w:p w14:paraId="09EB575E" w14:textId="77777777" w:rsidR="00A83362" w:rsidRDefault="00A83362" w:rsidP="00A83362">
      <w:pPr>
        <w:tabs>
          <w:tab w:val="left" w:pos="540"/>
        </w:tabs>
        <w:rPr>
          <w:rFonts w:eastAsiaTheme="majorEastAsia" w:cstheme="minorHAnsi"/>
          <w:b/>
          <w:i/>
          <w:iCs/>
          <w:smallCaps/>
          <w:noProof/>
          <w:color w:val="000000" w:themeColor="text1"/>
          <w:sz w:val="32"/>
          <w:szCs w:val="28"/>
          <w:u w:color="5B9BD5"/>
        </w:rPr>
      </w:pPr>
      <w:r>
        <w:rPr>
          <w:rFonts w:eastAsia="Times New Roman" w:cstheme="minorHAnsi"/>
          <w:sz w:val="24"/>
        </w:rPr>
        <w:t>The Statements of Changes in Fiduciary Net Position show the fiscal year changes in the net position associated with assets held on behalf of the external entities noted in the prior discussion of the Statements of Fiduciary Net Position.</w:t>
      </w:r>
    </w:p>
    <w:p w14:paraId="24835F28" w14:textId="77777777" w:rsidR="00A83362" w:rsidRPr="004B6F10" w:rsidRDefault="00A83362" w:rsidP="00A83362">
      <w:pPr>
        <w:pStyle w:val="AFR2"/>
        <w:pBdr>
          <w:bottom w:val="single" w:sz="8" w:space="2" w:color="00688D"/>
        </w:pBdr>
        <w:rPr>
          <w:rFonts w:cstheme="minorHAnsi"/>
        </w:rPr>
      </w:pPr>
      <w:bookmarkStart w:id="6" w:name="_Hlk144886542"/>
      <w:r w:rsidRPr="004B6F10">
        <w:rPr>
          <w:rFonts w:cstheme="minorHAnsi"/>
        </w:rPr>
        <w:t>Strategic Vision and Priorities</w:t>
      </w:r>
    </w:p>
    <w:p w14:paraId="741BB4E9" w14:textId="77777777" w:rsidR="006A1340" w:rsidRDefault="006A1340" w:rsidP="006A1340">
      <w:pPr>
        <w:pStyle w:val="AFR3"/>
        <w:rPr>
          <w:rFonts w:cstheme="minorHAnsi"/>
        </w:rPr>
      </w:pPr>
      <w:r w:rsidRPr="00F92365">
        <w:rPr>
          <w:rFonts w:cstheme="minorHAnsi"/>
        </w:rPr>
        <w:t>Strategic Plan</w:t>
      </w:r>
    </w:p>
    <w:p w14:paraId="65F83226" w14:textId="77777777" w:rsidR="006A1340" w:rsidRDefault="006A1340" w:rsidP="006A1340">
      <w:pPr>
        <w:pStyle w:val="AFR3"/>
        <w:rPr>
          <w:rFonts w:cstheme="minorHAnsi"/>
          <w:b w:val="0"/>
          <w:bCs/>
          <w:i w:val="0"/>
          <w:iCs/>
          <w:sz w:val="24"/>
          <w:szCs w:val="20"/>
          <w:u w:val="none"/>
        </w:rPr>
      </w:pPr>
      <w:r>
        <w:rPr>
          <w:rFonts w:cstheme="minorHAnsi"/>
          <w:b w:val="0"/>
          <w:bCs/>
          <w:i w:val="0"/>
          <w:iCs/>
          <w:sz w:val="24"/>
          <w:szCs w:val="20"/>
          <w:u w:val="none"/>
        </w:rPr>
        <w:t>T</w:t>
      </w:r>
      <w:r w:rsidRPr="007A400C">
        <w:rPr>
          <w:rFonts w:cstheme="minorHAnsi"/>
          <w:b w:val="0"/>
          <w:bCs/>
          <w:i w:val="0"/>
          <w:iCs/>
          <w:sz w:val="24"/>
          <w:szCs w:val="20"/>
          <w:u w:val="none"/>
        </w:rPr>
        <w:t xml:space="preserve">he </w:t>
      </w:r>
      <w:r>
        <w:rPr>
          <w:rFonts w:cstheme="minorHAnsi"/>
          <w:b w:val="0"/>
          <w:bCs/>
          <w:i w:val="0"/>
          <w:iCs/>
          <w:sz w:val="24"/>
          <w:szCs w:val="20"/>
          <w:u w:val="none"/>
        </w:rPr>
        <w:t xml:space="preserve">University’s </w:t>
      </w:r>
      <w:r w:rsidRPr="007A400C">
        <w:rPr>
          <w:rFonts w:cstheme="minorHAnsi"/>
          <w:b w:val="0"/>
          <w:bCs/>
          <w:i w:val="0"/>
          <w:iCs/>
          <w:sz w:val="24"/>
          <w:szCs w:val="20"/>
          <w:u w:val="none"/>
        </w:rPr>
        <w:t xml:space="preserve">new </w:t>
      </w:r>
      <w:r>
        <w:rPr>
          <w:rFonts w:cstheme="minorHAnsi"/>
          <w:b w:val="0"/>
          <w:bCs/>
          <w:i w:val="0"/>
          <w:iCs/>
          <w:sz w:val="24"/>
          <w:szCs w:val="20"/>
          <w:u w:val="none"/>
        </w:rPr>
        <w:t>Strategic P</w:t>
      </w:r>
      <w:r w:rsidRPr="007A400C">
        <w:rPr>
          <w:rFonts w:cstheme="minorHAnsi"/>
          <w:b w:val="0"/>
          <w:bCs/>
          <w:i w:val="0"/>
          <w:iCs/>
          <w:sz w:val="24"/>
          <w:szCs w:val="20"/>
          <w:u w:val="none"/>
        </w:rPr>
        <w:t xml:space="preserve">lan final structure </w:t>
      </w:r>
      <w:r>
        <w:rPr>
          <w:rFonts w:cstheme="minorHAnsi"/>
          <w:b w:val="0"/>
          <w:bCs/>
          <w:i w:val="0"/>
          <w:iCs/>
          <w:sz w:val="24"/>
          <w:szCs w:val="20"/>
          <w:u w:val="none"/>
        </w:rPr>
        <w:t xml:space="preserve">was </w:t>
      </w:r>
      <w:r w:rsidRPr="007A400C">
        <w:rPr>
          <w:rFonts w:cstheme="minorHAnsi"/>
          <w:b w:val="0"/>
          <w:bCs/>
          <w:i w:val="0"/>
          <w:iCs/>
          <w:sz w:val="24"/>
          <w:szCs w:val="20"/>
          <w:u w:val="none"/>
        </w:rPr>
        <w:t xml:space="preserve">approved by the </w:t>
      </w:r>
      <w:r>
        <w:rPr>
          <w:rFonts w:cstheme="minorHAnsi"/>
          <w:b w:val="0"/>
          <w:bCs/>
          <w:i w:val="0"/>
          <w:iCs/>
          <w:sz w:val="24"/>
          <w:szCs w:val="20"/>
          <w:u w:val="none"/>
        </w:rPr>
        <w:t>Board of Trustees at its May 2023 meeting. Since then, f</w:t>
      </w:r>
      <w:r w:rsidRPr="00D077EC">
        <w:rPr>
          <w:rFonts w:cstheme="minorHAnsi"/>
          <w:b w:val="0"/>
          <w:bCs/>
          <w:i w:val="0"/>
          <w:iCs/>
          <w:sz w:val="24"/>
          <w:szCs w:val="20"/>
          <w:u w:val="none"/>
        </w:rPr>
        <w:t>our general items</w:t>
      </w:r>
      <w:r>
        <w:rPr>
          <w:rFonts w:cstheme="minorHAnsi"/>
          <w:b w:val="0"/>
          <w:bCs/>
          <w:i w:val="0"/>
          <w:iCs/>
          <w:sz w:val="24"/>
          <w:szCs w:val="20"/>
          <w:u w:val="none"/>
        </w:rPr>
        <w:t xml:space="preserve"> have been identified as the starting point</w:t>
      </w:r>
      <w:r w:rsidRPr="00D077EC">
        <w:rPr>
          <w:rFonts w:cstheme="minorHAnsi"/>
          <w:b w:val="0"/>
          <w:bCs/>
          <w:i w:val="0"/>
          <w:iCs/>
          <w:sz w:val="24"/>
          <w:szCs w:val="20"/>
          <w:u w:val="none"/>
        </w:rPr>
        <w:t>:</w:t>
      </w:r>
      <w:r>
        <w:rPr>
          <w:rFonts w:cstheme="minorHAnsi"/>
          <w:b w:val="0"/>
          <w:bCs/>
          <w:i w:val="0"/>
          <w:iCs/>
          <w:sz w:val="24"/>
          <w:szCs w:val="20"/>
          <w:u w:val="none"/>
        </w:rPr>
        <w:t xml:space="preserve"> </w:t>
      </w:r>
      <w:r w:rsidRPr="00D077EC">
        <w:rPr>
          <w:rFonts w:cstheme="minorHAnsi"/>
          <w:b w:val="0"/>
          <w:bCs/>
          <w:i w:val="0"/>
          <w:iCs/>
          <w:sz w:val="24"/>
          <w:szCs w:val="20"/>
          <w:u w:val="none"/>
        </w:rPr>
        <w:t>Retention, Enrollment, Research</w:t>
      </w:r>
      <w:r>
        <w:rPr>
          <w:rFonts w:cstheme="minorHAnsi"/>
          <w:b w:val="0"/>
          <w:bCs/>
          <w:i w:val="0"/>
          <w:iCs/>
          <w:sz w:val="24"/>
          <w:szCs w:val="20"/>
          <w:u w:val="none"/>
        </w:rPr>
        <w:t>,</w:t>
      </w:r>
      <w:r w:rsidRPr="00D077EC">
        <w:rPr>
          <w:rFonts w:cstheme="minorHAnsi"/>
          <w:b w:val="0"/>
          <w:bCs/>
          <w:i w:val="0"/>
          <w:iCs/>
          <w:sz w:val="24"/>
          <w:szCs w:val="20"/>
          <w:u w:val="none"/>
        </w:rPr>
        <w:t xml:space="preserve"> and Economic and Workforce Development</w:t>
      </w:r>
      <w:r>
        <w:rPr>
          <w:rFonts w:cstheme="minorHAnsi"/>
          <w:b w:val="0"/>
          <w:bCs/>
          <w:i w:val="0"/>
          <w:iCs/>
          <w:sz w:val="24"/>
          <w:szCs w:val="20"/>
          <w:u w:val="none"/>
        </w:rPr>
        <w:t xml:space="preserve"> with work </w:t>
      </w:r>
      <w:proofErr w:type="gramStart"/>
      <w:r>
        <w:rPr>
          <w:rFonts w:cstheme="minorHAnsi"/>
          <w:b w:val="0"/>
          <w:bCs/>
          <w:i w:val="0"/>
          <w:iCs/>
          <w:sz w:val="24"/>
          <w:szCs w:val="20"/>
          <w:u w:val="none"/>
        </w:rPr>
        <w:t>continuing on</w:t>
      </w:r>
      <w:proofErr w:type="gramEnd"/>
      <w:r>
        <w:rPr>
          <w:rFonts w:cstheme="minorHAnsi"/>
          <w:b w:val="0"/>
          <w:bCs/>
          <w:i w:val="0"/>
          <w:iCs/>
          <w:sz w:val="24"/>
          <w:szCs w:val="20"/>
          <w:u w:val="none"/>
        </w:rPr>
        <w:t xml:space="preserve"> goal setting and implementation. </w:t>
      </w:r>
    </w:p>
    <w:p w14:paraId="7DA8BE08" w14:textId="77777777" w:rsidR="006A1340" w:rsidRDefault="006A1340" w:rsidP="006A1340">
      <w:pPr>
        <w:pStyle w:val="AFR3"/>
        <w:rPr>
          <w:rFonts w:cstheme="minorHAnsi"/>
          <w:b w:val="0"/>
          <w:bCs/>
          <w:i w:val="0"/>
          <w:iCs/>
          <w:sz w:val="24"/>
          <w:szCs w:val="20"/>
          <w:u w:val="none"/>
        </w:rPr>
      </w:pPr>
      <w:r>
        <w:rPr>
          <w:rFonts w:cstheme="minorHAnsi"/>
          <w:b w:val="0"/>
          <w:bCs/>
          <w:i w:val="0"/>
          <w:iCs/>
          <w:sz w:val="24"/>
          <w:szCs w:val="20"/>
          <w:u w:val="none"/>
        </w:rPr>
        <w:t xml:space="preserve">The Strategic Plan </w:t>
      </w:r>
      <w:r w:rsidRPr="00783464">
        <w:rPr>
          <w:rFonts w:cstheme="minorHAnsi"/>
          <w:b w:val="0"/>
          <w:bCs/>
          <w:i w:val="0"/>
          <w:iCs/>
          <w:sz w:val="24"/>
          <w:szCs w:val="20"/>
          <w:u w:val="none"/>
        </w:rPr>
        <w:t xml:space="preserve">will be implemented through an inclusive and transparent process involving faculty, students, </w:t>
      </w:r>
      <w:proofErr w:type="gramStart"/>
      <w:r w:rsidRPr="00783464">
        <w:rPr>
          <w:rFonts w:cstheme="minorHAnsi"/>
          <w:b w:val="0"/>
          <w:bCs/>
          <w:i w:val="0"/>
          <w:iCs/>
          <w:sz w:val="24"/>
          <w:szCs w:val="20"/>
          <w:u w:val="none"/>
        </w:rPr>
        <w:t>staff</w:t>
      </w:r>
      <w:proofErr w:type="gramEnd"/>
      <w:r w:rsidRPr="00783464">
        <w:rPr>
          <w:rFonts w:cstheme="minorHAnsi"/>
          <w:b w:val="0"/>
          <w:bCs/>
          <w:i w:val="0"/>
          <w:iCs/>
          <w:sz w:val="24"/>
          <w:szCs w:val="20"/>
          <w:u w:val="none"/>
        </w:rPr>
        <w:t xml:space="preserve"> </w:t>
      </w:r>
      <w:r>
        <w:rPr>
          <w:rFonts w:cstheme="minorHAnsi"/>
          <w:b w:val="0"/>
          <w:bCs/>
          <w:i w:val="0"/>
          <w:iCs/>
          <w:sz w:val="24"/>
          <w:szCs w:val="20"/>
          <w:u w:val="none"/>
        </w:rPr>
        <w:t>and leadership</w:t>
      </w:r>
      <w:r w:rsidRPr="00783464">
        <w:rPr>
          <w:rFonts w:cstheme="minorHAnsi"/>
          <w:b w:val="0"/>
          <w:bCs/>
          <w:i w:val="0"/>
          <w:iCs/>
          <w:sz w:val="24"/>
          <w:szCs w:val="20"/>
          <w:u w:val="none"/>
        </w:rPr>
        <w:t xml:space="preserve">. </w:t>
      </w:r>
      <w:r>
        <w:rPr>
          <w:rFonts w:cstheme="minorHAnsi"/>
          <w:b w:val="0"/>
          <w:bCs/>
          <w:i w:val="0"/>
          <w:iCs/>
          <w:sz w:val="24"/>
          <w:szCs w:val="20"/>
          <w:u w:val="none"/>
        </w:rPr>
        <w:t>N</w:t>
      </w:r>
      <w:r w:rsidRPr="00783464">
        <w:rPr>
          <w:rFonts w:cstheme="minorHAnsi"/>
          <w:b w:val="0"/>
          <w:bCs/>
          <w:i w:val="0"/>
          <w:iCs/>
          <w:sz w:val="24"/>
          <w:szCs w:val="20"/>
          <w:u w:val="none"/>
        </w:rPr>
        <w:t>umerous</w:t>
      </w:r>
      <w:r>
        <w:rPr>
          <w:rFonts w:cstheme="minorHAnsi"/>
          <w:b w:val="0"/>
          <w:bCs/>
          <w:i w:val="0"/>
          <w:iCs/>
          <w:sz w:val="24"/>
          <w:szCs w:val="20"/>
          <w:u w:val="none"/>
        </w:rPr>
        <w:t xml:space="preserve"> </w:t>
      </w:r>
      <w:r w:rsidRPr="00783464">
        <w:rPr>
          <w:rFonts w:cstheme="minorHAnsi"/>
          <w:b w:val="0"/>
          <w:bCs/>
          <w:i w:val="0"/>
          <w:iCs/>
          <w:sz w:val="24"/>
          <w:szCs w:val="20"/>
          <w:u w:val="none"/>
        </w:rPr>
        <w:t>and ongoing</w:t>
      </w:r>
      <w:r>
        <w:rPr>
          <w:rFonts w:cstheme="minorHAnsi"/>
          <w:b w:val="0"/>
          <w:bCs/>
          <w:i w:val="0"/>
          <w:iCs/>
          <w:sz w:val="24"/>
          <w:szCs w:val="20"/>
          <w:u w:val="none"/>
        </w:rPr>
        <w:t xml:space="preserve"> </w:t>
      </w:r>
      <w:r w:rsidRPr="00783464">
        <w:rPr>
          <w:rFonts w:cstheme="minorHAnsi"/>
          <w:b w:val="0"/>
          <w:bCs/>
          <w:i w:val="0"/>
          <w:iCs/>
          <w:sz w:val="24"/>
          <w:szCs w:val="20"/>
          <w:u w:val="none"/>
        </w:rPr>
        <w:t xml:space="preserve">opportunities </w:t>
      </w:r>
      <w:r>
        <w:rPr>
          <w:rFonts w:cstheme="minorHAnsi"/>
          <w:b w:val="0"/>
          <w:bCs/>
          <w:i w:val="0"/>
          <w:iCs/>
          <w:sz w:val="24"/>
          <w:szCs w:val="20"/>
          <w:u w:val="none"/>
        </w:rPr>
        <w:t xml:space="preserve">will exist </w:t>
      </w:r>
      <w:r w:rsidRPr="00783464">
        <w:rPr>
          <w:rFonts w:cstheme="minorHAnsi"/>
          <w:b w:val="0"/>
          <w:bCs/>
          <w:i w:val="0"/>
          <w:iCs/>
          <w:sz w:val="24"/>
          <w:szCs w:val="20"/>
          <w:u w:val="none"/>
        </w:rPr>
        <w:t xml:space="preserve">for members of </w:t>
      </w:r>
      <w:r>
        <w:rPr>
          <w:rFonts w:cstheme="minorHAnsi"/>
          <w:b w:val="0"/>
          <w:bCs/>
          <w:i w:val="0"/>
          <w:iCs/>
          <w:sz w:val="24"/>
          <w:szCs w:val="20"/>
          <w:u w:val="none"/>
        </w:rPr>
        <w:t>the University</w:t>
      </w:r>
      <w:r w:rsidRPr="00783464">
        <w:rPr>
          <w:rFonts w:cstheme="minorHAnsi"/>
          <w:b w:val="0"/>
          <w:bCs/>
          <w:i w:val="0"/>
          <w:iCs/>
          <w:sz w:val="24"/>
          <w:szCs w:val="20"/>
          <w:u w:val="none"/>
        </w:rPr>
        <w:t xml:space="preserve"> community to take part in the work, and regular public updates</w:t>
      </w:r>
      <w:r>
        <w:rPr>
          <w:rFonts w:cstheme="minorHAnsi"/>
          <w:b w:val="0"/>
          <w:bCs/>
          <w:i w:val="0"/>
          <w:iCs/>
          <w:sz w:val="24"/>
          <w:szCs w:val="20"/>
          <w:u w:val="none"/>
        </w:rPr>
        <w:t xml:space="preserve"> will be provided</w:t>
      </w:r>
      <w:r w:rsidRPr="00783464">
        <w:rPr>
          <w:rFonts w:cstheme="minorHAnsi"/>
          <w:b w:val="0"/>
          <w:bCs/>
          <w:i w:val="0"/>
          <w:iCs/>
          <w:sz w:val="24"/>
          <w:szCs w:val="20"/>
          <w:u w:val="none"/>
        </w:rPr>
        <w:t xml:space="preserve"> on progress, including reports to the Board’s Strategic Planning Committee, the full Board, and related bodies.</w:t>
      </w:r>
    </w:p>
    <w:p w14:paraId="4D8F3E21" w14:textId="77777777" w:rsidR="006A1340" w:rsidRPr="00AF374F" w:rsidRDefault="006A1340" w:rsidP="006A1340">
      <w:pPr>
        <w:pStyle w:val="AFR3"/>
        <w:rPr>
          <w:rFonts w:cstheme="minorHAnsi"/>
          <w:b w:val="0"/>
          <w:bCs/>
          <w:i w:val="0"/>
          <w:iCs/>
          <w:sz w:val="24"/>
          <w:szCs w:val="20"/>
          <w:u w:val="none"/>
        </w:rPr>
      </w:pPr>
      <w:r w:rsidRPr="00AF374F">
        <w:rPr>
          <w:rFonts w:cstheme="minorHAnsi"/>
          <w:b w:val="0"/>
          <w:bCs/>
          <w:i w:val="0"/>
          <w:iCs/>
          <w:sz w:val="24"/>
          <w:szCs w:val="20"/>
          <w:u w:val="none"/>
        </w:rPr>
        <w:t xml:space="preserve">The body of the plan is organized around five </w:t>
      </w:r>
      <w:r>
        <w:rPr>
          <w:rFonts w:cstheme="minorHAnsi"/>
          <w:b w:val="0"/>
          <w:bCs/>
          <w:i w:val="0"/>
          <w:iCs/>
          <w:sz w:val="24"/>
          <w:szCs w:val="20"/>
          <w:u w:val="none"/>
        </w:rPr>
        <w:t>core c</w:t>
      </w:r>
      <w:r w:rsidRPr="00AF374F">
        <w:rPr>
          <w:rFonts w:cstheme="minorHAnsi"/>
          <w:b w:val="0"/>
          <w:bCs/>
          <w:i w:val="0"/>
          <w:iCs/>
          <w:sz w:val="24"/>
          <w:szCs w:val="20"/>
          <w:u w:val="none"/>
        </w:rPr>
        <w:t>ommitments:</w:t>
      </w:r>
    </w:p>
    <w:p w14:paraId="0B4F5055" w14:textId="77777777" w:rsidR="006A1340" w:rsidRPr="00AF374F" w:rsidRDefault="006A1340" w:rsidP="006A1340">
      <w:pPr>
        <w:pStyle w:val="AFR3"/>
        <w:ind w:left="720"/>
        <w:rPr>
          <w:rFonts w:cstheme="minorHAnsi"/>
          <w:b w:val="0"/>
          <w:bCs/>
          <w:i w:val="0"/>
          <w:iCs/>
          <w:sz w:val="24"/>
          <w:szCs w:val="20"/>
          <w:u w:val="none"/>
        </w:rPr>
      </w:pPr>
      <w:r w:rsidRPr="00AF374F">
        <w:rPr>
          <w:rFonts w:cstheme="minorHAnsi"/>
          <w:b w:val="0"/>
          <w:bCs/>
          <w:i w:val="0"/>
          <w:iCs/>
          <w:sz w:val="24"/>
          <w:szCs w:val="20"/>
          <w:u w:val="none"/>
        </w:rPr>
        <w:t>1. Advancing the state of Maine through teaching, research, and service</w:t>
      </w:r>
      <w:r>
        <w:rPr>
          <w:rFonts w:cstheme="minorHAnsi"/>
          <w:b w:val="0"/>
          <w:bCs/>
          <w:i w:val="0"/>
          <w:iCs/>
          <w:sz w:val="24"/>
          <w:szCs w:val="20"/>
          <w:u w:val="none"/>
        </w:rPr>
        <w:t>.</w:t>
      </w:r>
    </w:p>
    <w:p w14:paraId="7CC98645" w14:textId="77777777" w:rsidR="006A1340" w:rsidRPr="00AF374F" w:rsidRDefault="006A1340" w:rsidP="006A1340">
      <w:pPr>
        <w:pStyle w:val="AFR3"/>
        <w:ind w:left="720"/>
        <w:rPr>
          <w:rFonts w:cstheme="minorHAnsi"/>
          <w:b w:val="0"/>
          <w:bCs/>
          <w:i w:val="0"/>
          <w:iCs/>
          <w:sz w:val="24"/>
          <w:szCs w:val="20"/>
          <w:u w:val="none"/>
        </w:rPr>
      </w:pPr>
      <w:r w:rsidRPr="00AF374F">
        <w:rPr>
          <w:rFonts w:cstheme="minorHAnsi"/>
          <w:b w:val="0"/>
          <w:bCs/>
          <w:i w:val="0"/>
          <w:iCs/>
          <w:sz w:val="24"/>
          <w:szCs w:val="20"/>
          <w:u w:val="none"/>
        </w:rPr>
        <w:lastRenderedPageBreak/>
        <w:t>2. Strengthening our System through financial sustainability and effective academic and infrastructure portfolio</w:t>
      </w:r>
      <w:r>
        <w:rPr>
          <w:rFonts w:cstheme="minorHAnsi"/>
          <w:b w:val="0"/>
          <w:bCs/>
          <w:i w:val="0"/>
          <w:iCs/>
          <w:sz w:val="24"/>
          <w:szCs w:val="20"/>
          <w:u w:val="none"/>
        </w:rPr>
        <w:t xml:space="preserve"> </w:t>
      </w:r>
      <w:r w:rsidRPr="00AF374F">
        <w:rPr>
          <w:rFonts w:cstheme="minorHAnsi"/>
          <w:b w:val="0"/>
          <w:bCs/>
          <w:i w:val="0"/>
          <w:iCs/>
          <w:sz w:val="24"/>
          <w:szCs w:val="20"/>
          <w:u w:val="none"/>
        </w:rPr>
        <w:t>management</w:t>
      </w:r>
      <w:r>
        <w:rPr>
          <w:rFonts w:cstheme="minorHAnsi"/>
          <w:b w:val="0"/>
          <w:bCs/>
          <w:i w:val="0"/>
          <w:iCs/>
          <w:sz w:val="24"/>
          <w:szCs w:val="20"/>
          <w:u w:val="none"/>
        </w:rPr>
        <w:t>.</w:t>
      </w:r>
    </w:p>
    <w:p w14:paraId="5A310A83" w14:textId="77777777" w:rsidR="006A1340" w:rsidRPr="00AF374F" w:rsidRDefault="006A1340" w:rsidP="006A1340">
      <w:pPr>
        <w:pStyle w:val="AFR3"/>
        <w:ind w:left="720"/>
        <w:rPr>
          <w:rFonts w:cstheme="minorHAnsi"/>
          <w:b w:val="0"/>
          <w:bCs/>
          <w:i w:val="0"/>
          <w:iCs/>
          <w:sz w:val="24"/>
          <w:szCs w:val="20"/>
          <w:u w:val="none"/>
        </w:rPr>
      </w:pPr>
      <w:r w:rsidRPr="00AF374F">
        <w:rPr>
          <w:rFonts w:cstheme="minorHAnsi"/>
          <w:b w:val="0"/>
          <w:bCs/>
          <w:i w:val="0"/>
          <w:iCs/>
          <w:sz w:val="24"/>
          <w:szCs w:val="20"/>
          <w:u w:val="none"/>
        </w:rPr>
        <w:t>3. Making our System a destination for public higher education and a respected, engaging, and rewarding place to</w:t>
      </w:r>
      <w:r>
        <w:rPr>
          <w:rFonts w:cstheme="minorHAnsi"/>
          <w:b w:val="0"/>
          <w:bCs/>
          <w:i w:val="0"/>
          <w:iCs/>
          <w:sz w:val="24"/>
          <w:szCs w:val="20"/>
          <w:u w:val="none"/>
        </w:rPr>
        <w:t xml:space="preserve"> </w:t>
      </w:r>
      <w:r w:rsidRPr="00AF374F">
        <w:rPr>
          <w:rFonts w:cstheme="minorHAnsi"/>
          <w:b w:val="0"/>
          <w:bCs/>
          <w:i w:val="0"/>
          <w:iCs/>
          <w:sz w:val="24"/>
          <w:szCs w:val="20"/>
          <w:u w:val="none"/>
        </w:rPr>
        <w:t>work</w:t>
      </w:r>
      <w:r>
        <w:rPr>
          <w:rFonts w:cstheme="minorHAnsi"/>
          <w:b w:val="0"/>
          <w:bCs/>
          <w:i w:val="0"/>
          <w:iCs/>
          <w:sz w:val="24"/>
          <w:szCs w:val="20"/>
          <w:u w:val="none"/>
        </w:rPr>
        <w:t>.</w:t>
      </w:r>
    </w:p>
    <w:p w14:paraId="266D30C3" w14:textId="77777777" w:rsidR="006A1340" w:rsidRPr="00AF374F" w:rsidRDefault="006A1340" w:rsidP="006A1340">
      <w:pPr>
        <w:pStyle w:val="AFR3"/>
        <w:ind w:left="720"/>
        <w:rPr>
          <w:rFonts w:cstheme="minorHAnsi"/>
          <w:b w:val="0"/>
          <w:bCs/>
          <w:i w:val="0"/>
          <w:iCs/>
          <w:sz w:val="24"/>
          <w:szCs w:val="20"/>
          <w:u w:val="none"/>
        </w:rPr>
      </w:pPr>
      <w:r w:rsidRPr="00AF374F">
        <w:rPr>
          <w:rFonts w:cstheme="minorHAnsi"/>
          <w:b w:val="0"/>
          <w:bCs/>
          <w:i w:val="0"/>
          <w:iCs/>
          <w:sz w:val="24"/>
          <w:szCs w:val="20"/>
          <w:u w:val="none"/>
        </w:rPr>
        <w:t>4. Creating a sense of belonging in our System through our commitments to justice, equity, diversity, and inclusion,</w:t>
      </w:r>
      <w:r>
        <w:rPr>
          <w:rFonts w:cstheme="minorHAnsi"/>
          <w:b w:val="0"/>
          <w:bCs/>
          <w:i w:val="0"/>
          <w:iCs/>
          <w:sz w:val="24"/>
          <w:szCs w:val="20"/>
          <w:u w:val="none"/>
        </w:rPr>
        <w:t xml:space="preserve"> </w:t>
      </w:r>
      <w:r w:rsidRPr="00AF374F">
        <w:rPr>
          <w:rFonts w:cstheme="minorHAnsi"/>
          <w:b w:val="0"/>
          <w:bCs/>
          <w:i w:val="0"/>
          <w:iCs/>
          <w:sz w:val="24"/>
          <w:szCs w:val="20"/>
          <w:u w:val="none"/>
        </w:rPr>
        <w:t>including opportunities for learning presented through multiple modalities (i.e.</w:t>
      </w:r>
      <w:r>
        <w:rPr>
          <w:rFonts w:cstheme="minorHAnsi"/>
          <w:b w:val="0"/>
          <w:bCs/>
          <w:i w:val="0"/>
          <w:iCs/>
          <w:sz w:val="24"/>
          <w:szCs w:val="20"/>
          <w:u w:val="none"/>
        </w:rPr>
        <w:t>,</w:t>
      </w:r>
      <w:r w:rsidRPr="00AF374F">
        <w:rPr>
          <w:rFonts w:cstheme="minorHAnsi"/>
          <w:b w:val="0"/>
          <w:bCs/>
          <w:i w:val="0"/>
          <w:iCs/>
          <w:sz w:val="24"/>
          <w:szCs w:val="20"/>
          <w:u w:val="none"/>
        </w:rPr>
        <w:t xml:space="preserve"> types of course delivery)</w:t>
      </w:r>
      <w:r>
        <w:rPr>
          <w:rFonts w:cstheme="minorHAnsi"/>
          <w:b w:val="0"/>
          <w:bCs/>
          <w:i w:val="0"/>
          <w:iCs/>
          <w:sz w:val="24"/>
          <w:szCs w:val="20"/>
          <w:u w:val="none"/>
        </w:rPr>
        <w:t>.</w:t>
      </w:r>
    </w:p>
    <w:p w14:paraId="45F47544" w14:textId="77777777" w:rsidR="006A1340" w:rsidRPr="00AF374F" w:rsidRDefault="006A1340" w:rsidP="006A1340">
      <w:pPr>
        <w:pStyle w:val="AFR3"/>
        <w:ind w:left="720"/>
        <w:rPr>
          <w:rFonts w:cstheme="minorHAnsi"/>
          <w:b w:val="0"/>
          <w:bCs/>
          <w:i w:val="0"/>
          <w:iCs/>
          <w:sz w:val="24"/>
          <w:szCs w:val="20"/>
          <w:u w:val="none"/>
        </w:rPr>
      </w:pPr>
      <w:r w:rsidRPr="00AF374F">
        <w:rPr>
          <w:rFonts w:cstheme="minorHAnsi"/>
          <w:b w:val="0"/>
          <w:bCs/>
          <w:i w:val="0"/>
          <w:iCs/>
          <w:sz w:val="24"/>
          <w:szCs w:val="20"/>
          <w:u w:val="none"/>
        </w:rPr>
        <w:t>5. Expanding the ability of our universities and law school to collaborate and flourish through our unified</w:t>
      </w:r>
      <w:r>
        <w:rPr>
          <w:rFonts w:cstheme="minorHAnsi"/>
          <w:b w:val="0"/>
          <w:bCs/>
          <w:i w:val="0"/>
          <w:iCs/>
          <w:sz w:val="24"/>
          <w:szCs w:val="20"/>
          <w:u w:val="none"/>
        </w:rPr>
        <w:t xml:space="preserve"> </w:t>
      </w:r>
      <w:r w:rsidRPr="00AF374F">
        <w:rPr>
          <w:rFonts w:cstheme="minorHAnsi"/>
          <w:b w:val="0"/>
          <w:bCs/>
          <w:i w:val="0"/>
          <w:iCs/>
          <w:sz w:val="24"/>
          <w:szCs w:val="20"/>
          <w:u w:val="none"/>
        </w:rPr>
        <w:t>accreditation</w:t>
      </w:r>
      <w:r>
        <w:rPr>
          <w:rFonts w:cstheme="minorHAnsi"/>
          <w:b w:val="0"/>
          <w:bCs/>
          <w:i w:val="0"/>
          <w:iCs/>
          <w:sz w:val="24"/>
          <w:szCs w:val="20"/>
          <w:u w:val="none"/>
        </w:rPr>
        <w:t>.</w:t>
      </w:r>
    </w:p>
    <w:p w14:paraId="4E439608" w14:textId="77777777" w:rsidR="006A1340" w:rsidRPr="00AF374F" w:rsidRDefault="006A1340" w:rsidP="006A1340">
      <w:pPr>
        <w:pStyle w:val="AFR3"/>
        <w:rPr>
          <w:rFonts w:cstheme="minorHAnsi"/>
          <w:b w:val="0"/>
          <w:bCs/>
          <w:i w:val="0"/>
          <w:iCs/>
          <w:sz w:val="24"/>
          <w:szCs w:val="20"/>
          <w:u w:val="none"/>
        </w:rPr>
      </w:pPr>
      <w:r w:rsidRPr="00AF374F">
        <w:rPr>
          <w:rFonts w:cstheme="minorHAnsi"/>
          <w:b w:val="0"/>
          <w:bCs/>
          <w:i w:val="0"/>
          <w:iCs/>
          <w:sz w:val="24"/>
          <w:szCs w:val="20"/>
          <w:u w:val="none"/>
        </w:rPr>
        <w:t>Under each Commitment is a set of Actions indicating what we will do to grow and improve our student-focused,</w:t>
      </w:r>
      <w:r>
        <w:rPr>
          <w:rFonts w:cstheme="minorHAnsi"/>
          <w:b w:val="0"/>
          <w:bCs/>
          <w:i w:val="0"/>
          <w:iCs/>
          <w:sz w:val="24"/>
          <w:szCs w:val="20"/>
          <w:u w:val="none"/>
        </w:rPr>
        <w:t xml:space="preserve"> </w:t>
      </w:r>
      <w:r w:rsidRPr="00AF374F">
        <w:rPr>
          <w:rFonts w:cstheme="minorHAnsi"/>
          <w:b w:val="0"/>
          <w:bCs/>
          <w:i w:val="0"/>
          <w:iCs/>
          <w:sz w:val="24"/>
          <w:szCs w:val="20"/>
          <w:u w:val="none"/>
        </w:rPr>
        <w:t>innovative, and financially sustainable universities and law school over the next five years. Under each Action is a set of</w:t>
      </w:r>
      <w:r>
        <w:rPr>
          <w:rFonts w:cstheme="minorHAnsi"/>
          <w:b w:val="0"/>
          <w:bCs/>
          <w:i w:val="0"/>
          <w:iCs/>
          <w:sz w:val="24"/>
          <w:szCs w:val="20"/>
          <w:u w:val="none"/>
        </w:rPr>
        <w:t xml:space="preserve"> </w:t>
      </w:r>
      <w:r w:rsidRPr="00AF374F">
        <w:rPr>
          <w:rFonts w:cstheme="minorHAnsi"/>
          <w:b w:val="0"/>
          <w:bCs/>
          <w:i w:val="0"/>
          <w:iCs/>
          <w:sz w:val="24"/>
          <w:szCs w:val="20"/>
          <w:u w:val="none"/>
        </w:rPr>
        <w:t>3</w:t>
      </w:r>
      <w:r>
        <w:rPr>
          <w:rFonts w:cstheme="minorHAnsi"/>
          <w:b w:val="0"/>
          <w:bCs/>
          <w:i w:val="0"/>
          <w:iCs/>
          <w:sz w:val="24"/>
          <w:szCs w:val="20"/>
          <w:u w:val="none"/>
        </w:rPr>
        <w:t xml:space="preserve"> </w:t>
      </w:r>
      <w:r w:rsidRPr="00AF374F">
        <w:rPr>
          <w:rFonts w:cstheme="minorHAnsi"/>
          <w:b w:val="0"/>
          <w:bCs/>
          <w:i w:val="0"/>
          <w:iCs/>
          <w:sz w:val="24"/>
          <w:szCs w:val="20"/>
          <w:u w:val="none"/>
        </w:rPr>
        <w:t>Goals: the steps we will take to operationalize our Actions in the service of our Commitments. In short:</w:t>
      </w:r>
    </w:p>
    <w:p w14:paraId="11DF9311" w14:textId="77777777" w:rsidR="006A1340" w:rsidRPr="00AF374F" w:rsidRDefault="006A1340" w:rsidP="006A1340">
      <w:pPr>
        <w:pStyle w:val="AFR3"/>
        <w:spacing w:before="120"/>
        <w:ind w:left="720"/>
        <w:rPr>
          <w:rFonts w:cstheme="minorHAnsi"/>
          <w:b w:val="0"/>
          <w:bCs/>
          <w:i w:val="0"/>
          <w:iCs/>
          <w:sz w:val="24"/>
          <w:szCs w:val="20"/>
          <w:u w:val="none"/>
        </w:rPr>
      </w:pPr>
      <w:r w:rsidRPr="00AF374F">
        <w:rPr>
          <w:rFonts w:cstheme="minorHAnsi"/>
          <w:b w:val="0"/>
          <w:bCs/>
          <w:i w:val="0"/>
          <w:iCs/>
          <w:sz w:val="24"/>
          <w:szCs w:val="20"/>
          <w:u w:val="none"/>
        </w:rPr>
        <w:t>• Our Commitments are what we value.</w:t>
      </w:r>
    </w:p>
    <w:p w14:paraId="4919A4B4" w14:textId="77777777" w:rsidR="006A1340" w:rsidRPr="00AF374F" w:rsidRDefault="006A1340" w:rsidP="006A1340">
      <w:pPr>
        <w:pStyle w:val="AFR3"/>
        <w:spacing w:before="120"/>
        <w:ind w:left="720"/>
        <w:rPr>
          <w:rFonts w:cstheme="minorHAnsi"/>
          <w:b w:val="0"/>
          <w:bCs/>
          <w:i w:val="0"/>
          <w:iCs/>
          <w:sz w:val="24"/>
          <w:szCs w:val="20"/>
          <w:u w:val="none"/>
        </w:rPr>
      </w:pPr>
      <w:r w:rsidRPr="00AF374F">
        <w:rPr>
          <w:rFonts w:cstheme="minorHAnsi"/>
          <w:b w:val="0"/>
          <w:bCs/>
          <w:i w:val="0"/>
          <w:iCs/>
          <w:sz w:val="24"/>
          <w:szCs w:val="20"/>
          <w:u w:val="none"/>
        </w:rPr>
        <w:t>• Our Actions are the ways we express our values.</w:t>
      </w:r>
    </w:p>
    <w:p w14:paraId="77D069B3" w14:textId="77777777" w:rsidR="006A1340" w:rsidRDefault="006A1340" w:rsidP="006A1340">
      <w:pPr>
        <w:pStyle w:val="AFR3"/>
        <w:spacing w:before="120"/>
        <w:ind w:left="720"/>
        <w:rPr>
          <w:rFonts w:cstheme="minorHAnsi"/>
          <w:b w:val="0"/>
          <w:bCs/>
          <w:i w:val="0"/>
          <w:iCs/>
          <w:sz w:val="24"/>
          <w:szCs w:val="20"/>
          <w:u w:val="none"/>
        </w:rPr>
      </w:pPr>
      <w:r w:rsidRPr="00AF374F">
        <w:rPr>
          <w:rFonts w:cstheme="minorHAnsi"/>
          <w:b w:val="0"/>
          <w:bCs/>
          <w:i w:val="0"/>
          <w:iCs/>
          <w:sz w:val="24"/>
          <w:szCs w:val="20"/>
          <w:u w:val="none"/>
        </w:rPr>
        <w:t>• Our Goals are how we w</w:t>
      </w:r>
      <w:r>
        <w:rPr>
          <w:rFonts w:cstheme="minorHAnsi"/>
          <w:b w:val="0"/>
          <w:bCs/>
          <w:i w:val="0"/>
          <w:iCs/>
          <w:sz w:val="24"/>
          <w:szCs w:val="20"/>
          <w:u w:val="none"/>
        </w:rPr>
        <w:t>ill achieve measurable results.</w:t>
      </w:r>
    </w:p>
    <w:p w14:paraId="1173EFD7" w14:textId="77777777" w:rsidR="006A1340" w:rsidRDefault="006A1340" w:rsidP="006A1340">
      <w:pPr>
        <w:pStyle w:val="AFR3"/>
        <w:rPr>
          <w:rFonts w:cstheme="minorHAnsi"/>
          <w:b w:val="0"/>
          <w:bCs/>
          <w:i w:val="0"/>
          <w:iCs/>
          <w:sz w:val="24"/>
          <w:szCs w:val="20"/>
          <w:u w:val="none"/>
        </w:rPr>
      </w:pPr>
      <w:r w:rsidRPr="00AF374F">
        <w:rPr>
          <w:rFonts w:cstheme="minorHAnsi"/>
          <w:b w:val="0"/>
          <w:bCs/>
          <w:i w:val="0"/>
          <w:iCs/>
          <w:sz w:val="24"/>
          <w:szCs w:val="20"/>
          <w:u w:val="none"/>
        </w:rPr>
        <w:t>Guided by this plan, our Board of Trustees, Chancellor, presidents, faculty, students, staff, administrators, alumni, and</w:t>
      </w:r>
      <w:r>
        <w:rPr>
          <w:rFonts w:cstheme="minorHAnsi"/>
          <w:b w:val="0"/>
          <w:bCs/>
          <w:i w:val="0"/>
          <w:iCs/>
          <w:sz w:val="24"/>
          <w:szCs w:val="20"/>
          <w:u w:val="none"/>
        </w:rPr>
        <w:t xml:space="preserve"> </w:t>
      </w:r>
      <w:r w:rsidRPr="00AF374F">
        <w:rPr>
          <w:rFonts w:cstheme="minorHAnsi"/>
          <w:b w:val="0"/>
          <w:bCs/>
          <w:i w:val="0"/>
          <w:iCs/>
          <w:sz w:val="24"/>
          <w:szCs w:val="20"/>
          <w:u w:val="none"/>
        </w:rPr>
        <w:t>external stakeholders will work together to lead the University of Maine System to a vibrant and sustainable future.</w:t>
      </w:r>
      <w:r>
        <w:rPr>
          <w:rFonts w:cstheme="minorHAnsi"/>
          <w:b w:val="0"/>
          <w:bCs/>
          <w:i w:val="0"/>
          <w:iCs/>
          <w:sz w:val="24"/>
          <w:szCs w:val="20"/>
          <w:u w:val="none"/>
        </w:rPr>
        <w:t xml:space="preserve"> </w:t>
      </w:r>
    </w:p>
    <w:p w14:paraId="27C4CFAB" w14:textId="77777777" w:rsidR="006A1340" w:rsidRPr="00783464" w:rsidRDefault="006A1340" w:rsidP="006A1340">
      <w:pPr>
        <w:pStyle w:val="AFR3"/>
        <w:rPr>
          <w:rFonts w:cstheme="minorHAnsi"/>
          <w:b w:val="0"/>
          <w:bCs/>
          <w:i w:val="0"/>
          <w:iCs/>
          <w:sz w:val="24"/>
          <w:szCs w:val="20"/>
          <w:u w:val="none"/>
        </w:rPr>
      </w:pPr>
      <w:r>
        <w:rPr>
          <w:rFonts w:cstheme="minorHAnsi"/>
          <w:b w:val="0"/>
          <w:bCs/>
          <w:i w:val="0"/>
          <w:iCs/>
          <w:sz w:val="24"/>
          <w:szCs w:val="20"/>
          <w:u w:val="none"/>
        </w:rPr>
        <w:t xml:space="preserve">We invite you to learn more about our plan by reviewing the full Strategic Plan located on the University’s </w:t>
      </w:r>
      <w:hyperlink r:id="rId36" w:history="1">
        <w:r w:rsidRPr="00AF374F">
          <w:rPr>
            <w:rStyle w:val="Hyperlink"/>
            <w:rFonts w:cstheme="minorHAnsi"/>
            <w:b w:val="0"/>
            <w:bCs/>
            <w:i w:val="0"/>
            <w:iCs/>
            <w:sz w:val="24"/>
          </w:rPr>
          <w:t>website</w:t>
        </w:r>
      </w:hyperlink>
      <w:r>
        <w:rPr>
          <w:rFonts w:cstheme="minorHAnsi"/>
          <w:b w:val="0"/>
          <w:bCs/>
          <w:i w:val="0"/>
          <w:iCs/>
          <w:sz w:val="24"/>
          <w:szCs w:val="20"/>
          <w:u w:val="none"/>
        </w:rPr>
        <w:t>.</w:t>
      </w:r>
    </w:p>
    <w:p w14:paraId="445F8E51" w14:textId="77777777" w:rsidR="006A1340" w:rsidRPr="00783464" w:rsidRDefault="006A1340" w:rsidP="006A1340">
      <w:pPr>
        <w:pStyle w:val="AFR3"/>
        <w:rPr>
          <w:rFonts w:cstheme="minorHAnsi"/>
        </w:rPr>
      </w:pPr>
      <w:r w:rsidRPr="00783464">
        <w:rPr>
          <w:rFonts w:cstheme="minorHAnsi"/>
        </w:rPr>
        <w:t>Research and Innovation</w:t>
      </w:r>
    </w:p>
    <w:p w14:paraId="20E37FEF" w14:textId="77777777" w:rsidR="006A1340" w:rsidRDefault="006A1340" w:rsidP="006A1340">
      <w:pPr>
        <w:pStyle w:val="AFR3"/>
        <w:rPr>
          <w:rFonts w:cstheme="minorHAnsi"/>
          <w:b w:val="0"/>
          <w:bCs/>
          <w:i w:val="0"/>
          <w:iCs/>
          <w:sz w:val="24"/>
          <w:szCs w:val="20"/>
          <w:u w:val="none"/>
        </w:rPr>
      </w:pPr>
      <w:r w:rsidRPr="0030093E">
        <w:rPr>
          <w:rFonts w:cstheme="minorHAnsi"/>
          <w:b w:val="0"/>
          <w:bCs/>
          <w:i w:val="0"/>
          <w:iCs/>
          <w:sz w:val="24"/>
          <w:szCs w:val="20"/>
          <w:u w:val="none"/>
        </w:rPr>
        <w:t xml:space="preserve">The need to grow </w:t>
      </w:r>
      <w:r>
        <w:rPr>
          <w:rFonts w:cstheme="minorHAnsi"/>
          <w:b w:val="0"/>
          <w:bCs/>
          <w:i w:val="0"/>
          <w:iCs/>
          <w:sz w:val="24"/>
          <w:szCs w:val="20"/>
          <w:u w:val="none"/>
        </w:rPr>
        <w:t>the size and skill of Maine’</w:t>
      </w:r>
      <w:r w:rsidRPr="0030093E">
        <w:rPr>
          <w:rFonts w:cstheme="minorHAnsi"/>
          <w:b w:val="0"/>
          <w:bCs/>
          <w:i w:val="0"/>
          <w:iCs/>
          <w:sz w:val="24"/>
          <w:szCs w:val="20"/>
          <w:u w:val="none"/>
        </w:rPr>
        <w:t xml:space="preserve">s workforce </w:t>
      </w:r>
      <w:r>
        <w:rPr>
          <w:rFonts w:cstheme="minorHAnsi"/>
          <w:b w:val="0"/>
          <w:bCs/>
          <w:i w:val="0"/>
          <w:iCs/>
          <w:sz w:val="24"/>
          <w:szCs w:val="20"/>
          <w:u w:val="none"/>
        </w:rPr>
        <w:t>is paramount to the success of Maine’s economic development goals. The University is doing its part in this journey. Research and development</w:t>
      </w:r>
      <w:r w:rsidRPr="00AC402B">
        <w:rPr>
          <w:rFonts w:cstheme="minorHAnsi"/>
          <w:b w:val="0"/>
          <w:bCs/>
          <w:i w:val="0"/>
          <w:iCs/>
          <w:sz w:val="24"/>
          <w:szCs w:val="20"/>
          <w:u w:val="none"/>
        </w:rPr>
        <w:t xml:space="preserve">-based experiential learning is </w:t>
      </w:r>
      <w:r>
        <w:rPr>
          <w:rFonts w:cstheme="minorHAnsi"/>
          <w:b w:val="0"/>
          <w:bCs/>
          <w:i w:val="0"/>
          <w:iCs/>
          <w:sz w:val="24"/>
          <w:szCs w:val="20"/>
          <w:u w:val="none"/>
        </w:rPr>
        <w:t xml:space="preserve">preparing our students for the Maine workforce and beyond, allowing our </w:t>
      </w:r>
      <w:r w:rsidRPr="00AC402B">
        <w:rPr>
          <w:rFonts w:cstheme="minorHAnsi"/>
          <w:b w:val="0"/>
          <w:bCs/>
          <w:i w:val="0"/>
          <w:iCs/>
          <w:sz w:val="24"/>
          <w:szCs w:val="20"/>
          <w:u w:val="none"/>
        </w:rPr>
        <w:t>students</w:t>
      </w:r>
      <w:r>
        <w:rPr>
          <w:rFonts w:cstheme="minorHAnsi"/>
          <w:b w:val="0"/>
          <w:bCs/>
          <w:i w:val="0"/>
          <w:iCs/>
          <w:sz w:val="24"/>
          <w:szCs w:val="20"/>
          <w:u w:val="none"/>
        </w:rPr>
        <w:t xml:space="preserve"> to </w:t>
      </w:r>
      <w:r w:rsidRPr="00AC402B">
        <w:rPr>
          <w:rFonts w:cstheme="minorHAnsi"/>
          <w:b w:val="0"/>
          <w:bCs/>
          <w:i w:val="0"/>
          <w:iCs/>
          <w:sz w:val="24"/>
          <w:szCs w:val="20"/>
          <w:u w:val="none"/>
        </w:rPr>
        <w:t>be problem-solvers and innovators.</w:t>
      </w:r>
      <w:r w:rsidRPr="004008D2">
        <w:rPr>
          <w:rFonts w:cstheme="minorHAnsi"/>
          <w:b w:val="0"/>
          <w:bCs/>
          <w:i w:val="0"/>
          <w:iCs/>
          <w:sz w:val="24"/>
          <w:szCs w:val="20"/>
          <w:u w:val="none"/>
        </w:rPr>
        <w:t xml:space="preserve"> </w:t>
      </w:r>
      <w:r>
        <w:rPr>
          <w:rFonts w:cstheme="minorHAnsi"/>
          <w:b w:val="0"/>
          <w:bCs/>
          <w:i w:val="0"/>
          <w:iCs/>
          <w:sz w:val="24"/>
          <w:szCs w:val="20"/>
          <w:u w:val="none"/>
        </w:rPr>
        <w:t>A</w:t>
      </w:r>
      <w:r w:rsidRPr="004008D2">
        <w:rPr>
          <w:rFonts w:cstheme="minorHAnsi"/>
          <w:b w:val="0"/>
          <w:bCs/>
          <w:i w:val="0"/>
          <w:iCs/>
          <w:sz w:val="24"/>
          <w:szCs w:val="20"/>
          <w:u w:val="none"/>
        </w:rPr>
        <w:t>ffordable, high-quality</w:t>
      </w:r>
      <w:r>
        <w:rPr>
          <w:rFonts w:cstheme="minorHAnsi"/>
          <w:b w:val="0"/>
          <w:bCs/>
          <w:i w:val="0"/>
          <w:iCs/>
          <w:sz w:val="24"/>
          <w:szCs w:val="20"/>
          <w:u w:val="none"/>
        </w:rPr>
        <w:t xml:space="preserve"> </w:t>
      </w:r>
      <w:r w:rsidRPr="004008D2">
        <w:rPr>
          <w:rFonts w:cstheme="minorHAnsi"/>
          <w:b w:val="0"/>
          <w:bCs/>
          <w:i w:val="0"/>
          <w:iCs/>
          <w:sz w:val="24"/>
          <w:szCs w:val="20"/>
          <w:u w:val="none"/>
        </w:rPr>
        <w:t>baccalaureate and graduate education provided by our public universities is the most</w:t>
      </w:r>
      <w:r>
        <w:rPr>
          <w:rFonts w:cstheme="minorHAnsi"/>
          <w:b w:val="0"/>
          <w:bCs/>
          <w:i w:val="0"/>
          <w:iCs/>
          <w:sz w:val="24"/>
          <w:szCs w:val="20"/>
          <w:u w:val="none"/>
        </w:rPr>
        <w:t xml:space="preserve"> </w:t>
      </w:r>
      <w:r w:rsidRPr="004008D2">
        <w:rPr>
          <w:rFonts w:cstheme="minorHAnsi"/>
          <w:b w:val="0"/>
          <w:bCs/>
          <w:i w:val="0"/>
          <w:iCs/>
          <w:sz w:val="24"/>
          <w:szCs w:val="20"/>
          <w:u w:val="none"/>
        </w:rPr>
        <w:t>proven path to social mobility</w:t>
      </w:r>
      <w:r>
        <w:rPr>
          <w:rFonts w:cstheme="minorHAnsi"/>
          <w:b w:val="0"/>
          <w:bCs/>
          <w:i w:val="0"/>
          <w:iCs/>
          <w:sz w:val="24"/>
          <w:szCs w:val="20"/>
          <w:u w:val="none"/>
        </w:rPr>
        <w:t xml:space="preserve"> </w:t>
      </w:r>
      <w:r w:rsidRPr="004008D2">
        <w:rPr>
          <w:rFonts w:cstheme="minorHAnsi"/>
          <w:b w:val="0"/>
          <w:bCs/>
          <w:i w:val="0"/>
          <w:iCs/>
          <w:sz w:val="24"/>
          <w:szCs w:val="20"/>
          <w:u w:val="none"/>
        </w:rPr>
        <w:t>for Mainers and to economic prosperity for our state.</w:t>
      </w:r>
    </w:p>
    <w:p w14:paraId="52AFCABD" w14:textId="77777777" w:rsidR="006A1340" w:rsidRPr="00783464" w:rsidRDefault="006A1340" w:rsidP="006A1340">
      <w:pPr>
        <w:pStyle w:val="AFR3"/>
        <w:rPr>
          <w:rFonts w:cstheme="minorHAnsi"/>
        </w:rPr>
      </w:pPr>
      <w:r w:rsidRPr="00783464">
        <w:rPr>
          <w:rFonts w:cstheme="minorHAnsi"/>
        </w:rPr>
        <w:t>Increase Statewide University Research Activity to Diversify and Grow Maine’s Economy</w:t>
      </w:r>
    </w:p>
    <w:p w14:paraId="3D01A979" w14:textId="77777777" w:rsidR="006A1340" w:rsidRPr="0030093E" w:rsidRDefault="006A1340" w:rsidP="006A1340">
      <w:pPr>
        <w:pStyle w:val="AFR3"/>
        <w:rPr>
          <w:rFonts w:cstheme="minorHAnsi"/>
          <w:b w:val="0"/>
          <w:bCs/>
          <w:i w:val="0"/>
          <w:iCs/>
          <w:sz w:val="24"/>
          <w:szCs w:val="20"/>
          <w:u w:val="none"/>
        </w:rPr>
      </w:pPr>
      <w:r w:rsidRPr="0030093E">
        <w:rPr>
          <w:rFonts w:cstheme="minorHAnsi"/>
          <w:b w:val="0"/>
          <w:bCs/>
          <w:i w:val="0"/>
          <w:iCs/>
          <w:sz w:val="24"/>
          <w:szCs w:val="20"/>
          <w:u w:val="none"/>
        </w:rPr>
        <w:t>Gov</w:t>
      </w:r>
      <w:r>
        <w:rPr>
          <w:rFonts w:cstheme="minorHAnsi"/>
          <w:b w:val="0"/>
          <w:bCs/>
          <w:i w:val="0"/>
          <w:iCs/>
          <w:sz w:val="24"/>
          <w:szCs w:val="20"/>
          <w:u w:val="none"/>
        </w:rPr>
        <w:t>ernor</w:t>
      </w:r>
      <w:r w:rsidRPr="0030093E">
        <w:rPr>
          <w:rFonts w:cstheme="minorHAnsi"/>
          <w:b w:val="0"/>
          <w:bCs/>
          <w:i w:val="0"/>
          <w:iCs/>
          <w:sz w:val="24"/>
          <w:szCs w:val="20"/>
          <w:u w:val="none"/>
        </w:rPr>
        <w:t xml:space="preserve"> Mills’ proposed FY24–25 biennial budget includes a $3</w:t>
      </w:r>
      <w:r>
        <w:rPr>
          <w:rFonts w:cstheme="minorHAnsi"/>
          <w:b w:val="0"/>
          <w:bCs/>
          <w:i w:val="0"/>
          <w:iCs/>
          <w:sz w:val="24"/>
          <w:szCs w:val="20"/>
          <w:u w:val="none"/>
        </w:rPr>
        <w:t xml:space="preserve"> million</w:t>
      </w:r>
      <w:r w:rsidRPr="0030093E">
        <w:rPr>
          <w:rFonts w:cstheme="minorHAnsi"/>
          <w:b w:val="0"/>
          <w:bCs/>
          <w:i w:val="0"/>
          <w:iCs/>
          <w:sz w:val="24"/>
          <w:szCs w:val="20"/>
          <w:u w:val="none"/>
        </w:rPr>
        <w:t xml:space="preserve"> increase in commercially promising public university research and innovation through the Maine Economic Improvement Fund (MEIF). In 2022, MEIF had a 6:1 rate of return for the state and allowed UMS universities — led by </w:t>
      </w:r>
      <w:r>
        <w:rPr>
          <w:rFonts w:cstheme="minorHAnsi"/>
          <w:b w:val="0"/>
          <w:bCs/>
          <w:i w:val="0"/>
          <w:iCs/>
          <w:sz w:val="24"/>
          <w:szCs w:val="20"/>
          <w:u w:val="none"/>
        </w:rPr>
        <w:t xml:space="preserve">the </w:t>
      </w:r>
      <w:r w:rsidRPr="0030093E">
        <w:rPr>
          <w:rFonts w:cstheme="minorHAnsi"/>
          <w:b w:val="0"/>
          <w:bCs/>
          <w:i w:val="0"/>
          <w:iCs/>
          <w:sz w:val="24"/>
          <w:szCs w:val="20"/>
          <w:u w:val="none"/>
        </w:rPr>
        <w:t xml:space="preserve">R1 flagship UMaine — to directly support hundreds of Maine </w:t>
      </w:r>
      <w:r w:rsidRPr="0030093E">
        <w:rPr>
          <w:rFonts w:cstheme="minorHAnsi"/>
          <w:b w:val="0"/>
          <w:bCs/>
          <w:i w:val="0"/>
          <w:iCs/>
          <w:sz w:val="24"/>
          <w:szCs w:val="20"/>
          <w:u w:val="none"/>
        </w:rPr>
        <w:lastRenderedPageBreak/>
        <w:t xml:space="preserve">companies and provide high-impact, hands-on paid research learning experiences for </w:t>
      </w:r>
      <w:r>
        <w:rPr>
          <w:rFonts w:cstheme="minorHAnsi"/>
          <w:b w:val="0"/>
          <w:bCs/>
          <w:i w:val="0"/>
          <w:iCs/>
          <w:sz w:val="24"/>
          <w:szCs w:val="20"/>
          <w:u w:val="none"/>
        </w:rPr>
        <w:t>over a thousand</w:t>
      </w:r>
      <w:r w:rsidRPr="0030093E">
        <w:rPr>
          <w:rFonts w:cstheme="minorHAnsi"/>
          <w:b w:val="0"/>
          <w:bCs/>
          <w:i w:val="0"/>
          <w:iCs/>
          <w:sz w:val="24"/>
          <w:szCs w:val="20"/>
          <w:u w:val="none"/>
        </w:rPr>
        <w:t xml:space="preserve"> students. Additional investment will enable UMS to better prepare more graduates to be problem-solvers and innovators in the Maine workforce and help companies here grow and create more great-paying jobs while sustaining the state’s abundant natural resources.</w:t>
      </w:r>
    </w:p>
    <w:p w14:paraId="03CF679E" w14:textId="77777777" w:rsidR="006A1340" w:rsidRDefault="006A1340" w:rsidP="006A1340">
      <w:pPr>
        <w:pStyle w:val="AFR3"/>
        <w:rPr>
          <w:rFonts w:cstheme="minorHAnsi"/>
          <w:b w:val="0"/>
          <w:bCs/>
          <w:i w:val="0"/>
          <w:iCs/>
          <w:sz w:val="24"/>
          <w:szCs w:val="20"/>
          <w:u w:val="none"/>
        </w:rPr>
      </w:pPr>
      <w:r>
        <w:rPr>
          <w:rFonts w:cstheme="minorHAnsi"/>
          <w:b w:val="0"/>
          <w:bCs/>
          <w:i w:val="0"/>
          <w:iCs/>
          <w:sz w:val="24"/>
          <w:szCs w:val="20"/>
          <w:u w:val="none"/>
        </w:rPr>
        <w:t>Private enterprise in Maine is almost entirely comprised of s</w:t>
      </w:r>
      <w:r w:rsidRPr="0030093E">
        <w:rPr>
          <w:rFonts w:cstheme="minorHAnsi"/>
          <w:b w:val="0"/>
          <w:bCs/>
          <w:i w:val="0"/>
          <w:iCs/>
          <w:sz w:val="24"/>
          <w:szCs w:val="20"/>
          <w:u w:val="none"/>
        </w:rPr>
        <w:t>mall businesses</w:t>
      </w:r>
      <w:r>
        <w:rPr>
          <w:rFonts w:cstheme="minorHAnsi"/>
          <w:b w:val="0"/>
          <w:bCs/>
          <w:i w:val="0"/>
          <w:iCs/>
          <w:sz w:val="24"/>
          <w:szCs w:val="20"/>
          <w:u w:val="none"/>
        </w:rPr>
        <w:t>, m</w:t>
      </w:r>
      <w:r w:rsidRPr="0030093E">
        <w:rPr>
          <w:rFonts w:cstheme="minorHAnsi"/>
          <w:b w:val="0"/>
          <w:bCs/>
          <w:i w:val="0"/>
          <w:iCs/>
          <w:sz w:val="24"/>
          <w:szCs w:val="20"/>
          <w:u w:val="none"/>
        </w:rPr>
        <w:t>any</w:t>
      </w:r>
      <w:r>
        <w:rPr>
          <w:rFonts w:cstheme="minorHAnsi"/>
          <w:b w:val="0"/>
          <w:bCs/>
          <w:i w:val="0"/>
          <w:iCs/>
          <w:sz w:val="24"/>
          <w:szCs w:val="20"/>
          <w:u w:val="none"/>
        </w:rPr>
        <w:t xml:space="preserve"> of which</w:t>
      </w:r>
      <w:r w:rsidRPr="0030093E">
        <w:rPr>
          <w:rFonts w:cstheme="minorHAnsi"/>
          <w:b w:val="0"/>
          <w:bCs/>
          <w:i w:val="0"/>
          <w:iCs/>
          <w:sz w:val="24"/>
          <w:szCs w:val="20"/>
          <w:u w:val="none"/>
        </w:rPr>
        <w:t xml:space="preserve"> lack their own R&amp;D capacity and rely on UMS expertise and facilities to develop the talent, technology, and new and improved products and processes they need to be competitive. </w:t>
      </w:r>
    </w:p>
    <w:p w14:paraId="46C6D803" w14:textId="77777777" w:rsidR="006A1340" w:rsidRDefault="006A1340" w:rsidP="004B6F10">
      <w:pPr>
        <w:pStyle w:val="AFR3"/>
        <w:rPr>
          <w:sz w:val="24"/>
          <w:szCs w:val="24"/>
        </w:rPr>
      </w:pPr>
      <w:r>
        <w:t xml:space="preserve">The </w:t>
      </w:r>
      <w:r w:rsidRPr="00B30F29">
        <w:t>Maine Jobs and Recovery Plan</w:t>
      </w:r>
      <w:r>
        <w:t xml:space="preserve"> </w:t>
      </w:r>
      <w:r w:rsidRPr="00B30F29">
        <w:t>– University Funding Allocation</w:t>
      </w:r>
    </w:p>
    <w:p w14:paraId="5559CD18" w14:textId="77777777" w:rsidR="006A1340" w:rsidRDefault="006A1340" w:rsidP="006A1340">
      <w:pPr>
        <w:tabs>
          <w:tab w:val="left" w:pos="540"/>
        </w:tabs>
        <w:spacing w:before="240"/>
        <w:rPr>
          <w:rFonts w:cstheme="minorHAnsi"/>
          <w:sz w:val="24"/>
          <w:szCs w:val="24"/>
        </w:rPr>
      </w:pPr>
      <w:r w:rsidRPr="00956603">
        <w:rPr>
          <w:rFonts w:cstheme="minorHAnsi"/>
          <w:sz w:val="24"/>
          <w:szCs w:val="24"/>
        </w:rPr>
        <w:t xml:space="preserve">The federal American Rescue Plan provided relief funding for states including a $1.13 billion allocation to </w:t>
      </w:r>
      <w:r>
        <w:rPr>
          <w:rFonts w:cstheme="minorHAnsi"/>
          <w:sz w:val="24"/>
          <w:szCs w:val="24"/>
        </w:rPr>
        <w:t xml:space="preserve">the state of </w:t>
      </w:r>
      <w:r w:rsidRPr="00956603">
        <w:rPr>
          <w:rFonts w:cstheme="minorHAnsi"/>
          <w:sz w:val="24"/>
          <w:szCs w:val="24"/>
        </w:rPr>
        <w:t xml:space="preserve">Maine for discretionary use by the Governor and Legislature to respond to the pandemic and support economic recovery. The passage of the Maine Jobs and Recovery Plan </w:t>
      </w:r>
      <w:r>
        <w:rPr>
          <w:rFonts w:cstheme="minorHAnsi"/>
          <w:sz w:val="24"/>
          <w:szCs w:val="24"/>
        </w:rPr>
        <w:t xml:space="preserve">(MJRP) </w:t>
      </w:r>
      <w:r w:rsidRPr="00956603">
        <w:rPr>
          <w:rFonts w:cstheme="minorHAnsi"/>
          <w:sz w:val="24"/>
          <w:szCs w:val="24"/>
        </w:rPr>
        <w:t xml:space="preserve">identifies priorities for using these funds including $35 million to be invested in critical university workforce infrastructure and experience opportunities </w:t>
      </w:r>
      <w:r>
        <w:rPr>
          <w:rFonts w:cstheme="minorHAnsi"/>
          <w:sz w:val="24"/>
          <w:szCs w:val="24"/>
        </w:rPr>
        <w:t xml:space="preserve">thereby </w:t>
      </w:r>
      <w:r w:rsidRPr="00956603">
        <w:rPr>
          <w:rFonts w:cstheme="minorHAnsi"/>
          <w:sz w:val="24"/>
          <w:szCs w:val="24"/>
        </w:rPr>
        <w:t xml:space="preserve">advancing economic recovery and Maine’s 10-year strategic plan. </w:t>
      </w:r>
    </w:p>
    <w:p w14:paraId="711E0209" w14:textId="77777777" w:rsidR="006A1340" w:rsidRDefault="006A1340" w:rsidP="006A1340">
      <w:pPr>
        <w:tabs>
          <w:tab w:val="left" w:pos="540"/>
        </w:tabs>
        <w:spacing w:before="240"/>
        <w:rPr>
          <w:rFonts w:cstheme="minorHAnsi"/>
          <w:sz w:val="24"/>
          <w:szCs w:val="24"/>
        </w:rPr>
      </w:pPr>
      <w:r w:rsidRPr="00956603">
        <w:rPr>
          <w:rFonts w:cstheme="minorHAnsi"/>
          <w:sz w:val="24"/>
          <w:szCs w:val="24"/>
        </w:rPr>
        <w:t>These resources will accelerate talent development, research and innovation and the long-term economic growth and global competitiveness of Maine that responds to the COVID-19 public health emergency. Students will experience greater opportunities for exploratory learning, paid internships, and career preparation programs</w:t>
      </w:r>
      <w:r w:rsidRPr="00954D00">
        <w:rPr>
          <w:rFonts w:cstheme="minorHAnsi"/>
          <w:sz w:val="24"/>
          <w:szCs w:val="24"/>
        </w:rPr>
        <w:t xml:space="preserve"> connected to the Maine workforce.</w:t>
      </w:r>
    </w:p>
    <w:p w14:paraId="2740F7D3" w14:textId="77777777" w:rsidR="006A1340" w:rsidRDefault="006A1340" w:rsidP="006A1340">
      <w:pPr>
        <w:rPr>
          <w:rFonts w:cstheme="minorHAnsi"/>
        </w:rPr>
      </w:pPr>
      <w:r>
        <w:rPr>
          <w:rFonts w:cstheme="minorHAnsi"/>
          <w:sz w:val="24"/>
          <w:szCs w:val="24"/>
        </w:rPr>
        <w:t>The UMS MJRP Initiative,</w:t>
      </w:r>
      <w:r w:rsidRPr="00302955">
        <w:rPr>
          <w:rFonts w:cstheme="minorHAnsi"/>
          <w:sz w:val="24"/>
          <w:szCs w:val="24"/>
        </w:rPr>
        <w:t xml:space="preserve"> called Talent, Research &amp; Innovation for Maine (TRI-Maine)</w:t>
      </w:r>
      <w:r>
        <w:rPr>
          <w:rFonts w:cstheme="minorHAnsi"/>
          <w:sz w:val="24"/>
          <w:szCs w:val="24"/>
        </w:rPr>
        <w:t>,</w:t>
      </w:r>
      <w:r w:rsidRPr="00302955">
        <w:rPr>
          <w:rFonts w:cstheme="minorHAnsi"/>
          <w:sz w:val="24"/>
          <w:szCs w:val="24"/>
        </w:rPr>
        <w:t xml:space="preserve"> includes </w:t>
      </w:r>
      <w:r>
        <w:rPr>
          <w:rFonts w:cstheme="minorHAnsi"/>
          <w:sz w:val="24"/>
          <w:szCs w:val="24"/>
        </w:rPr>
        <w:t>various</w:t>
      </w:r>
      <w:r w:rsidRPr="00302955">
        <w:rPr>
          <w:rFonts w:cstheme="minorHAnsi"/>
          <w:sz w:val="24"/>
          <w:szCs w:val="24"/>
        </w:rPr>
        <w:t xml:space="preserve"> projects</w:t>
      </w:r>
      <w:r>
        <w:rPr>
          <w:rFonts w:cstheme="minorHAnsi"/>
          <w:sz w:val="24"/>
          <w:szCs w:val="24"/>
        </w:rPr>
        <w:t xml:space="preserve"> and a</w:t>
      </w:r>
      <w:r w:rsidRPr="00302955">
        <w:rPr>
          <w:rFonts w:cstheme="minorHAnsi"/>
          <w:sz w:val="24"/>
          <w:szCs w:val="24"/>
        </w:rPr>
        <w:t xml:space="preserve"> small grants process</w:t>
      </w:r>
      <w:r>
        <w:rPr>
          <w:rFonts w:cstheme="minorHAnsi"/>
          <w:sz w:val="24"/>
          <w:szCs w:val="24"/>
        </w:rPr>
        <w:t>, with a</w:t>
      </w:r>
      <w:r w:rsidRPr="00302955">
        <w:rPr>
          <w:rFonts w:cstheme="minorHAnsi"/>
          <w:sz w:val="24"/>
          <w:szCs w:val="24"/>
        </w:rPr>
        <w:t xml:space="preserve"> portion of each budget directly targeted for workforce development.</w:t>
      </w:r>
      <w:r>
        <w:rPr>
          <w:rFonts w:cstheme="minorHAnsi"/>
          <w:sz w:val="24"/>
          <w:szCs w:val="24"/>
        </w:rPr>
        <w:t xml:space="preserve"> Projects include those related to Green Engineering, Sustainable Aquaculture, Food Innovation and Quality, Early Childhood Education, a Farm Research and Education Center, Digital Science and Innovation, Rural Career Pathways, and Marine Sciences.</w:t>
      </w:r>
    </w:p>
    <w:p w14:paraId="02702A81" w14:textId="77777777" w:rsidR="006A1340" w:rsidRDefault="006A1340" w:rsidP="006A1340">
      <w:pPr>
        <w:spacing w:line="259" w:lineRule="auto"/>
        <w:rPr>
          <w:rFonts w:cstheme="minorHAnsi"/>
        </w:rPr>
      </w:pPr>
    </w:p>
    <w:p w14:paraId="241B49F7" w14:textId="77777777" w:rsidR="006A1340" w:rsidRPr="00B30F29" w:rsidRDefault="006A1340" w:rsidP="006A1340">
      <w:pPr>
        <w:spacing w:line="259" w:lineRule="auto"/>
        <w:rPr>
          <w:rFonts w:eastAsia="Times New Roman" w:cstheme="minorHAnsi"/>
          <w:b/>
          <w:i/>
          <w:sz w:val="26"/>
          <w:szCs w:val="26"/>
          <w:u w:val="single"/>
        </w:rPr>
      </w:pPr>
      <w:r w:rsidRPr="00B30F29">
        <w:rPr>
          <w:rFonts w:eastAsia="Times New Roman" w:cstheme="minorHAnsi"/>
          <w:b/>
          <w:i/>
          <w:sz w:val="26"/>
          <w:szCs w:val="26"/>
          <w:u w:val="single"/>
        </w:rPr>
        <w:t xml:space="preserve">University Credit Rating </w:t>
      </w:r>
    </w:p>
    <w:p w14:paraId="06D4A4CE" w14:textId="25E16BCF" w:rsidR="00A83362" w:rsidRDefault="006A1340" w:rsidP="00A83362">
      <w:pPr>
        <w:spacing w:before="240"/>
        <w:rPr>
          <w:rFonts w:eastAsia="Times New Roman" w:cstheme="minorHAnsi"/>
          <w:sz w:val="24"/>
          <w:szCs w:val="24"/>
        </w:rPr>
      </w:pPr>
      <w:r>
        <w:rPr>
          <w:rFonts w:eastAsia="Times New Roman" w:cstheme="minorHAnsi"/>
          <w:sz w:val="24"/>
          <w:szCs w:val="24"/>
        </w:rPr>
        <w:t xml:space="preserve">The System routinely issues revenue bonds for its capital needs and S&amp;P Global Ratings (S&amp;P) reviews the credit worthiness of the System and its debt. In May 2023, S&amp;P affirmed </w:t>
      </w:r>
      <w:r w:rsidRPr="004A36FE">
        <w:rPr>
          <w:rFonts w:cstheme="minorHAnsi"/>
          <w:sz w:val="24"/>
          <w:szCs w:val="24"/>
        </w:rPr>
        <w:t xml:space="preserve">its AA- rating </w:t>
      </w:r>
      <w:r>
        <w:rPr>
          <w:rFonts w:cstheme="minorHAnsi"/>
          <w:sz w:val="24"/>
          <w:szCs w:val="24"/>
        </w:rPr>
        <w:t>with a negative</w:t>
      </w:r>
      <w:r w:rsidRPr="004A36FE">
        <w:rPr>
          <w:rFonts w:cstheme="minorHAnsi"/>
          <w:sz w:val="24"/>
          <w:szCs w:val="24"/>
        </w:rPr>
        <w:t xml:space="preserve"> </w:t>
      </w:r>
      <w:r>
        <w:rPr>
          <w:rFonts w:cstheme="minorHAnsi"/>
          <w:sz w:val="24"/>
          <w:szCs w:val="24"/>
        </w:rPr>
        <w:t xml:space="preserve">outlook </w:t>
      </w:r>
      <w:r w:rsidRPr="004A36FE">
        <w:rPr>
          <w:rFonts w:cstheme="minorHAnsi"/>
          <w:sz w:val="24"/>
          <w:szCs w:val="24"/>
        </w:rPr>
        <w:t>for the UMS’ revenue bonds</w:t>
      </w:r>
      <w:r>
        <w:rPr>
          <w:rFonts w:cstheme="minorHAnsi"/>
          <w:sz w:val="24"/>
          <w:szCs w:val="24"/>
        </w:rPr>
        <w:t xml:space="preserve">. </w:t>
      </w:r>
      <w:r w:rsidRPr="004A36FE">
        <w:rPr>
          <w:rFonts w:cstheme="minorHAnsi"/>
          <w:sz w:val="24"/>
          <w:szCs w:val="24"/>
        </w:rPr>
        <w:t xml:space="preserve">In its overview, S&amp;P assessed UMS' enterprise profile as strong, characterized by our breadth and depth of institutions and </w:t>
      </w:r>
      <w:r>
        <w:rPr>
          <w:rFonts w:cstheme="minorHAnsi"/>
          <w:sz w:val="24"/>
          <w:szCs w:val="24"/>
        </w:rPr>
        <w:t>with offsetting factors including</w:t>
      </w:r>
      <w:r w:rsidRPr="00BE7067">
        <w:rPr>
          <w:rFonts w:cstheme="minorHAnsi"/>
          <w:sz w:val="24"/>
          <w:szCs w:val="24"/>
        </w:rPr>
        <w:t xml:space="preserve"> persistent weakness across demand metrics, with retention, matriculation, and graduation rates falling short of many similarly rated peers and UMS' enrollment, which had generally remained stable, but have recently seen some softening due, in part, to unfavorable state demographics and strong regional competition. </w:t>
      </w:r>
      <w:r>
        <w:rPr>
          <w:rFonts w:cstheme="minorHAnsi"/>
          <w:sz w:val="24"/>
          <w:szCs w:val="24"/>
        </w:rPr>
        <w:t>Further, they</w:t>
      </w:r>
      <w:r w:rsidRPr="00BE7067">
        <w:rPr>
          <w:rFonts w:cstheme="minorHAnsi"/>
          <w:sz w:val="24"/>
          <w:szCs w:val="24"/>
        </w:rPr>
        <w:t xml:space="preserve"> </w:t>
      </w:r>
      <w:r>
        <w:rPr>
          <w:rFonts w:cstheme="minorHAnsi"/>
          <w:sz w:val="24"/>
          <w:szCs w:val="24"/>
        </w:rPr>
        <w:t>a</w:t>
      </w:r>
      <w:r w:rsidRPr="00BE7067">
        <w:rPr>
          <w:rFonts w:cstheme="minorHAnsi"/>
          <w:sz w:val="24"/>
          <w:szCs w:val="24"/>
        </w:rPr>
        <w:t xml:space="preserve">ssessed UMS' financial profile as very strong, recognizing </w:t>
      </w:r>
      <w:r>
        <w:rPr>
          <w:rFonts w:cstheme="minorHAnsi"/>
          <w:sz w:val="24"/>
          <w:szCs w:val="24"/>
        </w:rPr>
        <w:t>our</w:t>
      </w:r>
      <w:r w:rsidRPr="00BE7067">
        <w:rPr>
          <w:rFonts w:cstheme="minorHAnsi"/>
          <w:sz w:val="24"/>
          <w:szCs w:val="24"/>
        </w:rPr>
        <w:t xml:space="preserve"> robust financial resources and healthy financial management policies, while noting a history of full-accrual operating deficits and significant future debt plans as a limiting factor. Historically, </w:t>
      </w:r>
      <w:r>
        <w:rPr>
          <w:rFonts w:cstheme="minorHAnsi"/>
          <w:sz w:val="24"/>
          <w:szCs w:val="24"/>
        </w:rPr>
        <w:t xml:space="preserve">they </w:t>
      </w:r>
      <w:r w:rsidRPr="00BE7067">
        <w:rPr>
          <w:rFonts w:cstheme="minorHAnsi"/>
          <w:sz w:val="24"/>
          <w:szCs w:val="24"/>
        </w:rPr>
        <w:t>viewed UMS' short debt amortization as an additional strength, although the series 2022 bonds extended debt service to 2062.</w:t>
      </w:r>
    </w:p>
    <w:p w14:paraId="26C32BEF" w14:textId="77777777" w:rsidR="00A83362" w:rsidRDefault="00A83362" w:rsidP="00A83362">
      <w:pPr>
        <w:spacing w:after="160" w:line="259" w:lineRule="auto"/>
        <w:sectPr w:rsidR="00A83362" w:rsidSect="0070537E">
          <w:headerReference w:type="default" r:id="rId37"/>
          <w:footerReference w:type="default" r:id="rId38"/>
          <w:type w:val="continuous"/>
          <w:pgSz w:w="12240" w:h="15840"/>
          <w:pgMar w:top="1440" w:right="1440" w:bottom="1440" w:left="1440" w:header="720" w:footer="720" w:gutter="0"/>
          <w:cols w:space="720"/>
        </w:sectPr>
      </w:pPr>
      <w:bookmarkStart w:id="7" w:name="_MON_1506237775"/>
      <w:bookmarkStart w:id="8" w:name="_MON_1505913879"/>
      <w:bookmarkStart w:id="9" w:name="_MON_1474965527"/>
      <w:bookmarkEnd w:id="6"/>
      <w:bookmarkEnd w:id="7"/>
      <w:bookmarkEnd w:id="8"/>
      <w:bookmarkEnd w:id="9"/>
      <w:r>
        <w:br w:type="page"/>
      </w:r>
    </w:p>
    <w:p w14:paraId="5526BB16" w14:textId="77777777" w:rsidR="00C45D47" w:rsidRDefault="00C45D47" w:rsidP="00C45D47">
      <w:pPr>
        <w:rPr>
          <w:b/>
          <w:i/>
          <w:sz w:val="26"/>
          <w:szCs w:val="26"/>
        </w:rPr>
      </w:pPr>
      <w:r>
        <w:rPr>
          <w:b/>
          <w:i/>
          <w:sz w:val="26"/>
          <w:szCs w:val="26"/>
        </w:rPr>
        <w:lastRenderedPageBreak/>
        <w:t>UNIVERSITY OF MAINE SYSTEM</w:t>
      </w:r>
    </w:p>
    <w:p w14:paraId="49E4107C" w14:textId="77777777" w:rsidR="00C45D47" w:rsidRDefault="00C45D47" w:rsidP="00C45D47">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STATEMENTS OF NET POSITION</w:t>
      </w:r>
    </w:p>
    <w:p w14:paraId="4D59488D" w14:textId="77777777" w:rsidR="00C45D47" w:rsidRDefault="00C45D47" w:rsidP="00C45D47">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JUNE 30, 2023 AND 2022 (IN THOUSANDS)</w:t>
      </w:r>
    </w:p>
    <w:p w14:paraId="75412B73" w14:textId="52C3648E" w:rsidR="00C45D47" w:rsidRDefault="00414746" w:rsidP="00C45D47">
      <w:pPr>
        <w:tabs>
          <w:tab w:val="left" w:pos="265"/>
          <w:tab w:val="center" w:pos="4680"/>
        </w:tabs>
        <w:jc w:val="center"/>
        <w:rPr>
          <w:rFonts w:ascii="Calibri" w:hAnsi="Calibri"/>
          <w:sz w:val="10"/>
          <w:szCs w:val="24"/>
        </w:rPr>
      </w:pPr>
      <w:r w:rsidRPr="00414746">
        <w:rPr>
          <w:noProof/>
        </w:rPr>
        <w:drawing>
          <wp:inline distT="0" distB="0" distL="0" distR="0" wp14:anchorId="5FFC7544" wp14:editId="208F4658">
            <wp:extent cx="4896896" cy="7498080"/>
            <wp:effectExtent l="0" t="0" r="0" b="7620"/>
            <wp:docPr id="86006080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60808" name="Picture 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6896" cy="7498080"/>
                    </a:xfrm>
                    <a:prstGeom prst="rect">
                      <a:avLst/>
                    </a:prstGeom>
                    <a:noFill/>
                    <a:ln>
                      <a:noFill/>
                    </a:ln>
                  </pic:spPr>
                </pic:pic>
              </a:graphicData>
            </a:graphic>
          </wp:inline>
        </w:drawing>
      </w:r>
      <w:r w:rsidR="00C45D47">
        <w:rPr>
          <w:rFonts w:ascii="Calibri" w:hAnsi="Calibri"/>
          <w:sz w:val="10"/>
          <w:szCs w:val="24"/>
        </w:rPr>
        <w:fldChar w:fldCharType="begin"/>
      </w:r>
      <w:r w:rsidR="00C45D47">
        <w:rPr>
          <w:rFonts w:ascii="Calibri" w:hAnsi="Calibri"/>
          <w:sz w:val="10"/>
          <w:szCs w:val="24"/>
        </w:rPr>
        <w:fldChar w:fldCharType="separate"/>
      </w:r>
      <w:r w:rsidR="00C45D47">
        <w:rPr>
          <w:rFonts w:ascii="Calibri" w:hAnsi="Calibri"/>
          <w:noProof/>
          <w:sz w:val="10"/>
          <w:szCs w:val="24"/>
        </w:rPr>
        <w:drawing>
          <wp:inline distT="0" distB="0" distL="0" distR="0" wp14:anchorId="64AA1CD4" wp14:editId="6D20D74A">
            <wp:extent cx="5684520" cy="8176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4520" cy="8176260"/>
                    </a:xfrm>
                    <a:prstGeom prst="rect">
                      <a:avLst/>
                    </a:prstGeom>
                    <a:noFill/>
                    <a:ln>
                      <a:noFill/>
                    </a:ln>
                  </pic:spPr>
                </pic:pic>
              </a:graphicData>
            </a:graphic>
          </wp:inline>
        </w:drawing>
      </w:r>
      <w:r w:rsidR="00C45D47">
        <w:rPr>
          <w:rFonts w:ascii="Calibri" w:hAnsi="Calibri"/>
          <w:sz w:val="10"/>
          <w:szCs w:val="24"/>
        </w:rPr>
        <w:fldChar w:fldCharType="end"/>
      </w:r>
    </w:p>
    <w:p w14:paraId="602CE000" w14:textId="22D6DD08" w:rsidR="00C45D47" w:rsidRDefault="00C45D47" w:rsidP="00C45D47">
      <w:pPr>
        <w:rPr>
          <w:rFonts w:ascii="Calibri" w:hAnsi="Calibri"/>
          <w:sz w:val="10"/>
          <w:szCs w:val="24"/>
        </w:rPr>
        <w:sectPr w:rsidR="00C45D47" w:rsidSect="00C45D47">
          <w:headerReference w:type="default" r:id="rId41"/>
          <w:footerReference w:type="default" r:id="rId42"/>
          <w:type w:val="continuous"/>
          <w:pgSz w:w="12240" w:h="15840"/>
          <w:pgMar w:top="1440" w:right="1440" w:bottom="1440" w:left="1440" w:header="720" w:footer="720" w:gutter="0"/>
          <w:cols w:space="720"/>
        </w:sectPr>
      </w:pPr>
    </w:p>
    <w:p w14:paraId="349A3857" w14:textId="77777777" w:rsidR="00C45D47" w:rsidRDefault="00C45D47" w:rsidP="00C45D47">
      <w:pPr>
        <w:rPr>
          <w:b/>
          <w:i/>
          <w:sz w:val="26"/>
          <w:szCs w:val="26"/>
        </w:rPr>
      </w:pPr>
      <w:r>
        <w:rPr>
          <w:b/>
          <w:i/>
          <w:sz w:val="26"/>
          <w:szCs w:val="26"/>
        </w:rPr>
        <w:lastRenderedPageBreak/>
        <w:t>UNIVERSITY OF MAINE SYSTEM</w:t>
      </w:r>
    </w:p>
    <w:p w14:paraId="1B70415E" w14:textId="77777777" w:rsidR="00C45D47" w:rsidRDefault="00C45D47" w:rsidP="00C45D47">
      <w:pPr>
        <w:pStyle w:val="Style1"/>
      </w:pPr>
      <w:r>
        <w:t xml:space="preserve">Statements of Financial Position – </w:t>
      </w:r>
      <w:r w:rsidRPr="00954D00">
        <w:rPr>
          <w:color w:val="auto"/>
        </w:rPr>
        <w:t>Discretely Presented Component Unit</w:t>
      </w:r>
    </w:p>
    <w:p w14:paraId="3C886BDF" w14:textId="77777777" w:rsidR="00C45D47" w:rsidRDefault="00C45D47" w:rsidP="00C45D47">
      <w:pPr>
        <w:pBdr>
          <w:bottom w:val="single" w:sz="18" w:space="1" w:color="00688D"/>
        </w:pBdr>
        <w:rPr>
          <w:b/>
          <w:color w:val="FF0000"/>
          <w:sz w:val="26"/>
          <w:szCs w:val="26"/>
        </w:rPr>
      </w:pPr>
      <w:r>
        <w:rPr>
          <w:b/>
          <w:i/>
          <w:sz w:val="26"/>
          <w:szCs w:val="26"/>
        </w:rPr>
        <w:t>DECEMBER 31, 2022 AND 2021 (IN THOUSANDS)</w:t>
      </w:r>
    </w:p>
    <w:p w14:paraId="589F10BE" w14:textId="1F15929E" w:rsidR="00C45D47" w:rsidRDefault="00C45D47" w:rsidP="00C45D47">
      <w:pPr>
        <w:spacing w:after="160" w:line="256" w:lineRule="auto"/>
        <w:jc w:val="center"/>
      </w:pPr>
    </w:p>
    <w:p w14:paraId="695234D8" w14:textId="2DD85E85" w:rsidR="00C45D47" w:rsidRDefault="00C45D47" w:rsidP="00C45D47">
      <w:pPr>
        <w:spacing w:after="160" w:line="256" w:lineRule="auto"/>
        <w:jc w:val="center"/>
        <w:rPr>
          <w:rFonts w:ascii="Calibri" w:hAnsi="Calibri"/>
          <w:sz w:val="24"/>
          <w:szCs w:val="24"/>
        </w:rPr>
      </w:pPr>
      <w:r w:rsidRPr="00653C92">
        <w:t xml:space="preserve"> </w:t>
      </w:r>
      <w:r w:rsidR="00414746" w:rsidRPr="00414746">
        <w:rPr>
          <w:noProof/>
        </w:rPr>
        <w:drawing>
          <wp:inline distT="0" distB="0" distL="0" distR="0" wp14:anchorId="34C086BF" wp14:editId="338A515F">
            <wp:extent cx="5781675" cy="6191250"/>
            <wp:effectExtent l="0" t="0" r="9525" b="0"/>
            <wp:docPr id="1560913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136" name="Picture 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1675" cy="6191250"/>
                    </a:xfrm>
                    <a:prstGeom prst="rect">
                      <a:avLst/>
                    </a:prstGeom>
                    <a:noFill/>
                    <a:ln>
                      <a:noFill/>
                    </a:ln>
                  </pic:spPr>
                </pic:pic>
              </a:graphicData>
            </a:graphic>
          </wp:inline>
        </w:drawing>
      </w:r>
      <w:r>
        <w:rPr>
          <w:rFonts w:ascii="Calibri" w:hAnsi="Calibri"/>
          <w:sz w:val="24"/>
          <w:szCs w:val="24"/>
        </w:rPr>
        <w:br w:type="page"/>
      </w:r>
    </w:p>
    <w:p w14:paraId="11C22AEC" w14:textId="77777777" w:rsidR="00C45D47" w:rsidRDefault="00C45D47" w:rsidP="00C45D47">
      <w:pPr>
        <w:rPr>
          <w:b/>
          <w:i/>
          <w:sz w:val="26"/>
          <w:szCs w:val="26"/>
        </w:rPr>
      </w:pPr>
      <w:r>
        <w:rPr>
          <w:b/>
          <w:i/>
          <w:sz w:val="26"/>
          <w:szCs w:val="26"/>
        </w:rPr>
        <w:lastRenderedPageBreak/>
        <w:t>UNIVERSITY OF MAINE SYSTEM</w:t>
      </w:r>
    </w:p>
    <w:p w14:paraId="60F55B27" w14:textId="77777777" w:rsidR="00C45D47" w:rsidRDefault="00C45D47" w:rsidP="00C45D47">
      <w:pPr>
        <w:pStyle w:val="Style1"/>
      </w:pPr>
      <w:r>
        <w:t>Statements of Revenues, Expenses and Changes in Net Position</w:t>
      </w:r>
    </w:p>
    <w:p w14:paraId="3FB6C295" w14:textId="77777777" w:rsidR="00C45D47" w:rsidRDefault="00C45D47" w:rsidP="00C45D47">
      <w:pPr>
        <w:pBdr>
          <w:bottom w:val="single" w:sz="18" w:space="1" w:color="00688D"/>
        </w:pBdr>
        <w:rPr>
          <w:b/>
          <w:i/>
          <w:sz w:val="26"/>
          <w:szCs w:val="26"/>
        </w:rPr>
      </w:pPr>
      <w:r>
        <w:rPr>
          <w:b/>
          <w:i/>
          <w:sz w:val="26"/>
          <w:szCs w:val="26"/>
        </w:rPr>
        <w:t>YEARS ENDED JUNE 30, 2023 AND 2022 (IN THOUSANDS)</w:t>
      </w:r>
    </w:p>
    <w:p w14:paraId="5F154126" w14:textId="6F265158" w:rsidR="00C45D47" w:rsidRDefault="00A7557E" w:rsidP="00C45D47">
      <w:pPr>
        <w:jc w:val="center"/>
        <w:rPr>
          <w:rFonts w:ascii="Calibri" w:hAnsi="Calibri"/>
          <w:sz w:val="24"/>
          <w:szCs w:val="24"/>
        </w:rPr>
        <w:sectPr w:rsidR="00C45D47" w:rsidSect="00F83845">
          <w:pgSz w:w="12240" w:h="15840"/>
          <w:pgMar w:top="1440" w:right="1440" w:bottom="1440" w:left="1440" w:header="720" w:footer="720" w:gutter="0"/>
          <w:cols w:space="720"/>
        </w:sectPr>
      </w:pPr>
      <w:r w:rsidRPr="00A7557E">
        <w:rPr>
          <w:noProof/>
        </w:rPr>
        <w:drawing>
          <wp:inline distT="0" distB="0" distL="0" distR="0" wp14:anchorId="22B246BC" wp14:editId="56DAC633">
            <wp:extent cx="5490890" cy="7538400"/>
            <wp:effectExtent l="0" t="0" r="0"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3780" cy="7583554"/>
                    </a:xfrm>
                    <a:prstGeom prst="rect">
                      <a:avLst/>
                    </a:prstGeom>
                    <a:noFill/>
                    <a:ln>
                      <a:noFill/>
                    </a:ln>
                  </pic:spPr>
                </pic:pic>
              </a:graphicData>
            </a:graphic>
          </wp:inline>
        </w:drawing>
      </w:r>
      <w:r w:rsidR="00536619" w:rsidRPr="00536619" w:rsidDel="00536619">
        <w:t xml:space="preserve"> </w:t>
      </w:r>
      <w:r w:rsidR="00C45D47" w:rsidRPr="00D11FE7">
        <w:rPr>
          <w:rFonts w:ascii="Calibri" w:hAnsi="Calibri"/>
          <w:sz w:val="8"/>
          <w:szCs w:val="24"/>
        </w:rPr>
        <w:t xml:space="preserve"> </w:t>
      </w:r>
    </w:p>
    <w:p w14:paraId="4D7124E6" w14:textId="77777777" w:rsidR="00C45D47" w:rsidRDefault="00C45D47" w:rsidP="00C45D47">
      <w:pPr>
        <w:rPr>
          <w:b/>
          <w:i/>
          <w:sz w:val="26"/>
          <w:szCs w:val="26"/>
        </w:rPr>
      </w:pPr>
      <w:r>
        <w:rPr>
          <w:b/>
          <w:i/>
          <w:sz w:val="26"/>
          <w:szCs w:val="26"/>
        </w:rPr>
        <w:lastRenderedPageBreak/>
        <w:t>UNIVERSITY OF MAINE SYSTEM</w:t>
      </w:r>
    </w:p>
    <w:p w14:paraId="08A15A15" w14:textId="77777777" w:rsidR="00C45D47" w:rsidRDefault="00C45D47" w:rsidP="00C45D47">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Activities – </w:t>
      </w:r>
      <w:r w:rsidRPr="00954D00">
        <w:rPr>
          <w:rFonts w:ascii="Calibri" w:eastAsia="Times New Roman" w:hAnsi="Calibri" w:cs="Times New Roman"/>
          <w:b/>
          <w:i/>
          <w:caps/>
          <w:spacing w:val="-3"/>
          <w:sz w:val="26"/>
          <w:szCs w:val="26"/>
        </w:rPr>
        <w:t xml:space="preserve">Discretely Presented Component Unit </w:t>
      </w:r>
    </w:p>
    <w:p w14:paraId="5F27657B" w14:textId="77777777" w:rsidR="000320FC" w:rsidRDefault="00C45D47" w:rsidP="00C45D47">
      <w:pPr>
        <w:pBdr>
          <w:bottom w:val="single" w:sz="18" w:space="1" w:color="00688D"/>
        </w:pBdr>
        <w:rPr>
          <w:b/>
          <w:i/>
          <w:sz w:val="26"/>
          <w:szCs w:val="26"/>
        </w:rPr>
      </w:pPr>
      <w:r>
        <w:rPr>
          <w:b/>
          <w:i/>
          <w:sz w:val="26"/>
          <w:szCs w:val="26"/>
        </w:rPr>
        <w:t xml:space="preserve">YEAR ENDED DECEMBER 31, 2022 AND SIX MONTHS ENDED DECEMBER 31, 2021 </w:t>
      </w:r>
    </w:p>
    <w:p w14:paraId="310998E5" w14:textId="38ACFB09" w:rsidR="00C45D47" w:rsidRDefault="00C45D47" w:rsidP="00C45D47">
      <w:pPr>
        <w:pBdr>
          <w:bottom w:val="single" w:sz="18" w:space="1" w:color="00688D"/>
        </w:pBdr>
        <w:rPr>
          <w:b/>
          <w:i/>
          <w:sz w:val="26"/>
          <w:szCs w:val="26"/>
        </w:rPr>
      </w:pPr>
      <w:r>
        <w:rPr>
          <w:b/>
          <w:i/>
          <w:sz w:val="26"/>
          <w:szCs w:val="26"/>
        </w:rPr>
        <w:t>(IN THOUSANDS)</w:t>
      </w:r>
    </w:p>
    <w:p w14:paraId="583B44AF" w14:textId="0EA4EA38" w:rsidR="00CA5E01" w:rsidRDefault="00CA5E01" w:rsidP="00CA5E01">
      <w:pPr>
        <w:rPr>
          <w:rFonts w:ascii="Calibri" w:hAnsi="Calibri"/>
          <w:sz w:val="24"/>
          <w:szCs w:val="24"/>
        </w:rPr>
      </w:pPr>
    </w:p>
    <w:p w14:paraId="67BA231C" w14:textId="4D4C7093" w:rsidR="00CA5E01" w:rsidRDefault="008D0940" w:rsidP="00CA5E01">
      <w:pPr>
        <w:rPr>
          <w:rFonts w:ascii="Calibri" w:hAnsi="Calibri"/>
          <w:sz w:val="24"/>
          <w:szCs w:val="24"/>
        </w:rPr>
      </w:pPr>
      <w:r w:rsidRPr="008D0940">
        <w:rPr>
          <w:noProof/>
        </w:rPr>
        <w:drawing>
          <wp:inline distT="0" distB="0" distL="0" distR="0" wp14:anchorId="191D0169" wp14:editId="7B573F7D">
            <wp:extent cx="5943600" cy="3164840"/>
            <wp:effectExtent l="0" t="0" r="0" b="0"/>
            <wp:docPr id="722474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74447" name="Picture 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64840"/>
                    </a:xfrm>
                    <a:prstGeom prst="rect">
                      <a:avLst/>
                    </a:prstGeom>
                    <a:noFill/>
                    <a:ln>
                      <a:noFill/>
                    </a:ln>
                  </pic:spPr>
                </pic:pic>
              </a:graphicData>
            </a:graphic>
          </wp:inline>
        </w:drawing>
      </w:r>
    </w:p>
    <w:p w14:paraId="38D212D8" w14:textId="28F76D90" w:rsidR="00CA5E01" w:rsidRDefault="00CA5E01" w:rsidP="00CA5E01">
      <w:pPr>
        <w:rPr>
          <w:rFonts w:ascii="Calibri" w:hAnsi="Calibri"/>
          <w:sz w:val="24"/>
          <w:szCs w:val="24"/>
        </w:rPr>
      </w:pPr>
    </w:p>
    <w:p w14:paraId="3732EAE8" w14:textId="77777777" w:rsidR="00C45D47" w:rsidRPr="00CA5E01" w:rsidRDefault="00C45D47" w:rsidP="00CA5E01">
      <w:pPr>
        <w:rPr>
          <w:rFonts w:ascii="Calibri" w:hAnsi="Calibri"/>
          <w:sz w:val="24"/>
          <w:szCs w:val="24"/>
        </w:rPr>
        <w:sectPr w:rsidR="00C45D47" w:rsidRPr="00CA5E01" w:rsidSect="00F83845">
          <w:pgSz w:w="12240" w:h="15840"/>
          <w:pgMar w:top="1440" w:right="1440" w:bottom="1440" w:left="1440" w:header="720" w:footer="720" w:gutter="0"/>
          <w:cols w:space="720"/>
        </w:sectPr>
      </w:pPr>
    </w:p>
    <w:p w14:paraId="74C6CFF4" w14:textId="77777777" w:rsidR="00C45D47" w:rsidRDefault="00C45D47" w:rsidP="00C45D47">
      <w:pPr>
        <w:rPr>
          <w:b/>
          <w:i/>
          <w:sz w:val="26"/>
          <w:szCs w:val="26"/>
        </w:rPr>
      </w:pPr>
      <w:r>
        <w:rPr>
          <w:b/>
          <w:i/>
          <w:sz w:val="26"/>
          <w:szCs w:val="26"/>
        </w:rPr>
        <w:lastRenderedPageBreak/>
        <w:t>UNIVERSITY OF MAINE SYSTEM</w:t>
      </w:r>
    </w:p>
    <w:p w14:paraId="0A24B071" w14:textId="77777777" w:rsidR="00C45D47" w:rsidRDefault="00C45D47" w:rsidP="00C45D47">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w:t>
      </w:r>
      <w:r w:rsidRPr="00D73825">
        <w:rPr>
          <w:rFonts w:ascii="Calibri" w:eastAsia="Times New Roman" w:hAnsi="Calibri" w:cs="Times New Roman"/>
          <w:b/>
          <w:i/>
          <w:caps/>
          <w:spacing w:val="-3"/>
          <w:sz w:val="26"/>
          <w:szCs w:val="26"/>
        </w:rPr>
        <w:t>of Cash Flows</w:t>
      </w:r>
    </w:p>
    <w:p w14:paraId="3C9188A3" w14:textId="77777777" w:rsidR="00C45D47" w:rsidRDefault="00C45D47" w:rsidP="00C45D47">
      <w:pPr>
        <w:keepNext/>
        <w:pBdr>
          <w:bottom w:val="single" w:sz="18" w:space="1" w:color="00688D"/>
        </w:pBdr>
        <w:suppressAutoHyphens/>
        <w:spacing w:after="240"/>
        <w:outlineLvl w:val="0"/>
        <w:rPr>
          <w:rFonts w:ascii="Calibri" w:eastAsia="Times New Roman" w:hAnsi="Calibri" w:cs="Times New Roman"/>
          <w:b/>
          <w:i/>
          <w:caps/>
          <w:color w:val="000000"/>
          <w:spacing w:val="-3"/>
        </w:rPr>
      </w:pPr>
      <w:r>
        <w:rPr>
          <w:rFonts w:ascii="Calibri" w:eastAsia="Times New Roman" w:hAnsi="Calibri" w:cs="Times New Roman"/>
          <w:b/>
          <w:i/>
          <w:caps/>
          <w:color w:val="000000"/>
          <w:spacing w:val="-3"/>
          <w:sz w:val="26"/>
          <w:szCs w:val="26"/>
        </w:rPr>
        <w:t xml:space="preserve">Years Ended June 30, 2023 and 2022 </w:t>
      </w:r>
      <w:r>
        <w:rPr>
          <w:rFonts w:ascii="Calibri" w:eastAsia="Times New Roman" w:hAnsi="Calibri" w:cs="Times New Roman"/>
          <w:b/>
          <w:i/>
          <w:caps/>
          <w:color w:val="000000"/>
          <w:spacing w:val="-3"/>
        </w:rPr>
        <w:t>(in thousands)</w:t>
      </w:r>
    </w:p>
    <w:p w14:paraId="3633A7C9" w14:textId="25BB65B8" w:rsidR="00C45D47" w:rsidRDefault="0049612A" w:rsidP="00C45D47">
      <w:pPr>
        <w:rPr>
          <w:rFonts w:ascii="Calibri" w:hAnsi="Calibri"/>
          <w:sz w:val="24"/>
          <w:szCs w:val="24"/>
        </w:rPr>
        <w:sectPr w:rsidR="00C45D47" w:rsidSect="00F83845">
          <w:pgSz w:w="12240" w:h="15840"/>
          <w:pgMar w:top="1440" w:right="1440" w:bottom="1440" w:left="1440" w:header="720" w:footer="720" w:gutter="0"/>
          <w:cols w:space="720"/>
        </w:sectPr>
      </w:pPr>
      <w:r w:rsidRPr="0049612A">
        <w:rPr>
          <w:noProof/>
        </w:rPr>
        <w:drawing>
          <wp:inline distT="0" distB="0" distL="0" distR="0" wp14:anchorId="30DF471D" wp14:editId="21F27EA7">
            <wp:extent cx="5863315" cy="7012800"/>
            <wp:effectExtent l="0" t="0" r="444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0659" cy="7033544"/>
                    </a:xfrm>
                    <a:prstGeom prst="rect">
                      <a:avLst/>
                    </a:prstGeom>
                    <a:noFill/>
                    <a:ln>
                      <a:noFill/>
                    </a:ln>
                  </pic:spPr>
                </pic:pic>
              </a:graphicData>
            </a:graphic>
          </wp:inline>
        </w:drawing>
      </w:r>
    </w:p>
    <w:p w14:paraId="76B8AA4D" w14:textId="77777777" w:rsidR="00C45D47" w:rsidRDefault="00C45D47" w:rsidP="00C45D47">
      <w:pPr>
        <w:rPr>
          <w:b/>
          <w:i/>
          <w:sz w:val="26"/>
          <w:szCs w:val="26"/>
        </w:rPr>
      </w:pPr>
      <w:r>
        <w:rPr>
          <w:b/>
          <w:i/>
          <w:sz w:val="26"/>
          <w:szCs w:val="26"/>
        </w:rPr>
        <w:lastRenderedPageBreak/>
        <w:t>UNIVERSITY OF MAINE SYSTEM</w:t>
      </w:r>
    </w:p>
    <w:p w14:paraId="256A3579" w14:textId="77777777" w:rsidR="00C45D47" w:rsidRDefault="00C45D47" w:rsidP="00C45D47">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w:t>
      </w:r>
      <w:r w:rsidRPr="00D73825">
        <w:rPr>
          <w:rFonts w:ascii="Calibri" w:eastAsia="Times New Roman" w:hAnsi="Calibri" w:cs="Times New Roman"/>
          <w:b/>
          <w:i/>
          <w:caps/>
          <w:spacing w:val="-3"/>
          <w:sz w:val="26"/>
          <w:szCs w:val="26"/>
        </w:rPr>
        <w:t>Cash Flows</w:t>
      </w:r>
    </w:p>
    <w:p w14:paraId="76923334" w14:textId="77777777" w:rsidR="00C45D47" w:rsidRPr="00192DE9" w:rsidRDefault="00C45D47" w:rsidP="00C45D47">
      <w:pPr>
        <w:keepNext/>
        <w:pBdr>
          <w:bottom w:val="single" w:sz="18" w:space="1" w:color="00688D"/>
        </w:pBdr>
        <w:suppressAutoHyphens/>
        <w:spacing w:after="240"/>
        <w:outlineLvl w:val="0"/>
      </w:pPr>
      <w:r>
        <w:rPr>
          <w:rFonts w:ascii="Calibri" w:eastAsia="Times New Roman" w:hAnsi="Calibri" w:cs="Times New Roman"/>
          <w:b/>
          <w:i/>
          <w:caps/>
          <w:color w:val="000000"/>
          <w:spacing w:val="-3"/>
          <w:sz w:val="26"/>
          <w:szCs w:val="26"/>
        </w:rPr>
        <w:t xml:space="preserve">Years Ended June 30, </w:t>
      </w:r>
      <w:proofErr w:type="gramStart"/>
      <w:r>
        <w:rPr>
          <w:rFonts w:ascii="Calibri" w:eastAsia="Times New Roman" w:hAnsi="Calibri" w:cs="Times New Roman"/>
          <w:b/>
          <w:i/>
          <w:caps/>
          <w:color w:val="000000"/>
          <w:spacing w:val="-3"/>
          <w:sz w:val="26"/>
          <w:szCs w:val="26"/>
        </w:rPr>
        <w:t>2023</w:t>
      </w:r>
      <w:proofErr w:type="gramEnd"/>
      <w:r>
        <w:rPr>
          <w:rFonts w:ascii="Calibri" w:eastAsia="Times New Roman" w:hAnsi="Calibri" w:cs="Times New Roman"/>
          <w:b/>
          <w:i/>
          <w:caps/>
          <w:color w:val="000000"/>
          <w:spacing w:val="-3"/>
          <w:sz w:val="26"/>
          <w:szCs w:val="26"/>
        </w:rPr>
        <w:t xml:space="preserve"> and 2022 </w:t>
      </w:r>
      <w:r>
        <w:rPr>
          <w:rFonts w:ascii="Calibri" w:eastAsia="Times New Roman" w:hAnsi="Calibri" w:cs="Times New Roman"/>
          <w:b/>
          <w:i/>
          <w:caps/>
          <w:color w:val="000000"/>
          <w:spacing w:val="-3"/>
        </w:rPr>
        <w:t>(in Thousands)</w:t>
      </w:r>
      <w:r>
        <w:fldChar w:fldCharType="begin"/>
      </w:r>
      <w:r>
        <w:fldChar w:fldCharType="end"/>
      </w:r>
    </w:p>
    <w:p w14:paraId="1A87F331" w14:textId="6C33FC53" w:rsidR="00C45D47" w:rsidRDefault="005619BD" w:rsidP="00C45D47">
      <w:pPr>
        <w:rPr>
          <w:rFonts w:ascii="Times New Roman" w:eastAsia="Times New Roman" w:hAnsi="Times New Roman" w:cs="Times New Roman"/>
          <w:sz w:val="20"/>
          <w:szCs w:val="20"/>
        </w:rPr>
      </w:pPr>
      <w:r w:rsidRPr="005619BD">
        <w:rPr>
          <w:noProof/>
        </w:rPr>
        <w:drawing>
          <wp:inline distT="0" distB="0" distL="0" distR="0" wp14:anchorId="236BAE35" wp14:editId="6EF18443">
            <wp:extent cx="5943600" cy="5744004"/>
            <wp:effectExtent l="0" t="0" r="0"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744004"/>
                    </a:xfrm>
                    <a:prstGeom prst="rect">
                      <a:avLst/>
                    </a:prstGeom>
                    <a:noFill/>
                    <a:ln>
                      <a:noFill/>
                    </a:ln>
                  </pic:spPr>
                </pic:pic>
              </a:graphicData>
            </a:graphic>
          </wp:inline>
        </w:drawing>
      </w:r>
    </w:p>
    <w:p w14:paraId="6C89715F" w14:textId="16D1E34C" w:rsidR="00C45D47" w:rsidRPr="00274D04" w:rsidRDefault="00C45D47" w:rsidP="00C45D47">
      <w:pPr>
        <w:rPr>
          <w:rFonts w:ascii="Times New Roman" w:eastAsia="Times New Roman" w:hAnsi="Times New Roman" w:cs="Times New Roman"/>
          <w:sz w:val="20"/>
          <w:szCs w:val="20"/>
        </w:rPr>
        <w:sectPr w:rsidR="00C45D47" w:rsidRPr="00274D04" w:rsidSect="00F83845">
          <w:footerReference w:type="first" r:id="rId48"/>
          <w:pgSz w:w="12240" w:h="15840" w:code="1"/>
          <w:pgMar w:top="1440" w:right="1440" w:bottom="1440" w:left="1440" w:header="720" w:footer="720" w:gutter="0"/>
          <w:cols w:space="0"/>
          <w:titlePg/>
          <w:docGrid w:linePitch="360"/>
        </w:sectPr>
      </w:pPr>
    </w:p>
    <w:p w14:paraId="6FCF29CB" w14:textId="77777777" w:rsidR="00C45D47" w:rsidRPr="00AF25D6" w:rsidRDefault="00C45D47" w:rsidP="00C45D47">
      <w:pPr>
        <w:rPr>
          <w:b/>
          <w:i/>
          <w:color w:val="0D0D0D" w:themeColor="text1" w:themeTint="F2"/>
          <w:sz w:val="26"/>
          <w:szCs w:val="26"/>
        </w:rPr>
      </w:pPr>
      <w:r w:rsidRPr="00AF25D6">
        <w:rPr>
          <w:b/>
          <w:i/>
          <w:color w:val="0D0D0D" w:themeColor="text1" w:themeTint="F2"/>
          <w:sz w:val="26"/>
          <w:szCs w:val="26"/>
        </w:rPr>
        <w:lastRenderedPageBreak/>
        <w:t>UNIVERSITY OF MAINE SYSTEM</w:t>
      </w:r>
    </w:p>
    <w:p w14:paraId="79833A51" w14:textId="77777777" w:rsidR="00C45D47" w:rsidRPr="00AF25D6" w:rsidRDefault="00C45D47" w:rsidP="00C45D47">
      <w:pPr>
        <w:keepNext/>
        <w:pBdr>
          <w:bottom w:val="single" w:sz="18" w:space="1" w:color="00688D"/>
        </w:pBdr>
        <w:suppressAutoHyphens/>
        <w:outlineLvl w:val="0"/>
        <w:rPr>
          <w:rFonts w:ascii="Calibri" w:eastAsia="Times New Roman" w:hAnsi="Calibri" w:cs="Times New Roman"/>
          <w:b/>
          <w:i/>
          <w:caps/>
          <w:color w:val="0D0D0D" w:themeColor="text1" w:themeTint="F2"/>
          <w:spacing w:val="-3"/>
          <w:sz w:val="26"/>
          <w:szCs w:val="26"/>
        </w:rPr>
      </w:pPr>
      <w:r w:rsidRPr="00AF25D6">
        <w:rPr>
          <w:rFonts w:ascii="Calibri" w:eastAsia="Times New Roman" w:hAnsi="Calibri" w:cs="Times New Roman"/>
          <w:b/>
          <w:i/>
          <w:caps/>
          <w:color w:val="0D0D0D" w:themeColor="text1" w:themeTint="F2"/>
          <w:spacing w:val="-3"/>
          <w:sz w:val="26"/>
          <w:szCs w:val="26"/>
        </w:rPr>
        <w:t xml:space="preserve">Statements of </w:t>
      </w:r>
      <w:r>
        <w:rPr>
          <w:rFonts w:ascii="Calibri" w:eastAsia="Times New Roman" w:hAnsi="Calibri" w:cs="Times New Roman"/>
          <w:b/>
          <w:i/>
          <w:caps/>
          <w:color w:val="0D0D0D" w:themeColor="text1" w:themeTint="F2"/>
          <w:spacing w:val="-3"/>
          <w:sz w:val="26"/>
          <w:szCs w:val="26"/>
        </w:rPr>
        <w:t>FiDUCIARY NET POSITION</w:t>
      </w:r>
    </w:p>
    <w:p w14:paraId="3A613315" w14:textId="7F4960FF" w:rsidR="00C45D47" w:rsidRPr="00AF25D6" w:rsidRDefault="00C45D47" w:rsidP="00C45D47">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 xml:space="preserve">June 30, </w:t>
      </w:r>
      <w:proofErr w:type="gramStart"/>
      <w:r w:rsidRPr="00AF25D6">
        <w:rPr>
          <w:rFonts w:ascii="Calibri" w:eastAsia="Times New Roman" w:hAnsi="Calibri" w:cs="Times New Roman"/>
          <w:b/>
          <w:i/>
          <w:caps/>
          <w:color w:val="0D0D0D" w:themeColor="text1" w:themeTint="F2"/>
          <w:spacing w:val="-3"/>
          <w:sz w:val="26"/>
          <w:szCs w:val="26"/>
        </w:rPr>
        <w:t>202</w:t>
      </w:r>
      <w:r>
        <w:rPr>
          <w:rFonts w:ascii="Calibri" w:eastAsia="Times New Roman" w:hAnsi="Calibri" w:cs="Times New Roman"/>
          <w:b/>
          <w:i/>
          <w:caps/>
          <w:color w:val="0D0D0D" w:themeColor="text1" w:themeTint="F2"/>
          <w:spacing w:val="-3"/>
          <w:sz w:val="26"/>
          <w:szCs w:val="26"/>
        </w:rPr>
        <w:t>3</w:t>
      </w:r>
      <w:proofErr w:type="gramEnd"/>
      <w:r w:rsidRPr="00AF25D6">
        <w:rPr>
          <w:rFonts w:ascii="Calibri" w:eastAsia="Times New Roman" w:hAnsi="Calibri" w:cs="Times New Roman"/>
          <w:b/>
          <w:i/>
          <w:caps/>
          <w:color w:val="0D0D0D" w:themeColor="text1" w:themeTint="F2"/>
          <w:spacing w:val="-3"/>
          <w:sz w:val="26"/>
          <w:szCs w:val="26"/>
        </w:rPr>
        <w:t xml:space="preserve"> and 202</w:t>
      </w:r>
      <w:r>
        <w:rPr>
          <w:rFonts w:ascii="Calibri" w:eastAsia="Times New Roman" w:hAnsi="Calibri" w:cs="Times New Roman"/>
          <w:b/>
          <w:i/>
          <w:caps/>
          <w:color w:val="0D0D0D" w:themeColor="text1" w:themeTint="F2"/>
          <w:spacing w:val="-3"/>
          <w:sz w:val="26"/>
          <w:szCs w:val="26"/>
        </w:rPr>
        <w:t>2</w:t>
      </w:r>
      <w:r w:rsidRPr="00AF25D6">
        <w:rPr>
          <w:rFonts w:ascii="Calibri" w:eastAsia="Times New Roman" w:hAnsi="Calibri" w:cs="Times New Roman"/>
          <w:b/>
          <w:i/>
          <w:caps/>
          <w:color w:val="0D0D0D" w:themeColor="text1" w:themeTint="F2"/>
          <w:spacing w:val="-3"/>
          <w:sz w:val="26"/>
          <w:szCs w:val="26"/>
        </w:rPr>
        <w:t xml:space="preserve">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3DF177A2" w14:textId="2ECFA92D" w:rsidR="00C45D47" w:rsidRDefault="00C45D47" w:rsidP="00C45D47">
      <w:pPr>
        <w:spacing w:after="160" w:line="259" w:lineRule="auto"/>
      </w:pPr>
      <w:r w:rsidRPr="00D11FE7">
        <w:t xml:space="preserve"> </w:t>
      </w:r>
      <w:r w:rsidR="004A3ED9" w:rsidRPr="004A3ED9">
        <w:rPr>
          <w:noProof/>
        </w:rPr>
        <w:drawing>
          <wp:inline distT="0" distB="0" distL="0" distR="0" wp14:anchorId="339F4EBB" wp14:editId="2D51B082">
            <wp:extent cx="5943600" cy="499405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994059"/>
                    </a:xfrm>
                    <a:prstGeom prst="rect">
                      <a:avLst/>
                    </a:prstGeom>
                    <a:noFill/>
                    <a:ln>
                      <a:noFill/>
                    </a:ln>
                  </pic:spPr>
                </pic:pic>
              </a:graphicData>
            </a:graphic>
          </wp:inline>
        </w:drawing>
      </w:r>
    </w:p>
    <w:p w14:paraId="738754DF" w14:textId="77777777" w:rsidR="00C45D47" w:rsidRDefault="00C45D47" w:rsidP="00C45D47">
      <w:pPr>
        <w:spacing w:after="160" w:line="259" w:lineRule="auto"/>
        <w:rPr>
          <w:b/>
          <w:i/>
          <w:color w:val="0D0D0D" w:themeColor="text1" w:themeTint="F2"/>
          <w:sz w:val="26"/>
          <w:szCs w:val="26"/>
        </w:rPr>
      </w:pPr>
      <w:r>
        <w:rPr>
          <w:b/>
          <w:i/>
          <w:color w:val="0D0D0D" w:themeColor="text1" w:themeTint="F2"/>
          <w:sz w:val="26"/>
          <w:szCs w:val="26"/>
        </w:rPr>
        <w:br w:type="page"/>
      </w:r>
    </w:p>
    <w:p w14:paraId="29CFD2BE" w14:textId="77777777" w:rsidR="00C45D47" w:rsidRDefault="00C45D47" w:rsidP="00C45D47">
      <w:pPr>
        <w:rPr>
          <w:b/>
          <w:i/>
          <w:color w:val="0D0D0D" w:themeColor="text1" w:themeTint="F2"/>
          <w:sz w:val="26"/>
          <w:szCs w:val="26"/>
        </w:rPr>
        <w:sectPr w:rsidR="00C45D47" w:rsidSect="00F83845">
          <w:footerReference w:type="default" r:id="rId50"/>
          <w:footerReference w:type="first" r:id="rId51"/>
          <w:pgSz w:w="12240" w:h="15840" w:code="1"/>
          <w:pgMar w:top="1440" w:right="1440" w:bottom="1440" w:left="1440" w:header="720" w:footer="720" w:gutter="0"/>
          <w:cols w:space="0"/>
          <w:titlePg/>
          <w:docGrid w:linePitch="360"/>
        </w:sectPr>
      </w:pPr>
    </w:p>
    <w:p w14:paraId="24D493E0" w14:textId="77777777" w:rsidR="00C45D47" w:rsidRPr="00AF25D6" w:rsidRDefault="00C45D47" w:rsidP="00C45D47">
      <w:pPr>
        <w:rPr>
          <w:b/>
          <w:i/>
          <w:color w:val="0D0D0D" w:themeColor="text1" w:themeTint="F2"/>
          <w:sz w:val="26"/>
          <w:szCs w:val="26"/>
        </w:rPr>
      </w:pPr>
      <w:r w:rsidRPr="00AF25D6">
        <w:rPr>
          <w:b/>
          <w:i/>
          <w:color w:val="0D0D0D" w:themeColor="text1" w:themeTint="F2"/>
          <w:sz w:val="26"/>
          <w:szCs w:val="26"/>
        </w:rPr>
        <w:lastRenderedPageBreak/>
        <w:t>UNIVERSITY OF MAINE SYSTEM</w:t>
      </w:r>
    </w:p>
    <w:p w14:paraId="0A39AB7B" w14:textId="77777777" w:rsidR="00C45D47" w:rsidRDefault="00C45D47" w:rsidP="00C45D47">
      <w:pPr>
        <w:pStyle w:val="Style1"/>
      </w:pPr>
      <w:r>
        <w:t xml:space="preserve">Statements of Changes in </w:t>
      </w:r>
      <w:r w:rsidRPr="00AF25D6">
        <w:t xml:space="preserve">FIDUCIARY </w:t>
      </w:r>
      <w:r>
        <w:t>Net Position</w:t>
      </w:r>
    </w:p>
    <w:p w14:paraId="61743C83" w14:textId="77777777" w:rsidR="00C45D47" w:rsidRPr="00AF25D6" w:rsidRDefault="00C45D47" w:rsidP="00C45D47">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 xml:space="preserve">Years Ended June 30, </w:t>
      </w:r>
      <w:proofErr w:type="gramStart"/>
      <w:r w:rsidRPr="00AF25D6">
        <w:rPr>
          <w:rFonts w:ascii="Calibri" w:eastAsia="Times New Roman" w:hAnsi="Calibri" w:cs="Times New Roman"/>
          <w:b/>
          <w:i/>
          <w:caps/>
          <w:color w:val="0D0D0D" w:themeColor="text1" w:themeTint="F2"/>
          <w:spacing w:val="-3"/>
          <w:sz w:val="26"/>
          <w:szCs w:val="26"/>
        </w:rPr>
        <w:t>202</w:t>
      </w:r>
      <w:r>
        <w:rPr>
          <w:rFonts w:ascii="Calibri" w:eastAsia="Times New Roman" w:hAnsi="Calibri" w:cs="Times New Roman"/>
          <w:b/>
          <w:i/>
          <w:caps/>
          <w:color w:val="0D0D0D" w:themeColor="text1" w:themeTint="F2"/>
          <w:spacing w:val="-3"/>
          <w:sz w:val="26"/>
          <w:szCs w:val="26"/>
        </w:rPr>
        <w:t>3</w:t>
      </w:r>
      <w:proofErr w:type="gramEnd"/>
      <w:r w:rsidRPr="00AF25D6">
        <w:rPr>
          <w:rFonts w:ascii="Calibri" w:eastAsia="Times New Roman" w:hAnsi="Calibri" w:cs="Times New Roman"/>
          <w:b/>
          <w:i/>
          <w:caps/>
          <w:color w:val="0D0D0D" w:themeColor="text1" w:themeTint="F2"/>
          <w:spacing w:val="-3"/>
          <w:sz w:val="26"/>
          <w:szCs w:val="26"/>
        </w:rPr>
        <w:t xml:space="preserve"> and 202</w:t>
      </w:r>
      <w:r>
        <w:rPr>
          <w:rFonts w:ascii="Calibri" w:eastAsia="Times New Roman" w:hAnsi="Calibri" w:cs="Times New Roman"/>
          <w:b/>
          <w:i/>
          <w:caps/>
          <w:color w:val="0D0D0D" w:themeColor="text1" w:themeTint="F2"/>
          <w:spacing w:val="-3"/>
          <w:sz w:val="26"/>
          <w:szCs w:val="26"/>
        </w:rPr>
        <w:t>2</w:t>
      </w:r>
      <w:r w:rsidRPr="00AF25D6">
        <w:rPr>
          <w:rFonts w:ascii="Calibri" w:eastAsia="Times New Roman" w:hAnsi="Calibri" w:cs="Times New Roman"/>
          <w:b/>
          <w:i/>
          <w:caps/>
          <w:color w:val="0D0D0D" w:themeColor="text1" w:themeTint="F2"/>
          <w:spacing w:val="-3"/>
          <w:sz w:val="26"/>
          <w:szCs w:val="26"/>
        </w:rPr>
        <w:t xml:space="preserve">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43425B96" w14:textId="26ABED82" w:rsidR="00C45D47" w:rsidRDefault="004A3ED9" w:rsidP="00C45D47">
      <w:pPr>
        <w:spacing w:after="160" w:line="259" w:lineRule="auto"/>
        <w:jc w:val="center"/>
      </w:pPr>
      <w:r w:rsidRPr="004A3ED9">
        <w:rPr>
          <w:noProof/>
        </w:rPr>
        <w:drawing>
          <wp:inline distT="0" distB="0" distL="0" distR="0" wp14:anchorId="726ED2CD" wp14:editId="31ED4644">
            <wp:extent cx="5943600" cy="6213593"/>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13593"/>
                    </a:xfrm>
                    <a:prstGeom prst="rect">
                      <a:avLst/>
                    </a:prstGeom>
                    <a:noFill/>
                    <a:ln>
                      <a:noFill/>
                    </a:ln>
                  </pic:spPr>
                </pic:pic>
              </a:graphicData>
            </a:graphic>
          </wp:inline>
        </w:drawing>
      </w:r>
    </w:p>
    <w:p w14:paraId="5A641207" w14:textId="77777777" w:rsidR="00C45D47" w:rsidRDefault="00C45D47" w:rsidP="00C45D47">
      <w:pPr>
        <w:spacing w:after="160" w:line="259" w:lineRule="auto"/>
        <w:sectPr w:rsidR="00C45D47" w:rsidSect="00F273FD">
          <w:headerReference w:type="default" r:id="rId53"/>
          <w:footerReference w:type="default" r:id="rId54"/>
          <w:headerReference w:type="first" r:id="rId55"/>
          <w:footerReference w:type="first" r:id="rId56"/>
          <w:type w:val="continuous"/>
          <w:pgSz w:w="12240" w:h="15840" w:code="1"/>
          <w:pgMar w:top="1440" w:right="1440" w:bottom="1440" w:left="1440" w:header="720" w:footer="720" w:gutter="0"/>
          <w:cols w:space="0"/>
          <w:titlePg/>
          <w:docGrid w:linePitch="360"/>
        </w:sectPr>
      </w:pPr>
    </w:p>
    <w:p w14:paraId="61EFCAA1" w14:textId="77777777" w:rsidR="00DD1612" w:rsidRPr="004F3770" w:rsidRDefault="00DD1612" w:rsidP="00DD1612">
      <w:pPr>
        <w:rPr>
          <w:b/>
          <w:i/>
          <w:sz w:val="26"/>
          <w:szCs w:val="26"/>
        </w:rPr>
      </w:pPr>
      <w:r w:rsidRPr="004F3770">
        <w:rPr>
          <w:b/>
          <w:i/>
          <w:sz w:val="26"/>
          <w:szCs w:val="26"/>
        </w:rPr>
        <w:lastRenderedPageBreak/>
        <w:t>UNIVERSITY OF MAINE SYSTEM</w:t>
      </w:r>
    </w:p>
    <w:p w14:paraId="473D7B46" w14:textId="77777777" w:rsidR="00DD1612" w:rsidRPr="004F3770" w:rsidRDefault="00DD1612" w:rsidP="00DD1612">
      <w:pPr>
        <w:pStyle w:val="AFR1"/>
        <w:spacing w:after="0"/>
      </w:pPr>
      <w:r w:rsidRPr="004F3770">
        <w:t>NOTES TO FINANCIAL STATEMENTS</w:t>
      </w:r>
    </w:p>
    <w:p w14:paraId="1CAEFEC7" w14:textId="1DF910BA" w:rsidR="00DD1612" w:rsidRPr="004E72C3" w:rsidRDefault="00DD1612" w:rsidP="00DD1612">
      <w:pPr>
        <w:pStyle w:val="AFR1"/>
      </w:pPr>
      <w:r w:rsidRPr="00807F62">
        <w:rPr>
          <w:szCs w:val="26"/>
        </w:rPr>
        <w:t xml:space="preserve">Years Ended June 30, </w:t>
      </w:r>
      <w:r w:rsidR="00293232" w:rsidRPr="00807F62">
        <w:rPr>
          <w:szCs w:val="26"/>
        </w:rPr>
        <w:t>20</w:t>
      </w:r>
      <w:r w:rsidR="00293232">
        <w:rPr>
          <w:szCs w:val="26"/>
        </w:rPr>
        <w:t>23</w:t>
      </w:r>
      <w:r w:rsidR="00293232" w:rsidRPr="00807F62">
        <w:rPr>
          <w:szCs w:val="26"/>
        </w:rPr>
        <w:t xml:space="preserve"> </w:t>
      </w:r>
      <w:r w:rsidRPr="00807F62">
        <w:rPr>
          <w:szCs w:val="26"/>
        </w:rPr>
        <w:t xml:space="preserve">and </w:t>
      </w:r>
      <w:r w:rsidR="00293232" w:rsidRPr="00807F62">
        <w:rPr>
          <w:szCs w:val="26"/>
        </w:rPr>
        <w:t>20</w:t>
      </w:r>
      <w:r w:rsidR="00293232">
        <w:rPr>
          <w:szCs w:val="26"/>
        </w:rPr>
        <w:t>22</w:t>
      </w:r>
      <w:r w:rsidR="00293232" w:rsidRPr="004E72C3">
        <w:t xml:space="preserve"> </w:t>
      </w:r>
      <w:r w:rsidRPr="000B6D6E">
        <w:rPr>
          <w:sz w:val="24"/>
          <w:szCs w:val="24"/>
        </w:rPr>
        <w:t>(in thousands)</w:t>
      </w:r>
    </w:p>
    <w:p w14:paraId="0070E3AD" w14:textId="77777777" w:rsidR="00DD1612" w:rsidRPr="009A7150" w:rsidRDefault="00DD1612" w:rsidP="00DD1612">
      <w:pPr>
        <w:pStyle w:val="AFR2"/>
        <w:rPr>
          <w:rFonts w:cstheme="minorHAnsi"/>
          <w:sz w:val="26"/>
          <w:szCs w:val="26"/>
        </w:rPr>
      </w:pPr>
      <w:r w:rsidRPr="009A7150">
        <w:rPr>
          <w:rFonts w:cstheme="minorHAnsi"/>
          <w:sz w:val="26"/>
          <w:szCs w:val="26"/>
        </w:rPr>
        <w:t>1. SIGNIFICANT ACCOUNTING POLICIES</w:t>
      </w:r>
    </w:p>
    <w:p w14:paraId="05DB0CFD" w14:textId="77777777" w:rsidR="00DD1612" w:rsidRPr="00A454B4" w:rsidRDefault="00DD1612" w:rsidP="00DD1612">
      <w:pPr>
        <w:pStyle w:val="AFR3"/>
        <w:rPr>
          <w:rFonts w:cstheme="minorHAnsi"/>
        </w:rPr>
      </w:pPr>
      <w:r w:rsidRPr="00A454B4">
        <w:rPr>
          <w:rFonts w:cstheme="minorHAnsi"/>
        </w:rPr>
        <w:t>a. Organization</w:t>
      </w:r>
    </w:p>
    <w:p w14:paraId="3F8DEEAC" w14:textId="6BCABFA6" w:rsidR="00DD1612" w:rsidRPr="00F54559" w:rsidRDefault="00DD1612" w:rsidP="00DD1612">
      <w:pPr>
        <w:tabs>
          <w:tab w:val="left" w:pos="5040"/>
        </w:tabs>
        <w:suppressAutoHyphens/>
        <w:rPr>
          <w:rFonts w:eastAsia="Times New Roman" w:cstheme="minorHAnsi"/>
          <w:bCs/>
          <w:sz w:val="24"/>
          <w:szCs w:val="20"/>
        </w:rPr>
      </w:pPr>
      <w:r w:rsidRPr="00F54559">
        <w:rPr>
          <w:rFonts w:eastAsia="Times New Roman" w:cstheme="minorHAnsi"/>
          <w:bCs/>
          <w:sz w:val="24"/>
          <w:szCs w:val="20"/>
        </w:rPr>
        <w:t xml:space="preserve">The University of Maine System ("the System"), a discretely presented component unit of the State of Maine, consists of seven universities, </w:t>
      </w:r>
      <w:r>
        <w:rPr>
          <w:rFonts w:eastAsia="Times New Roman" w:cstheme="minorHAnsi"/>
          <w:bCs/>
          <w:sz w:val="24"/>
          <w:szCs w:val="20"/>
        </w:rPr>
        <w:t>eight</w:t>
      </w:r>
      <w:r w:rsidRPr="00F54559">
        <w:rPr>
          <w:rFonts w:eastAsia="Times New Roman" w:cstheme="minorHAnsi"/>
          <w:bCs/>
          <w:sz w:val="24"/>
          <w:szCs w:val="20"/>
        </w:rPr>
        <w:t xml:space="preserve"> centers, and a </w:t>
      </w:r>
      <w:r w:rsidR="00D2519B">
        <w:rPr>
          <w:rFonts w:eastAsia="Times New Roman" w:cstheme="minorHAnsi"/>
          <w:bCs/>
          <w:sz w:val="24"/>
          <w:szCs w:val="20"/>
        </w:rPr>
        <w:t xml:space="preserve">central administrative office. </w:t>
      </w:r>
      <w:r w:rsidRPr="00F54559">
        <w:rPr>
          <w:rFonts w:eastAsia="Times New Roman" w:cstheme="minorHAnsi"/>
          <w:bCs/>
          <w:sz w:val="24"/>
          <w:szCs w:val="20"/>
        </w:rPr>
        <w:t>All activities of the System are included in the accompanying financial statements, including those of its discretely presented component unit, the University of Maine Foundation, which is a not-for-profit entity controlled by a separate governing board whose goal is to sup</w:t>
      </w:r>
      <w:r w:rsidR="003E72E3">
        <w:rPr>
          <w:rFonts w:eastAsia="Times New Roman" w:cstheme="minorHAnsi"/>
          <w:bCs/>
          <w:sz w:val="24"/>
          <w:szCs w:val="20"/>
        </w:rPr>
        <w:t xml:space="preserve">port the System (see Note 16). </w:t>
      </w:r>
      <w:r w:rsidRPr="00F54559">
        <w:rPr>
          <w:rFonts w:eastAsia="Times New Roman" w:cstheme="minorHAnsi"/>
          <w:bCs/>
          <w:sz w:val="24"/>
          <w:szCs w:val="20"/>
        </w:rPr>
        <w:t>The component unit receives funds primarily through donations and contributes funds to the System for student scholarships</w:t>
      </w:r>
      <w:r>
        <w:rPr>
          <w:rFonts w:eastAsia="Times New Roman" w:cstheme="minorHAnsi"/>
          <w:bCs/>
          <w:sz w:val="24"/>
          <w:szCs w:val="20"/>
        </w:rPr>
        <w:t xml:space="preserve">, </w:t>
      </w:r>
      <w:r w:rsidRPr="00F54559">
        <w:rPr>
          <w:rFonts w:eastAsia="Times New Roman" w:cstheme="minorHAnsi"/>
          <w:bCs/>
          <w:sz w:val="24"/>
          <w:szCs w:val="20"/>
        </w:rPr>
        <w:t>institutional support</w:t>
      </w:r>
      <w:r>
        <w:rPr>
          <w:rFonts w:eastAsia="Times New Roman" w:cstheme="minorHAnsi"/>
          <w:bCs/>
          <w:sz w:val="24"/>
          <w:szCs w:val="20"/>
        </w:rPr>
        <w:t xml:space="preserve"> and capital construction support</w:t>
      </w:r>
      <w:r w:rsidRPr="00F54559">
        <w:rPr>
          <w:rFonts w:eastAsia="Times New Roman" w:cstheme="minorHAnsi"/>
          <w:bCs/>
          <w:sz w:val="24"/>
          <w:szCs w:val="20"/>
        </w:rPr>
        <w:t>.</w:t>
      </w:r>
    </w:p>
    <w:p w14:paraId="430A1AA1" w14:textId="77777777" w:rsidR="00DD1612" w:rsidRPr="00F54559" w:rsidRDefault="00DD1612" w:rsidP="00DD1612">
      <w:pPr>
        <w:pStyle w:val="AFR3"/>
        <w:rPr>
          <w:rFonts w:cstheme="minorHAnsi"/>
        </w:rPr>
      </w:pPr>
      <w:r w:rsidRPr="00F54559">
        <w:rPr>
          <w:rFonts w:cstheme="minorHAnsi"/>
        </w:rPr>
        <w:t>b. Basis of</w:t>
      </w:r>
      <w:r w:rsidRPr="00F54559">
        <w:rPr>
          <w:rFonts w:cstheme="minorHAnsi"/>
          <w:caps/>
        </w:rPr>
        <w:t xml:space="preserve"> P</w:t>
      </w:r>
      <w:r w:rsidRPr="00F54559">
        <w:rPr>
          <w:rFonts w:cstheme="minorHAnsi"/>
        </w:rPr>
        <w:t>resentation</w:t>
      </w:r>
    </w:p>
    <w:p w14:paraId="75AC5A6B" w14:textId="77777777" w:rsidR="00DD1612" w:rsidRPr="00F54559" w:rsidRDefault="00DD1612" w:rsidP="00DD1612">
      <w:pPr>
        <w:tabs>
          <w:tab w:val="left" w:pos="0"/>
          <w:tab w:val="left" w:pos="5040"/>
        </w:tabs>
        <w:suppressAutoHyphens/>
        <w:rPr>
          <w:rFonts w:cstheme="minorHAnsi"/>
          <w:bCs/>
          <w:sz w:val="24"/>
        </w:rPr>
      </w:pPr>
      <w:r w:rsidRPr="00F54559">
        <w:rPr>
          <w:rFonts w:cstheme="minorHAnsi"/>
          <w:spacing w:val="-3"/>
          <w:sz w:val="24"/>
        </w:rPr>
        <w:t>The accompanying financial statements of the System have been prepared using the economic resources measurement focus and the accrual basis of accounting in accordance with U.S. generally accepted accounting principles (</w:t>
      </w:r>
      <w:r w:rsidRPr="00F54559">
        <w:rPr>
          <w:rFonts w:cstheme="minorHAnsi"/>
          <w:sz w:val="24"/>
        </w:rPr>
        <w:t>GAAP)</w:t>
      </w:r>
      <w:r w:rsidRPr="00F54559">
        <w:rPr>
          <w:rFonts w:cstheme="minorHAnsi"/>
          <w:spacing w:val="-3"/>
          <w:sz w:val="24"/>
        </w:rPr>
        <w:t>, as prescribed by the Governmental Accounting Standards Board (GASB).</w:t>
      </w:r>
    </w:p>
    <w:p w14:paraId="7015A318" w14:textId="77777777" w:rsidR="00DD1612" w:rsidRPr="00F54559" w:rsidRDefault="00DD1612" w:rsidP="00DD1612">
      <w:pPr>
        <w:tabs>
          <w:tab w:val="left" w:pos="0"/>
        </w:tabs>
        <w:rPr>
          <w:rFonts w:eastAsia="Times New Roman" w:cstheme="minorHAnsi"/>
          <w:bCs/>
          <w:sz w:val="20"/>
          <w:szCs w:val="20"/>
        </w:rPr>
      </w:pPr>
    </w:p>
    <w:p w14:paraId="091EC309" w14:textId="4B8FB582" w:rsidR="00DD1612" w:rsidRDefault="00DD1612" w:rsidP="00DD1612">
      <w:pPr>
        <w:tabs>
          <w:tab w:val="left" w:pos="0"/>
        </w:tabs>
        <w:rPr>
          <w:rFonts w:eastAsia="Times New Roman" w:cstheme="minorHAnsi"/>
          <w:bCs/>
          <w:sz w:val="24"/>
          <w:szCs w:val="20"/>
        </w:rPr>
      </w:pPr>
      <w:r w:rsidRPr="00F54559">
        <w:rPr>
          <w:rFonts w:eastAsia="Times New Roman" w:cstheme="minorHAnsi"/>
          <w:bCs/>
          <w:sz w:val="24"/>
          <w:szCs w:val="20"/>
        </w:rPr>
        <w:t>Under the System’s policy, operating activities in the Statements of Revenues, Expenses, and Changes in Net Position are those that generally result from exchange transactions such as payments received for services and payments made for the purchase of goods an</w:t>
      </w:r>
      <w:r w:rsidR="003E72E3">
        <w:rPr>
          <w:rFonts w:eastAsia="Times New Roman" w:cstheme="minorHAnsi"/>
          <w:bCs/>
          <w:sz w:val="24"/>
          <w:szCs w:val="20"/>
        </w:rPr>
        <w:t xml:space="preserve">d services and certain grants. </w:t>
      </w:r>
      <w:r w:rsidRPr="00F54559">
        <w:rPr>
          <w:rFonts w:eastAsia="Times New Roman" w:cstheme="minorHAnsi"/>
          <w:bCs/>
          <w:sz w:val="24"/>
          <w:szCs w:val="20"/>
        </w:rPr>
        <w:t xml:space="preserve">Certain other transactions are reported as nonoperating activities in accordance with GASB Statement No. 35, </w:t>
      </w:r>
      <w:r w:rsidRPr="00F54559">
        <w:rPr>
          <w:rFonts w:eastAsia="Times New Roman" w:cstheme="minorHAnsi"/>
          <w:bCs/>
          <w:i/>
          <w:sz w:val="24"/>
          <w:szCs w:val="20"/>
        </w:rPr>
        <w:t>Basic Financial Statements – and Management’s Discussion and Analysis – for Public Colleges and Universities.</w:t>
      </w:r>
      <w:r w:rsidRPr="00F54559">
        <w:rPr>
          <w:rFonts w:eastAsia="Times New Roman" w:cstheme="minorHAnsi"/>
          <w:bCs/>
          <w:sz w:val="24"/>
          <w:szCs w:val="20"/>
        </w:rPr>
        <w:t xml:space="preserve"> These nonoperating activities include the System’s noncapital appropriations from the State of Maine, </w:t>
      </w:r>
      <w:r>
        <w:rPr>
          <w:rFonts w:eastAsia="Times New Roman" w:cstheme="minorHAnsi"/>
          <w:bCs/>
          <w:sz w:val="24"/>
          <w:szCs w:val="20"/>
        </w:rPr>
        <w:t xml:space="preserve">federal </w:t>
      </w:r>
      <w:proofErr w:type="spellStart"/>
      <w:r>
        <w:rPr>
          <w:rFonts w:eastAsia="Times New Roman" w:cstheme="minorHAnsi"/>
          <w:bCs/>
          <w:sz w:val="24"/>
          <w:szCs w:val="20"/>
        </w:rPr>
        <w:t>pell</w:t>
      </w:r>
      <w:proofErr w:type="spellEnd"/>
      <w:r>
        <w:rPr>
          <w:rFonts w:eastAsia="Times New Roman" w:cstheme="minorHAnsi"/>
          <w:bCs/>
          <w:sz w:val="24"/>
          <w:szCs w:val="20"/>
        </w:rPr>
        <w:t xml:space="preserve"> grants, coronavirus relief funding, </w:t>
      </w:r>
      <w:r w:rsidRPr="00F54559">
        <w:rPr>
          <w:rFonts w:eastAsia="Times New Roman" w:cstheme="minorHAnsi"/>
          <w:bCs/>
          <w:sz w:val="24"/>
          <w:szCs w:val="20"/>
        </w:rPr>
        <w:t>gifts currently expendable, endowment return used for operations, net investment income, and interest expense.</w:t>
      </w:r>
    </w:p>
    <w:p w14:paraId="7C2CF8B9" w14:textId="77777777" w:rsidR="00DD1612" w:rsidRPr="004C662D" w:rsidRDefault="00DD1612" w:rsidP="00DD1612">
      <w:pPr>
        <w:tabs>
          <w:tab w:val="left" w:pos="0"/>
        </w:tabs>
        <w:rPr>
          <w:rFonts w:eastAsia="Times New Roman" w:cstheme="minorHAnsi"/>
          <w:bCs/>
          <w:sz w:val="20"/>
          <w:szCs w:val="20"/>
        </w:rPr>
      </w:pPr>
    </w:p>
    <w:p w14:paraId="4CF1E1E9" w14:textId="055B18A9" w:rsidR="009B7458" w:rsidRDefault="009B7458" w:rsidP="009B7458">
      <w:pPr>
        <w:tabs>
          <w:tab w:val="left" w:pos="0"/>
        </w:tabs>
        <w:rPr>
          <w:rFonts w:eastAsia="Times New Roman" w:cstheme="minorHAnsi"/>
          <w:bCs/>
          <w:sz w:val="24"/>
          <w:szCs w:val="20"/>
        </w:rPr>
      </w:pPr>
      <w:r>
        <w:rPr>
          <w:rFonts w:eastAsia="Times New Roman" w:cstheme="minorHAnsi"/>
          <w:bCs/>
          <w:sz w:val="24"/>
          <w:szCs w:val="20"/>
        </w:rPr>
        <w:t xml:space="preserve">In FY23, </w:t>
      </w:r>
      <w:r w:rsidRPr="00F273FD">
        <w:rPr>
          <w:rFonts w:eastAsia="Times New Roman" w:cstheme="minorHAnsi"/>
          <w:bCs/>
          <w:sz w:val="24"/>
          <w:szCs w:val="20"/>
        </w:rPr>
        <w:t xml:space="preserve">the System </w:t>
      </w:r>
      <w:r>
        <w:rPr>
          <w:rFonts w:eastAsia="Times New Roman" w:cstheme="minorHAnsi"/>
          <w:bCs/>
          <w:sz w:val="24"/>
          <w:szCs w:val="20"/>
        </w:rPr>
        <w:t xml:space="preserve">adopted </w:t>
      </w:r>
      <w:r w:rsidRPr="00F273FD">
        <w:rPr>
          <w:rFonts w:eastAsia="Times New Roman" w:cstheme="minorHAnsi"/>
          <w:bCs/>
          <w:sz w:val="24"/>
          <w:szCs w:val="20"/>
        </w:rPr>
        <w:t xml:space="preserve">GASB Statement No. </w:t>
      </w:r>
      <w:r>
        <w:rPr>
          <w:rFonts w:eastAsia="Times New Roman" w:cstheme="minorHAnsi"/>
          <w:bCs/>
          <w:sz w:val="24"/>
          <w:szCs w:val="20"/>
        </w:rPr>
        <w:t xml:space="preserve">94, </w:t>
      </w:r>
      <w:r>
        <w:rPr>
          <w:rFonts w:eastAsia="Times New Roman" w:cstheme="minorHAnsi"/>
          <w:bCs/>
          <w:i/>
          <w:sz w:val="24"/>
          <w:szCs w:val="20"/>
        </w:rPr>
        <w:t xml:space="preserve">Public-Private and Public-Public Partnerships and Availability Payment Arrangements, </w:t>
      </w:r>
      <w:r w:rsidRPr="00A26F2C">
        <w:rPr>
          <w:rFonts w:eastAsia="Times New Roman" w:cstheme="minorHAnsi"/>
          <w:bCs/>
          <w:sz w:val="24"/>
          <w:szCs w:val="20"/>
        </w:rPr>
        <w:t>(PPPs)</w:t>
      </w:r>
      <w:r>
        <w:rPr>
          <w:rFonts w:eastAsia="Times New Roman" w:cstheme="minorHAnsi"/>
          <w:bCs/>
          <w:sz w:val="24"/>
          <w:szCs w:val="20"/>
        </w:rPr>
        <w:t xml:space="preserve">, (GASB No. 94). </w:t>
      </w:r>
      <w:r w:rsidRPr="00385510">
        <w:rPr>
          <w:rFonts w:eastAsia="Times New Roman" w:cstheme="minorHAnsi"/>
          <w:bCs/>
          <w:sz w:val="24"/>
          <w:szCs w:val="20"/>
        </w:rPr>
        <w:t xml:space="preserve">This </w:t>
      </w:r>
      <w:r>
        <w:rPr>
          <w:rFonts w:eastAsia="Times New Roman" w:cstheme="minorHAnsi"/>
          <w:bCs/>
          <w:sz w:val="24"/>
          <w:szCs w:val="20"/>
        </w:rPr>
        <w:t>s</w:t>
      </w:r>
      <w:r w:rsidRPr="00385510">
        <w:rPr>
          <w:rFonts w:eastAsia="Times New Roman" w:cstheme="minorHAnsi"/>
          <w:bCs/>
          <w:sz w:val="24"/>
          <w:szCs w:val="20"/>
        </w:rPr>
        <w:t>tatement increases the usefulness of governments’</w:t>
      </w:r>
      <w:r>
        <w:rPr>
          <w:rFonts w:eastAsia="Times New Roman" w:cstheme="minorHAnsi"/>
          <w:bCs/>
          <w:sz w:val="24"/>
          <w:szCs w:val="20"/>
        </w:rPr>
        <w:t xml:space="preserve"> </w:t>
      </w:r>
      <w:r w:rsidRPr="00385510">
        <w:rPr>
          <w:rFonts w:eastAsia="Times New Roman" w:cstheme="minorHAnsi"/>
          <w:bCs/>
          <w:sz w:val="24"/>
          <w:szCs w:val="20"/>
        </w:rPr>
        <w:t xml:space="preserve">financial statements by requiring </w:t>
      </w:r>
      <w:r>
        <w:rPr>
          <w:rFonts w:eastAsia="Times New Roman" w:cstheme="minorHAnsi"/>
          <w:bCs/>
          <w:sz w:val="24"/>
          <w:szCs w:val="20"/>
        </w:rPr>
        <w:t xml:space="preserve">disclosures that will allow users to understand the scale and important aspects of the System’s PPPs and evaluate future obligations and assets resulting from PPPs. </w:t>
      </w:r>
    </w:p>
    <w:p w14:paraId="7674798A" w14:textId="77777777" w:rsidR="009B7458" w:rsidRDefault="009B7458" w:rsidP="009B7458">
      <w:pPr>
        <w:tabs>
          <w:tab w:val="left" w:pos="0"/>
        </w:tabs>
        <w:rPr>
          <w:rFonts w:eastAsia="Times New Roman" w:cstheme="minorHAnsi"/>
          <w:bCs/>
          <w:sz w:val="24"/>
          <w:szCs w:val="20"/>
        </w:rPr>
      </w:pPr>
    </w:p>
    <w:p w14:paraId="2AF48CAF" w14:textId="1A7D5623" w:rsidR="001D5B6E" w:rsidRDefault="009B7458" w:rsidP="001D5B6E">
      <w:pPr>
        <w:spacing w:after="160"/>
        <w:rPr>
          <w:rFonts w:eastAsia="Times New Roman" w:cstheme="minorHAnsi"/>
          <w:bCs/>
          <w:i/>
          <w:sz w:val="24"/>
          <w:szCs w:val="24"/>
        </w:rPr>
        <w:sectPr w:rsidR="001D5B6E" w:rsidSect="00C45D47">
          <w:headerReference w:type="first" r:id="rId57"/>
          <w:footerReference w:type="first" r:id="rId58"/>
          <w:pgSz w:w="12240" w:h="15840" w:code="1"/>
          <w:pgMar w:top="1440" w:right="1440" w:bottom="1440" w:left="1440" w:header="720" w:footer="720" w:gutter="0"/>
          <w:cols w:space="0"/>
          <w:titlePg/>
          <w:docGrid w:linePitch="360"/>
        </w:sectPr>
      </w:pPr>
      <w:r w:rsidRPr="00A26F2C">
        <w:rPr>
          <w:rFonts w:eastAsia="Times New Roman" w:cstheme="minorHAnsi"/>
          <w:bCs/>
          <w:sz w:val="24"/>
          <w:szCs w:val="24"/>
        </w:rPr>
        <w:t>The System adopted the provisions of GASB No. 94 retroactive to July 1, 2021</w:t>
      </w:r>
      <w:r>
        <w:rPr>
          <w:rFonts w:eastAsia="Times New Roman" w:cstheme="minorHAnsi"/>
          <w:bCs/>
          <w:sz w:val="24"/>
          <w:szCs w:val="24"/>
        </w:rPr>
        <w:t>.</w:t>
      </w:r>
      <w:r w:rsidRPr="00A26F2C">
        <w:rPr>
          <w:rFonts w:eastAsia="Times New Roman" w:cstheme="minorHAnsi"/>
          <w:bCs/>
          <w:sz w:val="24"/>
          <w:szCs w:val="24"/>
        </w:rPr>
        <w:t xml:space="preserve"> The implementation resulted in no restatement </w:t>
      </w:r>
      <w:r>
        <w:rPr>
          <w:rFonts w:eastAsia="Times New Roman" w:cstheme="minorHAnsi"/>
          <w:bCs/>
          <w:sz w:val="24"/>
          <w:szCs w:val="24"/>
        </w:rPr>
        <w:t xml:space="preserve">of </w:t>
      </w:r>
      <w:r w:rsidRPr="00A26F2C">
        <w:rPr>
          <w:rFonts w:eastAsia="Times New Roman" w:cstheme="minorHAnsi"/>
          <w:bCs/>
          <w:sz w:val="24"/>
          <w:szCs w:val="24"/>
        </w:rPr>
        <w:t xml:space="preserve">FY22 </w:t>
      </w:r>
      <w:r>
        <w:rPr>
          <w:rFonts w:eastAsia="Times New Roman" w:cstheme="minorHAnsi"/>
          <w:bCs/>
          <w:sz w:val="24"/>
          <w:szCs w:val="24"/>
        </w:rPr>
        <w:t xml:space="preserve">revenues and expenses; </w:t>
      </w:r>
      <w:r w:rsidRPr="00A26F2C">
        <w:rPr>
          <w:rFonts w:eastAsia="Times New Roman" w:cstheme="minorHAnsi"/>
          <w:bCs/>
          <w:sz w:val="24"/>
          <w:szCs w:val="24"/>
        </w:rPr>
        <w:t>however</w:t>
      </w:r>
      <w:r w:rsidR="001D5B6E">
        <w:rPr>
          <w:rFonts w:eastAsia="Times New Roman" w:cstheme="minorHAnsi"/>
          <w:bCs/>
          <w:sz w:val="24"/>
          <w:szCs w:val="24"/>
        </w:rPr>
        <w:t>,</w:t>
      </w:r>
      <w:r w:rsidRPr="00A26F2C">
        <w:rPr>
          <w:rFonts w:eastAsia="Times New Roman" w:cstheme="minorHAnsi"/>
          <w:bCs/>
          <w:sz w:val="24"/>
          <w:szCs w:val="24"/>
        </w:rPr>
        <w:t xml:space="preserve"> service concession arrangements formerly reported in conformity with GASB No. 60, </w:t>
      </w:r>
      <w:r w:rsidRPr="00A26F2C">
        <w:rPr>
          <w:rFonts w:eastAsia="Times New Roman" w:cstheme="minorHAnsi"/>
          <w:bCs/>
          <w:i/>
          <w:sz w:val="24"/>
          <w:szCs w:val="24"/>
        </w:rPr>
        <w:t xml:space="preserve">Accounting and </w:t>
      </w:r>
    </w:p>
    <w:p w14:paraId="71147A12" w14:textId="6DA9ECF6" w:rsidR="001D5B6E" w:rsidRDefault="001D5B6E" w:rsidP="001D5B6E">
      <w:pPr>
        <w:spacing w:after="160"/>
        <w:rPr>
          <w:rFonts w:eastAsia="Times New Roman" w:cstheme="minorHAnsi"/>
          <w:bCs/>
          <w:i/>
          <w:sz w:val="24"/>
          <w:szCs w:val="24"/>
        </w:rPr>
      </w:pPr>
    </w:p>
    <w:p w14:paraId="2AF8B7E0" w14:textId="05142678" w:rsidR="001D5B6E" w:rsidRPr="005B26A1" w:rsidRDefault="001D5B6E" w:rsidP="001D5B6E">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26B94090" w14:textId="4CAF3571" w:rsidR="009B7458" w:rsidRDefault="001D5B6E" w:rsidP="009B7458">
      <w:pPr>
        <w:tabs>
          <w:tab w:val="left" w:pos="0"/>
        </w:tabs>
        <w:rPr>
          <w:rFonts w:eastAsia="Times New Roman" w:cstheme="minorHAnsi"/>
          <w:bCs/>
          <w:sz w:val="24"/>
          <w:szCs w:val="24"/>
        </w:rPr>
      </w:pPr>
      <w:proofErr w:type="gramStart"/>
      <w:r w:rsidRPr="00A26F2C">
        <w:rPr>
          <w:rFonts w:eastAsia="Times New Roman" w:cstheme="minorHAnsi"/>
          <w:bCs/>
          <w:i/>
          <w:sz w:val="24"/>
          <w:szCs w:val="24"/>
        </w:rPr>
        <w:t>Financial Reporting for Service Concession Arrangements,</w:t>
      </w:r>
      <w:proofErr w:type="gramEnd"/>
      <w:r w:rsidRPr="00A26F2C">
        <w:rPr>
          <w:rFonts w:eastAsia="Times New Roman" w:cstheme="minorHAnsi"/>
          <w:bCs/>
          <w:i/>
          <w:sz w:val="24"/>
          <w:szCs w:val="24"/>
        </w:rPr>
        <w:t xml:space="preserve"> </w:t>
      </w:r>
      <w:r w:rsidRPr="00A26F2C">
        <w:rPr>
          <w:rFonts w:eastAsia="Times New Roman" w:cstheme="minorHAnsi"/>
          <w:bCs/>
          <w:sz w:val="24"/>
          <w:szCs w:val="24"/>
        </w:rPr>
        <w:t>were reclassed from Deferred Inflows</w:t>
      </w:r>
      <w:r>
        <w:rPr>
          <w:rFonts w:eastAsia="Times New Roman" w:cstheme="minorHAnsi"/>
          <w:bCs/>
          <w:sz w:val="24"/>
          <w:szCs w:val="24"/>
        </w:rPr>
        <w:t xml:space="preserve"> </w:t>
      </w:r>
      <w:r w:rsidR="009B7458">
        <w:rPr>
          <w:rFonts w:eastAsia="Times New Roman" w:cstheme="minorHAnsi"/>
          <w:bCs/>
          <w:sz w:val="24"/>
          <w:szCs w:val="24"/>
        </w:rPr>
        <w:t xml:space="preserve">of Resources </w:t>
      </w:r>
      <w:r w:rsidR="009B7458" w:rsidRPr="00A26F2C">
        <w:rPr>
          <w:rFonts w:eastAsia="Times New Roman" w:cstheme="minorHAnsi"/>
          <w:bCs/>
          <w:sz w:val="24"/>
          <w:szCs w:val="24"/>
        </w:rPr>
        <w:t xml:space="preserve">to </w:t>
      </w:r>
      <w:r w:rsidR="009B7458">
        <w:rPr>
          <w:rFonts w:eastAsia="Times New Roman" w:cstheme="minorHAnsi"/>
          <w:bCs/>
          <w:sz w:val="24"/>
          <w:szCs w:val="24"/>
        </w:rPr>
        <w:t>current and noncurrent U</w:t>
      </w:r>
      <w:r w:rsidR="009B7458" w:rsidRPr="00A26F2C">
        <w:rPr>
          <w:rFonts w:eastAsia="Times New Roman" w:cstheme="minorHAnsi"/>
          <w:bCs/>
          <w:sz w:val="24"/>
          <w:szCs w:val="24"/>
        </w:rPr>
        <w:t>nearned Revenue in the Statements of Net Position in the FY22 financial statements, in accordance with the provisions of</w:t>
      </w:r>
      <w:r w:rsidR="009B7458">
        <w:rPr>
          <w:rFonts w:eastAsia="Times New Roman" w:cstheme="minorHAnsi"/>
          <w:bCs/>
          <w:sz w:val="24"/>
          <w:szCs w:val="24"/>
        </w:rPr>
        <w:t xml:space="preserve"> GASB No. 94.</w:t>
      </w:r>
      <w:r w:rsidR="009B7458" w:rsidRPr="00A26F2C">
        <w:rPr>
          <w:rFonts w:eastAsia="Times New Roman" w:cstheme="minorHAnsi"/>
          <w:bCs/>
          <w:sz w:val="24"/>
          <w:szCs w:val="24"/>
        </w:rPr>
        <w:t xml:space="preserve"> </w:t>
      </w:r>
    </w:p>
    <w:p w14:paraId="0BC9AF86" w14:textId="77777777" w:rsidR="009B7458" w:rsidRDefault="009B7458" w:rsidP="009B7458">
      <w:pPr>
        <w:tabs>
          <w:tab w:val="left" w:pos="0"/>
        </w:tabs>
        <w:rPr>
          <w:rFonts w:eastAsia="Times New Roman" w:cstheme="minorHAnsi"/>
          <w:bCs/>
          <w:sz w:val="24"/>
          <w:szCs w:val="24"/>
        </w:rPr>
      </w:pPr>
    </w:p>
    <w:p w14:paraId="3E9AB8B1" w14:textId="017763AF" w:rsidR="00F273FD" w:rsidRDefault="00DD1612" w:rsidP="009B7458">
      <w:pPr>
        <w:tabs>
          <w:tab w:val="left" w:pos="0"/>
        </w:tabs>
        <w:rPr>
          <w:rFonts w:eastAsia="Times New Roman" w:cstheme="minorHAnsi"/>
          <w:bCs/>
          <w:sz w:val="24"/>
          <w:szCs w:val="20"/>
        </w:rPr>
      </w:pPr>
      <w:r w:rsidRPr="00F273FD">
        <w:rPr>
          <w:rFonts w:eastAsia="Times New Roman" w:cstheme="minorHAnsi"/>
          <w:bCs/>
          <w:sz w:val="24"/>
          <w:szCs w:val="20"/>
        </w:rPr>
        <w:t xml:space="preserve">In </w:t>
      </w:r>
      <w:r w:rsidR="00F273FD" w:rsidRPr="00F273FD">
        <w:rPr>
          <w:rFonts w:eastAsia="Times New Roman" w:cstheme="minorHAnsi"/>
          <w:bCs/>
          <w:sz w:val="24"/>
          <w:szCs w:val="20"/>
        </w:rPr>
        <w:t>FY2</w:t>
      </w:r>
      <w:r w:rsidR="00F273FD">
        <w:rPr>
          <w:rFonts w:eastAsia="Times New Roman" w:cstheme="minorHAnsi"/>
          <w:bCs/>
          <w:sz w:val="24"/>
          <w:szCs w:val="20"/>
        </w:rPr>
        <w:t>3</w:t>
      </w:r>
      <w:r w:rsidR="00B66478">
        <w:rPr>
          <w:rFonts w:eastAsia="Times New Roman" w:cstheme="minorHAnsi"/>
          <w:bCs/>
          <w:sz w:val="24"/>
          <w:szCs w:val="20"/>
        </w:rPr>
        <w:t>,</w:t>
      </w:r>
      <w:r w:rsidR="00F273FD" w:rsidRPr="00F273FD">
        <w:rPr>
          <w:rFonts w:eastAsia="Times New Roman" w:cstheme="minorHAnsi"/>
          <w:bCs/>
          <w:sz w:val="24"/>
          <w:szCs w:val="20"/>
        </w:rPr>
        <w:t xml:space="preserve"> </w:t>
      </w:r>
      <w:r w:rsidRPr="00F273FD">
        <w:rPr>
          <w:rFonts w:eastAsia="Times New Roman" w:cstheme="minorHAnsi"/>
          <w:bCs/>
          <w:sz w:val="24"/>
          <w:szCs w:val="20"/>
        </w:rPr>
        <w:t xml:space="preserve">the </w:t>
      </w:r>
      <w:r w:rsidR="009B7458" w:rsidRPr="00F273FD">
        <w:rPr>
          <w:rFonts w:eastAsia="Times New Roman" w:cstheme="minorHAnsi"/>
          <w:bCs/>
          <w:sz w:val="24"/>
          <w:szCs w:val="20"/>
        </w:rPr>
        <w:t>System</w:t>
      </w:r>
      <w:r w:rsidR="009B7458">
        <w:rPr>
          <w:rFonts w:eastAsia="Times New Roman" w:cstheme="minorHAnsi"/>
          <w:bCs/>
          <w:sz w:val="24"/>
          <w:szCs w:val="20"/>
        </w:rPr>
        <w:t xml:space="preserve"> also </w:t>
      </w:r>
      <w:r w:rsidRPr="00F273FD">
        <w:rPr>
          <w:rFonts w:eastAsia="Times New Roman" w:cstheme="minorHAnsi"/>
          <w:bCs/>
          <w:sz w:val="24"/>
          <w:szCs w:val="20"/>
        </w:rPr>
        <w:t xml:space="preserve">adopted GASB Statement No. </w:t>
      </w:r>
      <w:r w:rsidR="00F321B9">
        <w:rPr>
          <w:rFonts w:eastAsia="Times New Roman" w:cstheme="minorHAnsi"/>
          <w:bCs/>
          <w:sz w:val="24"/>
          <w:szCs w:val="20"/>
        </w:rPr>
        <w:t>96</w:t>
      </w:r>
      <w:r>
        <w:rPr>
          <w:rFonts w:eastAsia="Times New Roman" w:cstheme="minorHAnsi"/>
          <w:bCs/>
          <w:sz w:val="24"/>
          <w:szCs w:val="20"/>
        </w:rPr>
        <w:t xml:space="preserve">, </w:t>
      </w:r>
      <w:r w:rsidR="00F321B9" w:rsidRPr="00A26F2C">
        <w:rPr>
          <w:rFonts w:eastAsia="Times New Roman" w:cstheme="minorHAnsi"/>
          <w:bCs/>
          <w:i/>
          <w:sz w:val="24"/>
          <w:szCs w:val="20"/>
        </w:rPr>
        <w:t>Subscription-Based Information Technology Arrangements</w:t>
      </w:r>
      <w:r>
        <w:rPr>
          <w:rFonts w:eastAsia="Times New Roman" w:cstheme="minorHAnsi"/>
          <w:bCs/>
          <w:sz w:val="24"/>
          <w:szCs w:val="20"/>
        </w:rPr>
        <w:t xml:space="preserve"> </w:t>
      </w:r>
      <w:r w:rsidR="00F273FD">
        <w:rPr>
          <w:rFonts w:eastAsia="Times New Roman" w:cstheme="minorHAnsi"/>
          <w:bCs/>
          <w:sz w:val="24"/>
          <w:szCs w:val="20"/>
        </w:rPr>
        <w:t xml:space="preserve">(SBITAs) </w:t>
      </w:r>
      <w:r>
        <w:rPr>
          <w:rFonts w:eastAsia="Times New Roman" w:cstheme="minorHAnsi"/>
          <w:bCs/>
          <w:sz w:val="24"/>
          <w:szCs w:val="20"/>
        </w:rPr>
        <w:t xml:space="preserve">(GASB No. </w:t>
      </w:r>
      <w:r w:rsidR="00F321B9">
        <w:rPr>
          <w:rFonts w:eastAsia="Times New Roman" w:cstheme="minorHAnsi"/>
          <w:bCs/>
          <w:sz w:val="24"/>
          <w:szCs w:val="20"/>
        </w:rPr>
        <w:t>96</w:t>
      </w:r>
      <w:r>
        <w:rPr>
          <w:rFonts w:eastAsia="Times New Roman" w:cstheme="minorHAnsi"/>
          <w:bCs/>
          <w:sz w:val="24"/>
          <w:szCs w:val="20"/>
        </w:rPr>
        <w:t xml:space="preserve">). </w:t>
      </w:r>
      <w:r w:rsidRPr="00385510">
        <w:rPr>
          <w:rFonts w:eastAsia="Times New Roman" w:cstheme="minorHAnsi"/>
          <w:bCs/>
          <w:sz w:val="24"/>
          <w:szCs w:val="20"/>
        </w:rPr>
        <w:t xml:space="preserve">This </w:t>
      </w:r>
      <w:r>
        <w:rPr>
          <w:rFonts w:eastAsia="Times New Roman" w:cstheme="minorHAnsi"/>
          <w:bCs/>
          <w:sz w:val="24"/>
          <w:szCs w:val="20"/>
        </w:rPr>
        <w:t>s</w:t>
      </w:r>
      <w:r w:rsidRPr="00385510">
        <w:rPr>
          <w:rFonts w:eastAsia="Times New Roman" w:cstheme="minorHAnsi"/>
          <w:bCs/>
          <w:sz w:val="24"/>
          <w:szCs w:val="20"/>
        </w:rPr>
        <w:t>tatement increases the usefulness of governments’</w:t>
      </w:r>
      <w:r>
        <w:rPr>
          <w:rFonts w:eastAsia="Times New Roman" w:cstheme="minorHAnsi"/>
          <w:bCs/>
          <w:sz w:val="24"/>
          <w:szCs w:val="20"/>
        </w:rPr>
        <w:t xml:space="preserve"> </w:t>
      </w:r>
      <w:r w:rsidRPr="00385510">
        <w:rPr>
          <w:rFonts w:eastAsia="Times New Roman" w:cstheme="minorHAnsi"/>
          <w:bCs/>
          <w:sz w:val="24"/>
          <w:szCs w:val="20"/>
        </w:rPr>
        <w:t xml:space="preserve">financial statements by requiring </w:t>
      </w:r>
      <w:r w:rsidR="00F273FD">
        <w:rPr>
          <w:rFonts w:eastAsia="Times New Roman" w:cstheme="minorHAnsi"/>
          <w:bCs/>
          <w:sz w:val="24"/>
          <w:szCs w:val="20"/>
        </w:rPr>
        <w:t xml:space="preserve">the recognition of </w:t>
      </w:r>
      <w:r w:rsidR="00F321B9">
        <w:rPr>
          <w:rFonts w:eastAsia="Times New Roman" w:cstheme="minorHAnsi"/>
          <w:bCs/>
          <w:sz w:val="24"/>
          <w:szCs w:val="20"/>
        </w:rPr>
        <w:t xml:space="preserve">a right </w:t>
      </w:r>
      <w:r w:rsidR="009B7458">
        <w:rPr>
          <w:rFonts w:eastAsia="Times New Roman" w:cstheme="minorHAnsi"/>
          <w:bCs/>
          <w:sz w:val="24"/>
          <w:szCs w:val="20"/>
        </w:rPr>
        <w:t>of</w:t>
      </w:r>
      <w:r w:rsidR="00F321B9">
        <w:rPr>
          <w:rFonts w:eastAsia="Times New Roman" w:cstheme="minorHAnsi"/>
          <w:bCs/>
          <w:sz w:val="24"/>
          <w:szCs w:val="20"/>
        </w:rPr>
        <w:t xml:space="preserve"> </w:t>
      </w:r>
      <w:r w:rsidR="00F321B9" w:rsidRPr="00F321B9">
        <w:rPr>
          <w:rFonts w:eastAsia="Times New Roman" w:cstheme="minorHAnsi"/>
          <w:bCs/>
          <w:sz w:val="24"/>
          <w:szCs w:val="20"/>
        </w:rPr>
        <w:t>use</w:t>
      </w:r>
      <w:r w:rsidR="00F321B9">
        <w:rPr>
          <w:rFonts w:eastAsia="Times New Roman" w:cstheme="minorHAnsi"/>
          <w:bCs/>
          <w:sz w:val="24"/>
          <w:szCs w:val="20"/>
        </w:rPr>
        <w:t xml:space="preserve"> </w:t>
      </w:r>
      <w:r w:rsidR="00F321B9" w:rsidRPr="00F321B9">
        <w:rPr>
          <w:rFonts w:eastAsia="Times New Roman" w:cstheme="minorHAnsi"/>
          <w:bCs/>
          <w:sz w:val="24"/>
          <w:szCs w:val="20"/>
        </w:rPr>
        <w:t>subscription asset</w:t>
      </w:r>
      <w:r w:rsidR="00F273FD">
        <w:rPr>
          <w:rFonts w:eastAsia="Times New Roman" w:cstheme="minorHAnsi"/>
          <w:bCs/>
          <w:sz w:val="24"/>
          <w:szCs w:val="20"/>
        </w:rPr>
        <w:t xml:space="preserve">, </w:t>
      </w:r>
      <w:r w:rsidR="00F321B9" w:rsidRPr="00F321B9">
        <w:rPr>
          <w:rFonts w:eastAsia="Times New Roman" w:cstheme="minorHAnsi"/>
          <w:bCs/>
          <w:sz w:val="24"/>
          <w:szCs w:val="20"/>
        </w:rPr>
        <w:t>an intangible asset</w:t>
      </w:r>
      <w:r w:rsidR="00F273FD">
        <w:rPr>
          <w:rFonts w:eastAsia="Times New Roman" w:cstheme="minorHAnsi"/>
          <w:bCs/>
          <w:sz w:val="24"/>
          <w:szCs w:val="20"/>
        </w:rPr>
        <w:t xml:space="preserve">, </w:t>
      </w:r>
      <w:r w:rsidR="00F321B9" w:rsidRPr="00F321B9">
        <w:rPr>
          <w:rFonts w:eastAsia="Times New Roman" w:cstheme="minorHAnsi"/>
          <w:bCs/>
          <w:sz w:val="24"/>
          <w:szCs w:val="20"/>
        </w:rPr>
        <w:t>and a corresponding subscription</w:t>
      </w:r>
      <w:r w:rsidR="00F321B9">
        <w:rPr>
          <w:rFonts w:eastAsia="Times New Roman" w:cstheme="minorHAnsi"/>
          <w:bCs/>
          <w:sz w:val="24"/>
          <w:szCs w:val="20"/>
        </w:rPr>
        <w:t xml:space="preserve"> </w:t>
      </w:r>
      <w:r w:rsidR="00F273FD">
        <w:rPr>
          <w:rFonts w:eastAsia="Times New Roman" w:cstheme="minorHAnsi"/>
          <w:bCs/>
          <w:sz w:val="24"/>
          <w:szCs w:val="20"/>
        </w:rPr>
        <w:t xml:space="preserve">liability </w:t>
      </w:r>
      <w:r w:rsidRPr="00385510">
        <w:rPr>
          <w:rFonts w:eastAsia="Times New Roman" w:cstheme="minorHAnsi"/>
          <w:bCs/>
          <w:sz w:val="24"/>
          <w:szCs w:val="20"/>
        </w:rPr>
        <w:t>based on the</w:t>
      </w:r>
      <w:r>
        <w:rPr>
          <w:rFonts w:eastAsia="Times New Roman" w:cstheme="minorHAnsi"/>
          <w:bCs/>
          <w:sz w:val="24"/>
          <w:szCs w:val="20"/>
        </w:rPr>
        <w:t xml:space="preserve"> </w:t>
      </w:r>
      <w:r w:rsidRPr="00385510">
        <w:rPr>
          <w:rFonts w:eastAsia="Times New Roman" w:cstheme="minorHAnsi"/>
          <w:bCs/>
          <w:sz w:val="24"/>
          <w:szCs w:val="20"/>
        </w:rPr>
        <w:t xml:space="preserve">payment </w:t>
      </w:r>
      <w:r>
        <w:rPr>
          <w:rFonts w:eastAsia="Times New Roman" w:cstheme="minorHAnsi"/>
          <w:bCs/>
          <w:sz w:val="24"/>
          <w:szCs w:val="20"/>
        </w:rPr>
        <w:t>p</w:t>
      </w:r>
      <w:r w:rsidRPr="00385510">
        <w:rPr>
          <w:rFonts w:eastAsia="Times New Roman" w:cstheme="minorHAnsi"/>
          <w:bCs/>
          <w:sz w:val="24"/>
          <w:szCs w:val="20"/>
        </w:rPr>
        <w:t xml:space="preserve">rovisions of the </w:t>
      </w:r>
      <w:r w:rsidR="00F273FD">
        <w:rPr>
          <w:rFonts w:eastAsia="Times New Roman" w:cstheme="minorHAnsi"/>
          <w:bCs/>
          <w:sz w:val="24"/>
          <w:szCs w:val="20"/>
        </w:rPr>
        <w:t xml:space="preserve">arrangement, </w:t>
      </w:r>
      <w:r w:rsidRPr="00385510">
        <w:rPr>
          <w:rFonts w:eastAsia="Times New Roman" w:cstheme="minorHAnsi"/>
          <w:bCs/>
          <w:sz w:val="24"/>
          <w:szCs w:val="20"/>
        </w:rPr>
        <w:t>thereby enhancing the relevance and consistency of information</w:t>
      </w:r>
      <w:r>
        <w:rPr>
          <w:rFonts w:eastAsia="Times New Roman" w:cstheme="minorHAnsi"/>
          <w:bCs/>
          <w:sz w:val="24"/>
          <w:szCs w:val="20"/>
        </w:rPr>
        <w:t xml:space="preserve"> </w:t>
      </w:r>
      <w:r w:rsidRPr="00385510">
        <w:rPr>
          <w:rFonts w:eastAsia="Times New Roman" w:cstheme="minorHAnsi"/>
          <w:bCs/>
          <w:sz w:val="24"/>
          <w:szCs w:val="20"/>
        </w:rPr>
        <w:t>about governments’ leasing activities.</w:t>
      </w:r>
    </w:p>
    <w:p w14:paraId="19374B07" w14:textId="77777777" w:rsidR="00F273FD" w:rsidRDefault="00F273FD" w:rsidP="00F321B9">
      <w:pPr>
        <w:tabs>
          <w:tab w:val="left" w:pos="0"/>
        </w:tabs>
        <w:rPr>
          <w:rFonts w:eastAsia="Times New Roman" w:cstheme="minorHAnsi"/>
          <w:bCs/>
          <w:sz w:val="24"/>
          <w:szCs w:val="20"/>
        </w:rPr>
      </w:pPr>
    </w:p>
    <w:p w14:paraId="737F5E0C" w14:textId="7196EA43" w:rsidR="008E1CA9" w:rsidRDefault="00DD1612" w:rsidP="00184AB5">
      <w:pPr>
        <w:pStyle w:val="Default"/>
        <w:rPr>
          <w:rFonts w:eastAsia="Times New Roman" w:cstheme="minorHAnsi"/>
          <w:bCs/>
          <w:szCs w:val="20"/>
        </w:rPr>
        <w:sectPr w:rsidR="008E1CA9" w:rsidSect="001D5B6E">
          <w:headerReference w:type="default" r:id="rId59"/>
          <w:type w:val="continuous"/>
          <w:pgSz w:w="12240" w:h="15840" w:code="1"/>
          <w:pgMar w:top="1440" w:right="1440" w:bottom="1440" w:left="1440" w:header="720" w:footer="720" w:gutter="0"/>
          <w:cols w:space="0"/>
          <w:titlePg/>
          <w:docGrid w:linePitch="360"/>
        </w:sectPr>
      </w:pPr>
      <w:r w:rsidRPr="00AA74F4">
        <w:rPr>
          <w:rFonts w:eastAsia="Times New Roman" w:cstheme="minorHAnsi"/>
          <w:bCs/>
          <w:szCs w:val="20"/>
        </w:rPr>
        <w:t xml:space="preserve">The System adopted the provisions of GASB No. </w:t>
      </w:r>
      <w:r w:rsidR="000704F4">
        <w:rPr>
          <w:rFonts w:eastAsia="Times New Roman" w:cstheme="minorHAnsi"/>
          <w:bCs/>
          <w:szCs w:val="20"/>
        </w:rPr>
        <w:t>96</w:t>
      </w:r>
      <w:r w:rsidR="000704F4" w:rsidRPr="00AA74F4">
        <w:rPr>
          <w:rFonts w:eastAsia="Times New Roman" w:cstheme="minorHAnsi"/>
          <w:bCs/>
          <w:szCs w:val="20"/>
        </w:rPr>
        <w:t xml:space="preserve"> </w:t>
      </w:r>
      <w:r w:rsidRPr="00AA74F4">
        <w:rPr>
          <w:rFonts w:eastAsia="Times New Roman" w:cstheme="minorHAnsi"/>
          <w:bCs/>
          <w:szCs w:val="20"/>
        </w:rPr>
        <w:t xml:space="preserve">retroactive to July 1, </w:t>
      </w:r>
      <w:r w:rsidR="000704F4" w:rsidRPr="00AA74F4">
        <w:rPr>
          <w:rFonts w:eastAsia="Times New Roman" w:cstheme="minorHAnsi"/>
          <w:bCs/>
          <w:szCs w:val="20"/>
        </w:rPr>
        <w:t>20</w:t>
      </w:r>
      <w:r w:rsidR="000704F4">
        <w:rPr>
          <w:rFonts w:eastAsia="Times New Roman" w:cstheme="minorHAnsi"/>
          <w:bCs/>
          <w:szCs w:val="20"/>
        </w:rPr>
        <w:t>21</w:t>
      </w:r>
      <w:r w:rsidRPr="00AA74F4">
        <w:rPr>
          <w:rFonts w:eastAsia="Times New Roman" w:cstheme="minorHAnsi"/>
          <w:bCs/>
          <w:szCs w:val="20"/>
        </w:rPr>
        <w:t xml:space="preserve">, and has restated its </w:t>
      </w:r>
      <w:r w:rsidR="000704F4" w:rsidRPr="00AA74F4">
        <w:rPr>
          <w:rFonts w:eastAsia="Times New Roman" w:cstheme="minorHAnsi"/>
          <w:bCs/>
          <w:szCs w:val="20"/>
        </w:rPr>
        <w:t>FY</w:t>
      </w:r>
      <w:r w:rsidR="000704F4">
        <w:rPr>
          <w:rFonts w:eastAsia="Times New Roman" w:cstheme="minorHAnsi"/>
          <w:bCs/>
          <w:szCs w:val="20"/>
        </w:rPr>
        <w:t xml:space="preserve">22 </w:t>
      </w:r>
      <w:r w:rsidRPr="00AA74F4">
        <w:rPr>
          <w:rFonts w:eastAsia="Times New Roman" w:cstheme="minorHAnsi"/>
          <w:bCs/>
          <w:szCs w:val="20"/>
        </w:rPr>
        <w:t xml:space="preserve">financial statements in accordance with the provisions of GASB No. </w:t>
      </w:r>
      <w:r w:rsidR="000704F4">
        <w:rPr>
          <w:rFonts w:eastAsia="Times New Roman" w:cstheme="minorHAnsi"/>
          <w:bCs/>
          <w:szCs w:val="20"/>
        </w:rPr>
        <w:t>96</w:t>
      </w:r>
      <w:r w:rsidR="003E72E3">
        <w:rPr>
          <w:rFonts w:eastAsia="Times New Roman" w:cstheme="minorHAnsi"/>
          <w:bCs/>
          <w:szCs w:val="20"/>
        </w:rPr>
        <w:t>.</w:t>
      </w:r>
      <w:r w:rsidRPr="00AA74F4">
        <w:rPr>
          <w:rFonts w:eastAsia="Times New Roman" w:cstheme="minorHAnsi"/>
          <w:bCs/>
          <w:szCs w:val="20"/>
        </w:rPr>
        <w:t xml:space="preserve"> The </w:t>
      </w:r>
      <w:r>
        <w:rPr>
          <w:rFonts w:eastAsia="Times New Roman" w:cstheme="minorHAnsi"/>
          <w:bCs/>
          <w:szCs w:val="20"/>
        </w:rPr>
        <w:t xml:space="preserve">adoption of GASB No. </w:t>
      </w:r>
      <w:r w:rsidR="000704F4">
        <w:rPr>
          <w:rFonts w:eastAsia="Times New Roman" w:cstheme="minorHAnsi"/>
          <w:bCs/>
          <w:szCs w:val="20"/>
        </w:rPr>
        <w:t>96</w:t>
      </w:r>
      <w:r w:rsidR="000704F4" w:rsidRPr="00AA74F4">
        <w:rPr>
          <w:rFonts w:eastAsia="Times New Roman" w:cstheme="minorHAnsi"/>
          <w:bCs/>
          <w:szCs w:val="20"/>
        </w:rPr>
        <w:t xml:space="preserve"> </w:t>
      </w:r>
      <w:r w:rsidRPr="00AA74F4">
        <w:rPr>
          <w:rFonts w:eastAsia="Times New Roman" w:cstheme="minorHAnsi"/>
          <w:bCs/>
          <w:szCs w:val="20"/>
        </w:rPr>
        <w:t xml:space="preserve">is described further in Note </w:t>
      </w:r>
      <w:r w:rsidR="000704F4" w:rsidRPr="006A4C58">
        <w:rPr>
          <w:rFonts w:eastAsia="Times New Roman" w:cstheme="minorHAnsi"/>
          <w:bCs/>
          <w:color w:val="auto"/>
          <w:szCs w:val="20"/>
        </w:rPr>
        <w:t>1</w:t>
      </w:r>
      <w:r w:rsidR="000704F4">
        <w:rPr>
          <w:rFonts w:eastAsia="Times New Roman" w:cstheme="minorHAnsi"/>
          <w:bCs/>
          <w:color w:val="auto"/>
          <w:szCs w:val="20"/>
        </w:rPr>
        <w:t>7</w:t>
      </w:r>
      <w:r w:rsidRPr="00AA74F4">
        <w:rPr>
          <w:rFonts w:eastAsia="Times New Roman" w:cstheme="minorHAnsi"/>
          <w:bCs/>
          <w:szCs w:val="20"/>
        </w:rPr>
        <w:t>.</w:t>
      </w:r>
    </w:p>
    <w:p w14:paraId="6C7479BB" w14:textId="201A500B" w:rsidR="00DD1612" w:rsidRDefault="00DD1612" w:rsidP="00DD1612">
      <w:pPr>
        <w:pStyle w:val="AFR3"/>
        <w:rPr>
          <w:rFonts w:cstheme="minorHAnsi"/>
        </w:rPr>
      </w:pPr>
      <w:r>
        <w:rPr>
          <w:rFonts w:cstheme="minorHAnsi"/>
        </w:rPr>
        <w:t>c</w:t>
      </w:r>
      <w:r w:rsidRPr="00F54559">
        <w:rPr>
          <w:rFonts w:cstheme="minorHAnsi"/>
        </w:rPr>
        <w:t xml:space="preserve">. </w:t>
      </w:r>
      <w:r>
        <w:rPr>
          <w:rFonts w:cstheme="minorHAnsi"/>
        </w:rPr>
        <w:t>Fiduciary Funds</w:t>
      </w:r>
    </w:p>
    <w:p w14:paraId="4B6EDF0A" w14:textId="77777777" w:rsidR="00DD1612" w:rsidRPr="00542FB3" w:rsidRDefault="00DD1612" w:rsidP="00DD1612">
      <w:pPr>
        <w:rPr>
          <w:sz w:val="24"/>
          <w:szCs w:val="24"/>
        </w:rPr>
      </w:pPr>
      <w:r>
        <w:rPr>
          <w:sz w:val="24"/>
          <w:szCs w:val="24"/>
        </w:rPr>
        <w:t>The System holds t</w:t>
      </w:r>
      <w:r w:rsidRPr="00542FB3">
        <w:rPr>
          <w:sz w:val="24"/>
          <w:szCs w:val="24"/>
        </w:rPr>
        <w:t xml:space="preserve">hese </w:t>
      </w:r>
      <w:r>
        <w:rPr>
          <w:sz w:val="24"/>
          <w:szCs w:val="24"/>
        </w:rPr>
        <w:t xml:space="preserve">funds </w:t>
      </w:r>
      <w:r w:rsidRPr="00542FB3">
        <w:rPr>
          <w:sz w:val="24"/>
          <w:szCs w:val="24"/>
        </w:rPr>
        <w:t xml:space="preserve">on behalf of other entities as a trustee or fiduciary. The System is responsible for ensuring such assets are used only for their intended purposes and by those to whom the assets belong. </w:t>
      </w:r>
    </w:p>
    <w:p w14:paraId="776F4FE1" w14:textId="77777777" w:rsidR="00DD1612" w:rsidRPr="004C662D" w:rsidRDefault="00DD1612" w:rsidP="00DD1612">
      <w:pPr>
        <w:tabs>
          <w:tab w:val="left" w:pos="0"/>
        </w:tabs>
        <w:rPr>
          <w:rFonts w:eastAsia="Times New Roman" w:cstheme="minorHAnsi"/>
          <w:bCs/>
          <w:sz w:val="20"/>
          <w:szCs w:val="20"/>
        </w:rPr>
      </w:pPr>
    </w:p>
    <w:p w14:paraId="0458755C" w14:textId="77777777" w:rsidR="00DD1612" w:rsidRPr="00542FB3" w:rsidRDefault="00DD1612" w:rsidP="00DD1612">
      <w:pPr>
        <w:spacing w:after="120"/>
        <w:rPr>
          <w:sz w:val="24"/>
          <w:szCs w:val="24"/>
        </w:rPr>
      </w:pPr>
      <w:r w:rsidRPr="00542FB3">
        <w:rPr>
          <w:sz w:val="24"/>
          <w:szCs w:val="24"/>
        </w:rPr>
        <w:t>The System reports its fiduciary funds in the following financial statements that accompany these notes.</w:t>
      </w:r>
    </w:p>
    <w:p w14:paraId="509AFF65" w14:textId="77777777" w:rsidR="00DD1612" w:rsidRPr="00542FB3" w:rsidRDefault="00DD1612" w:rsidP="00DD1612">
      <w:pPr>
        <w:spacing w:after="120"/>
        <w:ind w:left="540"/>
        <w:rPr>
          <w:sz w:val="24"/>
          <w:szCs w:val="24"/>
        </w:rPr>
      </w:pPr>
      <w:r w:rsidRPr="00542FB3">
        <w:rPr>
          <w:b/>
          <w:sz w:val="24"/>
          <w:szCs w:val="24"/>
        </w:rPr>
        <w:t>Statements of Fiduciary Net Position</w:t>
      </w:r>
      <w:r w:rsidRPr="00542FB3">
        <w:rPr>
          <w:sz w:val="24"/>
          <w:szCs w:val="24"/>
        </w:rPr>
        <w:t xml:space="preserve"> – Presents the assets held by the System in a fiduciary capacity as of June 30 along with the related deferred outflows of resources, liabilities, deferred inflows of resources, and net position.</w:t>
      </w:r>
    </w:p>
    <w:p w14:paraId="6544AFA3" w14:textId="77777777" w:rsidR="00DD1612" w:rsidRDefault="00DD1612" w:rsidP="00DD1612">
      <w:pPr>
        <w:ind w:left="540"/>
        <w:rPr>
          <w:sz w:val="24"/>
          <w:szCs w:val="24"/>
        </w:rPr>
      </w:pPr>
      <w:r w:rsidRPr="00542FB3">
        <w:rPr>
          <w:b/>
          <w:sz w:val="24"/>
          <w:szCs w:val="24"/>
        </w:rPr>
        <w:t>Statements of Changes in Fiduciary Net Position</w:t>
      </w:r>
      <w:r w:rsidRPr="00542FB3">
        <w:rPr>
          <w:sz w:val="24"/>
          <w:szCs w:val="24"/>
        </w:rPr>
        <w:t xml:space="preserve"> – Presents the components of the fiscal year change in net position of the fiduciary funds.</w:t>
      </w:r>
    </w:p>
    <w:p w14:paraId="1712FA47" w14:textId="77777777" w:rsidR="00DD1612" w:rsidRPr="004C662D" w:rsidRDefault="00DD1612" w:rsidP="00DD1612">
      <w:pPr>
        <w:ind w:left="540"/>
        <w:rPr>
          <w:sz w:val="20"/>
          <w:szCs w:val="20"/>
        </w:rPr>
      </w:pPr>
    </w:p>
    <w:p w14:paraId="4E182526" w14:textId="77777777" w:rsidR="00DD1612" w:rsidRPr="00542FB3" w:rsidRDefault="00DD1612" w:rsidP="00DD1612">
      <w:pPr>
        <w:spacing w:after="120"/>
        <w:rPr>
          <w:sz w:val="24"/>
          <w:szCs w:val="24"/>
        </w:rPr>
      </w:pPr>
      <w:r w:rsidRPr="00542FB3">
        <w:rPr>
          <w:sz w:val="24"/>
          <w:szCs w:val="24"/>
        </w:rPr>
        <w:t>The System’s fiduciary financial statements include the following types of fiduciary funds:</w:t>
      </w:r>
    </w:p>
    <w:p w14:paraId="0F55F4DB" w14:textId="641FCA32" w:rsidR="00DD1612" w:rsidRPr="00542FB3" w:rsidRDefault="00DD1612" w:rsidP="00DD1612">
      <w:pPr>
        <w:spacing w:after="120"/>
        <w:ind w:left="540"/>
        <w:rPr>
          <w:sz w:val="24"/>
          <w:szCs w:val="24"/>
        </w:rPr>
      </w:pPr>
      <w:r w:rsidRPr="00542FB3">
        <w:rPr>
          <w:b/>
          <w:sz w:val="24"/>
          <w:szCs w:val="24"/>
        </w:rPr>
        <w:t>Pension and Other Employee Benefit Trusts</w:t>
      </w:r>
      <w:r w:rsidRPr="00542FB3">
        <w:rPr>
          <w:sz w:val="24"/>
          <w:szCs w:val="24"/>
        </w:rPr>
        <w:t xml:space="preserve"> – </w:t>
      </w:r>
      <w:r w:rsidR="00FD6C52">
        <w:rPr>
          <w:sz w:val="24"/>
          <w:szCs w:val="24"/>
        </w:rPr>
        <w:t xml:space="preserve">The respective Trust </w:t>
      </w:r>
      <w:r w:rsidRPr="00542FB3">
        <w:rPr>
          <w:sz w:val="24"/>
          <w:szCs w:val="24"/>
        </w:rPr>
        <w:t>include</w:t>
      </w:r>
      <w:r w:rsidR="00FD6C52">
        <w:rPr>
          <w:sz w:val="24"/>
          <w:szCs w:val="24"/>
        </w:rPr>
        <w:t>s assets of</w:t>
      </w:r>
      <w:r w:rsidRPr="00542FB3">
        <w:rPr>
          <w:sz w:val="24"/>
          <w:szCs w:val="24"/>
        </w:rPr>
        <w:t xml:space="preserve"> the System’s Defined Benefit </w:t>
      </w:r>
      <w:r w:rsidR="00FD6C52">
        <w:rPr>
          <w:sz w:val="24"/>
          <w:szCs w:val="24"/>
        </w:rPr>
        <w:t xml:space="preserve">Pension </w:t>
      </w:r>
      <w:r w:rsidRPr="00542FB3">
        <w:rPr>
          <w:sz w:val="24"/>
          <w:szCs w:val="24"/>
        </w:rPr>
        <w:t>Plan for classified employees and its OPEB health plan.</w:t>
      </w:r>
    </w:p>
    <w:p w14:paraId="6F9F2510" w14:textId="2439A291" w:rsidR="00DD1612" w:rsidRPr="00542FB3" w:rsidRDefault="00DD1612" w:rsidP="00DD1612">
      <w:pPr>
        <w:spacing w:after="120"/>
        <w:ind w:left="540"/>
        <w:rPr>
          <w:sz w:val="24"/>
          <w:szCs w:val="24"/>
        </w:rPr>
      </w:pPr>
      <w:r w:rsidRPr="00542FB3">
        <w:rPr>
          <w:b/>
          <w:sz w:val="24"/>
          <w:szCs w:val="24"/>
        </w:rPr>
        <w:t xml:space="preserve">External Investment Pools </w:t>
      </w:r>
      <w:r w:rsidRPr="00542FB3">
        <w:rPr>
          <w:sz w:val="24"/>
          <w:szCs w:val="24"/>
        </w:rPr>
        <w:t xml:space="preserve">– These are a type of custodial fund and represent amounts invested by external parties in the System’s </w:t>
      </w:r>
      <w:r w:rsidR="001D5B6E" w:rsidRPr="00542FB3">
        <w:rPr>
          <w:sz w:val="24"/>
          <w:szCs w:val="24"/>
        </w:rPr>
        <w:t>manage</w:t>
      </w:r>
      <w:r w:rsidR="001D5B6E">
        <w:rPr>
          <w:sz w:val="24"/>
          <w:szCs w:val="24"/>
        </w:rPr>
        <w:t>d</w:t>
      </w:r>
      <w:r w:rsidR="001D5B6E" w:rsidRPr="00542FB3">
        <w:rPr>
          <w:sz w:val="24"/>
          <w:szCs w:val="24"/>
        </w:rPr>
        <w:t xml:space="preserve"> </w:t>
      </w:r>
      <w:r w:rsidRPr="00542FB3">
        <w:rPr>
          <w:sz w:val="24"/>
          <w:szCs w:val="24"/>
        </w:rPr>
        <w:t>investment and endowment pools.</w:t>
      </w:r>
    </w:p>
    <w:p w14:paraId="475DB6CC" w14:textId="77777777" w:rsidR="00DD1612" w:rsidRPr="001303CD" w:rsidRDefault="00DD1612" w:rsidP="00DD1612">
      <w:pPr>
        <w:ind w:left="540"/>
        <w:rPr>
          <w:rFonts w:cstheme="minorHAnsi"/>
        </w:rPr>
      </w:pPr>
      <w:r w:rsidRPr="00542FB3">
        <w:rPr>
          <w:b/>
          <w:sz w:val="24"/>
          <w:szCs w:val="24"/>
        </w:rPr>
        <w:t xml:space="preserve">Other Custodial Funds </w:t>
      </w:r>
      <w:r w:rsidRPr="00542FB3">
        <w:rPr>
          <w:sz w:val="24"/>
          <w:szCs w:val="24"/>
        </w:rPr>
        <w:t>– These custodial funds are held on behalf of various student government groups.</w:t>
      </w:r>
    </w:p>
    <w:p w14:paraId="713A7DCF" w14:textId="77777777" w:rsidR="00DD1612" w:rsidRPr="00F54559" w:rsidRDefault="00DD1612" w:rsidP="00DD1612">
      <w:pPr>
        <w:pStyle w:val="ReportHeading3"/>
        <w:spacing w:before="240"/>
        <w:rPr>
          <w:rFonts w:cstheme="minorHAnsi"/>
          <w:u w:color="000000" w:themeColor="text1"/>
        </w:rPr>
      </w:pPr>
      <w:r>
        <w:rPr>
          <w:rFonts w:cstheme="minorHAnsi"/>
          <w:u w:color="000000" w:themeColor="text1"/>
        </w:rPr>
        <w:t>d</w:t>
      </w:r>
      <w:r w:rsidRPr="00F54559">
        <w:rPr>
          <w:rFonts w:cstheme="minorHAnsi"/>
          <w:u w:color="000000" w:themeColor="text1"/>
        </w:rPr>
        <w:t>. Net Position</w:t>
      </w:r>
    </w:p>
    <w:p w14:paraId="1DE2188E" w14:textId="77777777" w:rsidR="00A05E48" w:rsidRDefault="00DD1612" w:rsidP="004D1EEE">
      <w:pPr>
        <w:spacing w:after="160"/>
        <w:rPr>
          <w:rFonts w:eastAsia="Times New Roman" w:cstheme="minorHAnsi"/>
          <w:sz w:val="24"/>
          <w:szCs w:val="20"/>
        </w:rPr>
      </w:pPr>
      <w:r w:rsidRPr="00F54559">
        <w:rPr>
          <w:rFonts w:eastAsia="Times New Roman" w:cstheme="minorHAnsi"/>
          <w:sz w:val="24"/>
          <w:szCs w:val="20"/>
        </w:rPr>
        <w:t xml:space="preserve">The </w:t>
      </w:r>
      <w:r>
        <w:rPr>
          <w:rFonts w:eastAsia="Times New Roman" w:cstheme="minorHAnsi"/>
          <w:sz w:val="24"/>
          <w:szCs w:val="20"/>
        </w:rPr>
        <w:t xml:space="preserve">accompanying Statements of Net Position present the </w:t>
      </w:r>
      <w:r w:rsidRPr="00F54559">
        <w:rPr>
          <w:rFonts w:eastAsia="Times New Roman" w:cstheme="minorHAnsi"/>
          <w:sz w:val="24"/>
          <w:szCs w:val="20"/>
        </w:rPr>
        <w:t>System’s net position (assets plus deferred outflows of resources less liabilities and deferred inflows of resources) in the following four categories:</w:t>
      </w:r>
    </w:p>
    <w:p w14:paraId="248F431A" w14:textId="29903F88" w:rsidR="004D1EEE" w:rsidRPr="00A05E48" w:rsidRDefault="004D1EEE" w:rsidP="004D1EEE">
      <w:pPr>
        <w:spacing w:after="160"/>
        <w:rPr>
          <w:rFonts w:eastAsia="Times New Roman" w:cstheme="minorHAnsi"/>
          <w:sz w:val="24"/>
          <w:szCs w:val="20"/>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57614161" w14:textId="7FC2A28D" w:rsidR="00DD1612" w:rsidRPr="00F54559" w:rsidRDefault="00DD1612" w:rsidP="00DD1612">
      <w:pPr>
        <w:suppressAutoHyphens/>
        <w:spacing w:after="160"/>
        <w:ind w:left="720"/>
        <w:rPr>
          <w:rFonts w:eastAsia="Times New Roman" w:cstheme="minorHAnsi"/>
          <w:bCs/>
          <w:spacing w:val="-3"/>
          <w:sz w:val="24"/>
          <w:szCs w:val="20"/>
        </w:rPr>
      </w:pPr>
      <w:r w:rsidRPr="00F54559">
        <w:rPr>
          <w:rFonts w:eastAsia="Times New Roman" w:cstheme="minorHAnsi"/>
          <w:b/>
          <w:sz w:val="24"/>
          <w:szCs w:val="20"/>
        </w:rPr>
        <w:t>Net investment in capital assets:</w:t>
      </w:r>
      <w:r w:rsidRPr="00F54559">
        <w:rPr>
          <w:rFonts w:eastAsia="Times New Roman" w:cstheme="minorHAnsi"/>
          <w:sz w:val="24"/>
          <w:szCs w:val="20"/>
        </w:rPr>
        <w:t xml:space="preserve"> Capital assets, net of accumulated depreciation </w:t>
      </w:r>
      <w:r w:rsidR="008A1F9F">
        <w:rPr>
          <w:rFonts w:eastAsia="Times New Roman" w:cstheme="minorHAnsi"/>
          <w:sz w:val="24"/>
          <w:szCs w:val="20"/>
        </w:rPr>
        <w:t xml:space="preserve">and </w:t>
      </w:r>
      <w:proofErr w:type="spellStart"/>
      <w:r w:rsidR="008A1F9F">
        <w:rPr>
          <w:rFonts w:eastAsia="Times New Roman" w:cstheme="minorHAnsi"/>
          <w:sz w:val="24"/>
          <w:szCs w:val="20"/>
        </w:rPr>
        <w:t>amortizaton</w:t>
      </w:r>
      <w:proofErr w:type="spellEnd"/>
      <w:r w:rsidR="008A1F9F">
        <w:rPr>
          <w:rFonts w:eastAsia="Times New Roman" w:cstheme="minorHAnsi"/>
          <w:sz w:val="24"/>
          <w:szCs w:val="20"/>
        </w:rPr>
        <w:t xml:space="preserve"> </w:t>
      </w:r>
      <w:r w:rsidRPr="00F54559">
        <w:rPr>
          <w:rFonts w:eastAsia="Times New Roman" w:cstheme="minorHAnsi"/>
          <w:sz w:val="24"/>
          <w:szCs w:val="20"/>
        </w:rPr>
        <w:t>and outstanding principal balances of debt</w:t>
      </w:r>
      <w:r w:rsidR="008A1F9F">
        <w:rPr>
          <w:rFonts w:eastAsia="Times New Roman" w:cstheme="minorHAnsi"/>
          <w:sz w:val="24"/>
          <w:szCs w:val="20"/>
        </w:rPr>
        <w:t>, leases and SBITAs</w:t>
      </w:r>
      <w:r w:rsidRPr="00F54559">
        <w:rPr>
          <w:rFonts w:eastAsia="Times New Roman" w:cstheme="minorHAnsi"/>
          <w:sz w:val="24"/>
          <w:szCs w:val="20"/>
        </w:rPr>
        <w:t xml:space="preserve"> attributable to the acquisition, construction, repair </w:t>
      </w:r>
      <w:r w:rsidR="003E72E3">
        <w:rPr>
          <w:rFonts w:eastAsia="Times New Roman" w:cstheme="minorHAnsi"/>
          <w:sz w:val="24"/>
          <w:szCs w:val="20"/>
        </w:rPr>
        <w:t>or improvement of those assets.</w:t>
      </w:r>
      <w:r w:rsidRPr="00F54559">
        <w:rPr>
          <w:rFonts w:eastAsia="Times New Roman" w:cstheme="minorHAnsi"/>
          <w:sz w:val="24"/>
          <w:szCs w:val="20"/>
        </w:rPr>
        <w:t xml:space="preserve"> It also includes the premiums/discounts related to the outstanding debt. This category excludes the portion of debt attributable to unspent bond proceeds.</w:t>
      </w:r>
    </w:p>
    <w:p w14:paraId="41963204" w14:textId="1578B25B" w:rsidR="00DD1612" w:rsidRPr="004D1EEE" w:rsidRDefault="00DD1612" w:rsidP="004D1EEE">
      <w:pPr>
        <w:suppressAutoHyphens/>
        <w:spacing w:after="160"/>
        <w:ind w:left="720"/>
        <w:rPr>
          <w:rFonts w:eastAsia="Times New Roman" w:cstheme="minorHAnsi"/>
          <w:sz w:val="24"/>
          <w:szCs w:val="20"/>
        </w:rPr>
      </w:pPr>
      <w:r w:rsidRPr="00F54559">
        <w:rPr>
          <w:rFonts w:eastAsia="Times New Roman" w:cstheme="minorHAnsi"/>
          <w:b/>
          <w:sz w:val="24"/>
          <w:szCs w:val="20"/>
        </w:rPr>
        <w:t>Restricted – nonexpendable:</w:t>
      </w:r>
      <w:r w:rsidRPr="00F54559">
        <w:rPr>
          <w:rFonts w:eastAsia="Times New Roman" w:cstheme="minorHAnsi"/>
          <w:sz w:val="24"/>
          <w:szCs w:val="20"/>
        </w:rPr>
        <w:t xml:space="preserve"> Net position subject to externally imposed conditions that the System maintain them in perpetuity. </w:t>
      </w:r>
      <w:r w:rsidRPr="00F54559">
        <w:rPr>
          <w:rFonts w:eastAsia="Times New Roman" w:cstheme="minorHAnsi"/>
          <w:bCs/>
          <w:spacing w:val="-3"/>
          <w:sz w:val="24"/>
          <w:szCs w:val="20"/>
        </w:rPr>
        <w:t xml:space="preserve">Such net position includes the historical gift value of restricted true endowment funds. </w:t>
      </w:r>
      <w:r w:rsidRPr="00F54559">
        <w:rPr>
          <w:rFonts w:eastAsia="Times New Roman" w:cstheme="minorHAnsi"/>
          <w:sz w:val="24"/>
          <w:szCs w:val="20"/>
        </w:rPr>
        <w:t>In the event that market fluctuations have caused the fair value of an endowment to fall below corpus, the related net position is valued at the lower fair value amount.</w:t>
      </w:r>
    </w:p>
    <w:p w14:paraId="3A09A83B" w14:textId="20DF74C3" w:rsidR="00DD1612" w:rsidRPr="00F54559" w:rsidRDefault="00DD1612" w:rsidP="00DD1612">
      <w:pPr>
        <w:spacing w:after="160"/>
        <w:ind w:left="720"/>
        <w:rPr>
          <w:rFonts w:eastAsia="Times New Roman" w:cstheme="minorHAnsi"/>
          <w:sz w:val="24"/>
          <w:szCs w:val="20"/>
        </w:rPr>
      </w:pPr>
      <w:r w:rsidRPr="00F54559">
        <w:rPr>
          <w:rFonts w:eastAsia="Times New Roman" w:cstheme="minorHAnsi"/>
          <w:b/>
          <w:sz w:val="24"/>
          <w:szCs w:val="20"/>
        </w:rPr>
        <w:t>Restricted – expendable:</w:t>
      </w:r>
      <w:r w:rsidRPr="00F54559">
        <w:rPr>
          <w:rFonts w:eastAsia="Times New Roman" w:cstheme="minorHAnsi"/>
          <w:sz w:val="24"/>
          <w:szCs w:val="20"/>
        </w:rPr>
        <w:t xml:space="preserve"> Net position subject to externally imposed conditions that can be fulfilled by the actions of the Sys</w:t>
      </w:r>
      <w:r w:rsidR="003E72E3">
        <w:rPr>
          <w:rFonts w:eastAsia="Times New Roman" w:cstheme="minorHAnsi"/>
          <w:sz w:val="24"/>
          <w:szCs w:val="20"/>
        </w:rPr>
        <w:t xml:space="preserve">tem or by the passage of time. </w:t>
      </w:r>
      <w:r w:rsidRPr="00F54559">
        <w:rPr>
          <w:rFonts w:eastAsia="Times New Roman" w:cstheme="minorHAnsi"/>
          <w:bCs/>
          <w:spacing w:val="-3"/>
          <w:sz w:val="24"/>
          <w:szCs w:val="20"/>
        </w:rPr>
        <w:t>Such net position includes the accumulated net gains on true endowment funds, restricted gifts and income, and other similarly restricted funds.</w:t>
      </w:r>
    </w:p>
    <w:p w14:paraId="1F87C50A" w14:textId="244DF2B1" w:rsidR="00DD1612" w:rsidRPr="00F54559" w:rsidRDefault="00DD1612" w:rsidP="00DD1612">
      <w:pPr>
        <w:spacing w:after="160"/>
        <w:ind w:left="720"/>
        <w:rPr>
          <w:rFonts w:eastAsia="Times New Roman" w:cstheme="minorHAnsi"/>
          <w:sz w:val="24"/>
          <w:szCs w:val="20"/>
        </w:rPr>
      </w:pPr>
      <w:r w:rsidRPr="00F54559">
        <w:rPr>
          <w:rFonts w:eastAsia="Times New Roman" w:cstheme="minorHAnsi"/>
          <w:b/>
          <w:sz w:val="24"/>
          <w:szCs w:val="20"/>
        </w:rPr>
        <w:t>Unrestricted:</w:t>
      </w:r>
      <w:r w:rsidRPr="00F54559">
        <w:rPr>
          <w:rFonts w:eastAsia="Times New Roman" w:cstheme="minorHAnsi"/>
          <w:sz w:val="24"/>
          <w:szCs w:val="20"/>
        </w:rPr>
        <w:t xml:space="preserve"> All oth</w:t>
      </w:r>
      <w:r w:rsidR="003E72E3">
        <w:rPr>
          <w:rFonts w:eastAsia="Times New Roman" w:cstheme="minorHAnsi"/>
          <w:sz w:val="24"/>
          <w:szCs w:val="20"/>
        </w:rPr>
        <w:t xml:space="preserve">er categories of net position. </w:t>
      </w:r>
      <w:r w:rsidRPr="00F54559">
        <w:rPr>
          <w:rFonts w:eastAsia="Times New Roman" w:cstheme="minorHAnsi"/>
          <w:sz w:val="24"/>
          <w:szCs w:val="20"/>
        </w:rPr>
        <w:t>Unrestricted net position may be committed by actions of the System’s Board of Trustees.</w:t>
      </w:r>
    </w:p>
    <w:p w14:paraId="369ECFCC" w14:textId="77777777" w:rsidR="00DD1612" w:rsidRPr="00F54559" w:rsidRDefault="00DD1612" w:rsidP="00DD1612">
      <w:pPr>
        <w:rPr>
          <w:rFonts w:eastAsia="Times New Roman" w:cstheme="minorHAnsi"/>
          <w:sz w:val="24"/>
          <w:szCs w:val="20"/>
        </w:rPr>
      </w:pPr>
      <w:r w:rsidRPr="00F54559">
        <w:rPr>
          <w:rFonts w:eastAsia="Times New Roman" w:cstheme="minorHAnsi"/>
          <w:sz w:val="24"/>
          <w:szCs w:val="20"/>
        </w:rPr>
        <w:t>The System has adopted a policy of generally utilizing restricted – expendable resources, when available, prior to unrestricted resources.</w:t>
      </w:r>
    </w:p>
    <w:p w14:paraId="0596A3AC" w14:textId="77777777" w:rsidR="00DD1612" w:rsidRPr="00F54559" w:rsidRDefault="00DD1612" w:rsidP="00DD1612">
      <w:pPr>
        <w:pStyle w:val="AFR3"/>
        <w:rPr>
          <w:rFonts w:cstheme="minorHAnsi"/>
        </w:rPr>
      </w:pPr>
      <w:r>
        <w:rPr>
          <w:rFonts w:cstheme="minorHAnsi"/>
        </w:rPr>
        <w:t>e</w:t>
      </w:r>
      <w:r w:rsidRPr="00F54559">
        <w:rPr>
          <w:rFonts w:cstheme="minorHAnsi"/>
        </w:rPr>
        <w:t>. Cash and Cash Equivalents</w:t>
      </w:r>
    </w:p>
    <w:p w14:paraId="7F11B9CC" w14:textId="77777777" w:rsidR="00DD1612" w:rsidRPr="00F54559" w:rsidRDefault="00DD1612" w:rsidP="00DD1612">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System considers all highly liquid investments (including restricted assets) with a maturity of three months or less when purchased to be cash equivalents.</w:t>
      </w:r>
    </w:p>
    <w:p w14:paraId="6611CFC7" w14:textId="77777777" w:rsidR="00DD1612" w:rsidRPr="00F54559" w:rsidRDefault="00DD1612" w:rsidP="00DD1612">
      <w:pPr>
        <w:pStyle w:val="AFR3"/>
        <w:rPr>
          <w:rFonts w:cstheme="minorHAnsi"/>
        </w:rPr>
      </w:pPr>
      <w:r>
        <w:rPr>
          <w:rFonts w:cstheme="minorHAnsi"/>
        </w:rPr>
        <w:t>f</w:t>
      </w:r>
      <w:r w:rsidRPr="00F54559">
        <w:rPr>
          <w:rFonts w:cstheme="minorHAnsi"/>
        </w:rPr>
        <w:t>. Investments</w:t>
      </w:r>
    </w:p>
    <w:p w14:paraId="545CEB1F" w14:textId="362E82E6" w:rsidR="00DD1612" w:rsidRPr="00F54559" w:rsidRDefault="00DD1612" w:rsidP="00DD1612">
      <w:pPr>
        <w:tabs>
          <w:tab w:val="left" w:pos="0"/>
          <w:tab w:val="left" w:pos="450"/>
          <w:tab w:val="left" w:pos="5040"/>
        </w:tabs>
        <w:suppressAutoHyphens/>
        <w:rPr>
          <w:rFonts w:cstheme="minorHAnsi"/>
          <w:spacing w:val="-3"/>
          <w:sz w:val="24"/>
        </w:rPr>
      </w:pPr>
      <w:r w:rsidRPr="00F54559">
        <w:rPr>
          <w:rFonts w:cstheme="minorHAnsi"/>
          <w:spacing w:val="-3"/>
          <w:sz w:val="24"/>
        </w:rPr>
        <w:t xml:space="preserve">All investments are reported at fair value except for the state pool, which is reported at amortized cost. System management is responsible for the measurement of investments reported in the financial statements. The System has implemented policies and procedures to assess the reasonableness of the fair values provided and believes that reported fair values at the </w:t>
      </w:r>
      <w:r w:rsidRPr="00F54559">
        <w:rPr>
          <w:rFonts w:cstheme="minorHAnsi"/>
          <w:bCs/>
          <w:sz w:val="24"/>
        </w:rPr>
        <w:t xml:space="preserve">Statements of Net Position </w:t>
      </w:r>
      <w:r w:rsidRPr="00F54559">
        <w:rPr>
          <w:rFonts w:cstheme="minorHAnsi"/>
          <w:spacing w:val="-3"/>
          <w:sz w:val="24"/>
        </w:rPr>
        <w:t>dates are reasonable.</w:t>
      </w:r>
    </w:p>
    <w:p w14:paraId="0BB4D856" w14:textId="77777777" w:rsidR="00DD1612" w:rsidRPr="004C662D" w:rsidRDefault="00DD1612" w:rsidP="00DD1612">
      <w:pPr>
        <w:tabs>
          <w:tab w:val="left" w:pos="0"/>
          <w:tab w:val="center" w:pos="720"/>
        </w:tabs>
        <w:suppressAutoHyphens/>
        <w:rPr>
          <w:rFonts w:eastAsia="Times New Roman" w:cstheme="minorHAnsi"/>
          <w:spacing w:val="-3"/>
          <w:sz w:val="18"/>
          <w:szCs w:val="18"/>
        </w:rPr>
      </w:pPr>
    </w:p>
    <w:p w14:paraId="531F276D" w14:textId="70C6F839" w:rsidR="0018075C" w:rsidRDefault="00DD1612" w:rsidP="00AE64DC">
      <w:pPr>
        <w:tabs>
          <w:tab w:val="left" w:pos="0"/>
          <w:tab w:val="center" w:pos="720"/>
        </w:tabs>
        <w:suppressAutoHyphens/>
        <w:rPr>
          <w:rFonts w:eastAsia="Times New Roman" w:cstheme="minorHAnsi"/>
          <w:spacing w:val="-3"/>
          <w:sz w:val="24"/>
          <w:szCs w:val="20"/>
        </w:rPr>
      </w:pPr>
      <w:r w:rsidRPr="00F54559">
        <w:rPr>
          <w:rFonts w:eastAsia="Times New Roman" w:cstheme="minorHAnsi"/>
          <w:b/>
          <w:spacing w:val="-3"/>
          <w:sz w:val="24"/>
          <w:szCs w:val="20"/>
        </w:rPr>
        <w:t>Pooled Third party inv</w:t>
      </w:r>
      <w:r w:rsidR="003E72E3">
        <w:rPr>
          <w:rFonts w:eastAsia="Times New Roman" w:cstheme="minorHAnsi"/>
          <w:b/>
          <w:spacing w:val="-3"/>
          <w:sz w:val="24"/>
          <w:szCs w:val="20"/>
        </w:rPr>
        <w:t xml:space="preserve">estments: </w:t>
      </w:r>
      <w:r w:rsidRPr="006A4C58">
        <w:rPr>
          <w:rFonts w:eastAsia="Times New Roman" w:cstheme="minorHAnsi"/>
          <w:spacing w:val="-3"/>
          <w:sz w:val="24"/>
          <w:szCs w:val="20"/>
        </w:rPr>
        <w:t xml:space="preserve">During </w:t>
      </w:r>
      <w:r w:rsidR="00F91EC6">
        <w:rPr>
          <w:rFonts w:eastAsia="Times New Roman" w:cstheme="minorHAnsi"/>
          <w:spacing w:val="-3"/>
          <w:sz w:val="24"/>
          <w:szCs w:val="20"/>
        </w:rPr>
        <w:t>FY23 three</w:t>
      </w:r>
      <w:r w:rsidR="00F91EC6" w:rsidRPr="00F54559">
        <w:rPr>
          <w:rFonts w:eastAsia="Times New Roman" w:cstheme="minorHAnsi"/>
          <w:spacing w:val="-3"/>
          <w:sz w:val="24"/>
          <w:szCs w:val="20"/>
        </w:rPr>
        <w:t xml:space="preserve"> </w:t>
      </w:r>
      <w:r w:rsidRPr="00F54559">
        <w:rPr>
          <w:rFonts w:eastAsia="Times New Roman" w:cstheme="minorHAnsi"/>
          <w:spacing w:val="-3"/>
          <w:sz w:val="24"/>
          <w:szCs w:val="20"/>
        </w:rPr>
        <w:t>outside entities, the UMS Other Post</w:t>
      </w:r>
      <w:r>
        <w:rPr>
          <w:rFonts w:eastAsia="Times New Roman" w:cstheme="minorHAnsi"/>
          <w:spacing w:val="-3"/>
          <w:sz w:val="24"/>
          <w:szCs w:val="20"/>
        </w:rPr>
        <w:t>e</w:t>
      </w:r>
      <w:r w:rsidRPr="00F54559">
        <w:rPr>
          <w:rFonts w:eastAsia="Times New Roman" w:cstheme="minorHAnsi"/>
          <w:spacing w:val="-3"/>
          <w:sz w:val="24"/>
          <w:szCs w:val="20"/>
        </w:rPr>
        <w:t>mployment Benefit (</w:t>
      </w:r>
      <w:proofErr w:type="spellStart"/>
      <w:r w:rsidRPr="00F54559">
        <w:rPr>
          <w:rFonts w:eastAsia="Times New Roman" w:cstheme="minorHAnsi"/>
          <w:spacing w:val="-3"/>
          <w:sz w:val="24"/>
          <w:szCs w:val="20"/>
        </w:rPr>
        <w:t>OPEB</w:t>
      </w:r>
      <w:proofErr w:type="spellEnd"/>
      <w:r w:rsidRPr="00F54559">
        <w:rPr>
          <w:rFonts w:eastAsia="Times New Roman" w:cstheme="minorHAnsi"/>
          <w:spacing w:val="-3"/>
          <w:sz w:val="24"/>
          <w:szCs w:val="20"/>
        </w:rPr>
        <w:t xml:space="preserve">) Trust, </w:t>
      </w:r>
      <w:r w:rsidRPr="003E6BCB">
        <w:rPr>
          <w:rFonts w:eastAsia="Times New Roman" w:cstheme="minorHAnsi"/>
          <w:spacing w:val="-3"/>
          <w:sz w:val="24"/>
          <w:szCs w:val="20"/>
        </w:rPr>
        <w:t xml:space="preserve">the </w:t>
      </w:r>
      <w:proofErr w:type="spellStart"/>
      <w:r>
        <w:rPr>
          <w:rFonts w:eastAsia="Times New Roman" w:cstheme="minorHAnsi"/>
          <w:spacing w:val="-3"/>
          <w:sz w:val="24"/>
          <w:szCs w:val="20"/>
        </w:rPr>
        <w:t>USM</w:t>
      </w:r>
      <w:proofErr w:type="spellEnd"/>
      <w:r>
        <w:rPr>
          <w:rFonts w:eastAsia="Times New Roman" w:cstheme="minorHAnsi"/>
          <w:spacing w:val="-3"/>
          <w:sz w:val="24"/>
          <w:szCs w:val="20"/>
        </w:rPr>
        <w:t xml:space="preserve"> </w:t>
      </w:r>
      <w:r w:rsidRPr="003E6BCB">
        <w:rPr>
          <w:rFonts w:eastAsia="Times New Roman" w:cstheme="minorHAnsi"/>
          <w:spacing w:val="-3"/>
          <w:sz w:val="24"/>
          <w:szCs w:val="20"/>
        </w:rPr>
        <w:t>Osher Map Library Foundation</w:t>
      </w:r>
      <w:r w:rsidRPr="006A4C58">
        <w:rPr>
          <w:rFonts w:eastAsia="Times New Roman" w:cstheme="minorHAnsi"/>
          <w:spacing w:val="-3"/>
          <w:sz w:val="24"/>
          <w:szCs w:val="20"/>
        </w:rPr>
        <w:t xml:space="preserve"> </w:t>
      </w:r>
      <w:r w:rsidRPr="00F54559">
        <w:rPr>
          <w:rFonts w:eastAsia="Times New Roman" w:cstheme="minorHAnsi"/>
          <w:spacing w:val="-3"/>
          <w:sz w:val="24"/>
          <w:szCs w:val="20"/>
        </w:rPr>
        <w:t>and the University of Maine School of Law Foundation, pool</w:t>
      </w:r>
      <w:r>
        <w:rPr>
          <w:rFonts w:eastAsia="Times New Roman" w:cstheme="minorHAnsi"/>
          <w:spacing w:val="-3"/>
          <w:sz w:val="24"/>
          <w:szCs w:val="20"/>
        </w:rPr>
        <w:t>ed</w:t>
      </w:r>
      <w:r w:rsidRPr="00F54559">
        <w:rPr>
          <w:rFonts w:eastAsia="Times New Roman" w:cstheme="minorHAnsi"/>
          <w:spacing w:val="-3"/>
          <w:sz w:val="24"/>
          <w:szCs w:val="20"/>
        </w:rPr>
        <w:t xml:space="preserve"> monies wit</w:t>
      </w:r>
      <w:r w:rsidR="00D2519B">
        <w:rPr>
          <w:rFonts w:eastAsia="Times New Roman" w:cstheme="minorHAnsi"/>
          <w:spacing w:val="-3"/>
          <w:sz w:val="24"/>
          <w:szCs w:val="20"/>
        </w:rPr>
        <w:t xml:space="preserve">h the System’s endowment pool. </w:t>
      </w:r>
      <w:r w:rsidRPr="00F54559">
        <w:rPr>
          <w:rFonts w:eastAsia="Times New Roman" w:cstheme="minorHAnsi"/>
          <w:spacing w:val="-3"/>
          <w:sz w:val="24"/>
          <w:szCs w:val="20"/>
        </w:rPr>
        <w:t>Investment performance results of these pooled monies are allocated on a pro rata basis based on the number of pool shares held by each entity.</w:t>
      </w:r>
      <w:r w:rsidR="003E72E3">
        <w:rPr>
          <w:rFonts w:eastAsia="Times New Roman" w:cstheme="minorHAnsi"/>
          <w:spacing w:val="-3"/>
          <w:sz w:val="24"/>
          <w:szCs w:val="20"/>
        </w:rPr>
        <w:t xml:space="preserve"> </w:t>
      </w:r>
      <w:r w:rsidRPr="003E6BCB">
        <w:rPr>
          <w:rFonts w:eastAsia="Times New Roman" w:cstheme="minorHAnsi"/>
          <w:spacing w:val="-3"/>
          <w:sz w:val="24"/>
          <w:szCs w:val="20"/>
        </w:rPr>
        <w:t xml:space="preserve">The </w:t>
      </w:r>
      <w:proofErr w:type="spellStart"/>
      <w:r>
        <w:rPr>
          <w:rFonts w:eastAsia="Times New Roman" w:cstheme="minorHAnsi"/>
          <w:spacing w:val="-3"/>
          <w:sz w:val="24"/>
          <w:szCs w:val="20"/>
        </w:rPr>
        <w:t>USM</w:t>
      </w:r>
      <w:proofErr w:type="spellEnd"/>
      <w:r>
        <w:rPr>
          <w:rFonts w:eastAsia="Times New Roman" w:cstheme="minorHAnsi"/>
          <w:spacing w:val="-3"/>
          <w:sz w:val="24"/>
          <w:szCs w:val="20"/>
        </w:rPr>
        <w:t xml:space="preserve"> </w:t>
      </w:r>
      <w:r w:rsidRPr="003E6BCB">
        <w:rPr>
          <w:rFonts w:eastAsia="Times New Roman" w:cstheme="minorHAnsi"/>
          <w:spacing w:val="-3"/>
          <w:sz w:val="24"/>
          <w:szCs w:val="20"/>
        </w:rPr>
        <w:t xml:space="preserve">Osher Map Library Foundation </w:t>
      </w:r>
      <w:r w:rsidR="00F91EC6">
        <w:rPr>
          <w:rFonts w:eastAsia="Times New Roman" w:cstheme="minorHAnsi"/>
          <w:spacing w:val="-3"/>
          <w:sz w:val="24"/>
          <w:szCs w:val="20"/>
        </w:rPr>
        <w:t xml:space="preserve">withdrew from </w:t>
      </w:r>
      <w:r w:rsidRPr="003E6BCB">
        <w:rPr>
          <w:rFonts w:eastAsia="Times New Roman" w:cstheme="minorHAnsi"/>
          <w:spacing w:val="-3"/>
          <w:sz w:val="24"/>
          <w:szCs w:val="20"/>
        </w:rPr>
        <w:t xml:space="preserve">the pool during </w:t>
      </w:r>
      <w:r w:rsidR="00F91EC6" w:rsidRPr="003E6BCB">
        <w:rPr>
          <w:rFonts w:eastAsia="Times New Roman" w:cstheme="minorHAnsi"/>
          <w:spacing w:val="-3"/>
          <w:sz w:val="24"/>
          <w:szCs w:val="20"/>
        </w:rPr>
        <w:t>FY2</w:t>
      </w:r>
      <w:r w:rsidR="00F91EC6">
        <w:rPr>
          <w:rFonts w:eastAsia="Times New Roman" w:cstheme="minorHAnsi"/>
          <w:spacing w:val="-3"/>
          <w:sz w:val="24"/>
          <w:szCs w:val="20"/>
        </w:rPr>
        <w:t>3</w:t>
      </w:r>
      <w:r w:rsidRPr="003E6BCB">
        <w:rPr>
          <w:rFonts w:eastAsia="Times New Roman" w:cstheme="minorHAnsi"/>
          <w:spacing w:val="-3"/>
          <w:sz w:val="24"/>
          <w:szCs w:val="20"/>
        </w:rPr>
        <w:t>.</w:t>
      </w:r>
      <w:r w:rsidR="00BB7F53">
        <w:rPr>
          <w:rFonts w:eastAsia="Times New Roman" w:cstheme="minorHAnsi"/>
          <w:spacing w:val="-3"/>
          <w:sz w:val="24"/>
          <w:szCs w:val="20"/>
        </w:rPr>
        <w:t xml:space="preserve"> </w:t>
      </w:r>
      <w:r w:rsidR="00BB7F53" w:rsidRPr="006A4C58">
        <w:rPr>
          <w:rFonts w:eastAsia="Times New Roman" w:cstheme="minorHAnsi"/>
          <w:spacing w:val="-3"/>
          <w:sz w:val="24"/>
          <w:szCs w:val="20"/>
        </w:rPr>
        <w:t xml:space="preserve">During </w:t>
      </w:r>
      <w:r w:rsidR="00BB7F53">
        <w:rPr>
          <w:rFonts w:eastAsia="Times New Roman" w:cstheme="minorHAnsi"/>
          <w:spacing w:val="-3"/>
          <w:sz w:val="24"/>
          <w:szCs w:val="20"/>
        </w:rPr>
        <w:t>FY22</w:t>
      </w:r>
      <w:r w:rsidR="002850DA">
        <w:rPr>
          <w:rFonts w:eastAsia="Times New Roman" w:cstheme="minorHAnsi"/>
          <w:spacing w:val="-3"/>
          <w:sz w:val="24"/>
          <w:szCs w:val="20"/>
        </w:rPr>
        <w:t>,</w:t>
      </w:r>
      <w:r w:rsidR="00BB7F53">
        <w:rPr>
          <w:rFonts w:eastAsia="Times New Roman" w:cstheme="minorHAnsi"/>
          <w:spacing w:val="-3"/>
          <w:sz w:val="24"/>
          <w:szCs w:val="20"/>
        </w:rPr>
        <w:t xml:space="preserve"> </w:t>
      </w:r>
      <w:r w:rsidR="00BB7F53" w:rsidRPr="006A4C58">
        <w:rPr>
          <w:rFonts w:eastAsia="Times New Roman" w:cstheme="minorHAnsi"/>
          <w:spacing w:val="-3"/>
          <w:sz w:val="24"/>
          <w:szCs w:val="20"/>
        </w:rPr>
        <w:t>Maine Maritime Academy</w:t>
      </w:r>
      <w:r w:rsidR="00AE64DC">
        <w:rPr>
          <w:rFonts w:eastAsia="Times New Roman" w:cstheme="minorHAnsi"/>
          <w:spacing w:val="-3"/>
          <w:sz w:val="24"/>
          <w:szCs w:val="20"/>
        </w:rPr>
        <w:t xml:space="preserve"> withdrew from the pool</w:t>
      </w:r>
      <w:r w:rsidR="00BB7F53" w:rsidRPr="00F54559">
        <w:rPr>
          <w:rFonts w:eastAsia="Times New Roman" w:cstheme="minorHAnsi"/>
          <w:spacing w:val="-3"/>
          <w:sz w:val="24"/>
          <w:szCs w:val="20"/>
        </w:rPr>
        <w:t xml:space="preserve">.  </w:t>
      </w:r>
    </w:p>
    <w:p w14:paraId="0A571C0B" w14:textId="77777777" w:rsidR="0018075C" w:rsidRDefault="0018075C" w:rsidP="00AE64DC">
      <w:pPr>
        <w:tabs>
          <w:tab w:val="left" w:pos="0"/>
          <w:tab w:val="center" w:pos="720"/>
        </w:tabs>
        <w:suppressAutoHyphens/>
        <w:rPr>
          <w:rFonts w:eastAsia="Times New Roman" w:cstheme="minorHAnsi"/>
          <w:spacing w:val="-3"/>
          <w:sz w:val="24"/>
          <w:szCs w:val="20"/>
        </w:rPr>
      </w:pPr>
    </w:p>
    <w:p w14:paraId="22E30871" w14:textId="3F31B00F" w:rsidR="0018075C" w:rsidRDefault="0018075C" w:rsidP="00AE64DC">
      <w:pPr>
        <w:tabs>
          <w:tab w:val="left" w:pos="0"/>
          <w:tab w:val="center" w:pos="720"/>
        </w:tabs>
        <w:suppressAutoHyphens/>
        <w:rPr>
          <w:rFonts w:eastAsia="Times New Roman" w:cstheme="minorHAnsi"/>
          <w:spacing w:val="-3"/>
          <w:sz w:val="24"/>
          <w:szCs w:val="20"/>
        </w:rPr>
      </w:pPr>
      <w:r w:rsidRPr="00F54559">
        <w:rPr>
          <w:rFonts w:eastAsia="Times New Roman" w:cstheme="minorHAnsi"/>
          <w:spacing w:val="-3"/>
          <w:sz w:val="24"/>
          <w:szCs w:val="20"/>
        </w:rPr>
        <w:t>Contributions to and withdrawals from the pool are allowed only on the first business day of a calendar quarter.</w:t>
      </w:r>
    </w:p>
    <w:p w14:paraId="638E2D2B" w14:textId="067CE8A2" w:rsidR="00E45246" w:rsidRPr="0018075C" w:rsidRDefault="00E45246" w:rsidP="00DD1612">
      <w:pPr>
        <w:tabs>
          <w:tab w:val="left" w:pos="0"/>
          <w:tab w:val="center" w:pos="720"/>
        </w:tabs>
        <w:suppressAutoHyphens/>
        <w:rPr>
          <w:rFonts w:eastAsia="Times New Roman" w:cstheme="minorHAnsi"/>
          <w:spacing w:val="-3"/>
          <w:sz w:val="24"/>
          <w:szCs w:val="20"/>
        </w:rPr>
      </w:pPr>
    </w:p>
    <w:p w14:paraId="1B3B0805" w14:textId="71996D31" w:rsidR="00E45246" w:rsidRPr="005B26A1" w:rsidDel="00BB7F53" w:rsidRDefault="00E45246" w:rsidP="00E45246">
      <w:pPr>
        <w:spacing w:after="160"/>
        <w:rPr>
          <w:rFonts w:eastAsiaTheme="majorEastAsia" w:cstheme="minorHAnsi"/>
          <w:b/>
          <w:i/>
          <w:iCs/>
          <w:smallCaps/>
          <w:noProof/>
          <w:color w:val="000000" w:themeColor="text1"/>
          <w:sz w:val="26"/>
          <w:szCs w:val="26"/>
          <w:u w:color="5B9BD5"/>
        </w:rPr>
      </w:pPr>
      <w:r w:rsidRPr="006A4C58" w:rsidDel="00BB7F53">
        <w:rPr>
          <w:rFonts w:eastAsiaTheme="majorEastAsia" w:cstheme="minorHAnsi"/>
          <w:b/>
          <w:i/>
          <w:iCs/>
          <w:smallCaps/>
          <w:noProof/>
          <w:color w:val="000000" w:themeColor="text1"/>
          <w:sz w:val="26"/>
          <w:szCs w:val="26"/>
          <w:u w:color="5B9BD5"/>
        </w:rPr>
        <w:lastRenderedPageBreak/>
        <w:t>1. SIGNIFICANT ACCOUNTING POLICIES - CONTINUED</w:t>
      </w:r>
    </w:p>
    <w:p w14:paraId="5B360CE4" w14:textId="77777777" w:rsidR="00DD1612" w:rsidRDefault="00DD1612" w:rsidP="00DD1612">
      <w:pPr>
        <w:tabs>
          <w:tab w:val="left" w:pos="0"/>
          <w:tab w:val="center" w:pos="720"/>
        </w:tabs>
        <w:suppressAutoHyphens/>
        <w:rPr>
          <w:rFonts w:eastAsia="Times New Roman" w:cstheme="minorHAnsi"/>
          <w:spacing w:val="-3"/>
          <w:sz w:val="20"/>
          <w:szCs w:val="20"/>
        </w:rPr>
      </w:pPr>
      <w:r w:rsidRPr="00F54559">
        <w:rPr>
          <w:rFonts w:eastAsia="Times New Roman" w:cstheme="minorHAnsi"/>
          <w:spacing w:val="-3"/>
          <w:sz w:val="24"/>
          <w:szCs w:val="20"/>
        </w:rPr>
        <w:t>Investment of these monies follows guidelines approved by the System’s Board of Trustees Investment Committee. These guidelines are further disclosed in the remainder of this Note and Note 3 to these financial statements as part of the discussion of endowments.</w:t>
      </w:r>
    </w:p>
    <w:p w14:paraId="43996876" w14:textId="77777777" w:rsidR="00DD1612" w:rsidRPr="00F54559" w:rsidRDefault="00DD1612" w:rsidP="00DD1612">
      <w:pPr>
        <w:tabs>
          <w:tab w:val="left" w:pos="0"/>
          <w:tab w:val="center" w:pos="720"/>
        </w:tabs>
        <w:suppressAutoHyphens/>
        <w:rPr>
          <w:rFonts w:eastAsia="Times New Roman" w:cstheme="minorHAnsi"/>
          <w:spacing w:val="-3"/>
          <w:sz w:val="20"/>
          <w:szCs w:val="20"/>
        </w:rPr>
      </w:pPr>
    </w:p>
    <w:p w14:paraId="6F494457" w14:textId="0F88F357" w:rsidR="00DD1612" w:rsidRDefault="00DD1612" w:rsidP="00DD1612">
      <w:pPr>
        <w:tabs>
          <w:tab w:val="left" w:pos="0"/>
          <w:tab w:val="center" w:pos="720"/>
        </w:tabs>
        <w:suppressAutoHyphens/>
        <w:rPr>
          <w:rFonts w:eastAsia="Times New Roman" w:cstheme="minorHAnsi"/>
          <w:bCs/>
          <w:spacing w:val="-3"/>
          <w:sz w:val="24"/>
          <w:szCs w:val="20"/>
        </w:rPr>
      </w:pPr>
      <w:r w:rsidRPr="00F54559">
        <w:rPr>
          <w:rFonts w:eastAsia="Times New Roman" w:cstheme="minorHAnsi"/>
          <w:b/>
          <w:spacing w:val="-3"/>
          <w:sz w:val="24"/>
          <w:szCs w:val="20"/>
        </w:rPr>
        <w:t>Endowment</w:t>
      </w:r>
      <w:r w:rsidRPr="00F54559">
        <w:rPr>
          <w:rFonts w:eastAsia="Times New Roman" w:cstheme="minorHAnsi"/>
          <w:bCs/>
          <w:spacing w:val="-3"/>
          <w:sz w:val="24"/>
          <w:szCs w:val="20"/>
        </w:rPr>
        <w:t xml:space="preserve">: The System follows the pooled investment concept for its endowed funds, whereby all invested funds are included in one pool, except for funds that are separately invested as </w:t>
      </w:r>
      <w:r>
        <w:rPr>
          <w:rFonts w:eastAsia="Times New Roman" w:cstheme="minorHAnsi"/>
          <w:bCs/>
          <w:spacing w:val="-3"/>
          <w:sz w:val="24"/>
          <w:szCs w:val="20"/>
        </w:rPr>
        <w:t>dire</w:t>
      </w:r>
      <w:r w:rsidR="003E72E3">
        <w:rPr>
          <w:rFonts w:eastAsia="Times New Roman" w:cstheme="minorHAnsi"/>
          <w:bCs/>
          <w:spacing w:val="-3"/>
          <w:sz w:val="24"/>
          <w:szCs w:val="20"/>
        </w:rPr>
        <w:t xml:space="preserve">cted by the donor. </w:t>
      </w:r>
      <w:r>
        <w:rPr>
          <w:rFonts w:eastAsia="Times New Roman" w:cstheme="minorHAnsi"/>
          <w:bCs/>
          <w:spacing w:val="-3"/>
          <w:sz w:val="24"/>
          <w:szCs w:val="20"/>
        </w:rPr>
        <w:t>Investment income is allocated to each endowed fund in the pool based on its pro rata share of the pool</w:t>
      </w:r>
      <w:r w:rsidR="00A26F2C">
        <w:rPr>
          <w:rFonts w:eastAsia="Times New Roman" w:cstheme="minorHAnsi"/>
          <w:bCs/>
          <w:spacing w:val="-3"/>
          <w:sz w:val="24"/>
          <w:szCs w:val="20"/>
        </w:rPr>
        <w:t>.</w:t>
      </w:r>
    </w:p>
    <w:p w14:paraId="14219BD0" w14:textId="77777777" w:rsidR="00F91EC6" w:rsidRDefault="00F91EC6" w:rsidP="00DD1612">
      <w:pPr>
        <w:tabs>
          <w:tab w:val="left" w:pos="0"/>
          <w:tab w:val="center" w:pos="720"/>
        </w:tabs>
        <w:suppressAutoHyphens/>
        <w:rPr>
          <w:rFonts w:eastAsia="Times New Roman" w:cstheme="minorHAnsi"/>
          <w:bCs/>
          <w:spacing w:val="-3"/>
          <w:sz w:val="24"/>
          <w:szCs w:val="20"/>
        </w:rPr>
      </w:pPr>
    </w:p>
    <w:p w14:paraId="03A34C1B" w14:textId="3475544A" w:rsidR="00DD1612" w:rsidRPr="00F54559" w:rsidRDefault="00DD1612" w:rsidP="00DD1612">
      <w:pPr>
        <w:tabs>
          <w:tab w:val="left" w:pos="0"/>
        </w:tabs>
        <w:suppressAutoHyphens/>
        <w:rPr>
          <w:rFonts w:eastAsia="Times New Roman" w:cstheme="minorHAnsi"/>
          <w:color w:val="000000" w:themeColor="text1"/>
          <w:sz w:val="24"/>
        </w:rPr>
      </w:pPr>
      <w:r w:rsidRPr="00F54559">
        <w:rPr>
          <w:rFonts w:eastAsia="Times New Roman" w:cstheme="minorHAnsi"/>
          <w:bCs/>
          <w:spacing w:val="-3"/>
          <w:sz w:val="24"/>
          <w:szCs w:val="20"/>
        </w:rPr>
        <w:t xml:space="preserve">The income produced by the fund, including realized and unrealized gains, can be used </w:t>
      </w:r>
      <w:r w:rsidR="003E72E3">
        <w:rPr>
          <w:rFonts w:eastAsia="Times New Roman" w:cstheme="minorHAnsi"/>
          <w:bCs/>
          <w:spacing w:val="-3"/>
          <w:sz w:val="24"/>
          <w:szCs w:val="20"/>
        </w:rPr>
        <w:t>to meet the spending objective.</w:t>
      </w:r>
      <w:r w:rsidRPr="00F54559">
        <w:rPr>
          <w:rFonts w:eastAsia="Times New Roman" w:cstheme="minorHAnsi"/>
          <w:bCs/>
          <w:spacing w:val="-3"/>
          <w:sz w:val="24"/>
          <w:szCs w:val="20"/>
        </w:rPr>
        <w:t xml:space="preserve"> As determined by policy, the expendable income objective </w:t>
      </w:r>
      <w:r w:rsidRPr="00270683">
        <w:rPr>
          <w:rFonts w:eastAsia="Times New Roman" w:cstheme="minorHAnsi"/>
          <w:bCs/>
          <w:spacing w:val="-3"/>
          <w:sz w:val="24"/>
          <w:szCs w:val="20"/>
        </w:rPr>
        <w:t xml:space="preserve">was </w:t>
      </w:r>
      <w:r w:rsidRPr="00190860">
        <w:rPr>
          <w:rFonts w:eastAsia="Times New Roman" w:cstheme="minorHAnsi"/>
          <w:bCs/>
          <w:spacing w:val="-3"/>
          <w:sz w:val="24"/>
          <w:szCs w:val="20"/>
        </w:rPr>
        <w:t xml:space="preserve">4.5% </w:t>
      </w:r>
      <w:r w:rsidRPr="00A801B2">
        <w:rPr>
          <w:rFonts w:eastAsia="Times New Roman" w:cstheme="minorHAnsi"/>
          <w:bCs/>
          <w:color w:val="000000" w:themeColor="text1"/>
          <w:spacing w:val="-3"/>
          <w:sz w:val="24"/>
          <w:szCs w:val="20"/>
        </w:rPr>
        <w:t xml:space="preserve">for </w:t>
      </w:r>
      <w:r w:rsidR="00F91EC6" w:rsidRPr="00A801B2">
        <w:rPr>
          <w:rFonts w:eastAsia="Times New Roman" w:cstheme="minorHAnsi"/>
          <w:bCs/>
          <w:color w:val="000000" w:themeColor="text1"/>
          <w:spacing w:val="-3"/>
          <w:sz w:val="24"/>
          <w:szCs w:val="20"/>
        </w:rPr>
        <w:t>FY2</w:t>
      </w:r>
      <w:r w:rsidR="00F91EC6">
        <w:rPr>
          <w:rFonts w:eastAsia="Times New Roman" w:cstheme="minorHAnsi"/>
          <w:bCs/>
          <w:color w:val="000000" w:themeColor="text1"/>
          <w:spacing w:val="-3"/>
          <w:sz w:val="24"/>
          <w:szCs w:val="20"/>
        </w:rPr>
        <w:t>3</w:t>
      </w:r>
      <w:r w:rsidR="00F91EC6" w:rsidRPr="00A801B2">
        <w:rPr>
          <w:rFonts w:eastAsia="Times New Roman" w:cstheme="minorHAnsi"/>
          <w:bCs/>
          <w:color w:val="000000" w:themeColor="text1"/>
          <w:spacing w:val="-3"/>
          <w:sz w:val="24"/>
          <w:szCs w:val="20"/>
        </w:rPr>
        <w:t xml:space="preserve"> </w:t>
      </w:r>
      <w:r w:rsidRPr="00A801B2">
        <w:rPr>
          <w:rFonts w:eastAsia="Times New Roman" w:cstheme="minorHAnsi"/>
          <w:bCs/>
          <w:color w:val="000000" w:themeColor="text1"/>
          <w:spacing w:val="-3"/>
          <w:sz w:val="24"/>
          <w:szCs w:val="20"/>
        </w:rPr>
        <w:t xml:space="preserve">and </w:t>
      </w:r>
      <w:r w:rsidR="00F91EC6" w:rsidRPr="00A801B2">
        <w:rPr>
          <w:rFonts w:eastAsia="Times New Roman" w:cstheme="minorHAnsi"/>
          <w:bCs/>
          <w:color w:val="000000" w:themeColor="text1"/>
          <w:spacing w:val="-3"/>
          <w:sz w:val="24"/>
          <w:szCs w:val="20"/>
        </w:rPr>
        <w:t>FY</w:t>
      </w:r>
      <w:r w:rsidR="00F91EC6">
        <w:rPr>
          <w:rFonts w:eastAsia="Times New Roman" w:cstheme="minorHAnsi"/>
          <w:bCs/>
          <w:color w:val="000000" w:themeColor="text1"/>
          <w:spacing w:val="-3"/>
          <w:sz w:val="24"/>
          <w:szCs w:val="20"/>
        </w:rPr>
        <w:t>22</w:t>
      </w:r>
      <w:r w:rsidRPr="00A801B2">
        <w:rPr>
          <w:rFonts w:eastAsia="Times New Roman" w:cstheme="minorHAnsi"/>
          <w:bCs/>
          <w:color w:val="000000" w:themeColor="text1"/>
          <w:spacing w:val="-3"/>
          <w:sz w:val="24"/>
          <w:szCs w:val="20"/>
        </w:rPr>
        <w:t>.</w:t>
      </w:r>
      <w:r w:rsidRPr="00F54559">
        <w:rPr>
          <w:rFonts w:eastAsia="Times New Roman" w:cstheme="minorHAnsi"/>
          <w:bCs/>
          <w:color w:val="000000" w:themeColor="text1"/>
          <w:spacing w:val="-3"/>
          <w:sz w:val="24"/>
          <w:szCs w:val="20"/>
        </w:rPr>
        <w:t xml:space="preserve"> The </w:t>
      </w:r>
      <w:r w:rsidRPr="00F54559">
        <w:rPr>
          <w:rFonts w:eastAsia="Times New Roman" w:cstheme="minorHAnsi"/>
          <w:color w:val="000000" w:themeColor="text1"/>
          <w:sz w:val="24"/>
        </w:rPr>
        <w:t xml:space="preserve">percentage was applied to a </w:t>
      </w:r>
      <w:r w:rsidR="00F91EC6">
        <w:rPr>
          <w:rFonts w:eastAsia="Times New Roman" w:cstheme="minorHAnsi"/>
          <w:color w:val="000000" w:themeColor="text1"/>
          <w:sz w:val="24"/>
        </w:rPr>
        <w:t>twelve-quarter</w:t>
      </w:r>
      <w:r w:rsidRPr="00F54559">
        <w:rPr>
          <w:rFonts w:eastAsia="Times New Roman" w:cstheme="minorHAnsi"/>
          <w:color w:val="000000" w:themeColor="text1"/>
          <w:sz w:val="24"/>
        </w:rPr>
        <w:t xml:space="preserve"> market value average to determine expendable income.</w:t>
      </w:r>
    </w:p>
    <w:p w14:paraId="2AAB658D" w14:textId="77777777" w:rsidR="00DD1612" w:rsidRPr="00F54559" w:rsidRDefault="00DD1612" w:rsidP="00DD1612">
      <w:pPr>
        <w:tabs>
          <w:tab w:val="left" w:pos="0"/>
        </w:tabs>
        <w:suppressAutoHyphens/>
        <w:rPr>
          <w:rFonts w:eastAsia="Times New Roman" w:cstheme="minorHAnsi"/>
          <w:sz w:val="20"/>
          <w:szCs w:val="20"/>
        </w:rPr>
      </w:pPr>
    </w:p>
    <w:p w14:paraId="0C639F7A" w14:textId="0CC69F3D" w:rsidR="00DD1612" w:rsidRPr="00F54559" w:rsidRDefault="00DD1612" w:rsidP="00DD1612">
      <w:pPr>
        <w:tabs>
          <w:tab w:val="left" w:pos="0"/>
          <w:tab w:val="center" w:pos="720"/>
        </w:tabs>
        <w:suppressAutoHyphens/>
        <w:rPr>
          <w:rFonts w:eastAsia="Times New Roman" w:cstheme="minorHAnsi"/>
          <w:bCs/>
          <w:sz w:val="24"/>
          <w:szCs w:val="20"/>
        </w:rPr>
      </w:pPr>
      <w:r w:rsidRPr="00F54559">
        <w:rPr>
          <w:rFonts w:eastAsia="Times New Roman" w:cstheme="minorHAnsi"/>
          <w:bCs/>
          <w:sz w:val="24"/>
          <w:szCs w:val="20"/>
        </w:rPr>
        <w:t>Under State of Maine law, s</w:t>
      </w:r>
      <w:r w:rsidRPr="00F54559">
        <w:rPr>
          <w:rFonts w:eastAsia="Times New Roman" w:cstheme="minorHAnsi"/>
          <w:spacing w:val="-3"/>
          <w:sz w:val="24"/>
          <w:szCs w:val="20"/>
        </w:rPr>
        <w:t>ubject to the intent of a donor expressed in the gift instrument, an institution may appropriate for expenditure or accumulate so much of an endowment fund as the institution determines is prudent for the uses, benefits, purposes and duration for which the endowment fund is established. T</w:t>
      </w:r>
      <w:r w:rsidRPr="00F54559">
        <w:rPr>
          <w:rFonts w:eastAsia="Times New Roman" w:cstheme="minorHAnsi"/>
          <w:bCs/>
          <w:sz w:val="24"/>
          <w:szCs w:val="20"/>
        </w:rPr>
        <w:t>he System’s policy is to spend endowment appreciation to the extent of the approved annual spending r</w:t>
      </w:r>
      <w:r w:rsidR="003E72E3">
        <w:rPr>
          <w:rFonts w:eastAsia="Times New Roman" w:cstheme="minorHAnsi"/>
          <w:bCs/>
          <w:sz w:val="24"/>
          <w:szCs w:val="20"/>
        </w:rPr>
        <w:t xml:space="preserve">ate while not invading corpus. </w:t>
      </w:r>
      <w:r w:rsidRPr="00F54559">
        <w:rPr>
          <w:rFonts w:eastAsia="Times New Roman" w:cstheme="minorHAnsi"/>
          <w:bCs/>
          <w:sz w:val="24"/>
          <w:szCs w:val="20"/>
        </w:rPr>
        <w:t>The return (loss) net of the amount used for operations is presented as Other Changes in Net Position in the Statements of Revenues, Expenses and Changes in Net Position.</w:t>
      </w:r>
    </w:p>
    <w:p w14:paraId="64E9C936" w14:textId="77777777" w:rsidR="00DD1612" w:rsidRPr="00F54559" w:rsidRDefault="00DD1612" w:rsidP="00DD1612">
      <w:pPr>
        <w:tabs>
          <w:tab w:val="left" w:pos="0"/>
          <w:tab w:val="center" w:pos="720"/>
        </w:tabs>
        <w:suppressAutoHyphens/>
        <w:rPr>
          <w:rFonts w:eastAsia="Times New Roman" w:cstheme="minorHAnsi"/>
          <w:bCs/>
          <w:sz w:val="20"/>
          <w:szCs w:val="20"/>
        </w:rPr>
      </w:pPr>
    </w:p>
    <w:p w14:paraId="77D8F7CD" w14:textId="1395B555" w:rsidR="00DD1612" w:rsidRPr="00F54559" w:rsidRDefault="00DD1612" w:rsidP="00DD1612">
      <w:pPr>
        <w:tabs>
          <w:tab w:val="left" w:pos="0"/>
          <w:tab w:val="center" w:pos="720"/>
          <w:tab w:val="left" w:pos="1710"/>
        </w:tabs>
        <w:suppressAutoHyphens/>
        <w:spacing w:after="160"/>
        <w:rPr>
          <w:rFonts w:eastAsia="Times New Roman" w:cstheme="minorHAnsi"/>
          <w:bCs/>
          <w:spacing w:val="-3"/>
          <w:sz w:val="24"/>
          <w:szCs w:val="20"/>
        </w:rPr>
      </w:pPr>
      <w:r w:rsidRPr="009948C6">
        <w:rPr>
          <w:rFonts w:eastAsia="Times New Roman" w:cstheme="minorHAnsi"/>
          <w:b/>
          <w:color w:val="000000" w:themeColor="text1"/>
          <w:spacing w:val="-3"/>
          <w:sz w:val="24"/>
          <w:szCs w:val="20"/>
        </w:rPr>
        <w:t xml:space="preserve">Authorized Investment Vehicles </w:t>
      </w:r>
      <w:r w:rsidRPr="00F54559">
        <w:rPr>
          <w:rFonts w:eastAsia="Times New Roman" w:cstheme="minorHAnsi"/>
          <w:b/>
          <w:color w:val="000000" w:themeColor="text1"/>
          <w:spacing w:val="-3"/>
          <w:sz w:val="24"/>
          <w:szCs w:val="20"/>
        </w:rPr>
        <w:t xml:space="preserve">- Operating Investments: </w:t>
      </w:r>
      <w:r w:rsidRPr="00F54559">
        <w:rPr>
          <w:rFonts w:eastAsia="Times New Roman" w:cstheme="minorHAnsi"/>
          <w:bCs/>
          <w:spacing w:val="-3"/>
          <w:sz w:val="24"/>
          <w:szCs w:val="20"/>
        </w:rPr>
        <w:t>The System has a three-tiered approach regarding its operating investments:</w:t>
      </w:r>
    </w:p>
    <w:p w14:paraId="59A775D9" w14:textId="680965DD" w:rsidR="00DD1612" w:rsidRPr="00F54559" w:rsidRDefault="00DD1612" w:rsidP="00DD1612">
      <w:pPr>
        <w:numPr>
          <w:ilvl w:val="0"/>
          <w:numId w:val="4"/>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Liquidity Pool</w:t>
      </w:r>
      <w:r w:rsidRPr="00F54559">
        <w:rPr>
          <w:rFonts w:eastAsia="Times New Roman" w:cstheme="minorHAnsi"/>
          <w:bCs/>
          <w:spacing w:val="-3"/>
          <w:sz w:val="24"/>
          <w:szCs w:val="20"/>
        </w:rPr>
        <w:t xml:space="preserve"> – The purpose of this pool is to meet the day-to-day obligations of the System. It consists of funds that are invested in a portfolio of highest quality short-term fixed-income securities (e.g., Treasury obligations, agency securities, repurchase agreements, money market funds, commercial paper, and/or short-term bond mutual f</w:t>
      </w:r>
      <w:r w:rsidR="003E72E3">
        <w:rPr>
          <w:rFonts w:eastAsia="Times New Roman" w:cstheme="minorHAnsi"/>
          <w:bCs/>
          <w:spacing w:val="-3"/>
          <w:sz w:val="24"/>
          <w:szCs w:val="20"/>
        </w:rPr>
        <w:t xml:space="preserve">unds) with adequate liquidity. </w:t>
      </w:r>
      <w:r w:rsidRPr="00F54559">
        <w:rPr>
          <w:rFonts w:eastAsia="Times New Roman" w:cstheme="minorHAnsi"/>
          <w:bCs/>
          <w:spacing w:val="-3"/>
          <w:sz w:val="24"/>
          <w:szCs w:val="20"/>
        </w:rPr>
        <w:t>The average quality of the pool will be rated at least “A-1” by Standard and Poor’s (or equivalent).</w:t>
      </w:r>
    </w:p>
    <w:p w14:paraId="0860E1C6" w14:textId="61B0FCF7" w:rsidR="00DD1612" w:rsidRDefault="00DD1612" w:rsidP="00DD1612">
      <w:pPr>
        <w:numPr>
          <w:ilvl w:val="0"/>
          <w:numId w:val="4"/>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Income Pool</w:t>
      </w:r>
      <w:r w:rsidRPr="00F54559">
        <w:rPr>
          <w:rFonts w:eastAsia="Times New Roman" w:cstheme="minorHAnsi"/>
          <w:bCs/>
          <w:spacing w:val="-3"/>
          <w:sz w:val="24"/>
          <w:szCs w:val="20"/>
        </w:rPr>
        <w:t xml:space="preserve"> – The purpose of this pool is to provide sufficient income to meet budgetary goals and provide additional diversification to minimize downside risk. This pool invests in a diversified portfolio which may include items such as, but not limited to, fixed income securities, Federal Deposit Insurance Corporation insured or adequately collateralized certificates of deposit (CDs), or unconstrained, short or intermediate term bond funds with a normal average duration of </w:t>
      </w:r>
      <w:r w:rsidRPr="007A78F5">
        <w:rPr>
          <w:rFonts w:eastAsia="Times New Roman" w:cstheme="minorHAnsi"/>
          <w:bCs/>
          <w:spacing w:val="-3"/>
          <w:sz w:val="24"/>
          <w:szCs w:val="20"/>
        </w:rPr>
        <w:t xml:space="preserve">-2 to 7 </w:t>
      </w:r>
      <w:r w:rsidRPr="00F54559">
        <w:rPr>
          <w:rFonts w:eastAsia="Times New Roman" w:cstheme="minorHAnsi"/>
          <w:bCs/>
          <w:spacing w:val="-3"/>
          <w:sz w:val="24"/>
          <w:szCs w:val="20"/>
        </w:rPr>
        <w:t>years. The pool may invest in funds rated from BB to AAA quality. The overall average quality rating of this pool will be at least “A-” by Standard and Poor’s (or equivalent).</w:t>
      </w:r>
    </w:p>
    <w:p w14:paraId="5DE58C56" w14:textId="18CFA826" w:rsidR="0018075C" w:rsidRDefault="0018075C" w:rsidP="0018075C">
      <w:pPr>
        <w:tabs>
          <w:tab w:val="left" w:pos="0"/>
        </w:tabs>
        <w:suppressAutoHyphens/>
        <w:spacing w:after="160"/>
        <w:rPr>
          <w:rFonts w:eastAsia="Times New Roman" w:cstheme="minorHAnsi"/>
          <w:bCs/>
          <w:spacing w:val="-3"/>
          <w:sz w:val="24"/>
          <w:szCs w:val="20"/>
        </w:rPr>
      </w:pPr>
    </w:p>
    <w:p w14:paraId="238DF846" w14:textId="7209CD14" w:rsidR="0018075C" w:rsidRDefault="0018075C" w:rsidP="0018075C">
      <w:pPr>
        <w:tabs>
          <w:tab w:val="left" w:pos="0"/>
        </w:tabs>
        <w:suppressAutoHyphens/>
        <w:spacing w:after="160"/>
        <w:rPr>
          <w:rFonts w:eastAsia="Times New Roman" w:cstheme="minorHAnsi"/>
          <w:bCs/>
          <w:spacing w:val="-3"/>
          <w:sz w:val="24"/>
          <w:szCs w:val="20"/>
        </w:rPr>
      </w:pPr>
    </w:p>
    <w:p w14:paraId="0E6D8358" w14:textId="77777777" w:rsidR="003C5BB9" w:rsidRPr="005B26A1" w:rsidRDefault="003C5BB9" w:rsidP="003C5BB9">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07C2178A" w14:textId="6429A92F" w:rsidR="00DD1612" w:rsidRPr="00E45246" w:rsidRDefault="00DD1612" w:rsidP="00DD1612">
      <w:pPr>
        <w:numPr>
          <w:ilvl w:val="0"/>
          <w:numId w:val="4"/>
        </w:numPr>
        <w:tabs>
          <w:tab w:val="left" w:pos="0"/>
          <w:tab w:val="left" w:pos="1440"/>
          <w:tab w:val="left" w:pos="1710"/>
        </w:tabs>
        <w:suppressAutoHyphens/>
        <w:spacing w:after="160"/>
        <w:rPr>
          <w:rFonts w:eastAsia="Times New Roman" w:cstheme="minorHAnsi"/>
          <w:spacing w:val="-3"/>
          <w:sz w:val="16"/>
          <w:szCs w:val="20"/>
        </w:rPr>
      </w:pPr>
      <w:r w:rsidRPr="00A50BD2">
        <w:rPr>
          <w:rFonts w:eastAsia="Times New Roman" w:cstheme="minorHAnsi"/>
          <w:b/>
          <w:bCs/>
          <w:spacing w:val="-3"/>
          <w:sz w:val="24"/>
          <w:szCs w:val="20"/>
        </w:rPr>
        <w:t>Total Return Pool</w:t>
      </w:r>
      <w:r w:rsidRPr="00A50BD2">
        <w:rPr>
          <w:rFonts w:eastAsia="Times New Roman" w:cstheme="minorHAnsi"/>
          <w:bCs/>
          <w:spacing w:val="-3"/>
          <w:sz w:val="24"/>
          <w:szCs w:val="20"/>
        </w:rPr>
        <w:t xml:space="preserve"> – This pool is expected to add diversification and growth to the portfolio and may invest in diversified assets made up of, but not limited to, equities, hedge funds, and global asset allocation mandates.</w:t>
      </w:r>
    </w:p>
    <w:p w14:paraId="75ECBFA2" w14:textId="55773964" w:rsidR="00DD1612" w:rsidRPr="00E45246" w:rsidRDefault="00DD1612" w:rsidP="00E45246">
      <w:pPr>
        <w:spacing w:after="160" w:line="259" w:lineRule="auto"/>
        <w:rPr>
          <w:rFonts w:eastAsiaTheme="majorEastAsia" w:cstheme="minorHAnsi"/>
          <w:iCs/>
          <w:smallCaps/>
          <w:noProof/>
          <w:color w:val="000000" w:themeColor="text1"/>
          <w:sz w:val="26"/>
          <w:szCs w:val="26"/>
          <w:u w:color="5B9BD5"/>
        </w:rPr>
      </w:pPr>
      <w:r w:rsidRPr="00F54559">
        <w:rPr>
          <w:rFonts w:eastAsia="Times New Roman" w:cstheme="minorHAnsi"/>
          <w:b/>
          <w:spacing w:val="-3"/>
          <w:sz w:val="24"/>
          <w:szCs w:val="20"/>
        </w:rPr>
        <w:t>Authorized Investment Vehicles - Endowment Investments:</w:t>
      </w:r>
      <w:r w:rsidRPr="00F54559">
        <w:rPr>
          <w:rFonts w:eastAsia="Times New Roman" w:cstheme="minorHAnsi"/>
          <w:bCs/>
          <w:spacing w:val="-3"/>
          <w:sz w:val="24"/>
          <w:szCs w:val="20"/>
        </w:rPr>
        <w:t xml:space="preserve"> The fund is diversified both by asset </w:t>
      </w:r>
      <w:r w:rsidR="003E72E3">
        <w:rPr>
          <w:rFonts w:eastAsia="Times New Roman" w:cstheme="minorHAnsi"/>
          <w:bCs/>
          <w:spacing w:val="-3"/>
          <w:sz w:val="24"/>
          <w:szCs w:val="20"/>
        </w:rPr>
        <w:t>class and within asset classes.</w:t>
      </w:r>
      <w:r w:rsidRPr="00F54559">
        <w:rPr>
          <w:rFonts w:eastAsia="Times New Roman" w:cstheme="minorHAnsi"/>
          <w:bCs/>
          <w:spacing w:val="-3"/>
          <w:sz w:val="24"/>
          <w:szCs w:val="20"/>
        </w:rPr>
        <w:t xml:space="preserve"> To have a reasonable probability of consistently achieving the </w:t>
      </w:r>
      <w:r>
        <w:rPr>
          <w:rFonts w:eastAsia="Times New Roman" w:cstheme="minorHAnsi"/>
          <w:bCs/>
          <w:spacing w:val="-3"/>
          <w:sz w:val="24"/>
          <w:szCs w:val="20"/>
        </w:rPr>
        <w:t xml:space="preserve">Fund’s return objectives, the following asset allocation policy ranges were applicable as of June 30, </w:t>
      </w:r>
      <w:r w:rsidR="00296B5F">
        <w:rPr>
          <w:rFonts w:eastAsia="Times New Roman" w:cstheme="minorHAnsi"/>
          <w:bCs/>
          <w:spacing w:val="-3"/>
          <w:sz w:val="24"/>
          <w:szCs w:val="20"/>
        </w:rPr>
        <w:t xml:space="preserve">2023 </w:t>
      </w:r>
      <w:r>
        <w:rPr>
          <w:rFonts w:eastAsia="Times New Roman" w:cstheme="minorHAnsi"/>
          <w:bCs/>
          <w:spacing w:val="-3"/>
          <w:sz w:val="24"/>
          <w:szCs w:val="20"/>
        </w:rPr>
        <w:t xml:space="preserve">and </w:t>
      </w:r>
      <w:r w:rsidR="00296B5F">
        <w:rPr>
          <w:rFonts w:eastAsia="Times New Roman" w:cstheme="minorHAnsi"/>
          <w:bCs/>
          <w:spacing w:val="-3"/>
          <w:sz w:val="24"/>
          <w:szCs w:val="20"/>
        </w:rPr>
        <w:t>2022</w:t>
      </w:r>
      <w:r>
        <w:rPr>
          <w:rFonts w:eastAsia="Times New Roman" w:cstheme="minorHAnsi"/>
          <w:bCs/>
          <w:spacing w:val="-3"/>
          <w:sz w:val="24"/>
          <w:szCs w:val="20"/>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3060"/>
        <w:gridCol w:w="1190"/>
        <w:gridCol w:w="1170"/>
      </w:tblGrid>
      <w:tr w:rsidR="00DD1612" w:rsidRPr="00A454B4" w14:paraId="74E5EE40" w14:textId="77777777" w:rsidTr="00BD375F">
        <w:trPr>
          <w:trHeight w:val="234"/>
          <w:tblHeader/>
          <w:jc w:val="center"/>
        </w:trPr>
        <w:tc>
          <w:tcPr>
            <w:tcW w:w="3060" w:type="dxa"/>
          </w:tcPr>
          <w:p w14:paraId="1680AC74" w14:textId="77777777" w:rsidR="00DD1612" w:rsidRPr="00F54559" w:rsidRDefault="00DD1612" w:rsidP="00BD375F">
            <w:pPr>
              <w:pStyle w:val="Heading4"/>
              <w:pBdr>
                <w:bottom w:val="none" w:sz="0" w:space="0" w:color="auto"/>
              </w:pBdr>
              <w:spacing w:after="0"/>
              <w:rPr>
                <w:rFonts w:cstheme="minorHAnsi"/>
                <w:i w:val="0"/>
                <w:sz w:val="24"/>
              </w:rPr>
            </w:pPr>
            <w:r>
              <w:rPr>
                <w:rFonts w:cstheme="minorHAnsi"/>
                <w:i w:val="0"/>
                <w:sz w:val="24"/>
              </w:rPr>
              <w:t xml:space="preserve"> </w:t>
            </w:r>
          </w:p>
        </w:tc>
        <w:tc>
          <w:tcPr>
            <w:tcW w:w="1190" w:type="dxa"/>
            <w:shd w:val="clear" w:color="auto" w:fill="auto"/>
          </w:tcPr>
          <w:p w14:paraId="6164A8B1" w14:textId="06DE00EC" w:rsidR="00DD1612" w:rsidRPr="001A18A6" w:rsidRDefault="00296B5F" w:rsidP="00BD375F">
            <w:pPr>
              <w:pStyle w:val="Heading4"/>
              <w:pBdr>
                <w:bottom w:val="none" w:sz="0" w:space="0" w:color="auto"/>
              </w:pBdr>
              <w:spacing w:after="0"/>
              <w:jc w:val="center"/>
              <w:rPr>
                <w:rFonts w:cstheme="minorHAnsi"/>
                <w:b/>
                <w:i w:val="0"/>
                <w:sz w:val="24"/>
              </w:rPr>
            </w:pPr>
            <w:r>
              <w:rPr>
                <w:rFonts w:cstheme="minorHAnsi"/>
                <w:b/>
                <w:i w:val="0"/>
                <w:sz w:val="24"/>
              </w:rPr>
              <w:t>2023</w:t>
            </w:r>
          </w:p>
        </w:tc>
        <w:tc>
          <w:tcPr>
            <w:tcW w:w="1170" w:type="dxa"/>
          </w:tcPr>
          <w:p w14:paraId="6DA8843C" w14:textId="58E029DC" w:rsidR="00DD1612" w:rsidRPr="001A18A6" w:rsidDel="001F34D3" w:rsidRDefault="00296B5F" w:rsidP="00BD375F">
            <w:pPr>
              <w:pStyle w:val="Heading4"/>
              <w:pBdr>
                <w:bottom w:val="none" w:sz="0" w:space="0" w:color="auto"/>
              </w:pBdr>
              <w:spacing w:after="0"/>
              <w:jc w:val="center"/>
              <w:rPr>
                <w:rFonts w:cstheme="minorHAnsi"/>
                <w:b/>
                <w:i w:val="0"/>
                <w:sz w:val="24"/>
              </w:rPr>
            </w:pPr>
            <w:r>
              <w:rPr>
                <w:rFonts w:cstheme="minorHAnsi"/>
                <w:b/>
                <w:i w:val="0"/>
                <w:sz w:val="24"/>
              </w:rPr>
              <w:t>2022</w:t>
            </w:r>
          </w:p>
        </w:tc>
      </w:tr>
      <w:tr w:rsidR="00DD1612" w:rsidRPr="00A454B4" w14:paraId="7A958A57" w14:textId="77777777" w:rsidTr="00BD375F">
        <w:trPr>
          <w:jc w:val="center"/>
        </w:trPr>
        <w:tc>
          <w:tcPr>
            <w:tcW w:w="3060" w:type="dxa"/>
          </w:tcPr>
          <w:p w14:paraId="33F20237" w14:textId="77777777" w:rsidR="00DD1612" w:rsidRPr="00F54559" w:rsidRDefault="00DD1612" w:rsidP="00BD375F">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Equity securities</w:t>
            </w:r>
          </w:p>
        </w:tc>
        <w:tc>
          <w:tcPr>
            <w:tcW w:w="1190" w:type="dxa"/>
            <w:shd w:val="clear" w:color="auto" w:fill="auto"/>
          </w:tcPr>
          <w:p w14:paraId="664BC049" w14:textId="77777777" w:rsidR="00DD1612" w:rsidRPr="0049783D"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49-69%</w:t>
            </w:r>
          </w:p>
        </w:tc>
        <w:tc>
          <w:tcPr>
            <w:tcW w:w="1170" w:type="dxa"/>
          </w:tcPr>
          <w:p w14:paraId="031C953A" w14:textId="77777777" w:rsidR="00DD1612" w:rsidDel="001F34D3"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49-69%</w:t>
            </w:r>
          </w:p>
        </w:tc>
      </w:tr>
      <w:tr w:rsidR="00DD1612" w:rsidRPr="00A454B4" w14:paraId="498EE7EF" w14:textId="77777777" w:rsidTr="00BD375F">
        <w:trPr>
          <w:jc w:val="center"/>
        </w:trPr>
        <w:tc>
          <w:tcPr>
            <w:tcW w:w="3060" w:type="dxa"/>
          </w:tcPr>
          <w:p w14:paraId="55E91541" w14:textId="77777777" w:rsidR="00DD1612" w:rsidRPr="00F54559" w:rsidRDefault="00DD1612" w:rsidP="00BD375F">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Fixed income securities</w:t>
            </w:r>
          </w:p>
        </w:tc>
        <w:tc>
          <w:tcPr>
            <w:tcW w:w="1190" w:type="dxa"/>
            <w:shd w:val="clear" w:color="auto" w:fill="auto"/>
          </w:tcPr>
          <w:p w14:paraId="69E153E0" w14:textId="77777777" w:rsidR="00DD1612" w:rsidRPr="0049783D"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16-36%</w:t>
            </w:r>
          </w:p>
        </w:tc>
        <w:tc>
          <w:tcPr>
            <w:tcW w:w="1170" w:type="dxa"/>
          </w:tcPr>
          <w:p w14:paraId="045B9C7C" w14:textId="77777777" w:rsidR="00DD1612" w:rsidDel="001F34D3"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16-36%</w:t>
            </w:r>
          </w:p>
        </w:tc>
      </w:tr>
      <w:tr w:rsidR="00DD1612" w:rsidRPr="00A454B4" w14:paraId="3C9E841B" w14:textId="77777777" w:rsidTr="00BD375F">
        <w:trPr>
          <w:jc w:val="center"/>
        </w:trPr>
        <w:tc>
          <w:tcPr>
            <w:tcW w:w="3060" w:type="dxa"/>
          </w:tcPr>
          <w:p w14:paraId="0A64A015" w14:textId="77777777" w:rsidR="00DD1612" w:rsidRPr="00F54559" w:rsidRDefault="00DD1612" w:rsidP="00BD375F">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Other</w:t>
            </w:r>
          </w:p>
        </w:tc>
        <w:tc>
          <w:tcPr>
            <w:tcW w:w="1190" w:type="dxa"/>
            <w:shd w:val="clear" w:color="auto" w:fill="auto"/>
          </w:tcPr>
          <w:p w14:paraId="515DFA74" w14:textId="77777777" w:rsidR="00DD1612" w:rsidRPr="0049783D"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5-25%</w:t>
            </w:r>
          </w:p>
        </w:tc>
        <w:tc>
          <w:tcPr>
            <w:tcW w:w="1170" w:type="dxa"/>
          </w:tcPr>
          <w:p w14:paraId="1D5E1028" w14:textId="77777777" w:rsidR="00DD1612" w:rsidDel="001F34D3"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5-25%</w:t>
            </w:r>
          </w:p>
        </w:tc>
      </w:tr>
      <w:tr w:rsidR="00DD1612" w:rsidRPr="00A454B4" w14:paraId="0EE2CEAA" w14:textId="77777777" w:rsidTr="00BD375F">
        <w:trPr>
          <w:jc w:val="center"/>
        </w:trPr>
        <w:tc>
          <w:tcPr>
            <w:tcW w:w="3060" w:type="dxa"/>
          </w:tcPr>
          <w:p w14:paraId="283ED4C7" w14:textId="77777777" w:rsidR="00DD1612" w:rsidRPr="00F54559" w:rsidRDefault="00DD1612" w:rsidP="00BD375F">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Cash</w:t>
            </w:r>
          </w:p>
        </w:tc>
        <w:tc>
          <w:tcPr>
            <w:tcW w:w="1190" w:type="dxa"/>
            <w:shd w:val="clear" w:color="auto" w:fill="auto"/>
          </w:tcPr>
          <w:p w14:paraId="0D75AF63" w14:textId="77777777" w:rsidR="00DD1612" w:rsidRPr="0049783D"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0-10%</w:t>
            </w:r>
          </w:p>
        </w:tc>
        <w:tc>
          <w:tcPr>
            <w:tcW w:w="1170" w:type="dxa"/>
          </w:tcPr>
          <w:p w14:paraId="76D61B50" w14:textId="77777777" w:rsidR="00DD1612" w:rsidRPr="00F54559" w:rsidDel="001F34D3" w:rsidRDefault="00DD1612" w:rsidP="00BD375F">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0-10%</w:t>
            </w:r>
          </w:p>
        </w:tc>
      </w:tr>
    </w:tbl>
    <w:p w14:paraId="2E1F1A50" w14:textId="77777777" w:rsidR="00DD1612" w:rsidRPr="00F54559" w:rsidRDefault="00DD1612" w:rsidP="00DD1612">
      <w:pPr>
        <w:tabs>
          <w:tab w:val="left" w:pos="0"/>
          <w:tab w:val="left" w:pos="1440"/>
          <w:tab w:val="left" w:pos="1710"/>
        </w:tabs>
        <w:suppressAutoHyphens/>
        <w:rPr>
          <w:rFonts w:eastAsia="Times New Roman" w:cstheme="minorHAnsi"/>
          <w:bCs/>
          <w:spacing w:val="-3"/>
          <w:sz w:val="16"/>
          <w:szCs w:val="20"/>
          <w:highlight w:val="yellow"/>
        </w:rPr>
      </w:pPr>
    </w:p>
    <w:p w14:paraId="7A413EA2" w14:textId="5CA58C8B" w:rsidR="00DD1612" w:rsidRPr="00F54559" w:rsidRDefault="00DD1612" w:rsidP="00DD1612">
      <w:pPr>
        <w:tabs>
          <w:tab w:val="left" w:pos="0"/>
          <w:tab w:val="center" w:pos="720"/>
          <w:tab w:val="left" w:pos="1800"/>
        </w:tabs>
        <w:suppressAutoHyphens/>
        <w:rPr>
          <w:rFonts w:eastAsia="Times New Roman" w:cstheme="minorHAnsi"/>
          <w:bCs/>
          <w:spacing w:val="-3"/>
          <w:sz w:val="24"/>
          <w:szCs w:val="20"/>
        </w:rPr>
      </w:pPr>
      <w:r w:rsidRPr="00F54559">
        <w:rPr>
          <w:rFonts w:eastAsia="Times New Roman" w:cstheme="minorHAnsi"/>
          <w:b/>
          <w:spacing w:val="-3"/>
          <w:sz w:val="24"/>
          <w:szCs w:val="20"/>
        </w:rPr>
        <w:t>Authorized Investment Vehicles - Deposits with Trustees</w:t>
      </w:r>
      <w:r w:rsidR="003E72E3">
        <w:rPr>
          <w:rFonts w:eastAsia="Times New Roman" w:cstheme="minorHAnsi"/>
          <w:bCs/>
          <w:spacing w:val="-3"/>
          <w:sz w:val="24"/>
          <w:szCs w:val="20"/>
        </w:rPr>
        <w:t xml:space="preserve">: </w:t>
      </w:r>
      <w:r w:rsidRPr="00F54559">
        <w:rPr>
          <w:rFonts w:eastAsia="Times New Roman" w:cstheme="minorHAnsi"/>
          <w:bCs/>
          <w:spacing w:val="-3"/>
          <w:sz w:val="24"/>
          <w:szCs w:val="20"/>
        </w:rPr>
        <w:t>These monies are invested in accordance with the governing bond resolutions and arbitrage certificates.</w:t>
      </w:r>
    </w:p>
    <w:p w14:paraId="340CC94F" w14:textId="77777777" w:rsidR="00DD1612" w:rsidRPr="00F54559" w:rsidRDefault="00DD1612" w:rsidP="00DD1612">
      <w:pPr>
        <w:pStyle w:val="AFR3"/>
        <w:rPr>
          <w:rFonts w:cstheme="minorHAnsi"/>
        </w:rPr>
      </w:pPr>
      <w:r>
        <w:rPr>
          <w:rFonts w:cstheme="minorHAnsi"/>
        </w:rPr>
        <w:t>g</w:t>
      </w:r>
      <w:r w:rsidRPr="00F54559">
        <w:rPr>
          <w:rFonts w:cstheme="minorHAnsi"/>
        </w:rPr>
        <w:t>. Gifts and Pledges</w:t>
      </w:r>
    </w:p>
    <w:p w14:paraId="6993AA4C" w14:textId="2D82D95B" w:rsidR="00DD1612" w:rsidRPr="00F54559" w:rsidRDefault="00DD1612" w:rsidP="00DD1612">
      <w:pPr>
        <w:tabs>
          <w:tab w:val="left" w:pos="720"/>
          <w:tab w:val="left" w:pos="1080"/>
          <w:tab w:val="left" w:pos="5040"/>
        </w:tabs>
        <w:suppressAutoHyphens/>
        <w:rPr>
          <w:rFonts w:cstheme="minorHAnsi"/>
          <w:spacing w:val="-3"/>
          <w:sz w:val="24"/>
        </w:rPr>
      </w:pPr>
      <w:r w:rsidRPr="00F54559">
        <w:rPr>
          <w:rFonts w:cstheme="minorHAnsi"/>
          <w:spacing w:val="-3"/>
          <w:sz w:val="24"/>
        </w:rPr>
        <w:t>Gifts are recorded at their f</w:t>
      </w:r>
      <w:r w:rsidR="003E72E3">
        <w:rPr>
          <w:rFonts w:cstheme="minorHAnsi"/>
          <w:spacing w:val="-3"/>
          <w:sz w:val="24"/>
        </w:rPr>
        <w:t xml:space="preserve">air value at the date of gift. </w:t>
      </w:r>
      <w:r w:rsidRPr="00F54559">
        <w:rPr>
          <w:rFonts w:cstheme="minorHAnsi"/>
          <w:spacing w:val="-3"/>
          <w:sz w:val="24"/>
        </w:rPr>
        <w:t xml:space="preserve">Promises to donate to the System are recorded as receivables and revenues when the System has met all applicable eligibility and time requirements. Gifts and bequests to be used for endowment purposes are categorized as endowment gifts. Other gifts are categorized as currently expendable. Since the System cannot fulfill the time requirement for gifts to endowments until the gift is received, pledges to endowments are not reported. Because of uncertainties </w:t>
      </w:r>
      <w:proofErr w:type="gramStart"/>
      <w:r w:rsidRPr="00F54559">
        <w:rPr>
          <w:rFonts w:cstheme="minorHAnsi"/>
          <w:spacing w:val="-3"/>
          <w:sz w:val="24"/>
        </w:rPr>
        <w:t>with regard to</w:t>
      </w:r>
      <w:proofErr w:type="gramEnd"/>
      <w:r w:rsidRPr="00F54559">
        <w:rPr>
          <w:rFonts w:cstheme="minorHAnsi"/>
          <w:spacing w:val="-3"/>
          <w:sz w:val="24"/>
        </w:rPr>
        <w:t xml:space="preserve"> their realizability and valuation, bequests and intentions to give and other conditional promises are not recognized as assets until the specified conditions are met.</w:t>
      </w:r>
    </w:p>
    <w:p w14:paraId="60F91434" w14:textId="77777777" w:rsidR="00DD1612" w:rsidRPr="00F54559" w:rsidRDefault="00DD1612" w:rsidP="00DD1612">
      <w:pPr>
        <w:pStyle w:val="AFR3"/>
        <w:rPr>
          <w:rFonts w:cstheme="minorHAnsi"/>
        </w:rPr>
      </w:pPr>
      <w:r>
        <w:rPr>
          <w:rFonts w:cstheme="minorHAnsi"/>
        </w:rPr>
        <w:t>h</w:t>
      </w:r>
      <w:r w:rsidRPr="00F54559">
        <w:rPr>
          <w:rFonts w:cstheme="minorHAnsi"/>
        </w:rPr>
        <w:t>. Grants and Contracts and Capital Appropriations</w:t>
      </w:r>
    </w:p>
    <w:p w14:paraId="4E88ECA0" w14:textId="77777777" w:rsidR="00DD1612" w:rsidRDefault="00DD1612" w:rsidP="00DD1612">
      <w:pPr>
        <w:tabs>
          <w:tab w:val="left" w:pos="720"/>
          <w:tab w:val="left" w:pos="1080"/>
          <w:tab w:val="left" w:pos="5040"/>
        </w:tabs>
        <w:suppressAutoHyphens/>
        <w:rPr>
          <w:rFonts w:ascii="Times New Roman" w:eastAsia="Times New Roman" w:hAnsi="Times New Roman" w:cstheme="minorHAnsi"/>
          <w:sz w:val="24"/>
          <w:szCs w:val="24"/>
        </w:rPr>
      </w:pPr>
      <w:r w:rsidRPr="00F54559">
        <w:rPr>
          <w:rFonts w:cstheme="minorHAnsi"/>
          <w:spacing w:val="-3"/>
          <w:sz w:val="24"/>
        </w:rPr>
        <w:t>The System records a receivable and corresponding revenue for grants and contracts and capital appropriations at the point all eligibility requirements (e.g., allowable costs are incurred) are met.</w:t>
      </w:r>
    </w:p>
    <w:p w14:paraId="75EA98E1" w14:textId="77777777" w:rsidR="00DD1612" w:rsidRPr="00F54559" w:rsidRDefault="00DD1612" w:rsidP="00DD1612">
      <w:pPr>
        <w:pStyle w:val="AFR3"/>
        <w:rPr>
          <w:rFonts w:cstheme="minorHAnsi"/>
        </w:rPr>
      </w:pPr>
      <w:proofErr w:type="spellStart"/>
      <w:r>
        <w:rPr>
          <w:rFonts w:cstheme="minorHAnsi"/>
        </w:rPr>
        <w:t>i</w:t>
      </w:r>
      <w:proofErr w:type="spellEnd"/>
      <w:r w:rsidRPr="00F54559">
        <w:rPr>
          <w:rFonts w:cstheme="minorHAnsi"/>
        </w:rPr>
        <w:t>. Inventories</w:t>
      </w:r>
    </w:p>
    <w:p w14:paraId="43F7D903" w14:textId="4BE7B568" w:rsidR="00DD1612" w:rsidRPr="00F54559" w:rsidRDefault="003E72E3" w:rsidP="00DD1612">
      <w:pPr>
        <w:tabs>
          <w:tab w:val="left" w:pos="720"/>
          <w:tab w:val="left" w:pos="1080"/>
          <w:tab w:val="left" w:pos="5040"/>
        </w:tabs>
        <w:suppressAutoHyphens/>
        <w:rPr>
          <w:rFonts w:eastAsia="Times New Roman" w:cstheme="minorHAnsi"/>
          <w:bCs/>
          <w:spacing w:val="-3"/>
          <w:sz w:val="24"/>
          <w:szCs w:val="20"/>
        </w:rPr>
      </w:pPr>
      <w:r>
        <w:rPr>
          <w:rFonts w:eastAsia="Times New Roman" w:cstheme="minorHAnsi"/>
          <w:bCs/>
          <w:spacing w:val="-3"/>
          <w:sz w:val="24"/>
          <w:szCs w:val="20"/>
        </w:rPr>
        <w:t>Inventories are stated at cost.</w:t>
      </w:r>
      <w:r w:rsidR="00DD1612" w:rsidRPr="00F54559">
        <w:rPr>
          <w:rFonts w:eastAsia="Times New Roman" w:cstheme="minorHAnsi"/>
          <w:bCs/>
          <w:spacing w:val="-3"/>
          <w:sz w:val="24"/>
          <w:szCs w:val="20"/>
        </w:rPr>
        <w:t xml:space="preserve"> Cost is determined using the first-in, first-out method or the average-cost method.</w:t>
      </w:r>
    </w:p>
    <w:p w14:paraId="164D29E0" w14:textId="77777777" w:rsidR="00DD1612" w:rsidRPr="00F54559" w:rsidRDefault="00DD1612" w:rsidP="00DD1612">
      <w:pPr>
        <w:pStyle w:val="AFR3"/>
        <w:rPr>
          <w:rFonts w:cstheme="minorHAnsi"/>
        </w:rPr>
      </w:pPr>
      <w:r>
        <w:rPr>
          <w:rFonts w:cstheme="minorHAnsi"/>
        </w:rPr>
        <w:t>j</w:t>
      </w:r>
      <w:r w:rsidRPr="00F54559">
        <w:rPr>
          <w:rFonts w:cstheme="minorHAnsi"/>
        </w:rPr>
        <w:t>. Capital Assets</w:t>
      </w:r>
    </w:p>
    <w:p w14:paraId="1637E8D8" w14:textId="56AE1D93" w:rsidR="00BB7F53" w:rsidRDefault="00DD1612" w:rsidP="00BB7F53">
      <w:pPr>
        <w:spacing w:after="160"/>
        <w:rPr>
          <w:rFonts w:cstheme="minorHAnsi"/>
          <w:bCs/>
          <w:spacing w:val="-3"/>
          <w:sz w:val="24"/>
        </w:rPr>
      </w:pPr>
      <w:r w:rsidRPr="00B55FF1">
        <w:rPr>
          <w:rFonts w:cstheme="minorHAnsi"/>
          <w:spacing w:val="-3"/>
          <w:sz w:val="24"/>
        </w:rPr>
        <w:t xml:space="preserve">Capital assets which include property, plant, equipment, intangible </w:t>
      </w:r>
      <w:proofErr w:type="gramStart"/>
      <w:r w:rsidRPr="00B55FF1">
        <w:rPr>
          <w:rFonts w:cstheme="minorHAnsi"/>
          <w:spacing w:val="-3"/>
          <w:sz w:val="24"/>
        </w:rPr>
        <w:t>assets</w:t>
      </w:r>
      <w:proofErr w:type="gramEnd"/>
      <w:r w:rsidRPr="00B55FF1">
        <w:rPr>
          <w:rFonts w:cstheme="minorHAnsi"/>
          <w:spacing w:val="-3"/>
          <w:sz w:val="24"/>
        </w:rPr>
        <w:t xml:space="preserve"> and library holdings are recorded at cost when purchased or constructed</w:t>
      </w:r>
      <w:r w:rsidR="001E48F3" w:rsidRPr="00B55FF1">
        <w:rPr>
          <w:rFonts w:cstheme="minorHAnsi"/>
          <w:spacing w:val="-3"/>
          <w:sz w:val="24"/>
        </w:rPr>
        <w:t>,</w:t>
      </w:r>
      <w:r w:rsidRPr="00B55FF1">
        <w:rPr>
          <w:rFonts w:cstheme="minorHAnsi"/>
          <w:spacing w:val="-3"/>
          <w:sz w:val="24"/>
        </w:rPr>
        <w:t xml:space="preserve"> </w:t>
      </w:r>
      <w:r w:rsidR="00A90C1D" w:rsidRPr="00B55FF1">
        <w:rPr>
          <w:rFonts w:cstheme="minorHAnsi"/>
          <w:spacing w:val="-3"/>
          <w:sz w:val="24"/>
        </w:rPr>
        <w:t xml:space="preserve">at net present value </w:t>
      </w:r>
      <w:r w:rsidR="0018075C">
        <w:rPr>
          <w:rFonts w:cstheme="minorHAnsi"/>
          <w:spacing w:val="-3"/>
          <w:sz w:val="24"/>
        </w:rPr>
        <w:t>of</w:t>
      </w:r>
      <w:r w:rsidR="00A90C1D" w:rsidRPr="00B55FF1">
        <w:rPr>
          <w:rFonts w:cstheme="minorHAnsi"/>
          <w:spacing w:val="-3"/>
          <w:sz w:val="24"/>
        </w:rPr>
        <w:t xml:space="preserve"> </w:t>
      </w:r>
      <w:r w:rsidR="00AA0E42" w:rsidRPr="00B55FF1">
        <w:rPr>
          <w:rFonts w:cstheme="minorHAnsi"/>
          <w:spacing w:val="-3"/>
          <w:sz w:val="24"/>
        </w:rPr>
        <w:t>lease and SBITA</w:t>
      </w:r>
      <w:r w:rsidR="00A90C1D" w:rsidRPr="00B55FF1">
        <w:rPr>
          <w:rFonts w:cstheme="minorHAnsi"/>
          <w:spacing w:val="-3"/>
          <w:sz w:val="24"/>
        </w:rPr>
        <w:t xml:space="preserve"> agreements </w:t>
      </w:r>
      <w:r w:rsidR="00B55FF1">
        <w:rPr>
          <w:rFonts w:cstheme="minorHAnsi"/>
          <w:spacing w:val="-3"/>
          <w:sz w:val="24"/>
        </w:rPr>
        <w:t xml:space="preserve">and </w:t>
      </w:r>
      <w:r w:rsidRPr="00B55FF1">
        <w:rPr>
          <w:rFonts w:cstheme="minorHAnsi"/>
          <w:spacing w:val="-3"/>
          <w:sz w:val="24"/>
        </w:rPr>
        <w:t>at acquisit</w:t>
      </w:r>
      <w:r w:rsidR="00D2519B" w:rsidRPr="00B55FF1">
        <w:rPr>
          <w:rFonts w:cstheme="minorHAnsi"/>
          <w:spacing w:val="-3"/>
          <w:sz w:val="24"/>
        </w:rPr>
        <w:t xml:space="preserve">ion value at date of donation. </w:t>
      </w:r>
      <w:r w:rsidRPr="00B55FF1">
        <w:rPr>
          <w:rFonts w:cstheme="minorHAnsi"/>
          <w:bCs/>
          <w:spacing w:val="-3"/>
          <w:sz w:val="24"/>
        </w:rPr>
        <w:t xml:space="preserve">Costs for maintenance, </w:t>
      </w:r>
      <w:r w:rsidR="00F45E78" w:rsidRPr="00B55FF1">
        <w:rPr>
          <w:rFonts w:cstheme="minorHAnsi"/>
          <w:bCs/>
          <w:spacing w:val="-3"/>
          <w:sz w:val="24"/>
        </w:rPr>
        <w:t>repairs and minor renewals and replacements are expensed as incurred; major renewals and</w:t>
      </w:r>
      <w:r w:rsidR="00F45E78">
        <w:rPr>
          <w:rFonts w:cstheme="minorHAnsi"/>
          <w:bCs/>
          <w:spacing w:val="-3"/>
          <w:sz w:val="24"/>
        </w:rPr>
        <w:t xml:space="preserve"> replacements are capitalized.</w:t>
      </w:r>
    </w:p>
    <w:p w14:paraId="7525022E" w14:textId="483F1143" w:rsidR="00B55FF1" w:rsidRDefault="00BB7F53" w:rsidP="00BB7F53">
      <w:pPr>
        <w:rPr>
          <w:rFonts w:cstheme="minorHAnsi"/>
          <w:bCs/>
          <w:spacing w:val="-3"/>
          <w:sz w:val="24"/>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576039A1" w14:textId="77777777" w:rsidR="00F45E78" w:rsidRDefault="00F45E78" w:rsidP="00BB7F53">
      <w:pPr>
        <w:rPr>
          <w:rFonts w:cstheme="minorHAnsi"/>
          <w:bCs/>
          <w:spacing w:val="-3"/>
          <w:sz w:val="24"/>
        </w:rPr>
      </w:pPr>
    </w:p>
    <w:p w14:paraId="04F40ABF" w14:textId="2FE0F8DA" w:rsidR="00DD1612" w:rsidRPr="00B55FF1" w:rsidRDefault="00BB7F53" w:rsidP="00B55FF1">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B55FF1">
        <w:rPr>
          <w:rFonts w:asciiTheme="minorHAnsi" w:hAnsiTheme="minorHAnsi" w:cstheme="minorHAnsi"/>
          <w:bCs/>
          <w:spacing w:val="-3"/>
          <w:szCs w:val="22"/>
        </w:rPr>
        <w:t xml:space="preserve">Prior to July </w:t>
      </w:r>
      <w:r w:rsidR="00DD1612" w:rsidRPr="00B55FF1">
        <w:rPr>
          <w:rFonts w:asciiTheme="minorHAnsi" w:hAnsiTheme="minorHAnsi" w:cstheme="minorHAnsi"/>
          <w:spacing w:val="-3"/>
          <w:szCs w:val="20"/>
        </w:rPr>
        <w:t>1, 2003, library materials were generally capitalized and depre</w:t>
      </w:r>
      <w:r w:rsidR="003E72E3" w:rsidRPr="00B55FF1">
        <w:rPr>
          <w:rFonts w:asciiTheme="minorHAnsi" w:hAnsiTheme="minorHAnsi" w:cstheme="minorHAnsi"/>
          <w:spacing w:val="-3"/>
          <w:szCs w:val="20"/>
        </w:rPr>
        <w:t>ciated over a ten-year period.</w:t>
      </w:r>
      <w:r w:rsidR="00B55FF1">
        <w:rPr>
          <w:rFonts w:asciiTheme="minorHAnsi" w:hAnsiTheme="minorHAnsi" w:cstheme="minorHAnsi"/>
          <w:spacing w:val="-3"/>
          <w:szCs w:val="20"/>
        </w:rPr>
        <w:t xml:space="preserve"> </w:t>
      </w:r>
      <w:r w:rsidR="00DD1612" w:rsidRPr="00B55FF1">
        <w:rPr>
          <w:rFonts w:asciiTheme="minorHAnsi" w:hAnsiTheme="minorHAnsi" w:cstheme="minorHAnsi"/>
          <w:spacing w:val="-3"/>
          <w:szCs w:val="20"/>
        </w:rPr>
        <w:t xml:space="preserve">Effective July 1, 2003, the System began to expense </w:t>
      </w:r>
      <w:r w:rsidR="003E72E3" w:rsidRPr="00B55FF1">
        <w:rPr>
          <w:rFonts w:asciiTheme="minorHAnsi" w:hAnsiTheme="minorHAnsi" w:cstheme="minorHAnsi"/>
          <w:spacing w:val="-3"/>
          <w:szCs w:val="20"/>
        </w:rPr>
        <w:t xml:space="preserve">library materials as incurred. </w:t>
      </w:r>
      <w:r w:rsidR="00DD1612" w:rsidRPr="00B55FF1">
        <w:rPr>
          <w:rFonts w:asciiTheme="minorHAnsi" w:hAnsiTheme="minorHAnsi" w:cstheme="minorHAnsi"/>
          <w:spacing w:val="-3"/>
          <w:szCs w:val="20"/>
        </w:rPr>
        <w:t>The System will retain the undepreciated library materials balance as a core non-depreciating asset.</w:t>
      </w:r>
    </w:p>
    <w:p w14:paraId="1FCADA6D" w14:textId="77777777" w:rsidR="00DD1612" w:rsidRPr="00F54559" w:rsidRDefault="00DD1612" w:rsidP="00DD1612">
      <w:pPr>
        <w:tabs>
          <w:tab w:val="left" w:pos="1440"/>
          <w:tab w:val="left" w:pos="1848"/>
          <w:tab w:val="left" w:pos="5040"/>
          <w:tab w:val="right" w:pos="7260"/>
        </w:tabs>
        <w:suppressAutoHyphens/>
        <w:spacing w:after="160"/>
        <w:rPr>
          <w:rFonts w:eastAsia="Times New Roman" w:cstheme="minorHAnsi"/>
          <w:bCs/>
          <w:spacing w:val="-3"/>
          <w:sz w:val="24"/>
          <w:szCs w:val="20"/>
        </w:rPr>
      </w:pPr>
      <w:r w:rsidRPr="00F54559">
        <w:rPr>
          <w:rFonts w:eastAsia="Times New Roman" w:cstheme="minorHAnsi"/>
          <w:bCs/>
          <w:spacing w:val="-3"/>
          <w:sz w:val="24"/>
          <w:szCs w:val="20"/>
        </w:rPr>
        <w:t>The System does not capitalize and depreciate its collections of historical treasures and works of art because it is the System’s policy that:</w:t>
      </w:r>
    </w:p>
    <w:p w14:paraId="442A48DC" w14:textId="77777777" w:rsidR="00DD1612" w:rsidRPr="00F54559" w:rsidRDefault="00DD1612" w:rsidP="00DD1612">
      <w:pPr>
        <w:numPr>
          <w:ilvl w:val="0"/>
          <w:numId w:val="5"/>
        </w:numPr>
        <w:tabs>
          <w:tab w:val="left" w:pos="1848"/>
          <w:tab w:val="left" w:pos="2520"/>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held for public exhibition, education, or research in furtherance of public service, rather than for financial gain.</w:t>
      </w:r>
    </w:p>
    <w:p w14:paraId="253A01C8" w14:textId="77777777" w:rsidR="00DD1612" w:rsidRPr="00F54559" w:rsidRDefault="00DD1612" w:rsidP="00DD1612">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protected, kept unencumbered, cared for, and preserved.</w:t>
      </w:r>
    </w:p>
    <w:p w14:paraId="3D6311AD" w14:textId="77777777" w:rsidR="00DD1612" w:rsidRPr="00F54559" w:rsidRDefault="00DD1612" w:rsidP="00DD1612">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Proceeds from sale of works of art and historical treasures are to be used to acquire other items for the collections.</w:t>
      </w:r>
    </w:p>
    <w:p w14:paraId="7ACF6815" w14:textId="77777777" w:rsidR="00A001EB" w:rsidRPr="00B55FF1" w:rsidRDefault="00A001EB" w:rsidP="00DD1612">
      <w:pPr>
        <w:tabs>
          <w:tab w:val="left" w:pos="1440"/>
          <w:tab w:val="left" w:pos="5040"/>
        </w:tabs>
        <w:suppressAutoHyphens/>
        <w:rPr>
          <w:rFonts w:eastAsia="Times New Roman" w:cstheme="minorHAnsi"/>
          <w:spacing w:val="-3"/>
          <w:sz w:val="20"/>
          <w:szCs w:val="16"/>
        </w:rPr>
      </w:pPr>
    </w:p>
    <w:p w14:paraId="1CA9E048" w14:textId="1D59B82A" w:rsidR="00DD1612" w:rsidRDefault="00DD1612" w:rsidP="00DD1612">
      <w:pPr>
        <w:tabs>
          <w:tab w:val="left" w:pos="1440"/>
          <w:tab w:val="left" w:pos="5040"/>
        </w:tabs>
        <w:suppressAutoHyphens/>
        <w:rPr>
          <w:rFonts w:eastAsia="Times New Roman" w:cstheme="minorHAnsi"/>
          <w:bCs/>
          <w:spacing w:val="-3"/>
          <w:sz w:val="24"/>
          <w:szCs w:val="20"/>
        </w:rPr>
      </w:pPr>
      <w:r w:rsidRPr="00F54559">
        <w:rPr>
          <w:rFonts w:eastAsia="Times New Roman" w:cstheme="minorHAnsi"/>
          <w:spacing w:val="-3"/>
          <w:sz w:val="24"/>
          <w:szCs w:val="20"/>
        </w:rPr>
        <w:t>A capitalization threshold of $50 is used for buildings, building additions and improvements, land improvements</w:t>
      </w:r>
      <w:r w:rsidR="002231E4">
        <w:rPr>
          <w:rFonts w:eastAsia="Times New Roman" w:cstheme="minorHAnsi"/>
          <w:spacing w:val="-3"/>
          <w:sz w:val="24"/>
          <w:szCs w:val="20"/>
        </w:rPr>
        <w:t xml:space="preserve">, </w:t>
      </w:r>
      <w:r w:rsidRPr="00F54559">
        <w:rPr>
          <w:rFonts w:eastAsia="Times New Roman" w:cstheme="minorHAnsi"/>
          <w:spacing w:val="-3"/>
          <w:sz w:val="24"/>
          <w:szCs w:val="20"/>
        </w:rPr>
        <w:t>internally generated intangibles</w:t>
      </w:r>
      <w:r w:rsidR="002231E4">
        <w:rPr>
          <w:rFonts w:eastAsia="Times New Roman" w:cstheme="minorHAnsi"/>
          <w:spacing w:val="-3"/>
          <w:sz w:val="24"/>
          <w:szCs w:val="20"/>
        </w:rPr>
        <w:t xml:space="preserve"> and SBITA agreements</w:t>
      </w:r>
      <w:r w:rsidRPr="00F54559">
        <w:rPr>
          <w:rFonts w:eastAsia="Times New Roman" w:cstheme="minorHAnsi"/>
          <w:spacing w:val="-3"/>
          <w:sz w:val="24"/>
          <w:szCs w:val="20"/>
        </w:rPr>
        <w:t xml:space="preserve">. Equipment (including equipment acquired under leases) and purchased software are capitalized with a unit cost of $5 or more. </w:t>
      </w:r>
      <w:r w:rsidRPr="00F54559">
        <w:rPr>
          <w:rFonts w:eastAsia="Times New Roman" w:cstheme="minorHAnsi"/>
          <w:bCs/>
          <w:spacing w:val="-3"/>
          <w:sz w:val="24"/>
          <w:szCs w:val="20"/>
        </w:rPr>
        <w:t xml:space="preserve">These assets, </w:t>
      </w:r>
      <w:proofErr w:type="gramStart"/>
      <w:r w:rsidRPr="00F54559">
        <w:rPr>
          <w:rFonts w:eastAsia="Times New Roman" w:cstheme="minorHAnsi"/>
          <w:bCs/>
          <w:spacing w:val="-3"/>
          <w:sz w:val="24"/>
          <w:szCs w:val="20"/>
        </w:rPr>
        <w:t>with the exception of</w:t>
      </w:r>
      <w:proofErr w:type="gramEnd"/>
      <w:r w:rsidRPr="00F54559">
        <w:rPr>
          <w:rFonts w:eastAsia="Times New Roman" w:cstheme="minorHAnsi"/>
          <w:bCs/>
          <w:spacing w:val="-3"/>
          <w:sz w:val="24"/>
          <w:szCs w:val="20"/>
        </w:rPr>
        <w:t xml:space="preserve"> land, are depreciated and amortized using the straight-line basis over the estimated useful lives of the related assets, which range from </w:t>
      </w:r>
      <w:r w:rsidRPr="002E6633">
        <w:rPr>
          <w:rFonts w:eastAsia="Times New Roman" w:cstheme="minorHAnsi"/>
          <w:bCs/>
          <w:spacing w:val="-3"/>
          <w:sz w:val="24"/>
          <w:szCs w:val="20"/>
        </w:rPr>
        <w:t>4 to 60</w:t>
      </w:r>
      <w:r w:rsidRPr="00F54559">
        <w:rPr>
          <w:rFonts w:eastAsia="Times New Roman" w:cstheme="minorHAnsi"/>
          <w:bCs/>
          <w:spacing w:val="-3"/>
          <w:sz w:val="24"/>
          <w:szCs w:val="20"/>
        </w:rPr>
        <w:t xml:space="preserve"> years.</w:t>
      </w:r>
    </w:p>
    <w:p w14:paraId="3C0DFA1B" w14:textId="1A620CC9" w:rsidR="00DD1612" w:rsidRPr="00741B04" w:rsidRDefault="00DD1612" w:rsidP="00DD1612">
      <w:pPr>
        <w:tabs>
          <w:tab w:val="left" w:pos="1440"/>
          <w:tab w:val="left" w:pos="5040"/>
        </w:tabs>
        <w:suppressAutoHyphens/>
        <w:spacing w:before="240" w:after="120"/>
        <w:rPr>
          <w:rFonts w:eastAsia="Times New Roman" w:cstheme="minorHAnsi"/>
          <w:bCs/>
          <w:spacing w:val="-3"/>
          <w:sz w:val="26"/>
          <w:szCs w:val="26"/>
        </w:rPr>
      </w:pPr>
      <w:r w:rsidRPr="00F62FF6">
        <w:rPr>
          <w:rStyle w:val="AFR3Char"/>
        </w:rPr>
        <w:t xml:space="preserve">k. </w:t>
      </w:r>
      <w:r w:rsidR="001347EB">
        <w:rPr>
          <w:rStyle w:val="AFR3Char"/>
        </w:rPr>
        <w:t xml:space="preserve">Obligations for </w:t>
      </w:r>
      <w:r w:rsidR="00A001EB">
        <w:rPr>
          <w:rStyle w:val="AFR3Char"/>
        </w:rPr>
        <w:t xml:space="preserve">Right </w:t>
      </w:r>
      <w:r w:rsidR="001347EB">
        <w:rPr>
          <w:rStyle w:val="AFR3Char"/>
        </w:rPr>
        <w:t xml:space="preserve">of </w:t>
      </w:r>
      <w:r w:rsidR="00A001EB">
        <w:rPr>
          <w:rStyle w:val="AFR3Char"/>
        </w:rPr>
        <w:t xml:space="preserve">Use Assets </w:t>
      </w:r>
      <w:r w:rsidR="00D73D1B" w:rsidRPr="00F96B93">
        <w:rPr>
          <w:rStyle w:val="AFR3Char"/>
        </w:rPr>
        <w:t xml:space="preserve">and </w:t>
      </w:r>
      <w:r w:rsidR="00F96B93" w:rsidRPr="00F96B93">
        <w:rPr>
          <w:rStyle w:val="AFR3Char"/>
        </w:rPr>
        <w:t>Subscription Based Information Technology Arrangements</w:t>
      </w:r>
    </w:p>
    <w:p w14:paraId="7F40B060" w14:textId="2F20F1D9" w:rsidR="00DD1612" w:rsidRPr="00A909E4" w:rsidRDefault="00DD1612" w:rsidP="00DD1612">
      <w:pPr>
        <w:tabs>
          <w:tab w:val="left" w:pos="1440"/>
          <w:tab w:val="left" w:pos="5040"/>
        </w:tabs>
        <w:suppressAutoHyphens/>
        <w:rPr>
          <w:rFonts w:eastAsia="Times New Roman" w:cstheme="minorHAnsi"/>
          <w:bCs/>
          <w:spacing w:val="-3"/>
          <w:sz w:val="24"/>
          <w:szCs w:val="24"/>
        </w:rPr>
      </w:pPr>
      <w:r w:rsidRPr="00A909E4">
        <w:rPr>
          <w:rFonts w:eastAsia="Times New Roman" w:cstheme="minorHAnsi"/>
          <w:bCs/>
          <w:spacing w:val="-3"/>
          <w:sz w:val="24"/>
          <w:szCs w:val="24"/>
        </w:rPr>
        <w:t>The System is a lessee</w:t>
      </w:r>
      <w:r>
        <w:rPr>
          <w:rFonts w:eastAsia="Times New Roman" w:cstheme="minorHAnsi"/>
          <w:bCs/>
          <w:spacing w:val="-3"/>
          <w:sz w:val="24"/>
          <w:szCs w:val="24"/>
        </w:rPr>
        <w:t xml:space="preserve"> and a lessor</w:t>
      </w:r>
      <w:r w:rsidRPr="00A909E4">
        <w:rPr>
          <w:rFonts w:eastAsia="Times New Roman" w:cstheme="minorHAnsi"/>
          <w:bCs/>
          <w:spacing w:val="-3"/>
          <w:sz w:val="24"/>
          <w:szCs w:val="24"/>
        </w:rPr>
        <w:t xml:space="preserve"> for various nonc</w:t>
      </w:r>
      <w:r>
        <w:rPr>
          <w:rFonts w:eastAsia="Times New Roman" w:cstheme="minorHAnsi"/>
          <w:bCs/>
          <w:spacing w:val="-3"/>
          <w:sz w:val="24"/>
          <w:szCs w:val="24"/>
        </w:rPr>
        <w:t>ancelable leases of buildings</w:t>
      </w:r>
      <w:r w:rsidR="00421F9E">
        <w:rPr>
          <w:rFonts w:eastAsia="Times New Roman" w:cstheme="minorHAnsi"/>
          <w:bCs/>
          <w:spacing w:val="-3"/>
          <w:sz w:val="24"/>
          <w:szCs w:val="24"/>
        </w:rPr>
        <w:t xml:space="preserve"> and has</w:t>
      </w:r>
      <w:r w:rsidR="00757930">
        <w:rPr>
          <w:rFonts w:eastAsia="Times New Roman" w:cstheme="minorHAnsi"/>
          <w:bCs/>
          <w:spacing w:val="-3"/>
          <w:sz w:val="24"/>
          <w:szCs w:val="24"/>
        </w:rPr>
        <w:t xml:space="preserve"> </w:t>
      </w:r>
      <w:r w:rsidR="00421F9E" w:rsidRPr="00421F9E">
        <w:rPr>
          <w:rFonts w:eastAsia="Times New Roman" w:cstheme="minorHAnsi"/>
          <w:bCs/>
          <w:spacing w:val="-3"/>
          <w:sz w:val="24"/>
          <w:szCs w:val="24"/>
        </w:rPr>
        <w:t>noncancelable</w:t>
      </w:r>
      <w:r w:rsidR="00757930">
        <w:rPr>
          <w:rFonts w:eastAsia="Times New Roman" w:cstheme="minorHAnsi"/>
          <w:bCs/>
          <w:spacing w:val="-3"/>
          <w:sz w:val="24"/>
          <w:szCs w:val="24"/>
        </w:rPr>
        <w:t xml:space="preserve"> </w:t>
      </w:r>
      <w:proofErr w:type="spellStart"/>
      <w:r w:rsidR="00421F9E">
        <w:rPr>
          <w:rFonts w:eastAsia="Times New Roman" w:cstheme="minorHAnsi"/>
          <w:bCs/>
          <w:spacing w:val="-3"/>
          <w:sz w:val="24"/>
          <w:szCs w:val="24"/>
        </w:rPr>
        <w:t>SBITAs</w:t>
      </w:r>
      <w:proofErr w:type="spellEnd"/>
      <w:r w:rsidR="00757930">
        <w:rPr>
          <w:rFonts w:eastAsia="Times New Roman" w:cstheme="minorHAnsi"/>
          <w:bCs/>
          <w:spacing w:val="-3"/>
          <w:sz w:val="24"/>
          <w:szCs w:val="24"/>
        </w:rPr>
        <w:t xml:space="preserve"> </w:t>
      </w:r>
      <w:r w:rsidR="00421F9E" w:rsidRPr="00421F9E">
        <w:rPr>
          <w:rFonts w:eastAsia="Times New Roman" w:cstheme="minorHAnsi"/>
          <w:bCs/>
          <w:spacing w:val="-3"/>
          <w:sz w:val="24"/>
          <w:szCs w:val="24"/>
        </w:rPr>
        <w:t xml:space="preserve">or the right to use information technology hardware and software. </w:t>
      </w:r>
    </w:p>
    <w:p w14:paraId="6FBB5985" w14:textId="77777777" w:rsidR="00DD1612" w:rsidRPr="00A909E4" w:rsidRDefault="00DD1612" w:rsidP="00DD1612">
      <w:pPr>
        <w:tabs>
          <w:tab w:val="left" w:pos="1440"/>
          <w:tab w:val="left" w:pos="5040"/>
        </w:tabs>
        <w:suppressAutoHyphens/>
        <w:rPr>
          <w:rFonts w:eastAsia="Times New Roman" w:cstheme="minorHAnsi"/>
          <w:bCs/>
          <w:spacing w:val="-3"/>
          <w:sz w:val="24"/>
          <w:szCs w:val="24"/>
        </w:rPr>
      </w:pPr>
    </w:p>
    <w:p w14:paraId="01662CE5" w14:textId="47577E7C" w:rsidR="00DD1612" w:rsidRPr="00F061E5" w:rsidRDefault="00DD1612" w:rsidP="00DD1612">
      <w:pPr>
        <w:tabs>
          <w:tab w:val="left" w:pos="1440"/>
          <w:tab w:val="left" w:pos="5040"/>
        </w:tabs>
        <w:suppressAutoHyphens/>
        <w:spacing w:after="160"/>
        <w:rPr>
          <w:rFonts w:eastAsia="Times New Roman" w:cstheme="minorHAnsi"/>
          <w:bCs/>
          <w:spacing w:val="-3"/>
          <w:sz w:val="24"/>
          <w:szCs w:val="24"/>
        </w:rPr>
      </w:pPr>
      <w:r w:rsidRPr="00F62FF6">
        <w:rPr>
          <w:rFonts w:eastAsia="Times New Roman" w:cstheme="minorHAnsi"/>
          <w:b/>
          <w:spacing w:val="-3"/>
          <w:sz w:val="24"/>
          <w:szCs w:val="24"/>
        </w:rPr>
        <w:t>Short-term Leases</w:t>
      </w:r>
      <w:r w:rsidR="00421F9E">
        <w:rPr>
          <w:rFonts w:eastAsia="Times New Roman" w:cstheme="minorHAnsi"/>
          <w:b/>
          <w:spacing w:val="-3"/>
          <w:sz w:val="24"/>
          <w:szCs w:val="24"/>
        </w:rPr>
        <w:t xml:space="preserve"> and SBITAs</w:t>
      </w:r>
      <w:r w:rsidRPr="00EC0ECA">
        <w:rPr>
          <w:rFonts w:eastAsia="Times New Roman" w:cstheme="minorHAnsi"/>
          <w:b/>
          <w:spacing w:val="-3"/>
          <w:sz w:val="24"/>
          <w:szCs w:val="24"/>
        </w:rPr>
        <w:t xml:space="preserve">: </w:t>
      </w:r>
      <w:r w:rsidRPr="00F061E5">
        <w:rPr>
          <w:rFonts w:eastAsia="Times New Roman" w:cstheme="minorHAnsi"/>
          <w:bCs/>
          <w:spacing w:val="-3"/>
          <w:sz w:val="24"/>
          <w:szCs w:val="24"/>
        </w:rPr>
        <w:t>For leases</w:t>
      </w:r>
      <w:r w:rsidR="002144B8">
        <w:rPr>
          <w:rFonts w:eastAsia="Times New Roman" w:cstheme="minorHAnsi"/>
          <w:bCs/>
          <w:spacing w:val="-3"/>
          <w:sz w:val="24"/>
          <w:szCs w:val="24"/>
        </w:rPr>
        <w:t xml:space="preserve"> and </w:t>
      </w:r>
      <w:r w:rsidR="00421F9E">
        <w:rPr>
          <w:rFonts w:eastAsia="Times New Roman" w:cstheme="minorHAnsi"/>
          <w:bCs/>
          <w:spacing w:val="-3"/>
          <w:sz w:val="24"/>
          <w:szCs w:val="24"/>
        </w:rPr>
        <w:t xml:space="preserve">SBITAs </w:t>
      </w:r>
      <w:r w:rsidRPr="00F061E5">
        <w:rPr>
          <w:rFonts w:eastAsia="Times New Roman" w:cstheme="minorHAnsi"/>
          <w:bCs/>
          <w:spacing w:val="-3"/>
          <w:sz w:val="24"/>
          <w:szCs w:val="24"/>
        </w:rPr>
        <w:t>with a maximum possible term of 12 months or less at commencement, the System recognizes expense based on the provisions of the contract.</w:t>
      </w:r>
    </w:p>
    <w:p w14:paraId="47D4FE1F" w14:textId="1F100819" w:rsidR="00DD1612" w:rsidRPr="00F54559" w:rsidRDefault="00DD1612" w:rsidP="00DD1612">
      <w:pPr>
        <w:spacing w:after="160" w:line="259" w:lineRule="auto"/>
        <w:rPr>
          <w:noProof/>
          <w:u w:color="5B9BD5"/>
        </w:rPr>
      </w:pPr>
      <w:r w:rsidRPr="00F62FF6">
        <w:rPr>
          <w:rFonts w:eastAsia="Times New Roman" w:cstheme="minorHAnsi"/>
          <w:b/>
          <w:spacing w:val="-3"/>
          <w:sz w:val="24"/>
          <w:szCs w:val="24"/>
        </w:rPr>
        <w:t xml:space="preserve">Leases </w:t>
      </w:r>
      <w:r w:rsidR="001347EB">
        <w:rPr>
          <w:rFonts w:eastAsia="Times New Roman" w:cstheme="minorHAnsi"/>
          <w:b/>
          <w:spacing w:val="-3"/>
          <w:sz w:val="24"/>
          <w:szCs w:val="24"/>
        </w:rPr>
        <w:t xml:space="preserve">and SBITAs </w:t>
      </w:r>
      <w:r w:rsidR="00A001EB">
        <w:rPr>
          <w:rFonts w:eastAsia="Times New Roman" w:cstheme="minorHAnsi"/>
          <w:b/>
          <w:spacing w:val="-3"/>
          <w:sz w:val="24"/>
          <w:szCs w:val="24"/>
        </w:rPr>
        <w:t>O</w:t>
      </w:r>
      <w:r w:rsidR="00A001EB" w:rsidRPr="00F62FF6">
        <w:rPr>
          <w:rFonts w:eastAsia="Times New Roman" w:cstheme="minorHAnsi"/>
          <w:b/>
          <w:spacing w:val="-3"/>
          <w:sz w:val="24"/>
          <w:szCs w:val="24"/>
        </w:rPr>
        <w:t xml:space="preserve">ther </w:t>
      </w:r>
      <w:r w:rsidR="00A001EB">
        <w:rPr>
          <w:rFonts w:eastAsia="Times New Roman" w:cstheme="minorHAnsi"/>
          <w:b/>
          <w:spacing w:val="-3"/>
          <w:sz w:val="24"/>
          <w:szCs w:val="24"/>
        </w:rPr>
        <w:t>T</w:t>
      </w:r>
      <w:r w:rsidR="00A001EB" w:rsidRPr="00F62FF6">
        <w:rPr>
          <w:rFonts w:eastAsia="Times New Roman" w:cstheme="minorHAnsi"/>
          <w:b/>
          <w:spacing w:val="-3"/>
          <w:sz w:val="24"/>
          <w:szCs w:val="24"/>
        </w:rPr>
        <w:t xml:space="preserve">han </w:t>
      </w:r>
      <w:r w:rsidR="00A001EB">
        <w:rPr>
          <w:rFonts w:eastAsia="Times New Roman" w:cstheme="minorHAnsi"/>
          <w:b/>
          <w:spacing w:val="-3"/>
          <w:sz w:val="24"/>
          <w:szCs w:val="24"/>
        </w:rPr>
        <w:t>S</w:t>
      </w:r>
      <w:r w:rsidR="00A001EB" w:rsidRPr="00F62FF6">
        <w:rPr>
          <w:rFonts w:eastAsia="Times New Roman" w:cstheme="minorHAnsi"/>
          <w:b/>
          <w:spacing w:val="-3"/>
          <w:sz w:val="24"/>
          <w:szCs w:val="24"/>
        </w:rPr>
        <w:t>hort</w:t>
      </w:r>
      <w:r w:rsidRPr="00F62FF6">
        <w:rPr>
          <w:rFonts w:eastAsia="Times New Roman" w:cstheme="minorHAnsi"/>
          <w:b/>
          <w:spacing w:val="-3"/>
          <w:sz w:val="24"/>
          <w:szCs w:val="24"/>
        </w:rPr>
        <w:t>-term</w:t>
      </w:r>
      <w:r w:rsidRPr="00EC0ECA">
        <w:rPr>
          <w:rFonts w:eastAsia="Times New Roman" w:cstheme="minorHAnsi"/>
          <w:b/>
          <w:spacing w:val="-3"/>
          <w:sz w:val="24"/>
          <w:szCs w:val="24"/>
        </w:rPr>
        <w:t>:</w:t>
      </w:r>
      <w:r w:rsidRPr="00F756F0">
        <w:rPr>
          <w:rFonts w:eastAsia="Times New Roman" w:cstheme="minorHAnsi"/>
          <w:b/>
          <w:spacing w:val="-3"/>
          <w:sz w:val="24"/>
          <w:szCs w:val="24"/>
        </w:rPr>
        <w:t xml:space="preserve"> </w:t>
      </w:r>
      <w:r w:rsidRPr="00F756F0">
        <w:rPr>
          <w:rFonts w:eastAsia="Times New Roman" w:cstheme="minorHAnsi"/>
          <w:bCs/>
          <w:spacing w:val="-3"/>
          <w:sz w:val="24"/>
          <w:szCs w:val="24"/>
        </w:rPr>
        <w:t>For</w:t>
      </w:r>
      <w:r w:rsidRPr="00F061E5">
        <w:rPr>
          <w:rFonts w:eastAsia="Times New Roman" w:cstheme="minorHAnsi"/>
          <w:bCs/>
          <w:spacing w:val="-3"/>
          <w:sz w:val="24"/>
          <w:szCs w:val="24"/>
        </w:rPr>
        <w:t xml:space="preserve"> all other leases</w:t>
      </w:r>
      <w:r w:rsidR="00C447C2">
        <w:rPr>
          <w:rFonts w:eastAsia="Times New Roman" w:cstheme="minorHAnsi"/>
          <w:bCs/>
          <w:spacing w:val="-3"/>
          <w:sz w:val="24"/>
          <w:szCs w:val="24"/>
        </w:rPr>
        <w:t xml:space="preserve"> and SBITAs</w:t>
      </w:r>
      <w:r w:rsidRPr="00F061E5">
        <w:rPr>
          <w:rFonts w:eastAsia="Times New Roman" w:cstheme="minorHAnsi"/>
          <w:bCs/>
          <w:spacing w:val="-3"/>
          <w:sz w:val="24"/>
          <w:szCs w:val="24"/>
        </w:rPr>
        <w:t xml:space="preserve"> (i.e. those that are not short-term), the System recognizes a</w:t>
      </w:r>
      <w:r w:rsidR="001347EB">
        <w:rPr>
          <w:rFonts w:eastAsia="Times New Roman" w:cstheme="minorHAnsi"/>
          <w:bCs/>
          <w:spacing w:val="-3"/>
          <w:sz w:val="24"/>
          <w:szCs w:val="24"/>
        </w:rPr>
        <w:t>n</w:t>
      </w:r>
      <w:r w:rsidRPr="00F061E5">
        <w:rPr>
          <w:rFonts w:eastAsia="Times New Roman" w:cstheme="minorHAnsi"/>
          <w:bCs/>
          <w:spacing w:val="-3"/>
          <w:sz w:val="24"/>
          <w:szCs w:val="24"/>
        </w:rPr>
        <w:t xml:space="preserve"> </w:t>
      </w:r>
      <w:r w:rsidR="001347EB">
        <w:rPr>
          <w:rFonts w:eastAsia="Times New Roman" w:cstheme="minorHAnsi"/>
          <w:bCs/>
          <w:spacing w:val="-3"/>
          <w:sz w:val="24"/>
          <w:szCs w:val="24"/>
        </w:rPr>
        <w:t>obligation for right of use assets</w:t>
      </w:r>
      <w:r w:rsidRPr="00F061E5">
        <w:rPr>
          <w:rFonts w:eastAsia="Times New Roman" w:cstheme="minorHAnsi"/>
          <w:bCs/>
          <w:spacing w:val="-3"/>
          <w:sz w:val="24"/>
          <w:szCs w:val="24"/>
        </w:rPr>
        <w:t xml:space="preserve"> and an intangible right</w:t>
      </w:r>
      <w:r>
        <w:rPr>
          <w:rFonts w:eastAsia="Times New Roman" w:cstheme="minorHAnsi"/>
          <w:bCs/>
          <w:spacing w:val="-3"/>
          <w:sz w:val="24"/>
          <w:szCs w:val="24"/>
        </w:rPr>
        <w:t xml:space="preserve"> of </w:t>
      </w:r>
      <w:r w:rsidRPr="00F061E5">
        <w:rPr>
          <w:rFonts w:eastAsia="Times New Roman" w:cstheme="minorHAnsi"/>
          <w:bCs/>
          <w:spacing w:val="-3"/>
          <w:sz w:val="24"/>
          <w:szCs w:val="24"/>
        </w:rPr>
        <w:t>use asset</w:t>
      </w:r>
      <w:r>
        <w:rPr>
          <w:rFonts w:eastAsia="Times New Roman" w:cstheme="minorHAnsi"/>
          <w:bCs/>
          <w:spacing w:val="-3"/>
          <w:sz w:val="24"/>
          <w:szCs w:val="24"/>
        </w:rPr>
        <w:t xml:space="preserve"> </w:t>
      </w:r>
      <w:r w:rsidR="00E23ABC">
        <w:rPr>
          <w:rFonts w:eastAsia="Times New Roman" w:cstheme="minorHAnsi"/>
          <w:bCs/>
          <w:spacing w:val="-3"/>
          <w:sz w:val="24"/>
          <w:szCs w:val="24"/>
        </w:rPr>
        <w:t xml:space="preserve">as a lessee </w:t>
      </w:r>
      <w:r>
        <w:rPr>
          <w:rFonts w:eastAsia="Times New Roman" w:cstheme="minorHAnsi"/>
          <w:bCs/>
          <w:spacing w:val="-3"/>
          <w:sz w:val="24"/>
          <w:szCs w:val="24"/>
        </w:rPr>
        <w:t xml:space="preserve">or a lease </w:t>
      </w:r>
      <w:r w:rsidRPr="00F061E5">
        <w:rPr>
          <w:rFonts w:eastAsia="Times New Roman" w:cstheme="minorHAnsi"/>
          <w:bCs/>
          <w:spacing w:val="-3"/>
          <w:sz w:val="24"/>
          <w:szCs w:val="24"/>
        </w:rPr>
        <w:t xml:space="preserve">receivable and </w:t>
      </w:r>
      <w:r>
        <w:rPr>
          <w:rFonts w:eastAsia="Times New Roman" w:cstheme="minorHAnsi"/>
          <w:bCs/>
          <w:spacing w:val="-3"/>
          <w:sz w:val="24"/>
          <w:szCs w:val="24"/>
        </w:rPr>
        <w:t>deferred inflow of resources</w:t>
      </w:r>
      <w:r w:rsidR="00E23ABC">
        <w:rPr>
          <w:rFonts w:eastAsia="Times New Roman" w:cstheme="minorHAnsi"/>
          <w:bCs/>
          <w:spacing w:val="-3"/>
          <w:sz w:val="24"/>
          <w:szCs w:val="24"/>
        </w:rPr>
        <w:t xml:space="preserve"> as a lessor</w:t>
      </w:r>
      <w:r>
        <w:rPr>
          <w:rFonts w:eastAsia="Times New Roman" w:cstheme="minorHAnsi"/>
          <w:bCs/>
          <w:spacing w:val="-3"/>
          <w:sz w:val="24"/>
          <w:szCs w:val="24"/>
        </w:rPr>
        <w:t>.</w:t>
      </w:r>
    </w:p>
    <w:p w14:paraId="5125B631" w14:textId="0F01B213" w:rsidR="00DD1612" w:rsidRPr="00562440" w:rsidRDefault="00DD1612" w:rsidP="00DD1612">
      <w:pPr>
        <w:tabs>
          <w:tab w:val="left" w:pos="1440"/>
          <w:tab w:val="left" w:pos="5040"/>
        </w:tabs>
        <w:suppressAutoHyphens/>
        <w:spacing w:after="160"/>
        <w:rPr>
          <w:rFonts w:eastAsia="Times New Roman" w:cstheme="minorHAnsi"/>
          <w:bCs/>
          <w:spacing w:val="-3"/>
          <w:sz w:val="24"/>
          <w:szCs w:val="24"/>
        </w:rPr>
      </w:pPr>
      <w:r w:rsidRPr="00F62FF6">
        <w:rPr>
          <w:rFonts w:eastAsia="Times New Roman" w:cstheme="minorHAnsi"/>
          <w:b/>
          <w:spacing w:val="-3"/>
          <w:sz w:val="24"/>
          <w:szCs w:val="24"/>
        </w:rPr>
        <w:t xml:space="preserve">Measurement of Lease </w:t>
      </w:r>
      <w:r w:rsidR="00872B65">
        <w:rPr>
          <w:rFonts w:eastAsia="Times New Roman" w:cstheme="minorHAnsi"/>
          <w:b/>
          <w:spacing w:val="-3"/>
          <w:sz w:val="24"/>
          <w:szCs w:val="24"/>
        </w:rPr>
        <w:t xml:space="preserve">and SBITA </w:t>
      </w:r>
      <w:r w:rsidR="003E72E3">
        <w:rPr>
          <w:rFonts w:eastAsia="Times New Roman" w:cstheme="minorHAnsi"/>
          <w:b/>
          <w:spacing w:val="-3"/>
          <w:sz w:val="24"/>
          <w:szCs w:val="24"/>
        </w:rPr>
        <w:t xml:space="preserve">Amounts: </w:t>
      </w:r>
      <w:r w:rsidRPr="00562440">
        <w:rPr>
          <w:rFonts w:eastAsia="Times New Roman" w:cstheme="minorHAnsi"/>
          <w:bCs/>
          <w:spacing w:val="-3"/>
          <w:sz w:val="24"/>
          <w:szCs w:val="24"/>
        </w:rPr>
        <w:t xml:space="preserve">At </w:t>
      </w:r>
      <w:r w:rsidR="00872B65">
        <w:rPr>
          <w:rFonts w:eastAsia="Times New Roman" w:cstheme="minorHAnsi"/>
          <w:bCs/>
          <w:spacing w:val="-3"/>
          <w:sz w:val="24"/>
          <w:szCs w:val="24"/>
        </w:rPr>
        <w:t>lease</w:t>
      </w:r>
      <w:r w:rsidR="002144B8">
        <w:rPr>
          <w:rFonts w:eastAsia="Times New Roman" w:cstheme="minorHAnsi"/>
          <w:bCs/>
          <w:spacing w:val="-3"/>
          <w:sz w:val="24"/>
          <w:szCs w:val="24"/>
        </w:rPr>
        <w:t xml:space="preserve"> or </w:t>
      </w:r>
      <w:r w:rsidR="00872B65">
        <w:rPr>
          <w:rFonts w:eastAsia="Times New Roman" w:cstheme="minorHAnsi"/>
          <w:bCs/>
          <w:spacing w:val="-3"/>
          <w:sz w:val="24"/>
          <w:szCs w:val="24"/>
        </w:rPr>
        <w:t xml:space="preserve">SBITA </w:t>
      </w:r>
      <w:r w:rsidRPr="00562440">
        <w:rPr>
          <w:rFonts w:eastAsia="Times New Roman" w:cstheme="minorHAnsi"/>
          <w:bCs/>
          <w:spacing w:val="-3"/>
          <w:sz w:val="24"/>
          <w:szCs w:val="24"/>
        </w:rPr>
        <w:t>commencement, the System initially measures the liability or receivable at the present value of payments expected to be made during the term. Subsequently, the lease</w:t>
      </w:r>
      <w:r w:rsidR="002144B8">
        <w:rPr>
          <w:rFonts w:eastAsia="Times New Roman" w:cstheme="minorHAnsi"/>
          <w:bCs/>
          <w:spacing w:val="-3"/>
          <w:sz w:val="24"/>
          <w:szCs w:val="24"/>
        </w:rPr>
        <w:t xml:space="preserve"> or </w:t>
      </w:r>
      <w:r w:rsidR="00872B65">
        <w:rPr>
          <w:rFonts w:eastAsia="Times New Roman" w:cstheme="minorHAnsi"/>
          <w:bCs/>
          <w:spacing w:val="-3"/>
          <w:sz w:val="24"/>
          <w:szCs w:val="24"/>
        </w:rPr>
        <w:t>SBITA</w:t>
      </w:r>
      <w:r w:rsidRPr="00562440">
        <w:rPr>
          <w:rFonts w:eastAsia="Times New Roman" w:cstheme="minorHAnsi"/>
          <w:bCs/>
          <w:spacing w:val="-3"/>
          <w:sz w:val="24"/>
          <w:szCs w:val="24"/>
        </w:rPr>
        <w:t xml:space="preserve"> liability is reduced by the principal portion of payments made</w:t>
      </w:r>
      <w:r w:rsidRPr="00F62FF6">
        <w:rPr>
          <w:rFonts w:eastAsia="Times New Roman" w:cstheme="minorHAnsi"/>
          <w:bCs/>
          <w:spacing w:val="-3"/>
          <w:sz w:val="24"/>
          <w:szCs w:val="24"/>
        </w:rPr>
        <w:t xml:space="preserve"> and the underlying asset is amortized on a straight-line basis over the shorter of the lease</w:t>
      </w:r>
      <w:r w:rsidR="002144B8">
        <w:rPr>
          <w:rFonts w:eastAsia="Times New Roman" w:cstheme="minorHAnsi"/>
          <w:bCs/>
          <w:spacing w:val="-3"/>
          <w:sz w:val="24"/>
          <w:szCs w:val="24"/>
        </w:rPr>
        <w:t xml:space="preserve"> or </w:t>
      </w:r>
      <w:r w:rsidR="00872B65">
        <w:rPr>
          <w:rFonts w:eastAsia="Times New Roman" w:cstheme="minorHAnsi"/>
          <w:bCs/>
          <w:spacing w:val="-3"/>
          <w:sz w:val="24"/>
          <w:szCs w:val="24"/>
        </w:rPr>
        <w:t>SBITA</w:t>
      </w:r>
      <w:r w:rsidRPr="00F62FF6">
        <w:rPr>
          <w:rFonts w:eastAsia="Times New Roman" w:cstheme="minorHAnsi"/>
          <w:bCs/>
          <w:spacing w:val="-3"/>
          <w:sz w:val="24"/>
          <w:szCs w:val="24"/>
        </w:rPr>
        <w:t xml:space="preserve"> term or the useful life of the </w:t>
      </w:r>
      <w:r w:rsidRPr="006042C4">
        <w:rPr>
          <w:rFonts w:eastAsia="Times New Roman" w:cstheme="minorHAnsi"/>
          <w:bCs/>
          <w:spacing w:val="-3"/>
          <w:sz w:val="24"/>
          <w:szCs w:val="24"/>
        </w:rPr>
        <w:t xml:space="preserve">underlying asset. </w:t>
      </w:r>
      <w:r w:rsidRPr="00562440">
        <w:rPr>
          <w:rFonts w:eastAsia="Times New Roman" w:cstheme="minorHAnsi"/>
          <w:bCs/>
          <w:spacing w:val="-3"/>
          <w:sz w:val="24"/>
          <w:szCs w:val="24"/>
        </w:rPr>
        <w:t xml:space="preserve">The lease </w:t>
      </w:r>
      <w:r w:rsidRPr="00F62FF6">
        <w:rPr>
          <w:rFonts w:eastAsia="Times New Roman" w:cstheme="minorHAnsi"/>
          <w:bCs/>
          <w:spacing w:val="-3"/>
          <w:sz w:val="24"/>
          <w:szCs w:val="24"/>
        </w:rPr>
        <w:t>receivable</w:t>
      </w:r>
      <w:r w:rsidRPr="006042C4">
        <w:rPr>
          <w:rFonts w:eastAsia="Times New Roman" w:cstheme="minorHAnsi"/>
          <w:bCs/>
          <w:spacing w:val="-3"/>
          <w:sz w:val="24"/>
          <w:szCs w:val="24"/>
        </w:rPr>
        <w:t xml:space="preserve"> </w:t>
      </w:r>
      <w:r w:rsidRPr="00562440">
        <w:rPr>
          <w:rFonts w:eastAsia="Times New Roman" w:cstheme="minorHAnsi"/>
          <w:bCs/>
          <w:spacing w:val="-3"/>
          <w:sz w:val="24"/>
          <w:szCs w:val="24"/>
        </w:rPr>
        <w:t xml:space="preserve">is </w:t>
      </w:r>
      <w:r w:rsidRPr="00F62FF6">
        <w:rPr>
          <w:rFonts w:eastAsia="Times New Roman" w:cstheme="minorHAnsi"/>
          <w:bCs/>
          <w:spacing w:val="-3"/>
          <w:sz w:val="24"/>
          <w:szCs w:val="24"/>
        </w:rPr>
        <w:t xml:space="preserve">reduced by </w:t>
      </w:r>
      <w:r>
        <w:rPr>
          <w:rFonts w:eastAsia="Times New Roman" w:cstheme="minorHAnsi"/>
          <w:bCs/>
          <w:spacing w:val="-3"/>
          <w:sz w:val="24"/>
          <w:szCs w:val="24"/>
        </w:rPr>
        <w:t xml:space="preserve">the principal portion of </w:t>
      </w:r>
      <w:r w:rsidRPr="00F62FF6">
        <w:rPr>
          <w:rFonts w:eastAsia="Times New Roman" w:cstheme="minorHAnsi"/>
          <w:bCs/>
          <w:spacing w:val="-3"/>
          <w:sz w:val="24"/>
          <w:szCs w:val="24"/>
        </w:rPr>
        <w:t>payments received and the related deferred inflows are amortized</w:t>
      </w:r>
      <w:r>
        <w:rPr>
          <w:rFonts w:eastAsia="Times New Roman" w:cstheme="minorHAnsi"/>
          <w:bCs/>
          <w:spacing w:val="-3"/>
          <w:sz w:val="24"/>
          <w:szCs w:val="24"/>
        </w:rPr>
        <w:t xml:space="preserve"> under the interest method</w:t>
      </w:r>
      <w:r w:rsidRPr="00F62FF6">
        <w:rPr>
          <w:rFonts w:eastAsia="Times New Roman" w:cstheme="minorHAnsi"/>
          <w:bCs/>
          <w:spacing w:val="-3"/>
          <w:sz w:val="24"/>
          <w:szCs w:val="24"/>
        </w:rPr>
        <w:t xml:space="preserve"> to recognize rental revenue. </w:t>
      </w:r>
    </w:p>
    <w:p w14:paraId="1257C704" w14:textId="77777777" w:rsidR="003C5BB9" w:rsidRDefault="003C5BB9">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62B18164" w14:textId="3B10E617" w:rsidR="003C5BB9" w:rsidRPr="009C66AE" w:rsidRDefault="003C5BB9" w:rsidP="003C5BB9">
      <w:pPr>
        <w:spacing w:after="160" w:line="259" w:lineRule="auto"/>
        <w:rPr>
          <w:rFonts w:eastAsiaTheme="majorEastAsia" w:cstheme="minorHAnsi"/>
          <w:b/>
          <w:i/>
          <w:iCs/>
          <w:smallCaps/>
          <w:noProof/>
          <w:color w:val="000000" w:themeColor="text1"/>
          <w:sz w:val="26"/>
          <w:szCs w:val="26"/>
          <w:u w:color="5B9BD5"/>
        </w:rPr>
      </w:pPr>
      <w:r w:rsidRPr="009C66AE">
        <w:rPr>
          <w:rFonts w:eastAsiaTheme="majorEastAsia" w:cstheme="minorHAnsi"/>
          <w:b/>
          <w:i/>
          <w:iCs/>
          <w:smallCaps/>
          <w:noProof/>
          <w:color w:val="000000" w:themeColor="text1"/>
          <w:sz w:val="26"/>
          <w:szCs w:val="26"/>
          <w:u w:color="5B9BD5"/>
        </w:rPr>
        <w:lastRenderedPageBreak/>
        <w:t>1. SIGNIFICANT ACCOUNTING POLICIES - CONTINUED</w:t>
      </w:r>
    </w:p>
    <w:p w14:paraId="4861FC42" w14:textId="79C69BF3" w:rsidR="00DD1612" w:rsidRPr="009C66AE" w:rsidRDefault="00DD1612" w:rsidP="0002675C">
      <w:pPr>
        <w:tabs>
          <w:tab w:val="left" w:pos="1440"/>
          <w:tab w:val="left" w:pos="5040"/>
        </w:tabs>
        <w:suppressAutoHyphens/>
        <w:spacing w:after="120"/>
        <w:rPr>
          <w:rFonts w:cstheme="minorHAnsi"/>
          <w:bCs/>
          <w:spacing w:val="-3"/>
        </w:rPr>
      </w:pPr>
      <w:r w:rsidRPr="00F62FF6">
        <w:rPr>
          <w:rFonts w:eastAsia="Times New Roman" w:cstheme="minorHAnsi"/>
          <w:b/>
          <w:spacing w:val="-3"/>
          <w:sz w:val="24"/>
          <w:szCs w:val="24"/>
        </w:rPr>
        <w:t>Key Estimates and Judgments</w:t>
      </w:r>
      <w:r w:rsidR="003E72E3">
        <w:rPr>
          <w:rFonts w:eastAsia="Times New Roman" w:cstheme="minorHAnsi"/>
          <w:b/>
          <w:spacing w:val="-3"/>
          <w:sz w:val="24"/>
          <w:szCs w:val="24"/>
        </w:rPr>
        <w:t xml:space="preserve">: </w:t>
      </w:r>
      <w:r w:rsidRPr="00F446DD">
        <w:rPr>
          <w:rFonts w:eastAsia="Times New Roman" w:cstheme="minorHAnsi"/>
          <w:bCs/>
          <w:spacing w:val="-3"/>
          <w:sz w:val="24"/>
          <w:szCs w:val="24"/>
        </w:rPr>
        <w:t>Key estimates and judgments include how the System determines</w:t>
      </w:r>
      <w:r w:rsidR="003619EF" w:rsidRPr="006219DC">
        <w:rPr>
          <w:rFonts w:eastAsia="Times New Roman" w:cstheme="minorHAnsi"/>
          <w:bCs/>
          <w:spacing w:val="-3"/>
          <w:sz w:val="24"/>
          <w:szCs w:val="24"/>
        </w:rPr>
        <w:t xml:space="preserve"> </w:t>
      </w:r>
      <w:r w:rsidRPr="006219DC">
        <w:rPr>
          <w:rFonts w:eastAsia="Times New Roman" w:cstheme="minorHAnsi"/>
          <w:bCs/>
          <w:spacing w:val="-3"/>
          <w:sz w:val="24"/>
          <w:szCs w:val="24"/>
        </w:rPr>
        <w:t>the discount rate it uses to calculate the present value of the expected lease</w:t>
      </w:r>
      <w:r w:rsidR="002144B8" w:rsidRPr="006219DC">
        <w:rPr>
          <w:rFonts w:eastAsia="Times New Roman" w:cstheme="minorHAnsi"/>
          <w:bCs/>
          <w:spacing w:val="-3"/>
          <w:sz w:val="24"/>
          <w:szCs w:val="24"/>
        </w:rPr>
        <w:t xml:space="preserve"> or </w:t>
      </w:r>
      <w:r w:rsidR="00872B65" w:rsidRPr="006219DC">
        <w:rPr>
          <w:rFonts w:eastAsia="Times New Roman" w:cstheme="minorHAnsi"/>
          <w:bCs/>
          <w:spacing w:val="-3"/>
          <w:sz w:val="24"/>
          <w:szCs w:val="24"/>
        </w:rPr>
        <w:t>SBITA</w:t>
      </w:r>
      <w:r w:rsidRPr="006219DC">
        <w:rPr>
          <w:rFonts w:eastAsia="Times New Roman" w:cstheme="minorHAnsi"/>
          <w:bCs/>
          <w:spacing w:val="-3"/>
          <w:sz w:val="24"/>
          <w:szCs w:val="24"/>
        </w:rPr>
        <w:t xml:space="preserve"> payments</w:t>
      </w:r>
      <w:r w:rsidR="00757930" w:rsidRPr="006219DC">
        <w:rPr>
          <w:rFonts w:eastAsia="Times New Roman" w:cstheme="minorHAnsi"/>
          <w:bCs/>
          <w:spacing w:val="-3"/>
          <w:sz w:val="24"/>
          <w:szCs w:val="24"/>
        </w:rPr>
        <w:t>.</w:t>
      </w:r>
      <w:r w:rsidR="002144B8" w:rsidRPr="0002675C">
        <w:rPr>
          <w:rFonts w:cstheme="minorHAnsi"/>
          <w:bCs/>
          <w:spacing w:val="-3"/>
          <w:sz w:val="24"/>
          <w:szCs w:val="24"/>
        </w:rPr>
        <w:t xml:space="preserve"> </w:t>
      </w:r>
      <w:r w:rsidRPr="0002675C">
        <w:rPr>
          <w:rFonts w:cstheme="minorHAnsi"/>
          <w:bCs/>
          <w:spacing w:val="-3"/>
          <w:sz w:val="24"/>
          <w:szCs w:val="24"/>
        </w:rPr>
        <w:t>The System generally uses its estimated incremental borrowing rate as the discount rate for lease</w:t>
      </w:r>
      <w:r w:rsidR="00222FA8" w:rsidRPr="0002675C">
        <w:rPr>
          <w:rFonts w:cstheme="minorHAnsi"/>
          <w:bCs/>
          <w:spacing w:val="-3"/>
          <w:sz w:val="24"/>
          <w:szCs w:val="24"/>
        </w:rPr>
        <w:t xml:space="preserve"> and </w:t>
      </w:r>
      <w:r w:rsidR="00872B65" w:rsidRPr="0002675C">
        <w:rPr>
          <w:rFonts w:cstheme="minorHAnsi"/>
          <w:bCs/>
          <w:spacing w:val="-3"/>
          <w:sz w:val="24"/>
          <w:szCs w:val="24"/>
        </w:rPr>
        <w:t>SBITA</w:t>
      </w:r>
      <w:r w:rsidRPr="0002675C">
        <w:rPr>
          <w:rFonts w:cstheme="minorHAnsi"/>
          <w:bCs/>
          <w:spacing w:val="-3"/>
          <w:sz w:val="24"/>
          <w:szCs w:val="24"/>
        </w:rPr>
        <w:t xml:space="preserve"> arrangements unless the rate that the lessor/vendor charges is known.</w:t>
      </w:r>
      <w:r w:rsidRPr="00F62FF6">
        <w:rPr>
          <w:rFonts w:cstheme="minorHAnsi"/>
          <w:bCs/>
          <w:spacing w:val="-3"/>
        </w:rPr>
        <w:t xml:space="preserve"> </w:t>
      </w:r>
    </w:p>
    <w:p w14:paraId="7A613B39" w14:textId="3B8F370E" w:rsidR="00DD1612" w:rsidRPr="00F62FF6" w:rsidRDefault="00DD1612" w:rsidP="00DD1612">
      <w:pPr>
        <w:pStyle w:val="ListParagraph"/>
        <w:numPr>
          <w:ilvl w:val="0"/>
          <w:numId w:val="26"/>
        </w:numPr>
        <w:tabs>
          <w:tab w:val="left" w:pos="1440"/>
          <w:tab w:val="left" w:pos="5040"/>
        </w:tabs>
        <w:suppressAutoHyphens/>
        <w:contextualSpacing w:val="0"/>
        <w:rPr>
          <w:rFonts w:cstheme="minorHAnsi"/>
          <w:bCs/>
          <w:spacing w:val="-3"/>
        </w:rPr>
      </w:pPr>
      <w:r w:rsidRPr="00F62FF6">
        <w:rPr>
          <w:rFonts w:asciiTheme="minorHAnsi" w:hAnsiTheme="minorHAnsi" w:cstheme="minorHAnsi"/>
          <w:bCs/>
          <w:spacing w:val="-3"/>
        </w:rPr>
        <w:t>The lease</w:t>
      </w:r>
      <w:r w:rsidR="002144B8">
        <w:rPr>
          <w:rFonts w:asciiTheme="minorHAnsi" w:hAnsiTheme="minorHAnsi" w:cstheme="minorHAnsi"/>
          <w:bCs/>
          <w:spacing w:val="-3"/>
        </w:rPr>
        <w:t xml:space="preserve"> or </w:t>
      </w:r>
      <w:r w:rsidR="00CF30C5">
        <w:rPr>
          <w:rFonts w:asciiTheme="minorHAnsi" w:hAnsiTheme="minorHAnsi" w:cstheme="minorHAnsi"/>
          <w:bCs/>
          <w:spacing w:val="-3"/>
        </w:rPr>
        <w:t>SBITA</w:t>
      </w:r>
      <w:r w:rsidRPr="00F62FF6">
        <w:rPr>
          <w:rFonts w:asciiTheme="minorHAnsi" w:hAnsiTheme="minorHAnsi" w:cstheme="minorHAnsi"/>
          <w:bCs/>
          <w:spacing w:val="-3"/>
        </w:rPr>
        <w:t xml:space="preserve"> term includes the noncancelable period of the lease</w:t>
      </w:r>
      <w:r w:rsidR="002144B8">
        <w:rPr>
          <w:rFonts w:asciiTheme="minorHAnsi" w:hAnsiTheme="minorHAnsi" w:cstheme="minorHAnsi"/>
          <w:bCs/>
          <w:spacing w:val="-3"/>
        </w:rPr>
        <w:t xml:space="preserve"> or SBITA</w:t>
      </w:r>
      <w:r w:rsidRPr="00F62FF6">
        <w:rPr>
          <w:rFonts w:asciiTheme="minorHAnsi" w:hAnsiTheme="minorHAnsi" w:cstheme="minorHAnsi"/>
          <w:bCs/>
          <w:spacing w:val="-3"/>
        </w:rPr>
        <w:t xml:space="preserve"> arrangement plus any additional periods covered by either the System or lessor</w:t>
      </w:r>
      <w:r w:rsidR="00757930">
        <w:rPr>
          <w:rFonts w:asciiTheme="minorHAnsi" w:hAnsiTheme="minorHAnsi" w:cstheme="minorHAnsi"/>
          <w:bCs/>
          <w:spacing w:val="-3"/>
        </w:rPr>
        <w:t>/vendor</w:t>
      </w:r>
      <w:r w:rsidRPr="00F62FF6">
        <w:rPr>
          <w:rFonts w:asciiTheme="minorHAnsi" w:hAnsiTheme="minorHAnsi" w:cstheme="minorHAnsi"/>
          <w:bCs/>
          <w:spacing w:val="-3"/>
        </w:rPr>
        <w:t xml:space="preserve"> option to (1) extend for which it is reasonably certain to be exercised, or (2) terminate for which it is reasonably certain not to be exercised. Periods in which both the System and the lessor/vendor have a unilateral option to terminate (or if both parties </w:t>
      </w:r>
      <w:proofErr w:type="gramStart"/>
      <w:r w:rsidRPr="00F62FF6">
        <w:rPr>
          <w:rFonts w:asciiTheme="minorHAnsi" w:hAnsiTheme="minorHAnsi" w:cstheme="minorHAnsi"/>
          <w:bCs/>
          <w:spacing w:val="-3"/>
        </w:rPr>
        <w:t>have to</w:t>
      </w:r>
      <w:proofErr w:type="gramEnd"/>
      <w:r w:rsidRPr="00F62FF6">
        <w:rPr>
          <w:rFonts w:asciiTheme="minorHAnsi" w:hAnsiTheme="minorHAnsi" w:cstheme="minorHAnsi"/>
          <w:bCs/>
          <w:spacing w:val="-3"/>
        </w:rPr>
        <w:t xml:space="preserve"> agree to extend) are excluded from the lease</w:t>
      </w:r>
      <w:r w:rsidR="002144B8">
        <w:rPr>
          <w:rFonts w:asciiTheme="minorHAnsi" w:hAnsiTheme="minorHAnsi" w:cstheme="minorHAnsi"/>
          <w:bCs/>
          <w:spacing w:val="-3"/>
        </w:rPr>
        <w:t xml:space="preserve"> or SBITA</w:t>
      </w:r>
      <w:r w:rsidRPr="00F62FF6">
        <w:rPr>
          <w:rFonts w:asciiTheme="minorHAnsi" w:hAnsiTheme="minorHAnsi" w:cstheme="minorHAnsi"/>
          <w:bCs/>
          <w:spacing w:val="-3"/>
        </w:rPr>
        <w:t xml:space="preserve"> term.</w:t>
      </w:r>
    </w:p>
    <w:p w14:paraId="7F29E59A" w14:textId="27F778F0" w:rsidR="00DD1612" w:rsidRPr="00F62FF6" w:rsidRDefault="00DD1612" w:rsidP="00DD1612">
      <w:pPr>
        <w:pStyle w:val="ListParagraph"/>
        <w:numPr>
          <w:ilvl w:val="0"/>
          <w:numId w:val="25"/>
        </w:numPr>
        <w:tabs>
          <w:tab w:val="left" w:pos="1440"/>
          <w:tab w:val="left" w:pos="5040"/>
        </w:tabs>
        <w:suppressAutoHyphens/>
        <w:rPr>
          <w:rFonts w:asciiTheme="minorHAnsi" w:hAnsiTheme="minorHAnsi" w:cstheme="minorHAnsi"/>
          <w:bCs/>
          <w:spacing w:val="-3"/>
        </w:rPr>
      </w:pPr>
      <w:r w:rsidRPr="00F62FF6">
        <w:rPr>
          <w:rFonts w:asciiTheme="minorHAnsi" w:hAnsiTheme="minorHAnsi" w:cstheme="minorHAnsi"/>
          <w:bCs/>
          <w:spacing w:val="-3"/>
        </w:rPr>
        <w:t>Payments are evaluated by the System to determine if they should be included in the measurement of the lease</w:t>
      </w:r>
      <w:r w:rsidR="002144B8">
        <w:rPr>
          <w:rFonts w:asciiTheme="minorHAnsi" w:hAnsiTheme="minorHAnsi" w:cstheme="minorHAnsi"/>
          <w:bCs/>
          <w:spacing w:val="-3"/>
        </w:rPr>
        <w:t xml:space="preserve"> or </w:t>
      </w:r>
      <w:r w:rsidR="00CF30C5">
        <w:rPr>
          <w:rFonts w:asciiTheme="minorHAnsi" w:hAnsiTheme="minorHAnsi" w:cstheme="minorHAnsi"/>
          <w:bCs/>
          <w:spacing w:val="-3"/>
        </w:rPr>
        <w:t>SBITA</w:t>
      </w:r>
      <w:r w:rsidRPr="00F62FF6">
        <w:rPr>
          <w:rFonts w:asciiTheme="minorHAnsi" w:hAnsiTheme="minorHAnsi" w:cstheme="minorHAnsi"/>
          <w:bCs/>
          <w:spacing w:val="-3"/>
        </w:rPr>
        <w:t xml:space="preserve"> liabilities, including those payments that require a determination of whether they are reasonably certain of being made, such as residual value guarantees, purchase options, payments for termination penalties, and other payments.</w:t>
      </w:r>
    </w:p>
    <w:p w14:paraId="055A345E" w14:textId="77777777" w:rsidR="00DD1612" w:rsidRPr="00BC4804" w:rsidRDefault="00DD1612" w:rsidP="00DD1612">
      <w:pPr>
        <w:tabs>
          <w:tab w:val="left" w:pos="1440"/>
          <w:tab w:val="left" w:pos="5040"/>
        </w:tabs>
        <w:suppressAutoHyphens/>
        <w:rPr>
          <w:rFonts w:eastAsia="Times New Roman" w:cstheme="minorHAnsi"/>
          <w:bCs/>
          <w:color w:val="FF0000"/>
          <w:spacing w:val="-3"/>
          <w:sz w:val="24"/>
          <w:szCs w:val="24"/>
        </w:rPr>
      </w:pPr>
    </w:p>
    <w:p w14:paraId="7097B185" w14:textId="0D16ED0E" w:rsidR="00DD1612" w:rsidRPr="00F061E5" w:rsidRDefault="00DD1612" w:rsidP="00DD1612">
      <w:pPr>
        <w:tabs>
          <w:tab w:val="left" w:pos="1440"/>
          <w:tab w:val="left" w:pos="5040"/>
        </w:tabs>
        <w:suppressAutoHyphens/>
        <w:spacing w:after="120"/>
        <w:rPr>
          <w:rFonts w:eastAsia="Times New Roman" w:cstheme="minorHAnsi"/>
          <w:bCs/>
          <w:spacing w:val="-3"/>
          <w:sz w:val="24"/>
          <w:szCs w:val="24"/>
        </w:rPr>
      </w:pPr>
      <w:r w:rsidRPr="00F62FF6">
        <w:rPr>
          <w:rFonts w:eastAsia="Times New Roman" w:cstheme="minorHAnsi"/>
          <w:b/>
          <w:spacing w:val="-3"/>
          <w:sz w:val="24"/>
          <w:szCs w:val="24"/>
        </w:rPr>
        <w:t>Remeasurement of Lease</w:t>
      </w:r>
      <w:r w:rsidR="002144B8">
        <w:rPr>
          <w:rFonts w:eastAsia="Times New Roman" w:cstheme="minorHAnsi"/>
          <w:b/>
          <w:spacing w:val="-3"/>
          <w:sz w:val="24"/>
          <w:szCs w:val="24"/>
        </w:rPr>
        <w:t xml:space="preserve"> and </w:t>
      </w:r>
      <w:r w:rsidR="00CF30C5">
        <w:rPr>
          <w:rFonts w:eastAsia="Times New Roman" w:cstheme="minorHAnsi"/>
          <w:b/>
          <w:spacing w:val="-3"/>
          <w:sz w:val="24"/>
          <w:szCs w:val="24"/>
        </w:rPr>
        <w:t>SBITA</w:t>
      </w:r>
      <w:r w:rsidRPr="00F62FF6">
        <w:rPr>
          <w:rFonts w:eastAsia="Times New Roman" w:cstheme="minorHAnsi"/>
          <w:b/>
          <w:spacing w:val="-3"/>
          <w:sz w:val="24"/>
          <w:szCs w:val="24"/>
        </w:rPr>
        <w:t xml:space="preserve"> Amounts: </w:t>
      </w:r>
      <w:r w:rsidRPr="00F061E5">
        <w:rPr>
          <w:rFonts w:eastAsia="Times New Roman" w:cstheme="minorHAnsi"/>
          <w:bCs/>
          <w:spacing w:val="-3"/>
          <w:sz w:val="24"/>
          <w:szCs w:val="24"/>
        </w:rPr>
        <w:t>The System monitors changes in circumstances that may require remeasurement of a lease</w:t>
      </w:r>
      <w:r w:rsidR="002144B8">
        <w:rPr>
          <w:rFonts w:eastAsia="Times New Roman" w:cstheme="minorHAnsi"/>
          <w:bCs/>
          <w:spacing w:val="-3"/>
          <w:sz w:val="24"/>
          <w:szCs w:val="24"/>
        </w:rPr>
        <w:t xml:space="preserve"> or </w:t>
      </w:r>
      <w:r w:rsidR="00CF30C5">
        <w:rPr>
          <w:rFonts w:eastAsia="Times New Roman" w:cstheme="minorHAnsi"/>
          <w:bCs/>
          <w:spacing w:val="-3"/>
          <w:sz w:val="24"/>
          <w:szCs w:val="24"/>
        </w:rPr>
        <w:t>SBITA</w:t>
      </w:r>
      <w:r w:rsidRPr="00F061E5">
        <w:rPr>
          <w:rFonts w:eastAsia="Times New Roman" w:cstheme="minorHAnsi"/>
          <w:bCs/>
          <w:spacing w:val="-3"/>
          <w:sz w:val="24"/>
          <w:szCs w:val="24"/>
        </w:rPr>
        <w:t xml:space="preserve"> arrangement. When certain changes occur that are expected to significantly affect the amount of the lease</w:t>
      </w:r>
      <w:r w:rsidR="002144B8">
        <w:rPr>
          <w:rFonts w:eastAsia="Times New Roman" w:cstheme="minorHAnsi"/>
          <w:bCs/>
          <w:spacing w:val="-3"/>
          <w:sz w:val="24"/>
          <w:szCs w:val="24"/>
        </w:rPr>
        <w:t xml:space="preserve"> or SBITA</w:t>
      </w:r>
      <w:r w:rsidRPr="00F061E5">
        <w:rPr>
          <w:rFonts w:eastAsia="Times New Roman" w:cstheme="minorHAnsi"/>
          <w:bCs/>
          <w:spacing w:val="-3"/>
          <w:sz w:val="24"/>
          <w:szCs w:val="24"/>
        </w:rPr>
        <w:t xml:space="preserve"> liability, the liability is </w:t>
      </w:r>
      <w:proofErr w:type="gramStart"/>
      <w:r w:rsidRPr="00F061E5">
        <w:rPr>
          <w:rFonts w:eastAsia="Times New Roman" w:cstheme="minorHAnsi"/>
          <w:bCs/>
          <w:spacing w:val="-3"/>
          <w:sz w:val="24"/>
          <w:szCs w:val="24"/>
        </w:rPr>
        <w:t>remeasured</w:t>
      </w:r>
      <w:proofErr w:type="gramEnd"/>
      <w:r w:rsidRPr="00F061E5">
        <w:rPr>
          <w:rFonts w:eastAsia="Times New Roman" w:cstheme="minorHAnsi"/>
          <w:bCs/>
          <w:spacing w:val="-3"/>
          <w:sz w:val="24"/>
          <w:szCs w:val="24"/>
        </w:rPr>
        <w:t xml:space="preserve"> and a corresponding adjustment is made to the </w:t>
      </w:r>
      <w:r w:rsidR="002144B8">
        <w:rPr>
          <w:rFonts w:eastAsia="Times New Roman" w:cstheme="minorHAnsi"/>
          <w:bCs/>
          <w:spacing w:val="-3"/>
          <w:sz w:val="24"/>
          <w:szCs w:val="24"/>
        </w:rPr>
        <w:t xml:space="preserve">right of use </w:t>
      </w:r>
      <w:r w:rsidRPr="00F061E5">
        <w:rPr>
          <w:rFonts w:eastAsia="Times New Roman" w:cstheme="minorHAnsi"/>
          <w:bCs/>
          <w:spacing w:val="-3"/>
          <w:sz w:val="24"/>
          <w:szCs w:val="24"/>
        </w:rPr>
        <w:t>asset.</w:t>
      </w:r>
    </w:p>
    <w:p w14:paraId="06821E13" w14:textId="77777777" w:rsidR="00DD1612" w:rsidRPr="00A43D2F" w:rsidRDefault="00DD1612" w:rsidP="00DD1612">
      <w:pPr>
        <w:tabs>
          <w:tab w:val="left" w:pos="1440"/>
          <w:tab w:val="left" w:pos="5040"/>
        </w:tabs>
        <w:suppressAutoHyphens/>
        <w:spacing w:before="240"/>
        <w:rPr>
          <w:rFonts w:cstheme="minorHAnsi"/>
          <w:b/>
          <w:i/>
          <w:sz w:val="26"/>
          <w:szCs w:val="26"/>
          <w:u w:val="single"/>
        </w:rPr>
      </w:pPr>
      <w:r w:rsidRPr="00A43D2F">
        <w:rPr>
          <w:rFonts w:cstheme="minorHAnsi"/>
          <w:b/>
          <w:i/>
          <w:sz w:val="26"/>
          <w:szCs w:val="26"/>
          <w:u w:val="single"/>
        </w:rPr>
        <w:t>l. Irrevocable Split-Interest Agreements</w:t>
      </w:r>
    </w:p>
    <w:p w14:paraId="48C881F7" w14:textId="75706D7E" w:rsidR="00DD1612" w:rsidRPr="00F54559" w:rsidRDefault="00DD1612" w:rsidP="00DD1612">
      <w:pPr>
        <w:pStyle w:val="ReportHeading3"/>
        <w:spacing w:before="240"/>
        <w:rPr>
          <w:rFonts w:eastAsia="Times New Roman" w:cstheme="minorHAnsi"/>
          <w:b w:val="0"/>
          <w:i w:val="0"/>
          <w:color w:val="000000"/>
          <w:sz w:val="24"/>
          <w:szCs w:val="20"/>
          <w:u w:val="none"/>
        </w:rPr>
      </w:pPr>
      <w:r w:rsidRPr="00F54559">
        <w:rPr>
          <w:rFonts w:eastAsia="Times New Roman" w:cstheme="minorHAnsi"/>
          <w:b w:val="0"/>
          <w:i w:val="0"/>
          <w:color w:val="000000"/>
          <w:sz w:val="24"/>
          <w:szCs w:val="20"/>
          <w:u w:val="none"/>
        </w:rPr>
        <w:t>The System’s irrevocable split-interest agreements consist of the System’s remainder interest i</w:t>
      </w:r>
      <w:r w:rsidR="00541C5C">
        <w:rPr>
          <w:rFonts w:eastAsia="Times New Roman" w:cstheme="minorHAnsi"/>
          <w:b w:val="0"/>
          <w:i w:val="0"/>
          <w:color w:val="000000"/>
          <w:sz w:val="24"/>
          <w:szCs w:val="20"/>
          <w:u w:val="none"/>
        </w:rPr>
        <w:t>n trusts held by third parties.</w:t>
      </w:r>
      <w:r w:rsidRPr="00F54559">
        <w:rPr>
          <w:rFonts w:eastAsia="Times New Roman" w:cstheme="minorHAnsi"/>
          <w:b w:val="0"/>
          <w:i w:val="0"/>
          <w:color w:val="000000"/>
          <w:sz w:val="24"/>
          <w:szCs w:val="20"/>
          <w:u w:val="none"/>
        </w:rPr>
        <w:t xml:space="preserve"> The System reports these irrevocable split-interest agreements as assets and deferred inflows of resources when it becomes aware of the agreement and has sufficient information to me</w:t>
      </w:r>
      <w:r w:rsidR="00CC75CB">
        <w:rPr>
          <w:rFonts w:eastAsia="Times New Roman" w:cstheme="minorHAnsi"/>
          <w:b w:val="0"/>
          <w:i w:val="0"/>
          <w:color w:val="000000"/>
          <w:sz w:val="24"/>
          <w:szCs w:val="20"/>
          <w:u w:val="none"/>
        </w:rPr>
        <w:t>asure its beneficial interest.</w:t>
      </w:r>
      <w:r w:rsidRPr="00F54559">
        <w:rPr>
          <w:rFonts w:eastAsia="Times New Roman" w:cstheme="minorHAnsi"/>
          <w:b w:val="0"/>
          <w:i w:val="0"/>
          <w:color w:val="000000"/>
          <w:sz w:val="24"/>
          <w:szCs w:val="20"/>
          <w:u w:val="none"/>
        </w:rPr>
        <w:t xml:space="preserve"> The System recognizes the annual change in the fair values of the split interest agreements as an increase or decrease in the asset and the related deferred inflows of resources. The System will recognize revenue at the termination of the agreement, as stipulated in the irrevocable split-interest agreement</w:t>
      </w:r>
      <w:r w:rsidR="00541C5C">
        <w:rPr>
          <w:rFonts w:eastAsia="Times New Roman" w:cstheme="minorHAnsi"/>
          <w:b w:val="0"/>
          <w:i w:val="0"/>
          <w:color w:val="000000"/>
          <w:sz w:val="24"/>
          <w:szCs w:val="20"/>
          <w:u w:val="none"/>
        </w:rPr>
        <w:t xml:space="preserve">. </w:t>
      </w:r>
      <w:r w:rsidRPr="00F54559">
        <w:rPr>
          <w:rFonts w:eastAsia="Times New Roman" w:cstheme="minorHAnsi"/>
          <w:b w:val="0"/>
          <w:i w:val="0"/>
          <w:color w:val="000000"/>
          <w:sz w:val="24"/>
          <w:szCs w:val="20"/>
          <w:u w:val="none"/>
        </w:rPr>
        <w:t>Also, at the termination of the agreement, the split-interest asset and the related deferred inflow of resources will be eliminated.</w:t>
      </w:r>
    </w:p>
    <w:p w14:paraId="4F2EAA02" w14:textId="77777777" w:rsidR="00DD1612" w:rsidRPr="00F54559" w:rsidRDefault="00DD1612" w:rsidP="00DD1612">
      <w:pPr>
        <w:pStyle w:val="ReportHeading3"/>
        <w:spacing w:before="240"/>
        <w:rPr>
          <w:rFonts w:cstheme="minorHAnsi"/>
        </w:rPr>
      </w:pPr>
      <w:r>
        <w:rPr>
          <w:rFonts w:cstheme="minorHAnsi"/>
        </w:rPr>
        <w:t>m</w:t>
      </w:r>
      <w:r w:rsidRPr="00474E99">
        <w:rPr>
          <w:rFonts w:cstheme="minorHAnsi"/>
        </w:rPr>
        <w:t>. Unearned</w:t>
      </w:r>
      <w:r w:rsidRPr="00F54559">
        <w:rPr>
          <w:rFonts w:cstheme="minorHAnsi"/>
        </w:rPr>
        <w:t xml:space="preserve"> Revenue and Deposits</w:t>
      </w:r>
    </w:p>
    <w:p w14:paraId="5B6769AB" w14:textId="0C3FB96D" w:rsidR="00DD1612" w:rsidRDefault="00DD1612" w:rsidP="00D27FDE">
      <w:pPr>
        <w:tabs>
          <w:tab w:val="left" w:pos="0"/>
        </w:tabs>
        <w:spacing w:after="120"/>
        <w:rPr>
          <w:rFonts w:cstheme="minorHAnsi"/>
          <w:spacing w:val="-3"/>
          <w:sz w:val="24"/>
        </w:rPr>
      </w:pPr>
      <w:r w:rsidRPr="00F54559">
        <w:rPr>
          <w:rFonts w:cstheme="minorHAnsi"/>
          <w:spacing w:val="-3"/>
          <w:sz w:val="24"/>
        </w:rPr>
        <w:t>Unearned revenue and deposits in the Statements of Net Position consists primarily of grant and contract advances and deposits and advance payments received for tuition and fees related to certain summer programs and tuition received f</w:t>
      </w:r>
      <w:r w:rsidR="00541C5C">
        <w:rPr>
          <w:rFonts w:cstheme="minorHAnsi"/>
          <w:spacing w:val="-3"/>
          <w:sz w:val="24"/>
        </w:rPr>
        <w:t>or the following academic year.</w:t>
      </w:r>
      <w:r w:rsidRPr="00F54559">
        <w:rPr>
          <w:rFonts w:cstheme="minorHAnsi"/>
          <w:spacing w:val="-3"/>
          <w:sz w:val="24"/>
        </w:rPr>
        <w:t xml:space="preserve"> Unearned revenue for summer programs is presented net of </w:t>
      </w:r>
      <w:r>
        <w:rPr>
          <w:rFonts w:cstheme="minorHAnsi"/>
          <w:spacing w:val="-3"/>
          <w:sz w:val="24"/>
        </w:rPr>
        <w:t xml:space="preserve">waivers. Other expenses </w:t>
      </w:r>
      <w:r w:rsidRPr="00F54559">
        <w:rPr>
          <w:rFonts w:cstheme="minorHAnsi"/>
          <w:spacing w:val="-3"/>
          <w:sz w:val="24"/>
        </w:rPr>
        <w:t xml:space="preserve">related </w:t>
      </w:r>
      <w:r>
        <w:rPr>
          <w:rFonts w:cstheme="minorHAnsi"/>
          <w:spacing w:val="-3"/>
          <w:sz w:val="24"/>
        </w:rPr>
        <w:t>to unearned revenue for summer programs are presented as prepaids in the Statements of Net Position</w:t>
      </w:r>
      <w:r w:rsidRPr="00F54559">
        <w:rPr>
          <w:rFonts w:cstheme="minorHAnsi"/>
          <w:spacing w:val="-3"/>
          <w:sz w:val="24"/>
        </w:rPr>
        <w:t xml:space="preserve"> (e.g., </w:t>
      </w:r>
      <w:r>
        <w:rPr>
          <w:rFonts w:cstheme="minorHAnsi"/>
          <w:spacing w:val="-3"/>
          <w:sz w:val="24"/>
        </w:rPr>
        <w:t>scholarships, supplies</w:t>
      </w:r>
      <w:r w:rsidRPr="00F54559">
        <w:rPr>
          <w:rFonts w:cstheme="minorHAnsi"/>
          <w:spacing w:val="-3"/>
          <w:sz w:val="24"/>
        </w:rPr>
        <w:t>).</w:t>
      </w:r>
    </w:p>
    <w:p w14:paraId="03B93071" w14:textId="77777777" w:rsidR="00D65299" w:rsidRDefault="00D65299" w:rsidP="00D27FDE">
      <w:pPr>
        <w:tabs>
          <w:tab w:val="left" w:pos="0"/>
        </w:tabs>
        <w:spacing w:after="120"/>
        <w:rPr>
          <w:rFonts w:cstheme="minorHAnsi"/>
          <w:b/>
          <w:i/>
          <w:sz w:val="26"/>
          <w:u w:val="single" w:color="000000" w:themeColor="text1"/>
        </w:rPr>
      </w:pPr>
    </w:p>
    <w:p w14:paraId="294DB3A4" w14:textId="77777777" w:rsidR="00DD1612" w:rsidRPr="00782F42" w:rsidRDefault="00DD1612" w:rsidP="00DD1612">
      <w:pPr>
        <w:pStyle w:val="AFR3"/>
        <w:rPr>
          <w:rFonts w:cstheme="minorHAnsi"/>
          <w:u w:val="none"/>
        </w:rPr>
      </w:pPr>
      <w:r w:rsidRPr="00782F42">
        <w:rPr>
          <w:rFonts w:eastAsiaTheme="majorEastAsia" w:cstheme="minorHAnsi"/>
          <w:iCs/>
          <w:smallCaps/>
          <w:noProof/>
          <w:color w:val="000000" w:themeColor="text1"/>
          <w:szCs w:val="26"/>
          <w:u w:val="none"/>
        </w:rPr>
        <w:lastRenderedPageBreak/>
        <w:t>1. SIGNIFICANT ACCOUNTING POLICIES - CONTINUED</w:t>
      </w:r>
      <w:r w:rsidRPr="00782F42">
        <w:rPr>
          <w:rFonts w:cstheme="minorHAnsi"/>
          <w:u w:val="none"/>
        </w:rPr>
        <w:t xml:space="preserve"> </w:t>
      </w:r>
    </w:p>
    <w:p w14:paraId="24F17159" w14:textId="77777777" w:rsidR="00DD1612" w:rsidRPr="00F54559" w:rsidRDefault="00DD1612" w:rsidP="00DD1612">
      <w:pPr>
        <w:pStyle w:val="AFR3"/>
        <w:rPr>
          <w:rFonts w:cstheme="minorHAnsi"/>
        </w:rPr>
      </w:pPr>
      <w:r>
        <w:rPr>
          <w:rFonts w:cstheme="minorHAnsi"/>
        </w:rPr>
        <w:t>n</w:t>
      </w:r>
      <w:r w:rsidRPr="00F54559">
        <w:rPr>
          <w:rFonts w:cstheme="minorHAnsi"/>
        </w:rPr>
        <w:t>. Compensated Absences</w:t>
      </w:r>
    </w:p>
    <w:p w14:paraId="5D9623D8" w14:textId="61FB02D4" w:rsidR="00DD1612" w:rsidRPr="00F54559" w:rsidRDefault="00DD1612" w:rsidP="00DD1612">
      <w:pPr>
        <w:tabs>
          <w:tab w:val="left" w:pos="720"/>
          <w:tab w:val="left" w:pos="1080"/>
          <w:tab w:val="left" w:pos="5040"/>
        </w:tabs>
        <w:suppressAutoHyphens/>
        <w:rPr>
          <w:rFonts w:cstheme="minorHAnsi"/>
          <w:bCs/>
          <w:spacing w:val="-3"/>
          <w:sz w:val="24"/>
        </w:rPr>
      </w:pPr>
      <w:r w:rsidRPr="00F54559">
        <w:rPr>
          <w:rFonts w:cstheme="minorHAnsi"/>
          <w:bCs/>
          <w:spacing w:val="-3"/>
          <w:sz w:val="24"/>
        </w:rPr>
        <w:t>Employees earn the right to be compensated during absences for annual vacation leave. The accompanying Statements of Net Position reflect an accrual for the amounts earned, including relate</w:t>
      </w:r>
      <w:r w:rsidR="00541C5C">
        <w:rPr>
          <w:rFonts w:cstheme="minorHAnsi"/>
          <w:bCs/>
          <w:spacing w:val="-3"/>
          <w:sz w:val="24"/>
        </w:rPr>
        <w:t xml:space="preserve">d benefits ultimately payable. </w:t>
      </w:r>
      <w:r w:rsidRPr="00F54559">
        <w:rPr>
          <w:rFonts w:cstheme="minorHAnsi"/>
          <w:bCs/>
          <w:spacing w:val="-3"/>
          <w:sz w:val="24"/>
        </w:rPr>
        <w:t>The System accounts for the vacation leave hours on a last-in, first-ou</w:t>
      </w:r>
      <w:r w:rsidR="00541C5C">
        <w:rPr>
          <w:rFonts w:cstheme="minorHAnsi"/>
          <w:bCs/>
          <w:spacing w:val="-3"/>
          <w:sz w:val="24"/>
        </w:rPr>
        <w:t xml:space="preserve">t basis. </w:t>
      </w:r>
      <w:r w:rsidRPr="00F54559">
        <w:rPr>
          <w:rFonts w:cstheme="minorHAnsi"/>
          <w:bCs/>
          <w:spacing w:val="-3"/>
          <w:sz w:val="24"/>
        </w:rPr>
        <w:t>A portion of this liability is classified as current and represents the System’s estimate of vacation time that will be paid during the next fiscal year to employees leaving the System.</w:t>
      </w:r>
    </w:p>
    <w:p w14:paraId="63E9FE5E" w14:textId="77777777" w:rsidR="00DD1612" w:rsidRPr="00F54559" w:rsidRDefault="00DD1612" w:rsidP="00DD1612">
      <w:pPr>
        <w:pStyle w:val="AFR3"/>
        <w:rPr>
          <w:rFonts w:cstheme="minorHAnsi"/>
        </w:rPr>
      </w:pPr>
      <w:r>
        <w:rPr>
          <w:rFonts w:cstheme="minorHAnsi"/>
        </w:rPr>
        <w:t>o</w:t>
      </w:r>
      <w:r w:rsidRPr="00F54559">
        <w:rPr>
          <w:rFonts w:cstheme="minorHAnsi"/>
        </w:rPr>
        <w:t>. Deferred Outflows and Deferred Inflows of Resources</w:t>
      </w:r>
    </w:p>
    <w:p w14:paraId="22D04161" w14:textId="77777777" w:rsidR="00DD1612" w:rsidRPr="00F54559" w:rsidRDefault="00DD1612" w:rsidP="00DD1612">
      <w:pPr>
        <w:tabs>
          <w:tab w:val="left" w:pos="1080"/>
          <w:tab w:val="left" w:pos="5040"/>
        </w:tabs>
        <w:suppressAutoHyphens/>
        <w:rPr>
          <w:rFonts w:cstheme="minorHAnsi"/>
          <w:bCs/>
          <w:spacing w:val="-3"/>
          <w:sz w:val="24"/>
        </w:rPr>
      </w:pPr>
      <w:r w:rsidRPr="00F54559">
        <w:rPr>
          <w:rFonts w:cstheme="minorHAnsi"/>
          <w:bCs/>
          <w:spacing w:val="-3"/>
          <w:sz w:val="24"/>
        </w:rPr>
        <w:t>Deferred outflows of resources are the consumption of assets or increase in liabilities that is applicable to future reporting periods. Deferred outflows of resources are presented separately after Total Assets in the Statements of Net Position.</w:t>
      </w:r>
    </w:p>
    <w:p w14:paraId="2A68E8ED" w14:textId="77777777" w:rsidR="00DD1612" w:rsidRPr="00F54559" w:rsidRDefault="00DD1612" w:rsidP="00DD1612">
      <w:pPr>
        <w:tabs>
          <w:tab w:val="left" w:pos="1080"/>
          <w:tab w:val="left" w:pos="5040"/>
        </w:tabs>
        <w:suppressAutoHyphens/>
        <w:rPr>
          <w:rFonts w:cstheme="minorHAnsi"/>
          <w:bCs/>
          <w:spacing w:val="-3"/>
          <w:sz w:val="24"/>
          <w:szCs w:val="20"/>
        </w:rPr>
      </w:pPr>
    </w:p>
    <w:p w14:paraId="15BC98E7" w14:textId="77777777" w:rsidR="00DD1612" w:rsidRPr="00F54559" w:rsidRDefault="00DD1612" w:rsidP="00DD1612">
      <w:pPr>
        <w:autoSpaceDE w:val="0"/>
        <w:autoSpaceDN w:val="0"/>
        <w:adjustRightInd w:val="0"/>
        <w:spacing w:after="160"/>
        <w:rPr>
          <w:rFonts w:eastAsia="Calibri" w:cstheme="minorHAnsi"/>
          <w:bCs/>
          <w:color w:val="000000"/>
          <w:spacing w:val="-3"/>
          <w:sz w:val="24"/>
          <w:szCs w:val="24"/>
        </w:rPr>
      </w:pPr>
      <w:r w:rsidRPr="00F54559">
        <w:rPr>
          <w:rFonts w:eastAsia="Calibri" w:cstheme="minorHAnsi"/>
          <w:bCs/>
          <w:color w:val="000000"/>
          <w:spacing w:val="-3"/>
          <w:sz w:val="24"/>
          <w:szCs w:val="24"/>
        </w:rPr>
        <w:t xml:space="preserve">The System’s deferred outflows consist of: </w:t>
      </w:r>
    </w:p>
    <w:p w14:paraId="7F42905C" w14:textId="35215495" w:rsidR="00DD1612" w:rsidRPr="00F54559" w:rsidRDefault="00DD1612" w:rsidP="00DD1612">
      <w:pPr>
        <w:numPr>
          <w:ilvl w:val="0"/>
          <w:numId w:val="6"/>
        </w:numPr>
        <w:autoSpaceDE w:val="0"/>
        <w:autoSpaceDN w:val="0"/>
        <w:adjustRightInd w:val="0"/>
        <w:ind w:hanging="446"/>
        <w:rPr>
          <w:rFonts w:eastAsia="Calibri" w:cstheme="minorHAnsi"/>
          <w:bCs/>
          <w:color w:val="000000"/>
          <w:spacing w:val="-3"/>
          <w:sz w:val="24"/>
        </w:rPr>
      </w:pPr>
      <w:r w:rsidRPr="00F54559">
        <w:rPr>
          <w:rFonts w:eastAsia="Calibri" w:cstheme="minorHAnsi"/>
          <w:bCs/>
          <w:color w:val="000000"/>
          <w:spacing w:val="-3"/>
          <w:sz w:val="24"/>
          <w:szCs w:val="24"/>
        </w:rPr>
        <w:t>The difference between the reacquisition price and the carrying va</w:t>
      </w:r>
      <w:r w:rsidR="00541C5C">
        <w:rPr>
          <w:rFonts w:eastAsia="Calibri" w:cstheme="minorHAnsi"/>
          <w:bCs/>
          <w:color w:val="000000"/>
          <w:spacing w:val="-3"/>
          <w:sz w:val="24"/>
          <w:szCs w:val="24"/>
        </w:rPr>
        <w:t xml:space="preserve">lue of refunded revenue bonds. </w:t>
      </w:r>
      <w:r w:rsidRPr="00F54559">
        <w:rPr>
          <w:rFonts w:eastAsia="Calibri" w:cstheme="minorHAnsi"/>
          <w:bCs/>
          <w:color w:val="000000"/>
          <w:spacing w:val="-3"/>
          <w:sz w:val="24"/>
          <w:szCs w:val="24"/>
        </w:rPr>
        <w:t xml:space="preserve">These amounts are to be recognized as a component of interest expense over the shorter of the remaining life of the refunded bonds or the life of the </w:t>
      </w:r>
      <w:r w:rsidRPr="00F54559">
        <w:rPr>
          <w:rFonts w:eastAsia="Calibri" w:cstheme="minorHAnsi"/>
          <w:bCs/>
          <w:color w:val="000000"/>
          <w:spacing w:val="-3"/>
          <w:sz w:val="24"/>
        </w:rPr>
        <w:t>new bonds.</w:t>
      </w:r>
    </w:p>
    <w:p w14:paraId="37A90D56" w14:textId="77777777" w:rsidR="00DD1612" w:rsidRPr="00F54559" w:rsidRDefault="00DD1612" w:rsidP="00DD1612">
      <w:pPr>
        <w:numPr>
          <w:ilvl w:val="0"/>
          <w:numId w:val="6"/>
        </w:numPr>
        <w:autoSpaceDE w:val="0"/>
        <w:autoSpaceDN w:val="0"/>
        <w:adjustRightInd w:val="0"/>
        <w:ind w:hanging="446"/>
        <w:rPr>
          <w:rFonts w:eastAsia="Times New Roman" w:cstheme="minorHAnsi"/>
          <w:color w:val="000000"/>
          <w:sz w:val="24"/>
        </w:rPr>
      </w:pPr>
      <w:r w:rsidRPr="00F54559">
        <w:rPr>
          <w:rFonts w:eastAsia="Times New Roman" w:cstheme="minorHAnsi"/>
          <w:color w:val="000000"/>
          <w:sz w:val="24"/>
        </w:rPr>
        <w:t>Assumption and experience changes and net investment losses that increase the pension and OPEB liabilities. These amounts are to be recognized as components of pension and postemployment health expense in future reporting periods.</w:t>
      </w:r>
    </w:p>
    <w:p w14:paraId="6B717614" w14:textId="77777777" w:rsidR="00DD1612" w:rsidRPr="00F54559" w:rsidRDefault="00DD1612" w:rsidP="00DD1612">
      <w:pPr>
        <w:tabs>
          <w:tab w:val="left" w:pos="1080"/>
          <w:tab w:val="left" w:pos="5040"/>
        </w:tabs>
        <w:suppressAutoHyphens/>
        <w:ind w:left="1080"/>
        <w:rPr>
          <w:rFonts w:cstheme="minorHAnsi"/>
          <w:bCs/>
          <w:spacing w:val="-3"/>
          <w:sz w:val="20"/>
          <w:szCs w:val="20"/>
        </w:rPr>
      </w:pPr>
    </w:p>
    <w:p w14:paraId="7ACBD54C" w14:textId="77777777" w:rsidR="00DD1612" w:rsidRPr="00F54559" w:rsidRDefault="00DD1612" w:rsidP="00DD1612">
      <w:pPr>
        <w:tabs>
          <w:tab w:val="left" w:pos="1080"/>
          <w:tab w:val="left" w:pos="5040"/>
        </w:tabs>
        <w:suppressAutoHyphens/>
        <w:rPr>
          <w:rFonts w:cstheme="minorHAnsi"/>
          <w:bCs/>
          <w:spacing w:val="-3"/>
          <w:sz w:val="24"/>
        </w:rPr>
      </w:pPr>
      <w:r w:rsidRPr="00F54559">
        <w:rPr>
          <w:rFonts w:cstheme="minorHAnsi"/>
          <w:bCs/>
          <w:spacing w:val="-3"/>
          <w:sz w:val="24"/>
        </w:rPr>
        <w:t>Deferred inflows of resources are the acquisition of assets or reduction of liabilities that is applicable to future reporting periods. Deferred inflows of resources are presented separately after Total Liabilities in the Statements of Net Position.</w:t>
      </w:r>
    </w:p>
    <w:p w14:paraId="78C2C482" w14:textId="77777777" w:rsidR="00DD1612" w:rsidRPr="00F54559" w:rsidRDefault="00DD1612" w:rsidP="00DD1612">
      <w:pPr>
        <w:rPr>
          <w:rFonts w:cstheme="minorHAnsi"/>
          <w:sz w:val="24"/>
          <w:szCs w:val="24"/>
        </w:rPr>
      </w:pPr>
    </w:p>
    <w:p w14:paraId="62F9B1D3" w14:textId="77777777" w:rsidR="00DD1612" w:rsidRDefault="00DD1612" w:rsidP="00DD1612">
      <w:pPr>
        <w:spacing w:after="160"/>
        <w:rPr>
          <w:rFonts w:cstheme="minorHAnsi"/>
          <w:sz w:val="24"/>
          <w:szCs w:val="24"/>
        </w:rPr>
      </w:pPr>
      <w:r w:rsidRPr="00F54559">
        <w:rPr>
          <w:rFonts w:cstheme="minorHAnsi"/>
          <w:sz w:val="24"/>
          <w:szCs w:val="24"/>
        </w:rPr>
        <w:t>The System’s deferred inflows of resources consist of:</w:t>
      </w:r>
    </w:p>
    <w:p w14:paraId="2027DC92" w14:textId="77777777" w:rsidR="00DD1612" w:rsidRPr="00F54559" w:rsidRDefault="00DD1612" w:rsidP="00DD1612">
      <w:pPr>
        <w:numPr>
          <w:ilvl w:val="0"/>
          <w:numId w:val="11"/>
        </w:numPr>
        <w:rPr>
          <w:rFonts w:eastAsia="Times New Roman" w:cstheme="minorHAnsi"/>
          <w:sz w:val="24"/>
          <w:szCs w:val="24"/>
        </w:rPr>
      </w:pPr>
      <w:r w:rsidRPr="00F54559">
        <w:rPr>
          <w:rFonts w:eastAsia="Times New Roman" w:cstheme="minorHAnsi"/>
          <w:color w:val="000000"/>
          <w:sz w:val="24"/>
        </w:rPr>
        <w:t>Assumption and experience changes</w:t>
      </w:r>
      <w:r w:rsidRPr="00F54559">
        <w:rPr>
          <w:rFonts w:eastAsia="Times New Roman" w:cstheme="minorHAnsi"/>
          <w:sz w:val="24"/>
          <w:szCs w:val="24"/>
        </w:rPr>
        <w:t xml:space="preserve"> and net investment gains that reduce the pension </w:t>
      </w:r>
      <w:r w:rsidRPr="00F54559">
        <w:rPr>
          <w:rFonts w:eastAsia="Times New Roman" w:cstheme="minorHAnsi"/>
          <w:color w:val="000000"/>
          <w:sz w:val="24"/>
        </w:rPr>
        <w:t>and OPEB liabilities. These amounts are</w:t>
      </w:r>
      <w:r w:rsidRPr="00F54559" w:rsidDel="00D436FC">
        <w:rPr>
          <w:rFonts w:eastAsia="Times New Roman" w:cstheme="minorHAnsi"/>
          <w:sz w:val="24"/>
          <w:szCs w:val="24"/>
        </w:rPr>
        <w:t xml:space="preserve"> </w:t>
      </w:r>
      <w:r w:rsidRPr="00F54559">
        <w:rPr>
          <w:rFonts w:eastAsia="Times New Roman" w:cstheme="minorHAnsi"/>
          <w:sz w:val="24"/>
          <w:szCs w:val="24"/>
        </w:rPr>
        <w:t>to be recognized as components</w:t>
      </w:r>
      <w:r w:rsidRPr="00F54559">
        <w:rPr>
          <w:rFonts w:eastAsia="Times New Roman" w:cstheme="minorHAnsi"/>
          <w:color w:val="000000"/>
          <w:sz w:val="24"/>
        </w:rPr>
        <w:t xml:space="preserve"> of pension and postemployment health expense in future reporting periods.</w:t>
      </w:r>
    </w:p>
    <w:p w14:paraId="6D960920" w14:textId="26E161F7" w:rsidR="00DD1612" w:rsidRPr="00F54559" w:rsidRDefault="00DD1612" w:rsidP="00DD1612">
      <w:pPr>
        <w:numPr>
          <w:ilvl w:val="0"/>
          <w:numId w:val="11"/>
        </w:numPr>
        <w:rPr>
          <w:rFonts w:eastAsia="Times New Roman" w:cstheme="minorHAnsi"/>
          <w:sz w:val="24"/>
          <w:szCs w:val="24"/>
        </w:rPr>
      </w:pPr>
      <w:r w:rsidRPr="00E97B80">
        <w:rPr>
          <w:rFonts w:eastAsia="Times New Roman" w:cstheme="minorHAnsi"/>
          <w:sz w:val="24"/>
          <w:szCs w:val="24"/>
        </w:rPr>
        <w:t>An offsetting credit to the fair value of the System’s remainder interest in irrevoca</w:t>
      </w:r>
      <w:r w:rsidR="00541C5C">
        <w:rPr>
          <w:rFonts w:eastAsia="Times New Roman" w:cstheme="minorHAnsi"/>
          <w:sz w:val="24"/>
          <w:szCs w:val="24"/>
        </w:rPr>
        <w:t xml:space="preserve">ble split-interest agreements. </w:t>
      </w:r>
      <w:r w:rsidRPr="00E97B80">
        <w:rPr>
          <w:rFonts w:eastAsia="Times New Roman" w:cstheme="minorHAnsi"/>
          <w:sz w:val="24"/>
          <w:szCs w:val="24"/>
        </w:rPr>
        <w:t>These deferrals will be recognized as gift income at the termination of the split-interest agreement.</w:t>
      </w:r>
    </w:p>
    <w:p w14:paraId="19855A38" w14:textId="1B498A57" w:rsidR="00DD1612" w:rsidRPr="00E45246" w:rsidRDefault="00DD1612" w:rsidP="001F30B7">
      <w:pPr>
        <w:numPr>
          <w:ilvl w:val="0"/>
          <w:numId w:val="11"/>
        </w:numPr>
        <w:spacing w:after="160" w:line="259" w:lineRule="auto"/>
        <w:rPr>
          <w:rFonts w:eastAsiaTheme="majorEastAsia" w:cstheme="minorHAnsi"/>
          <w:b/>
          <w:i/>
          <w:iCs/>
          <w:smallCaps/>
          <w:noProof/>
          <w:color w:val="000000" w:themeColor="text1"/>
          <w:sz w:val="26"/>
          <w:szCs w:val="26"/>
          <w:u w:color="5B9BD5"/>
        </w:rPr>
      </w:pPr>
      <w:r w:rsidRPr="00E45246">
        <w:rPr>
          <w:rFonts w:eastAsia="Times New Roman" w:cstheme="minorHAnsi"/>
          <w:sz w:val="24"/>
          <w:szCs w:val="24"/>
        </w:rPr>
        <w:t>An offsetting credit to the net present value of t</w:t>
      </w:r>
      <w:r w:rsidR="00541C5C">
        <w:rPr>
          <w:rFonts w:eastAsia="Times New Roman" w:cstheme="minorHAnsi"/>
          <w:sz w:val="24"/>
          <w:szCs w:val="24"/>
        </w:rPr>
        <w:t xml:space="preserve">he System’s lease receivables. </w:t>
      </w:r>
      <w:r w:rsidRPr="00E45246">
        <w:rPr>
          <w:rFonts w:eastAsia="Times New Roman" w:cstheme="minorHAnsi"/>
          <w:sz w:val="24"/>
          <w:szCs w:val="24"/>
        </w:rPr>
        <w:t>These amounts will be recognized as rental income over the life of the agreement.</w:t>
      </w:r>
    </w:p>
    <w:p w14:paraId="3798E120" w14:textId="77777777" w:rsidR="00DD1612" w:rsidRPr="00F54559" w:rsidRDefault="00DD1612" w:rsidP="00DD1612">
      <w:pPr>
        <w:pStyle w:val="AFR3"/>
        <w:rPr>
          <w:rFonts w:cstheme="minorHAnsi"/>
        </w:rPr>
      </w:pPr>
      <w:r>
        <w:rPr>
          <w:rFonts w:cstheme="minorHAnsi"/>
        </w:rPr>
        <w:t>p</w:t>
      </w:r>
      <w:r w:rsidRPr="00F54559">
        <w:rPr>
          <w:rFonts w:cstheme="minorHAnsi"/>
        </w:rPr>
        <w:t>. Net Student Fees</w:t>
      </w:r>
    </w:p>
    <w:p w14:paraId="7F014F0E" w14:textId="49A6E9C4" w:rsidR="00DD1612" w:rsidRDefault="00DD1612" w:rsidP="00DD1612">
      <w:pPr>
        <w:tabs>
          <w:tab w:val="left" w:pos="900"/>
          <w:tab w:val="left" w:pos="1440"/>
          <w:tab w:val="left" w:pos="5040"/>
        </w:tabs>
        <w:suppressAutoHyphens/>
        <w:rPr>
          <w:rFonts w:eastAsia="Times New Roman" w:cstheme="minorHAnsi"/>
          <w:spacing w:val="-3"/>
          <w:sz w:val="24"/>
          <w:szCs w:val="24"/>
        </w:rPr>
      </w:pPr>
      <w:r w:rsidRPr="00F54559">
        <w:rPr>
          <w:rFonts w:eastAsia="Times New Roman" w:cstheme="minorHAnsi"/>
          <w:spacing w:val="-3"/>
          <w:sz w:val="24"/>
          <w:szCs w:val="24"/>
        </w:rPr>
        <w:t xml:space="preserve">Student tuition, dining, residence, and other fees are presented net of scholarships and fellowships </w:t>
      </w:r>
      <w:r w:rsidR="00541C5C">
        <w:rPr>
          <w:rFonts w:eastAsia="Times New Roman" w:cstheme="minorHAnsi"/>
          <w:spacing w:val="-3"/>
          <w:sz w:val="24"/>
          <w:szCs w:val="24"/>
        </w:rPr>
        <w:t xml:space="preserve">applied to students’ accounts. </w:t>
      </w:r>
      <w:r w:rsidRPr="00F54559">
        <w:rPr>
          <w:rFonts w:eastAsia="Times New Roman" w:cstheme="minorHAnsi"/>
          <w:spacing w:val="-3"/>
          <w:sz w:val="24"/>
          <w:szCs w:val="24"/>
        </w:rPr>
        <w:t>Certain other scholarship amounts are paid directly to, or refunded to, the student and are generally reflected as student aid expense.</w:t>
      </w:r>
    </w:p>
    <w:p w14:paraId="721A65C1" w14:textId="1F694BAC" w:rsidR="00E45246" w:rsidRDefault="00E45246" w:rsidP="00DD1612">
      <w:pPr>
        <w:tabs>
          <w:tab w:val="left" w:pos="900"/>
          <w:tab w:val="left" w:pos="1440"/>
          <w:tab w:val="left" w:pos="5040"/>
        </w:tabs>
        <w:suppressAutoHyphens/>
        <w:rPr>
          <w:rFonts w:eastAsia="Times New Roman" w:cstheme="minorHAnsi"/>
          <w:spacing w:val="-3"/>
          <w:sz w:val="24"/>
          <w:szCs w:val="24"/>
        </w:rPr>
      </w:pPr>
    </w:p>
    <w:p w14:paraId="3074EE6B" w14:textId="77777777" w:rsidR="00E45246" w:rsidRPr="009A718B" w:rsidRDefault="00E45246" w:rsidP="00E45246">
      <w:pPr>
        <w:spacing w:after="160"/>
        <w:rPr>
          <w:rFonts w:eastAsiaTheme="majorEastAsia" w:cstheme="minorHAnsi"/>
          <w:b/>
          <w:i/>
          <w:iCs/>
          <w:smallCaps/>
          <w:noProof/>
          <w:color w:val="000000" w:themeColor="text1"/>
          <w:sz w:val="26"/>
          <w:szCs w:val="26"/>
          <w:u w:color="5B9BD5"/>
        </w:rPr>
      </w:pPr>
      <w:r w:rsidRPr="009A718B">
        <w:rPr>
          <w:rFonts w:eastAsiaTheme="majorEastAsia" w:cstheme="minorHAnsi"/>
          <w:b/>
          <w:i/>
          <w:iCs/>
          <w:smallCaps/>
          <w:noProof/>
          <w:color w:val="000000" w:themeColor="text1"/>
          <w:sz w:val="26"/>
          <w:szCs w:val="26"/>
          <w:u w:color="5B9BD5"/>
        </w:rPr>
        <w:lastRenderedPageBreak/>
        <w:t>1. SIGNIFICANT ACCOUNTING POLICIES - CONTINUED</w:t>
      </w:r>
    </w:p>
    <w:p w14:paraId="7042C265" w14:textId="77777777" w:rsidR="00DD1612" w:rsidRPr="00F54559" w:rsidRDefault="00DD1612" w:rsidP="00DD1612">
      <w:pPr>
        <w:pStyle w:val="AFR3"/>
        <w:rPr>
          <w:rFonts w:cstheme="minorHAnsi"/>
        </w:rPr>
      </w:pPr>
      <w:r>
        <w:rPr>
          <w:rFonts w:cstheme="minorHAnsi"/>
        </w:rPr>
        <w:t>q</w:t>
      </w:r>
      <w:r w:rsidRPr="00F54559">
        <w:rPr>
          <w:rFonts w:cstheme="minorHAnsi"/>
        </w:rPr>
        <w:t>. Tax Status</w:t>
      </w:r>
    </w:p>
    <w:p w14:paraId="4C2895B3" w14:textId="003092E7" w:rsidR="00DD1612" w:rsidRPr="00F54559" w:rsidRDefault="00DD1612" w:rsidP="00DD1612">
      <w:pPr>
        <w:rPr>
          <w:rFonts w:cstheme="minorHAnsi"/>
          <w:sz w:val="24"/>
        </w:rPr>
      </w:pPr>
      <w:r w:rsidRPr="00F54559">
        <w:rPr>
          <w:rFonts w:cstheme="minorHAnsi"/>
          <w:sz w:val="24"/>
        </w:rPr>
        <w:t>The System is exempt from income taxes under Section 115 of the Internal Revenue Code (“the Co</w:t>
      </w:r>
      <w:r w:rsidR="00541C5C">
        <w:rPr>
          <w:rFonts w:cstheme="minorHAnsi"/>
          <w:sz w:val="24"/>
        </w:rPr>
        <w:t xml:space="preserve">de”) as a governmental entity. </w:t>
      </w:r>
      <w:r w:rsidRPr="00F54559">
        <w:rPr>
          <w:rFonts w:cstheme="minorHAnsi"/>
          <w:sz w:val="24"/>
        </w:rPr>
        <w:t>It is also recognized by the Internal Revenue Service as an organization described in Section 501(c)(3) of the Code.</w:t>
      </w:r>
    </w:p>
    <w:p w14:paraId="4C03DB5A" w14:textId="77777777" w:rsidR="00DD1612" w:rsidRPr="00F54559" w:rsidRDefault="00DD1612" w:rsidP="00DD1612">
      <w:pPr>
        <w:pStyle w:val="AFR3"/>
        <w:rPr>
          <w:rFonts w:cstheme="minorHAnsi"/>
        </w:rPr>
      </w:pPr>
      <w:r>
        <w:rPr>
          <w:rFonts w:cstheme="minorHAnsi"/>
        </w:rPr>
        <w:t>r</w:t>
      </w:r>
      <w:r w:rsidRPr="00F54559">
        <w:rPr>
          <w:rFonts w:cstheme="minorHAnsi"/>
        </w:rPr>
        <w:t>. Use of Estimates</w:t>
      </w:r>
    </w:p>
    <w:p w14:paraId="4B02F80B" w14:textId="10725C0F" w:rsidR="00DD1612" w:rsidRDefault="00DD1612" w:rsidP="00DD1612">
      <w:pPr>
        <w:tabs>
          <w:tab w:val="left" w:pos="1440"/>
          <w:tab w:val="left" w:pos="1848"/>
          <w:tab w:val="left" w:pos="5040"/>
          <w:tab w:val="right" w:pos="7260"/>
        </w:tabs>
        <w:suppressAutoHyphens/>
        <w:rPr>
          <w:rFonts w:cstheme="minorHAnsi"/>
          <w:spacing w:val="-3"/>
          <w:sz w:val="24"/>
        </w:rPr>
      </w:pPr>
      <w:r w:rsidRPr="00F54559">
        <w:rPr>
          <w:rFonts w:cstheme="minorHAnsi"/>
          <w:spacing w:val="-3"/>
          <w:sz w:val="24"/>
        </w:rPr>
        <w:t xml:space="preserve">The preparation of financial statements in conformity with U.S. </w:t>
      </w:r>
      <w:r w:rsidRPr="00F54559">
        <w:rPr>
          <w:rFonts w:cstheme="minorHAnsi"/>
          <w:sz w:val="24"/>
        </w:rPr>
        <w:t>GAAP</w:t>
      </w:r>
      <w:r w:rsidRPr="00F54559">
        <w:rPr>
          <w:rFonts w:cstheme="minorHAnsi"/>
          <w:spacing w:val="-3"/>
          <w:sz w:val="24"/>
        </w:rPr>
        <w:t xml:space="preserve"> requires management to make estimates and assumptions that affect the reported amounts of assets and liabilities and disclosures of contingent assets and liabilities at the dates of the financial statements and the reported amounts of revenues and expenses</w:t>
      </w:r>
      <w:r w:rsidR="00541C5C">
        <w:rPr>
          <w:rFonts w:cstheme="minorHAnsi"/>
          <w:spacing w:val="-3"/>
          <w:sz w:val="24"/>
        </w:rPr>
        <w:t xml:space="preserve"> during the reporting periods. </w:t>
      </w:r>
      <w:r w:rsidRPr="00F54559">
        <w:rPr>
          <w:rFonts w:cstheme="minorHAnsi"/>
          <w:spacing w:val="-3"/>
          <w:sz w:val="24"/>
        </w:rPr>
        <w:t xml:space="preserve">The most significant estimates in the financial statements include liabilities for self-insured plans, pension and other retirement benefit obligations, as well as allowances </w:t>
      </w:r>
      <w:r w:rsidR="00541C5C">
        <w:rPr>
          <w:rFonts w:cstheme="minorHAnsi"/>
          <w:spacing w:val="-3"/>
          <w:sz w:val="24"/>
        </w:rPr>
        <w:t xml:space="preserve">for uncollectible receivables. </w:t>
      </w:r>
      <w:r w:rsidRPr="00F54559">
        <w:rPr>
          <w:rFonts w:cstheme="minorHAnsi"/>
          <w:spacing w:val="-3"/>
          <w:sz w:val="24"/>
        </w:rPr>
        <w:t>Actual results could differ from those estimates.</w:t>
      </w:r>
    </w:p>
    <w:p w14:paraId="64D28530" w14:textId="502EBFDB" w:rsidR="004F42E4" w:rsidRPr="00F54559" w:rsidRDefault="004F42E4" w:rsidP="004F42E4">
      <w:pPr>
        <w:pStyle w:val="AFR3"/>
        <w:rPr>
          <w:rFonts w:cstheme="minorHAnsi"/>
        </w:rPr>
      </w:pPr>
      <w:r>
        <w:rPr>
          <w:rFonts w:cstheme="minorHAnsi"/>
        </w:rPr>
        <w:t>s</w:t>
      </w:r>
      <w:r w:rsidRPr="00F54559">
        <w:rPr>
          <w:rFonts w:cstheme="minorHAnsi"/>
        </w:rPr>
        <w:t>. Reclassifications</w:t>
      </w:r>
    </w:p>
    <w:p w14:paraId="52827EB6" w14:textId="6F50F665" w:rsidR="004F42E4" w:rsidRDefault="004F42E4" w:rsidP="004F42E4">
      <w:pPr>
        <w:tabs>
          <w:tab w:val="left" w:pos="1440"/>
          <w:tab w:val="left" w:pos="1848"/>
          <w:tab w:val="left" w:pos="5040"/>
          <w:tab w:val="right" w:pos="7260"/>
        </w:tabs>
        <w:suppressAutoHyphens/>
        <w:rPr>
          <w:rFonts w:eastAsiaTheme="majorEastAsia" w:cstheme="minorHAnsi"/>
          <w:b/>
          <w:i/>
          <w:iCs/>
          <w:smallCaps/>
          <w:noProof/>
          <w:color w:val="000000" w:themeColor="text1"/>
          <w:sz w:val="26"/>
          <w:szCs w:val="26"/>
          <w:u w:color="5B9BD5"/>
        </w:rPr>
      </w:pPr>
      <w:r w:rsidRPr="00F54559">
        <w:rPr>
          <w:rFonts w:cstheme="minorHAnsi"/>
          <w:spacing w:val="-3"/>
          <w:sz w:val="24"/>
        </w:rPr>
        <w:t>Certain FY</w:t>
      </w:r>
      <w:r>
        <w:rPr>
          <w:rFonts w:cstheme="minorHAnsi"/>
          <w:spacing w:val="-3"/>
          <w:sz w:val="24"/>
        </w:rPr>
        <w:t>22</w:t>
      </w:r>
      <w:r w:rsidRPr="00F54559">
        <w:rPr>
          <w:rFonts w:cstheme="minorHAnsi"/>
          <w:spacing w:val="-3"/>
          <w:sz w:val="24"/>
        </w:rPr>
        <w:t xml:space="preserve"> items in the accompanying financial statements have been reclassified, without effect on total net position</w:t>
      </w:r>
      <w:r w:rsidR="00685604">
        <w:rPr>
          <w:rFonts w:cstheme="minorHAnsi"/>
          <w:spacing w:val="-3"/>
          <w:sz w:val="24"/>
        </w:rPr>
        <w:t>,</w:t>
      </w:r>
      <w:r w:rsidRPr="00F54559">
        <w:rPr>
          <w:rFonts w:cstheme="minorHAnsi"/>
          <w:spacing w:val="-3"/>
          <w:sz w:val="24"/>
        </w:rPr>
        <w:t xml:space="preserve"> to conform </w:t>
      </w:r>
      <w:r w:rsidR="00222FA8">
        <w:rPr>
          <w:rFonts w:cstheme="minorHAnsi"/>
          <w:spacing w:val="-3"/>
          <w:sz w:val="24"/>
        </w:rPr>
        <w:t xml:space="preserve">with GASB No. 94 by reclassifying service concession arrangements from deferred </w:t>
      </w:r>
      <w:r w:rsidR="00685604">
        <w:rPr>
          <w:rFonts w:cstheme="minorHAnsi"/>
          <w:spacing w:val="-3"/>
          <w:sz w:val="24"/>
        </w:rPr>
        <w:t xml:space="preserve">inflows of resources </w:t>
      </w:r>
      <w:r w:rsidR="00222FA8">
        <w:rPr>
          <w:rFonts w:cstheme="minorHAnsi"/>
          <w:spacing w:val="-3"/>
          <w:sz w:val="24"/>
        </w:rPr>
        <w:t xml:space="preserve">to </w:t>
      </w:r>
      <w:r w:rsidR="00685604">
        <w:rPr>
          <w:rFonts w:cstheme="minorHAnsi"/>
          <w:spacing w:val="-3"/>
          <w:sz w:val="24"/>
        </w:rPr>
        <w:t xml:space="preserve">current and noncurrent </w:t>
      </w:r>
      <w:r w:rsidR="00222FA8">
        <w:rPr>
          <w:rFonts w:cstheme="minorHAnsi"/>
          <w:spacing w:val="-3"/>
          <w:sz w:val="24"/>
        </w:rPr>
        <w:t xml:space="preserve">unearned revenue; and </w:t>
      </w:r>
      <w:r w:rsidR="00222FA8" w:rsidRPr="00F54559">
        <w:rPr>
          <w:rFonts w:cstheme="minorHAnsi"/>
          <w:spacing w:val="-3"/>
          <w:sz w:val="24"/>
        </w:rPr>
        <w:t xml:space="preserve">to </w:t>
      </w:r>
      <w:r w:rsidR="00222FA8">
        <w:rPr>
          <w:rFonts w:cstheme="minorHAnsi"/>
          <w:spacing w:val="-3"/>
          <w:sz w:val="24"/>
        </w:rPr>
        <w:t xml:space="preserve">conform to the </w:t>
      </w:r>
      <w:r w:rsidR="00222FA8" w:rsidRPr="00F54559">
        <w:rPr>
          <w:rFonts w:cstheme="minorHAnsi"/>
          <w:spacing w:val="-3"/>
          <w:sz w:val="24"/>
        </w:rPr>
        <w:t>FY</w:t>
      </w:r>
      <w:r w:rsidR="00222FA8">
        <w:rPr>
          <w:rFonts w:cstheme="minorHAnsi"/>
          <w:spacing w:val="-3"/>
          <w:sz w:val="24"/>
        </w:rPr>
        <w:t>23</w:t>
      </w:r>
      <w:r w:rsidR="00222FA8" w:rsidRPr="00F54559">
        <w:rPr>
          <w:rFonts w:cstheme="minorHAnsi"/>
          <w:spacing w:val="-3"/>
          <w:sz w:val="24"/>
        </w:rPr>
        <w:t xml:space="preserve"> presentation</w:t>
      </w:r>
      <w:r w:rsidR="00222FA8">
        <w:rPr>
          <w:rFonts w:cstheme="minorHAnsi"/>
          <w:spacing w:val="-3"/>
          <w:sz w:val="24"/>
        </w:rPr>
        <w:t xml:space="preserve"> by reclassifying </w:t>
      </w:r>
      <w:r w:rsidR="00685604">
        <w:rPr>
          <w:rFonts w:cstheme="minorHAnsi"/>
          <w:spacing w:val="-3"/>
          <w:sz w:val="24"/>
        </w:rPr>
        <w:t>Lease L</w:t>
      </w:r>
      <w:r w:rsidR="00222FA8">
        <w:rPr>
          <w:rFonts w:cstheme="minorHAnsi"/>
          <w:spacing w:val="-3"/>
          <w:sz w:val="24"/>
        </w:rPr>
        <w:t xml:space="preserve">iabilities </w:t>
      </w:r>
      <w:r w:rsidR="00685604">
        <w:rPr>
          <w:rFonts w:cstheme="minorHAnsi"/>
          <w:spacing w:val="-3"/>
          <w:sz w:val="24"/>
        </w:rPr>
        <w:t>in</w:t>
      </w:r>
      <w:r w:rsidR="00222FA8">
        <w:rPr>
          <w:rFonts w:cstheme="minorHAnsi"/>
          <w:spacing w:val="-3"/>
          <w:sz w:val="24"/>
        </w:rPr>
        <w:t xml:space="preserve"> the Statements of Net Position to Obligations </w:t>
      </w:r>
      <w:r w:rsidR="00685604">
        <w:rPr>
          <w:rFonts w:cstheme="minorHAnsi"/>
          <w:spacing w:val="-3"/>
          <w:sz w:val="24"/>
        </w:rPr>
        <w:t>for R</w:t>
      </w:r>
      <w:r w:rsidR="00222FA8">
        <w:rPr>
          <w:rFonts w:cstheme="minorHAnsi"/>
          <w:spacing w:val="-3"/>
          <w:sz w:val="24"/>
        </w:rPr>
        <w:t xml:space="preserve">ight of </w:t>
      </w:r>
      <w:r w:rsidR="00685604">
        <w:rPr>
          <w:rFonts w:cstheme="minorHAnsi"/>
          <w:spacing w:val="-3"/>
          <w:sz w:val="24"/>
        </w:rPr>
        <w:t>U</w:t>
      </w:r>
      <w:r w:rsidR="00222FA8">
        <w:rPr>
          <w:rFonts w:cstheme="minorHAnsi"/>
          <w:spacing w:val="-3"/>
          <w:sz w:val="24"/>
        </w:rPr>
        <w:t xml:space="preserve">se </w:t>
      </w:r>
      <w:r w:rsidR="00685604">
        <w:rPr>
          <w:rFonts w:cstheme="minorHAnsi"/>
          <w:spacing w:val="-3"/>
          <w:sz w:val="24"/>
        </w:rPr>
        <w:t>A</w:t>
      </w:r>
      <w:r w:rsidR="00222FA8">
        <w:rPr>
          <w:rFonts w:cstheme="minorHAnsi"/>
          <w:spacing w:val="-3"/>
          <w:sz w:val="24"/>
        </w:rPr>
        <w:t>ssets.</w:t>
      </w:r>
      <w:r>
        <w:rPr>
          <w:rFonts w:cstheme="minorHAnsi"/>
          <w:spacing w:val="-3"/>
          <w:sz w:val="24"/>
        </w:rPr>
        <w:t xml:space="preserve"> </w:t>
      </w:r>
    </w:p>
    <w:p w14:paraId="4BF28A7F" w14:textId="77777777" w:rsidR="00DD1612" w:rsidRPr="00F54559" w:rsidRDefault="00DD1612" w:rsidP="00DD1612">
      <w:pPr>
        <w:pStyle w:val="AFR2"/>
        <w:rPr>
          <w:rFonts w:cstheme="minorHAnsi"/>
          <w:sz w:val="26"/>
          <w:szCs w:val="26"/>
        </w:rPr>
      </w:pPr>
      <w:r w:rsidRPr="00F54559">
        <w:rPr>
          <w:rFonts w:cstheme="minorHAnsi"/>
          <w:sz w:val="26"/>
          <w:szCs w:val="26"/>
        </w:rPr>
        <w:t>2. CASH AND CASH EQUIVALENTS</w:t>
      </w:r>
    </w:p>
    <w:p w14:paraId="32B8156F" w14:textId="6F420C9C" w:rsidR="00DD1612" w:rsidRPr="00F54559" w:rsidRDefault="00DD1612" w:rsidP="00DD1612">
      <w:pPr>
        <w:tabs>
          <w:tab w:val="left" w:pos="720"/>
          <w:tab w:val="left" w:pos="1440"/>
          <w:tab w:val="left" w:pos="5040"/>
        </w:tabs>
        <w:suppressAutoHyphens/>
        <w:rPr>
          <w:rFonts w:eastAsiaTheme="majorEastAsia" w:cstheme="minorHAnsi"/>
          <w:b/>
          <w:i/>
          <w:iCs/>
          <w:smallCaps/>
          <w:noProof/>
          <w:color w:val="000000" w:themeColor="text1"/>
          <w:sz w:val="24"/>
          <w:szCs w:val="28"/>
          <w:u w:color="5B9BD5"/>
        </w:rPr>
      </w:pPr>
      <w:r w:rsidRPr="00F54559">
        <w:rPr>
          <w:rFonts w:cstheme="minorHAnsi"/>
          <w:sz w:val="24"/>
        </w:rPr>
        <w:t>Custodial credit risk is the risk that in the event of bank failure, the System’s deposits</w:t>
      </w:r>
      <w:r>
        <w:rPr>
          <w:rFonts w:cstheme="minorHAnsi"/>
          <w:sz w:val="24"/>
        </w:rPr>
        <w:t>, including those held in a fiduciary capacity,</w:t>
      </w:r>
      <w:r w:rsidRPr="00F54559">
        <w:rPr>
          <w:rFonts w:cstheme="minorHAnsi"/>
          <w:sz w:val="24"/>
        </w:rPr>
        <w:t xml:space="preserve"> may not be returned. Deposits are considered uninsured if they are not covered by depository insurance and are (a) uncollateralized, (b) collateralized with securities held by the pledging financial institution, or (c) collateralized with securities held by the pledging financial institution’s trust department or age</w:t>
      </w:r>
      <w:r w:rsidR="00541C5C">
        <w:rPr>
          <w:rFonts w:cstheme="minorHAnsi"/>
          <w:sz w:val="24"/>
        </w:rPr>
        <w:t>nt but not in the System’s name.</w:t>
      </w:r>
      <w:r w:rsidRPr="00F54559">
        <w:rPr>
          <w:rFonts w:cstheme="minorHAnsi"/>
          <w:sz w:val="24"/>
        </w:rPr>
        <w:t xml:space="preserve"> The System’s policy is that with the exception of daily operating cash, it will carry no deposits that are </w:t>
      </w:r>
      <w:r w:rsidR="00541C5C">
        <w:rPr>
          <w:rFonts w:cstheme="minorHAnsi"/>
          <w:sz w:val="24"/>
        </w:rPr>
        <w:t xml:space="preserve">uncollateralized or uninsured. </w:t>
      </w:r>
      <w:r w:rsidRPr="00F54559">
        <w:rPr>
          <w:rFonts w:cstheme="minorHAnsi"/>
          <w:sz w:val="24"/>
        </w:rPr>
        <w:t xml:space="preserve">As of June 30, </w:t>
      </w:r>
      <w:r w:rsidR="004F42E4" w:rsidRPr="00F54559">
        <w:rPr>
          <w:rFonts w:cstheme="minorHAnsi"/>
          <w:sz w:val="24"/>
        </w:rPr>
        <w:t>20</w:t>
      </w:r>
      <w:r w:rsidR="004F42E4">
        <w:rPr>
          <w:rFonts w:cstheme="minorHAnsi"/>
          <w:sz w:val="24"/>
        </w:rPr>
        <w:t>23</w:t>
      </w:r>
      <w:r w:rsidR="004F42E4" w:rsidRPr="00F54559">
        <w:rPr>
          <w:rFonts w:cstheme="minorHAnsi"/>
          <w:b/>
          <w:sz w:val="24"/>
        </w:rPr>
        <w:t xml:space="preserve"> </w:t>
      </w:r>
      <w:r w:rsidRPr="00F54559">
        <w:rPr>
          <w:rFonts w:cstheme="minorHAnsi"/>
          <w:sz w:val="24"/>
        </w:rPr>
        <w:t xml:space="preserve">and </w:t>
      </w:r>
      <w:r w:rsidR="004F42E4" w:rsidRPr="00F54559">
        <w:rPr>
          <w:rFonts w:cstheme="minorHAnsi"/>
          <w:sz w:val="24"/>
        </w:rPr>
        <w:t>20</w:t>
      </w:r>
      <w:r w:rsidR="004F42E4">
        <w:rPr>
          <w:rFonts w:cstheme="minorHAnsi"/>
          <w:sz w:val="24"/>
        </w:rPr>
        <w:t>22</w:t>
      </w:r>
      <w:r w:rsidRPr="00F54559">
        <w:rPr>
          <w:rFonts w:cstheme="minorHAnsi"/>
          <w:sz w:val="24"/>
        </w:rPr>
        <w:t>, bank balances with uninsured or uncollateralized operating cash deposits were $</w:t>
      </w:r>
      <w:r w:rsidR="00222FA8" w:rsidRPr="00222FA8">
        <w:rPr>
          <w:rFonts w:cstheme="minorHAnsi"/>
          <w:sz w:val="24"/>
        </w:rPr>
        <w:t>2,270</w:t>
      </w:r>
      <w:r w:rsidRPr="00222FA8">
        <w:rPr>
          <w:rFonts w:cstheme="minorHAnsi"/>
          <w:sz w:val="24"/>
        </w:rPr>
        <w:t xml:space="preserve"> </w:t>
      </w:r>
      <w:r w:rsidRPr="00F54559">
        <w:rPr>
          <w:rFonts w:cstheme="minorHAnsi"/>
          <w:sz w:val="24"/>
        </w:rPr>
        <w:t>and $</w:t>
      </w:r>
      <w:r w:rsidR="004F42E4" w:rsidRPr="001C0A99">
        <w:rPr>
          <w:rFonts w:cstheme="minorHAnsi"/>
          <w:sz w:val="24"/>
        </w:rPr>
        <w:t>4,561</w:t>
      </w:r>
      <w:r w:rsidRPr="00F54559">
        <w:rPr>
          <w:rFonts w:cstheme="minorHAnsi"/>
          <w:sz w:val="24"/>
        </w:rPr>
        <w:t>, respectively.</w:t>
      </w:r>
      <w:r>
        <w:rPr>
          <w:rFonts w:cstheme="minorHAnsi"/>
          <w:sz w:val="24"/>
        </w:rPr>
        <w:t xml:space="preserve"> </w:t>
      </w:r>
    </w:p>
    <w:p w14:paraId="5B1B215C" w14:textId="77777777" w:rsidR="00DD1612" w:rsidRPr="00F54559" w:rsidRDefault="00DD1612" w:rsidP="00DD1612">
      <w:pPr>
        <w:pStyle w:val="AFR2"/>
        <w:rPr>
          <w:rFonts w:cstheme="minorHAnsi"/>
          <w:sz w:val="26"/>
          <w:szCs w:val="26"/>
        </w:rPr>
      </w:pPr>
      <w:r w:rsidRPr="00F54559">
        <w:rPr>
          <w:rFonts w:cstheme="minorHAnsi"/>
          <w:sz w:val="26"/>
          <w:szCs w:val="26"/>
        </w:rPr>
        <w:t>3. INVESTMENTS</w:t>
      </w:r>
    </w:p>
    <w:p w14:paraId="3ADB9EB0" w14:textId="77777777" w:rsidR="00DD1612" w:rsidRPr="00F54559" w:rsidRDefault="00DD1612" w:rsidP="00DD1612">
      <w:pPr>
        <w:pStyle w:val="AFR3"/>
        <w:rPr>
          <w:rFonts w:cstheme="minorHAnsi"/>
        </w:rPr>
      </w:pPr>
      <w:r w:rsidRPr="00F54559">
        <w:rPr>
          <w:rFonts w:cstheme="minorHAnsi"/>
        </w:rPr>
        <w:t>a. Composition and Fair Value Measurements</w:t>
      </w:r>
    </w:p>
    <w:p w14:paraId="16639EBB" w14:textId="77777777" w:rsidR="00DD1612" w:rsidRPr="00F54559" w:rsidRDefault="00DD1612" w:rsidP="0002675C">
      <w:pPr>
        <w:pStyle w:val="AFR5"/>
        <w:spacing w:before="240" w:after="120"/>
        <w:ind w:left="0"/>
        <w:jc w:val="left"/>
        <w:rPr>
          <w:rFonts w:asciiTheme="minorHAnsi" w:hAnsiTheme="minorHAnsi" w:cstheme="minorHAnsi"/>
          <w:u w:val="single"/>
        </w:rPr>
      </w:pPr>
      <w:r w:rsidRPr="00F54559">
        <w:rPr>
          <w:rFonts w:asciiTheme="minorHAnsi" w:hAnsiTheme="minorHAnsi" w:cstheme="minorHAnsi"/>
          <w:u w:val="single"/>
        </w:rPr>
        <w:t>Composition and Purpose of Investments:</w:t>
      </w:r>
    </w:p>
    <w:p w14:paraId="77E10392" w14:textId="77777777" w:rsidR="0094766F" w:rsidRDefault="00DD1612" w:rsidP="00316B2A">
      <w:pPr>
        <w:spacing w:after="160" w:line="259" w:lineRule="auto"/>
        <w:rPr>
          <w:rFonts w:cstheme="minorHAnsi"/>
          <w:spacing w:val="-3"/>
          <w:sz w:val="24"/>
        </w:rPr>
      </w:pPr>
      <w:r w:rsidRPr="00F54559">
        <w:rPr>
          <w:rFonts w:cstheme="minorHAnsi"/>
          <w:sz w:val="24"/>
        </w:rPr>
        <w:t>The System uses a pooled investment approach for its endowments (including Affiliates’ endowments invested with the System) unless ot</w:t>
      </w:r>
      <w:r w:rsidR="00541C5C">
        <w:rPr>
          <w:rFonts w:cstheme="minorHAnsi"/>
          <w:sz w:val="24"/>
        </w:rPr>
        <w:t xml:space="preserve">herwise required by the donor. </w:t>
      </w:r>
      <w:r w:rsidRPr="00F54559">
        <w:rPr>
          <w:rFonts w:cstheme="minorHAnsi"/>
          <w:sz w:val="24"/>
        </w:rPr>
        <w:t xml:space="preserve">As previously noted, </w:t>
      </w:r>
      <w:r>
        <w:rPr>
          <w:rFonts w:cstheme="minorHAnsi"/>
          <w:spacing w:val="-3"/>
          <w:sz w:val="24"/>
        </w:rPr>
        <w:t>four</w:t>
      </w:r>
      <w:r w:rsidRPr="00F54559">
        <w:rPr>
          <w:rFonts w:cstheme="minorHAnsi"/>
          <w:spacing w:val="-3"/>
          <w:sz w:val="24"/>
        </w:rPr>
        <w:t xml:space="preserve"> outside entities - the UMS OPEB Trust, Maine Maritime Academy</w:t>
      </w:r>
      <w:r>
        <w:rPr>
          <w:rFonts w:cstheme="minorHAnsi"/>
          <w:spacing w:val="-3"/>
          <w:sz w:val="24"/>
        </w:rPr>
        <w:t xml:space="preserve"> (ended FY22)</w:t>
      </w:r>
      <w:r w:rsidRPr="00F54559">
        <w:rPr>
          <w:rFonts w:cstheme="minorHAnsi"/>
          <w:spacing w:val="-3"/>
          <w:sz w:val="24"/>
        </w:rPr>
        <w:t xml:space="preserve">, the </w:t>
      </w:r>
    </w:p>
    <w:p w14:paraId="4A3D1996" w14:textId="653E8AD9" w:rsidR="0094766F" w:rsidRDefault="0094766F" w:rsidP="00316B2A">
      <w:pPr>
        <w:spacing w:after="160" w:line="259" w:lineRule="auto"/>
        <w:rPr>
          <w:rFonts w:cstheme="minorHAnsi"/>
          <w:spacing w:val="-3"/>
          <w:sz w:val="24"/>
        </w:rPr>
      </w:pPr>
      <w:r w:rsidRPr="00F54559">
        <w:rPr>
          <w:rFonts w:cstheme="minorHAnsi"/>
          <w:b/>
          <w:i/>
          <w:noProof/>
          <w:sz w:val="26"/>
          <w:szCs w:val="26"/>
        </w:rPr>
        <w:lastRenderedPageBreak/>
        <w:t>3. INVESTMENTS - CONTINUED</w:t>
      </w:r>
    </w:p>
    <w:p w14:paraId="71CB6FA5" w14:textId="15B48ACA" w:rsidR="00DD1612" w:rsidRPr="00F54559" w:rsidRDefault="00DD1612" w:rsidP="00316B2A">
      <w:pPr>
        <w:spacing w:after="160" w:line="259" w:lineRule="auto"/>
        <w:rPr>
          <w:rFonts w:cstheme="minorHAnsi"/>
          <w:sz w:val="24"/>
        </w:rPr>
      </w:pPr>
      <w:r w:rsidRPr="00F54559">
        <w:rPr>
          <w:rFonts w:cstheme="minorHAnsi"/>
          <w:spacing w:val="-3"/>
          <w:sz w:val="24"/>
        </w:rPr>
        <w:t>University of Maine School of Law Foundation</w:t>
      </w:r>
      <w:r>
        <w:rPr>
          <w:rFonts w:cstheme="minorHAnsi"/>
          <w:spacing w:val="-3"/>
          <w:sz w:val="24"/>
        </w:rPr>
        <w:t xml:space="preserve">, and the </w:t>
      </w:r>
      <w:proofErr w:type="spellStart"/>
      <w:r>
        <w:rPr>
          <w:rFonts w:cstheme="minorHAnsi"/>
          <w:spacing w:val="-3"/>
          <w:sz w:val="24"/>
        </w:rPr>
        <w:t>USM</w:t>
      </w:r>
      <w:proofErr w:type="spellEnd"/>
      <w:r>
        <w:rPr>
          <w:rFonts w:cstheme="minorHAnsi"/>
          <w:spacing w:val="-3"/>
          <w:sz w:val="24"/>
        </w:rPr>
        <w:t xml:space="preserve"> Osher Map Library Foundation (new FY22</w:t>
      </w:r>
      <w:r w:rsidR="00AD6D3C">
        <w:rPr>
          <w:rFonts w:cstheme="minorHAnsi"/>
          <w:spacing w:val="-3"/>
          <w:sz w:val="24"/>
        </w:rPr>
        <w:t xml:space="preserve"> and ended FY23</w:t>
      </w:r>
      <w:r>
        <w:rPr>
          <w:rFonts w:cstheme="minorHAnsi"/>
          <w:spacing w:val="-3"/>
          <w:sz w:val="24"/>
        </w:rPr>
        <w:t>)</w:t>
      </w:r>
      <w:r w:rsidRPr="00F54559">
        <w:rPr>
          <w:rFonts w:cstheme="minorHAnsi"/>
          <w:spacing w:val="-3"/>
          <w:sz w:val="24"/>
        </w:rPr>
        <w:t xml:space="preserve"> -</w:t>
      </w:r>
      <w:r w:rsidRPr="00F54559">
        <w:rPr>
          <w:rFonts w:cstheme="minorHAnsi"/>
          <w:sz w:val="24"/>
        </w:rPr>
        <w:t xml:space="preserve"> pool monies for investment purposes with the System’s endowment. Investment policies and strategies are determined for this combined </w:t>
      </w:r>
      <w:r w:rsidR="00541C5C">
        <w:rPr>
          <w:rFonts w:cstheme="minorHAnsi"/>
          <w:sz w:val="24"/>
        </w:rPr>
        <w:t xml:space="preserve">Managed Investment Pool (MIP). </w:t>
      </w:r>
      <w:r w:rsidRPr="00F54559">
        <w:rPr>
          <w:rFonts w:cstheme="minorHAnsi"/>
          <w:sz w:val="24"/>
        </w:rPr>
        <w:t xml:space="preserve">Fair values, credit ratings, and interest rate risk for the entire investment pool are presented below under </w:t>
      </w:r>
      <w:r>
        <w:rPr>
          <w:rFonts w:cstheme="minorHAnsi"/>
          <w:sz w:val="24"/>
        </w:rPr>
        <w:t>“DB Plan and MIP investments”</w:t>
      </w:r>
      <w:r w:rsidR="00541C5C">
        <w:rPr>
          <w:rFonts w:cstheme="minorHAnsi"/>
          <w:sz w:val="24"/>
        </w:rPr>
        <w:t xml:space="preserve">. </w:t>
      </w:r>
      <w:r w:rsidRPr="00F54559">
        <w:rPr>
          <w:rFonts w:cstheme="minorHAnsi"/>
          <w:sz w:val="24"/>
        </w:rPr>
        <w:t xml:space="preserve">The amount held for the outside entities </w:t>
      </w:r>
      <w:r>
        <w:rPr>
          <w:rFonts w:cstheme="minorHAnsi"/>
          <w:sz w:val="24"/>
        </w:rPr>
        <w:t>are shown as “MIP held on behalf of outside entities”.</w:t>
      </w:r>
    </w:p>
    <w:p w14:paraId="24870A00" w14:textId="43079AA6" w:rsidR="00DD1612" w:rsidRDefault="00DD1612" w:rsidP="00DD1612">
      <w:pPr>
        <w:tabs>
          <w:tab w:val="left" w:pos="0"/>
          <w:tab w:val="left" w:pos="1080"/>
          <w:tab w:val="decimal" w:pos="6786"/>
          <w:tab w:val="decimal" w:pos="9187"/>
        </w:tabs>
        <w:suppressAutoHyphens/>
        <w:spacing w:after="160"/>
        <w:rPr>
          <w:rFonts w:eastAsia="Times New Roman" w:cstheme="minorHAnsi"/>
          <w:bCs/>
          <w:spacing w:val="-3"/>
          <w:sz w:val="24"/>
          <w:szCs w:val="20"/>
        </w:rPr>
      </w:pPr>
      <w:r w:rsidRPr="00F54559">
        <w:rPr>
          <w:rFonts w:eastAsia="Times New Roman" w:cstheme="minorHAnsi"/>
          <w:b/>
          <w:i/>
          <w:spacing w:val="-3"/>
          <w:sz w:val="24"/>
          <w:szCs w:val="20"/>
        </w:rPr>
        <w:t>Operating Investments:</w:t>
      </w:r>
      <w:r w:rsidR="00541C5C">
        <w:rPr>
          <w:rFonts w:eastAsia="Times New Roman" w:cstheme="minorHAnsi"/>
          <w:bCs/>
          <w:spacing w:val="-3"/>
          <w:sz w:val="24"/>
          <w:szCs w:val="20"/>
        </w:rPr>
        <w:t xml:space="preserve"> </w:t>
      </w:r>
      <w:r w:rsidRPr="00F54559">
        <w:rPr>
          <w:rFonts w:eastAsia="Times New Roman" w:cstheme="minorHAnsi"/>
          <w:bCs/>
          <w:spacing w:val="-3"/>
          <w:sz w:val="24"/>
          <w:szCs w:val="20"/>
        </w:rPr>
        <w:t>The System’s operating investments are available to fund operations or other purposes as determined by System management.</w:t>
      </w:r>
    </w:p>
    <w:p w14:paraId="6B975B9E" w14:textId="789FA39D" w:rsidR="00DD1612" w:rsidRDefault="00DD1612" w:rsidP="00DD1612">
      <w:pPr>
        <w:tabs>
          <w:tab w:val="left" w:pos="0"/>
          <w:tab w:val="left" w:pos="1080"/>
          <w:tab w:val="decimal" w:pos="6786"/>
          <w:tab w:val="decimal" w:pos="9187"/>
        </w:tabs>
        <w:suppressAutoHyphens/>
        <w:spacing w:after="160"/>
        <w:rPr>
          <w:rFonts w:cstheme="minorHAnsi"/>
          <w:bCs/>
          <w:spacing w:val="-3"/>
          <w:sz w:val="24"/>
          <w:szCs w:val="24"/>
        </w:rPr>
      </w:pPr>
      <w:r w:rsidRPr="00F54559">
        <w:rPr>
          <w:rFonts w:cstheme="minorHAnsi"/>
          <w:b/>
          <w:i/>
          <w:spacing w:val="-3"/>
          <w:sz w:val="24"/>
          <w:szCs w:val="24"/>
        </w:rPr>
        <w:t>Deposits with Trustees</w:t>
      </w:r>
      <w:r w:rsidR="00541C5C">
        <w:rPr>
          <w:rFonts w:cstheme="minorHAnsi"/>
          <w:bCs/>
          <w:spacing w:val="-3"/>
          <w:sz w:val="24"/>
          <w:szCs w:val="24"/>
        </w:rPr>
        <w:t xml:space="preserve">: </w:t>
      </w:r>
      <w:r w:rsidRPr="00F54559">
        <w:rPr>
          <w:rFonts w:cstheme="minorHAnsi"/>
          <w:bCs/>
          <w:spacing w:val="-3"/>
          <w:sz w:val="24"/>
          <w:szCs w:val="24"/>
        </w:rPr>
        <w:t>Deposits with trustees are composed of unexpended bond proceeds</w:t>
      </w:r>
      <w:r>
        <w:rPr>
          <w:rFonts w:cstheme="minorHAnsi"/>
          <w:bCs/>
          <w:spacing w:val="-3"/>
          <w:sz w:val="24"/>
          <w:szCs w:val="24"/>
        </w:rPr>
        <w:t xml:space="preserve"> from bond issuances, bond anticipation notes and escrow accounts associated with the System’s lease-purchase program.</w:t>
      </w:r>
    </w:p>
    <w:p w14:paraId="28A2B064" w14:textId="6CC89F13" w:rsidR="00DD1612" w:rsidRDefault="00DD1612" w:rsidP="00DD1612">
      <w:pPr>
        <w:tabs>
          <w:tab w:val="left" w:pos="0"/>
          <w:tab w:val="left" w:pos="1080"/>
          <w:tab w:val="decimal" w:pos="6786"/>
          <w:tab w:val="decimal" w:pos="9079"/>
        </w:tabs>
        <w:suppressAutoHyphens/>
        <w:rPr>
          <w:rFonts w:eastAsia="Times New Roman" w:cstheme="minorHAnsi"/>
          <w:sz w:val="24"/>
        </w:rPr>
      </w:pPr>
      <w:r w:rsidRPr="00F54559">
        <w:rPr>
          <w:rFonts w:eastAsia="Times New Roman" w:cstheme="minorHAnsi"/>
          <w:b/>
          <w:i/>
          <w:spacing w:val="-3"/>
          <w:sz w:val="24"/>
          <w:szCs w:val="20"/>
        </w:rPr>
        <w:t>Endowment Investments:</w:t>
      </w:r>
      <w:r w:rsidR="00541C5C">
        <w:rPr>
          <w:rFonts w:eastAsia="Times New Roman" w:cstheme="minorHAnsi"/>
          <w:sz w:val="24"/>
        </w:rPr>
        <w:t xml:space="preserve"> </w:t>
      </w:r>
      <w:r w:rsidRPr="00F54559">
        <w:rPr>
          <w:rFonts w:eastAsia="Times New Roman" w:cstheme="minorHAnsi"/>
          <w:sz w:val="24"/>
        </w:rPr>
        <w:t xml:space="preserve">Except for certain gifts invested separately at the request of the donors </w:t>
      </w:r>
      <w:r w:rsidRPr="00A504DA">
        <w:rPr>
          <w:rFonts w:eastAsia="Times New Roman" w:cstheme="minorHAnsi"/>
          <w:color w:val="000000" w:themeColor="text1"/>
          <w:sz w:val="24"/>
        </w:rPr>
        <w:t>($</w:t>
      </w:r>
      <w:r w:rsidR="007254CE">
        <w:rPr>
          <w:rFonts w:eastAsia="Times New Roman" w:cstheme="minorHAnsi"/>
          <w:color w:val="000000" w:themeColor="text1"/>
          <w:sz w:val="24"/>
        </w:rPr>
        <w:t>1,</w:t>
      </w:r>
      <w:r w:rsidR="00296B5F" w:rsidRPr="00316B2A">
        <w:rPr>
          <w:rFonts w:eastAsia="Times New Roman" w:cstheme="minorHAnsi"/>
          <w:color w:val="000000" w:themeColor="text1"/>
          <w:sz w:val="24"/>
        </w:rPr>
        <w:t xml:space="preserve">981 </w:t>
      </w:r>
      <w:r w:rsidRPr="00F54559">
        <w:rPr>
          <w:rFonts w:eastAsia="Times New Roman" w:cstheme="minorHAnsi"/>
          <w:sz w:val="24"/>
        </w:rPr>
        <w:t xml:space="preserve">and </w:t>
      </w:r>
      <w:r w:rsidR="004A3C08" w:rsidRPr="00A801B2">
        <w:rPr>
          <w:rFonts w:eastAsia="Times New Roman" w:cstheme="minorHAnsi"/>
          <w:sz w:val="24"/>
        </w:rPr>
        <w:t>$</w:t>
      </w:r>
      <w:r w:rsidR="004A3C08" w:rsidRPr="001C0A99">
        <w:rPr>
          <w:rFonts w:eastAsia="Times New Roman" w:cstheme="minorHAnsi"/>
          <w:sz w:val="24"/>
        </w:rPr>
        <w:t>1,851</w:t>
      </w:r>
      <w:r w:rsidR="00296B5F">
        <w:rPr>
          <w:rFonts w:eastAsia="Times New Roman" w:cstheme="minorHAnsi"/>
          <w:sz w:val="24"/>
        </w:rPr>
        <w:t xml:space="preserve"> </w:t>
      </w:r>
      <w:r w:rsidRPr="00F54559">
        <w:rPr>
          <w:rFonts w:eastAsia="Times New Roman" w:cstheme="minorHAnsi"/>
          <w:sz w:val="24"/>
        </w:rPr>
        <w:t xml:space="preserve">at June 30, </w:t>
      </w:r>
      <w:r w:rsidR="004A3C08" w:rsidRPr="00F54559">
        <w:rPr>
          <w:rFonts w:eastAsia="Times New Roman" w:cstheme="minorHAnsi"/>
          <w:sz w:val="24"/>
        </w:rPr>
        <w:t>20</w:t>
      </w:r>
      <w:r w:rsidR="004A3C08">
        <w:rPr>
          <w:rFonts w:eastAsia="Times New Roman" w:cstheme="minorHAnsi"/>
          <w:sz w:val="24"/>
        </w:rPr>
        <w:t>23</w:t>
      </w:r>
      <w:r w:rsidR="004A3C08" w:rsidRPr="00F54559">
        <w:rPr>
          <w:rFonts w:eastAsia="Times New Roman" w:cstheme="minorHAnsi"/>
          <w:sz w:val="24"/>
        </w:rPr>
        <w:t xml:space="preserve"> </w:t>
      </w:r>
      <w:r w:rsidRPr="00F54559">
        <w:rPr>
          <w:rFonts w:eastAsia="Times New Roman" w:cstheme="minorHAnsi"/>
          <w:sz w:val="24"/>
        </w:rPr>
        <w:t xml:space="preserve">and </w:t>
      </w:r>
      <w:r w:rsidR="004A3C08" w:rsidRPr="00F54559">
        <w:rPr>
          <w:rFonts w:eastAsia="Times New Roman" w:cstheme="minorHAnsi"/>
          <w:sz w:val="24"/>
        </w:rPr>
        <w:t>20</w:t>
      </w:r>
      <w:r w:rsidR="004A3C08">
        <w:rPr>
          <w:rFonts w:eastAsia="Times New Roman" w:cstheme="minorHAnsi"/>
          <w:sz w:val="24"/>
        </w:rPr>
        <w:t>22</w:t>
      </w:r>
      <w:r w:rsidRPr="00F54559">
        <w:rPr>
          <w:rFonts w:eastAsia="Times New Roman" w:cstheme="minorHAnsi"/>
          <w:sz w:val="24"/>
        </w:rPr>
        <w:t xml:space="preserve">, respectively), the System's endowment is managed as a pooled investment fund using external investment managers. The University of Maine at Fort Kent Foundation, the University of Southern Maine Foundation, and the John L. Martin Scholarship Fund, Inc. participate in the System’s endowment pool through a management agreement. The fair values of the investments held for these affiliated organizations </w:t>
      </w:r>
      <w:proofErr w:type="gramStart"/>
      <w:r w:rsidRPr="00F54559">
        <w:rPr>
          <w:rFonts w:eastAsia="Times New Roman" w:cstheme="minorHAnsi"/>
          <w:sz w:val="24"/>
        </w:rPr>
        <w:t>at</w:t>
      </w:r>
      <w:proofErr w:type="gramEnd"/>
      <w:r w:rsidRPr="00F54559">
        <w:rPr>
          <w:rFonts w:eastAsia="Times New Roman" w:cstheme="minorHAnsi"/>
          <w:sz w:val="24"/>
        </w:rPr>
        <w:t xml:space="preserve"> June 30, </w:t>
      </w:r>
      <w:r w:rsidR="00DE782C" w:rsidRPr="00F54559">
        <w:rPr>
          <w:rFonts w:eastAsia="Times New Roman" w:cstheme="minorHAnsi"/>
          <w:sz w:val="24"/>
        </w:rPr>
        <w:t>2</w:t>
      </w:r>
      <w:r w:rsidR="00DE782C">
        <w:rPr>
          <w:rFonts w:eastAsia="Times New Roman" w:cstheme="minorHAnsi"/>
          <w:sz w:val="24"/>
        </w:rPr>
        <w:t>023</w:t>
      </w:r>
      <w:r w:rsidR="00DE782C" w:rsidRPr="00F54559">
        <w:rPr>
          <w:rFonts w:eastAsia="Times New Roman" w:cstheme="minorHAnsi"/>
          <w:sz w:val="24"/>
        </w:rPr>
        <w:t xml:space="preserve"> </w:t>
      </w:r>
      <w:r w:rsidRPr="00F54559">
        <w:rPr>
          <w:rFonts w:eastAsia="Times New Roman" w:cstheme="minorHAnsi"/>
          <w:sz w:val="24"/>
        </w:rPr>
        <w:t xml:space="preserve">and </w:t>
      </w:r>
      <w:r w:rsidR="00DE782C" w:rsidRPr="00F54559">
        <w:rPr>
          <w:rFonts w:eastAsia="Times New Roman" w:cstheme="minorHAnsi"/>
          <w:sz w:val="24"/>
        </w:rPr>
        <w:t>20</w:t>
      </w:r>
      <w:r w:rsidR="00DE782C">
        <w:rPr>
          <w:rFonts w:eastAsia="Times New Roman" w:cstheme="minorHAnsi"/>
          <w:sz w:val="24"/>
        </w:rPr>
        <w:t>22</w:t>
      </w:r>
      <w:r w:rsidRPr="00F54559">
        <w:rPr>
          <w:rFonts w:eastAsia="Times New Roman" w:cstheme="minorHAnsi"/>
          <w:sz w:val="24"/>
        </w:rPr>
        <w:t xml:space="preserve">, respectively are </w:t>
      </w:r>
      <w:r w:rsidRPr="00A801B2">
        <w:rPr>
          <w:rFonts w:eastAsia="Times New Roman" w:cstheme="minorHAnsi"/>
          <w:sz w:val="24"/>
        </w:rPr>
        <w:t>$</w:t>
      </w:r>
      <w:r w:rsidR="00296B5F" w:rsidRPr="00316B2A">
        <w:rPr>
          <w:rFonts w:eastAsia="Times New Roman" w:cstheme="minorHAnsi"/>
          <w:color w:val="000000" w:themeColor="text1"/>
          <w:sz w:val="24"/>
        </w:rPr>
        <w:t>33,912</w:t>
      </w:r>
      <w:r w:rsidRPr="00A504DA">
        <w:rPr>
          <w:rFonts w:eastAsia="Times New Roman" w:cstheme="minorHAnsi"/>
          <w:color w:val="FF0000"/>
          <w:sz w:val="24"/>
        </w:rPr>
        <w:t xml:space="preserve"> </w:t>
      </w:r>
      <w:r w:rsidRPr="00F54559">
        <w:rPr>
          <w:rFonts w:eastAsia="Times New Roman" w:cstheme="minorHAnsi"/>
          <w:sz w:val="24"/>
        </w:rPr>
        <w:t xml:space="preserve">and </w:t>
      </w:r>
      <w:r w:rsidRPr="00A801B2">
        <w:rPr>
          <w:rFonts w:eastAsia="Times New Roman" w:cstheme="minorHAnsi"/>
          <w:sz w:val="24"/>
        </w:rPr>
        <w:t>$</w:t>
      </w:r>
      <w:r w:rsidR="00DE782C" w:rsidRPr="001C0A99">
        <w:rPr>
          <w:rFonts w:eastAsia="Times New Roman" w:cstheme="minorHAnsi"/>
          <w:sz w:val="24"/>
        </w:rPr>
        <w:t>30,150</w:t>
      </w:r>
      <w:r w:rsidRPr="00F54559">
        <w:rPr>
          <w:rFonts w:eastAsia="Times New Roman" w:cstheme="minorHAnsi"/>
          <w:sz w:val="24"/>
        </w:rPr>
        <w:t xml:space="preserve">, and are reported as </w:t>
      </w:r>
      <w:r w:rsidR="00445C35">
        <w:rPr>
          <w:rFonts w:eastAsia="Times New Roman" w:cstheme="minorHAnsi"/>
          <w:sz w:val="24"/>
        </w:rPr>
        <w:t>i</w:t>
      </w:r>
      <w:r>
        <w:rPr>
          <w:rFonts w:eastAsia="Times New Roman" w:cstheme="minorHAnsi"/>
          <w:sz w:val="24"/>
        </w:rPr>
        <w:t xml:space="preserve">nvestment in the UMS </w:t>
      </w:r>
      <w:r w:rsidR="00445C35">
        <w:rPr>
          <w:rFonts w:eastAsia="Times New Roman" w:cstheme="minorHAnsi"/>
          <w:sz w:val="24"/>
        </w:rPr>
        <w:t xml:space="preserve">endowment </w:t>
      </w:r>
      <w:r>
        <w:rPr>
          <w:rFonts w:eastAsia="Times New Roman" w:cstheme="minorHAnsi"/>
          <w:sz w:val="24"/>
        </w:rPr>
        <w:t xml:space="preserve">pool </w:t>
      </w:r>
      <w:r w:rsidRPr="00F54559">
        <w:rPr>
          <w:rFonts w:eastAsia="Times New Roman" w:cstheme="minorHAnsi"/>
          <w:sz w:val="24"/>
        </w:rPr>
        <w:t xml:space="preserve">in the accompanying Statements of </w:t>
      </w:r>
      <w:r>
        <w:rPr>
          <w:rFonts w:eastAsia="Times New Roman" w:cstheme="minorHAnsi"/>
          <w:sz w:val="24"/>
        </w:rPr>
        <w:t xml:space="preserve">Fiduciary </w:t>
      </w:r>
      <w:r w:rsidRPr="00F54559">
        <w:rPr>
          <w:rFonts w:eastAsia="Times New Roman" w:cstheme="minorHAnsi"/>
          <w:sz w:val="24"/>
        </w:rPr>
        <w:t>Net Position.</w:t>
      </w:r>
    </w:p>
    <w:p w14:paraId="0455A6B4" w14:textId="77777777" w:rsidR="00DD1612" w:rsidRDefault="00DD1612" w:rsidP="00DD1612">
      <w:pPr>
        <w:tabs>
          <w:tab w:val="left" w:pos="0"/>
          <w:tab w:val="left" w:pos="1080"/>
          <w:tab w:val="decimal" w:pos="6786"/>
          <w:tab w:val="decimal" w:pos="9079"/>
        </w:tabs>
        <w:suppressAutoHyphens/>
        <w:rPr>
          <w:rFonts w:eastAsia="Times New Roman" w:cstheme="minorHAnsi"/>
          <w:sz w:val="24"/>
        </w:rPr>
      </w:pPr>
    </w:p>
    <w:p w14:paraId="64E8E79C" w14:textId="70404721" w:rsidR="00DD1612" w:rsidRPr="00F54559" w:rsidRDefault="00DD1612" w:rsidP="00DD1612">
      <w:pPr>
        <w:tabs>
          <w:tab w:val="left" w:pos="0"/>
          <w:tab w:val="left" w:pos="1080"/>
          <w:tab w:val="decimal" w:pos="6786"/>
          <w:tab w:val="decimal" w:pos="9079"/>
        </w:tabs>
        <w:suppressAutoHyphens/>
        <w:spacing w:after="60"/>
        <w:rPr>
          <w:rFonts w:eastAsia="Times New Roman" w:cstheme="minorHAnsi"/>
          <w:bCs/>
          <w:spacing w:val="-3"/>
          <w:sz w:val="24"/>
          <w:szCs w:val="20"/>
        </w:rPr>
      </w:pPr>
      <w:r w:rsidRPr="00F54559">
        <w:rPr>
          <w:rFonts w:eastAsia="Times New Roman" w:cstheme="minorHAnsi"/>
          <w:bCs/>
          <w:spacing w:val="-3"/>
          <w:sz w:val="24"/>
          <w:szCs w:val="20"/>
        </w:rPr>
        <w:t>Endowed gifts are invested to generate income to be used to fund various activities such as scholarships and resear</w:t>
      </w:r>
      <w:r w:rsidR="00541C5C">
        <w:rPr>
          <w:rFonts w:eastAsia="Times New Roman" w:cstheme="minorHAnsi"/>
          <w:bCs/>
          <w:spacing w:val="-3"/>
          <w:sz w:val="24"/>
          <w:szCs w:val="20"/>
        </w:rPr>
        <w:t xml:space="preserve">ch as specified by the donors. </w:t>
      </w:r>
      <w:r w:rsidRPr="00F54559">
        <w:rPr>
          <w:rFonts w:eastAsia="Times New Roman" w:cstheme="minorHAnsi"/>
          <w:bCs/>
          <w:spacing w:val="-3"/>
          <w:sz w:val="24"/>
          <w:szCs w:val="20"/>
        </w:rPr>
        <w:t>The total endowment accumulated net income and appreciation available to the System for spending is as follows at June 30:</w:t>
      </w:r>
    </w:p>
    <w:p w14:paraId="560A298E" w14:textId="77777777" w:rsidR="00DD1612" w:rsidRPr="00F54559" w:rsidRDefault="00DD1612" w:rsidP="00DD1612">
      <w:pPr>
        <w:tabs>
          <w:tab w:val="left" w:pos="0"/>
          <w:tab w:val="left" w:pos="1080"/>
          <w:tab w:val="decimal" w:pos="6786"/>
          <w:tab w:val="decimal" w:pos="9079"/>
        </w:tabs>
        <w:suppressAutoHyphens/>
        <w:rPr>
          <w:rFonts w:eastAsia="Times New Roman" w:cstheme="minorHAnsi"/>
          <w:bCs/>
          <w:spacing w:val="-3"/>
          <w:sz w:val="20"/>
          <w:szCs w:val="20"/>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otal endowment accumulated net income and appreciation available for spending as of June 30, 2018 and 2019.  In thousands, restricted - expendable decreased from $55,678 in FY18 to $54,432 in FY19; unrestricted increased from $16,012 in FY18 to $17,165 in FY19; and total available for spending which decreased from $71,690 in FY18 to $71,597 in FY19."/>
      </w:tblPr>
      <w:tblGrid>
        <w:gridCol w:w="3330"/>
        <w:gridCol w:w="1080"/>
        <w:gridCol w:w="1260"/>
      </w:tblGrid>
      <w:tr w:rsidR="00DD1612" w:rsidRPr="00A454B4" w14:paraId="13821193" w14:textId="77777777" w:rsidTr="00C029A1">
        <w:trPr>
          <w:trHeight w:val="323"/>
          <w:tblHeader/>
          <w:jc w:val="center"/>
        </w:trPr>
        <w:tc>
          <w:tcPr>
            <w:tcW w:w="3330" w:type="dxa"/>
          </w:tcPr>
          <w:p w14:paraId="5EE91D47" w14:textId="77777777" w:rsidR="00DD1612" w:rsidRPr="00F54559" w:rsidRDefault="00DD1612" w:rsidP="00BD375F">
            <w:pPr>
              <w:tabs>
                <w:tab w:val="left" w:pos="720"/>
                <w:tab w:val="left" w:pos="1440"/>
                <w:tab w:val="decimal" w:pos="6786"/>
                <w:tab w:val="decimal" w:pos="8100"/>
              </w:tabs>
              <w:suppressAutoHyphens/>
              <w:rPr>
                <w:rFonts w:eastAsia="Times New Roman" w:cstheme="minorHAnsi"/>
                <w:bCs/>
                <w:spacing w:val="-3"/>
                <w:sz w:val="24"/>
                <w:szCs w:val="24"/>
              </w:rPr>
            </w:pPr>
          </w:p>
        </w:tc>
        <w:tc>
          <w:tcPr>
            <w:tcW w:w="1080" w:type="dxa"/>
            <w:shd w:val="clear" w:color="auto" w:fill="auto"/>
          </w:tcPr>
          <w:p w14:paraId="30150DD4" w14:textId="70E35996" w:rsidR="00DD1612" w:rsidRPr="001A18A6" w:rsidRDefault="00CF4592" w:rsidP="00CF4592">
            <w:pPr>
              <w:tabs>
                <w:tab w:val="left" w:pos="1440"/>
                <w:tab w:val="decimal" w:pos="6786"/>
                <w:tab w:val="decimal" w:pos="8100"/>
              </w:tabs>
              <w:suppressAutoHyphens/>
              <w:jc w:val="center"/>
              <w:rPr>
                <w:rFonts w:eastAsia="Times New Roman" w:cstheme="minorHAnsi"/>
                <w:b/>
                <w:bCs/>
                <w:spacing w:val="-3"/>
                <w:sz w:val="24"/>
                <w:szCs w:val="24"/>
              </w:rPr>
            </w:pPr>
            <w:r w:rsidRPr="005F3731">
              <w:rPr>
                <w:rFonts w:eastAsia="Times New Roman" w:cstheme="minorHAnsi"/>
                <w:b/>
                <w:bCs/>
                <w:spacing w:val="-3"/>
                <w:sz w:val="24"/>
                <w:szCs w:val="24"/>
              </w:rPr>
              <w:t>2023</w:t>
            </w:r>
          </w:p>
        </w:tc>
        <w:tc>
          <w:tcPr>
            <w:tcW w:w="1260" w:type="dxa"/>
            <w:shd w:val="clear" w:color="auto" w:fill="F2F2F2" w:themeFill="background1" w:themeFillShade="F2"/>
          </w:tcPr>
          <w:p w14:paraId="32C03A1C" w14:textId="7BAD0413" w:rsidR="00DD1612" w:rsidRPr="001A18A6" w:rsidRDefault="00CF4592" w:rsidP="00CF4592">
            <w:pPr>
              <w:tabs>
                <w:tab w:val="left" w:pos="720"/>
                <w:tab w:val="left" w:pos="1440"/>
                <w:tab w:val="decimal" w:pos="6786"/>
                <w:tab w:val="decimal" w:pos="8100"/>
              </w:tabs>
              <w:suppressAutoHyphens/>
              <w:jc w:val="center"/>
              <w:rPr>
                <w:rFonts w:eastAsia="Times New Roman" w:cstheme="minorHAnsi"/>
                <w:b/>
                <w:bCs/>
                <w:spacing w:val="-3"/>
                <w:sz w:val="24"/>
                <w:szCs w:val="24"/>
              </w:rPr>
            </w:pPr>
            <w:r w:rsidRPr="001A18A6">
              <w:rPr>
                <w:rFonts w:eastAsia="Times New Roman" w:cstheme="minorHAnsi"/>
                <w:b/>
                <w:bCs/>
                <w:spacing w:val="-3"/>
                <w:sz w:val="24"/>
                <w:szCs w:val="24"/>
              </w:rPr>
              <w:t>20</w:t>
            </w:r>
            <w:r>
              <w:rPr>
                <w:rFonts w:eastAsia="Times New Roman" w:cstheme="minorHAnsi"/>
                <w:b/>
                <w:bCs/>
                <w:spacing w:val="-3"/>
                <w:sz w:val="24"/>
                <w:szCs w:val="24"/>
              </w:rPr>
              <w:t>22</w:t>
            </w:r>
          </w:p>
        </w:tc>
      </w:tr>
      <w:tr w:rsidR="00CF4592" w:rsidRPr="00A454B4" w14:paraId="25393CC4" w14:textId="77777777" w:rsidTr="00C029A1">
        <w:trPr>
          <w:trHeight w:val="323"/>
          <w:jc w:val="center"/>
        </w:trPr>
        <w:tc>
          <w:tcPr>
            <w:tcW w:w="3330" w:type="dxa"/>
          </w:tcPr>
          <w:p w14:paraId="7FE9003A" w14:textId="77777777" w:rsidR="00CF4592" w:rsidRPr="00F54559" w:rsidRDefault="00CF4592" w:rsidP="00CF4592">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Restricted - expendable</w:t>
            </w:r>
          </w:p>
        </w:tc>
        <w:tc>
          <w:tcPr>
            <w:tcW w:w="1080" w:type="dxa"/>
            <w:shd w:val="clear" w:color="auto" w:fill="auto"/>
          </w:tcPr>
          <w:p w14:paraId="28BAAA62" w14:textId="361D50A2" w:rsidR="00CF4592" w:rsidRPr="00A504DA" w:rsidRDefault="00CF4592">
            <w:pPr>
              <w:tabs>
                <w:tab w:val="left" w:pos="720"/>
                <w:tab w:val="left" w:pos="1440"/>
                <w:tab w:val="decimal" w:pos="6786"/>
                <w:tab w:val="decimal" w:pos="8100"/>
              </w:tabs>
              <w:suppressAutoHyphens/>
              <w:jc w:val="right"/>
              <w:rPr>
                <w:rFonts w:eastAsia="Times New Roman" w:cstheme="minorHAnsi"/>
                <w:bCs/>
                <w:color w:val="000000" w:themeColor="text1"/>
                <w:spacing w:val="-3"/>
                <w:sz w:val="24"/>
                <w:szCs w:val="24"/>
              </w:rPr>
            </w:pPr>
            <w:r w:rsidRPr="00A504DA">
              <w:rPr>
                <w:rFonts w:eastAsia="Times New Roman" w:cstheme="minorHAnsi"/>
                <w:bCs/>
                <w:color w:val="000000" w:themeColor="text1"/>
                <w:spacing w:val="-3"/>
                <w:sz w:val="24"/>
                <w:szCs w:val="24"/>
              </w:rPr>
              <w:t>$</w:t>
            </w:r>
            <w:r w:rsidR="00296B5F" w:rsidRPr="00A504DA">
              <w:rPr>
                <w:rFonts w:eastAsia="Times New Roman" w:cstheme="minorHAnsi"/>
                <w:bCs/>
                <w:color w:val="000000" w:themeColor="text1"/>
                <w:spacing w:val="-3"/>
                <w:sz w:val="24"/>
                <w:szCs w:val="24"/>
              </w:rPr>
              <w:t>59,46</w:t>
            </w:r>
            <w:r w:rsidR="005F3731">
              <w:rPr>
                <w:rFonts w:eastAsia="Times New Roman" w:cstheme="minorHAnsi"/>
                <w:bCs/>
                <w:color w:val="000000" w:themeColor="text1"/>
                <w:spacing w:val="-3"/>
                <w:sz w:val="24"/>
                <w:szCs w:val="24"/>
              </w:rPr>
              <w:t>3</w:t>
            </w:r>
          </w:p>
        </w:tc>
        <w:tc>
          <w:tcPr>
            <w:tcW w:w="1260" w:type="dxa"/>
            <w:shd w:val="clear" w:color="auto" w:fill="F2F2F2" w:themeFill="background1" w:themeFillShade="F2"/>
          </w:tcPr>
          <w:p w14:paraId="1C272814" w14:textId="4DC302D1" w:rsidR="00CF4592" w:rsidRPr="00F54559" w:rsidRDefault="00CF4592" w:rsidP="00CF4592">
            <w:pPr>
              <w:tabs>
                <w:tab w:val="left" w:pos="720"/>
                <w:tab w:val="left" w:pos="1440"/>
                <w:tab w:val="decimal" w:pos="6786"/>
                <w:tab w:val="decimal" w:pos="8100"/>
              </w:tabs>
              <w:suppressAutoHyphens/>
              <w:jc w:val="right"/>
              <w:rPr>
                <w:rFonts w:eastAsia="Times New Roman" w:cstheme="minorHAnsi"/>
                <w:bCs/>
                <w:spacing w:val="-3"/>
                <w:sz w:val="24"/>
                <w:szCs w:val="24"/>
              </w:rPr>
            </w:pPr>
            <w:r w:rsidRPr="00B933E3">
              <w:rPr>
                <w:rFonts w:eastAsia="Times New Roman" w:cstheme="minorHAnsi"/>
                <w:bCs/>
                <w:spacing w:val="-3"/>
                <w:sz w:val="24"/>
                <w:szCs w:val="24"/>
              </w:rPr>
              <w:t>$</w:t>
            </w:r>
            <w:r w:rsidRPr="001C0A99">
              <w:rPr>
                <w:rFonts w:eastAsia="Times New Roman" w:cstheme="minorHAnsi"/>
                <w:bCs/>
                <w:spacing w:val="-3"/>
                <w:sz w:val="24"/>
                <w:szCs w:val="24"/>
              </w:rPr>
              <w:t>52,519</w:t>
            </w:r>
          </w:p>
        </w:tc>
      </w:tr>
      <w:tr w:rsidR="00CF4592" w:rsidRPr="00A454B4" w14:paraId="44666CDA" w14:textId="77777777" w:rsidTr="00C029A1">
        <w:trPr>
          <w:trHeight w:val="323"/>
          <w:jc w:val="center"/>
        </w:trPr>
        <w:tc>
          <w:tcPr>
            <w:tcW w:w="3330" w:type="dxa"/>
            <w:tcBorders>
              <w:bottom w:val="single" w:sz="8" w:space="0" w:color="00688D"/>
            </w:tcBorders>
          </w:tcPr>
          <w:p w14:paraId="1FDCF935" w14:textId="77777777" w:rsidR="00CF4592" w:rsidRPr="00F54559" w:rsidRDefault="00CF4592" w:rsidP="00CF4592">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Unrestricted</w:t>
            </w:r>
          </w:p>
        </w:tc>
        <w:tc>
          <w:tcPr>
            <w:tcW w:w="1080" w:type="dxa"/>
            <w:tcBorders>
              <w:bottom w:val="single" w:sz="8" w:space="0" w:color="00688D"/>
            </w:tcBorders>
            <w:shd w:val="clear" w:color="auto" w:fill="auto"/>
          </w:tcPr>
          <w:p w14:paraId="7B511D19" w14:textId="0815D4DE" w:rsidR="00CF4592" w:rsidRPr="00A504DA" w:rsidRDefault="00296B5F" w:rsidP="00CF4592">
            <w:pPr>
              <w:tabs>
                <w:tab w:val="left" w:pos="720"/>
                <w:tab w:val="left" w:pos="1440"/>
                <w:tab w:val="decimal" w:pos="6786"/>
                <w:tab w:val="decimal" w:pos="8100"/>
              </w:tabs>
              <w:suppressAutoHyphens/>
              <w:jc w:val="right"/>
              <w:rPr>
                <w:rFonts w:eastAsia="Times New Roman" w:cstheme="minorHAnsi"/>
                <w:bCs/>
                <w:color w:val="000000" w:themeColor="text1"/>
                <w:spacing w:val="-3"/>
                <w:sz w:val="24"/>
                <w:szCs w:val="24"/>
              </w:rPr>
            </w:pPr>
            <w:r w:rsidRPr="00A504DA">
              <w:rPr>
                <w:rFonts w:eastAsia="Times New Roman" w:cstheme="minorHAnsi"/>
                <w:bCs/>
                <w:color w:val="000000" w:themeColor="text1"/>
                <w:spacing w:val="-3"/>
                <w:sz w:val="24"/>
                <w:szCs w:val="24"/>
              </w:rPr>
              <w:t>18,328</w:t>
            </w:r>
          </w:p>
        </w:tc>
        <w:tc>
          <w:tcPr>
            <w:tcW w:w="1260" w:type="dxa"/>
            <w:tcBorders>
              <w:bottom w:val="single" w:sz="8" w:space="0" w:color="00688D"/>
            </w:tcBorders>
            <w:shd w:val="clear" w:color="auto" w:fill="F2F2F2" w:themeFill="background1" w:themeFillShade="F2"/>
          </w:tcPr>
          <w:p w14:paraId="71D646C8" w14:textId="4AA16C12" w:rsidR="00CF4592" w:rsidRPr="00F54559" w:rsidRDefault="00CF4592" w:rsidP="00CF4592">
            <w:pPr>
              <w:tabs>
                <w:tab w:val="left" w:pos="720"/>
                <w:tab w:val="left" w:pos="1440"/>
                <w:tab w:val="decimal" w:pos="6786"/>
                <w:tab w:val="decimal" w:pos="8100"/>
              </w:tabs>
              <w:suppressAutoHyphens/>
              <w:jc w:val="right"/>
              <w:rPr>
                <w:rFonts w:eastAsia="Times New Roman" w:cstheme="minorHAnsi"/>
                <w:bCs/>
                <w:spacing w:val="-3"/>
                <w:sz w:val="24"/>
                <w:szCs w:val="24"/>
              </w:rPr>
            </w:pPr>
            <w:r w:rsidRPr="001C0A99">
              <w:rPr>
                <w:rFonts w:eastAsia="Times New Roman" w:cstheme="minorHAnsi"/>
                <w:bCs/>
                <w:spacing w:val="-3"/>
                <w:sz w:val="24"/>
                <w:szCs w:val="24"/>
              </w:rPr>
              <w:t>17,183</w:t>
            </w:r>
          </w:p>
        </w:tc>
      </w:tr>
      <w:tr w:rsidR="00CF4592" w:rsidRPr="00A454B4" w14:paraId="2A606A08" w14:textId="77777777" w:rsidTr="00C029A1">
        <w:trPr>
          <w:trHeight w:val="334"/>
          <w:jc w:val="center"/>
        </w:trPr>
        <w:tc>
          <w:tcPr>
            <w:tcW w:w="3330" w:type="dxa"/>
            <w:tcBorders>
              <w:top w:val="single" w:sz="8" w:space="0" w:color="00688D"/>
              <w:bottom w:val="double" w:sz="4" w:space="0" w:color="00688D"/>
            </w:tcBorders>
          </w:tcPr>
          <w:p w14:paraId="286ACD53" w14:textId="77777777" w:rsidR="00CF4592" w:rsidRPr="00F54559" w:rsidRDefault="00CF4592" w:rsidP="00CF4592">
            <w:pPr>
              <w:pStyle w:val="ReportTotal"/>
              <w:jc w:val="left"/>
              <w:rPr>
                <w:rFonts w:asciiTheme="minorHAnsi" w:hAnsiTheme="minorHAnsi" w:cstheme="minorHAnsi"/>
              </w:rPr>
            </w:pPr>
            <w:r w:rsidRPr="00F54559">
              <w:rPr>
                <w:rFonts w:asciiTheme="minorHAnsi" w:hAnsiTheme="minorHAnsi" w:cstheme="minorHAnsi"/>
              </w:rPr>
              <w:t>Total available for spending</w:t>
            </w:r>
          </w:p>
        </w:tc>
        <w:tc>
          <w:tcPr>
            <w:tcW w:w="1080" w:type="dxa"/>
            <w:tcBorders>
              <w:top w:val="single" w:sz="8" w:space="0" w:color="00688D"/>
              <w:bottom w:val="double" w:sz="4" w:space="0" w:color="00688D"/>
            </w:tcBorders>
            <w:shd w:val="clear" w:color="auto" w:fill="auto"/>
          </w:tcPr>
          <w:p w14:paraId="2453B2BC" w14:textId="23B34DCA" w:rsidR="00CF4592" w:rsidRPr="00A504DA" w:rsidRDefault="00CF4592" w:rsidP="00CF4592">
            <w:pPr>
              <w:pStyle w:val="ReportTotal"/>
              <w:jc w:val="right"/>
              <w:rPr>
                <w:rFonts w:asciiTheme="minorHAnsi" w:hAnsiTheme="minorHAnsi" w:cstheme="minorHAnsi"/>
                <w:color w:val="000000" w:themeColor="text1"/>
              </w:rPr>
            </w:pPr>
            <w:r w:rsidRPr="00A504DA">
              <w:rPr>
                <w:rFonts w:asciiTheme="minorHAnsi" w:hAnsiTheme="minorHAnsi" w:cstheme="minorHAnsi"/>
                <w:color w:val="000000" w:themeColor="text1"/>
              </w:rPr>
              <w:t>$</w:t>
            </w:r>
            <w:r w:rsidR="00296B5F" w:rsidRPr="00A504DA">
              <w:rPr>
                <w:rFonts w:asciiTheme="minorHAnsi" w:hAnsiTheme="minorHAnsi" w:cstheme="minorHAnsi"/>
                <w:color w:val="000000" w:themeColor="text1"/>
              </w:rPr>
              <w:t>77,791</w:t>
            </w:r>
          </w:p>
        </w:tc>
        <w:tc>
          <w:tcPr>
            <w:tcW w:w="1260" w:type="dxa"/>
            <w:tcBorders>
              <w:top w:val="single" w:sz="8" w:space="0" w:color="00688D"/>
              <w:bottom w:val="double" w:sz="4" w:space="0" w:color="00688D"/>
            </w:tcBorders>
            <w:shd w:val="clear" w:color="auto" w:fill="F2F2F2" w:themeFill="background1" w:themeFillShade="F2"/>
          </w:tcPr>
          <w:p w14:paraId="39FC9802" w14:textId="784568F4" w:rsidR="00CF4592" w:rsidRPr="00F54559" w:rsidRDefault="00CF4592" w:rsidP="00CF4592">
            <w:pPr>
              <w:pStyle w:val="ReportTotal"/>
              <w:jc w:val="right"/>
              <w:rPr>
                <w:rFonts w:asciiTheme="minorHAnsi" w:hAnsiTheme="minorHAnsi" w:cstheme="minorHAnsi"/>
              </w:rPr>
            </w:pPr>
            <w:r w:rsidRPr="00B933E3">
              <w:rPr>
                <w:rFonts w:asciiTheme="minorHAnsi" w:hAnsiTheme="minorHAnsi" w:cstheme="minorHAnsi"/>
              </w:rPr>
              <w:t>$</w:t>
            </w:r>
            <w:r w:rsidRPr="001C0A99">
              <w:rPr>
                <w:rFonts w:asciiTheme="minorHAnsi" w:hAnsiTheme="minorHAnsi" w:cstheme="minorHAnsi"/>
              </w:rPr>
              <w:t>69,702</w:t>
            </w:r>
          </w:p>
        </w:tc>
      </w:tr>
    </w:tbl>
    <w:p w14:paraId="4FD07E8F" w14:textId="77777777" w:rsidR="00DD1612" w:rsidRPr="00E34202" w:rsidRDefault="00DD1612" w:rsidP="00DD1612">
      <w:pPr>
        <w:pStyle w:val="ReportHeading3"/>
        <w:spacing w:before="0" w:after="0"/>
        <w:rPr>
          <w:rFonts w:cstheme="minorHAnsi"/>
          <w:b w:val="0"/>
          <w:i w:val="0"/>
          <w:sz w:val="16"/>
          <w:szCs w:val="20"/>
          <w:u w:val="none"/>
        </w:rPr>
      </w:pPr>
    </w:p>
    <w:p w14:paraId="0C9422FF" w14:textId="5D665947" w:rsidR="00DD1612" w:rsidRPr="002A6F45" w:rsidRDefault="00DD1612" w:rsidP="00DD1612">
      <w:pPr>
        <w:spacing w:after="160" w:line="259" w:lineRule="auto"/>
        <w:rPr>
          <w:rFonts w:cstheme="minorHAnsi"/>
          <w:spacing w:val="-3"/>
          <w:sz w:val="24"/>
          <w:szCs w:val="24"/>
        </w:rPr>
      </w:pPr>
      <w:r w:rsidRPr="00F54559">
        <w:rPr>
          <w:rFonts w:cstheme="minorHAnsi"/>
          <w:b/>
          <w:i/>
          <w:spacing w:val="-3"/>
          <w:sz w:val="24"/>
          <w:szCs w:val="24"/>
        </w:rPr>
        <w:t>Investments for the Defined Benefit Plan – Classified Employees</w:t>
      </w:r>
      <w:r w:rsidR="00541C5C">
        <w:rPr>
          <w:rFonts w:cstheme="minorHAnsi"/>
          <w:b/>
          <w:i/>
          <w:spacing w:val="-3"/>
          <w:sz w:val="24"/>
          <w:szCs w:val="24"/>
        </w:rPr>
        <w:t>:</w:t>
      </w:r>
      <w:r w:rsidRPr="002A6F45">
        <w:rPr>
          <w:rFonts w:cstheme="minorHAnsi"/>
          <w:b/>
          <w:i/>
          <w:spacing w:val="-3"/>
          <w:sz w:val="24"/>
          <w:szCs w:val="24"/>
        </w:rPr>
        <w:t xml:space="preserve"> </w:t>
      </w:r>
      <w:r w:rsidRPr="002A6F45">
        <w:rPr>
          <w:rFonts w:cstheme="minorHAnsi"/>
          <w:spacing w:val="-3"/>
          <w:sz w:val="24"/>
          <w:szCs w:val="24"/>
          <w:shd w:val="clear" w:color="auto" w:fill="FFFFFF"/>
        </w:rPr>
        <w:t>These pension plan investments offset the Total Pension Liability of the System’s Defined Benefit Plan – Classified Employees (DB Plan) described in Note 13d. They are managed by the System and their </w:t>
      </w:r>
      <w:r w:rsidRPr="002A6F45">
        <w:rPr>
          <w:rFonts w:cstheme="minorHAnsi"/>
          <w:sz w:val="24"/>
          <w:szCs w:val="24"/>
          <w:shd w:val="clear" w:color="auto" w:fill="FFFFFF"/>
        </w:rPr>
        <w:t>fair values, credit ratings, and interest rate risk </w:t>
      </w:r>
      <w:r w:rsidRPr="002A6F45">
        <w:rPr>
          <w:rFonts w:cstheme="minorHAnsi"/>
          <w:spacing w:val="-3"/>
          <w:sz w:val="24"/>
          <w:szCs w:val="24"/>
          <w:shd w:val="clear" w:color="auto" w:fill="FFFFFF"/>
        </w:rPr>
        <w:t>are presented below in the </w:t>
      </w:r>
      <w:r>
        <w:rPr>
          <w:rFonts w:ascii="Calibri" w:eastAsia="Times New Roman" w:hAnsi="Calibri" w:cs="Tahoma"/>
          <w:sz w:val="24"/>
          <w:szCs w:val="20"/>
        </w:rPr>
        <w:t>“</w:t>
      </w:r>
      <w:r w:rsidRPr="002A6F45">
        <w:rPr>
          <w:rFonts w:cstheme="minorHAnsi"/>
          <w:sz w:val="24"/>
          <w:szCs w:val="24"/>
          <w:shd w:val="clear" w:color="auto" w:fill="FFFFFF"/>
        </w:rPr>
        <w:t>DB Plan and MIP investments”</w:t>
      </w:r>
      <w:r w:rsidRPr="002A6F45">
        <w:rPr>
          <w:rFonts w:cstheme="minorHAnsi"/>
          <w:spacing w:val="-3"/>
          <w:sz w:val="24"/>
          <w:szCs w:val="24"/>
          <w:shd w:val="clear" w:color="auto" w:fill="FFFFFF"/>
        </w:rPr>
        <w:t>. </w:t>
      </w:r>
    </w:p>
    <w:p w14:paraId="2A0F4B75" w14:textId="77777777" w:rsidR="00DD1612" w:rsidRDefault="00DD1612" w:rsidP="00DD1612">
      <w:pPr>
        <w:spacing w:after="160" w:line="259" w:lineRule="auto"/>
        <w:rPr>
          <w:rFonts w:cstheme="minorHAnsi"/>
          <w:b/>
          <w:i/>
          <w:sz w:val="24"/>
          <w:szCs w:val="24"/>
          <w:u w:val="single"/>
        </w:rPr>
      </w:pPr>
      <w:r>
        <w:rPr>
          <w:rFonts w:cstheme="minorHAnsi"/>
          <w:i/>
        </w:rPr>
        <w:br w:type="page"/>
      </w:r>
    </w:p>
    <w:p w14:paraId="27CE9189" w14:textId="77777777" w:rsidR="00DD1612" w:rsidRPr="00F54559" w:rsidRDefault="00DD1612" w:rsidP="00DD1612">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3AB1F9EE" w14:textId="77777777" w:rsidR="00DD1612" w:rsidRPr="00F54559" w:rsidRDefault="00DD1612" w:rsidP="00DD1612">
      <w:pPr>
        <w:pStyle w:val="AFR4"/>
        <w:spacing w:before="240"/>
        <w:rPr>
          <w:rFonts w:cstheme="minorHAnsi"/>
          <w:i/>
        </w:rPr>
      </w:pPr>
      <w:r w:rsidRPr="00F54559">
        <w:rPr>
          <w:rFonts w:cstheme="minorHAnsi"/>
          <w:i/>
        </w:rPr>
        <w:t>Fair Value Measurements:</w:t>
      </w:r>
    </w:p>
    <w:p w14:paraId="58CDEC09" w14:textId="77777777" w:rsidR="00DD1612" w:rsidRPr="00F54559" w:rsidRDefault="00DD1612" w:rsidP="00DD1612">
      <w:pPr>
        <w:tabs>
          <w:tab w:val="left" w:pos="1022"/>
          <w:tab w:val="left" w:pos="1440"/>
          <w:tab w:val="right" w:pos="4262"/>
          <w:tab w:val="right" w:pos="5220"/>
          <w:tab w:val="right" w:pos="6691"/>
          <w:tab w:val="right" w:pos="7621"/>
          <w:tab w:val="right" w:pos="9187"/>
        </w:tabs>
        <w:suppressAutoHyphens/>
        <w:spacing w:after="160"/>
        <w:rPr>
          <w:rFonts w:cstheme="minorHAnsi"/>
          <w:noProof/>
          <w:sz w:val="24"/>
        </w:rPr>
      </w:pPr>
      <w:r w:rsidRPr="00F54559">
        <w:rPr>
          <w:rFonts w:cstheme="minorHAnsi"/>
          <w:noProof/>
          <w:sz w:val="24"/>
        </w:rPr>
        <w:t xml:space="preserve">GASB Statement No. 72, </w:t>
      </w:r>
      <w:r w:rsidRPr="00F54559">
        <w:rPr>
          <w:rFonts w:cstheme="minorHAnsi"/>
          <w:i/>
          <w:noProof/>
          <w:sz w:val="24"/>
        </w:rPr>
        <w:t>Fair Value Measurement and Application</w:t>
      </w:r>
      <w:r w:rsidRPr="00F54559">
        <w:rPr>
          <w:rFonts w:cstheme="minorHAnsi"/>
          <w:noProof/>
          <w:sz w:val="24"/>
        </w:rPr>
        <w:t xml:space="preserve"> (GASB No. 72), defines fair value as the exchange price that would be received for an asset or paid to transfer a liability (an exit price) in the entity’s principal or most advantageous market for the asset or liability in an orderly transaction between market participants on the measurement date. GASB No. 72 also establishes a fair value hierarchy which requires an entity to maximize the use of observable inputs and minimize the use of unobservable inputs when measuring fair value, and describes three levels of inputs that may be used to measure fair value:</w:t>
      </w:r>
    </w:p>
    <w:p w14:paraId="6EE50788" w14:textId="53B85007" w:rsidR="00DD1612" w:rsidRPr="00F54559" w:rsidRDefault="00DD1612" w:rsidP="00DD1612">
      <w:pPr>
        <w:numPr>
          <w:ilvl w:val="0"/>
          <w:numId w:val="7"/>
        </w:numPr>
        <w:spacing w:after="160"/>
        <w:ind w:left="1350" w:hanging="1080"/>
        <w:rPr>
          <w:rFonts w:eastAsia="Times New Roman" w:cstheme="minorHAnsi"/>
          <w:noProof/>
          <w:sz w:val="24"/>
          <w:szCs w:val="24"/>
        </w:rPr>
      </w:pPr>
      <w:r w:rsidRPr="00F54559">
        <w:rPr>
          <w:rFonts w:eastAsia="Times New Roman" w:cstheme="minorHAnsi"/>
          <w:noProof/>
          <w:sz w:val="24"/>
          <w:szCs w:val="24"/>
        </w:rPr>
        <w:t xml:space="preserve">Valuations based on unadjusted quoted prices in active markets for identical assets or liabilities that the entity has the ability to access as of the measurement date. Since valuations are based on quoted prices that are readily and regularly available in an active market, valuation of these securities does not entail </w:t>
      </w:r>
      <w:r w:rsidR="00541C5C">
        <w:rPr>
          <w:rFonts w:eastAsia="Times New Roman" w:cstheme="minorHAnsi"/>
          <w:noProof/>
          <w:sz w:val="24"/>
          <w:szCs w:val="24"/>
        </w:rPr>
        <w:t xml:space="preserve">a significant </w:t>
      </w:r>
      <w:r w:rsidRPr="00F54559">
        <w:rPr>
          <w:rFonts w:eastAsia="Times New Roman" w:cstheme="minorHAnsi"/>
          <w:noProof/>
          <w:sz w:val="24"/>
          <w:szCs w:val="24"/>
        </w:rPr>
        <w:t>degree of judgement.</w:t>
      </w:r>
    </w:p>
    <w:p w14:paraId="635EECAF" w14:textId="77777777" w:rsidR="00DD1612" w:rsidRPr="00F54559" w:rsidRDefault="00DD1612" w:rsidP="00DD1612">
      <w:pPr>
        <w:numPr>
          <w:ilvl w:val="0"/>
          <w:numId w:val="7"/>
        </w:numPr>
        <w:spacing w:before="120" w:after="160"/>
        <w:ind w:left="1350" w:hanging="1080"/>
        <w:rPr>
          <w:rFonts w:eastAsia="Times New Roman" w:cstheme="minorHAnsi"/>
          <w:noProof/>
          <w:sz w:val="24"/>
          <w:szCs w:val="24"/>
        </w:rPr>
      </w:pPr>
      <w:r w:rsidRPr="00F54559">
        <w:rPr>
          <w:rFonts w:eastAsia="Times New Roman" w:cstheme="minorHAnsi"/>
          <w:noProof/>
          <w:sz w:val="24"/>
          <w:szCs w:val="24"/>
        </w:rPr>
        <w:t xml:space="preserve">Valuations based on significant other observable inputs other than Level 1 prices, such as quoted prices for similar assets or liabilites, quoted prices in markets that are not active, and other inputs that are observable or can be corroborated by observable market data. </w:t>
      </w:r>
    </w:p>
    <w:p w14:paraId="4BAACE37" w14:textId="77777777" w:rsidR="00DD1612" w:rsidRPr="00F54559" w:rsidRDefault="00DD1612" w:rsidP="00DD1612">
      <w:pPr>
        <w:numPr>
          <w:ilvl w:val="0"/>
          <w:numId w:val="7"/>
        </w:numPr>
        <w:ind w:left="1350" w:hanging="1080"/>
        <w:contextualSpacing/>
        <w:rPr>
          <w:rFonts w:eastAsia="Times New Roman" w:cstheme="minorHAnsi"/>
          <w:noProof/>
          <w:sz w:val="24"/>
          <w:szCs w:val="24"/>
        </w:rPr>
      </w:pPr>
      <w:r w:rsidRPr="00F54559">
        <w:rPr>
          <w:rFonts w:eastAsia="Times New Roman" w:cstheme="minorHAnsi"/>
          <w:noProof/>
          <w:sz w:val="24"/>
          <w:szCs w:val="24"/>
        </w:rPr>
        <w:t xml:space="preserve">Valuations based on inputs that are unobservable and significant to the overall fair value measurement. They reflect an entity’s own assumptions about the assumptions that market participants would use in pricing an asset or liability. </w:t>
      </w:r>
    </w:p>
    <w:p w14:paraId="72B5E93F" w14:textId="77777777" w:rsidR="00DD1612" w:rsidRPr="00F54559" w:rsidRDefault="00DD1612" w:rsidP="00DD1612">
      <w:pPr>
        <w:pStyle w:val="ListParagraph"/>
        <w:rPr>
          <w:rFonts w:asciiTheme="minorHAnsi" w:hAnsiTheme="minorHAnsi" w:cstheme="minorHAnsi"/>
          <w:noProof/>
          <w:sz w:val="20"/>
        </w:rPr>
      </w:pPr>
    </w:p>
    <w:p w14:paraId="47C20ADA" w14:textId="36D6A3BB" w:rsidR="00DD1612" w:rsidRDefault="00DD1612" w:rsidP="00DD1612">
      <w:pPr>
        <w:contextualSpacing/>
        <w:rPr>
          <w:rFonts w:eastAsia="Times New Roman" w:cstheme="minorHAnsi"/>
          <w:noProof/>
          <w:sz w:val="24"/>
          <w:szCs w:val="24"/>
        </w:rPr>
      </w:pPr>
      <w:r w:rsidRPr="00F54559">
        <w:rPr>
          <w:rFonts w:eastAsia="Times New Roman" w:cstheme="minorHAnsi"/>
          <w:noProof/>
          <w:sz w:val="24"/>
          <w:szCs w:val="24"/>
        </w:rPr>
        <w:t>The above hierarchy is based on the valuation inputs used to measure the fair value of the asset and gives the highest priority to level 1 measurements and the lowest pri</w:t>
      </w:r>
      <w:r w:rsidR="00541C5C">
        <w:rPr>
          <w:rFonts w:eastAsia="Times New Roman" w:cstheme="minorHAnsi"/>
          <w:noProof/>
          <w:sz w:val="24"/>
          <w:szCs w:val="24"/>
        </w:rPr>
        <w:t xml:space="preserve">ority to level 3 measurements. </w:t>
      </w:r>
      <w:r w:rsidRPr="00F54559">
        <w:rPr>
          <w:rFonts w:eastAsia="Times New Roman" w:cstheme="minorHAnsi"/>
          <w:noProof/>
          <w:sz w:val="24"/>
          <w:szCs w:val="24"/>
        </w:rPr>
        <w:t>Investments that are measured at fair value using net asset value (NAV) per share (or its equivalent) as a practical expedient are not classified in the fair value hierarchy.</w:t>
      </w:r>
    </w:p>
    <w:p w14:paraId="7A27157F" w14:textId="2B1CCA0A" w:rsidR="00DD1612" w:rsidRPr="00F54559" w:rsidRDefault="00DD1612" w:rsidP="00DD1612">
      <w:pPr>
        <w:autoSpaceDE w:val="0"/>
        <w:autoSpaceDN w:val="0"/>
        <w:adjustRightInd w:val="0"/>
        <w:rPr>
          <w:rFonts w:eastAsia="Times New Roman" w:cstheme="minorHAnsi"/>
          <w:noProof/>
          <w:sz w:val="24"/>
          <w:szCs w:val="24"/>
        </w:rPr>
        <w:sectPr w:rsidR="00DD1612" w:rsidRPr="00F54559" w:rsidSect="00BD375F">
          <w:headerReference w:type="default" r:id="rId60"/>
          <w:footerReference w:type="first" r:id="rId61"/>
          <w:type w:val="continuous"/>
          <w:pgSz w:w="12240" w:h="15840" w:code="1"/>
          <w:pgMar w:top="1440" w:right="1440" w:bottom="1440" w:left="1440" w:header="720" w:footer="720" w:gutter="0"/>
          <w:cols w:space="0"/>
          <w:titlePg/>
          <w:docGrid w:linePitch="360"/>
        </w:sectPr>
      </w:pPr>
      <w:r w:rsidRPr="00F54559">
        <w:rPr>
          <w:rFonts w:eastAsia="Times New Roman" w:cstheme="minorHAnsi"/>
          <w:noProof/>
          <w:sz w:val="24"/>
          <w:szCs w:val="24"/>
        </w:rPr>
        <w:t>The System measures the fair value of investments in certain entities that do not have a quoted market price at the calculated N</w:t>
      </w:r>
      <w:r w:rsidR="00541C5C">
        <w:rPr>
          <w:rFonts w:eastAsia="Times New Roman" w:cstheme="minorHAnsi"/>
          <w:noProof/>
          <w:sz w:val="24"/>
          <w:szCs w:val="24"/>
        </w:rPr>
        <w:t>AV per share or its equivalent.</w:t>
      </w:r>
      <w:r w:rsidRPr="00F54559">
        <w:rPr>
          <w:rFonts w:eastAsia="Times New Roman" w:cstheme="minorHAnsi"/>
          <w:noProof/>
          <w:sz w:val="24"/>
          <w:szCs w:val="24"/>
        </w:rPr>
        <w:t xml:space="preserve"> As these investments are not readily marketable the estimated value is subject to uncertainty, and therefore, may differ from the value that would have been used had a ready market for the investments existed.</w:t>
      </w:r>
    </w:p>
    <w:p w14:paraId="4870B434" w14:textId="77777777" w:rsidR="00DD1612" w:rsidRPr="00F54559" w:rsidRDefault="00DD1612" w:rsidP="00DD1612">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26BE0D87" w14:textId="33C62792" w:rsidR="00DD1612" w:rsidRDefault="00DD1612" w:rsidP="00DD1612">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trustees </w:t>
      </w:r>
      <w:r w:rsidRPr="00F54559">
        <w:rPr>
          <w:rFonts w:eastAsia="Times New Roman" w:cstheme="minorHAnsi"/>
          <w:color w:val="000000"/>
          <w:spacing w:val="-3"/>
          <w:sz w:val="24"/>
          <w:szCs w:val="20"/>
        </w:rPr>
        <w:t xml:space="preserve">were composed of the following </w:t>
      </w:r>
      <w:proofErr w:type="gramStart"/>
      <w:r w:rsidRPr="00F54559">
        <w:rPr>
          <w:rFonts w:eastAsia="Times New Roman" w:cstheme="minorHAnsi"/>
          <w:color w:val="000000"/>
          <w:spacing w:val="-3"/>
          <w:sz w:val="24"/>
          <w:szCs w:val="20"/>
        </w:rPr>
        <w:t>at</w:t>
      </w:r>
      <w:proofErr w:type="gramEnd"/>
      <w:r w:rsidRPr="00F54559">
        <w:rPr>
          <w:rFonts w:eastAsia="Times New Roman" w:cstheme="minorHAnsi"/>
          <w:color w:val="000000"/>
          <w:spacing w:val="-3"/>
          <w:sz w:val="24"/>
          <w:szCs w:val="20"/>
        </w:rPr>
        <w:t xml:space="preserve"> </w:t>
      </w:r>
      <w:r w:rsidRPr="00C9349A">
        <w:rPr>
          <w:rFonts w:eastAsia="Times New Roman" w:cstheme="minorHAnsi"/>
          <w:color w:val="000000"/>
          <w:spacing w:val="-3"/>
          <w:sz w:val="24"/>
          <w:szCs w:val="20"/>
        </w:rPr>
        <w:t>June 30</w:t>
      </w:r>
      <w:r w:rsidRPr="00C9349A">
        <w:rPr>
          <w:rFonts w:eastAsia="Times New Roman" w:cstheme="minorHAnsi"/>
          <w:spacing w:val="-3"/>
          <w:sz w:val="24"/>
          <w:szCs w:val="20"/>
        </w:rPr>
        <w:t xml:space="preserve">, </w:t>
      </w:r>
      <w:r w:rsidR="00296B5F" w:rsidRPr="00C9349A">
        <w:rPr>
          <w:rFonts w:eastAsia="Times New Roman" w:cstheme="minorHAnsi"/>
          <w:spacing w:val="-3"/>
          <w:sz w:val="24"/>
          <w:szCs w:val="20"/>
        </w:rPr>
        <w:t>202</w:t>
      </w:r>
      <w:r w:rsidR="00296B5F">
        <w:rPr>
          <w:rFonts w:eastAsia="Times New Roman" w:cstheme="minorHAnsi"/>
          <w:spacing w:val="-3"/>
          <w:sz w:val="24"/>
          <w:szCs w:val="20"/>
        </w:rPr>
        <w:t>3</w:t>
      </w:r>
      <w:r w:rsidRPr="00F54559">
        <w:rPr>
          <w:rFonts w:eastAsia="Times New Roman" w:cstheme="minorHAnsi"/>
          <w:spacing w:val="-3"/>
          <w:sz w:val="24"/>
          <w:szCs w:val="20"/>
        </w:rPr>
        <w:t>:</w:t>
      </w:r>
    </w:p>
    <w:p w14:paraId="499AEFB3" w14:textId="2CD1E129" w:rsidR="00DD1612" w:rsidRPr="00F54559" w:rsidRDefault="00B40E40" w:rsidP="00DD1612">
      <w:pPr>
        <w:tabs>
          <w:tab w:val="left" w:pos="720"/>
          <w:tab w:val="left" w:pos="1080"/>
          <w:tab w:val="decimal" w:pos="6786"/>
          <w:tab w:val="decimal" w:pos="9187"/>
        </w:tabs>
        <w:suppressAutoHyphens/>
        <w:spacing w:before="160" w:after="160"/>
        <w:rPr>
          <w:rFonts w:eastAsia="Times New Roman" w:cstheme="minorHAnsi"/>
          <w:color w:val="000000"/>
          <w:spacing w:val="-3"/>
          <w:sz w:val="24"/>
          <w:szCs w:val="20"/>
        </w:rPr>
        <w:sectPr w:rsidR="00DD1612" w:rsidRPr="00F54559" w:rsidSect="00BD375F">
          <w:headerReference w:type="default" r:id="rId62"/>
          <w:footerReference w:type="default" r:id="rId63"/>
          <w:pgSz w:w="15840" w:h="12240" w:orient="landscape" w:code="1"/>
          <w:pgMar w:top="1440" w:right="1440" w:bottom="1440" w:left="1440" w:header="720" w:footer="720" w:gutter="0"/>
          <w:cols w:space="0"/>
          <w:docGrid w:linePitch="360"/>
        </w:sectPr>
      </w:pPr>
      <w:r w:rsidRPr="00B40E40">
        <w:drawing>
          <wp:inline distT="0" distB="0" distL="0" distR="0" wp14:anchorId="3E4429C7" wp14:editId="166EC888">
            <wp:extent cx="8229600" cy="3657600"/>
            <wp:effectExtent l="0" t="0" r="0" b="0"/>
            <wp:docPr id="951502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02943" name="Picture 1">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3657600"/>
                    </a:xfrm>
                    <a:prstGeom prst="rect">
                      <a:avLst/>
                    </a:prstGeom>
                    <a:noFill/>
                    <a:ln>
                      <a:noFill/>
                    </a:ln>
                  </pic:spPr>
                </pic:pic>
              </a:graphicData>
            </a:graphic>
          </wp:inline>
        </w:drawing>
      </w:r>
    </w:p>
    <w:p w14:paraId="57EA8C3A" w14:textId="77777777" w:rsidR="00DD1612" w:rsidRDefault="00DD1612" w:rsidP="00DD1612">
      <w:pPr>
        <w:spacing w:after="160" w:line="259" w:lineRule="auto"/>
        <w:rPr>
          <w:rFonts w:eastAsia="Times New Roman" w:cstheme="minorHAnsi"/>
          <w:color w:val="000000"/>
          <w:spacing w:val="-3"/>
          <w:sz w:val="24"/>
          <w:szCs w:val="20"/>
        </w:rPr>
      </w:pPr>
      <w:r w:rsidRPr="00F54559">
        <w:rPr>
          <w:rFonts w:cstheme="minorHAnsi"/>
          <w:b/>
          <w:i/>
          <w:noProof/>
          <w:sz w:val="26"/>
          <w:szCs w:val="26"/>
        </w:rPr>
        <w:lastRenderedPageBreak/>
        <w:t xml:space="preserve">3. INVESTMENTS </w:t>
      </w:r>
      <w:r>
        <w:rPr>
          <w:rFonts w:cstheme="minorHAnsi"/>
          <w:b/>
          <w:i/>
          <w:noProof/>
          <w:sz w:val="26"/>
          <w:szCs w:val="26"/>
        </w:rPr>
        <w:t>–</w:t>
      </w:r>
      <w:r w:rsidRPr="00F54559">
        <w:rPr>
          <w:rFonts w:cstheme="minorHAnsi"/>
          <w:b/>
          <w:i/>
          <w:noProof/>
          <w:sz w:val="26"/>
          <w:szCs w:val="26"/>
        </w:rPr>
        <w:t xml:space="preserve"> CONTINUED</w:t>
      </w:r>
    </w:p>
    <w:p w14:paraId="5C1283FB" w14:textId="033E9DF8" w:rsidR="00DD1612" w:rsidRDefault="00DD1612" w:rsidP="00DD1612">
      <w:pPr>
        <w:spacing w:after="160" w:line="259" w:lineRule="auto"/>
        <w:rPr>
          <w:noProof/>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DB Plan, MIP and separately invested</w:t>
      </w:r>
      <w:r>
        <w:rPr>
          <w:rFonts w:eastAsia="Times New Roman" w:cstheme="minorHAnsi"/>
          <w:color w:val="000000"/>
          <w:spacing w:val="-3"/>
          <w:sz w:val="24"/>
          <w:szCs w:val="20"/>
        </w:rPr>
        <w:t xml:space="preserve"> </w:t>
      </w:r>
      <w:r>
        <w:rPr>
          <w:rFonts w:eastAsia="Times New Roman" w:cstheme="minorHAnsi"/>
          <w:b/>
          <w:color w:val="000000"/>
          <w:spacing w:val="-3"/>
          <w:sz w:val="24"/>
          <w:szCs w:val="20"/>
        </w:rPr>
        <w:t xml:space="preserve">endowments </w:t>
      </w:r>
      <w:r w:rsidRPr="00F54559">
        <w:rPr>
          <w:rFonts w:eastAsia="Times New Roman" w:cstheme="minorHAnsi"/>
          <w:color w:val="000000"/>
          <w:spacing w:val="-3"/>
          <w:sz w:val="24"/>
          <w:szCs w:val="20"/>
        </w:rPr>
        <w:t xml:space="preserve">were composed of the following 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xml:space="preserve">, </w:t>
      </w:r>
      <w:r w:rsidR="00296B5F" w:rsidRPr="00601B8C">
        <w:rPr>
          <w:rFonts w:eastAsia="Times New Roman" w:cstheme="minorHAnsi"/>
          <w:spacing w:val="-3"/>
          <w:sz w:val="24"/>
          <w:szCs w:val="20"/>
        </w:rPr>
        <w:t>202</w:t>
      </w:r>
      <w:r w:rsidR="00296B5F">
        <w:rPr>
          <w:rFonts w:eastAsia="Times New Roman" w:cstheme="minorHAnsi"/>
          <w:spacing w:val="-3"/>
          <w:sz w:val="24"/>
          <w:szCs w:val="20"/>
        </w:rPr>
        <w:t>3</w:t>
      </w:r>
      <w:r w:rsidRPr="00F54559">
        <w:rPr>
          <w:rFonts w:eastAsia="Times New Roman" w:cstheme="minorHAnsi"/>
          <w:spacing w:val="-3"/>
          <w:sz w:val="24"/>
          <w:szCs w:val="20"/>
        </w:rPr>
        <w:t>:</w:t>
      </w:r>
      <w:r w:rsidRPr="000B0AAD">
        <w:rPr>
          <w:noProof/>
        </w:rPr>
        <w:t xml:space="preserve"> </w:t>
      </w:r>
    </w:p>
    <w:p w14:paraId="42878AB0" w14:textId="16663111" w:rsidR="00F91EC6" w:rsidRDefault="00BE2BD0" w:rsidP="00DD1612">
      <w:pPr>
        <w:spacing w:after="160" w:line="259" w:lineRule="auto"/>
        <w:rPr>
          <w:rFonts w:eastAsia="Times New Roman" w:cstheme="minorHAnsi"/>
          <w:spacing w:val="-3"/>
          <w:sz w:val="24"/>
          <w:szCs w:val="20"/>
        </w:rPr>
      </w:pPr>
      <w:r w:rsidRPr="00BE2BD0">
        <w:rPr>
          <w:noProof/>
        </w:rPr>
        <w:drawing>
          <wp:inline distT="0" distB="0" distL="0" distR="0" wp14:anchorId="49B3440F" wp14:editId="42C93AFC">
            <wp:extent cx="8229600" cy="349103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0" cy="3491032"/>
                    </a:xfrm>
                    <a:prstGeom prst="rect">
                      <a:avLst/>
                    </a:prstGeom>
                    <a:noFill/>
                    <a:ln>
                      <a:noFill/>
                    </a:ln>
                  </pic:spPr>
                </pic:pic>
              </a:graphicData>
            </a:graphic>
          </wp:inline>
        </w:drawing>
      </w:r>
    </w:p>
    <w:p w14:paraId="7F6B460F" w14:textId="77777777" w:rsidR="00F91EC6" w:rsidRDefault="00F91EC6">
      <w:pPr>
        <w:spacing w:after="160" w:line="259" w:lineRule="auto"/>
        <w:rPr>
          <w:rFonts w:cstheme="minorHAnsi"/>
          <w:b/>
          <w:i/>
          <w:noProof/>
          <w:sz w:val="26"/>
          <w:szCs w:val="26"/>
        </w:rPr>
      </w:pPr>
      <w:r>
        <w:rPr>
          <w:rFonts w:cstheme="minorHAnsi"/>
          <w:b/>
          <w:i/>
          <w:noProof/>
          <w:sz w:val="26"/>
          <w:szCs w:val="26"/>
        </w:rPr>
        <w:br w:type="page"/>
      </w:r>
    </w:p>
    <w:p w14:paraId="77EFAD0C" w14:textId="5DB18C96" w:rsidR="00F91EC6" w:rsidRDefault="00F91EC6" w:rsidP="00F91EC6">
      <w:pPr>
        <w:spacing w:after="160" w:line="259" w:lineRule="auto"/>
        <w:rPr>
          <w:rFonts w:cstheme="minorHAnsi"/>
          <w:b/>
          <w:i/>
          <w:noProof/>
          <w:sz w:val="26"/>
          <w:szCs w:val="26"/>
        </w:rPr>
      </w:pPr>
      <w:r w:rsidRPr="00F54559">
        <w:rPr>
          <w:rFonts w:cstheme="minorHAnsi"/>
          <w:b/>
          <w:i/>
          <w:noProof/>
          <w:sz w:val="26"/>
          <w:szCs w:val="26"/>
        </w:rPr>
        <w:lastRenderedPageBreak/>
        <w:t xml:space="preserve">3. INVESTMENTS </w:t>
      </w:r>
      <w:r>
        <w:rPr>
          <w:rFonts w:cstheme="minorHAnsi"/>
          <w:b/>
          <w:i/>
          <w:noProof/>
          <w:sz w:val="26"/>
          <w:szCs w:val="26"/>
        </w:rPr>
        <w:t>–</w:t>
      </w:r>
      <w:r w:rsidRPr="00F54559">
        <w:rPr>
          <w:rFonts w:cstheme="minorHAnsi"/>
          <w:b/>
          <w:i/>
          <w:noProof/>
          <w:sz w:val="26"/>
          <w:szCs w:val="26"/>
        </w:rPr>
        <w:t xml:space="preserve"> CONTINUED</w:t>
      </w:r>
    </w:p>
    <w:p w14:paraId="15829B9C" w14:textId="68A1A6BF" w:rsidR="00974C14" w:rsidRDefault="00974C14" w:rsidP="00F91EC6">
      <w:pPr>
        <w:spacing w:after="160" w:line="259" w:lineRule="auto"/>
        <w:rPr>
          <w:rFonts w:eastAsia="Times New Roman" w:cstheme="minorHAnsi"/>
          <w:color w:val="000000"/>
          <w:spacing w:val="-3"/>
          <w:sz w:val="24"/>
          <w:szCs w:val="20"/>
        </w:rPr>
      </w:pPr>
      <w:r>
        <w:rPr>
          <w:rFonts w:eastAsia="Times New Roman" w:cstheme="minorHAnsi"/>
          <w:color w:val="000000"/>
          <w:spacing w:val="-3"/>
          <w:sz w:val="24"/>
          <w:szCs w:val="20"/>
        </w:rPr>
        <w:t xml:space="preserve">Breakdown of investments by portfolio </w:t>
      </w:r>
      <w:r w:rsidRPr="00F54559">
        <w:rPr>
          <w:rFonts w:eastAsia="Times New Roman" w:cstheme="minorHAnsi"/>
          <w:color w:val="000000"/>
          <w:spacing w:val="-3"/>
          <w:sz w:val="24"/>
          <w:szCs w:val="20"/>
        </w:rPr>
        <w:t xml:space="preserve">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202</w:t>
      </w:r>
      <w:r>
        <w:rPr>
          <w:rFonts w:eastAsia="Times New Roman" w:cstheme="minorHAnsi"/>
          <w:spacing w:val="-3"/>
          <w:sz w:val="24"/>
          <w:szCs w:val="20"/>
        </w:rPr>
        <w:t>3</w:t>
      </w:r>
      <w:r w:rsidRPr="00F54559">
        <w:rPr>
          <w:rFonts w:eastAsia="Times New Roman" w:cstheme="minorHAnsi"/>
          <w:spacing w:val="-3"/>
          <w:sz w:val="24"/>
          <w:szCs w:val="20"/>
        </w:rPr>
        <w:t>:</w:t>
      </w:r>
    </w:p>
    <w:p w14:paraId="4D5E1823" w14:textId="04A11368" w:rsidR="00DD1612" w:rsidRPr="001B0CB6" w:rsidRDefault="00DD1612" w:rsidP="00DD1612">
      <w:pPr>
        <w:spacing w:after="160" w:line="259" w:lineRule="auto"/>
        <w:rPr>
          <w:rFonts w:eastAsia="Times New Roman" w:cstheme="minorHAnsi"/>
          <w:spacing w:val="-3"/>
          <w:sz w:val="24"/>
          <w:szCs w:val="20"/>
        </w:rPr>
        <w:sectPr w:rsidR="00DD1612" w:rsidRPr="001B0CB6" w:rsidSect="00BD375F">
          <w:pgSz w:w="15840" w:h="12240" w:orient="landscape" w:code="1"/>
          <w:pgMar w:top="1440" w:right="1440" w:bottom="1440" w:left="1440" w:header="720" w:footer="720" w:gutter="0"/>
          <w:cols w:space="0"/>
          <w:docGrid w:linePitch="360"/>
        </w:sectPr>
      </w:pPr>
      <w:r>
        <w:rPr>
          <w:rFonts w:eastAsia="Times New Roman" w:cstheme="minorHAnsi"/>
          <w:spacing w:val="-3"/>
          <w:sz w:val="24"/>
          <w:szCs w:val="20"/>
        </w:rPr>
        <w:fldChar w:fldCharType="begin"/>
      </w:r>
      <w:r>
        <w:rPr>
          <w:rFonts w:eastAsia="Times New Roman" w:cstheme="minorHAnsi"/>
          <w:spacing w:val="-3"/>
          <w:sz w:val="24"/>
          <w:szCs w:val="20"/>
        </w:rPr>
        <w:fldChar w:fldCharType="end"/>
      </w:r>
      <w:r>
        <w:rPr>
          <w:rFonts w:eastAsia="Times New Roman" w:cstheme="minorHAnsi"/>
          <w:spacing w:val="-3"/>
          <w:sz w:val="24"/>
          <w:szCs w:val="20"/>
        </w:rPr>
        <w:tab/>
      </w:r>
      <w:r w:rsidR="00BE2BD0" w:rsidRPr="00BE2BD0">
        <w:rPr>
          <w:noProof/>
        </w:rPr>
        <w:drawing>
          <wp:inline distT="0" distB="0" distL="0" distR="0" wp14:anchorId="0B17FA1B" wp14:editId="3CE8BF59">
            <wp:extent cx="6760845" cy="4183380"/>
            <wp:effectExtent l="0" t="0" r="1905" b="762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60845" cy="4183380"/>
                    </a:xfrm>
                    <a:prstGeom prst="rect">
                      <a:avLst/>
                    </a:prstGeom>
                    <a:noFill/>
                    <a:ln>
                      <a:noFill/>
                    </a:ln>
                  </pic:spPr>
                </pic:pic>
              </a:graphicData>
            </a:graphic>
          </wp:inline>
        </w:drawing>
      </w:r>
    </w:p>
    <w:p w14:paraId="2DD0DC65" w14:textId="77777777" w:rsidR="00DD1612" w:rsidRPr="00F54559" w:rsidRDefault="00DD1612" w:rsidP="00DD1612">
      <w:pPr>
        <w:spacing w:after="160"/>
        <w:rPr>
          <w:rFonts w:eastAsiaTheme="majorEastAsia" w:cstheme="minorHAnsi"/>
          <w:b/>
          <w:i/>
          <w:iCs/>
          <w:smallCaps/>
          <w:noProof/>
          <w:color w:val="000000" w:themeColor="text1"/>
          <w:sz w:val="26"/>
          <w:szCs w:val="26"/>
        </w:rPr>
      </w:pPr>
      <w:r w:rsidRPr="00F54559">
        <w:rPr>
          <w:rFonts w:eastAsiaTheme="majorEastAsia" w:cstheme="minorHAnsi"/>
          <w:b/>
          <w:i/>
          <w:iCs/>
          <w:smallCaps/>
          <w:noProof/>
          <w:color w:val="000000" w:themeColor="text1"/>
          <w:sz w:val="26"/>
          <w:szCs w:val="26"/>
        </w:rPr>
        <w:lastRenderedPageBreak/>
        <w:t>3. INVESTMENTS - CONTINUED</w:t>
      </w:r>
    </w:p>
    <w:p w14:paraId="40A3D4D3" w14:textId="271ECB1D" w:rsidR="00DD1612" w:rsidRDefault="00DD1612" w:rsidP="00DD1612">
      <w:pPr>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sidR="00296B5F">
        <w:rPr>
          <w:rFonts w:cstheme="minorHAnsi"/>
          <w:sz w:val="24"/>
        </w:rPr>
        <w:t>2023</w:t>
      </w:r>
      <w:r w:rsidRPr="00F54559">
        <w:rPr>
          <w:rFonts w:cstheme="minorHAnsi"/>
          <w:sz w:val="24"/>
        </w:rPr>
        <w:t>:</w:t>
      </w:r>
      <w:r w:rsidRPr="00BF3BD5">
        <w:rPr>
          <w:rFonts w:eastAsia="Times New Roman" w:cstheme="minorHAnsi"/>
          <w:color w:val="FF0000"/>
          <w:spacing w:val="-3"/>
          <w:sz w:val="24"/>
          <w:szCs w:val="20"/>
        </w:rPr>
        <w:t xml:space="preserve"> </w:t>
      </w:r>
    </w:p>
    <w:tbl>
      <w:tblPr>
        <w:tblW w:w="10000" w:type="dxa"/>
        <w:tblLook w:val="04A0" w:firstRow="1" w:lastRow="0" w:firstColumn="1" w:lastColumn="0" w:noHBand="0" w:noVBand="1"/>
      </w:tblPr>
      <w:tblGrid>
        <w:gridCol w:w="5280"/>
        <w:gridCol w:w="1040"/>
        <w:gridCol w:w="1900"/>
        <w:gridCol w:w="1780"/>
      </w:tblGrid>
      <w:tr w:rsidR="00DD1612" w:rsidRPr="00350BDC" w14:paraId="47423E63" w14:textId="77777777" w:rsidTr="00BD375F">
        <w:trPr>
          <w:trHeight w:val="840"/>
        </w:trPr>
        <w:tc>
          <w:tcPr>
            <w:tcW w:w="5280" w:type="dxa"/>
            <w:tcBorders>
              <w:top w:val="nil"/>
              <w:left w:val="nil"/>
              <w:bottom w:val="single" w:sz="12" w:space="0" w:color="00688D"/>
              <w:right w:val="nil"/>
            </w:tcBorders>
            <w:shd w:val="clear" w:color="000000" w:fill="FFFFFF"/>
            <w:noWrap/>
            <w:vAlign w:val="bottom"/>
            <w:hideMark/>
          </w:tcPr>
          <w:p w14:paraId="68287D17" w14:textId="77777777" w:rsidR="00DD1612" w:rsidRPr="00303AA9" w:rsidRDefault="00DD1612" w:rsidP="00BD375F">
            <w:pPr>
              <w:rPr>
                <w:rFonts w:ascii="Calibri" w:eastAsia="Times New Roman" w:hAnsi="Calibri" w:cs="Calibri"/>
                <w:b/>
                <w:bCs/>
                <w:color w:val="0D0D0D"/>
                <w:sz w:val="18"/>
                <w:szCs w:val="20"/>
              </w:rPr>
            </w:pPr>
            <w:bookmarkStart w:id="10" w:name="RANGE!A1:D21"/>
            <w:r w:rsidRPr="00303AA9">
              <w:rPr>
                <w:rFonts w:ascii="Calibri" w:eastAsia="Times New Roman" w:hAnsi="Calibri" w:cs="Calibri"/>
                <w:b/>
                <w:bCs/>
                <w:color w:val="0D0D0D"/>
                <w:sz w:val="18"/>
                <w:szCs w:val="20"/>
              </w:rPr>
              <w:t> </w:t>
            </w:r>
            <w:bookmarkEnd w:id="10"/>
          </w:p>
        </w:tc>
        <w:tc>
          <w:tcPr>
            <w:tcW w:w="1040" w:type="dxa"/>
            <w:tcBorders>
              <w:top w:val="nil"/>
              <w:left w:val="nil"/>
              <w:bottom w:val="single" w:sz="12" w:space="0" w:color="00688D"/>
              <w:right w:val="nil"/>
            </w:tcBorders>
            <w:shd w:val="clear" w:color="000000" w:fill="FFFFFF"/>
            <w:vAlign w:val="bottom"/>
            <w:hideMark/>
          </w:tcPr>
          <w:p w14:paraId="7453BE68" w14:textId="77777777" w:rsidR="00DD1612" w:rsidRPr="00303AA9" w:rsidRDefault="00DD1612" w:rsidP="00BD375F">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Fair</w:t>
            </w:r>
            <w:r w:rsidRPr="00303AA9">
              <w:rPr>
                <w:rFonts w:ascii="Calibri" w:eastAsia="Times New Roman" w:hAnsi="Calibri" w:cs="Calibri"/>
                <w:b/>
                <w:bCs/>
                <w:color w:val="0D0D0D"/>
                <w:sz w:val="18"/>
                <w:szCs w:val="20"/>
              </w:rPr>
              <w:br/>
              <w:t xml:space="preserve">Value </w:t>
            </w:r>
          </w:p>
        </w:tc>
        <w:tc>
          <w:tcPr>
            <w:tcW w:w="1900" w:type="dxa"/>
            <w:tcBorders>
              <w:top w:val="nil"/>
              <w:left w:val="nil"/>
              <w:bottom w:val="single" w:sz="12" w:space="0" w:color="00688D"/>
              <w:right w:val="nil"/>
            </w:tcBorders>
            <w:shd w:val="clear" w:color="000000" w:fill="FFFFFF"/>
            <w:vAlign w:val="bottom"/>
            <w:hideMark/>
          </w:tcPr>
          <w:p w14:paraId="4BBCA0EE" w14:textId="77777777" w:rsidR="00DD1612" w:rsidRPr="00303AA9" w:rsidRDefault="00DD1612" w:rsidP="00BD375F">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Redemption</w:t>
            </w:r>
            <w:r w:rsidRPr="00303AA9">
              <w:rPr>
                <w:rFonts w:ascii="Calibri" w:eastAsia="Times New Roman" w:hAnsi="Calibri" w:cs="Calibri"/>
                <w:b/>
                <w:bCs/>
                <w:color w:val="0D0D0D"/>
                <w:sz w:val="18"/>
                <w:szCs w:val="20"/>
              </w:rPr>
              <w:br/>
              <w:t>Frequency (If</w:t>
            </w:r>
            <w:r w:rsidRPr="00303AA9">
              <w:rPr>
                <w:rFonts w:ascii="Calibri" w:eastAsia="Times New Roman" w:hAnsi="Calibri" w:cs="Calibri"/>
                <w:b/>
                <w:bCs/>
                <w:color w:val="0D0D0D"/>
                <w:sz w:val="18"/>
                <w:szCs w:val="20"/>
              </w:rPr>
              <w:br/>
              <w:t xml:space="preserve">Currently Eligible) </w:t>
            </w:r>
          </w:p>
        </w:tc>
        <w:tc>
          <w:tcPr>
            <w:tcW w:w="1780" w:type="dxa"/>
            <w:tcBorders>
              <w:top w:val="nil"/>
              <w:left w:val="nil"/>
              <w:bottom w:val="single" w:sz="12" w:space="0" w:color="00688D"/>
              <w:right w:val="nil"/>
            </w:tcBorders>
            <w:shd w:val="clear" w:color="000000" w:fill="FFFFFF"/>
            <w:vAlign w:val="bottom"/>
            <w:hideMark/>
          </w:tcPr>
          <w:p w14:paraId="1E769BC3" w14:textId="77777777" w:rsidR="00DD1612" w:rsidRPr="00303AA9" w:rsidRDefault="00DD1612" w:rsidP="00BD375F">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Redemption</w:t>
            </w:r>
            <w:r w:rsidRPr="00303AA9">
              <w:rPr>
                <w:rFonts w:ascii="Calibri" w:eastAsia="Times New Roman" w:hAnsi="Calibri" w:cs="Calibri"/>
                <w:b/>
                <w:bCs/>
                <w:color w:val="0D0D0D"/>
                <w:sz w:val="18"/>
                <w:szCs w:val="20"/>
              </w:rPr>
              <w:br/>
              <w:t>Period</w:t>
            </w:r>
            <w:r w:rsidRPr="00303AA9">
              <w:rPr>
                <w:rFonts w:ascii="Calibri" w:eastAsia="Times New Roman" w:hAnsi="Calibri" w:cs="Calibri"/>
                <w:b/>
                <w:bCs/>
                <w:color w:val="0D0D0D"/>
                <w:sz w:val="18"/>
                <w:szCs w:val="20"/>
              </w:rPr>
              <w:br/>
              <w:t xml:space="preserve">Notice </w:t>
            </w:r>
          </w:p>
        </w:tc>
      </w:tr>
      <w:tr w:rsidR="00DD1612" w:rsidRPr="00350BDC" w14:paraId="73AB1227" w14:textId="77777777" w:rsidTr="00BD375F">
        <w:trPr>
          <w:trHeight w:val="324"/>
        </w:trPr>
        <w:tc>
          <w:tcPr>
            <w:tcW w:w="5280" w:type="dxa"/>
            <w:tcBorders>
              <w:top w:val="nil"/>
              <w:left w:val="nil"/>
              <w:bottom w:val="nil"/>
              <w:right w:val="nil"/>
            </w:tcBorders>
            <w:shd w:val="clear" w:color="000000" w:fill="FFFFFF"/>
            <w:noWrap/>
            <w:vAlign w:val="bottom"/>
            <w:hideMark/>
          </w:tcPr>
          <w:p w14:paraId="53603ECB" w14:textId="77777777" w:rsidR="00DD1612" w:rsidRPr="00303AA9" w:rsidRDefault="00DD1612" w:rsidP="00BD375F">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Operating Investments measured at NAV:</w:t>
            </w:r>
          </w:p>
        </w:tc>
        <w:tc>
          <w:tcPr>
            <w:tcW w:w="1040" w:type="dxa"/>
            <w:tcBorders>
              <w:top w:val="nil"/>
              <w:left w:val="nil"/>
              <w:bottom w:val="nil"/>
              <w:right w:val="nil"/>
            </w:tcBorders>
            <w:shd w:val="clear" w:color="000000" w:fill="FFFFFF"/>
            <w:noWrap/>
            <w:vAlign w:val="bottom"/>
            <w:hideMark/>
          </w:tcPr>
          <w:p w14:paraId="2E55E1FD" w14:textId="77777777" w:rsidR="00DD1612" w:rsidRPr="00303AA9" w:rsidRDefault="00DD1612" w:rsidP="00BD375F">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2FCB847F" w14:textId="77777777" w:rsidR="00DD1612" w:rsidRPr="00303AA9" w:rsidRDefault="00DD1612" w:rsidP="00BD375F">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2DA6D0F5" w14:textId="77777777" w:rsidR="00DD1612" w:rsidRPr="00303AA9" w:rsidRDefault="00DD1612" w:rsidP="00BD375F">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620563CA" w14:textId="77777777" w:rsidTr="00204D21">
        <w:trPr>
          <w:trHeight w:val="312"/>
        </w:trPr>
        <w:tc>
          <w:tcPr>
            <w:tcW w:w="5280" w:type="dxa"/>
            <w:tcBorders>
              <w:top w:val="nil"/>
              <w:left w:val="nil"/>
              <w:bottom w:val="nil"/>
              <w:right w:val="nil"/>
            </w:tcBorders>
            <w:shd w:val="clear" w:color="000000" w:fill="FFFFFF"/>
            <w:noWrap/>
            <w:vAlign w:val="bottom"/>
            <w:hideMark/>
          </w:tcPr>
          <w:p w14:paraId="04E4697E" w14:textId="3A864013" w:rsidR="002243DD" w:rsidRPr="00303AA9" w:rsidRDefault="002243DD" w:rsidP="002243DD">
            <w:pPr>
              <w:rPr>
                <w:rFonts w:ascii="Calibri" w:eastAsia="Times New Roman" w:hAnsi="Calibri" w:cs="Calibri"/>
                <w:color w:val="0D0D0D"/>
                <w:sz w:val="18"/>
                <w:szCs w:val="20"/>
              </w:rPr>
            </w:pPr>
            <w:r>
              <w:rPr>
                <w:rFonts w:ascii="Calibri" w:eastAsia="Times New Roman" w:hAnsi="Calibri" w:cs="Calibri"/>
                <w:color w:val="0D0D0D"/>
                <w:sz w:val="18"/>
                <w:szCs w:val="20"/>
              </w:rPr>
              <w:t xml:space="preserve">Equities: </w:t>
            </w:r>
            <w:r w:rsidRPr="00303AA9">
              <w:rPr>
                <w:rFonts w:ascii="Calibri" w:eastAsia="Times New Roman" w:hAnsi="Calibri" w:cs="Calibri"/>
                <w:color w:val="0D0D0D"/>
                <w:sz w:val="18"/>
                <w:szCs w:val="20"/>
              </w:rPr>
              <w:t>Multi-strategy ₁</w:t>
            </w:r>
          </w:p>
        </w:tc>
        <w:tc>
          <w:tcPr>
            <w:tcW w:w="1040" w:type="dxa"/>
            <w:tcBorders>
              <w:top w:val="nil"/>
              <w:left w:val="nil"/>
              <w:bottom w:val="nil"/>
              <w:right w:val="nil"/>
            </w:tcBorders>
            <w:shd w:val="clear" w:color="000000" w:fill="FFFFFF"/>
            <w:noWrap/>
            <w:hideMark/>
          </w:tcPr>
          <w:p w14:paraId="49AFBC0C" w14:textId="42EBBB91"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$16,387 </w:t>
            </w:r>
          </w:p>
        </w:tc>
        <w:tc>
          <w:tcPr>
            <w:tcW w:w="1900" w:type="dxa"/>
            <w:tcBorders>
              <w:top w:val="nil"/>
              <w:left w:val="nil"/>
              <w:bottom w:val="nil"/>
              <w:right w:val="nil"/>
            </w:tcBorders>
            <w:shd w:val="clear" w:color="000000" w:fill="FFFFFF"/>
            <w:noWrap/>
            <w:vAlign w:val="bottom"/>
            <w:hideMark/>
          </w:tcPr>
          <w:p w14:paraId="75CDF7D1"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Quarterly, Monthly</w:t>
            </w:r>
          </w:p>
        </w:tc>
        <w:tc>
          <w:tcPr>
            <w:tcW w:w="1780" w:type="dxa"/>
            <w:tcBorders>
              <w:top w:val="nil"/>
              <w:left w:val="nil"/>
              <w:bottom w:val="nil"/>
              <w:right w:val="nil"/>
            </w:tcBorders>
            <w:shd w:val="clear" w:color="000000" w:fill="FFFFFF"/>
            <w:noWrap/>
            <w:vAlign w:val="bottom"/>
            <w:hideMark/>
          </w:tcPr>
          <w:p w14:paraId="79A8F67F"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60, 90 days</w:t>
            </w:r>
          </w:p>
        </w:tc>
      </w:tr>
      <w:tr w:rsidR="002243DD" w:rsidRPr="00350BDC" w14:paraId="22B18C1A" w14:textId="77777777" w:rsidTr="00204D21">
        <w:trPr>
          <w:trHeight w:val="312"/>
        </w:trPr>
        <w:tc>
          <w:tcPr>
            <w:tcW w:w="5280" w:type="dxa"/>
            <w:tcBorders>
              <w:top w:val="nil"/>
              <w:left w:val="nil"/>
              <w:bottom w:val="single" w:sz="4" w:space="0" w:color="00688D"/>
              <w:right w:val="nil"/>
            </w:tcBorders>
            <w:shd w:val="clear" w:color="000000" w:fill="FFFFFF"/>
            <w:noWrap/>
            <w:vAlign w:val="bottom"/>
            <w:hideMark/>
          </w:tcPr>
          <w:p w14:paraId="03D22DC1"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Bank loans ₂</w:t>
            </w:r>
          </w:p>
        </w:tc>
        <w:tc>
          <w:tcPr>
            <w:tcW w:w="1040" w:type="dxa"/>
            <w:tcBorders>
              <w:top w:val="nil"/>
              <w:left w:val="nil"/>
              <w:bottom w:val="single" w:sz="4" w:space="0" w:color="00688D"/>
              <w:right w:val="nil"/>
            </w:tcBorders>
            <w:shd w:val="clear" w:color="000000" w:fill="FFFFFF"/>
            <w:noWrap/>
            <w:hideMark/>
          </w:tcPr>
          <w:p w14:paraId="3131F1C6" w14:textId="6362CBCE"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19,601 </w:t>
            </w:r>
          </w:p>
        </w:tc>
        <w:tc>
          <w:tcPr>
            <w:tcW w:w="1900" w:type="dxa"/>
            <w:tcBorders>
              <w:top w:val="nil"/>
              <w:left w:val="nil"/>
              <w:bottom w:val="nil"/>
              <w:right w:val="nil"/>
            </w:tcBorders>
            <w:shd w:val="clear" w:color="000000" w:fill="FFFFFF"/>
            <w:noWrap/>
            <w:vAlign w:val="bottom"/>
            <w:hideMark/>
          </w:tcPr>
          <w:p w14:paraId="6414F64B"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Bi-monthly</w:t>
            </w:r>
          </w:p>
        </w:tc>
        <w:tc>
          <w:tcPr>
            <w:tcW w:w="1780" w:type="dxa"/>
            <w:tcBorders>
              <w:top w:val="nil"/>
              <w:left w:val="nil"/>
              <w:bottom w:val="nil"/>
              <w:right w:val="nil"/>
            </w:tcBorders>
            <w:shd w:val="clear" w:color="000000" w:fill="FFFFFF"/>
            <w:noWrap/>
            <w:vAlign w:val="bottom"/>
            <w:hideMark/>
          </w:tcPr>
          <w:p w14:paraId="13399263"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15 days</w:t>
            </w:r>
          </w:p>
        </w:tc>
      </w:tr>
      <w:tr w:rsidR="002243DD" w:rsidRPr="00350BDC" w14:paraId="14B0D3CA" w14:textId="77777777" w:rsidTr="00204D21">
        <w:trPr>
          <w:trHeight w:val="324"/>
        </w:trPr>
        <w:tc>
          <w:tcPr>
            <w:tcW w:w="5280" w:type="dxa"/>
            <w:tcBorders>
              <w:top w:val="nil"/>
              <w:left w:val="nil"/>
              <w:bottom w:val="double" w:sz="6" w:space="0" w:color="00688D"/>
              <w:right w:val="nil"/>
            </w:tcBorders>
            <w:shd w:val="clear" w:color="000000" w:fill="FFFFFF"/>
            <w:noWrap/>
            <w:vAlign w:val="bottom"/>
            <w:hideMark/>
          </w:tcPr>
          <w:p w14:paraId="10587466"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operating investments measured at NAV</w:t>
            </w:r>
          </w:p>
        </w:tc>
        <w:tc>
          <w:tcPr>
            <w:tcW w:w="1040" w:type="dxa"/>
            <w:tcBorders>
              <w:top w:val="nil"/>
              <w:left w:val="nil"/>
              <w:bottom w:val="double" w:sz="6" w:space="0" w:color="00688D"/>
              <w:right w:val="nil"/>
            </w:tcBorders>
            <w:shd w:val="clear" w:color="000000" w:fill="FFFFFF"/>
            <w:noWrap/>
            <w:hideMark/>
          </w:tcPr>
          <w:p w14:paraId="2C763450" w14:textId="62E8F15B" w:rsidR="002243DD" w:rsidRPr="002243DD" w:rsidRDefault="002243DD" w:rsidP="002243DD">
            <w:pPr>
              <w:jc w:val="right"/>
              <w:rPr>
                <w:rFonts w:ascii="Calibri" w:eastAsia="Times New Roman" w:hAnsi="Calibri" w:cs="Calibri"/>
                <w:b/>
                <w:bCs/>
                <w:color w:val="0D0D0D"/>
                <w:sz w:val="18"/>
                <w:szCs w:val="18"/>
              </w:rPr>
            </w:pPr>
            <w:r w:rsidRPr="00204D21">
              <w:rPr>
                <w:sz w:val="18"/>
                <w:szCs w:val="18"/>
              </w:rPr>
              <w:t xml:space="preserve"> $35,988 </w:t>
            </w:r>
          </w:p>
        </w:tc>
        <w:tc>
          <w:tcPr>
            <w:tcW w:w="1900" w:type="dxa"/>
            <w:tcBorders>
              <w:top w:val="nil"/>
              <w:left w:val="nil"/>
              <w:bottom w:val="nil"/>
              <w:right w:val="nil"/>
            </w:tcBorders>
            <w:shd w:val="clear" w:color="000000" w:fill="FFFFFF"/>
            <w:noWrap/>
            <w:vAlign w:val="bottom"/>
            <w:hideMark/>
          </w:tcPr>
          <w:p w14:paraId="4DC1B0EF"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AADB2CB"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76DCF494" w14:textId="77777777" w:rsidTr="00204D21">
        <w:trPr>
          <w:trHeight w:val="324"/>
        </w:trPr>
        <w:tc>
          <w:tcPr>
            <w:tcW w:w="5280" w:type="dxa"/>
            <w:tcBorders>
              <w:top w:val="nil"/>
              <w:left w:val="nil"/>
              <w:bottom w:val="nil"/>
              <w:right w:val="nil"/>
            </w:tcBorders>
            <w:shd w:val="clear" w:color="000000" w:fill="FFFFFF"/>
            <w:noWrap/>
            <w:vAlign w:val="bottom"/>
            <w:hideMark/>
          </w:tcPr>
          <w:p w14:paraId="5EB9AF24"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040" w:type="dxa"/>
            <w:tcBorders>
              <w:top w:val="nil"/>
              <w:left w:val="nil"/>
              <w:bottom w:val="nil"/>
              <w:right w:val="nil"/>
            </w:tcBorders>
            <w:shd w:val="clear" w:color="000000" w:fill="FFFFFF"/>
            <w:noWrap/>
            <w:hideMark/>
          </w:tcPr>
          <w:p w14:paraId="1480F237" w14:textId="33789147" w:rsidR="002243DD" w:rsidRPr="002243DD" w:rsidRDefault="002243DD" w:rsidP="002243DD">
            <w:pPr>
              <w:jc w:val="right"/>
              <w:rPr>
                <w:rFonts w:ascii="Calibri" w:eastAsia="Times New Roman" w:hAnsi="Calibri" w:cs="Calibri"/>
                <w:b/>
                <w:bCs/>
                <w:color w:val="0D0D0D"/>
                <w:sz w:val="18"/>
                <w:szCs w:val="18"/>
              </w:rPr>
            </w:pPr>
          </w:p>
        </w:tc>
        <w:tc>
          <w:tcPr>
            <w:tcW w:w="1900" w:type="dxa"/>
            <w:tcBorders>
              <w:top w:val="nil"/>
              <w:left w:val="nil"/>
              <w:bottom w:val="nil"/>
              <w:right w:val="nil"/>
            </w:tcBorders>
            <w:shd w:val="clear" w:color="000000" w:fill="FFFFFF"/>
            <w:noWrap/>
            <w:vAlign w:val="bottom"/>
            <w:hideMark/>
          </w:tcPr>
          <w:p w14:paraId="31D8DE4E"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67D52442"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7EDF947C" w14:textId="77777777" w:rsidTr="00204D21">
        <w:trPr>
          <w:trHeight w:val="312"/>
        </w:trPr>
        <w:tc>
          <w:tcPr>
            <w:tcW w:w="5280" w:type="dxa"/>
            <w:tcBorders>
              <w:top w:val="nil"/>
              <w:left w:val="nil"/>
              <w:bottom w:val="nil"/>
              <w:right w:val="nil"/>
            </w:tcBorders>
            <w:shd w:val="clear" w:color="000000" w:fill="FFFFFF"/>
            <w:noWrap/>
            <w:vAlign w:val="bottom"/>
            <w:hideMark/>
          </w:tcPr>
          <w:p w14:paraId="159FD498"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Investments measured at NAV:</w:t>
            </w:r>
          </w:p>
        </w:tc>
        <w:tc>
          <w:tcPr>
            <w:tcW w:w="1040" w:type="dxa"/>
            <w:tcBorders>
              <w:top w:val="nil"/>
              <w:left w:val="nil"/>
              <w:bottom w:val="nil"/>
              <w:right w:val="nil"/>
            </w:tcBorders>
            <w:shd w:val="clear" w:color="000000" w:fill="FFFFFF"/>
            <w:noWrap/>
            <w:hideMark/>
          </w:tcPr>
          <w:p w14:paraId="2FAB8464" w14:textId="2964BFC8" w:rsidR="002243DD" w:rsidRPr="002243DD" w:rsidRDefault="002243DD" w:rsidP="002243DD">
            <w:pPr>
              <w:jc w:val="right"/>
              <w:rPr>
                <w:rFonts w:ascii="Calibri" w:eastAsia="Times New Roman" w:hAnsi="Calibri" w:cs="Calibri"/>
                <w:b/>
                <w:bCs/>
                <w:color w:val="0D0D0D"/>
                <w:sz w:val="18"/>
                <w:szCs w:val="18"/>
              </w:rPr>
            </w:pPr>
          </w:p>
        </w:tc>
        <w:tc>
          <w:tcPr>
            <w:tcW w:w="1900" w:type="dxa"/>
            <w:tcBorders>
              <w:top w:val="nil"/>
              <w:left w:val="nil"/>
              <w:bottom w:val="nil"/>
              <w:right w:val="nil"/>
            </w:tcBorders>
            <w:shd w:val="clear" w:color="000000" w:fill="FFFFFF"/>
            <w:noWrap/>
            <w:vAlign w:val="bottom"/>
            <w:hideMark/>
          </w:tcPr>
          <w:p w14:paraId="6202BA81"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DB9E053"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748E2B34" w14:textId="77777777" w:rsidTr="00204D21">
        <w:trPr>
          <w:trHeight w:val="312"/>
        </w:trPr>
        <w:tc>
          <w:tcPr>
            <w:tcW w:w="5280" w:type="dxa"/>
            <w:tcBorders>
              <w:top w:val="nil"/>
              <w:left w:val="nil"/>
              <w:bottom w:val="nil"/>
              <w:right w:val="nil"/>
            </w:tcBorders>
            <w:shd w:val="clear" w:color="000000" w:fill="FFFFFF"/>
            <w:noWrap/>
            <w:vAlign w:val="bottom"/>
            <w:hideMark/>
          </w:tcPr>
          <w:p w14:paraId="62504C0F"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Equity securities</w:t>
            </w:r>
          </w:p>
        </w:tc>
        <w:tc>
          <w:tcPr>
            <w:tcW w:w="1040" w:type="dxa"/>
            <w:tcBorders>
              <w:top w:val="nil"/>
              <w:left w:val="nil"/>
              <w:bottom w:val="nil"/>
              <w:right w:val="nil"/>
            </w:tcBorders>
            <w:shd w:val="clear" w:color="000000" w:fill="FFFFFF"/>
            <w:noWrap/>
            <w:hideMark/>
          </w:tcPr>
          <w:p w14:paraId="3D82D4C2" w14:textId="03F8FF12"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$56,500 </w:t>
            </w:r>
          </w:p>
        </w:tc>
        <w:tc>
          <w:tcPr>
            <w:tcW w:w="1900" w:type="dxa"/>
            <w:tcBorders>
              <w:top w:val="nil"/>
              <w:left w:val="nil"/>
              <w:bottom w:val="nil"/>
              <w:right w:val="nil"/>
            </w:tcBorders>
            <w:shd w:val="clear" w:color="000000" w:fill="FFFFFF"/>
            <w:noWrap/>
            <w:vAlign w:val="bottom"/>
            <w:hideMark/>
          </w:tcPr>
          <w:p w14:paraId="5F28F33C"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4108400E"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2243DD" w:rsidRPr="00350BDC" w14:paraId="5EA48B54" w14:textId="77777777" w:rsidTr="00204D21">
        <w:trPr>
          <w:trHeight w:val="312"/>
        </w:trPr>
        <w:tc>
          <w:tcPr>
            <w:tcW w:w="5280" w:type="dxa"/>
            <w:tcBorders>
              <w:top w:val="nil"/>
              <w:left w:val="nil"/>
              <w:bottom w:val="nil"/>
              <w:right w:val="nil"/>
            </w:tcBorders>
            <w:shd w:val="clear" w:color="000000" w:fill="FFFFFF"/>
            <w:noWrap/>
            <w:vAlign w:val="bottom"/>
            <w:hideMark/>
          </w:tcPr>
          <w:p w14:paraId="0D1C6D18"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Equity funds</w:t>
            </w:r>
          </w:p>
        </w:tc>
        <w:tc>
          <w:tcPr>
            <w:tcW w:w="1040" w:type="dxa"/>
            <w:tcBorders>
              <w:top w:val="nil"/>
              <w:left w:val="nil"/>
              <w:bottom w:val="nil"/>
              <w:right w:val="nil"/>
            </w:tcBorders>
            <w:shd w:val="clear" w:color="000000" w:fill="FFFFFF"/>
            <w:noWrap/>
            <w:hideMark/>
          </w:tcPr>
          <w:p w14:paraId="1691E74C" w14:textId="2FD8A6CE"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32,829 </w:t>
            </w:r>
          </w:p>
        </w:tc>
        <w:tc>
          <w:tcPr>
            <w:tcW w:w="1900" w:type="dxa"/>
            <w:tcBorders>
              <w:top w:val="nil"/>
              <w:left w:val="nil"/>
              <w:bottom w:val="nil"/>
              <w:right w:val="nil"/>
            </w:tcBorders>
            <w:shd w:val="clear" w:color="000000" w:fill="FFFFFF"/>
            <w:noWrap/>
            <w:vAlign w:val="bottom"/>
            <w:hideMark/>
          </w:tcPr>
          <w:p w14:paraId="7662FD36"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4E990012"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2243DD" w:rsidRPr="00350BDC" w14:paraId="681F7E1D" w14:textId="77777777" w:rsidTr="00204D21">
        <w:trPr>
          <w:trHeight w:val="312"/>
        </w:trPr>
        <w:tc>
          <w:tcPr>
            <w:tcW w:w="5280" w:type="dxa"/>
            <w:tcBorders>
              <w:top w:val="nil"/>
              <w:left w:val="nil"/>
              <w:bottom w:val="nil"/>
              <w:right w:val="nil"/>
            </w:tcBorders>
            <w:shd w:val="clear" w:color="000000" w:fill="FFFFFF"/>
            <w:noWrap/>
            <w:vAlign w:val="bottom"/>
            <w:hideMark/>
          </w:tcPr>
          <w:p w14:paraId="6981F8B8"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Multi-strategy funds ₁</w:t>
            </w:r>
          </w:p>
        </w:tc>
        <w:tc>
          <w:tcPr>
            <w:tcW w:w="1040" w:type="dxa"/>
            <w:tcBorders>
              <w:top w:val="nil"/>
              <w:left w:val="nil"/>
              <w:bottom w:val="nil"/>
              <w:right w:val="nil"/>
            </w:tcBorders>
            <w:shd w:val="clear" w:color="000000" w:fill="FFFFFF"/>
            <w:noWrap/>
            <w:hideMark/>
          </w:tcPr>
          <w:p w14:paraId="3A2F9791" w14:textId="6DB4EC57"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28,159 </w:t>
            </w:r>
          </w:p>
        </w:tc>
        <w:tc>
          <w:tcPr>
            <w:tcW w:w="1900" w:type="dxa"/>
            <w:tcBorders>
              <w:top w:val="nil"/>
              <w:left w:val="nil"/>
              <w:bottom w:val="nil"/>
              <w:right w:val="nil"/>
            </w:tcBorders>
            <w:shd w:val="clear" w:color="000000" w:fill="FFFFFF"/>
            <w:noWrap/>
            <w:vAlign w:val="bottom"/>
            <w:hideMark/>
          </w:tcPr>
          <w:p w14:paraId="4ED65EA8"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Quarterly, Monthly</w:t>
            </w:r>
          </w:p>
        </w:tc>
        <w:tc>
          <w:tcPr>
            <w:tcW w:w="1780" w:type="dxa"/>
            <w:tcBorders>
              <w:top w:val="nil"/>
              <w:left w:val="nil"/>
              <w:bottom w:val="nil"/>
              <w:right w:val="nil"/>
            </w:tcBorders>
            <w:shd w:val="clear" w:color="000000" w:fill="FFFFFF"/>
            <w:noWrap/>
            <w:vAlign w:val="bottom"/>
            <w:hideMark/>
          </w:tcPr>
          <w:p w14:paraId="10FA29BA"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45, 60, 90 days</w:t>
            </w:r>
          </w:p>
        </w:tc>
      </w:tr>
      <w:tr w:rsidR="002243DD" w:rsidRPr="00350BDC" w14:paraId="6B2A1389" w14:textId="77777777" w:rsidTr="00204D21">
        <w:trPr>
          <w:trHeight w:val="312"/>
        </w:trPr>
        <w:tc>
          <w:tcPr>
            <w:tcW w:w="5280" w:type="dxa"/>
            <w:tcBorders>
              <w:top w:val="nil"/>
              <w:left w:val="nil"/>
              <w:bottom w:val="nil"/>
              <w:right w:val="nil"/>
            </w:tcBorders>
            <w:shd w:val="clear" w:color="000000" w:fill="FFFFFF"/>
            <w:noWrap/>
            <w:vAlign w:val="bottom"/>
            <w:hideMark/>
          </w:tcPr>
          <w:p w14:paraId="1B360B8F"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Fixed income funds - bonds</w:t>
            </w:r>
          </w:p>
        </w:tc>
        <w:tc>
          <w:tcPr>
            <w:tcW w:w="1040" w:type="dxa"/>
            <w:tcBorders>
              <w:top w:val="nil"/>
              <w:left w:val="nil"/>
              <w:bottom w:val="nil"/>
              <w:right w:val="nil"/>
            </w:tcBorders>
            <w:shd w:val="clear" w:color="000000" w:fill="FFFFFF"/>
            <w:noWrap/>
            <w:hideMark/>
          </w:tcPr>
          <w:p w14:paraId="03662B72" w14:textId="7DF86116"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23,390 </w:t>
            </w:r>
          </w:p>
        </w:tc>
        <w:tc>
          <w:tcPr>
            <w:tcW w:w="1900" w:type="dxa"/>
            <w:tcBorders>
              <w:top w:val="nil"/>
              <w:left w:val="nil"/>
              <w:bottom w:val="nil"/>
              <w:right w:val="nil"/>
            </w:tcBorders>
            <w:shd w:val="clear" w:color="000000" w:fill="FFFFFF"/>
            <w:noWrap/>
            <w:vAlign w:val="bottom"/>
            <w:hideMark/>
          </w:tcPr>
          <w:p w14:paraId="019D5443"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0BB64963"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5 days</w:t>
            </w:r>
          </w:p>
        </w:tc>
      </w:tr>
      <w:tr w:rsidR="002243DD" w:rsidRPr="00350BDC" w14:paraId="6DF56092" w14:textId="77777777" w:rsidTr="00204D21">
        <w:trPr>
          <w:trHeight w:val="312"/>
        </w:trPr>
        <w:tc>
          <w:tcPr>
            <w:tcW w:w="5280" w:type="dxa"/>
            <w:tcBorders>
              <w:top w:val="nil"/>
              <w:left w:val="nil"/>
              <w:bottom w:val="single" w:sz="4" w:space="0" w:color="00688D"/>
              <w:right w:val="nil"/>
            </w:tcBorders>
            <w:shd w:val="clear" w:color="000000" w:fill="FFFFFF"/>
            <w:noWrap/>
            <w:vAlign w:val="bottom"/>
            <w:hideMark/>
          </w:tcPr>
          <w:p w14:paraId="483C596E"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Bank loans ₂</w:t>
            </w:r>
          </w:p>
        </w:tc>
        <w:tc>
          <w:tcPr>
            <w:tcW w:w="1040" w:type="dxa"/>
            <w:tcBorders>
              <w:top w:val="nil"/>
              <w:left w:val="nil"/>
              <w:bottom w:val="single" w:sz="4" w:space="0" w:color="auto"/>
              <w:right w:val="nil"/>
            </w:tcBorders>
            <w:shd w:val="clear" w:color="000000" w:fill="FFFFFF"/>
            <w:noWrap/>
            <w:hideMark/>
          </w:tcPr>
          <w:p w14:paraId="4E3FAD59" w14:textId="4C0F6494"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20,466 </w:t>
            </w:r>
          </w:p>
        </w:tc>
        <w:tc>
          <w:tcPr>
            <w:tcW w:w="1900" w:type="dxa"/>
            <w:tcBorders>
              <w:top w:val="nil"/>
              <w:left w:val="nil"/>
              <w:bottom w:val="nil"/>
              <w:right w:val="nil"/>
            </w:tcBorders>
            <w:shd w:val="clear" w:color="000000" w:fill="FFFFFF"/>
            <w:noWrap/>
            <w:vAlign w:val="bottom"/>
            <w:hideMark/>
          </w:tcPr>
          <w:p w14:paraId="7BEA07BE"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5C38111D"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2243DD" w:rsidRPr="00350BDC" w14:paraId="0A12F9D5" w14:textId="77777777" w:rsidTr="00204D21">
        <w:trPr>
          <w:trHeight w:val="324"/>
        </w:trPr>
        <w:tc>
          <w:tcPr>
            <w:tcW w:w="5280" w:type="dxa"/>
            <w:tcBorders>
              <w:top w:val="nil"/>
              <w:left w:val="nil"/>
              <w:bottom w:val="double" w:sz="6" w:space="0" w:color="00688D"/>
              <w:right w:val="nil"/>
            </w:tcBorders>
            <w:shd w:val="clear" w:color="000000" w:fill="FFFFFF"/>
            <w:noWrap/>
            <w:vAlign w:val="bottom"/>
            <w:hideMark/>
          </w:tcPr>
          <w:p w14:paraId="7986B579"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DB Plan and MIP investments measured at NAV</w:t>
            </w:r>
          </w:p>
        </w:tc>
        <w:tc>
          <w:tcPr>
            <w:tcW w:w="1040" w:type="dxa"/>
            <w:tcBorders>
              <w:top w:val="single" w:sz="4" w:space="0" w:color="00688D"/>
              <w:left w:val="nil"/>
              <w:bottom w:val="double" w:sz="6" w:space="0" w:color="00688D"/>
              <w:right w:val="nil"/>
            </w:tcBorders>
            <w:shd w:val="clear" w:color="000000" w:fill="FFFFFF"/>
            <w:noWrap/>
            <w:hideMark/>
          </w:tcPr>
          <w:p w14:paraId="3FECEDA6" w14:textId="6C1545F4" w:rsidR="002243DD" w:rsidRPr="002243DD" w:rsidRDefault="002243DD" w:rsidP="002243DD">
            <w:pPr>
              <w:jc w:val="right"/>
              <w:rPr>
                <w:rFonts w:ascii="Calibri" w:eastAsia="Times New Roman" w:hAnsi="Calibri" w:cs="Calibri"/>
                <w:b/>
                <w:bCs/>
                <w:color w:val="0D0D0D"/>
                <w:sz w:val="18"/>
                <w:szCs w:val="18"/>
              </w:rPr>
            </w:pPr>
            <w:r w:rsidRPr="00204D21">
              <w:rPr>
                <w:sz w:val="18"/>
                <w:szCs w:val="18"/>
              </w:rPr>
              <w:t xml:space="preserve"> $161,344 </w:t>
            </w:r>
          </w:p>
        </w:tc>
        <w:tc>
          <w:tcPr>
            <w:tcW w:w="1900" w:type="dxa"/>
            <w:tcBorders>
              <w:top w:val="nil"/>
              <w:left w:val="nil"/>
              <w:bottom w:val="nil"/>
              <w:right w:val="nil"/>
            </w:tcBorders>
            <w:shd w:val="clear" w:color="000000" w:fill="FFFFFF"/>
            <w:noWrap/>
            <w:vAlign w:val="bottom"/>
            <w:hideMark/>
          </w:tcPr>
          <w:p w14:paraId="7F65DB88"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01A3F5A2"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5ADBBED4" w14:textId="77777777" w:rsidTr="00204D21">
        <w:trPr>
          <w:trHeight w:val="324"/>
        </w:trPr>
        <w:tc>
          <w:tcPr>
            <w:tcW w:w="5280" w:type="dxa"/>
            <w:tcBorders>
              <w:top w:val="nil"/>
              <w:left w:val="nil"/>
              <w:bottom w:val="nil"/>
              <w:right w:val="nil"/>
            </w:tcBorders>
            <w:shd w:val="clear" w:color="000000" w:fill="FFFFFF"/>
            <w:noWrap/>
            <w:vAlign w:val="bottom"/>
            <w:hideMark/>
          </w:tcPr>
          <w:p w14:paraId="150719C7"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040" w:type="dxa"/>
            <w:tcBorders>
              <w:top w:val="nil"/>
              <w:left w:val="nil"/>
              <w:bottom w:val="nil"/>
              <w:right w:val="nil"/>
            </w:tcBorders>
            <w:shd w:val="clear" w:color="000000" w:fill="FFFFFF"/>
            <w:noWrap/>
            <w:hideMark/>
          </w:tcPr>
          <w:p w14:paraId="4C74AB84" w14:textId="04B84BB5" w:rsidR="002243DD" w:rsidRPr="002243DD" w:rsidRDefault="002243DD" w:rsidP="002243DD">
            <w:pPr>
              <w:jc w:val="right"/>
              <w:rPr>
                <w:rFonts w:ascii="Calibri" w:eastAsia="Times New Roman" w:hAnsi="Calibri" w:cs="Calibri"/>
                <w:b/>
                <w:bCs/>
                <w:color w:val="0D0D0D"/>
                <w:sz w:val="18"/>
                <w:szCs w:val="18"/>
              </w:rPr>
            </w:pPr>
          </w:p>
        </w:tc>
        <w:tc>
          <w:tcPr>
            <w:tcW w:w="1900" w:type="dxa"/>
            <w:tcBorders>
              <w:top w:val="nil"/>
              <w:left w:val="nil"/>
              <w:bottom w:val="nil"/>
              <w:right w:val="nil"/>
            </w:tcBorders>
            <w:shd w:val="clear" w:color="000000" w:fill="FFFFFF"/>
            <w:noWrap/>
            <w:vAlign w:val="bottom"/>
            <w:hideMark/>
          </w:tcPr>
          <w:p w14:paraId="32E4BC56"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0C19F514"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1703920F" w14:textId="77777777" w:rsidTr="00204D21">
        <w:trPr>
          <w:trHeight w:val="312"/>
        </w:trPr>
        <w:tc>
          <w:tcPr>
            <w:tcW w:w="5280" w:type="dxa"/>
            <w:tcBorders>
              <w:top w:val="nil"/>
              <w:left w:val="nil"/>
              <w:bottom w:val="nil"/>
              <w:right w:val="nil"/>
            </w:tcBorders>
            <w:shd w:val="clear" w:color="000000" w:fill="FFFFFF"/>
            <w:noWrap/>
            <w:vAlign w:val="bottom"/>
            <w:hideMark/>
          </w:tcPr>
          <w:p w14:paraId="3B34BE8E"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Further breakdown of above DB Plan and MIP investments:</w:t>
            </w:r>
          </w:p>
        </w:tc>
        <w:tc>
          <w:tcPr>
            <w:tcW w:w="1040" w:type="dxa"/>
            <w:tcBorders>
              <w:top w:val="nil"/>
              <w:left w:val="nil"/>
              <w:bottom w:val="nil"/>
              <w:right w:val="nil"/>
            </w:tcBorders>
            <w:shd w:val="clear" w:color="000000" w:fill="FFFFFF"/>
            <w:noWrap/>
            <w:hideMark/>
          </w:tcPr>
          <w:p w14:paraId="717F2ADE" w14:textId="732AA224" w:rsidR="002243DD" w:rsidRPr="002243DD" w:rsidRDefault="002243DD" w:rsidP="002243DD">
            <w:pPr>
              <w:jc w:val="right"/>
              <w:rPr>
                <w:rFonts w:ascii="Calibri" w:eastAsia="Times New Roman" w:hAnsi="Calibri" w:cs="Calibri"/>
                <w:b/>
                <w:bCs/>
                <w:color w:val="0D0D0D"/>
                <w:sz w:val="18"/>
                <w:szCs w:val="18"/>
              </w:rPr>
            </w:pPr>
          </w:p>
        </w:tc>
        <w:tc>
          <w:tcPr>
            <w:tcW w:w="1900" w:type="dxa"/>
            <w:tcBorders>
              <w:top w:val="nil"/>
              <w:left w:val="nil"/>
              <w:bottom w:val="nil"/>
              <w:right w:val="nil"/>
            </w:tcBorders>
            <w:shd w:val="clear" w:color="000000" w:fill="FFFFFF"/>
            <w:noWrap/>
            <w:vAlign w:val="bottom"/>
            <w:hideMark/>
          </w:tcPr>
          <w:p w14:paraId="369C8C52"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2EC0016E"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60DCD2AC" w14:textId="77777777" w:rsidTr="00204D21">
        <w:trPr>
          <w:trHeight w:val="312"/>
        </w:trPr>
        <w:tc>
          <w:tcPr>
            <w:tcW w:w="5280" w:type="dxa"/>
            <w:tcBorders>
              <w:top w:val="nil"/>
              <w:left w:val="nil"/>
              <w:bottom w:val="nil"/>
              <w:right w:val="nil"/>
            </w:tcBorders>
            <w:shd w:val="clear" w:color="000000" w:fill="FFFFFF"/>
            <w:noWrap/>
            <w:vAlign w:val="bottom"/>
            <w:hideMark/>
          </w:tcPr>
          <w:p w14:paraId="7F070CA8"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DB Plan at NAV</w:t>
            </w:r>
          </w:p>
        </w:tc>
        <w:tc>
          <w:tcPr>
            <w:tcW w:w="1040" w:type="dxa"/>
            <w:tcBorders>
              <w:top w:val="nil"/>
              <w:left w:val="nil"/>
              <w:bottom w:val="nil"/>
              <w:right w:val="nil"/>
            </w:tcBorders>
            <w:shd w:val="clear" w:color="000000" w:fill="FFFFFF"/>
            <w:noWrap/>
            <w:hideMark/>
          </w:tcPr>
          <w:p w14:paraId="4C7D869C" w14:textId="3F1C9FB7"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$8,372 </w:t>
            </w:r>
          </w:p>
        </w:tc>
        <w:tc>
          <w:tcPr>
            <w:tcW w:w="1900" w:type="dxa"/>
            <w:tcBorders>
              <w:top w:val="nil"/>
              <w:left w:val="nil"/>
              <w:bottom w:val="nil"/>
              <w:right w:val="nil"/>
            </w:tcBorders>
            <w:shd w:val="clear" w:color="000000" w:fill="FFFFFF"/>
            <w:noWrap/>
            <w:vAlign w:val="bottom"/>
            <w:hideMark/>
          </w:tcPr>
          <w:p w14:paraId="06A1F900"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0EDA1ED0"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19F7080E" w14:textId="77777777" w:rsidTr="00204D21">
        <w:trPr>
          <w:trHeight w:val="312"/>
        </w:trPr>
        <w:tc>
          <w:tcPr>
            <w:tcW w:w="5280" w:type="dxa"/>
            <w:tcBorders>
              <w:top w:val="nil"/>
              <w:left w:val="nil"/>
              <w:bottom w:val="nil"/>
              <w:right w:val="nil"/>
            </w:tcBorders>
            <w:shd w:val="clear" w:color="000000" w:fill="FFFFFF"/>
            <w:noWrap/>
            <w:vAlign w:val="bottom"/>
            <w:hideMark/>
          </w:tcPr>
          <w:p w14:paraId="128B0AC5"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MIP held on behalf of outside entities at NAV</w:t>
            </w:r>
          </w:p>
        </w:tc>
        <w:tc>
          <w:tcPr>
            <w:tcW w:w="1040" w:type="dxa"/>
            <w:tcBorders>
              <w:top w:val="nil"/>
              <w:left w:val="nil"/>
              <w:bottom w:val="nil"/>
              <w:right w:val="nil"/>
            </w:tcBorders>
            <w:shd w:val="clear" w:color="000000" w:fill="FFFFFF"/>
            <w:noWrap/>
            <w:hideMark/>
          </w:tcPr>
          <w:p w14:paraId="7B28EBD3" w14:textId="23DB880D"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75,925 </w:t>
            </w:r>
          </w:p>
        </w:tc>
        <w:tc>
          <w:tcPr>
            <w:tcW w:w="1900" w:type="dxa"/>
            <w:tcBorders>
              <w:top w:val="nil"/>
              <w:left w:val="nil"/>
              <w:bottom w:val="nil"/>
              <w:right w:val="nil"/>
            </w:tcBorders>
            <w:shd w:val="clear" w:color="000000" w:fill="FFFFFF"/>
            <w:noWrap/>
            <w:vAlign w:val="bottom"/>
            <w:hideMark/>
          </w:tcPr>
          <w:p w14:paraId="6BEBE9B2"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54714F2B"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6739A445" w14:textId="77777777" w:rsidTr="00204D21">
        <w:trPr>
          <w:trHeight w:val="312"/>
        </w:trPr>
        <w:tc>
          <w:tcPr>
            <w:tcW w:w="5280" w:type="dxa"/>
            <w:tcBorders>
              <w:top w:val="nil"/>
              <w:left w:val="nil"/>
              <w:bottom w:val="nil"/>
              <w:right w:val="nil"/>
            </w:tcBorders>
            <w:shd w:val="clear" w:color="000000" w:fill="FFFFFF"/>
            <w:noWrap/>
            <w:vAlign w:val="bottom"/>
            <w:hideMark/>
          </w:tcPr>
          <w:p w14:paraId="34FCB5FC"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Fiduciary funds held in the Endowment Pool for others</w:t>
            </w:r>
          </w:p>
        </w:tc>
        <w:tc>
          <w:tcPr>
            <w:tcW w:w="1040" w:type="dxa"/>
            <w:tcBorders>
              <w:top w:val="nil"/>
              <w:left w:val="nil"/>
              <w:bottom w:val="nil"/>
              <w:right w:val="nil"/>
            </w:tcBorders>
            <w:shd w:val="clear" w:color="000000" w:fill="FFFFFF"/>
            <w:noWrap/>
            <w:hideMark/>
          </w:tcPr>
          <w:p w14:paraId="5DDE6787" w14:textId="6B4247DD"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14,329 </w:t>
            </w:r>
          </w:p>
        </w:tc>
        <w:tc>
          <w:tcPr>
            <w:tcW w:w="1900" w:type="dxa"/>
            <w:tcBorders>
              <w:top w:val="nil"/>
              <w:left w:val="nil"/>
              <w:bottom w:val="nil"/>
              <w:right w:val="nil"/>
            </w:tcBorders>
            <w:shd w:val="clear" w:color="000000" w:fill="FFFFFF"/>
            <w:noWrap/>
            <w:vAlign w:val="bottom"/>
            <w:hideMark/>
          </w:tcPr>
          <w:p w14:paraId="38367DDC"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D873645"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00382C06" w14:textId="77777777" w:rsidTr="00204D21">
        <w:trPr>
          <w:trHeight w:val="312"/>
        </w:trPr>
        <w:tc>
          <w:tcPr>
            <w:tcW w:w="5280" w:type="dxa"/>
            <w:tcBorders>
              <w:top w:val="nil"/>
              <w:left w:val="nil"/>
              <w:bottom w:val="nil"/>
              <w:right w:val="nil"/>
            </w:tcBorders>
            <w:shd w:val="clear" w:color="000000" w:fill="FFFFFF"/>
            <w:noWrap/>
            <w:vAlign w:val="bottom"/>
            <w:hideMark/>
          </w:tcPr>
          <w:p w14:paraId="295FD58B" w14:textId="77777777" w:rsidR="002243DD" w:rsidRPr="00303AA9" w:rsidRDefault="002243DD" w:rsidP="002243DD">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Endowment pool investments included in the MIP at NAV</w:t>
            </w:r>
          </w:p>
        </w:tc>
        <w:tc>
          <w:tcPr>
            <w:tcW w:w="1040" w:type="dxa"/>
            <w:tcBorders>
              <w:top w:val="nil"/>
              <w:left w:val="nil"/>
              <w:bottom w:val="nil"/>
              <w:right w:val="nil"/>
            </w:tcBorders>
            <w:shd w:val="clear" w:color="auto" w:fill="auto"/>
            <w:noWrap/>
            <w:hideMark/>
          </w:tcPr>
          <w:p w14:paraId="5C8FED3E" w14:textId="5B913EF7" w:rsidR="002243DD" w:rsidRPr="002243DD" w:rsidRDefault="002243DD" w:rsidP="002243DD">
            <w:pPr>
              <w:jc w:val="right"/>
              <w:rPr>
                <w:rFonts w:ascii="Calibri" w:eastAsia="Times New Roman" w:hAnsi="Calibri" w:cs="Calibri"/>
                <w:color w:val="0D0D0D"/>
                <w:sz w:val="18"/>
                <w:szCs w:val="18"/>
              </w:rPr>
            </w:pPr>
            <w:r w:rsidRPr="00204D21">
              <w:rPr>
                <w:sz w:val="18"/>
                <w:szCs w:val="18"/>
              </w:rPr>
              <w:t xml:space="preserve"> 62,718 </w:t>
            </w:r>
          </w:p>
        </w:tc>
        <w:tc>
          <w:tcPr>
            <w:tcW w:w="1900" w:type="dxa"/>
            <w:tcBorders>
              <w:top w:val="nil"/>
              <w:left w:val="nil"/>
              <w:bottom w:val="nil"/>
              <w:right w:val="nil"/>
            </w:tcBorders>
            <w:shd w:val="clear" w:color="000000" w:fill="FFFFFF"/>
            <w:noWrap/>
            <w:vAlign w:val="bottom"/>
            <w:hideMark/>
          </w:tcPr>
          <w:p w14:paraId="188D42C3"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7E46E124"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2243DD" w:rsidRPr="00350BDC" w14:paraId="4A22DC0A" w14:textId="77777777" w:rsidTr="00204D21">
        <w:trPr>
          <w:trHeight w:val="324"/>
        </w:trPr>
        <w:tc>
          <w:tcPr>
            <w:tcW w:w="5280" w:type="dxa"/>
            <w:tcBorders>
              <w:top w:val="single" w:sz="4" w:space="0" w:color="00688D"/>
              <w:left w:val="nil"/>
              <w:bottom w:val="double" w:sz="6" w:space="0" w:color="00688D"/>
              <w:right w:val="nil"/>
            </w:tcBorders>
            <w:shd w:val="clear" w:color="000000" w:fill="FFFFFF"/>
            <w:noWrap/>
            <w:vAlign w:val="bottom"/>
            <w:hideMark/>
          </w:tcPr>
          <w:p w14:paraId="05FDA518"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investments measured at NAV by portfolio</w:t>
            </w:r>
          </w:p>
        </w:tc>
        <w:tc>
          <w:tcPr>
            <w:tcW w:w="1040" w:type="dxa"/>
            <w:tcBorders>
              <w:top w:val="single" w:sz="4" w:space="0" w:color="00688D"/>
              <w:left w:val="nil"/>
              <w:bottom w:val="double" w:sz="6" w:space="0" w:color="00688D"/>
              <w:right w:val="nil"/>
            </w:tcBorders>
            <w:shd w:val="clear" w:color="000000" w:fill="FFFFFF"/>
            <w:noWrap/>
            <w:hideMark/>
          </w:tcPr>
          <w:p w14:paraId="6EB34510" w14:textId="13912DBA" w:rsidR="002243DD" w:rsidRPr="002243DD" w:rsidRDefault="002243DD" w:rsidP="002243DD">
            <w:pPr>
              <w:jc w:val="right"/>
              <w:rPr>
                <w:rFonts w:ascii="Calibri" w:eastAsia="Times New Roman" w:hAnsi="Calibri" w:cs="Calibri"/>
                <w:b/>
                <w:bCs/>
                <w:color w:val="0D0D0D"/>
                <w:sz w:val="18"/>
                <w:szCs w:val="18"/>
              </w:rPr>
            </w:pPr>
            <w:r w:rsidRPr="00204D21">
              <w:rPr>
                <w:sz w:val="18"/>
                <w:szCs w:val="18"/>
              </w:rPr>
              <w:t xml:space="preserve"> $161,344 </w:t>
            </w:r>
          </w:p>
        </w:tc>
        <w:tc>
          <w:tcPr>
            <w:tcW w:w="1900" w:type="dxa"/>
            <w:tcBorders>
              <w:top w:val="nil"/>
              <w:left w:val="nil"/>
              <w:bottom w:val="nil"/>
              <w:right w:val="nil"/>
            </w:tcBorders>
            <w:shd w:val="clear" w:color="000000" w:fill="FFFFFF"/>
            <w:noWrap/>
            <w:vAlign w:val="bottom"/>
            <w:hideMark/>
          </w:tcPr>
          <w:p w14:paraId="6E6D59A0"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74144EE0" w14:textId="77777777" w:rsidR="002243DD" w:rsidRPr="00303AA9" w:rsidRDefault="002243DD" w:rsidP="002243DD">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bl>
    <w:p w14:paraId="36603E6E" w14:textId="77777777" w:rsidR="00DD1612" w:rsidRDefault="00DD1612" w:rsidP="00DD1612">
      <w:pPr>
        <w:rPr>
          <w:rFonts w:eastAsia="Times New Roman" w:cstheme="minorHAnsi"/>
          <w:color w:val="FF0000"/>
          <w:spacing w:val="-3"/>
          <w:sz w:val="24"/>
          <w:szCs w:val="20"/>
        </w:rPr>
      </w:pPr>
    </w:p>
    <w:p w14:paraId="2547D0CA" w14:textId="77777777" w:rsidR="00DD1612" w:rsidRPr="00F54559" w:rsidRDefault="00DD1612" w:rsidP="00DD1612">
      <w:pPr>
        <w:rPr>
          <w:rFonts w:eastAsia="Times New Roman" w:cstheme="minorHAnsi"/>
          <w:color w:val="000000"/>
          <w:spacing w:val="-3"/>
          <w:sz w:val="24"/>
          <w:szCs w:val="20"/>
        </w:rPr>
      </w:pPr>
      <w:r>
        <w:rPr>
          <w:rFonts w:eastAsia="Times New Roman" w:cstheme="minorHAnsi"/>
          <w:color w:val="000000"/>
          <w:spacing w:val="-3"/>
          <w:sz w:val="24"/>
          <w:szCs w:val="20"/>
        </w:rPr>
        <w:fldChar w:fldCharType="begin"/>
      </w:r>
      <w:r>
        <w:rPr>
          <w:rFonts w:eastAsia="Times New Roman" w:cstheme="minorHAnsi"/>
          <w:color w:val="000000"/>
          <w:spacing w:val="-3"/>
          <w:sz w:val="24"/>
          <w:szCs w:val="20"/>
        </w:rPr>
        <w:fldChar w:fldCharType="end"/>
      </w:r>
    </w:p>
    <w:p w14:paraId="4F218C28" w14:textId="77777777" w:rsidR="00DD1612" w:rsidRPr="00F54559" w:rsidRDefault="00DD1612" w:rsidP="00DD1612">
      <w:pPr>
        <w:tabs>
          <w:tab w:val="left" w:pos="720"/>
          <w:tab w:val="left" w:pos="1080"/>
          <w:tab w:val="decimal" w:pos="6786"/>
          <w:tab w:val="decimal" w:pos="9187"/>
        </w:tabs>
        <w:suppressAutoHyphens/>
        <w:rPr>
          <w:rFonts w:eastAsia="Times New Roman" w:cstheme="minorHAnsi"/>
          <w:color w:val="000000"/>
          <w:spacing w:val="-3"/>
          <w:sz w:val="24"/>
          <w:szCs w:val="20"/>
        </w:rPr>
        <w:sectPr w:rsidR="00DD1612" w:rsidRPr="00F54559" w:rsidSect="00BD375F">
          <w:footerReference w:type="default" r:id="rId67"/>
          <w:pgSz w:w="12240" w:h="15840" w:code="1"/>
          <w:pgMar w:top="1440" w:right="1440" w:bottom="1440" w:left="1440" w:header="720" w:footer="720" w:gutter="0"/>
          <w:cols w:space="0"/>
          <w:docGrid w:linePitch="360"/>
        </w:sectPr>
      </w:pPr>
    </w:p>
    <w:p w14:paraId="550AABE7" w14:textId="77777777" w:rsidR="00DD1612" w:rsidRPr="00F54559" w:rsidRDefault="00DD1612" w:rsidP="00DD1612">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1571A0CD" w14:textId="105F4C8B" w:rsidR="00DD1612" w:rsidRDefault="00DD1612" w:rsidP="00DD1612">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trustees </w:t>
      </w:r>
      <w:r w:rsidRPr="00F54559">
        <w:rPr>
          <w:rFonts w:eastAsia="Times New Roman" w:cstheme="minorHAnsi"/>
          <w:color w:val="000000"/>
          <w:spacing w:val="-3"/>
          <w:sz w:val="24"/>
          <w:szCs w:val="20"/>
        </w:rPr>
        <w:t xml:space="preserve">were composed of the following </w:t>
      </w:r>
      <w:proofErr w:type="gramStart"/>
      <w:r w:rsidRPr="00F54559">
        <w:rPr>
          <w:rFonts w:eastAsia="Times New Roman" w:cstheme="minorHAnsi"/>
          <w:color w:val="000000"/>
          <w:spacing w:val="-3"/>
          <w:sz w:val="24"/>
          <w:szCs w:val="20"/>
        </w:rPr>
        <w:t>at</w:t>
      </w:r>
      <w:proofErr w:type="gramEnd"/>
      <w:r w:rsidRPr="00F54559">
        <w:rPr>
          <w:rFonts w:eastAsia="Times New Roman" w:cstheme="minorHAnsi"/>
          <w:color w:val="000000"/>
          <w:spacing w:val="-3"/>
          <w:sz w:val="24"/>
          <w:szCs w:val="20"/>
        </w:rPr>
        <w:t xml:space="preserve"> June 30</w:t>
      </w:r>
      <w:r w:rsidRPr="00F54559">
        <w:rPr>
          <w:rFonts w:eastAsia="Times New Roman" w:cstheme="minorHAnsi"/>
          <w:spacing w:val="-3"/>
          <w:sz w:val="24"/>
          <w:szCs w:val="20"/>
        </w:rPr>
        <w:t xml:space="preserve">, </w:t>
      </w:r>
      <w:r w:rsidR="00296B5F" w:rsidRPr="000A753B">
        <w:rPr>
          <w:rFonts w:eastAsia="Times New Roman" w:cstheme="minorHAnsi"/>
          <w:spacing w:val="-3"/>
          <w:sz w:val="24"/>
          <w:szCs w:val="20"/>
        </w:rPr>
        <w:t>20</w:t>
      </w:r>
      <w:r w:rsidR="00296B5F">
        <w:rPr>
          <w:rFonts w:eastAsia="Times New Roman" w:cstheme="minorHAnsi"/>
          <w:spacing w:val="-3"/>
          <w:sz w:val="24"/>
          <w:szCs w:val="20"/>
        </w:rPr>
        <w:t>22</w:t>
      </w:r>
      <w:r w:rsidRPr="00F54559">
        <w:rPr>
          <w:rFonts w:eastAsia="Times New Roman" w:cstheme="minorHAnsi"/>
          <w:spacing w:val="-3"/>
          <w:sz w:val="24"/>
          <w:szCs w:val="20"/>
        </w:rPr>
        <w:t>:</w:t>
      </w:r>
    </w:p>
    <w:p w14:paraId="433290D2" w14:textId="37698FEC" w:rsidR="00DD1612" w:rsidRPr="00C07091" w:rsidRDefault="00414746" w:rsidP="00DD1612">
      <w:pPr>
        <w:tabs>
          <w:tab w:val="left" w:pos="720"/>
          <w:tab w:val="left" w:pos="1080"/>
          <w:tab w:val="decimal" w:pos="6786"/>
          <w:tab w:val="decimal" w:pos="9187"/>
        </w:tabs>
        <w:suppressAutoHyphens/>
        <w:spacing w:after="240"/>
        <w:rPr>
          <w:rFonts w:eastAsia="Times New Roman" w:cstheme="minorHAnsi"/>
          <w:color w:val="FF0000"/>
          <w:spacing w:val="-3"/>
          <w:sz w:val="24"/>
          <w:szCs w:val="20"/>
        </w:rPr>
        <w:sectPr w:rsidR="00DD1612" w:rsidRPr="00C07091" w:rsidSect="00BD375F">
          <w:footerReference w:type="default" r:id="rId68"/>
          <w:pgSz w:w="15840" w:h="12240" w:orient="landscape" w:code="1"/>
          <w:pgMar w:top="1440" w:right="1440" w:bottom="1440" w:left="1440" w:header="720" w:footer="720" w:gutter="0"/>
          <w:cols w:space="0"/>
          <w:docGrid w:linePitch="360"/>
        </w:sectPr>
      </w:pPr>
      <w:r w:rsidRPr="00414746">
        <w:rPr>
          <w:noProof/>
        </w:rPr>
        <w:drawing>
          <wp:inline distT="0" distB="0" distL="0" distR="0" wp14:anchorId="7DCF46D3" wp14:editId="0683DE6E">
            <wp:extent cx="8229600" cy="3725887"/>
            <wp:effectExtent l="0" t="0" r="0" b="8255"/>
            <wp:docPr id="1735563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30"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r="810" b="717"/>
                    <a:stretch/>
                  </pic:blipFill>
                  <pic:spPr bwMode="auto">
                    <a:xfrm>
                      <a:off x="0" y="0"/>
                      <a:ext cx="8229600" cy="3725887"/>
                    </a:xfrm>
                    <a:prstGeom prst="rect">
                      <a:avLst/>
                    </a:prstGeom>
                    <a:noFill/>
                    <a:ln>
                      <a:noFill/>
                    </a:ln>
                    <a:extLst>
                      <a:ext uri="{53640926-AAD7-44D8-BBD7-CCE9431645EC}">
                        <a14:shadowObscured xmlns:a14="http://schemas.microsoft.com/office/drawing/2010/main"/>
                      </a:ext>
                    </a:extLst>
                  </pic:spPr>
                </pic:pic>
              </a:graphicData>
            </a:graphic>
          </wp:inline>
        </w:drawing>
      </w:r>
    </w:p>
    <w:p w14:paraId="05EA928C" w14:textId="77777777" w:rsidR="00DD1612" w:rsidRPr="00F54559" w:rsidRDefault="00DD1612" w:rsidP="00DD1612">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1304B890" w14:textId="49462381" w:rsidR="00DD1612" w:rsidRDefault="00DD1612" w:rsidP="00DD1612">
      <w:pPr>
        <w:spacing w:after="160" w:line="259" w:lineRule="auto"/>
        <w:rPr>
          <w:rFonts w:eastAsia="Times New Roman" w:cstheme="minorHAnsi"/>
          <w:color w:val="000000"/>
          <w:spacing w:val="-3"/>
          <w:sz w:val="24"/>
          <w:szCs w:val="20"/>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DB Plan, MIP and separately invested</w:t>
      </w:r>
      <w:r>
        <w:rPr>
          <w:rFonts w:eastAsia="Times New Roman" w:cstheme="minorHAnsi"/>
          <w:color w:val="000000"/>
          <w:spacing w:val="-3"/>
          <w:sz w:val="24"/>
          <w:szCs w:val="20"/>
        </w:rPr>
        <w:t xml:space="preserve"> </w:t>
      </w:r>
      <w:r>
        <w:rPr>
          <w:rFonts w:eastAsia="Times New Roman" w:cstheme="minorHAnsi"/>
          <w:b/>
          <w:color w:val="000000"/>
          <w:spacing w:val="-3"/>
          <w:sz w:val="24"/>
          <w:szCs w:val="20"/>
        </w:rPr>
        <w:t xml:space="preserve">endowments </w:t>
      </w:r>
      <w:r w:rsidRPr="00F54559">
        <w:rPr>
          <w:rFonts w:eastAsia="Times New Roman" w:cstheme="minorHAnsi"/>
          <w:color w:val="000000"/>
          <w:spacing w:val="-3"/>
          <w:sz w:val="24"/>
          <w:szCs w:val="20"/>
        </w:rPr>
        <w:t xml:space="preserve">were composed of the following 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xml:space="preserve">, </w:t>
      </w:r>
      <w:r w:rsidR="00296B5F" w:rsidRPr="00601B8C">
        <w:rPr>
          <w:rFonts w:eastAsia="Times New Roman" w:cstheme="minorHAnsi"/>
          <w:spacing w:val="-3"/>
          <w:sz w:val="24"/>
          <w:szCs w:val="20"/>
        </w:rPr>
        <w:t>202</w:t>
      </w:r>
      <w:r w:rsidR="00296B5F">
        <w:rPr>
          <w:rFonts w:eastAsia="Times New Roman" w:cstheme="minorHAnsi"/>
          <w:spacing w:val="-3"/>
          <w:sz w:val="24"/>
          <w:szCs w:val="20"/>
        </w:rPr>
        <w:t>2</w:t>
      </w:r>
      <w:r>
        <w:rPr>
          <w:rFonts w:eastAsia="Times New Roman" w:cstheme="minorHAnsi"/>
          <w:spacing w:val="-3"/>
          <w:sz w:val="24"/>
          <w:szCs w:val="20"/>
        </w:rPr>
        <w:t>:</w:t>
      </w:r>
    </w:p>
    <w:p w14:paraId="7FE29125" w14:textId="2DE12FC3" w:rsidR="00DD1612" w:rsidRPr="00B6002B" w:rsidRDefault="00B6002B" w:rsidP="00DD1612">
      <w:pPr>
        <w:spacing w:after="160" w:line="259" w:lineRule="auto"/>
        <w:rPr>
          <w:rFonts w:eastAsiaTheme="majorEastAsia" w:cstheme="minorHAnsi"/>
          <w:iCs/>
          <w:smallCaps/>
          <w:noProof/>
          <w:color w:val="000000" w:themeColor="text1"/>
          <w:sz w:val="26"/>
          <w:szCs w:val="26"/>
          <w:u w:color="5B9BD5"/>
        </w:rPr>
      </w:pPr>
      <w:r w:rsidRPr="00B6002B">
        <w:rPr>
          <w:noProof/>
        </w:rPr>
        <w:drawing>
          <wp:inline distT="0" distB="0" distL="0" distR="0" wp14:anchorId="61C2CEA5" wp14:editId="48017F17">
            <wp:extent cx="8229600" cy="3569937"/>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9600" cy="3569937"/>
                    </a:xfrm>
                    <a:prstGeom prst="rect">
                      <a:avLst/>
                    </a:prstGeom>
                    <a:noFill/>
                    <a:ln>
                      <a:noFill/>
                    </a:ln>
                  </pic:spPr>
                </pic:pic>
              </a:graphicData>
            </a:graphic>
          </wp:inline>
        </w:drawing>
      </w:r>
    </w:p>
    <w:p w14:paraId="769CF019" w14:textId="77777777" w:rsidR="00F91EC6" w:rsidRDefault="00F91EC6">
      <w:pPr>
        <w:spacing w:after="160" w:line="259" w:lineRule="auto"/>
        <w:rPr>
          <w:rFonts w:cstheme="minorHAnsi"/>
          <w:b/>
          <w:i/>
          <w:noProof/>
          <w:sz w:val="26"/>
          <w:szCs w:val="26"/>
        </w:rPr>
      </w:pPr>
      <w:r>
        <w:rPr>
          <w:rFonts w:cstheme="minorHAnsi"/>
          <w:b/>
          <w:i/>
          <w:noProof/>
          <w:sz w:val="26"/>
          <w:szCs w:val="26"/>
        </w:rPr>
        <w:br w:type="page"/>
      </w:r>
    </w:p>
    <w:p w14:paraId="27DB34E8" w14:textId="1F897011" w:rsidR="00F91EC6" w:rsidRDefault="00F91EC6" w:rsidP="00F91EC6">
      <w:pPr>
        <w:spacing w:after="160" w:line="259" w:lineRule="auto"/>
        <w:rPr>
          <w:rFonts w:cstheme="minorHAnsi"/>
          <w:b/>
          <w:i/>
          <w:noProof/>
          <w:sz w:val="26"/>
          <w:szCs w:val="26"/>
        </w:rPr>
      </w:pPr>
      <w:r w:rsidRPr="00F54559">
        <w:rPr>
          <w:rFonts w:cstheme="minorHAnsi"/>
          <w:b/>
          <w:i/>
          <w:noProof/>
          <w:sz w:val="26"/>
          <w:szCs w:val="26"/>
        </w:rPr>
        <w:lastRenderedPageBreak/>
        <w:t>3. INVESTMENTS - CONTINUED</w:t>
      </w:r>
    </w:p>
    <w:p w14:paraId="4D4470F1" w14:textId="3589EAA9" w:rsidR="00974C14" w:rsidRDefault="00974C14" w:rsidP="00974C14">
      <w:pPr>
        <w:spacing w:after="160" w:line="259" w:lineRule="auto"/>
        <w:rPr>
          <w:rFonts w:eastAsia="Times New Roman" w:cstheme="minorHAnsi"/>
          <w:color w:val="000000"/>
          <w:spacing w:val="-3"/>
          <w:sz w:val="24"/>
          <w:szCs w:val="20"/>
        </w:rPr>
      </w:pPr>
      <w:r>
        <w:rPr>
          <w:rFonts w:eastAsia="Times New Roman" w:cstheme="minorHAnsi"/>
          <w:color w:val="000000"/>
          <w:spacing w:val="-3"/>
          <w:sz w:val="24"/>
          <w:szCs w:val="20"/>
        </w:rPr>
        <w:t xml:space="preserve">Breakdown of investments by portfolio </w:t>
      </w:r>
      <w:r w:rsidRPr="00F54559">
        <w:rPr>
          <w:rFonts w:eastAsia="Times New Roman" w:cstheme="minorHAnsi"/>
          <w:color w:val="000000"/>
          <w:spacing w:val="-3"/>
          <w:sz w:val="24"/>
          <w:szCs w:val="20"/>
        </w:rPr>
        <w:t xml:space="preserve">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202</w:t>
      </w:r>
      <w:r>
        <w:rPr>
          <w:rFonts w:eastAsia="Times New Roman" w:cstheme="minorHAnsi"/>
          <w:spacing w:val="-3"/>
          <w:sz w:val="24"/>
          <w:szCs w:val="20"/>
        </w:rPr>
        <w:t>2</w:t>
      </w:r>
      <w:r w:rsidRPr="00F54559">
        <w:rPr>
          <w:rFonts w:eastAsia="Times New Roman" w:cstheme="minorHAnsi"/>
          <w:spacing w:val="-3"/>
          <w:sz w:val="24"/>
          <w:szCs w:val="20"/>
        </w:rPr>
        <w:t>:</w:t>
      </w:r>
    </w:p>
    <w:p w14:paraId="37292C87" w14:textId="64F08A7D" w:rsidR="007177D2" w:rsidRPr="00F54559" w:rsidRDefault="00974C14" w:rsidP="00DD1612">
      <w:pPr>
        <w:spacing w:after="160" w:line="259" w:lineRule="auto"/>
        <w:rPr>
          <w:rFonts w:eastAsiaTheme="majorEastAsia" w:cstheme="minorHAnsi"/>
          <w:b/>
          <w:i/>
          <w:iCs/>
          <w:smallCaps/>
          <w:noProof/>
          <w:color w:val="000000" w:themeColor="text1"/>
          <w:sz w:val="26"/>
          <w:szCs w:val="26"/>
          <w:u w:color="5B9BD5"/>
        </w:rPr>
        <w:sectPr w:rsidR="007177D2" w:rsidRPr="00F54559" w:rsidSect="00BD375F">
          <w:pgSz w:w="15840" w:h="12240" w:orient="landscape" w:code="1"/>
          <w:pgMar w:top="1440" w:right="1440" w:bottom="1440" w:left="1440" w:header="720" w:footer="720" w:gutter="0"/>
          <w:cols w:space="0"/>
          <w:docGrid w:linePitch="360"/>
        </w:sectPr>
      </w:pPr>
      <w:r w:rsidRPr="00974C14">
        <w:rPr>
          <w:noProof/>
        </w:rPr>
        <w:drawing>
          <wp:inline distT="0" distB="0" distL="0" distR="0" wp14:anchorId="2FB0A676" wp14:editId="7C757350">
            <wp:extent cx="7172325" cy="4219575"/>
            <wp:effectExtent l="0" t="0" r="9525" b="9525"/>
            <wp:docPr id="902929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29555" name="Picture 1">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2325" cy="4219575"/>
                    </a:xfrm>
                    <a:prstGeom prst="rect">
                      <a:avLst/>
                    </a:prstGeom>
                    <a:noFill/>
                    <a:ln>
                      <a:noFill/>
                    </a:ln>
                  </pic:spPr>
                </pic:pic>
              </a:graphicData>
            </a:graphic>
          </wp:inline>
        </w:drawing>
      </w:r>
    </w:p>
    <w:p w14:paraId="419E0412" w14:textId="77777777" w:rsidR="00DD1612" w:rsidRPr="00F54559" w:rsidRDefault="00DD1612" w:rsidP="00DD1612">
      <w:pPr>
        <w:tabs>
          <w:tab w:val="left" w:pos="720"/>
          <w:tab w:val="left" w:pos="1080"/>
          <w:tab w:val="decimal" w:pos="6786"/>
          <w:tab w:val="decimal" w:pos="9187"/>
        </w:tabs>
        <w:suppressAutoHyphens/>
        <w:spacing w:after="240"/>
        <w:rPr>
          <w:rFonts w:cstheme="minorHAnsi"/>
          <w:sz w:val="24"/>
        </w:rPr>
      </w:pPr>
      <w:r w:rsidRPr="00F54559">
        <w:rPr>
          <w:rFonts w:eastAsiaTheme="majorEastAsia" w:cstheme="minorHAnsi"/>
          <w:b/>
          <w:i/>
          <w:iCs/>
          <w:smallCaps/>
          <w:noProof/>
          <w:color w:val="000000" w:themeColor="text1"/>
          <w:sz w:val="26"/>
          <w:szCs w:val="26"/>
          <w:u w:color="5B9BD5"/>
        </w:rPr>
        <w:lastRenderedPageBreak/>
        <w:t>3. INVESTMENTS - CONTINUED</w:t>
      </w:r>
    </w:p>
    <w:p w14:paraId="660EF5E3" w14:textId="79FE3105" w:rsidR="00DD1612" w:rsidRDefault="00DD1612" w:rsidP="00DD1612">
      <w:pPr>
        <w:tabs>
          <w:tab w:val="left" w:pos="720"/>
          <w:tab w:val="left" w:pos="1080"/>
          <w:tab w:val="decimal" w:pos="6786"/>
          <w:tab w:val="decimal" w:pos="9187"/>
        </w:tabs>
        <w:suppressAutoHyphens/>
        <w:spacing w:after="120"/>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sidR="00296B5F">
        <w:rPr>
          <w:rFonts w:cstheme="minorHAnsi"/>
          <w:sz w:val="24"/>
        </w:rPr>
        <w:t>2022</w:t>
      </w:r>
      <w:r w:rsidRPr="00F54559">
        <w:rPr>
          <w:rFonts w:cstheme="minorHAnsi"/>
          <w:sz w:val="24"/>
        </w:rPr>
        <w:t>:</w:t>
      </w:r>
    </w:p>
    <w:p w14:paraId="3ECB80B5" w14:textId="55BF2B2B" w:rsidR="00DD1612" w:rsidRPr="00F54559" w:rsidRDefault="00B623F2" w:rsidP="00DD1612">
      <w:pPr>
        <w:tabs>
          <w:tab w:val="left" w:pos="720"/>
          <w:tab w:val="left" w:pos="1080"/>
          <w:tab w:val="decimal" w:pos="6786"/>
          <w:tab w:val="decimal" w:pos="9187"/>
        </w:tabs>
        <w:suppressAutoHyphens/>
        <w:spacing w:after="120"/>
        <w:rPr>
          <w:rFonts w:cstheme="minorHAnsi"/>
          <w:sz w:val="24"/>
        </w:rPr>
      </w:pPr>
      <w:r w:rsidRPr="00B623F2">
        <w:rPr>
          <w:noProof/>
        </w:rPr>
        <w:drawing>
          <wp:inline distT="0" distB="0" distL="0" distR="0" wp14:anchorId="2B60BA53" wp14:editId="64D05378">
            <wp:extent cx="5943600" cy="4266021"/>
            <wp:effectExtent l="0" t="0" r="0" b="1270"/>
            <wp:docPr id="24021400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1400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r="8814"/>
                    <a:stretch/>
                  </pic:blipFill>
                  <pic:spPr bwMode="auto">
                    <a:xfrm>
                      <a:off x="0" y="0"/>
                      <a:ext cx="5943600" cy="4266021"/>
                    </a:xfrm>
                    <a:prstGeom prst="rect">
                      <a:avLst/>
                    </a:prstGeom>
                    <a:noFill/>
                    <a:ln>
                      <a:noFill/>
                    </a:ln>
                    <a:extLst>
                      <a:ext uri="{53640926-AAD7-44D8-BBD7-CCE9431645EC}">
                        <a14:shadowObscured xmlns:a14="http://schemas.microsoft.com/office/drawing/2010/main"/>
                      </a:ext>
                    </a:extLst>
                  </pic:spPr>
                </pic:pic>
              </a:graphicData>
            </a:graphic>
          </wp:inline>
        </w:drawing>
      </w:r>
    </w:p>
    <w:p w14:paraId="20156A29" w14:textId="2128D7B4" w:rsidR="00DD1612" w:rsidRPr="00F54559" w:rsidRDefault="00DD1612" w:rsidP="00DD1612">
      <w:pPr>
        <w:spacing w:after="160"/>
        <w:rPr>
          <w:rFonts w:cstheme="minorHAnsi"/>
          <w:sz w:val="24"/>
          <w:szCs w:val="24"/>
        </w:rPr>
      </w:pPr>
      <w:r w:rsidRPr="00F54559">
        <w:rPr>
          <w:rFonts w:cstheme="minorHAnsi"/>
          <w:sz w:val="24"/>
          <w:szCs w:val="24"/>
        </w:rPr>
        <w:t xml:space="preserve">Additional information for investments measured at NAV at June 30, </w:t>
      </w:r>
      <w:r w:rsidR="007177D2" w:rsidRPr="00F54559">
        <w:rPr>
          <w:rFonts w:cstheme="minorHAnsi"/>
          <w:sz w:val="24"/>
          <w:szCs w:val="24"/>
        </w:rPr>
        <w:t>20</w:t>
      </w:r>
      <w:r w:rsidR="007177D2">
        <w:rPr>
          <w:rFonts w:cstheme="minorHAnsi"/>
          <w:sz w:val="24"/>
          <w:szCs w:val="24"/>
        </w:rPr>
        <w:t>23</w:t>
      </w:r>
      <w:r w:rsidR="007177D2" w:rsidRPr="00F54559">
        <w:rPr>
          <w:rFonts w:cstheme="minorHAnsi"/>
          <w:sz w:val="24"/>
          <w:szCs w:val="24"/>
        </w:rPr>
        <w:t xml:space="preserve"> </w:t>
      </w:r>
      <w:r w:rsidRPr="00F54559">
        <w:rPr>
          <w:rFonts w:cstheme="minorHAnsi"/>
          <w:sz w:val="24"/>
          <w:szCs w:val="24"/>
        </w:rPr>
        <w:t xml:space="preserve">and </w:t>
      </w:r>
      <w:r w:rsidR="007177D2" w:rsidRPr="00F54559">
        <w:rPr>
          <w:rFonts w:cstheme="minorHAnsi"/>
          <w:sz w:val="24"/>
          <w:szCs w:val="24"/>
        </w:rPr>
        <w:t>20</w:t>
      </w:r>
      <w:r w:rsidR="007177D2">
        <w:rPr>
          <w:rFonts w:cstheme="minorHAnsi"/>
          <w:sz w:val="24"/>
          <w:szCs w:val="24"/>
        </w:rPr>
        <w:t>22</w:t>
      </w:r>
      <w:r w:rsidR="007177D2" w:rsidRPr="00F54559">
        <w:rPr>
          <w:rFonts w:cstheme="minorHAnsi"/>
          <w:sz w:val="24"/>
          <w:szCs w:val="24"/>
        </w:rPr>
        <w:t xml:space="preserve"> </w:t>
      </w:r>
      <w:r w:rsidRPr="00F54559">
        <w:rPr>
          <w:rFonts w:cstheme="minorHAnsi"/>
          <w:sz w:val="24"/>
          <w:szCs w:val="24"/>
        </w:rPr>
        <w:t>is as follows:</w:t>
      </w:r>
    </w:p>
    <w:p w14:paraId="70966887" w14:textId="2D3E0BB6" w:rsidR="00DD1612" w:rsidRPr="00F54559" w:rsidRDefault="00DD1612" w:rsidP="00DD1612">
      <w:pPr>
        <w:tabs>
          <w:tab w:val="left" w:pos="1170"/>
        </w:tabs>
        <w:spacing w:after="120"/>
        <w:ind w:left="461" w:hanging="187"/>
        <w:rPr>
          <w:rFonts w:cstheme="minorHAnsi"/>
        </w:rPr>
      </w:pPr>
      <w:r w:rsidRPr="00F54559">
        <w:rPr>
          <w:rFonts w:cstheme="minorHAnsi"/>
          <w:sz w:val="24"/>
          <w:szCs w:val="24"/>
          <w:vertAlign w:val="superscript"/>
        </w:rPr>
        <w:t>1</w:t>
      </w:r>
      <w:r w:rsidRPr="00F54559">
        <w:rPr>
          <w:rFonts w:cstheme="minorHAnsi"/>
          <w:sz w:val="24"/>
          <w:szCs w:val="24"/>
          <w:vertAlign w:val="subscript"/>
        </w:rPr>
        <w:t xml:space="preserve"> </w:t>
      </w:r>
      <w:proofErr w:type="gramStart"/>
      <w:r w:rsidRPr="00F54559">
        <w:rPr>
          <w:rFonts w:cstheme="minorHAnsi"/>
        </w:rPr>
        <w:t>Multi-strategy</w:t>
      </w:r>
      <w:proofErr w:type="gramEnd"/>
      <w:r w:rsidRPr="00F54559">
        <w:rPr>
          <w:rFonts w:cstheme="minorHAnsi"/>
        </w:rPr>
        <w:t xml:space="preserve"> funds: Includes investments in equi</w:t>
      </w:r>
      <w:r w:rsidR="00541C5C">
        <w:rPr>
          <w:rFonts w:cstheme="minorHAnsi"/>
        </w:rPr>
        <w:t xml:space="preserve">ties and limited partnerships. </w:t>
      </w:r>
      <w:r w:rsidRPr="00F54559">
        <w:rPr>
          <w:rFonts w:cstheme="minorHAnsi"/>
        </w:rPr>
        <w:t xml:space="preserve">Limited partnerships may invest in pooled vehicles in global equities, fixed income instruments, currencies, commodities; long and short positions with respect to bonds, leveraged loans, trade claims and other investments; or other hedge funds with objectives to </w:t>
      </w:r>
      <w:r w:rsidR="00541C5C">
        <w:rPr>
          <w:rFonts w:cstheme="minorHAnsi"/>
        </w:rPr>
        <w:t xml:space="preserve">outperform certain benchmarks. </w:t>
      </w:r>
      <w:r w:rsidRPr="00F54559">
        <w:rPr>
          <w:rFonts w:cstheme="minorHAnsi"/>
        </w:rPr>
        <w:t>Fair values of these investments are completed on a monthly or quarterly basis using other significant direct or indirect observable inputs or recent observable transaction information for similar investments. Includes investments in liquidation status awaiting final distributions.</w:t>
      </w:r>
    </w:p>
    <w:p w14:paraId="553507BD" w14:textId="77777777" w:rsidR="00DD1612" w:rsidRDefault="00DD1612" w:rsidP="00DD1612">
      <w:pPr>
        <w:tabs>
          <w:tab w:val="left" w:pos="1170"/>
        </w:tabs>
        <w:spacing w:after="120"/>
        <w:ind w:left="450" w:hanging="180"/>
        <w:rPr>
          <w:rFonts w:cstheme="minorHAnsi"/>
          <w:b/>
          <w:i/>
          <w:noProof/>
          <w:sz w:val="26"/>
          <w:szCs w:val="26"/>
        </w:rPr>
      </w:pPr>
      <w:r w:rsidRPr="00F54559">
        <w:rPr>
          <w:rFonts w:cstheme="minorHAnsi"/>
          <w:sz w:val="24"/>
          <w:szCs w:val="24"/>
          <w:vertAlign w:val="superscript"/>
        </w:rPr>
        <w:t>2</w:t>
      </w:r>
      <w:r w:rsidRPr="00F54559">
        <w:rPr>
          <w:rFonts w:cstheme="minorHAnsi"/>
          <w:sz w:val="24"/>
          <w:szCs w:val="24"/>
          <w:vertAlign w:val="subscript"/>
        </w:rPr>
        <w:t xml:space="preserve"> </w:t>
      </w:r>
      <w:r w:rsidRPr="00F54559">
        <w:rPr>
          <w:rFonts w:cstheme="minorHAnsi"/>
        </w:rPr>
        <w:t>Bank loans: Investments in these funds include floating rate loans in a diverse set of industries and are traditionally rated below investment grade. Other observable inputs determine fair value of this investment.</w:t>
      </w:r>
      <w:r>
        <w:rPr>
          <w:rFonts w:cstheme="minorHAnsi"/>
          <w:b/>
          <w:i/>
          <w:noProof/>
          <w:sz w:val="26"/>
          <w:szCs w:val="26"/>
        </w:rPr>
        <w:br w:type="page"/>
      </w:r>
    </w:p>
    <w:p w14:paraId="6E76D1DF" w14:textId="77777777" w:rsidR="00DD1612" w:rsidRPr="00F54559" w:rsidRDefault="00DD1612" w:rsidP="00DD1612">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5F5E4DA6" w14:textId="77777777" w:rsidR="00DD1612" w:rsidRPr="00F54559" w:rsidRDefault="00DD1612" w:rsidP="00DD1612">
      <w:pPr>
        <w:pStyle w:val="AFR3"/>
        <w:rPr>
          <w:rFonts w:cstheme="minorHAnsi"/>
        </w:rPr>
      </w:pPr>
      <w:r w:rsidRPr="00F54559">
        <w:rPr>
          <w:rFonts w:cstheme="minorHAnsi"/>
        </w:rPr>
        <w:t>b. Interest Rate Risk</w:t>
      </w:r>
    </w:p>
    <w:p w14:paraId="3FD5BA0A" w14:textId="17AD5F39" w:rsidR="00DD1612" w:rsidRPr="00F54559" w:rsidRDefault="00DD1612" w:rsidP="00DD1612">
      <w:pPr>
        <w:rPr>
          <w:rFonts w:cstheme="minorHAnsi"/>
          <w:sz w:val="24"/>
        </w:rPr>
      </w:pPr>
      <w:r w:rsidRPr="00F54559">
        <w:rPr>
          <w:rFonts w:cstheme="minorHAnsi"/>
          <w:sz w:val="24"/>
        </w:rPr>
        <w:t>Interest rate risk is the risk that changes in interest rates will adversely affect the fair value of an i</w:t>
      </w:r>
      <w:r w:rsidR="00541C5C">
        <w:rPr>
          <w:rFonts w:cstheme="minorHAnsi"/>
          <w:sz w:val="24"/>
        </w:rPr>
        <w:t xml:space="preserve">nvestment. </w:t>
      </w:r>
      <w:r w:rsidRPr="00F54559">
        <w:rPr>
          <w:rFonts w:cstheme="minorHAnsi"/>
          <w:sz w:val="24"/>
        </w:rPr>
        <w:t>The System’s policy for managing interest rate risk is as follows:</w:t>
      </w:r>
    </w:p>
    <w:p w14:paraId="054ED838" w14:textId="01DB0693" w:rsidR="00DD1612" w:rsidRPr="00F54559" w:rsidRDefault="00DD1612" w:rsidP="00DD1612">
      <w:pPr>
        <w:spacing w:before="120"/>
        <w:rPr>
          <w:rFonts w:cstheme="minorHAnsi"/>
          <w:sz w:val="24"/>
        </w:rPr>
      </w:pPr>
      <w:r w:rsidRPr="00F54559">
        <w:rPr>
          <w:rStyle w:val="AFR5Char"/>
          <w:rFonts w:asciiTheme="minorHAnsi" w:hAnsiTheme="minorHAnsi" w:cstheme="minorHAnsi"/>
        </w:rPr>
        <w:t>Operating Investments:</w:t>
      </w:r>
      <w:r w:rsidR="00541C5C">
        <w:rPr>
          <w:rFonts w:cstheme="minorHAnsi"/>
          <w:sz w:val="24"/>
        </w:rPr>
        <w:t xml:space="preserve"> </w:t>
      </w:r>
      <w:r w:rsidRPr="00F54559">
        <w:rPr>
          <w:rFonts w:cstheme="minorHAnsi"/>
          <w:sz w:val="24"/>
        </w:rPr>
        <w:t>To limit interest rate exposure, the System diversifies its investments as specified in Note 1.</w:t>
      </w:r>
      <w:r>
        <w:rPr>
          <w:rFonts w:cstheme="minorHAnsi"/>
          <w:sz w:val="24"/>
        </w:rPr>
        <w:t>f</w:t>
      </w:r>
      <w:r w:rsidRPr="00F54559">
        <w:rPr>
          <w:rFonts w:cstheme="minorHAnsi"/>
          <w:sz w:val="24"/>
        </w:rPr>
        <w:t>.</w:t>
      </w:r>
    </w:p>
    <w:p w14:paraId="3CC993DE" w14:textId="63459148" w:rsidR="00DD1612" w:rsidRPr="00F54559" w:rsidRDefault="00DD1612" w:rsidP="00DD1612">
      <w:pPr>
        <w:spacing w:before="120"/>
        <w:rPr>
          <w:rFonts w:cstheme="minorHAnsi"/>
          <w:spacing w:val="-3"/>
          <w:sz w:val="24"/>
          <w:szCs w:val="20"/>
        </w:rPr>
      </w:pPr>
      <w:r w:rsidRPr="00F54559">
        <w:rPr>
          <w:rStyle w:val="AFR5Char"/>
          <w:rFonts w:asciiTheme="minorHAnsi" w:hAnsiTheme="minorHAnsi" w:cstheme="minorHAnsi"/>
        </w:rPr>
        <w:t>Endowment Investments:</w:t>
      </w:r>
      <w:r w:rsidRPr="00F54559">
        <w:rPr>
          <w:rFonts w:cstheme="minorHAnsi"/>
          <w:sz w:val="24"/>
        </w:rPr>
        <w:t xml:space="preserve"> To limit interest rate exposure, the endowment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was </w:t>
      </w:r>
      <w:r w:rsidRPr="00A504DA">
        <w:rPr>
          <w:rFonts w:cstheme="minorHAnsi"/>
          <w:color w:val="000000" w:themeColor="text1"/>
          <w:spacing w:val="-3"/>
          <w:sz w:val="24"/>
          <w:szCs w:val="20"/>
        </w:rPr>
        <w:t>6.</w:t>
      </w:r>
      <w:r w:rsidR="00D42DAF" w:rsidRPr="00A504DA">
        <w:rPr>
          <w:rFonts w:cstheme="minorHAnsi"/>
          <w:color w:val="000000" w:themeColor="text1"/>
          <w:spacing w:val="-3"/>
          <w:sz w:val="24"/>
          <w:szCs w:val="20"/>
        </w:rPr>
        <w:t>3</w:t>
      </w:r>
      <w:r w:rsidRPr="00A504DA">
        <w:rPr>
          <w:rFonts w:cstheme="minorHAnsi"/>
          <w:color w:val="000000" w:themeColor="text1"/>
          <w:spacing w:val="-3"/>
          <w:sz w:val="24"/>
          <w:szCs w:val="20"/>
        </w:rPr>
        <w:t>0</w:t>
      </w:r>
      <w:r w:rsidRPr="00A504DA">
        <w:rPr>
          <w:rFonts w:cstheme="minorHAnsi"/>
          <w:spacing w:val="-3"/>
          <w:sz w:val="24"/>
          <w:szCs w:val="20"/>
        </w:rPr>
        <w:t xml:space="preserve"> </w:t>
      </w:r>
      <w:r w:rsidRPr="00F54559">
        <w:rPr>
          <w:rFonts w:cstheme="minorHAnsi"/>
          <w:spacing w:val="-3"/>
          <w:sz w:val="24"/>
          <w:szCs w:val="20"/>
        </w:rPr>
        <w:t xml:space="preserve">years and </w:t>
      </w:r>
      <w:r w:rsidR="00DE782C" w:rsidRPr="001C0A99">
        <w:rPr>
          <w:rFonts w:cstheme="minorHAnsi"/>
          <w:spacing w:val="-3"/>
          <w:sz w:val="24"/>
          <w:szCs w:val="20"/>
        </w:rPr>
        <w:t>6.40</w:t>
      </w:r>
      <w:r w:rsidR="00DE782C" w:rsidRPr="00CE0BCA">
        <w:rPr>
          <w:rFonts w:cstheme="minorHAnsi"/>
          <w:spacing w:val="-3"/>
          <w:sz w:val="24"/>
          <w:szCs w:val="20"/>
        </w:rPr>
        <w:t xml:space="preserve"> </w:t>
      </w:r>
      <w:r w:rsidRPr="00F54559">
        <w:rPr>
          <w:rFonts w:cstheme="minorHAnsi"/>
          <w:spacing w:val="-3"/>
          <w:sz w:val="24"/>
          <w:szCs w:val="20"/>
        </w:rPr>
        <w:t xml:space="preserve">years at June 30, </w:t>
      </w:r>
      <w:r w:rsidR="00DE782C" w:rsidRPr="00F54559">
        <w:rPr>
          <w:rFonts w:cstheme="minorHAnsi"/>
          <w:spacing w:val="-3"/>
          <w:sz w:val="24"/>
          <w:szCs w:val="20"/>
        </w:rPr>
        <w:t>20</w:t>
      </w:r>
      <w:r w:rsidR="00DE782C">
        <w:rPr>
          <w:rFonts w:cstheme="minorHAnsi"/>
          <w:spacing w:val="-3"/>
          <w:sz w:val="24"/>
          <w:szCs w:val="20"/>
        </w:rPr>
        <w:t>23</w:t>
      </w:r>
      <w:r w:rsidR="00DE782C" w:rsidRPr="00F54559">
        <w:rPr>
          <w:rFonts w:cstheme="minorHAnsi"/>
          <w:spacing w:val="-3"/>
          <w:sz w:val="24"/>
          <w:szCs w:val="20"/>
        </w:rPr>
        <w:t xml:space="preserve"> </w:t>
      </w:r>
      <w:r w:rsidRPr="00F54559">
        <w:rPr>
          <w:rFonts w:cstheme="minorHAnsi"/>
          <w:spacing w:val="-3"/>
          <w:sz w:val="24"/>
          <w:szCs w:val="20"/>
        </w:rPr>
        <w:t xml:space="preserve">and </w:t>
      </w:r>
      <w:r w:rsidR="00DE782C" w:rsidRPr="00F54559">
        <w:rPr>
          <w:rFonts w:cstheme="minorHAnsi"/>
          <w:spacing w:val="-3"/>
          <w:sz w:val="24"/>
          <w:szCs w:val="20"/>
        </w:rPr>
        <w:t>20</w:t>
      </w:r>
      <w:r w:rsidR="00DE782C">
        <w:rPr>
          <w:rFonts w:cstheme="minorHAnsi"/>
          <w:spacing w:val="-3"/>
          <w:sz w:val="24"/>
          <w:szCs w:val="20"/>
        </w:rPr>
        <w:t>22</w:t>
      </w:r>
      <w:r w:rsidRPr="00F54559">
        <w:rPr>
          <w:rFonts w:cstheme="minorHAnsi"/>
          <w:spacing w:val="-3"/>
          <w:sz w:val="24"/>
          <w:szCs w:val="20"/>
        </w:rPr>
        <w:t>, respectively).</w:t>
      </w:r>
    </w:p>
    <w:p w14:paraId="1C3A75FB" w14:textId="2BD533FF" w:rsidR="00DD1612" w:rsidRPr="00F54559" w:rsidRDefault="00DD1612" w:rsidP="00DD1612">
      <w:pPr>
        <w:spacing w:before="120"/>
        <w:rPr>
          <w:rFonts w:cstheme="minorHAnsi"/>
          <w:spacing w:val="-3"/>
          <w:sz w:val="24"/>
          <w:szCs w:val="20"/>
        </w:rPr>
      </w:pPr>
      <w:r w:rsidRPr="00F54559">
        <w:rPr>
          <w:rFonts w:cstheme="minorHAnsi"/>
          <w:b/>
          <w:i/>
          <w:spacing w:val="-3"/>
          <w:sz w:val="24"/>
          <w:szCs w:val="24"/>
        </w:rPr>
        <w:t>Investments for the Defined Benef</w:t>
      </w:r>
      <w:r w:rsidR="00541C5C">
        <w:rPr>
          <w:rFonts w:cstheme="minorHAnsi"/>
          <w:b/>
          <w:i/>
          <w:spacing w:val="-3"/>
          <w:sz w:val="24"/>
          <w:szCs w:val="24"/>
        </w:rPr>
        <w:t>it Plan – Classified Employees:</w:t>
      </w:r>
      <w:r w:rsidRPr="00F54559">
        <w:rPr>
          <w:rFonts w:cstheme="minorHAnsi"/>
          <w:b/>
          <w:i/>
          <w:spacing w:val="-3"/>
          <w:sz w:val="24"/>
          <w:szCs w:val="24"/>
        </w:rPr>
        <w:t xml:space="preserve"> </w:t>
      </w:r>
      <w:r w:rsidRPr="00F54559">
        <w:rPr>
          <w:rFonts w:cstheme="minorHAnsi"/>
          <w:sz w:val="24"/>
        </w:rPr>
        <w:t>To limit interest rate exposure, the defined benefit plan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t>
      </w:r>
      <w:r w:rsidRPr="006C5CD8">
        <w:rPr>
          <w:rFonts w:cstheme="minorHAnsi"/>
          <w:spacing w:val="-3"/>
          <w:sz w:val="24"/>
          <w:szCs w:val="20"/>
        </w:rPr>
        <w:t xml:space="preserve">was </w:t>
      </w:r>
      <w:r w:rsidRPr="00A504DA">
        <w:rPr>
          <w:rFonts w:cstheme="minorHAnsi"/>
          <w:color w:val="000000" w:themeColor="text1"/>
          <w:spacing w:val="-3"/>
          <w:sz w:val="24"/>
          <w:szCs w:val="20"/>
        </w:rPr>
        <w:t>6.</w:t>
      </w:r>
      <w:r w:rsidR="00FC37B3" w:rsidRPr="00A504DA">
        <w:rPr>
          <w:rFonts w:cstheme="minorHAnsi"/>
          <w:color w:val="000000" w:themeColor="text1"/>
          <w:spacing w:val="-3"/>
          <w:sz w:val="24"/>
          <w:szCs w:val="20"/>
        </w:rPr>
        <w:t xml:space="preserve">30 </w:t>
      </w:r>
      <w:r w:rsidRPr="00F54559">
        <w:rPr>
          <w:rFonts w:cstheme="minorHAnsi"/>
          <w:spacing w:val="-3"/>
          <w:sz w:val="24"/>
          <w:szCs w:val="20"/>
        </w:rPr>
        <w:t xml:space="preserve">years and </w:t>
      </w:r>
      <w:r w:rsidR="00DE782C" w:rsidRPr="001C0A99">
        <w:rPr>
          <w:rFonts w:cstheme="minorHAnsi"/>
          <w:spacing w:val="-3"/>
          <w:sz w:val="24"/>
          <w:szCs w:val="20"/>
        </w:rPr>
        <w:t>6.40</w:t>
      </w:r>
      <w:r w:rsidR="00DE782C" w:rsidRPr="00CE0BCA">
        <w:rPr>
          <w:rFonts w:cstheme="minorHAnsi"/>
          <w:spacing w:val="-3"/>
          <w:sz w:val="24"/>
          <w:szCs w:val="20"/>
        </w:rPr>
        <w:t xml:space="preserve"> </w:t>
      </w:r>
      <w:r w:rsidRPr="00F54559">
        <w:rPr>
          <w:rFonts w:cstheme="minorHAnsi"/>
          <w:spacing w:val="-3"/>
          <w:sz w:val="24"/>
          <w:szCs w:val="20"/>
        </w:rPr>
        <w:t xml:space="preserve">years </w:t>
      </w:r>
      <w:proofErr w:type="gramStart"/>
      <w:r w:rsidRPr="00F54559">
        <w:rPr>
          <w:rFonts w:cstheme="minorHAnsi"/>
          <w:spacing w:val="-3"/>
          <w:sz w:val="24"/>
          <w:szCs w:val="20"/>
        </w:rPr>
        <w:t>at</w:t>
      </w:r>
      <w:proofErr w:type="gramEnd"/>
      <w:r w:rsidRPr="00F54559">
        <w:rPr>
          <w:rFonts w:cstheme="minorHAnsi"/>
          <w:spacing w:val="-3"/>
          <w:sz w:val="24"/>
          <w:szCs w:val="20"/>
        </w:rPr>
        <w:t xml:space="preserve"> June 30, </w:t>
      </w:r>
      <w:r w:rsidR="00DE782C" w:rsidRPr="00F54559">
        <w:rPr>
          <w:rFonts w:cstheme="minorHAnsi"/>
          <w:spacing w:val="-3"/>
          <w:sz w:val="24"/>
          <w:szCs w:val="20"/>
        </w:rPr>
        <w:t>20</w:t>
      </w:r>
      <w:r w:rsidR="00DE782C">
        <w:rPr>
          <w:rFonts w:cstheme="minorHAnsi"/>
          <w:spacing w:val="-3"/>
          <w:sz w:val="24"/>
          <w:szCs w:val="20"/>
        </w:rPr>
        <w:t>23</w:t>
      </w:r>
      <w:r w:rsidR="00DE782C" w:rsidRPr="00F54559">
        <w:rPr>
          <w:rFonts w:cstheme="minorHAnsi"/>
          <w:spacing w:val="-3"/>
          <w:sz w:val="24"/>
          <w:szCs w:val="20"/>
        </w:rPr>
        <w:t xml:space="preserve"> </w:t>
      </w:r>
      <w:r w:rsidRPr="00F54559">
        <w:rPr>
          <w:rFonts w:cstheme="minorHAnsi"/>
          <w:spacing w:val="-3"/>
          <w:sz w:val="24"/>
          <w:szCs w:val="20"/>
        </w:rPr>
        <w:t xml:space="preserve">and </w:t>
      </w:r>
      <w:r w:rsidR="00DE782C" w:rsidRPr="00F54559">
        <w:rPr>
          <w:rFonts w:cstheme="minorHAnsi"/>
          <w:spacing w:val="-3"/>
          <w:sz w:val="24"/>
          <w:szCs w:val="20"/>
        </w:rPr>
        <w:t>20</w:t>
      </w:r>
      <w:r w:rsidR="00DE782C">
        <w:rPr>
          <w:rFonts w:cstheme="minorHAnsi"/>
          <w:spacing w:val="-3"/>
          <w:sz w:val="24"/>
          <w:szCs w:val="20"/>
        </w:rPr>
        <w:t>22</w:t>
      </w:r>
      <w:r w:rsidRPr="00F54559">
        <w:rPr>
          <w:rFonts w:cstheme="minorHAnsi"/>
          <w:spacing w:val="-3"/>
          <w:sz w:val="24"/>
          <w:szCs w:val="20"/>
        </w:rPr>
        <w:t>, respectively).</w:t>
      </w:r>
    </w:p>
    <w:p w14:paraId="09CCD8DB" w14:textId="77777777" w:rsidR="00DD1612" w:rsidRPr="00E24051" w:rsidRDefault="00DD1612" w:rsidP="00DD1612">
      <w:pPr>
        <w:pStyle w:val="AFR3"/>
      </w:pPr>
      <w:r w:rsidRPr="00E24051">
        <w:t>c. Foreign Currency Risk</w:t>
      </w:r>
    </w:p>
    <w:p w14:paraId="12A805A7" w14:textId="26C46360" w:rsidR="00DD1612" w:rsidRPr="00F54559" w:rsidRDefault="00DD1612" w:rsidP="00DD1612">
      <w:pPr>
        <w:tabs>
          <w:tab w:val="left" w:pos="0"/>
          <w:tab w:val="left" w:pos="1080"/>
          <w:tab w:val="decimal" w:pos="6786"/>
          <w:tab w:val="decimal" w:pos="9187"/>
        </w:tabs>
        <w:suppressAutoHyphens/>
        <w:spacing w:before="120"/>
        <w:rPr>
          <w:rFonts w:eastAsia="Times New Roman" w:cstheme="minorHAnsi"/>
          <w:spacing w:val="-3"/>
          <w:sz w:val="24"/>
          <w:szCs w:val="20"/>
        </w:rPr>
      </w:pPr>
      <w:r w:rsidRPr="00F54559">
        <w:rPr>
          <w:rFonts w:eastAsia="Times New Roman" w:cstheme="minorHAnsi"/>
          <w:b/>
          <w:i/>
          <w:color w:val="000000"/>
          <w:spacing w:val="-3"/>
          <w:sz w:val="24"/>
        </w:rPr>
        <w:t xml:space="preserve">Operating </w:t>
      </w:r>
      <w:r w:rsidRPr="00F54559">
        <w:rPr>
          <w:rFonts w:eastAsia="Times New Roman" w:cstheme="minorHAnsi"/>
          <w:b/>
          <w:i/>
          <w:spacing w:val="-3"/>
          <w:sz w:val="24"/>
        </w:rPr>
        <w:t>Investments:</w:t>
      </w:r>
      <w:r w:rsidR="00541C5C">
        <w:rPr>
          <w:rFonts w:eastAsia="Times New Roman" w:cstheme="minorHAnsi"/>
          <w:bCs/>
          <w:iCs/>
          <w:spacing w:val="-3"/>
          <w:sz w:val="24"/>
        </w:rPr>
        <w:t xml:space="preserve"> </w:t>
      </w:r>
      <w:r w:rsidRPr="00F54559">
        <w:rPr>
          <w:rFonts w:eastAsia="Times New Roman" w:cstheme="minorHAnsi"/>
          <w:spacing w:val="-3"/>
          <w:sz w:val="24"/>
          <w:szCs w:val="20"/>
        </w:rPr>
        <w:t xml:space="preserve">The System’s operating investments include various fixed income, equity, and hedge fund holdings that have foreign currency exposure, with some funds hedging </w:t>
      </w:r>
      <w:r w:rsidR="00541C5C">
        <w:rPr>
          <w:rFonts w:eastAsia="Times New Roman" w:cstheme="minorHAnsi"/>
          <w:spacing w:val="-3"/>
          <w:sz w:val="24"/>
          <w:szCs w:val="20"/>
        </w:rPr>
        <w:t xml:space="preserve">against foreign currency risk. </w:t>
      </w:r>
      <w:r w:rsidRPr="00F54559">
        <w:rPr>
          <w:rFonts w:eastAsia="Times New Roman" w:cstheme="minorHAnsi"/>
          <w:spacing w:val="-3"/>
          <w:sz w:val="24"/>
          <w:szCs w:val="20"/>
        </w:rPr>
        <w:t>Portfolio foreign currency exposure was $</w:t>
      </w:r>
      <w:r w:rsidR="008800D3" w:rsidRPr="00A504DA">
        <w:rPr>
          <w:rFonts w:eastAsia="Times New Roman" w:cstheme="minorHAnsi"/>
          <w:color w:val="000000" w:themeColor="text1"/>
          <w:spacing w:val="-3"/>
          <w:sz w:val="24"/>
          <w:szCs w:val="20"/>
        </w:rPr>
        <w:t>20,785</w:t>
      </w:r>
      <w:r w:rsidRPr="00A504DA">
        <w:rPr>
          <w:rFonts w:eastAsia="Times New Roman" w:cstheme="minorHAnsi"/>
          <w:color w:val="000000" w:themeColor="text1"/>
          <w:spacing w:val="-3"/>
          <w:sz w:val="24"/>
          <w:szCs w:val="20"/>
        </w:rPr>
        <w:t xml:space="preserve"> </w:t>
      </w:r>
      <w:r w:rsidRPr="00F54559">
        <w:rPr>
          <w:rFonts w:eastAsia="Times New Roman" w:cstheme="minorHAnsi"/>
          <w:spacing w:val="-3"/>
          <w:sz w:val="24"/>
          <w:szCs w:val="20"/>
        </w:rPr>
        <w:t>and $</w:t>
      </w:r>
      <w:r w:rsidR="00DE782C" w:rsidRPr="001C0A99">
        <w:rPr>
          <w:rFonts w:eastAsia="Times New Roman" w:cstheme="minorHAnsi"/>
          <w:spacing w:val="-3"/>
          <w:sz w:val="24"/>
          <w:szCs w:val="20"/>
        </w:rPr>
        <w:t>15,687</w:t>
      </w:r>
      <w:r w:rsidR="00DE782C" w:rsidRPr="00CE0BCA">
        <w:rPr>
          <w:rFonts w:eastAsia="Times New Roman" w:cstheme="minorHAnsi"/>
          <w:spacing w:val="-3"/>
          <w:sz w:val="24"/>
          <w:szCs w:val="20"/>
        </w:rPr>
        <w:t xml:space="preserve"> </w:t>
      </w:r>
      <w:r w:rsidRPr="00F54559">
        <w:rPr>
          <w:rFonts w:eastAsia="Times New Roman" w:cstheme="minorHAnsi"/>
          <w:spacing w:val="-3"/>
          <w:sz w:val="24"/>
          <w:szCs w:val="20"/>
        </w:rPr>
        <w:t xml:space="preserve">at June 30, </w:t>
      </w:r>
      <w:r w:rsidR="00DE782C" w:rsidRPr="00F54559">
        <w:rPr>
          <w:rFonts w:eastAsia="Times New Roman" w:cstheme="minorHAnsi"/>
          <w:spacing w:val="-3"/>
          <w:sz w:val="24"/>
          <w:szCs w:val="20"/>
        </w:rPr>
        <w:t>20</w:t>
      </w:r>
      <w:r w:rsidR="00DE782C">
        <w:rPr>
          <w:rFonts w:eastAsia="Times New Roman" w:cstheme="minorHAnsi"/>
          <w:spacing w:val="-3"/>
          <w:sz w:val="24"/>
          <w:szCs w:val="20"/>
        </w:rPr>
        <w:t>23</w:t>
      </w:r>
      <w:r w:rsidR="00DE782C" w:rsidRPr="00F54559">
        <w:rPr>
          <w:rFonts w:eastAsia="Times New Roman" w:cstheme="minorHAnsi"/>
          <w:spacing w:val="-3"/>
          <w:sz w:val="24"/>
          <w:szCs w:val="20"/>
        </w:rPr>
        <w:t xml:space="preserve"> </w:t>
      </w:r>
      <w:r w:rsidRPr="00F54559">
        <w:rPr>
          <w:rFonts w:eastAsia="Times New Roman" w:cstheme="minorHAnsi"/>
          <w:spacing w:val="-3"/>
          <w:sz w:val="24"/>
          <w:szCs w:val="20"/>
        </w:rPr>
        <w:t xml:space="preserve">and </w:t>
      </w:r>
      <w:r w:rsidR="00DE782C" w:rsidRPr="00F54559">
        <w:rPr>
          <w:rFonts w:eastAsia="Times New Roman" w:cstheme="minorHAnsi"/>
          <w:spacing w:val="-3"/>
          <w:sz w:val="24"/>
          <w:szCs w:val="20"/>
        </w:rPr>
        <w:t>20</w:t>
      </w:r>
      <w:r w:rsidR="00DE782C">
        <w:rPr>
          <w:rFonts w:eastAsia="Times New Roman" w:cstheme="minorHAnsi"/>
          <w:spacing w:val="-3"/>
          <w:sz w:val="24"/>
          <w:szCs w:val="20"/>
        </w:rPr>
        <w:t>22</w:t>
      </w:r>
      <w:r w:rsidRPr="00F54559">
        <w:rPr>
          <w:rFonts w:eastAsia="Times New Roman" w:cstheme="minorHAnsi"/>
          <w:spacing w:val="-3"/>
          <w:sz w:val="24"/>
          <w:szCs w:val="20"/>
        </w:rPr>
        <w:t>, respectively.</w:t>
      </w:r>
    </w:p>
    <w:p w14:paraId="52EDA511" w14:textId="2EEB1BA6" w:rsidR="00DD1612" w:rsidRPr="00F54559" w:rsidRDefault="00DD1612" w:rsidP="00DD1612">
      <w:pPr>
        <w:tabs>
          <w:tab w:val="left" w:pos="0"/>
          <w:tab w:val="left" w:pos="1080"/>
          <w:tab w:val="decimal" w:pos="6786"/>
          <w:tab w:val="decimal" w:pos="9187"/>
        </w:tabs>
        <w:suppressAutoHyphens/>
        <w:spacing w:before="120"/>
        <w:rPr>
          <w:rFonts w:eastAsia="Times New Roman" w:cstheme="minorHAnsi"/>
          <w:spacing w:val="-3"/>
          <w:sz w:val="24"/>
          <w:szCs w:val="20"/>
        </w:rPr>
      </w:pPr>
      <w:r w:rsidRPr="00735A4C">
        <w:rPr>
          <w:rStyle w:val="AFR5Char"/>
        </w:rPr>
        <w:t>Endowment Investments:</w:t>
      </w:r>
      <w:r w:rsidR="00541C5C">
        <w:rPr>
          <w:rFonts w:eastAsia="Times New Roman" w:cstheme="minorHAnsi"/>
          <w:bCs/>
          <w:iCs/>
          <w:spacing w:val="-3"/>
          <w:sz w:val="24"/>
        </w:rPr>
        <w:t xml:space="preserve"> </w:t>
      </w:r>
      <w:r w:rsidRPr="00F54559">
        <w:rPr>
          <w:rFonts w:eastAsia="Times New Roman" w:cstheme="minorHAnsi"/>
          <w:spacing w:val="-3"/>
          <w:sz w:val="24"/>
          <w:szCs w:val="20"/>
        </w:rPr>
        <w:t xml:space="preserve">The System’s endowments are invested in the System MIP. The MIP invests in various fixed income, equity, and hedge funds which have foreign currency exposure, with some funds hedging </w:t>
      </w:r>
      <w:r w:rsidR="00541C5C">
        <w:rPr>
          <w:rFonts w:eastAsia="Times New Roman" w:cstheme="minorHAnsi"/>
          <w:spacing w:val="-3"/>
          <w:sz w:val="24"/>
          <w:szCs w:val="20"/>
        </w:rPr>
        <w:t xml:space="preserve">against foreign currency risk. </w:t>
      </w:r>
      <w:r w:rsidRPr="00F54559">
        <w:rPr>
          <w:rFonts w:eastAsia="Times New Roman" w:cstheme="minorHAnsi"/>
          <w:spacing w:val="-3"/>
          <w:sz w:val="24"/>
          <w:szCs w:val="20"/>
        </w:rPr>
        <w:t>The endowment investments share of the foreign currency exposure in the MIP was $</w:t>
      </w:r>
      <w:r w:rsidR="008800D3" w:rsidRPr="00A504DA">
        <w:rPr>
          <w:rFonts w:eastAsia="Times New Roman" w:cstheme="minorHAnsi"/>
          <w:color w:val="000000" w:themeColor="text1"/>
          <w:spacing w:val="-3"/>
          <w:sz w:val="24"/>
          <w:szCs w:val="20"/>
        </w:rPr>
        <w:t>36,241</w:t>
      </w:r>
      <w:r w:rsidRPr="00A504DA">
        <w:rPr>
          <w:rFonts w:eastAsia="Times New Roman" w:cstheme="minorHAnsi"/>
          <w:color w:val="000000" w:themeColor="text1"/>
          <w:spacing w:val="-3"/>
          <w:sz w:val="24"/>
          <w:szCs w:val="20"/>
        </w:rPr>
        <w:t xml:space="preserve"> and $</w:t>
      </w:r>
      <w:r w:rsidR="00C4136B" w:rsidRPr="00A504DA">
        <w:rPr>
          <w:rFonts w:eastAsia="Times New Roman" w:cstheme="minorHAnsi"/>
          <w:color w:val="000000" w:themeColor="text1"/>
          <w:spacing w:val="-3"/>
          <w:sz w:val="24"/>
          <w:szCs w:val="20"/>
        </w:rPr>
        <w:t xml:space="preserve">37,055 </w:t>
      </w:r>
      <w:r w:rsidRPr="00A504DA">
        <w:rPr>
          <w:rFonts w:eastAsia="Times New Roman" w:cstheme="minorHAnsi"/>
          <w:color w:val="000000" w:themeColor="text1"/>
          <w:spacing w:val="-3"/>
          <w:sz w:val="24"/>
          <w:szCs w:val="20"/>
        </w:rPr>
        <w:t xml:space="preserve">at June 30, </w:t>
      </w:r>
      <w:r w:rsidR="00C4136B" w:rsidRPr="00A504DA">
        <w:rPr>
          <w:rFonts w:eastAsia="Times New Roman" w:cstheme="minorHAnsi"/>
          <w:color w:val="000000" w:themeColor="text1"/>
          <w:spacing w:val="-3"/>
          <w:sz w:val="24"/>
          <w:szCs w:val="20"/>
        </w:rPr>
        <w:t xml:space="preserve">2023 </w:t>
      </w:r>
      <w:r w:rsidRPr="00A504DA">
        <w:rPr>
          <w:rFonts w:eastAsia="Times New Roman" w:cstheme="minorHAnsi"/>
          <w:color w:val="000000" w:themeColor="text1"/>
          <w:spacing w:val="-3"/>
          <w:sz w:val="24"/>
          <w:szCs w:val="20"/>
        </w:rPr>
        <w:t xml:space="preserve">and </w:t>
      </w:r>
      <w:r w:rsidR="00C4136B" w:rsidRPr="00A504DA">
        <w:rPr>
          <w:rFonts w:eastAsia="Times New Roman" w:cstheme="minorHAnsi"/>
          <w:color w:val="000000" w:themeColor="text1"/>
          <w:spacing w:val="-3"/>
          <w:sz w:val="24"/>
          <w:szCs w:val="20"/>
        </w:rPr>
        <w:t>2022</w:t>
      </w:r>
      <w:r w:rsidR="00541C5C">
        <w:rPr>
          <w:rFonts w:eastAsia="Times New Roman" w:cstheme="minorHAnsi"/>
          <w:color w:val="000000" w:themeColor="text1"/>
          <w:spacing w:val="-3"/>
          <w:sz w:val="24"/>
          <w:szCs w:val="20"/>
        </w:rPr>
        <w:t xml:space="preserve">, respectively. </w:t>
      </w:r>
      <w:r w:rsidRPr="00A504DA">
        <w:rPr>
          <w:rFonts w:eastAsia="Times New Roman" w:cstheme="minorHAnsi"/>
          <w:color w:val="000000" w:themeColor="text1"/>
          <w:spacing w:val="-3"/>
          <w:sz w:val="24"/>
          <w:szCs w:val="20"/>
        </w:rPr>
        <w:t>This includes $</w:t>
      </w:r>
      <w:r w:rsidR="008800D3" w:rsidRPr="00A504DA">
        <w:rPr>
          <w:rFonts w:eastAsia="Times New Roman" w:cstheme="minorHAnsi"/>
          <w:color w:val="000000" w:themeColor="text1"/>
          <w:spacing w:val="-3"/>
          <w:sz w:val="24"/>
          <w:szCs w:val="20"/>
        </w:rPr>
        <w:t>8,291</w:t>
      </w:r>
      <w:r w:rsidRPr="00A504DA">
        <w:rPr>
          <w:rFonts w:eastAsia="Times New Roman" w:cstheme="minorHAnsi"/>
          <w:color w:val="000000" w:themeColor="text1"/>
          <w:spacing w:val="-3"/>
          <w:sz w:val="24"/>
          <w:szCs w:val="20"/>
        </w:rPr>
        <w:t xml:space="preserve"> and $</w:t>
      </w:r>
      <w:r w:rsidR="00C4136B" w:rsidRPr="00A504DA">
        <w:rPr>
          <w:rFonts w:eastAsia="Times New Roman" w:cstheme="minorHAnsi"/>
          <w:color w:val="000000" w:themeColor="text1"/>
          <w:spacing w:val="-3"/>
          <w:sz w:val="24"/>
          <w:szCs w:val="20"/>
        </w:rPr>
        <w:t>6,6</w:t>
      </w:r>
      <w:r w:rsidR="00C4136B" w:rsidRPr="001C0A99">
        <w:rPr>
          <w:rFonts w:eastAsia="Times New Roman" w:cstheme="minorHAnsi"/>
          <w:spacing w:val="-3"/>
          <w:sz w:val="24"/>
          <w:szCs w:val="20"/>
        </w:rPr>
        <w:t>50</w:t>
      </w:r>
      <w:r w:rsidR="00C4136B" w:rsidRPr="00CE0BCA">
        <w:rPr>
          <w:rFonts w:eastAsia="Times New Roman" w:cstheme="minorHAnsi"/>
          <w:spacing w:val="-3"/>
          <w:sz w:val="24"/>
          <w:szCs w:val="20"/>
        </w:rPr>
        <w:t xml:space="preserve"> </w:t>
      </w:r>
      <w:r>
        <w:rPr>
          <w:rFonts w:eastAsia="Times New Roman" w:cstheme="minorHAnsi"/>
          <w:spacing w:val="-3"/>
          <w:sz w:val="24"/>
          <w:szCs w:val="20"/>
        </w:rPr>
        <w:t xml:space="preserve">at June 30, </w:t>
      </w:r>
      <w:r w:rsidR="00C4136B">
        <w:rPr>
          <w:rFonts w:eastAsia="Times New Roman" w:cstheme="minorHAnsi"/>
          <w:spacing w:val="-3"/>
          <w:sz w:val="24"/>
          <w:szCs w:val="20"/>
        </w:rPr>
        <w:t xml:space="preserve">2023 </w:t>
      </w:r>
      <w:r>
        <w:rPr>
          <w:rFonts w:eastAsia="Times New Roman" w:cstheme="minorHAnsi"/>
          <w:spacing w:val="-3"/>
          <w:sz w:val="24"/>
          <w:szCs w:val="20"/>
        </w:rPr>
        <w:t xml:space="preserve">and </w:t>
      </w:r>
      <w:r w:rsidR="00C4136B">
        <w:rPr>
          <w:rFonts w:eastAsia="Times New Roman" w:cstheme="minorHAnsi"/>
          <w:spacing w:val="-3"/>
          <w:sz w:val="24"/>
          <w:szCs w:val="20"/>
        </w:rPr>
        <w:t>2022</w:t>
      </w:r>
      <w:r>
        <w:rPr>
          <w:rFonts w:eastAsia="Times New Roman" w:cstheme="minorHAnsi"/>
          <w:spacing w:val="-3"/>
          <w:sz w:val="24"/>
          <w:szCs w:val="20"/>
        </w:rPr>
        <w:t xml:space="preserve">, respectively, for investments held for affiliated organizations. </w:t>
      </w:r>
    </w:p>
    <w:p w14:paraId="01E26F5F" w14:textId="453FBA99" w:rsidR="00DD1612" w:rsidRDefault="00DD1612" w:rsidP="00DD1612">
      <w:pPr>
        <w:tabs>
          <w:tab w:val="left" w:pos="0"/>
          <w:tab w:val="left" w:pos="1080"/>
          <w:tab w:val="decimal" w:pos="6786"/>
          <w:tab w:val="decimal" w:pos="9187"/>
        </w:tabs>
        <w:suppressAutoHyphens/>
        <w:spacing w:before="120"/>
        <w:rPr>
          <w:rFonts w:cstheme="minorHAnsi"/>
        </w:rPr>
      </w:pPr>
      <w:r w:rsidRPr="00735A4C">
        <w:rPr>
          <w:rStyle w:val="AFR5Char"/>
        </w:rPr>
        <w:t>Investments for the Defined Benefit Plan – Classified Employees:</w:t>
      </w:r>
      <w:r w:rsidR="00541C5C">
        <w:rPr>
          <w:rFonts w:cstheme="minorHAnsi"/>
          <w:sz w:val="20"/>
          <w:szCs w:val="20"/>
        </w:rPr>
        <w:t xml:space="preserve"> </w:t>
      </w:r>
      <w:r w:rsidRPr="00F54559">
        <w:rPr>
          <w:rFonts w:cstheme="minorHAnsi"/>
          <w:sz w:val="24"/>
          <w:szCs w:val="24"/>
        </w:rPr>
        <w:t xml:space="preserve">Pension investments include various fixed income, equity, and hedge fund holdings that have </w:t>
      </w:r>
      <w:r w:rsidRPr="00F54559">
        <w:rPr>
          <w:rFonts w:eastAsia="Times New Roman" w:cstheme="minorHAnsi"/>
          <w:spacing w:val="-3"/>
          <w:sz w:val="24"/>
          <w:szCs w:val="20"/>
        </w:rPr>
        <w:t xml:space="preserve">foreign currency exposure, with some funds hedging </w:t>
      </w:r>
      <w:r w:rsidR="00541C5C">
        <w:rPr>
          <w:rFonts w:eastAsia="Times New Roman" w:cstheme="minorHAnsi"/>
          <w:spacing w:val="-3"/>
          <w:sz w:val="24"/>
          <w:szCs w:val="20"/>
        </w:rPr>
        <w:t xml:space="preserve">against foreign currency risk. </w:t>
      </w:r>
      <w:r w:rsidRPr="00F54559">
        <w:rPr>
          <w:rFonts w:eastAsia="Times New Roman" w:cstheme="minorHAnsi"/>
          <w:spacing w:val="-3"/>
          <w:sz w:val="24"/>
          <w:szCs w:val="20"/>
        </w:rPr>
        <w:t xml:space="preserve">Portfolio foreign currency exposure </w:t>
      </w:r>
      <w:r w:rsidRPr="00CE0BCA">
        <w:rPr>
          <w:rFonts w:eastAsia="Times New Roman" w:cstheme="minorHAnsi"/>
          <w:spacing w:val="-3"/>
          <w:sz w:val="24"/>
          <w:szCs w:val="20"/>
        </w:rPr>
        <w:t>was $</w:t>
      </w:r>
      <w:r w:rsidRPr="00922F26">
        <w:rPr>
          <w:rFonts w:eastAsia="Times New Roman" w:cstheme="minorHAnsi"/>
          <w:spacing w:val="-3"/>
          <w:sz w:val="24"/>
          <w:szCs w:val="20"/>
        </w:rPr>
        <w:t>3</w:t>
      </w:r>
      <w:r w:rsidR="00922F26">
        <w:rPr>
          <w:rFonts w:eastAsia="Times New Roman" w:cstheme="minorHAnsi"/>
          <w:spacing w:val="-3"/>
          <w:sz w:val="24"/>
          <w:szCs w:val="20"/>
        </w:rPr>
        <w:t>,</w:t>
      </w:r>
      <w:r w:rsidR="00922F26" w:rsidRPr="00A504DA">
        <w:rPr>
          <w:rFonts w:eastAsia="Times New Roman" w:cstheme="minorHAnsi"/>
          <w:spacing w:val="-3"/>
          <w:sz w:val="24"/>
          <w:szCs w:val="20"/>
        </w:rPr>
        <w:t>227</w:t>
      </w:r>
      <w:r w:rsidR="00922F26" w:rsidRPr="00922F26">
        <w:rPr>
          <w:rFonts w:eastAsia="Times New Roman" w:cstheme="minorHAnsi"/>
          <w:spacing w:val="-3"/>
          <w:sz w:val="24"/>
          <w:szCs w:val="20"/>
        </w:rPr>
        <w:t xml:space="preserve"> </w:t>
      </w:r>
      <w:r w:rsidRPr="00F54559">
        <w:rPr>
          <w:rFonts w:eastAsia="Times New Roman" w:cstheme="minorHAnsi"/>
          <w:spacing w:val="-3"/>
          <w:sz w:val="24"/>
          <w:szCs w:val="20"/>
        </w:rPr>
        <w:t>and $</w:t>
      </w:r>
      <w:r w:rsidR="00175910" w:rsidRPr="001C0A99">
        <w:rPr>
          <w:rFonts w:eastAsia="Times New Roman" w:cstheme="minorHAnsi"/>
          <w:spacing w:val="-3"/>
          <w:sz w:val="24"/>
          <w:szCs w:val="20"/>
        </w:rPr>
        <w:t>3</w:t>
      </w:r>
      <w:r w:rsidR="00175910">
        <w:rPr>
          <w:rFonts w:eastAsia="Times New Roman" w:cstheme="minorHAnsi"/>
          <w:spacing w:val="-3"/>
          <w:sz w:val="24"/>
          <w:szCs w:val="20"/>
        </w:rPr>
        <w:t>,151</w:t>
      </w:r>
      <w:r w:rsidR="00175910" w:rsidRPr="00AA2AB7">
        <w:rPr>
          <w:rFonts w:eastAsia="Times New Roman" w:cstheme="minorHAnsi"/>
          <w:spacing w:val="-3"/>
          <w:sz w:val="24"/>
          <w:szCs w:val="20"/>
        </w:rPr>
        <w:t xml:space="preserve"> </w:t>
      </w:r>
      <w:r w:rsidRPr="00F54559">
        <w:rPr>
          <w:rFonts w:eastAsia="Times New Roman" w:cstheme="minorHAnsi"/>
          <w:spacing w:val="-3"/>
          <w:sz w:val="24"/>
          <w:szCs w:val="20"/>
        </w:rPr>
        <w:t>at June 30, 20</w:t>
      </w:r>
      <w:r>
        <w:rPr>
          <w:rFonts w:eastAsia="Times New Roman" w:cstheme="minorHAnsi"/>
          <w:spacing w:val="-3"/>
          <w:sz w:val="24"/>
          <w:szCs w:val="20"/>
        </w:rPr>
        <w:t>2</w:t>
      </w:r>
      <w:r w:rsidR="00175910">
        <w:rPr>
          <w:rFonts w:eastAsia="Times New Roman" w:cstheme="minorHAnsi"/>
          <w:spacing w:val="-3"/>
          <w:sz w:val="24"/>
          <w:szCs w:val="20"/>
        </w:rPr>
        <w:t>3</w:t>
      </w:r>
      <w:r w:rsidRPr="00F54559">
        <w:rPr>
          <w:rFonts w:eastAsia="Times New Roman" w:cstheme="minorHAnsi"/>
          <w:spacing w:val="-3"/>
          <w:sz w:val="24"/>
          <w:szCs w:val="20"/>
        </w:rPr>
        <w:t xml:space="preserve"> and 20</w:t>
      </w:r>
      <w:r>
        <w:rPr>
          <w:rFonts w:eastAsia="Times New Roman" w:cstheme="minorHAnsi"/>
          <w:spacing w:val="-3"/>
          <w:sz w:val="24"/>
          <w:szCs w:val="20"/>
        </w:rPr>
        <w:t>2</w:t>
      </w:r>
      <w:r w:rsidR="00175910">
        <w:rPr>
          <w:rFonts w:eastAsia="Times New Roman" w:cstheme="minorHAnsi"/>
          <w:spacing w:val="-3"/>
          <w:sz w:val="24"/>
          <w:szCs w:val="20"/>
        </w:rPr>
        <w:t>2</w:t>
      </w:r>
      <w:r w:rsidRPr="00F54559">
        <w:rPr>
          <w:rFonts w:eastAsia="Times New Roman" w:cstheme="minorHAnsi"/>
          <w:spacing w:val="-3"/>
          <w:sz w:val="24"/>
          <w:szCs w:val="20"/>
        </w:rPr>
        <w:t>, respectively.</w:t>
      </w:r>
    </w:p>
    <w:p w14:paraId="66D73C18" w14:textId="77777777" w:rsidR="00DD1612" w:rsidRDefault="00DD1612" w:rsidP="00DD1612">
      <w:pPr>
        <w:spacing w:after="160" w:line="259" w:lineRule="auto"/>
        <w:rPr>
          <w:rFonts w:eastAsiaTheme="majorEastAsia" w:cstheme="minorHAnsi"/>
          <w:b/>
          <w:i/>
          <w:iCs/>
          <w:smallCaps/>
          <w:noProof/>
          <w:color w:val="000000" w:themeColor="text1"/>
          <w:sz w:val="26"/>
          <w:szCs w:val="26"/>
          <w:u w:color="000000" w:themeColor="text1"/>
        </w:rPr>
      </w:pPr>
      <w:r>
        <w:rPr>
          <w:rFonts w:eastAsiaTheme="majorEastAsia" w:cstheme="minorHAnsi"/>
          <w:iCs/>
          <w:smallCaps/>
          <w:noProof/>
          <w:color w:val="000000" w:themeColor="text1"/>
          <w:szCs w:val="26"/>
        </w:rPr>
        <w:br w:type="page"/>
      </w:r>
    </w:p>
    <w:p w14:paraId="6A29417B" w14:textId="77777777" w:rsidR="00DD1612" w:rsidRPr="00F54559" w:rsidRDefault="00DD1612" w:rsidP="00DD1612">
      <w:pPr>
        <w:pStyle w:val="AFR3"/>
        <w:rPr>
          <w:rFonts w:cstheme="minorHAnsi"/>
          <w:u w:val="none"/>
        </w:rPr>
      </w:pPr>
      <w:r w:rsidRPr="00F54559">
        <w:rPr>
          <w:rFonts w:eastAsiaTheme="majorEastAsia" w:cstheme="minorHAnsi"/>
          <w:iCs/>
          <w:smallCaps/>
          <w:noProof/>
          <w:color w:val="000000" w:themeColor="text1"/>
          <w:szCs w:val="26"/>
          <w:u w:val="none"/>
        </w:rPr>
        <w:lastRenderedPageBreak/>
        <w:t>3. INVESTMENTS - CONTINUED</w:t>
      </w:r>
    </w:p>
    <w:p w14:paraId="4BC1F794" w14:textId="77777777" w:rsidR="00DD1612" w:rsidRPr="00F54559" w:rsidRDefault="00DD1612" w:rsidP="00DD1612">
      <w:pPr>
        <w:pStyle w:val="AFR3"/>
        <w:rPr>
          <w:rFonts w:cstheme="minorHAnsi"/>
        </w:rPr>
      </w:pPr>
      <w:r w:rsidRPr="00F54559">
        <w:rPr>
          <w:rFonts w:cstheme="minorHAnsi"/>
        </w:rPr>
        <w:t xml:space="preserve">d. </w:t>
      </w:r>
      <w:r w:rsidRPr="0059135A">
        <w:rPr>
          <w:rFonts w:cstheme="minorHAnsi"/>
        </w:rPr>
        <w:t>Investment Income</w:t>
      </w:r>
    </w:p>
    <w:p w14:paraId="6B43D82F" w14:textId="77777777" w:rsidR="00DD1612" w:rsidRDefault="00DD1612" w:rsidP="00DD1612">
      <w:pPr>
        <w:tabs>
          <w:tab w:val="left" w:pos="720"/>
          <w:tab w:val="decimal" w:pos="6786"/>
          <w:tab w:val="decimal" w:pos="9187"/>
        </w:tabs>
        <w:suppressAutoHyphens/>
        <w:spacing w:after="120"/>
        <w:rPr>
          <w:rFonts w:eastAsia="Times New Roman" w:cstheme="minorHAnsi"/>
          <w:spacing w:val="-3"/>
          <w:sz w:val="24"/>
          <w:szCs w:val="20"/>
        </w:rPr>
      </w:pPr>
      <w:r w:rsidRPr="00F54559">
        <w:rPr>
          <w:rFonts w:eastAsia="Times New Roman" w:cstheme="minorHAnsi"/>
          <w:spacing w:val="-3"/>
          <w:sz w:val="24"/>
          <w:szCs w:val="20"/>
        </w:rPr>
        <w:t xml:space="preserve">Income related to the </w:t>
      </w:r>
      <w:r w:rsidRPr="00F54559">
        <w:rPr>
          <w:rFonts w:eastAsia="Times New Roman" w:cstheme="minorHAnsi"/>
          <w:b/>
          <w:spacing w:val="-3"/>
          <w:sz w:val="24"/>
          <w:szCs w:val="20"/>
        </w:rPr>
        <w:t>System’s investments</w:t>
      </w:r>
      <w:r>
        <w:rPr>
          <w:rFonts w:eastAsia="Times New Roman" w:cstheme="minorHAnsi"/>
          <w:b/>
          <w:spacing w:val="-3"/>
          <w:sz w:val="24"/>
          <w:szCs w:val="20"/>
        </w:rPr>
        <w:t xml:space="preserve"> </w:t>
      </w:r>
      <w:r w:rsidRPr="0080169A">
        <w:rPr>
          <w:rFonts w:eastAsia="Times New Roman" w:cstheme="minorHAnsi"/>
          <w:spacing w:val="-3"/>
          <w:sz w:val="24"/>
          <w:szCs w:val="20"/>
        </w:rPr>
        <w:t>and reported in the accompanying Statements of Revenues, Expenses and Changes in Net Position</w:t>
      </w:r>
      <w:r w:rsidRPr="00F54559">
        <w:rPr>
          <w:rFonts w:eastAsia="Times New Roman" w:cstheme="minorHAnsi"/>
          <w:spacing w:val="-3"/>
          <w:sz w:val="24"/>
          <w:szCs w:val="20"/>
        </w:rPr>
        <w:t xml:space="preserve"> is as follows:</w:t>
      </w:r>
    </w:p>
    <w:p w14:paraId="24C960BD" w14:textId="2937AC66" w:rsidR="00DD1612" w:rsidRPr="00F54559" w:rsidRDefault="002C6043" w:rsidP="00DD1612">
      <w:pPr>
        <w:tabs>
          <w:tab w:val="left" w:pos="720"/>
          <w:tab w:val="decimal" w:pos="6786"/>
          <w:tab w:val="decimal" w:pos="9187"/>
        </w:tabs>
        <w:suppressAutoHyphens/>
        <w:spacing w:after="120"/>
        <w:rPr>
          <w:rFonts w:eastAsia="Times New Roman" w:cstheme="minorHAnsi"/>
          <w:spacing w:val="-3"/>
          <w:sz w:val="24"/>
          <w:szCs w:val="20"/>
        </w:rPr>
      </w:pPr>
      <w:r w:rsidRPr="002C6043">
        <w:rPr>
          <w:noProof/>
        </w:rPr>
        <w:drawing>
          <wp:inline distT="0" distB="0" distL="0" distR="0" wp14:anchorId="72A91A6E" wp14:editId="271F0D25">
            <wp:extent cx="5932805" cy="604774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2805" cy="6047740"/>
                    </a:xfrm>
                    <a:prstGeom prst="rect">
                      <a:avLst/>
                    </a:prstGeom>
                    <a:noFill/>
                    <a:ln>
                      <a:noFill/>
                    </a:ln>
                  </pic:spPr>
                </pic:pic>
              </a:graphicData>
            </a:graphic>
          </wp:inline>
        </w:drawing>
      </w:r>
      <w:r w:rsidRPr="002C6043">
        <w:t xml:space="preserve"> </w:t>
      </w:r>
      <w:r w:rsidR="00DD1612">
        <w:rPr>
          <w:rFonts w:eastAsia="Times New Roman" w:cstheme="minorHAnsi"/>
          <w:spacing w:val="-3"/>
          <w:sz w:val="24"/>
          <w:szCs w:val="20"/>
        </w:rPr>
        <w:fldChar w:fldCharType="begin"/>
      </w:r>
      <w:r w:rsidR="00DD1612">
        <w:rPr>
          <w:rFonts w:eastAsia="Times New Roman" w:cstheme="minorHAnsi"/>
          <w:spacing w:val="-3"/>
          <w:sz w:val="24"/>
          <w:szCs w:val="20"/>
        </w:rPr>
        <w:fldChar w:fldCharType="end"/>
      </w:r>
    </w:p>
    <w:p w14:paraId="5C90E83C" w14:textId="77777777" w:rsidR="00DD1612" w:rsidRPr="00F54559" w:rsidRDefault="00DD1612" w:rsidP="00DD1612">
      <w:pPr>
        <w:spacing w:after="160" w:line="259" w:lineRule="auto"/>
        <w:rPr>
          <w:rFonts w:eastAsiaTheme="majorEastAsia" w:cstheme="minorHAnsi"/>
          <w:b/>
          <w:i/>
          <w:iCs/>
          <w:smallCaps/>
          <w:noProof/>
          <w:color w:val="000000" w:themeColor="text1"/>
          <w:sz w:val="24"/>
          <w:szCs w:val="24"/>
          <w:u w:color="5B9BD5"/>
        </w:rPr>
      </w:pPr>
      <w:r w:rsidRPr="00F54559">
        <w:rPr>
          <w:rFonts w:cstheme="minorHAnsi"/>
          <w:sz w:val="24"/>
          <w:szCs w:val="24"/>
        </w:rPr>
        <w:t xml:space="preserve">See Note 13d for investment returns related to </w:t>
      </w:r>
      <w:r w:rsidRPr="00F54559">
        <w:rPr>
          <w:rFonts w:cstheme="minorHAnsi"/>
          <w:spacing w:val="-3"/>
          <w:sz w:val="24"/>
          <w:szCs w:val="24"/>
        </w:rPr>
        <w:t xml:space="preserve">the </w:t>
      </w:r>
      <w:r w:rsidRPr="00F54559">
        <w:rPr>
          <w:rFonts w:cstheme="minorHAnsi"/>
          <w:b/>
          <w:spacing w:val="-3"/>
          <w:sz w:val="24"/>
          <w:szCs w:val="24"/>
        </w:rPr>
        <w:t>Defined Benefit Plan – Classified Employees</w:t>
      </w:r>
      <w:r w:rsidRPr="00F54559">
        <w:rPr>
          <w:rFonts w:cstheme="minorHAnsi"/>
          <w:sz w:val="24"/>
          <w:szCs w:val="24"/>
        </w:rPr>
        <w:t>.</w:t>
      </w:r>
      <w:r w:rsidRPr="00F54559">
        <w:rPr>
          <w:rFonts w:cstheme="minorHAnsi"/>
          <w:sz w:val="24"/>
          <w:szCs w:val="24"/>
        </w:rPr>
        <w:br w:type="page"/>
      </w:r>
    </w:p>
    <w:p w14:paraId="3E2A1AC4" w14:textId="77777777" w:rsidR="00DD1612" w:rsidRPr="00F54559" w:rsidRDefault="00DD1612" w:rsidP="00DD1612">
      <w:pPr>
        <w:pStyle w:val="AFR2"/>
        <w:rPr>
          <w:rFonts w:cstheme="minorHAnsi"/>
          <w:sz w:val="26"/>
          <w:szCs w:val="26"/>
        </w:rPr>
      </w:pPr>
      <w:r w:rsidRPr="00F54559">
        <w:rPr>
          <w:rFonts w:cstheme="minorHAnsi"/>
          <w:sz w:val="26"/>
          <w:szCs w:val="26"/>
        </w:rPr>
        <w:lastRenderedPageBreak/>
        <w:t xml:space="preserve">4. </w:t>
      </w:r>
      <w:r w:rsidRPr="00636881">
        <w:rPr>
          <w:rFonts w:cstheme="minorHAnsi"/>
          <w:sz w:val="26"/>
          <w:szCs w:val="26"/>
        </w:rPr>
        <w:t>ACCOUNTS, GRANTS, AND PLEDGES RECEIVABLE</w:t>
      </w:r>
    </w:p>
    <w:p w14:paraId="7051AA4A" w14:textId="77777777" w:rsidR="00DD1612" w:rsidRPr="00F54559" w:rsidRDefault="00DD1612" w:rsidP="00DD1612">
      <w:pPr>
        <w:tabs>
          <w:tab w:val="left" w:pos="720"/>
          <w:tab w:val="left" w:pos="1440"/>
          <w:tab w:val="decimal" w:pos="6786"/>
          <w:tab w:val="decimal" w:pos="9079"/>
        </w:tabs>
        <w:suppressAutoHyphens/>
        <w:rPr>
          <w:rFonts w:eastAsia="Times New Roman" w:cstheme="minorHAnsi"/>
          <w:bCs/>
          <w:spacing w:val="-3"/>
          <w:sz w:val="24"/>
        </w:rPr>
      </w:pPr>
      <w:r w:rsidRPr="00F54559">
        <w:rPr>
          <w:rFonts w:eastAsia="Times New Roman" w:cstheme="minorHAnsi"/>
          <w:bCs/>
          <w:spacing w:val="-3"/>
          <w:sz w:val="24"/>
        </w:rPr>
        <w:t>Accounts, grants, and pledges receivable include the following at June 30:</w:t>
      </w:r>
    </w:p>
    <w:tbl>
      <w:tblPr>
        <w:tblW w:w="9630" w:type="dxa"/>
        <w:tblLook w:val="04A0" w:firstRow="1" w:lastRow="0" w:firstColumn="1" w:lastColumn="0" w:noHBand="0" w:noVBand="1"/>
      </w:tblPr>
      <w:tblGrid>
        <w:gridCol w:w="3150"/>
        <w:gridCol w:w="990"/>
        <w:gridCol w:w="990"/>
        <w:gridCol w:w="1298"/>
        <w:gridCol w:w="998"/>
        <w:gridCol w:w="990"/>
        <w:gridCol w:w="1269"/>
      </w:tblGrid>
      <w:tr w:rsidR="00DE5CB9" w:rsidRPr="00DE5CB9" w14:paraId="375A7767" w14:textId="77777777" w:rsidTr="00A504DA">
        <w:trPr>
          <w:trHeight w:val="300"/>
        </w:trPr>
        <w:tc>
          <w:tcPr>
            <w:tcW w:w="3150" w:type="dxa"/>
            <w:tcBorders>
              <w:top w:val="nil"/>
              <w:left w:val="nil"/>
              <w:bottom w:val="single" w:sz="12" w:space="0" w:color="00688D"/>
              <w:right w:val="nil"/>
            </w:tcBorders>
            <w:shd w:val="clear" w:color="000000" w:fill="FFFFFF"/>
            <w:noWrap/>
            <w:vAlign w:val="bottom"/>
            <w:hideMark/>
          </w:tcPr>
          <w:p w14:paraId="5C8BB393" w14:textId="77777777" w:rsidR="00DE5CB9" w:rsidRPr="00DE5CB9" w:rsidRDefault="00DE5CB9" w:rsidP="00DE5CB9">
            <w:pPr>
              <w:rPr>
                <w:rFonts w:ascii="Calibri" w:eastAsia="Times New Roman" w:hAnsi="Calibri" w:cs="Calibri"/>
                <w:b/>
                <w:bCs/>
                <w:color w:val="0D0D0D"/>
              </w:rPr>
            </w:pPr>
            <w:r w:rsidRPr="00DE5CB9">
              <w:rPr>
                <w:rFonts w:ascii="Calibri" w:eastAsia="Times New Roman" w:hAnsi="Calibri" w:cs="Calibri"/>
                <w:b/>
                <w:bCs/>
                <w:color w:val="0D0D0D"/>
              </w:rPr>
              <w:t> </w:t>
            </w:r>
          </w:p>
        </w:tc>
        <w:tc>
          <w:tcPr>
            <w:tcW w:w="3278" w:type="dxa"/>
            <w:gridSpan w:val="3"/>
            <w:tcBorders>
              <w:top w:val="nil"/>
              <w:left w:val="nil"/>
              <w:bottom w:val="single" w:sz="12" w:space="0" w:color="00688D"/>
              <w:right w:val="nil"/>
            </w:tcBorders>
            <w:shd w:val="clear" w:color="000000" w:fill="FFFFFF"/>
            <w:noWrap/>
            <w:vAlign w:val="bottom"/>
            <w:hideMark/>
          </w:tcPr>
          <w:p w14:paraId="76750024"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2023</w:t>
            </w:r>
          </w:p>
        </w:tc>
        <w:tc>
          <w:tcPr>
            <w:tcW w:w="3202" w:type="dxa"/>
            <w:gridSpan w:val="3"/>
            <w:tcBorders>
              <w:top w:val="nil"/>
              <w:left w:val="nil"/>
              <w:bottom w:val="single" w:sz="12" w:space="0" w:color="00688D"/>
              <w:right w:val="nil"/>
            </w:tcBorders>
            <w:shd w:val="clear" w:color="auto" w:fill="F2F2F2" w:themeFill="background1" w:themeFillShade="F2"/>
            <w:noWrap/>
            <w:vAlign w:val="bottom"/>
            <w:hideMark/>
          </w:tcPr>
          <w:p w14:paraId="01935AF2"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2022</w:t>
            </w:r>
          </w:p>
        </w:tc>
      </w:tr>
      <w:tr w:rsidR="00DE5CB9" w:rsidRPr="00DE5CB9" w14:paraId="040ED837" w14:textId="77777777" w:rsidTr="00A504DA">
        <w:trPr>
          <w:trHeight w:val="930"/>
        </w:trPr>
        <w:tc>
          <w:tcPr>
            <w:tcW w:w="3150" w:type="dxa"/>
            <w:tcBorders>
              <w:top w:val="nil"/>
              <w:left w:val="nil"/>
              <w:bottom w:val="single" w:sz="12" w:space="0" w:color="00688D"/>
              <w:right w:val="nil"/>
            </w:tcBorders>
            <w:shd w:val="clear" w:color="000000" w:fill="FFFFFF"/>
            <w:noWrap/>
            <w:vAlign w:val="bottom"/>
            <w:hideMark/>
          </w:tcPr>
          <w:p w14:paraId="06A9AF6C" w14:textId="77777777" w:rsidR="00DE5CB9" w:rsidRPr="00DE5CB9" w:rsidRDefault="00DE5CB9" w:rsidP="00DE5CB9">
            <w:pPr>
              <w:rPr>
                <w:rFonts w:ascii="Calibri" w:eastAsia="Times New Roman" w:hAnsi="Calibri" w:cs="Calibri"/>
                <w:b/>
                <w:bCs/>
                <w:color w:val="0D0D0D"/>
              </w:rPr>
            </w:pPr>
            <w:r w:rsidRPr="00DE5CB9">
              <w:rPr>
                <w:rFonts w:ascii="Calibri" w:eastAsia="Times New Roman" w:hAnsi="Calibri" w:cs="Calibri"/>
                <w:b/>
                <w:bCs/>
                <w:color w:val="0D0D0D"/>
              </w:rPr>
              <w:t> </w:t>
            </w:r>
          </w:p>
        </w:tc>
        <w:tc>
          <w:tcPr>
            <w:tcW w:w="990" w:type="dxa"/>
            <w:tcBorders>
              <w:top w:val="nil"/>
              <w:left w:val="nil"/>
              <w:bottom w:val="single" w:sz="12" w:space="0" w:color="00688D"/>
              <w:right w:val="nil"/>
            </w:tcBorders>
            <w:shd w:val="clear" w:color="000000" w:fill="FFFFFF"/>
            <w:noWrap/>
            <w:vAlign w:val="bottom"/>
            <w:hideMark/>
          </w:tcPr>
          <w:p w14:paraId="36BB6A06"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Total</w:t>
            </w:r>
          </w:p>
        </w:tc>
        <w:tc>
          <w:tcPr>
            <w:tcW w:w="990" w:type="dxa"/>
            <w:tcBorders>
              <w:top w:val="nil"/>
              <w:left w:val="nil"/>
              <w:bottom w:val="single" w:sz="12" w:space="0" w:color="00688D"/>
              <w:right w:val="nil"/>
            </w:tcBorders>
            <w:shd w:val="clear" w:color="000000" w:fill="FFFFFF"/>
            <w:vAlign w:val="bottom"/>
            <w:hideMark/>
          </w:tcPr>
          <w:p w14:paraId="4EDF2CF7"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Current</w:t>
            </w:r>
            <w:r w:rsidRPr="00DE5CB9">
              <w:rPr>
                <w:rFonts w:ascii="Calibri" w:eastAsia="Times New Roman" w:hAnsi="Calibri" w:cs="Calibri"/>
                <w:b/>
                <w:bCs/>
                <w:color w:val="0D0D0D"/>
              </w:rPr>
              <w:br/>
              <w:t>Portion</w:t>
            </w:r>
          </w:p>
        </w:tc>
        <w:tc>
          <w:tcPr>
            <w:tcW w:w="1298" w:type="dxa"/>
            <w:tcBorders>
              <w:top w:val="nil"/>
              <w:left w:val="nil"/>
              <w:bottom w:val="single" w:sz="12" w:space="0" w:color="00688D"/>
              <w:right w:val="nil"/>
            </w:tcBorders>
            <w:shd w:val="clear" w:color="000000" w:fill="FFFFFF"/>
            <w:vAlign w:val="bottom"/>
            <w:hideMark/>
          </w:tcPr>
          <w:p w14:paraId="62CCCFD4"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 xml:space="preserve">Noncurrent </w:t>
            </w:r>
            <w:r w:rsidRPr="00DE5CB9">
              <w:rPr>
                <w:rFonts w:ascii="Calibri" w:eastAsia="Times New Roman" w:hAnsi="Calibri" w:cs="Calibri"/>
                <w:b/>
                <w:bCs/>
                <w:color w:val="0D0D0D"/>
              </w:rPr>
              <w:br/>
              <w:t>Portion</w:t>
            </w:r>
          </w:p>
        </w:tc>
        <w:tc>
          <w:tcPr>
            <w:tcW w:w="998" w:type="dxa"/>
            <w:tcBorders>
              <w:top w:val="nil"/>
              <w:left w:val="nil"/>
              <w:bottom w:val="single" w:sz="12" w:space="0" w:color="00688D"/>
              <w:right w:val="nil"/>
            </w:tcBorders>
            <w:shd w:val="clear" w:color="auto" w:fill="F2F2F2" w:themeFill="background1" w:themeFillShade="F2"/>
            <w:noWrap/>
            <w:vAlign w:val="bottom"/>
            <w:hideMark/>
          </w:tcPr>
          <w:p w14:paraId="664DD885"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Total</w:t>
            </w:r>
          </w:p>
        </w:tc>
        <w:tc>
          <w:tcPr>
            <w:tcW w:w="990" w:type="dxa"/>
            <w:tcBorders>
              <w:top w:val="nil"/>
              <w:left w:val="nil"/>
              <w:bottom w:val="single" w:sz="12" w:space="0" w:color="00688D"/>
              <w:right w:val="nil"/>
            </w:tcBorders>
            <w:shd w:val="clear" w:color="auto" w:fill="F2F2F2" w:themeFill="background1" w:themeFillShade="F2"/>
            <w:vAlign w:val="bottom"/>
            <w:hideMark/>
          </w:tcPr>
          <w:p w14:paraId="537864B8"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Current</w:t>
            </w:r>
            <w:r w:rsidRPr="00DE5CB9">
              <w:rPr>
                <w:rFonts w:ascii="Calibri" w:eastAsia="Times New Roman" w:hAnsi="Calibri" w:cs="Calibri"/>
                <w:b/>
                <w:bCs/>
                <w:color w:val="0D0D0D"/>
              </w:rPr>
              <w:br/>
              <w:t>Portion</w:t>
            </w:r>
          </w:p>
        </w:tc>
        <w:tc>
          <w:tcPr>
            <w:tcW w:w="1214" w:type="dxa"/>
            <w:tcBorders>
              <w:top w:val="nil"/>
              <w:left w:val="nil"/>
              <w:bottom w:val="single" w:sz="12" w:space="0" w:color="00688D"/>
              <w:right w:val="nil"/>
            </w:tcBorders>
            <w:shd w:val="clear" w:color="auto" w:fill="F2F2F2" w:themeFill="background1" w:themeFillShade="F2"/>
            <w:vAlign w:val="bottom"/>
            <w:hideMark/>
          </w:tcPr>
          <w:p w14:paraId="4CBCD117" w14:textId="77777777" w:rsidR="00DE5CB9" w:rsidRPr="00DE5CB9" w:rsidRDefault="00DE5CB9" w:rsidP="00DE5CB9">
            <w:pPr>
              <w:jc w:val="center"/>
              <w:rPr>
                <w:rFonts w:ascii="Calibri" w:eastAsia="Times New Roman" w:hAnsi="Calibri" w:cs="Calibri"/>
                <w:b/>
                <w:bCs/>
                <w:color w:val="0D0D0D"/>
              </w:rPr>
            </w:pPr>
            <w:r w:rsidRPr="00DE5CB9">
              <w:rPr>
                <w:rFonts w:ascii="Calibri" w:eastAsia="Times New Roman" w:hAnsi="Calibri" w:cs="Calibri"/>
                <w:b/>
                <w:bCs/>
                <w:color w:val="0D0D0D"/>
              </w:rPr>
              <w:t xml:space="preserve">Noncurrent </w:t>
            </w:r>
            <w:r w:rsidRPr="00DE5CB9">
              <w:rPr>
                <w:rFonts w:ascii="Calibri" w:eastAsia="Times New Roman" w:hAnsi="Calibri" w:cs="Calibri"/>
                <w:b/>
                <w:bCs/>
                <w:color w:val="0D0D0D"/>
              </w:rPr>
              <w:br/>
              <w:t>Portion</w:t>
            </w:r>
          </w:p>
        </w:tc>
      </w:tr>
      <w:tr w:rsidR="00DE5CB9" w:rsidRPr="00DE5CB9" w14:paraId="36AD3E98" w14:textId="77777777" w:rsidTr="00A504DA">
        <w:trPr>
          <w:trHeight w:val="420"/>
        </w:trPr>
        <w:tc>
          <w:tcPr>
            <w:tcW w:w="3150" w:type="dxa"/>
            <w:tcBorders>
              <w:top w:val="nil"/>
              <w:left w:val="nil"/>
              <w:bottom w:val="nil"/>
              <w:right w:val="nil"/>
            </w:tcBorders>
            <w:shd w:val="clear" w:color="000000" w:fill="FFFFFF"/>
            <w:noWrap/>
            <w:vAlign w:val="bottom"/>
            <w:hideMark/>
          </w:tcPr>
          <w:p w14:paraId="22EB536E"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Student and other accounts receivable</w:t>
            </w:r>
          </w:p>
        </w:tc>
        <w:tc>
          <w:tcPr>
            <w:tcW w:w="990" w:type="dxa"/>
            <w:tcBorders>
              <w:top w:val="nil"/>
              <w:left w:val="nil"/>
              <w:bottom w:val="nil"/>
              <w:right w:val="nil"/>
            </w:tcBorders>
            <w:shd w:val="clear" w:color="000000" w:fill="FFFFFF"/>
            <w:noWrap/>
            <w:vAlign w:val="bottom"/>
            <w:hideMark/>
          </w:tcPr>
          <w:p w14:paraId="38EC5B62" w14:textId="75191106"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$53,842</w:t>
            </w:r>
          </w:p>
        </w:tc>
        <w:tc>
          <w:tcPr>
            <w:tcW w:w="990" w:type="dxa"/>
            <w:tcBorders>
              <w:top w:val="nil"/>
              <w:left w:val="nil"/>
              <w:bottom w:val="nil"/>
              <w:right w:val="nil"/>
            </w:tcBorders>
            <w:shd w:val="clear" w:color="000000" w:fill="FFFFFF"/>
            <w:noWrap/>
            <w:vAlign w:val="bottom"/>
            <w:hideMark/>
          </w:tcPr>
          <w:p w14:paraId="5E7A8FD3" w14:textId="258E25A1"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$53,093</w:t>
            </w:r>
          </w:p>
        </w:tc>
        <w:tc>
          <w:tcPr>
            <w:tcW w:w="1298" w:type="dxa"/>
            <w:tcBorders>
              <w:top w:val="nil"/>
              <w:left w:val="nil"/>
              <w:bottom w:val="nil"/>
              <w:right w:val="nil"/>
            </w:tcBorders>
            <w:shd w:val="clear" w:color="000000" w:fill="FFFFFF"/>
            <w:noWrap/>
            <w:vAlign w:val="bottom"/>
            <w:hideMark/>
          </w:tcPr>
          <w:p w14:paraId="1EEC6799" w14:textId="2A1CACDC"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$749</w:t>
            </w:r>
          </w:p>
        </w:tc>
        <w:tc>
          <w:tcPr>
            <w:tcW w:w="998" w:type="dxa"/>
            <w:tcBorders>
              <w:top w:val="nil"/>
              <w:left w:val="nil"/>
              <w:bottom w:val="nil"/>
              <w:right w:val="nil"/>
            </w:tcBorders>
            <w:shd w:val="clear" w:color="auto" w:fill="F2F2F2" w:themeFill="background1" w:themeFillShade="F2"/>
            <w:noWrap/>
            <w:vAlign w:val="bottom"/>
            <w:hideMark/>
          </w:tcPr>
          <w:p w14:paraId="6E4F192B" w14:textId="0D54D0F9"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$46,725</w:t>
            </w:r>
          </w:p>
        </w:tc>
        <w:tc>
          <w:tcPr>
            <w:tcW w:w="990" w:type="dxa"/>
            <w:tcBorders>
              <w:top w:val="nil"/>
              <w:left w:val="nil"/>
              <w:bottom w:val="nil"/>
              <w:right w:val="nil"/>
            </w:tcBorders>
            <w:shd w:val="clear" w:color="auto" w:fill="F2F2F2" w:themeFill="background1" w:themeFillShade="F2"/>
            <w:noWrap/>
            <w:vAlign w:val="bottom"/>
            <w:hideMark/>
          </w:tcPr>
          <w:p w14:paraId="6B85767D" w14:textId="1E16B6D7"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$46,200</w:t>
            </w:r>
          </w:p>
        </w:tc>
        <w:tc>
          <w:tcPr>
            <w:tcW w:w="1214" w:type="dxa"/>
            <w:tcBorders>
              <w:top w:val="nil"/>
              <w:left w:val="nil"/>
              <w:bottom w:val="nil"/>
              <w:right w:val="nil"/>
            </w:tcBorders>
            <w:shd w:val="clear" w:color="auto" w:fill="F2F2F2" w:themeFill="background1" w:themeFillShade="F2"/>
            <w:noWrap/>
            <w:vAlign w:val="bottom"/>
            <w:hideMark/>
          </w:tcPr>
          <w:p w14:paraId="7A1F7A97" w14:textId="76E00D3F"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  525</w:t>
            </w:r>
          </w:p>
        </w:tc>
      </w:tr>
      <w:tr w:rsidR="00DE5CB9" w:rsidRPr="00DE5CB9" w14:paraId="79E9B958" w14:textId="77777777" w:rsidTr="00A504DA">
        <w:trPr>
          <w:trHeight w:val="300"/>
        </w:trPr>
        <w:tc>
          <w:tcPr>
            <w:tcW w:w="3150" w:type="dxa"/>
            <w:tcBorders>
              <w:top w:val="nil"/>
              <w:left w:val="nil"/>
              <w:bottom w:val="nil"/>
              <w:right w:val="nil"/>
            </w:tcBorders>
            <w:shd w:val="clear" w:color="000000" w:fill="FFFFFF"/>
            <w:noWrap/>
            <w:vAlign w:val="bottom"/>
            <w:hideMark/>
          </w:tcPr>
          <w:p w14:paraId="7A14797B"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Grants receivable</w:t>
            </w:r>
          </w:p>
        </w:tc>
        <w:tc>
          <w:tcPr>
            <w:tcW w:w="990" w:type="dxa"/>
            <w:tcBorders>
              <w:top w:val="nil"/>
              <w:left w:val="nil"/>
              <w:bottom w:val="nil"/>
              <w:right w:val="nil"/>
            </w:tcBorders>
            <w:shd w:val="clear" w:color="000000" w:fill="FFFFFF"/>
            <w:noWrap/>
            <w:vAlign w:val="bottom"/>
            <w:hideMark/>
          </w:tcPr>
          <w:p w14:paraId="7E855233" w14:textId="7209EA1A"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42,284</w:t>
            </w:r>
          </w:p>
        </w:tc>
        <w:tc>
          <w:tcPr>
            <w:tcW w:w="990" w:type="dxa"/>
            <w:tcBorders>
              <w:top w:val="nil"/>
              <w:left w:val="nil"/>
              <w:bottom w:val="nil"/>
              <w:right w:val="nil"/>
            </w:tcBorders>
            <w:shd w:val="clear" w:color="000000" w:fill="FFFFFF"/>
            <w:noWrap/>
            <w:vAlign w:val="bottom"/>
            <w:hideMark/>
          </w:tcPr>
          <w:p w14:paraId="5BAF6BBB" w14:textId="295762A2"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42,047</w:t>
            </w:r>
          </w:p>
        </w:tc>
        <w:tc>
          <w:tcPr>
            <w:tcW w:w="1298" w:type="dxa"/>
            <w:tcBorders>
              <w:top w:val="nil"/>
              <w:left w:val="nil"/>
              <w:bottom w:val="nil"/>
              <w:right w:val="nil"/>
            </w:tcBorders>
            <w:shd w:val="clear" w:color="000000" w:fill="FFFFFF"/>
            <w:noWrap/>
            <w:vAlign w:val="bottom"/>
            <w:hideMark/>
          </w:tcPr>
          <w:p w14:paraId="73C4D2DA" w14:textId="3BF25F57"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237</w:t>
            </w:r>
          </w:p>
        </w:tc>
        <w:tc>
          <w:tcPr>
            <w:tcW w:w="998" w:type="dxa"/>
            <w:tcBorders>
              <w:top w:val="nil"/>
              <w:left w:val="nil"/>
              <w:bottom w:val="nil"/>
              <w:right w:val="nil"/>
            </w:tcBorders>
            <w:shd w:val="clear" w:color="auto" w:fill="F2F2F2" w:themeFill="background1" w:themeFillShade="F2"/>
            <w:noWrap/>
            <w:vAlign w:val="bottom"/>
            <w:hideMark/>
          </w:tcPr>
          <w:p w14:paraId="60D9E0F1" w14:textId="3037352B"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41,835</w:t>
            </w:r>
          </w:p>
        </w:tc>
        <w:tc>
          <w:tcPr>
            <w:tcW w:w="990" w:type="dxa"/>
            <w:tcBorders>
              <w:top w:val="nil"/>
              <w:left w:val="nil"/>
              <w:bottom w:val="nil"/>
              <w:right w:val="nil"/>
            </w:tcBorders>
            <w:shd w:val="clear" w:color="auto" w:fill="F2F2F2" w:themeFill="background1" w:themeFillShade="F2"/>
            <w:noWrap/>
            <w:vAlign w:val="bottom"/>
            <w:hideMark/>
          </w:tcPr>
          <w:p w14:paraId="21975F2F" w14:textId="12B00DFC"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37,101</w:t>
            </w:r>
          </w:p>
        </w:tc>
        <w:tc>
          <w:tcPr>
            <w:tcW w:w="1214" w:type="dxa"/>
            <w:tcBorders>
              <w:top w:val="nil"/>
              <w:left w:val="nil"/>
              <w:bottom w:val="nil"/>
              <w:right w:val="nil"/>
            </w:tcBorders>
            <w:shd w:val="clear" w:color="auto" w:fill="F2F2F2" w:themeFill="background1" w:themeFillShade="F2"/>
            <w:noWrap/>
            <w:vAlign w:val="bottom"/>
            <w:hideMark/>
          </w:tcPr>
          <w:p w14:paraId="472B5B8D" w14:textId="45852A10"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4,734</w:t>
            </w:r>
          </w:p>
        </w:tc>
      </w:tr>
      <w:tr w:rsidR="00DE5CB9" w:rsidRPr="00DE5CB9" w14:paraId="65A0C4FA" w14:textId="77777777" w:rsidTr="00A504DA">
        <w:trPr>
          <w:trHeight w:val="300"/>
        </w:trPr>
        <w:tc>
          <w:tcPr>
            <w:tcW w:w="3150" w:type="dxa"/>
            <w:tcBorders>
              <w:top w:val="nil"/>
              <w:left w:val="nil"/>
              <w:bottom w:val="single" w:sz="4" w:space="0" w:color="00688D"/>
              <w:right w:val="nil"/>
            </w:tcBorders>
            <w:shd w:val="clear" w:color="000000" w:fill="FFFFFF"/>
            <w:noWrap/>
            <w:vAlign w:val="bottom"/>
            <w:hideMark/>
          </w:tcPr>
          <w:p w14:paraId="20E361B7"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Pledges receivable</w:t>
            </w:r>
          </w:p>
        </w:tc>
        <w:tc>
          <w:tcPr>
            <w:tcW w:w="990" w:type="dxa"/>
            <w:tcBorders>
              <w:top w:val="nil"/>
              <w:left w:val="nil"/>
              <w:bottom w:val="single" w:sz="4" w:space="0" w:color="00688D"/>
              <w:right w:val="nil"/>
            </w:tcBorders>
            <w:shd w:val="clear" w:color="000000" w:fill="FFFFFF"/>
            <w:noWrap/>
            <w:vAlign w:val="bottom"/>
            <w:hideMark/>
          </w:tcPr>
          <w:p w14:paraId="4E287ADA" w14:textId="046C8717"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2,044</w:t>
            </w:r>
          </w:p>
        </w:tc>
        <w:tc>
          <w:tcPr>
            <w:tcW w:w="990" w:type="dxa"/>
            <w:tcBorders>
              <w:top w:val="nil"/>
              <w:left w:val="nil"/>
              <w:bottom w:val="single" w:sz="4" w:space="0" w:color="00688D"/>
              <w:right w:val="nil"/>
            </w:tcBorders>
            <w:shd w:val="clear" w:color="000000" w:fill="FFFFFF"/>
            <w:noWrap/>
            <w:vAlign w:val="bottom"/>
            <w:hideMark/>
          </w:tcPr>
          <w:p w14:paraId="01FDE114" w14:textId="1E3515FD"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955</w:t>
            </w:r>
          </w:p>
        </w:tc>
        <w:tc>
          <w:tcPr>
            <w:tcW w:w="1298" w:type="dxa"/>
            <w:tcBorders>
              <w:top w:val="nil"/>
              <w:left w:val="nil"/>
              <w:bottom w:val="single" w:sz="4" w:space="0" w:color="00688D"/>
              <w:right w:val="nil"/>
            </w:tcBorders>
            <w:shd w:val="clear" w:color="000000" w:fill="FFFFFF"/>
            <w:noWrap/>
            <w:vAlign w:val="bottom"/>
            <w:hideMark/>
          </w:tcPr>
          <w:p w14:paraId="03B0749E" w14:textId="6C78020C"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1,089</w:t>
            </w:r>
          </w:p>
        </w:tc>
        <w:tc>
          <w:tcPr>
            <w:tcW w:w="998" w:type="dxa"/>
            <w:tcBorders>
              <w:top w:val="nil"/>
              <w:left w:val="nil"/>
              <w:bottom w:val="single" w:sz="4" w:space="0" w:color="00688D"/>
              <w:right w:val="nil"/>
            </w:tcBorders>
            <w:shd w:val="clear" w:color="auto" w:fill="F2F2F2" w:themeFill="background1" w:themeFillShade="F2"/>
            <w:noWrap/>
            <w:vAlign w:val="bottom"/>
            <w:hideMark/>
          </w:tcPr>
          <w:p w14:paraId="2376754B" w14:textId="4A922612"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1,513</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127E88F1" w14:textId="7A1B752F"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812</w:t>
            </w:r>
          </w:p>
        </w:tc>
        <w:tc>
          <w:tcPr>
            <w:tcW w:w="1214" w:type="dxa"/>
            <w:tcBorders>
              <w:top w:val="nil"/>
              <w:left w:val="nil"/>
              <w:bottom w:val="single" w:sz="4" w:space="0" w:color="00688D"/>
              <w:right w:val="nil"/>
            </w:tcBorders>
            <w:shd w:val="clear" w:color="auto" w:fill="F2F2F2" w:themeFill="background1" w:themeFillShade="F2"/>
            <w:noWrap/>
            <w:vAlign w:val="bottom"/>
            <w:hideMark/>
          </w:tcPr>
          <w:p w14:paraId="1B5853D1" w14:textId="14B61718"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701</w:t>
            </w:r>
          </w:p>
        </w:tc>
      </w:tr>
      <w:tr w:rsidR="00DE5CB9" w:rsidRPr="00DE5CB9" w14:paraId="120FDD8E" w14:textId="77777777" w:rsidTr="00A504DA">
        <w:trPr>
          <w:trHeight w:val="300"/>
        </w:trPr>
        <w:tc>
          <w:tcPr>
            <w:tcW w:w="3150" w:type="dxa"/>
            <w:tcBorders>
              <w:top w:val="nil"/>
              <w:left w:val="nil"/>
              <w:bottom w:val="nil"/>
              <w:right w:val="nil"/>
            </w:tcBorders>
            <w:shd w:val="clear" w:color="000000" w:fill="FFFFFF"/>
            <w:noWrap/>
            <w:hideMark/>
          </w:tcPr>
          <w:p w14:paraId="7B4AD139"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Total gross receivables</w:t>
            </w:r>
          </w:p>
        </w:tc>
        <w:tc>
          <w:tcPr>
            <w:tcW w:w="990" w:type="dxa"/>
            <w:tcBorders>
              <w:top w:val="nil"/>
              <w:left w:val="nil"/>
              <w:bottom w:val="nil"/>
              <w:right w:val="nil"/>
            </w:tcBorders>
            <w:shd w:val="clear" w:color="000000" w:fill="FFFFFF"/>
            <w:noWrap/>
            <w:vAlign w:val="bottom"/>
            <w:hideMark/>
          </w:tcPr>
          <w:p w14:paraId="004970D5" w14:textId="38A204D0"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98,170</w:t>
            </w:r>
          </w:p>
        </w:tc>
        <w:tc>
          <w:tcPr>
            <w:tcW w:w="990" w:type="dxa"/>
            <w:tcBorders>
              <w:top w:val="nil"/>
              <w:left w:val="nil"/>
              <w:bottom w:val="nil"/>
              <w:right w:val="nil"/>
            </w:tcBorders>
            <w:shd w:val="clear" w:color="000000" w:fill="FFFFFF"/>
            <w:noWrap/>
            <w:vAlign w:val="bottom"/>
            <w:hideMark/>
          </w:tcPr>
          <w:p w14:paraId="1C7A53A7" w14:textId="65A71EA9"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96,095</w:t>
            </w:r>
          </w:p>
        </w:tc>
        <w:tc>
          <w:tcPr>
            <w:tcW w:w="1298" w:type="dxa"/>
            <w:tcBorders>
              <w:top w:val="nil"/>
              <w:left w:val="nil"/>
              <w:bottom w:val="nil"/>
              <w:right w:val="nil"/>
            </w:tcBorders>
            <w:shd w:val="clear" w:color="000000" w:fill="FFFFFF"/>
            <w:noWrap/>
            <w:vAlign w:val="bottom"/>
            <w:hideMark/>
          </w:tcPr>
          <w:p w14:paraId="1BE7F0F5" w14:textId="056A8AFB"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2,075</w:t>
            </w:r>
          </w:p>
        </w:tc>
        <w:tc>
          <w:tcPr>
            <w:tcW w:w="998" w:type="dxa"/>
            <w:tcBorders>
              <w:top w:val="nil"/>
              <w:left w:val="nil"/>
              <w:bottom w:val="nil"/>
              <w:right w:val="nil"/>
            </w:tcBorders>
            <w:shd w:val="clear" w:color="auto" w:fill="F2F2F2" w:themeFill="background1" w:themeFillShade="F2"/>
            <w:noWrap/>
            <w:vAlign w:val="bottom"/>
            <w:hideMark/>
          </w:tcPr>
          <w:p w14:paraId="2C13AD37" w14:textId="4FC5DA56"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90,073</w:t>
            </w:r>
          </w:p>
        </w:tc>
        <w:tc>
          <w:tcPr>
            <w:tcW w:w="990" w:type="dxa"/>
            <w:tcBorders>
              <w:top w:val="nil"/>
              <w:left w:val="nil"/>
              <w:bottom w:val="nil"/>
              <w:right w:val="nil"/>
            </w:tcBorders>
            <w:shd w:val="clear" w:color="auto" w:fill="F2F2F2" w:themeFill="background1" w:themeFillShade="F2"/>
            <w:noWrap/>
            <w:vAlign w:val="bottom"/>
            <w:hideMark/>
          </w:tcPr>
          <w:p w14:paraId="09E8D207" w14:textId="0C52BBAB"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84,113</w:t>
            </w:r>
          </w:p>
        </w:tc>
        <w:tc>
          <w:tcPr>
            <w:tcW w:w="1214" w:type="dxa"/>
            <w:tcBorders>
              <w:top w:val="nil"/>
              <w:left w:val="nil"/>
              <w:bottom w:val="nil"/>
              <w:right w:val="nil"/>
            </w:tcBorders>
            <w:shd w:val="clear" w:color="auto" w:fill="F2F2F2" w:themeFill="background1" w:themeFillShade="F2"/>
            <w:noWrap/>
            <w:vAlign w:val="bottom"/>
            <w:hideMark/>
          </w:tcPr>
          <w:p w14:paraId="43CE0F1D" w14:textId="799814E9"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5,960</w:t>
            </w:r>
          </w:p>
        </w:tc>
      </w:tr>
      <w:tr w:rsidR="00DE5CB9" w:rsidRPr="00DE5CB9" w14:paraId="7F55599A" w14:textId="77777777" w:rsidTr="00A504DA">
        <w:trPr>
          <w:trHeight w:val="300"/>
        </w:trPr>
        <w:tc>
          <w:tcPr>
            <w:tcW w:w="3150" w:type="dxa"/>
            <w:tcBorders>
              <w:top w:val="nil"/>
              <w:left w:val="nil"/>
              <w:bottom w:val="nil"/>
              <w:right w:val="nil"/>
            </w:tcBorders>
            <w:shd w:val="clear" w:color="000000" w:fill="FFFFFF"/>
            <w:noWrap/>
            <w:vAlign w:val="bottom"/>
            <w:hideMark/>
          </w:tcPr>
          <w:p w14:paraId="7F6BA37B"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Less allowance for doubtful accounts</w:t>
            </w:r>
          </w:p>
        </w:tc>
        <w:tc>
          <w:tcPr>
            <w:tcW w:w="990" w:type="dxa"/>
            <w:tcBorders>
              <w:top w:val="nil"/>
              <w:left w:val="nil"/>
              <w:bottom w:val="nil"/>
              <w:right w:val="nil"/>
            </w:tcBorders>
            <w:shd w:val="clear" w:color="000000" w:fill="FFFFFF"/>
            <w:noWrap/>
            <w:vAlign w:val="bottom"/>
            <w:hideMark/>
          </w:tcPr>
          <w:p w14:paraId="5F6BB4DF" w14:textId="43B3A711"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(20,248)</w:t>
            </w:r>
          </w:p>
        </w:tc>
        <w:tc>
          <w:tcPr>
            <w:tcW w:w="990" w:type="dxa"/>
            <w:tcBorders>
              <w:top w:val="nil"/>
              <w:left w:val="nil"/>
              <w:bottom w:val="nil"/>
              <w:right w:val="nil"/>
            </w:tcBorders>
            <w:shd w:val="clear" w:color="000000" w:fill="FFFFFF"/>
            <w:noWrap/>
            <w:vAlign w:val="bottom"/>
            <w:hideMark/>
          </w:tcPr>
          <w:p w14:paraId="4206AD59" w14:textId="4B30EB0E"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(20,228)</w:t>
            </w:r>
          </w:p>
        </w:tc>
        <w:tc>
          <w:tcPr>
            <w:tcW w:w="1298" w:type="dxa"/>
            <w:tcBorders>
              <w:top w:val="nil"/>
              <w:left w:val="nil"/>
              <w:bottom w:val="nil"/>
              <w:right w:val="nil"/>
            </w:tcBorders>
            <w:shd w:val="clear" w:color="000000" w:fill="FFFFFF"/>
            <w:noWrap/>
            <w:vAlign w:val="bottom"/>
            <w:hideMark/>
          </w:tcPr>
          <w:p w14:paraId="1534FD1C" w14:textId="7426E7CF"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(20)</w:t>
            </w:r>
          </w:p>
        </w:tc>
        <w:tc>
          <w:tcPr>
            <w:tcW w:w="998" w:type="dxa"/>
            <w:tcBorders>
              <w:top w:val="nil"/>
              <w:left w:val="nil"/>
              <w:bottom w:val="nil"/>
              <w:right w:val="nil"/>
            </w:tcBorders>
            <w:shd w:val="clear" w:color="auto" w:fill="F2F2F2" w:themeFill="background1" w:themeFillShade="F2"/>
            <w:noWrap/>
            <w:vAlign w:val="bottom"/>
            <w:hideMark/>
          </w:tcPr>
          <w:p w14:paraId="2CDEE37B" w14:textId="53B6DEEC"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(19,643)</w:t>
            </w:r>
          </w:p>
        </w:tc>
        <w:tc>
          <w:tcPr>
            <w:tcW w:w="990" w:type="dxa"/>
            <w:tcBorders>
              <w:top w:val="nil"/>
              <w:left w:val="nil"/>
              <w:bottom w:val="nil"/>
              <w:right w:val="nil"/>
            </w:tcBorders>
            <w:shd w:val="clear" w:color="auto" w:fill="F2F2F2" w:themeFill="background1" w:themeFillShade="F2"/>
            <w:noWrap/>
            <w:vAlign w:val="bottom"/>
            <w:hideMark/>
          </w:tcPr>
          <w:p w14:paraId="7DC9A405" w14:textId="7DD320C5"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(19,631)</w:t>
            </w:r>
          </w:p>
        </w:tc>
        <w:tc>
          <w:tcPr>
            <w:tcW w:w="1214" w:type="dxa"/>
            <w:tcBorders>
              <w:top w:val="nil"/>
              <w:left w:val="nil"/>
              <w:bottom w:val="nil"/>
              <w:right w:val="nil"/>
            </w:tcBorders>
            <w:shd w:val="clear" w:color="auto" w:fill="F2F2F2" w:themeFill="background1" w:themeFillShade="F2"/>
            <w:noWrap/>
            <w:vAlign w:val="bottom"/>
            <w:hideMark/>
          </w:tcPr>
          <w:p w14:paraId="3BA658D1" w14:textId="792FAD05"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(12)</w:t>
            </w:r>
          </w:p>
        </w:tc>
      </w:tr>
      <w:tr w:rsidR="00DE5CB9" w:rsidRPr="00DE5CB9" w14:paraId="6E026E58" w14:textId="77777777" w:rsidTr="00A504DA">
        <w:trPr>
          <w:trHeight w:val="300"/>
        </w:trPr>
        <w:tc>
          <w:tcPr>
            <w:tcW w:w="3150" w:type="dxa"/>
            <w:tcBorders>
              <w:top w:val="nil"/>
              <w:left w:val="nil"/>
              <w:bottom w:val="nil"/>
              <w:right w:val="nil"/>
            </w:tcBorders>
            <w:shd w:val="clear" w:color="000000" w:fill="FFFFFF"/>
            <w:noWrap/>
            <w:vAlign w:val="bottom"/>
            <w:hideMark/>
          </w:tcPr>
          <w:p w14:paraId="2F8A3EB7"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Less discount on pledges receivable</w:t>
            </w:r>
          </w:p>
        </w:tc>
        <w:tc>
          <w:tcPr>
            <w:tcW w:w="990" w:type="dxa"/>
            <w:tcBorders>
              <w:top w:val="nil"/>
              <w:left w:val="nil"/>
              <w:bottom w:val="nil"/>
              <w:right w:val="nil"/>
            </w:tcBorders>
            <w:shd w:val="clear" w:color="000000" w:fill="FFFFFF"/>
            <w:noWrap/>
            <w:vAlign w:val="bottom"/>
            <w:hideMark/>
          </w:tcPr>
          <w:p w14:paraId="6594D156" w14:textId="50204791"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(103)</w:t>
            </w:r>
          </w:p>
        </w:tc>
        <w:tc>
          <w:tcPr>
            <w:tcW w:w="990" w:type="dxa"/>
            <w:tcBorders>
              <w:top w:val="nil"/>
              <w:left w:val="nil"/>
              <w:bottom w:val="nil"/>
              <w:right w:val="nil"/>
            </w:tcBorders>
            <w:shd w:val="clear" w:color="000000" w:fill="FFFFFF"/>
            <w:noWrap/>
            <w:vAlign w:val="bottom"/>
            <w:hideMark/>
          </w:tcPr>
          <w:p w14:paraId="192FCECC" w14:textId="2BF0EB14"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w:t>
            </w:r>
          </w:p>
        </w:tc>
        <w:tc>
          <w:tcPr>
            <w:tcW w:w="1298" w:type="dxa"/>
            <w:tcBorders>
              <w:top w:val="nil"/>
              <w:left w:val="nil"/>
              <w:bottom w:val="nil"/>
              <w:right w:val="nil"/>
            </w:tcBorders>
            <w:shd w:val="clear" w:color="000000" w:fill="FFFFFF"/>
            <w:noWrap/>
            <w:vAlign w:val="bottom"/>
            <w:hideMark/>
          </w:tcPr>
          <w:p w14:paraId="5A1D39EE" w14:textId="55BD3626" w:rsidR="00DE5CB9" w:rsidRPr="00DE5CB9" w:rsidRDefault="00DE5CB9" w:rsidP="00A504DA">
            <w:pPr>
              <w:jc w:val="right"/>
              <w:rPr>
                <w:rFonts w:ascii="Calibri" w:eastAsia="Times New Roman" w:hAnsi="Calibri" w:cs="Calibri"/>
                <w:color w:val="000000"/>
              </w:rPr>
            </w:pPr>
            <w:r w:rsidRPr="00DE5CB9">
              <w:rPr>
                <w:rFonts w:ascii="Calibri" w:eastAsia="Times New Roman" w:hAnsi="Calibri" w:cs="Calibri"/>
                <w:color w:val="000000"/>
              </w:rPr>
              <w:t>(103)</w:t>
            </w:r>
          </w:p>
        </w:tc>
        <w:tc>
          <w:tcPr>
            <w:tcW w:w="998" w:type="dxa"/>
            <w:tcBorders>
              <w:top w:val="nil"/>
              <w:left w:val="nil"/>
              <w:bottom w:val="nil"/>
              <w:right w:val="nil"/>
            </w:tcBorders>
            <w:shd w:val="clear" w:color="auto" w:fill="F2F2F2" w:themeFill="background1" w:themeFillShade="F2"/>
            <w:noWrap/>
            <w:vAlign w:val="bottom"/>
            <w:hideMark/>
          </w:tcPr>
          <w:p w14:paraId="2E4446CA" w14:textId="00DD5123"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 xml:space="preserve"> (90)</w:t>
            </w:r>
          </w:p>
        </w:tc>
        <w:tc>
          <w:tcPr>
            <w:tcW w:w="990" w:type="dxa"/>
            <w:tcBorders>
              <w:top w:val="nil"/>
              <w:left w:val="nil"/>
              <w:bottom w:val="nil"/>
              <w:right w:val="nil"/>
            </w:tcBorders>
            <w:shd w:val="clear" w:color="auto" w:fill="F2F2F2" w:themeFill="background1" w:themeFillShade="F2"/>
            <w:noWrap/>
            <w:vAlign w:val="bottom"/>
            <w:hideMark/>
          </w:tcPr>
          <w:p w14:paraId="0C5C795F" w14:textId="7EB34AE4"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w:t>
            </w:r>
          </w:p>
        </w:tc>
        <w:tc>
          <w:tcPr>
            <w:tcW w:w="1214" w:type="dxa"/>
            <w:tcBorders>
              <w:top w:val="nil"/>
              <w:left w:val="nil"/>
              <w:bottom w:val="nil"/>
              <w:right w:val="nil"/>
            </w:tcBorders>
            <w:shd w:val="clear" w:color="auto" w:fill="F2F2F2" w:themeFill="background1" w:themeFillShade="F2"/>
            <w:noWrap/>
            <w:vAlign w:val="bottom"/>
            <w:hideMark/>
          </w:tcPr>
          <w:p w14:paraId="52A8D7A6" w14:textId="17A365D5" w:rsidR="00DE5CB9" w:rsidRPr="00DE5CB9" w:rsidRDefault="00DE5CB9" w:rsidP="00A504DA">
            <w:pPr>
              <w:jc w:val="right"/>
              <w:rPr>
                <w:rFonts w:ascii="Calibri" w:eastAsia="Times New Roman" w:hAnsi="Calibri" w:cs="Calibri"/>
              </w:rPr>
            </w:pPr>
            <w:r w:rsidRPr="00DE5CB9">
              <w:rPr>
                <w:rFonts w:ascii="Calibri" w:eastAsia="Times New Roman" w:hAnsi="Calibri" w:cs="Calibri"/>
              </w:rPr>
              <w:t>(90)</w:t>
            </w:r>
          </w:p>
        </w:tc>
      </w:tr>
      <w:tr w:rsidR="00DE5CB9" w:rsidRPr="00DE5CB9" w14:paraId="52DF7095" w14:textId="77777777" w:rsidTr="00A504DA">
        <w:trPr>
          <w:trHeight w:val="315"/>
        </w:trPr>
        <w:tc>
          <w:tcPr>
            <w:tcW w:w="3150" w:type="dxa"/>
            <w:tcBorders>
              <w:top w:val="single" w:sz="4" w:space="0" w:color="00688D"/>
              <w:left w:val="nil"/>
              <w:bottom w:val="double" w:sz="6" w:space="0" w:color="00688D"/>
              <w:right w:val="nil"/>
            </w:tcBorders>
            <w:shd w:val="clear" w:color="000000" w:fill="FFFFFF"/>
            <w:noWrap/>
            <w:vAlign w:val="bottom"/>
            <w:hideMark/>
          </w:tcPr>
          <w:p w14:paraId="33D69873" w14:textId="77777777" w:rsidR="00DE5CB9" w:rsidRPr="00DE5CB9" w:rsidRDefault="00DE5CB9" w:rsidP="00DE5CB9">
            <w:pPr>
              <w:rPr>
                <w:rFonts w:ascii="Calibri" w:eastAsia="Times New Roman" w:hAnsi="Calibri" w:cs="Calibri"/>
                <w:color w:val="0D0D0D"/>
              </w:rPr>
            </w:pPr>
            <w:r w:rsidRPr="00DE5CB9">
              <w:rPr>
                <w:rFonts w:ascii="Calibri" w:eastAsia="Times New Roman" w:hAnsi="Calibri" w:cs="Calibri"/>
                <w:color w:val="0D0D0D"/>
              </w:rPr>
              <w:t>Total receivables, net</w:t>
            </w:r>
          </w:p>
        </w:tc>
        <w:tc>
          <w:tcPr>
            <w:tcW w:w="990" w:type="dxa"/>
            <w:tcBorders>
              <w:top w:val="single" w:sz="4" w:space="0" w:color="00688D"/>
              <w:left w:val="nil"/>
              <w:bottom w:val="double" w:sz="6" w:space="0" w:color="00688D"/>
              <w:right w:val="nil"/>
            </w:tcBorders>
            <w:shd w:val="clear" w:color="000000" w:fill="FFFFFF"/>
            <w:noWrap/>
            <w:vAlign w:val="bottom"/>
            <w:hideMark/>
          </w:tcPr>
          <w:p w14:paraId="4AA34C91" w14:textId="027736F6"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$77,819</w:t>
            </w:r>
          </w:p>
        </w:tc>
        <w:tc>
          <w:tcPr>
            <w:tcW w:w="990" w:type="dxa"/>
            <w:tcBorders>
              <w:top w:val="single" w:sz="4" w:space="0" w:color="00688D"/>
              <w:left w:val="nil"/>
              <w:bottom w:val="double" w:sz="6" w:space="0" w:color="00688D"/>
              <w:right w:val="nil"/>
            </w:tcBorders>
            <w:shd w:val="clear" w:color="000000" w:fill="FFFFFF"/>
            <w:noWrap/>
            <w:vAlign w:val="bottom"/>
            <w:hideMark/>
          </w:tcPr>
          <w:p w14:paraId="75BD39E1" w14:textId="17C665A1"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$75,867</w:t>
            </w:r>
          </w:p>
        </w:tc>
        <w:tc>
          <w:tcPr>
            <w:tcW w:w="1298" w:type="dxa"/>
            <w:tcBorders>
              <w:top w:val="single" w:sz="4" w:space="0" w:color="00688D"/>
              <w:left w:val="nil"/>
              <w:bottom w:val="double" w:sz="6" w:space="0" w:color="00688D"/>
              <w:right w:val="nil"/>
            </w:tcBorders>
            <w:shd w:val="clear" w:color="000000" w:fill="FFFFFF"/>
            <w:noWrap/>
            <w:vAlign w:val="bottom"/>
            <w:hideMark/>
          </w:tcPr>
          <w:p w14:paraId="77625975" w14:textId="5E6CAACE"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$1,952</w:t>
            </w:r>
          </w:p>
        </w:tc>
        <w:tc>
          <w:tcPr>
            <w:tcW w:w="998"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130ECCED" w14:textId="76B31E30"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$70,340</w:t>
            </w:r>
          </w:p>
        </w:tc>
        <w:tc>
          <w:tcPr>
            <w:tcW w:w="99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9D85778" w14:textId="350E0059"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$64,482</w:t>
            </w:r>
          </w:p>
        </w:tc>
        <w:tc>
          <w:tcPr>
            <w:tcW w:w="1214"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BA0795A" w14:textId="3CFE4FF4" w:rsidR="00DE5CB9" w:rsidRPr="00DE5CB9" w:rsidRDefault="00DE5CB9" w:rsidP="00A504DA">
            <w:pPr>
              <w:jc w:val="right"/>
              <w:rPr>
                <w:rFonts w:ascii="Calibri" w:eastAsia="Times New Roman" w:hAnsi="Calibri" w:cs="Calibri"/>
                <w:color w:val="0D0D0D"/>
              </w:rPr>
            </w:pPr>
            <w:r w:rsidRPr="00DE5CB9">
              <w:rPr>
                <w:rFonts w:ascii="Calibri" w:eastAsia="Times New Roman" w:hAnsi="Calibri" w:cs="Calibri"/>
                <w:color w:val="0D0D0D"/>
              </w:rPr>
              <w:t>$5,858</w:t>
            </w:r>
          </w:p>
        </w:tc>
      </w:tr>
      <w:tr w:rsidR="00DE5CB9" w:rsidRPr="00DE5CB9" w14:paraId="22647726" w14:textId="77777777" w:rsidTr="00A504DA">
        <w:trPr>
          <w:trHeight w:val="60"/>
        </w:trPr>
        <w:tc>
          <w:tcPr>
            <w:tcW w:w="3150" w:type="dxa"/>
            <w:tcBorders>
              <w:top w:val="nil"/>
              <w:left w:val="nil"/>
              <w:bottom w:val="nil"/>
              <w:right w:val="nil"/>
            </w:tcBorders>
            <w:shd w:val="clear" w:color="000000" w:fill="FFFFFF"/>
            <w:noWrap/>
            <w:vAlign w:val="bottom"/>
            <w:hideMark/>
          </w:tcPr>
          <w:p w14:paraId="401C6DE6"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990" w:type="dxa"/>
            <w:tcBorders>
              <w:top w:val="nil"/>
              <w:left w:val="nil"/>
              <w:bottom w:val="nil"/>
              <w:right w:val="nil"/>
            </w:tcBorders>
            <w:shd w:val="clear" w:color="000000" w:fill="FFFFFF"/>
            <w:noWrap/>
            <w:vAlign w:val="bottom"/>
            <w:hideMark/>
          </w:tcPr>
          <w:p w14:paraId="1DB0DF3B"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990" w:type="dxa"/>
            <w:tcBorders>
              <w:top w:val="nil"/>
              <w:left w:val="nil"/>
              <w:bottom w:val="nil"/>
              <w:right w:val="nil"/>
            </w:tcBorders>
            <w:shd w:val="clear" w:color="000000" w:fill="FFFFFF"/>
            <w:noWrap/>
            <w:vAlign w:val="bottom"/>
            <w:hideMark/>
          </w:tcPr>
          <w:p w14:paraId="2570A9A2"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1298" w:type="dxa"/>
            <w:tcBorders>
              <w:top w:val="nil"/>
              <w:left w:val="nil"/>
              <w:bottom w:val="nil"/>
              <w:right w:val="nil"/>
            </w:tcBorders>
            <w:shd w:val="clear" w:color="000000" w:fill="FFFFFF"/>
            <w:noWrap/>
            <w:vAlign w:val="bottom"/>
            <w:hideMark/>
          </w:tcPr>
          <w:p w14:paraId="6E288577"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998" w:type="dxa"/>
            <w:tcBorders>
              <w:top w:val="nil"/>
              <w:left w:val="nil"/>
              <w:bottom w:val="nil"/>
              <w:right w:val="nil"/>
            </w:tcBorders>
            <w:shd w:val="clear" w:color="000000" w:fill="FFFFFF"/>
            <w:noWrap/>
            <w:vAlign w:val="bottom"/>
            <w:hideMark/>
          </w:tcPr>
          <w:p w14:paraId="2395095D"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990" w:type="dxa"/>
            <w:tcBorders>
              <w:top w:val="nil"/>
              <w:left w:val="nil"/>
              <w:bottom w:val="nil"/>
              <w:right w:val="nil"/>
            </w:tcBorders>
            <w:shd w:val="clear" w:color="000000" w:fill="FFFFFF"/>
            <w:noWrap/>
            <w:vAlign w:val="bottom"/>
            <w:hideMark/>
          </w:tcPr>
          <w:p w14:paraId="2794F440"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c>
          <w:tcPr>
            <w:tcW w:w="1214" w:type="dxa"/>
            <w:tcBorders>
              <w:top w:val="nil"/>
              <w:left w:val="nil"/>
              <w:bottom w:val="nil"/>
              <w:right w:val="nil"/>
            </w:tcBorders>
            <w:shd w:val="clear" w:color="000000" w:fill="FFFFFF"/>
            <w:noWrap/>
            <w:vAlign w:val="bottom"/>
            <w:hideMark/>
          </w:tcPr>
          <w:p w14:paraId="186B0F53" w14:textId="77777777" w:rsidR="00DE5CB9" w:rsidRPr="00DE5CB9" w:rsidRDefault="00DE5CB9" w:rsidP="00DE5CB9">
            <w:pPr>
              <w:rPr>
                <w:rFonts w:ascii="Calibri" w:eastAsia="Times New Roman" w:hAnsi="Calibri" w:cs="Calibri"/>
                <w:color w:val="000000"/>
              </w:rPr>
            </w:pPr>
            <w:r w:rsidRPr="00DE5CB9">
              <w:rPr>
                <w:rFonts w:ascii="Calibri" w:eastAsia="Times New Roman" w:hAnsi="Calibri" w:cs="Calibri"/>
                <w:color w:val="000000"/>
              </w:rPr>
              <w:t> </w:t>
            </w:r>
          </w:p>
        </w:tc>
      </w:tr>
    </w:tbl>
    <w:p w14:paraId="56AFD49A" w14:textId="77777777" w:rsidR="00DD1612" w:rsidRPr="00F54559" w:rsidRDefault="00DD1612" w:rsidP="00A504DA">
      <w:pPr>
        <w:tabs>
          <w:tab w:val="left" w:pos="0"/>
          <w:tab w:val="left" w:pos="90"/>
          <w:tab w:val="decimal" w:pos="6786"/>
          <w:tab w:val="decimal" w:pos="9079"/>
        </w:tabs>
        <w:suppressAutoHyphens/>
        <w:spacing w:before="120"/>
        <w:rPr>
          <w:rFonts w:eastAsia="Times New Roman" w:cstheme="minorHAnsi"/>
          <w:bCs/>
          <w:spacing w:val="-3"/>
          <w:sz w:val="24"/>
        </w:rPr>
      </w:pPr>
      <w:r w:rsidRPr="00F54559">
        <w:rPr>
          <w:rFonts w:eastAsia="Times New Roman" w:cstheme="minorHAnsi"/>
          <w:bCs/>
          <w:spacing w:val="-3"/>
          <w:sz w:val="24"/>
        </w:rPr>
        <w:t>In accordance with GASB Statement No. 35, grants receivable related to the acquisition of capital assets is reported as a noncurrent receivable even though collection is expected within the next twelve months.</w:t>
      </w:r>
    </w:p>
    <w:p w14:paraId="327C08CA" w14:textId="77777777" w:rsidR="00DD1612" w:rsidRPr="00F54559" w:rsidRDefault="00DD1612" w:rsidP="00B64C2B">
      <w:pPr>
        <w:pStyle w:val="AFR2"/>
        <w:spacing w:before="240"/>
        <w:rPr>
          <w:rFonts w:cstheme="minorHAnsi"/>
          <w:sz w:val="26"/>
          <w:szCs w:val="26"/>
        </w:rPr>
      </w:pPr>
      <w:r w:rsidRPr="00F54559">
        <w:rPr>
          <w:rFonts w:cstheme="minorHAnsi"/>
          <w:sz w:val="26"/>
          <w:szCs w:val="26"/>
        </w:rPr>
        <w:t xml:space="preserve">5. </w:t>
      </w:r>
      <w:r w:rsidRPr="00AC43BF">
        <w:rPr>
          <w:rFonts w:cstheme="minorHAnsi"/>
          <w:sz w:val="26"/>
          <w:szCs w:val="26"/>
        </w:rPr>
        <w:t>NOTES AND LEASES RECEIVABLE</w:t>
      </w:r>
    </w:p>
    <w:p w14:paraId="4D4158A7" w14:textId="445313CD" w:rsidR="006267D0" w:rsidRPr="00A504DA" w:rsidRDefault="00DD1612" w:rsidP="00316B2A">
      <w:pPr>
        <w:tabs>
          <w:tab w:val="left" w:pos="720"/>
          <w:tab w:val="left" w:pos="1022"/>
          <w:tab w:val="left" w:pos="1440"/>
        </w:tabs>
        <w:suppressAutoHyphens/>
        <w:spacing w:after="120"/>
        <w:rPr>
          <w:rFonts w:cstheme="minorHAnsi"/>
          <w:sz w:val="16"/>
          <w:szCs w:val="12"/>
        </w:rPr>
      </w:pPr>
      <w:r w:rsidRPr="00F54559">
        <w:rPr>
          <w:rFonts w:cstheme="minorHAnsi"/>
          <w:bCs/>
          <w:spacing w:val="-3"/>
          <w:sz w:val="24"/>
        </w:rPr>
        <w:t>Notes and leases receivable include the following at June 30:</w:t>
      </w:r>
    </w:p>
    <w:tbl>
      <w:tblPr>
        <w:tblW w:w="9603" w:type="dxa"/>
        <w:tblLook w:val="04A0" w:firstRow="1" w:lastRow="0" w:firstColumn="1" w:lastColumn="0" w:noHBand="0" w:noVBand="1"/>
      </w:tblPr>
      <w:tblGrid>
        <w:gridCol w:w="2970"/>
        <w:gridCol w:w="960"/>
        <w:gridCol w:w="993"/>
        <w:gridCol w:w="1350"/>
        <w:gridCol w:w="1010"/>
        <w:gridCol w:w="970"/>
        <w:gridCol w:w="1350"/>
      </w:tblGrid>
      <w:tr w:rsidR="006267D0" w:rsidRPr="006267D0" w14:paraId="317A8D7F" w14:textId="77777777" w:rsidTr="00A504DA">
        <w:trPr>
          <w:trHeight w:val="315"/>
        </w:trPr>
        <w:tc>
          <w:tcPr>
            <w:tcW w:w="2970" w:type="dxa"/>
            <w:tcBorders>
              <w:top w:val="nil"/>
              <w:left w:val="nil"/>
              <w:bottom w:val="single" w:sz="12" w:space="0" w:color="00688D"/>
              <w:right w:val="nil"/>
            </w:tcBorders>
            <w:shd w:val="clear" w:color="auto" w:fill="auto"/>
            <w:noWrap/>
            <w:vAlign w:val="bottom"/>
            <w:hideMark/>
          </w:tcPr>
          <w:p w14:paraId="5EF2CB05" w14:textId="77777777" w:rsidR="006267D0" w:rsidRPr="006267D0" w:rsidRDefault="006267D0" w:rsidP="006267D0">
            <w:pP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 </w:t>
            </w:r>
          </w:p>
        </w:tc>
        <w:tc>
          <w:tcPr>
            <w:tcW w:w="3300" w:type="dxa"/>
            <w:gridSpan w:val="3"/>
            <w:tcBorders>
              <w:top w:val="nil"/>
              <w:left w:val="nil"/>
              <w:bottom w:val="single" w:sz="12" w:space="0" w:color="00688D"/>
              <w:right w:val="nil"/>
            </w:tcBorders>
            <w:shd w:val="clear" w:color="auto" w:fill="auto"/>
            <w:noWrap/>
            <w:vAlign w:val="bottom"/>
            <w:hideMark/>
          </w:tcPr>
          <w:p w14:paraId="2363732F"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2023</w:t>
            </w:r>
          </w:p>
        </w:tc>
        <w:tc>
          <w:tcPr>
            <w:tcW w:w="3330" w:type="dxa"/>
            <w:gridSpan w:val="3"/>
            <w:tcBorders>
              <w:top w:val="nil"/>
              <w:left w:val="nil"/>
              <w:bottom w:val="single" w:sz="12" w:space="0" w:color="00688D"/>
              <w:right w:val="nil"/>
            </w:tcBorders>
            <w:shd w:val="clear" w:color="auto" w:fill="F2F2F2" w:themeFill="background1" w:themeFillShade="F2"/>
            <w:noWrap/>
            <w:vAlign w:val="bottom"/>
            <w:hideMark/>
          </w:tcPr>
          <w:p w14:paraId="394688EC"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2022</w:t>
            </w:r>
          </w:p>
        </w:tc>
      </w:tr>
      <w:tr w:rsidR="006267D0" w:rsidRPr="006267D0" w14:paraId="7ADAE791" w14:textId="77777777" w:rsidTr="00A504DA">
        <w:trPr>
          <w:trHeight w:val="810"/>
        </w:trPr>
        <w:tc>
          <w:tcPr>
            <w:tcW w:w="2970" w:type="dxa"/>
            <w:tcBorders>
              <w:top w:val="nil"/>
              <w:left w:val="nil"/>
              <w:bottom w:val="single" w:sz="12" w:space="0" w:color="00688D"/>
              <w:right w:val="nil"/>
            </w:tcBorders>
            <w:shd w:val="clear" w:color="auto" w:fill="auto"/>
            <w:noWrap/>
            <w:vAlign w:val="bottom"/>
            <w:hideMark/>
          </w:tcPr>
          <w:p w14:paraId="26601EAA" w14:textId="77777777" w:rsidR="006267D0" w:rsidRPr="006267D0" w:rsidRDefault="006267D0" w:rsidP="006267D0">
            <w:pP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 </w:t>
            </w:r>
          </w:p>
        </w:tc>
        <w:tc>
          <w:tcPr>
            <w:tcW w:w="960" w:type="dxa"/>
            <w:tcBorders>
              <w:top w:val="nil"/>
              <w:left w:val="nil"/>
              <w:bottom w:val="single" w:sz="12" w:space="0" w:color="00688D"/>
              <w:right w:val="nil"/>
            </w:tcBorders>
            <w:shd w:val="clear" w:color="auto" w:fill="auto"/>
            <w:noWrap/>
            <w:vAlign w:val="bottom"/>
            <w:hideMark/>
          </w:tcPr>
          <w:p w14:paraId="5085187A"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Total</w:t>
            </w:r>
          </w:p>
        </w:tc>
        <w:tc>
          <w:tcPr>
            <w:tcW w:w="993" w:type="dxa"/>
            <w:tcBorders>
              <w:top w:val="nil"/>
              <w:left w:val="nil"/>
              <w:bottom w:val="single" w:sz="12" w:space="0" w:color="00688D"/>
              <w:right w:val="nil"/>
            </w:tcBorders>
            <w:shd w:val="clear" w:color="auto" w:fill="auto"/>
            <w:vAlign w:val="bottom"/>
            <w:hideMark/>
          </w:tcPr>
          <w:p w14:paraId="1D08ED6B"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Current</w:t>
            </w:r>
            <w:r w:rsidRPr="006267D0">
              <w:rPr>
                <w:rFonts w:ascii="Calibri" w:eastAsia="Times New Roman" w:hAnsi="Calibri" w:cs="Calibri"/>
                <w:b/>
                <w:bCs/>
                <w:color w:val="0D0D0D"/>
                <w:sz w:val="20"/>
                <w:szCs w:val="20"/>
              </w:rPr>
              <w:br/>
              <w:t>Portion</w:t>
            </w:r>
          </w:p>
        </w:tc>
        <w:tc>
          <w:tcPr>
            <w:tcW w:w="1350" w:type="dxa"/>
            <w:tcBorders>
              <w:top w:val="nil"/>
              <w:left w:val="nil"/>
              <w:bottom w:val="single" w:sz="12" w:space="0" w:color="00688D"/>
              <w:right w:val="nil"/>
            </w:tcBorders>
            <w:shd w:val="clear" w:color="auto" w:fill="auto"/>
            <w:vAlign w:val="bottom"/>
            <w:hideMark/>
          </w:tcPr>
          <w:p w14:paraId="7A88E754"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 xml:space="preserve">Noncurrent </w:t>
            </w:r>
            <w:r w:rsidRPr="006267D0">
              <w:rPr>
                <w:rFonts w:ascii="Calibri" w:eastAsia="Times New Roman" w:hAnsi="Calibri" w:cs="Calibri"/>
                <w:b/>
                <w:bCs/>
                <w:color w:val="0D0D0D"/>
                <w:sz w:val="20"/>
                <w:szCs w:val="20"/>
              </w:rPr>
              <w:br/>
              <w:t>Portion</w:t>
            </w:r>
          </w:p>
        </w:tc>
        <w:tc>
          <w:tcPr>
            <w:tcW w:w="1010" w:type="dxa"/>
            <w:tcBorders>
              <w:top w:val="nil"/>
              <w:left w:val="nil"/>
              <w:bottom w:val="single" w:sz="12" w:space="0" w:color="00688D"/>
              <w:right w:val="nil"/>
            </w:tcBorders>
            <w:shd w:val="clear" w:color="auto" w:fill="F2F2F2" w:themeFill="background1" w:themeFillShade="F2"/>
            <w:noWrap/>
            <w:vAlign w:val="bottom"/>
            <w:hideMark/>
          </w:tcPr>
          <w:p w14:paraId="711F69F7"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Total</w:t>
            </w:r>
          </w:p>
        </w:tc>
        <w:tc>
          <w:tcPr>
            <w:tcW w:w="970" w:type="dxa"/>
            <w:tcBorders>
              <w:top w:val="nil"/>
              <w:left w:val="nil"/>
              <w:bottom w:val="single" w:sz="12" w:space="0" w:color="00688D"/>
              <w:right w:val="nil"/>
            </w:tcBorders>
            <w:shd w:val="clear" w:color="auto" w:fill="F2F2F2" w:themeFill="background1" w:themeFillShade="F2"/>
            <w:vAlign w:val="bottom"/>
            <w:hideMark/>
          </w:tcPr>
          <w:p w14:paraId="5D310AA9"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Current</w:t>
            </w:r>
            <w:r w:rsidRPr="006267D0">
              <w:rPr>
                <w:rFonts w:ascii="Calibri" w:eastAsia="Times New Roman" w:hAnsi="Calibri" w:cs="Calibri"/>
                <w:b/>
                <w:bCs/>
                <w:color w:val="0D0D0D"/>
                <w:sz w:val="20"/>
                <w:szCs w:val="20"/>
              </w:rPr>
              <w:br/>
              <w:t>Portion</w:t>
            </w:r>
          </w:p>
        </w:tc>
        <w:tc>
          <w:tcPr>
            <w:tcW w:w="1350" w:type="dxa"/>
            <w:tcBorders>
              <w:top w:val="nil"/>
              <w:left w:val="nil"/>
              <w:bottom w:val="single" w:sz="12" w:space="0" w:color="00688D"/>
              <w:right w:val="nil"/>
            </w:tcBorders>
            <w:shd w:val="clear" w:color="auto" w:fill="F2F2F2" w:themeFill="background1" w:themeFillShade="F2"/>
            <w:vAlign w:val="bottom"/>
            <w:hideMark/>
          </w:tcPr>
          <w:p w14:paraId="3D72DED2" w14:textId="77777777" w:rsidR="006267D0" w:rsidRPr="006267D0" w:rsidRDefault="006267D0" w:rsidP="006267D0">
            <w:pPr>
              <w:jc w:val="center"/>
              <w:rPr>
                <w:rFonts w:ascii="Calibri" w:eastAsia="Times New Roman" w:hAnsi="Calibri" w:cs="Calibri"/>
                <w:b/>
                <w:bCs/>
                <w:color w:val="0D0D0D"/>
                <w:sz w:val="20"/>
                <w:szCs w:val="20"/>
              </w:rPr>
            </w:pPr>
            <w:r w:rsidRPr="006267D0">
              <w:rPr>
                <w:rFonts w:ascii="Calibri" w:eastAsia="Times New Roman" w:hAnsi="Calibri" w:cs="Calibri"/>
                <w:b/>
                <w:bCs/>
                <w:color w:val="0D0D0D"/>
                <w:sz w:val="20"/>
                <w:szCs w:val="20"/>
              </w:rPr>
              <w:t xml:space="preserve">Noncurrent </w:t>
            </w:r>
            <w:r w:rsidRPr="006267D0">
              <w:rPr>
                <w:rFonts w:ascii="Calibri" w:eastAsia="Times New Roman" w:hAnsi="Calibri" w:cs="Calibri"/>
                <w:b/>
                <w:bCs/>
                <w:color w:val="0D0D0D"/>
                <w:sz w:val="20"/>
                <w:szCs w:val="20"/>
              </w:rPr>
              <w:br/>
              <w:t>Portion</w:t>
            </w:r>
          </w:p>
        </w:tc>
      </w:tr>
      <w:tr w:rsidR="006267D0" w:rsidRPr="006267D0" w14:paraId="287AE7E3" w14:textId="77777777" w:rsidTr="00A504DA">
        <w:trPr>
          <w:trHeight w:val="315"/>
        </w:trPr>
        <w:tc>
          <w:tcPr>
            <w:tcW w:w="2970" w:type="dxa"/>
            <w:tcBorders>
              <w:top w:val="nil"/>
              <w:left w:val="nil"/>
              <w:bottom w:val="nil"/>
              <w:right w:val="nil"/>
            </w:tcBorders>
            <w:shd w:val="clear" w:color="auto" w:fill="auto"/>
            <w:noWrap/>
            <w:vAlign w:val="bottom"/>
            <w:hideMark/>
          </w:tcPr>
          <w:p w14:paraId="3AF2983E" w14:textId="77777777" w:rsidR="006267D0" w:rsidRPr="006267D0" w:rsidRDefault="006267D0" w:rsidP="006267D0">
            <w:pPr>
              <w:jc w:val="center"/>
              <w:rPr>
                <w:rFonts w:ascii="Calibri" w:eastAsia="Times New Roman" w:hAnsi="Calibri" w:cs="Calibri"/>
                <w:b/>
                <w:bCs/>
                <w:color w:val="0D0D0D"/>
                <w:sz w:val="20"/>
                <w:szCs w:val="20"/>
              </w:rPr>
            </w:pPr>
          </w:p>
        </w:tc>
        <w:tc>
          <w:tcPr>
            <w:tcW w:w="960" w:type="dxa"/>
            <w:tcBorders>
              <w:top w:val="nil"/>
              <w:left w:val="nil"/>
              <w:bottom w:val="nil"/>
              <w:right w:val="nil"/>
            </w:tcBorders>
            <w:shd w:val="clear" w:color="auto" w:fill="auto"/>
            <w:noWrap/>
            <w:vAlign w:val="bottom"/>
            <w:hideMark/>
          </w:tcPr>
          <w:p w14:paraId="07C75207" w14:textId="77777777" w:rsidR="006267D0" w:rsidRPr="006267D0" w:rsidRDefault="006267D0" w:rsidP="006267D0">
            <w:pP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04A27F4F" w14:textId="77777777" w:rsidR="006267D0" w:rsidRPr="006267D0" w:rsidRDefault="006267D0" w:rsidP="006267D0">
            <w:pPr>
              <w:jc w:val="right"/>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68FAA5FB" w14:textId="77777777" w:rsidR="006267D0" w:rsidRPr="006267D0" w:rsidRDefault="006267D0" w:rsidP="006267D0">
            <w:pPr>
              <w:jc w:val="right"/>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F2F2F2" w:themeFill="background1" w:themeFillShade="F2"/>
            <w:noWrap/>
            <w:vAlign w:val="bottom"/>
            <w:hideMark/>
          </w:tcPr>
          <w:p w14:paraId="72BE756F" w14:textId="77777777"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w:t>
            </w:r>
          </w:p>
        </w:tc>
        <w:tc>
          <w:tcPr>
            <w:tcW w:w="970" w:type="dxa"/>
            <w:tcBorders>
              <w:top w:val="nil"/>
              <w:left w:val="nil"/>
              <w:bottom w:val="nil"/>
              <w:right w:val="nil"/>
            </w:tcBorders>
            <w:shd w:val="clear" w:color="auto" w:fill="F2F2F2" w:themeFill="background1" w:themeFillShade="F2"/>
            <w:noWrap/>
            <w:vAlign w:val="bottom"/>
            <w:hideMark/>
          </w:tcPr>
          <w:p w14:paraId="0FAC08B5" w14:textId="77777777"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w:t>
            </w:r>
          </w:p>
        </w:tc>
        <w:tc>
          <w:tcPr>
            <w:tcW w:w="1350" w:type="dxa"/>
            <w:tcBorders>
              <w:top w:val="nil"/>
              <w:left w:val="nil"/>
              <w:bottom w:val="nil"/>
              <w:right w:val="nil"/>
            </w:tcBorders>
            <w:shd w:val="clear" w:color="auto" w:fill="F2F2F2" w:themeFill="background1" w:themeFillShade="F2"/>
            <w:noWrap/>
            <w:vAlign w:val="bottom"/>
            <w:hideMark/>
          </w:tcPr>
          <w:p w14:paraId="55D6B216" w14:textId="77777777"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w:t>
            </w:r>
          </w:p>
        </w:tc>
      </w:tr>
      <w:tr w:rsidR="006267D0" w:rsidRPr="006267D0" w14:paraId="1B2C5690" w14:textId="77777777" w:rsidTr="00A504DA">
        <w:trPr>
          <w:trHeight w:val="300"/>
        </w:trPr>
        <w:tc>
          <w:tcPr>
            <w:tcW w:w="2970" w:type="dxa"/>
            <w:tcBorders>
              <w:top w:val="nil"/>
              <w:left w:val="nil"/>
              <w:bottom w:val="nil"/>
              <w:right w:val="nil"/>
            </w:tcBorders>
            <w:shd w:val="clear" w:color="auto" w:fill="auto"/>
            <w:noWrap/>
            <w:vAlign w:val="bottom"/>
            <w:hideMark/>
          </w:tcPr>
          <w:p w14:paraId="0E1EA68A"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Perkins loans</w:t>
            </w:r>
          </w:p>
        </w:tc>
        <w:tc>
          <w:tcPr>
            <w:tcW w:w="960" w:type="dxa"/>
            <w:tcBorders>
              <w:top w:val="nil"/>
              <w:left w:val="nil"/>
              <w:bottom w:val="nil"/>
              <w:right w:val="nil"/>
            </w:tcBorders>
            <w:shd w:val="clear" w:color="auto" w:fill="auto"/>
            <w:noWrap/>
            <w:vAlign w:val="bottom"/>
            <w:hideMark/>
          </w:tcPr>
          <w:p w14:paraId="48E7C304" w14:textId="6DFF17A6"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$ 6,624</w:t>
            </w:r>
          </w:p>
        </w:tc>
        <w:tc>
          <w:tcPr>
            <w:tcW w:w="993" w:type="dxa"/>
            <w:tcBorders>
              <w:top w:val="nil"/>
              <w:left w:val="nil"/>
              <w:bottom w:val="nil"/>
              <w:right w:val="nil"/>
            </w:tcBorders>
            <w:shd w:val="clear" w:color="auto" w:fill="auto"/>
            <w:noWrap/>
            <w:vAlign w:val="bottom"/>
            <w:hideMark/>
          </w:tcPr>
          <w:p w14:paraId="7E3143D8" w14:textId="09BF007E"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w:t>
            </w:r>
            <w:r w:rsidRPr="006267D0">
              <w:rPr>
                <w:rFonts w:ascii="Calibri" w:eastAsia="Times New Roman" w:hAnsi="Calibri" w:cs="Calibri"/>
                <w:color w:val="000000"/>
                <w:sz w:val="20"/>
                <w:szCs w:val="20"/>
              </w:rPr>
              <w:t>-</w:t>
            </w:r>
          </w:p>
        </w:tc>
        <w:tc>
          <w:tcPr>
            <w:tcW w:w="1350" w:type="dxa"/>
            <w:tcBorders>
              <w:top w:val="nil"/>
              <w:left w:val="nil"/>
              <w:bottom w:val="nil"/>
              <w:right w:val="nil"/>
            </w:tcBorders>
            <w:shd w:val="clear" w:color="auto" w:fill="auto"/>
            <w:noWrap/>
            <w:vAlign w:val="bottom"/>
            <w:hideMark/>
          </w:tcPr>
          <w:p w14:paraId="4304BC0A" w14:textId="60EFA93E"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  6,624</w:t>
            </w:r>
          </w:p>
        </w:tc>
        <w:tc>
          <w:tcPr>
            <w:tcW w:w="1010" w:type="dxa"/>
            <w:tcBorders>
              <w:top w:val="nil"/>
              <w:left w:val="nil"/>
              <w:bottom w:val="nil"/>
              <w:right w:val="nil"/>
            </w:tcBorders>
            <w:shd w:val="clear" w:color="auto" w:fill="F2F2F2" w:themeFill="background1" w:themeFillShade="F2"/>
            <w:noWrap/>
            <w:vAlign w:val="bottom"/>
            <w:hideMark/>
          </w:tcPr>
          <w:p w14:paraId="27AEAE2A" w14:textId="2C58A5BE"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$10,422</w:t>
            </w:r>
          </w:p>
        </w:tc>
        <w:tc>
          <w:tcPr>
            <w:tcW w:w="970" w:type="dxa"/>
            <w:tcBorders>
              <w:top w:val="nil"/>
              <w:left w:val="nil"/>
              <w:bottom w:val="nil"/>
              <w:right w:val="nil"/>
            </w:tcBorders>
            <w:shd w:val="clear" w:color="auto" w:fill="F2F2F2" w:themeFill="background1" w:themeFillShade="F2"/>
            <w:noWrap/>
            <w:vAlign w:val="bottom"/>
            <w:hideMark/>
          </w:tcPr>
          <w:p w14:paraId="735C55A0" w14:textId="6FDBFE57"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xml:space="preserve">$  </w:t>
            </w:r>
            <w:r>
              <w:rPr>
                <w:rFonts w:ascii="Calibri" w:eastAsia="Times New Roman" w:hAnsi="Calibri" w:cs="Calibri"/>
                <w:color w:val="0D0D0D"/>
                <w:sz w:val="20"/>
                <w:szCs w:val="20"/>
              </w:rPr>
              <w:t xml:space="preserve">  </w:t>
            </w:r>
            <w:r w:rsidRPr="006267D0">
              <w:rPr>
                <w:rFonts w:ascii="Calibri" w:eastAsia="Times New Roman" w:hAnsi="Calibri" w:cs="Calibri"/>
                <w:color w:val="0D0D0D"/>
                <w:sz w:val="20"/>
                <w:szCs w:val="20"/>
              </w:rPr>
              <w:t>-</w:t>
            </w:r>
          </w:p>
        </w:tc>
        <w:tc>
          <w:tcPr>
            <w:tcW w:w="1350" w:type="dxa"/>
            <w:tcBorders>
              <w:top w:val="nil"/>
              <w:left w:val="nil"/>
              <w:bottom w:val="nil"/>
              <w:right w:val="nil"/>
            </w:tcBorders>
            <w:shd w:val="clear" w:color="auto" w:fill="F2F2F2" w:themeFill="background1" w:themeFillShade="F2"/>
            <w:noWrap/>
            <w:vAlign w:val="bottom"/>
            <w:hideMark/>
          </w:tcPr>
          <w:p w14:paraId="384DC932" w14:textId="05BAC140"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$10,422</w:t>
            </w:r>
          </w:p>
        </w:tc>
      </w:tr>
      <w:tr w:rsidR="006267D0" w:rsidRPr="006267D0" w14:paraId="388DE771" w14:textId="77777777" w:rsidTr="00A504DA">
        <w:trPr>
          <w:trHeight w:val="300"/>
        </w:trPr>
        <w:tc>
          <w:tcPr>
            <w:tcW w:w="2970" w:type="dxa"/>
            <w:tcBorders>
              <w:top w:val="nil"/>
              <w:left w:val="nil"/>
              <w:bottom w:val="nil"/>
              <w:right w:val="nil"/>
            </w:tcBorders>
            <w:shd w:val="clear" w:color="auto" w:fill="auto"/>
            <w:noWrap/>
            <w:vAlign w:val="bottom"/>
            <w:hideMark/>
          </w:tcPr>
          <w:p w14:paraId="0F018C29"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Nursing loans</w:t>
            </w:r>
          </w:p>
        </w:tc>
        <w:tc>
          <w:tcPr>
            <w:tcW w:w="960" w:type="dxa"/>
            <w:tcBorders>
              <w:top w:val="nil"/>
              <w:left w:val="nil"/>
              <w:bottom w:val="nil"/>
              <w:right w:val="nil"/>
            </w:tcBorders>
            <w:shd w:val="clear" w:color="auto" w:fill="auto"/>
            <w:noWrap/>
            <w:vAlign w:val="bottom"/>
            <w:hideMark/>
          </w:tcPr>
          <w:p w14:paraId="496ABD10" w14:textId="24B73364"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2,025</w:t>
            </w:r>
          </w:p>
        </w:tc>
        <w:tc>
          <w:tcPr>
            <w:tcW w:w="993" w:type="dxa"/>
            <w:tcBorders>
              <w:top w:val="nil"/>
              <w:left w:val="nil"/>
              <w:bottom w:val="nil"/>
              <w:right w:val="nil"/>
            </w:tcBorders>
            <w:shd w:val="clear" w:color="auto" w:fill="auto"/>
            <w:noWrap/>
            <w:vAlign w:val="bottom"/>
            <w:hideMark/>
          </w:tcPr>
          <w:p w14:paraId="1EE3E32F" w14:textId="294EF9AA" w:rsidR="006267D0" w:rsidRPr="00A504DA" w:rsidRDefault="006267D0" w:rsidP="006267D0">
            <w:pPr>
              <w:jc w:val="right"/>
              <w:rPr>
                <w:rFonts w:ascii="Calibri" w:eastAsia="Times New Roman" w:hAnsi="Calibri" w:cs="Calibri"/>
                <w:color w:val="000000" w:themeColor="text1"/>
                <w:sz w:val="20"/>
                <w:szCs w:val="20"/>
              </w:rPr>
            </w:pPr>
            <w:r w:rsidRPr="00A504DA">
              <w:rPr>
                <w:rFonts w:ascii="Calibri" w:eastAsia="Times New Roman" w:hAnsi="Calibri" w:cs="Calibri"/>
                <w:color w:val="000000" w:themeColor="text1"/>
                <w:sz w:val="20"/>
                <w:szCs w:val="20"/>
              </w:rPr>
              <w:t>-</w:t>
            </w:r>
          </w:p>
        </w:tc>
        <w:tc>
          <w:tcPr>
            <w:tcW w:w="1350" w:type="dxa"/>
            <w:tcBorders>
              <w:top w:val="nil"/>
              <w:left w:val="nil"/>
              <w:bottom w:val="nil"/>
              <w:right w:val="nil"/>
            </w:tcBorders>
            <w:shd w:val="clear" w:color="auto" w:fill="auto"/>
            <w:noWrap/>
            <w:vAlign w:val="bottom"/>
            <w:hideMark/>
          </w:tcPr>
          <w:p w14:paraId="278F49C8" w14:textId="6EC2782A"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2,025</w:t>
            </w:r>
          </w:p>
        </w:tc>
        <w:tc>
          <w:tcPr>
            <w:tcW w:w="1010" w:type="dxa"/>
            <w:tcBorders>
              <w:top w:val="nil"/>
              <w:left w:val="nil"/>
              <w:bottom w:val="nil"/>
              <w:right w:val="nil"/>
            </w:tcBorders>
            <w:shd w:val="clear" w:color="auto" w:fill="F2F2F2" w:themeFill="background1" w:themeFillShade="F2"/>
            <w:noWrap/>
            <w:vAlign w:val="bottom"/>
            <w:hideMark/>
          </w:tcPr>
          <w:p w14:paraId="3F0E50FA" w14:textId="469AF50C"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2,095</w:t>
            </w:r>
          </w:p>
        </w:tc>
        <w:tc>
          <w:tcPr>
            <w:tcW w:w="970" w:type="dxa"/>
            <w:tcBorders>
              <w:top w:val="nil"/>
              <w:left w:val="nil"/>
              <w:bottom w:val="nil"/>
              <w:right w:val="nil"/>
            </w:tcBorders>
            <w:shd w:val="clear" w:color="auto" w:fill="F2F2F2" w:themeFill="background1" w:themeFillShade="F2"/>
            <w:noWrap/>
            <w:vAlign w:val="bottom"/>
            <w:hideMark/>
          </w:tcPr>
          <w:p w14:paraId="23456010" w14:textId="16D8317A"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w:t>
            </w:r>
          </w:p>
        </w:tc>
        <w:tc>
          <w:tcPr>
            <w:tcW w:w="1350" w:type="dxa"/>
            <w:tcBorders>
              <w:top w:val="nil"/>
              <w:left w:val="nil"/>
              <w:bottom w:val="nil"/>
              <w:right w:val="nil"/>
            </w:tcBorders>
            <w:shd w:val="clear" w:color="auto" w:fill="F2F2F2" w:themeFill="background1" w:themeFillShade="F2"/>
            <w:noWrap/>
            <w:vAlign w:val="bottom"/>
            <w:hideMark/>
          </w:tcPr>
          <w:p w14:paraId="3783061A" w14:textId="4A986E60"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2,095</w:t>
            </w:r>
          </w:p>
        </w:tc>
      </w:tr>
      <w:tr w:rsidR="006267D0" w:rsidRPr="006267D0" w14:paraId="28959341" w14:textId="77777777" w:rsidTr="00A504DA">
        <w:trPr>
          <w:trHeight w:val="300"/>
        </w:trPr>
        <w:tc>
          <w:tcPr>
            <w:tcW w:w="2970" w:type="dxa"/>
            <w:tcBorders>
              <w:top w:val="nil"/>
              <w:left w:val="nil"/>
              <w:bottom w:val="nil"/>
              <w:right w:val="nil"/>
            </w:tcBorders>
            <w:shd w:val="clear" w:color="auto" w:fill="auto"/>
            <w:noWrap/>
            <w:vAlign w:val="bottom"/>
            <w:hideMark/>
          </w:tcPr>
          <w:p w14:paraId="36F4A548"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Institutional loans</w:t>
            </w:r>
          </w:p>
        </w:tc>
        <w:tc>
          <w:tcPr>
            <w:tcW w:w="960" w:type="dxa"/>
            <w:tcBorders>
              <w:top w:val="nil"/>
              <w:left w:val="nil"/>
              <w:bottom w:val="nil"/>
              <w:right w:val="nil"/>
            </w:tcBorders>
            <w:shd w:val="clear" w:color="auto" w:fill="auto"/>
            <w:noWrap/>
            <w:vAlign w:val="bottom"/>
            <w:hideMark/>
          </w:tcPr>
          <w:p w14:paraId="62757CB7" w14:textId="2D94E7B7"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11,621</w:t>
            </w:r>
          </w:p>
        </w:tc>
        <w:tc>
          <w:tcPr>
            <w:tcW w:w="993" w:type="dxa"/>
            <w:tcBorders>
              <w:top w:val="nil"/>
              <w:left w:val="nil"/>
              <w:bottom w:val="nil"/>
              <w:right w:val="nil"/>
            </w:tcBorders>
            <w:shd w:val="clear" w:color="auto" w:fill="auto"/>
            <w:noWrap/>
            <w:vAlign w:val="bottom"/>
            <w:hideMark/>
          </w:tcPr>
          <w:p w14:paraId="503E7636" w14:textId="385940E7" w:rsidR="006267D0" w:rsidRPr="00A504DA" w:rsidRDefault="006267D0" w:rsidP="006267D0">
            <w:pPr>
              <w:jc w:val="right"/>
              <w:rPr>
                <w:rFonts w:ascii="Calibri" w:eastAsia="Times New Roman" w:hAnsi="Calibri" w:cs="Calibri"/>
                <w:color w:val="000000" w:themeColor="text1"/>
                <w:sz w:val="20"/>
                <w:szCs w:val="20"/>
              </w:rPr>
            </w:pPr>
            <w:r w:rsidRPr="00A504DA">
              <w:rPr>
                <w:rFonts w:ascii="Calibri" w:eastAsia="Times New Roman" w:hAnsi="Calibri" w:cs="Calibri"/>
                <w:color w:val="000000" w:themeColor="text1"/>
                <w:sz w:val="20"/>
                <w:szCs w:val="20"/>
              </w:rPr>
              <w:t>-</w:t>
            </w:r>
          </w:p>
        </w:tc>
        <w:tc>
          <w:tcPr>
            <w:tcW w:w="1350" w:type="dxa"/>
            <w:tcBorders>
              <w:top w:val="nil"/>
              <w:left w:val="nil"/>
              <w:bottom w:val="nil"/>
              <w:right w:val="nil"/>
            </w:tcBorders>
            <w:shd w:val="clear" w:color="auto" w:fill="auto"/>
            <w:noWrap/>
            <w:vAlign w:val="bottom"/>
            <w:hideMark/>
          </w:tcPr>
          <w:p w14:paraId="0749C785" w14:textId="7CE53515"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11,621</w:t>
            </w:r>
          </w:p>
        </w:tc>
        <w:tc>
          <w:tcPr>
            <w:tcW w:w="1010" w:type="dxa"/>
            <w:tcBorders>
              <w:top w:val="nil"/>
              <w:left w:val="nil"/>
              <w:bottom w:val="nil"/>
              <w:right w:val="nil"/>
            </w:tcBorders>
            <w:shd w:val="clear" w:color="auto" w:fill="F2F2F2" w:themeFill="background1" w:themeFillShade="F2"/>
            <w:noWrap/>
            <w:vAlign w:val="bottom"/>
            <w:hideMark/>
          </w:tcPr>
          <w:p w14:paraId="3477DAE3" w14:textId="0BFB7AFB"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11,121</w:t>
            </w:r>
          </w:p>
        </w:tc>
        <w:tc>
          <w:tcPr>
            <w:tcW w:w="970" w:type="dxa"/>
            <w:tcBorders>
              <w:top w:val="nil"/>
              <w:left w:val="nil"/>
              <w:bottom w:val="nil"/>
              <w:right w:val="nil"/>
            </w:tcBorders>
            <w:shd w:val="clear" w:color="auto" w:fill="F2F2F2" w:themeFill="background1" w:themeFillShade="F2"/>
            <w:noWrap/>
            <w:vAlign w:val="bottom"/>
            <w:hideMark/>
          </w:tcPr>
          <w:p w14:paraId="7514F853" w14:textId="1AD9A351"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w:t>
            </w:r>
          </w:p>
        </w:tc>
        <w:tc>
          <w:tcPr>
            <w:tcW w:w="1350" w:type="dxa"/>
            <w:tcBorders>
              <w:top w:val="nil"/>
              <w:left w:val="nil"/>
              <w:bottom w:val="nil"/>
              <w:right w:val="nil"/>
            </w:tcBorders>
            <w:shd w:val="clear" w:color="auto" w:fill="F2F2F2" w:themeFill="background1" w:themeFillShade="F2"/>
            <w:noWrap/>
            <w:vAlign w:val="bottom"/>
            <w:hideMark/>
          </w:tcPr>
          <w:p w14:paraId="40877B64" w14:textId="3822768D"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11,121</w:t>
            </w:r>
          </w:p>
        </w:tc>
      </w:tr>
      <w:tr w:rsidR="006267D0" w:rsidRPr="006267D0" w14:paraId="019B8E77" w14:textId="77777777" w:rsidTr="00A504DA">
        <w:trPr>
          <w:trHeight w:val="300"/>
        </w:trPr>
        <w:tc>
          <w:tcPr>
            <w:tcW w:w="2970" w:type="dxa"/>
            <w:tcBorders>
              <w:top w:val="nil"/>
              <w:left w:val="nil"/>
              <w:bottom w:val="single" w:sz="4" w:space="0" w:color="00688D"/>
              <w:right w:val="nil"/>
            </w:tcBorders>
            <w:shd w:val="clear" w:color="auto" w:fill="auto"/>
            <w:noWrap/>
            <w:vAlign w:val="bottom"/>
            <w:hideMark/>
          </w:tcPr>
          <w:p w14:paraId="0D3EFBFC"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 xml:space="preserve">Leases receivable </w:t>
            </w:r>
            <w:r w:rsidRPr="006267D0">
              <w:rPr>
                <w:rFonts w:ascii="Calibri" w:eastAsia="Times New Roman" w:hAnsi="Calibri" w:cs="Calibri"/>
                <w:b/>
                <w:bCs/>
                <w:color w:val="0D0D0D"/>
                <w:sz w:val="20"/>
                <w:szCs w:val="20"/>
              </w:rPr>
              <w:t>(a)</w:t>
            </w:r>
          </w:p>
        </w:tc>
        <w:tc>
          <w:tcPr>
            <w:tcW w:w="960" w:type="dxa"/>
            <w:tcBorders>
              <w:top w:val="nil"/>
              <w:left w:val="nil"/>
              <w:bottom w:val="single" w:sz="4" w:space="0" w:color="00688D"/>
              <w:right w:val="nil"/>
            </w:tcBorders>
            <w:shd w:val="clear" w:color="auto" w:fill="auto"/>
            <w:noWrap/>
            <w:vAlign w:val="bottom"/>
            <w:hideMark/>
          </w:tcPr>
          <w:p w14:paraId="44559E15" w14:textId="62490563" w:rsidR="006267D0" w:rsidRPr="006267D0" w:rsidRDefault="006267D0" w:rsidP="006267D0">
            <w:pPr>
              <w:jc w:val="right"/>
              <w:rPr>
                <w:rFonts w:ascii="Calibri" w:eastAsia="Times New Roman" w:hAnsi="Calibri" w:cs="Calibri"/>
                <w:sz w:val="20"/>
                <w:szCs w:val="20"/>
              </w:rPr>
            </w:pPr>
            <w:r w:rsidRPr="006267D0">
              <w:rPr>
                <w:rFonts w:ascii="Calibri" w:eastAsia="Times New Roman" w:hAnsi="Calibri" w:cs="Calibri"/>
                <w:sz w:val="20"/>
                <w:szCs w:val="20"/>
              </w:rPr>
              <w:t>3,783</w:t>
            </w:r>
          </w:p>
        </w:tc>
        <w:tc>
          <w:tcPr>
            <w:tcW w:w="993" w:type="dxa"/>
            <w:tcBorders>
              <w:top w:val="nil"/>
              <w:left w:val="nil"/>
              <w:bottom w:val="single" w:sz="4" w:space="0" w:color="00688D"/>
              <w:right w:val="nil"/>
            </w:tcBorders>
            <w:shd w:val="clear" w:color="auto" w:fill="auto"/>
            <w:noWrap/>
            <w:vAlign w:val="bottom"/>
            <w:hideMark/>
          </w:tcPr>
          <w:p w14:paraId="239E5390" w14:textId="605854F7" w:rsidR="006267D0" w:rsidRPr="00A504DA" w:rsidRDefault="006267D0" w:rsidP="006267D0">
            <w:pPr>
              <w:jc w:val="right"/>
              <w:rPr>
                <w:rFonts w:ascii="Calibri" w:eastAsia="Times New Roman" w:hAnsi="Calibri" w:cs="Calibri"/>
                <w:color w:val="000000" w:themeColor="text1"/>
                <w:sz w:val="20"/>
                <w:szCs w:val="20"/>
              </w:rPr>
            </w:pPr>
            <w:r w:rsidRPr="00A504DA">
              <w:rPr>
                <w:rFonts w:ascii="Calibri" w:eastAsia="Times New Roman" w:hAnsi="Calibri" w:cs="Calibri"/>
                <w:color w:val="000000" w:themeColor="text1"/>
                <w:sz w:val="20"/>
                <w:szCs w:val="20"/>
              </w:rPr>
              <w:t>340</w:t>
            </w:r>
          </w:p>
        </w:tc>
        <w:tc>
          <w:tcPr>
            <w:tcW w:w="1350" w:type="dxa"/>
            <w:tcBorders>
              <w:top w:val="nil"/>
              <w:left w:val="nil"/>
              <w:bottom w:val="single" w:sz="4" w:space="0" w:color="00688D"/>
              <w:right w:val="nil"/>
            </w:tcBorders>
            <w:shd w:val="clear" w:color="auto" w:fill="auto"/>
            <w:noWrap/>
            <w:vAlign w:val="bottom"/>
            <w:hideMark/>
          </w:tcPr>
          <w:p w14:paraId="0BF87D2E" w14:textId="66D77378"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3,443</w:t>
            </w:r>
          </w:p>
        </w:tc>
        <w:tc>
          <w:tcPr>
            <w:tcW w:w="1010" w:type="dxa"/>
            <w:tcBorders>
              <w:top w:val="nil"/>
              <w:left w:val="nil"/>
              <w:bottom w:val="single" w:sz="4" w:space="0" w:color="00688D"/>
              <w:right w:val="nil"/>
            </w:tcBorders>
            <w:shd w:val="clear" w:color="auto" w:fill="F2F2F2" w:themeFill="background1" w:themeFillShade="F2"/>
            <w:noWrap/>
            <w:vAlign w:val="bottom"/>
            <w:hideMark/>
          </w:tcPr>
          <w:p w14:paraId="56E6F439" w14:textId="4F9DA878"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3,759</w:t>
            </w:r>
          </w:p>
        </w:tc>
        <w:tc>
          <w:tcPr>
            <w:tcW w:w="970" w:type="dxa"/>
            <w:tcBorders>
              <w:top w:val="nil"/>
              <w:left w:val="nil"/>
              <w:bottom w:val="single" w:sz="4" w:space="0" w:color="00688D"/>
              <w:right w:val="nil"/>
            </w:tcBorders>
            <w:shd w:val="clear" w:color="auto" w:fill="F2F2F2" w:themeFill="background1" w:themeFillShade="F2"/>
            <w:noWrap/>
            <w:vAlign w:val="bottom"/>
            <w:hideMark/>
          </w:tcPr>
          <w:p w14:paraId="7534167B" w14:textId="76C1C279"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351</w:t>
            </w:r>
          </w:p>
        </w:tc>
        <w:tc>
          <w:tcPr>
            <w:tcW w:w="1350" w:type="dxa"/>
            <w:tcBorders>
              <w:top w:val="nil"/>
              <w:left w:val="nil"/>
              <w:bottom w:val="single" w:sz="4" w:space="0" w:color="00688D"/>
              <w:right w:val="nil"/>
            </w:tcBorders>
            <w:shd w:val="clear" w:color="auto" w:fill="F2F2F2" w:themeFill="background1" w:themeFillShade="F2"/>
            <w:noWrap/>
            <w:vAlign w:val="bottom"/>
            <w:hideMark/>
          </w:tcPr>
          <w:p w14:paraId="6A4F5C79" w14:textId="197FCBBC"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3,408</w:t>
            </w:r>
          </w:p>
        </w:tc>
      </w:tr>
      <w:tr w:rsidR="006267D0" w:rsidRPr="006267D0" w14:paraId="3AA45816" w14:textId="77777777" w:rsidTr="00A504DA">
        <w:trPr>
          <w:trHeight w:val="300"/>
        </w:trPr>
        <w:tc>
          <w:tcPr>
            <w:tcW w:w="2970" w:type="dxa"/>
            <w:tcBorders>
              <w:top w:val="nil"/>
              <w:left w:val="nil"/>
              <w:bottom w:val="nil"/>
              <w:right w:val="nil"/>
            </w:tcBorders>
            <w:shd w:val="clear" w:color="auto" w:fill="auto"/>
            <w:noWrap/>
            <w:vAlign w:val="bottom"/>
            <w:hideMark/>
          </w:tcPr>
          <w:p w14:paraId="47B50C0D"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Total notes and leases receivable</w:t>
            </w:r>
          </w:p>
        </w:tc>
        <w:tc>
          <w:tcPr>
            <w:tcW w:w="960" w:type="dxa"/>
            <w:tcBorders>
              <w:top w:val="nil"/>
              <w:left w:val="nil"/>
              <w:bottom w:val="nil"/>
              <w:right w:val="nil"/>
            </w:tcBorders>
            <w:shd w:val="clear" w:color="auto" w:fill="auto"/>
            <w:noWrap/>
            <w:vAlign w:val="bottom"/>
            <w:hideMark/>
          </w:tcPr>
          <w:p w14:paraId="079C17A2" w14:textId="6C2BAC92"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24,053</w:t>
            </w:r>
          </w:p>
        </w:tc>
        <w:tc>
          <w:tcPr>
            <w:tcW w:w="993" w:type="dxa"/>
            <w:tcBorders>
              <w:top w:val="nil"/>
              <w:left w:val="nil"/>
              <w:bottom w:val="nil"/>
              <w:right w:val="nil"/>
            </w:tcBorders>
            <w:shd w:val="clear" w:color="auto" w:fill="auto"/>
            <w:noWrap/>
            <w:vAlign w:val="bottom"/>
            <w:hideMark/>
          </w:tcPr>
          <w:p w14:paraId="0A4356AE" w14:textId="7787B14A" w:rsidR="006267D0" w:rsidRPr="00A504DA" w:rsidRDefault="006267D0" w:rsidP="006267D0">
            <w:pPr>
              <w:jc w:val="right"/>
              <w:rPr>
                <w:rFonts w:ascii="Calibri" w:eastAsia="Times New Roman" w:hAnsi="Calibri" w:cs="Calibri"/>
                <w:color w:val="000000" w:themeColor="text1"/>
                <w:sz w:val="20"/>
                <w:szCs w:val="20"/>
              </w:rPr>
            </w:pPr>
            <w:r w:rsidRPr="00A504DA">
              <w:rPr>
                <w:rFonts w:ascii="Calibri" w:eastAsia="Times New Roman" w:hAnsi="Calibri" w:cs="Calibri"/>
                <w:color w:val="000000" w:themeColor="text1"/>
                <w:sz w:val="20"/>
                <w:szCs w:val="20"/>
              </w:rPr>
              <w:t>340</w:t>
            </w:r>
          </w:p>
        </w:tc>
        <w:tc>
          <w:tcPr>
            <w:tcW w:w="1350" w:type="dxa"/>
            <w:tcBorders>
              <w:top w:val="nil"/>
              <w:left w:val="nil"/>
              <w:bottom w:val="nil"/>
              <w:right w:val="nil"/>
            </w:tcBorders>
            <w:shd w:val="clear" w:color="auto" w:fill="auto"/>
            <w:noWrap/>
            <w:vAlign w:val="bottom"/>
            <w:hideMark/>
          </w:tcPr>
          <w:p w14:paraId="546106DC" w14:textId="1E32D9E9"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23,713</w:t>
            </w:r>
          </w:p>
        </w:tc>
        <w:tc>
          <w:tcPr>
            <w:tcW w:w="1010" w:type="dxa"/>
            <w:tcBorders>
              <w:top w:val="nil"/>
              <w:left w:val="nil"/>
              <w:bottom w:val="nil"/>
              <w:right w:val="nil"/>
            </w:tcBorders>
            <w:shd w:val="clear" w:color="auto" w:fill="F2F2F2" w:themeFill="background1" w:themeFillShade="F2"/>
            <w:noWrap/>
            <w:vAlign w:val="bottom"/>
            <w:hideMark/>
          </w:tcPr>
          <w:p w14:paraId="295101DC" w14:textId="4A6F0086"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27,397</w:t>
            </w:r>
          </w:p>
        </w:tc>
        <w:tc>
          <w:tcPr>
            <w:tcW w:w="970" w:type="dxa"/>
            <w:tcBorders>
              <w:top w:val="nil"/>
              <w:left w:val="nil"/>
              <w:bottom w:val="nil"/>
              <w:right w:val="nil"/>
            </w:tcBorders>
            <w:shd w:val="clear" w:color="auto" w:fill="F2F2F2" w:themeFill="background1" w:themeFillShade="F2"/>
            <w:noWrap/>
            <w:vAlign w:val="bottom"/>
            <w:hideMark/>
          </w:tcPr>
          <w:p w14:paraId="23C129E5" w14:textId="345C0D4B"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351</w:t>
            </w:r>
          </w:p>
        </w:tc>
        <w:tc>
          <w:tcPr>
            <w:tcW w:w="1350" w:type="dxa"/>
            <w:tcBorders>
              <w:top w:val="nil"/>
              <w:left w:val="nil"/>
              <w:bottom w:val="nil"/>
              <w:right w:val="nil"/>
            </w:tcBorders>
            <w:shd w:val="clear" w:color="auto" w:fill="F2F2F2" w:themeFill="background1" w:themeFillShade="F2"/>
            <w:noWrap/>
            <w:vAlign w:val="bottom"/>
            <w:hideMark/>
          </w:tcPr>
          <w:p w14:paraId="4470E8EB" w14:textId="6263576E"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27,046</w:t>
            </w:r>
          </w:p>
        </w:tc>
      </w:tr>
      <w:tr w:rsidR="006267D0" w:rsidRPr="006267D0" w14:paraId="1B06B829" w14:textId="77777777" w:rsidTr="00A504DA">
        <w:trPr>
          <w:trHeight w:val="300"/>
        </w:trPr>
        <w:tc>
          <w:tcPr>
            <w:tcW w:w="2970" w:type="dxa"/>
            <w:tcBorders>
              <w:top w:val="nil"/>
              <w:left w:val="nil"/>
              <w:bottom w:val="single" w:sz="4" w:space="0" w:color="00688D"/>
              <w:right w:val="nil"/>
            </w:tcBorders>
            <w:shd w:val="clear" w:color="auto" w:fill="auto"/>
            <w:noWrap/>
            <w:vAlign w:val="bottom"/>
            <w:hideMark/>
          </w:tcPr>
          <w:p w14:paraId="4DD4203A" w14:textId="77777777" w:rsidR="006267D0" w:rsidRPr="006267D0" w:rsidRDefault="006267D0" w:rsidP="006267D0">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Less allowance for doubtful accounts</w:t>
            </w:r>
          </w:p>
        </w:tc>
        <w:tc>
          <w:tcPr>
            <w:tcW w:w="960" w:type="dxa"/>
            <w:tcBorders>
              <w:top w:val="nil"/>
              <w:left w:val="nil"/>
              <w:bottom w:val="single" w:sz="4" w:space="0" w:color="00688D"/>
              <w:right w:val="nil"/>
            </w:tcBorders>
            <w:shd w:val="clear" w:color="auto" w:fill="auto"/>
            <w:noWrap/>
            <w:vAlign w:val="bottom"/>
            <w:hideMark/>
          </w:tcPr>
          <w:p w14:paraId="5DE541E9" w14:textId="4F2F1A44"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(874)</w:t>
            </w:r>
          </w:p>
        </w:tc>
        <w:tc>
          <w:tcPr>
            <w:tcW w:w="993" w:type="dxa"/>
            <w:tcBorders>
              <w:top w:val="nil"/>
              <w:left w:val="nil"/>
              <w:bottom w:val="single" w:sz="4" w:space="0" w:color="00688D"/>
              <w:right w:val="nil"/>
            </w:tcBorders>
            <w:shd w:val="clear" w:color="auto" w:fill="auto"/>
            <w:noWrap/>
            <w:vAlign w:val="bottom"/>
            <w:hideMark/>
          </w:tcPr>
          <w:p w14:paraId="3F1E769D" w14:textId="347BB8B5" w:rsidR="006267D0" w:rsidRPr="00A504DA" w:rsidRDefault="006267D0" w:rsidP="006267D0">
            <w:pPr>
              <w:jc w:val="right"/>
              <w:rPr>
                <w:rFonts w:ascii="Calibri" w:eastAsia="Times New Roman" w:hAnsi="Calibri" w:cs="Calibri"/>
                <w:color w:val="000000" w:themeColor="text1"/>
                <w:sz w:val="20"/>
                <w:szCs w:val="20"/>
              </w:rPr>
            </w:pPr>
            <w:r w:rsidRPr="00A504DA">
              <w:rPr>
                <w:rFonts w:ascii="Calibri" w:eastAsia="Times New Roman" w:hAnsi="Calibri" w:cs="Calibri"/>
                <w:color w:val="000000" w:themeColor="text1"/>
                <w:sz w:val="20"/>
                <w:szCs w:val="20"/>
              </w:rPr>
              <w:t>-</w:t>
            </w:r>
          </w:p>
        </w:tc>
        <w:tc>
          <w:tcPr>
            <w:tcW w:w="1350" w:type="dxa"/>
            <w:tcBorders>
              <w:top w:val="nil"/>
              <w:left w:val="nil"/>
              <w:bottom w:val="single" w:sz="4" w:space="0" w:color="00688D"/>
              <w:right w:val="nil"/>
            </w:tcBorders>
            <w:shd w:val="clear" w:color="auto" w:fill="auto"/>
            <w:noWrap/>
            <w:vAlign w:val="bottom"/>
            <w:hideMark/>
          </w:tcPr>
          <w:p w14:paraId="0EB93F41" w14:textId="635A4D83" w:rsidR="006267D0" w:rsidRPr="006267D0" w:rsidRDefault="006267D0" w:rsidP="006267D0">
            <w:pPr>
              <w:jc w:val="right"/>
              <w:rPr>
                <w:rFonts w:ascii="Calibri" w:eastAsia="Times New Roman" w:hAnsi="Calibri" w:cs="Calibri"/>
                <w:color w:val="000000"/>
                <w:sz w:val="20"/>
                <w:szCs w:val="20"/>
              </w:rPr>
            </w:pPr>
            <w:r w:rsidRPr="006267D0">
              <w:rPr>
                <w:rFonts w:ascii="Calibri" w:eastAsia="Times New Roman" w:hAnsi="Calibri" w:cs="Calibri"/>
                <w:color w:val="000000"/>
                <w:sz w:val="20"/>
                <w:szCs w:val="20"/>
              </w:rPr>
              <w:t>(874)</w:t>
            </w:r>
          </w:p>
        </w:tc>
        <w:tc>
          <w:tcPr>
            <w:tcW w:w="1010" w:type="dxa"/>
            <w:tcBorders>
              <w:top w:val="nil"/>
              <w:left w:val="nil"/>
              <w:bottom w:val="single" w:sz="4" w:space="0" w:color="00688D"/>
              <w:right w:val="nil"/>
            </w:tcBorders>
            <w:shd w:val="clear" w:color="auto" w:fill="F2F2F2" w:themeFill="background1" w:themeFillShade="F2"/>
            <w:noWrap/>
            <w:vAlign w:val="bottom"/>
            <w:hideMark/>
          </w:tcPr>
          <w:p w14:paraId="73BC4866" w14:textId="3C6341C8"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(874)</w:t>
            </w:r>
          </w:p>
        </w:tc>
        <w:tc>
          <w:tcPr>
            <w:tcW w:w="970" w:type="dxa"/>
            <w:tcBorders>
              <w:top w:val="nil"/>
              <w:left w:val="nil"/>
              <w:bottom w:val="single" w:sz="4" w:space="0" w:color="00688D"/>
              <w:right w:val="nil"/>
            </w:tcBorders>
            <w:shd w:val="clear" w:color="auto" w:fill="F2F2F2" w:themeFill="background1" w:themeFillShade="F2"/>
            <w:noWrap/>
            <w:vAlign w:val="bottom"/>
            <w:hideMark/>
          </w:tcPr>
          <w:p w14:paraId="19325C34" w14:textId="161CC862"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w:t>
            </w:r>
          </w:p>
        </w:tc>
        <w:tc>
          <w:tcPr>
            <w:tcW w:w="1350" w:type="dxa"/>
            <w:tcBorders>
              <w:top w:val="nil"/>
              <w:left w:val="nil"/>
              <w:bottom w:val="single" w:sz="4" w:space="0" w:color="00688D"/>
              <w:right w:val="nil"/>
            </w:tcBorders>
            <w:shd w:val="clear" w:color="auto" w:fill="F2F2F2" w:themeFill="background1" w:themeFillShade="F2"/>
            <w:noWrap/>
            <w:vAlign w:val="bottom"/>
            <w:hideMark/>
          </w:tcPr>
          <w:p w14:paraId="3C080724" w14:textId="1A117568"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 xml:space="preserve"> (874)</w:t>
            </w:r>
          </w:p>
        </w:tc>
      </w:tr>
      <w:tr w:rsidR="006267D0" w:rsidRPr="006267D0" w14:paraId="41604B22" w14:textId="77777777" w:rsidTr="00A504DA">
        <w:trPr>
          <w:trHeight w:val="315"/>
        </w:trPr>
        <w:tc>
          <w:tcPr>
            <w:tcW w:w="2970" w:type="dxa"/>
            <w:tcBorders>
              <w:top w:val="nil"/>
              <w:left w:val="nil"/>
              <w:bottom w:val="double" w:sz="6" w:space="0" w:color="00688D"/>
              <w:right w:val="nil"/>
            </w:tcBorders>
            <w:shd w:val="clear" w:color="auto" w:fill="auto"/>
            <w:noWrap/>
            <w:vAlign w:val="bottom"/>
            <w:hideMark/>
          </w:tcPr>
          <w:p w14:paraId="6BD3CCB1" w14:textId="77777777" w:rsidR="006267D0" w:rsidRPr="006267D0" w:rsidRDefault="006267D0" w:rsidP="00A504DA">
            <w:pPr>
              <w:rPr>
                <w:rFonts w:ascii="Calibri" w:eastAsia="Times New Roman" w:hAnsi="Calibri" w:cs="Calibri"/>
                <w:color w:val="0D0D0D"/>
                <w:sz w:val="20"/>
                <w:szCs w:val="20"/>
              </w:rPr>
            </w:pPr>
            <w:r w:rsidRPr="006267D0">
              <w:rPr>
                <w:rFonts w:ascii="Calibri" w:eastAsia="Times New Roman" w:hAnsi="Calibri" w:cs="Calibri"/>
                <w:color w:val="0D0D0D"/>
                <w:sz w:val="20"/>
                <w:szCs w:val="20"/>
              </w:rPr>
              <w:t>Total notes and leases receivable, net</w:t>
            </w:r>
          </w:p>
        </w:tc>
        <w:tc>
          <w:tcPr>
            <w:tcW w:w="960" w:type="dxa"/>
            <w:tcBorders>
              <w:top w:val="nil"/>
              <w:left w:val="nil"/>
              <w:bottom w:val="double" w:sz="6" w:space="0" w:color="00688D"/>
              <w:right w:val="nil"/>
            </w:tcBorders>
            <w:shd w:val="clear" w:color="auto" w:fill="auto"/>
            <w:noWrap/>
            <w:vAlign w:val="bottom"/>
            <w:hideMark/>
          </w:tcPr>
          <w:p w14:paraId="37608D4D" w14:textId="115BAD9B"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$23,179</w:t>
            </w:r>
          </w:p>
        </w:tc>
        <w:tc>
          <w:tcPr>
            <w:tcW w:w="993" w:type="dxa"/>
            <w:tcBorders>
              <w:top w:val="nil"/>
              <w:left w:val="nil"/>
              <w:bottom w:val="double" w:sz="6" w:space="0" w:color="00688D"/>
              <w:right w:val="nil"/>
            </w:tcBorders>
            <w:shd w:val="clear" w:color="auto" w:fill="auto"/>
            <w:noWrap/>
            <w:vAlign w:val="bottom"/>
            <w:hideMark/>
          </w:tcPr>
          <w:p w14:paraId="0E198523" w14:textId="46B3F55E"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$340</w:t>
            </w:r>
          </w:p>
        </w:tc>
        <w:tc>
          <w:tcPr>
            <w:tcW w:w="1350" w:type="dxa"/>
            <w:tcBorders>
              <w:top w:val="nil"/>
              <w:left w:val="nil"/>
              <w:bottom w:val="double" w:sz="6" w:space="0" w:color="00688D"/>
              <w:right w:val="nil"/>
            </w:tcBorders>
            <w:shd w:val="clear" w:color="auto" w:fill="auto"/>
            <w:noWrap/>
            <w:vAlign w:val="bottom"/>
            <w:hideMark/>
          </w:tcPr>
          <w:p w14:paraId="0415521B" w14:textId="0B067BF8"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$22,839</w:t>
            </w:r>
          </w:p>
        </w:tc>
        <w:tc>
          <w:tcPr>
            <w:tcW w:w="1010" w:type="dxa"/>
            <w:tcBorders>
              <w:top w:val="nil"/>
              <w:left w:val="nil"/>
              <w:bottom w:val="double" w:sz="6" w:space="0" w:color="00688D"/>
              <w:right w:val="nil"/>
            </w:tcBorders>
            <w:shd w:val="clear" w:color="auto" w:fill="F2F2F2" w:themeFill="background1" w:themeFillShade="F2"/>
            <w:noWrap/>
            <w:vAlign w:val="bottom"/>
            <w:hideMark/>
          </w:tcPr>
          <w:p w14:paraId="40FB86BD" w14:textId="40CB9216"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$26,523</w:t>
            </w:r>
          </w:p>
        </w:tc>
        <w:tc>
          <w:tcPr>
            <w:tcW w:w="970" w:type="dxa"/>
            <w:tcBorders>
              <w:top w:val="nil"/>
              <w:left w:val="nil"/>
              <w:bottom w:val="double" w:sz="6" w:space="0" w:color="00688D"/>
              <w:right w:val="nil"/>
            </w:tcBorders>
            <w:shd w:val="clear" w:color="auto" w:fill="F2F2F2" w:themeFill="background1" w:themeFillShade="F2"/>
            <w:noWrap/>
            <w:vAlign w:val="bottom"/>
            <w:hideMark/>
          </w:tcPr>
          <w:p w14:paraId="0C6CCB98" w14:textId="451D3C25"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$351</w:t>
            </w:r>
          </w:p>
        </w:tc>
        <w:tc>
          <w:tcPr>
            <w:tcW w:w="1350" w:type="dxa"/>
            <w:tcBorders>
              <w:top w:val="nil"/>
              <w:left w:val="nil"/>
              <w:bottom w:val="double" w:sz="6" w:space="0" w:color="00688D"/>
              <w:right w:val="nil"/>
            </w:tcBorders>
            <w:shd w:val="clear" w:color="auto" w:fill="F2F2F2" w:themeFill="background1" w:themeFillShade="F2"/>
            <w:noWrap/>
            <w:vAlign w:val="bottom"/>
            <w:hideMark/>
          </w:tcPr>
          <w:p w14:paraId="44CB2BE8" w14:textId="72BA337A" w:rsidR="006267D0" w:rsidRPr="006267D0" w:rsidRDefault="006267D0" w:rsidP="006267D0">
            <w:pPr>
              <w:jc w:val="right"/>
              <w:rPr>
                <w:rFonts w:ascii="Calibri" w:eastAsia="Times New Roman" w:hAnsi="Calibri" w:cs="Calibri"/>
                <w:color w:val="0D0D0D"/>
                <w:sz w:val="20"/>
                <w:szCs w:val="20"/>
              </w:rPr>
            </w:pPr>
            <w:r w:rsidRPr="006267D0">
              <w:rPr>
                <w:rFonts w:ascii="Calibri" w:eastAsia="Times New Roman" w:hAnsi="Calibri" w:cs="Calibri"/>
                <w:color w:val="0D0D0D"/>
                <w:sz w:val="20"/>
                <w:szCs w:val="20"/>
              </w:rPr>
              <w:t>$26,172</w:t>
            </w:r>
          </w:p>
        </w:tc>
      </w:tr>
    </w:tbl>
    <w:p w14:paraId="1E4ED914" w14:textId="7C20BB77" w:rsidR="00DD1612" w:rsidRDefault="00DD1612" w:rsidP="00B64C2B">
      <w:pPr>
        <w:tabs>
          <w:tab w:val="left" w:pos="540"/>
          <w:tab w:val="left" w:pos="1800"/>
        </w:tabs>
        <w:suppressAutoHyphens/>
        <w:spacing w:before="120"/>
        <w:rPr>
          <w:rFonts w:cstheme="minorHAnsi"/>
          <w:bCs/>
          <w:spacing w:val="-3"/>
          <w:sz w:val="20"/>
        </w:rPr>
      </w:pPr>
      <w:r w:rsidRPr="00F54559">
        <w:rPr>
          <w:rFonts w:cstheme="minorHAnsi"/>
          <w:bCs/>
          <w:spacing w:val="-3"/>
          <w:sz w:val="24"/>
        </w:rPr>
        <w:t xml:space="preserve">Collections of the </w:t>
      </w:r>
      <w:proofErr w:type="gramStart"/>
      <w:r w:rsidRPr="00F54559">
        <w:rPr>
          <w:rFonts w:cstheme="minorHAnsi"/>
          <w:bCs/>
          <w:spacing w:val="-3"/>
          <w:sz w:val="24"/>
        </w:rPr>
        <w:t>notes</w:t>
      </w:r>
      <w:proofErr w:type="gramEnd"/>
      <w:r w:rsidRPr="00F54559">
        <w:rPr>
          <w:rFonts w:cstheme="minorHAnsi"/>
          <w:bCs/>
          <w:spacing w:val="-3"/>
          <w:sz w:val="24"/>
        </w:rPr>
        <w:t xml:space="preserve"> receivable for Perkins, Nursing, and Institutional loans may not be used to pay current liabilities, as the proceeds are re</w:t>
      </w:r>
      <w:r w:rsidR="00541C5C">
        <w:rPr>
          <w:rFonts w:cstheme="minorHAnsi"/>
          <w:bCs/>
          <w:spacing w:val="-3"/>
          <w:sz w:val="24"/>
        </w:rPr>
        <w:t xml:space="preserve">stricted for making new loans. </w:t>
      </w:r>
      <w:r w:rsidRPr="00F54559">
        <w:rPr>
          <w:rFonts w:cstheme="minorHAnsi"/>
          <w:bCs/>
          <w:spacing w:val="-3"/>
          <w:sz w:val="24"/>
        </w:rPr>
        <w:t>Accordingly, these notes receivable are recorded in the accompanying Statements of Net Position as noncurrent assets.</w:t>
      </w:r>
      <w:r>
        <w:rPr>
          <w:rFonts w:cstheme="minorHAnsi"/>
          <w:bCs/>
          <w:spacing w:val="-3"/>
          <w:sz w:val="20"/>
        </w:rPr>
        <w:br w:type="page"/>
      </w:r>
    </w:p>
    <w:p w14:paraId="51EAA45D" w14:textId="77777777" w:rsidR="00DD1612" w:rsidRPr="00FC4B1F" w:rsidRDefault="00DD1612" w:rsidP="00DD1612">
      <w:pPr>
        <w:pStyle w:val="AFR3"/>
        <w:spacing w:after="240"/>
        <w:rPr>
          <w:rFonts w:cstheme="minorHAnsi"/>
          <w:szCs w:val="26"/>
        </w:rPr>
      </w:pPr>
      <w:r w:rsidRPr="004E555D">
        <w:rPr>
          <w:rFonts w:eastAsiaTheme="majorEastAsia" w:cstheme="minorHAnsi"/>
          <w:iCs/>
          <w:smallCaps/>
          <w:noProof/>
          <w:color w:val="000000" w:themeColor="text1"/>
          <w:szCs w:val="26"/>
          <w:u w:val="none"/>
        </w:rPr>
        <w:lastRenderedPageBreak/>
        <w:t xml:space="preserve">5. NOTES AND LEASES RECEIVABLE - </w:t>
      </w:r>
      <w:r w:rsidRPr="00373110">
        <w:rPr>
          <w:rFonts w:eastAsiaTheme="majorEastAsia" w:cstheme="minorHAnsi"/>
          <w:iCs/>
          <w:smallCaps/>
          <w:noProof/>
          <w:color w:val="000000" w:themeColor="text1"/>
          <w:szCs w:val="26"/>
          <w:u w:val="none"/>
        </w:rPr>
        <w:t>CONTINUED</w:t>
      </w:r>
    </w:p>
    <w:p w14:paraId="31B0644B" w14:textId="55E06445" w:rsidR="00DD1612" w:rsidRDefault="00DD1612" w:rsidP="00DD1612">
      <w:pPr>
        <w:numPr>
          <w:ilvl w:val="0"/>
          <w:numId w:val="10"/>
        </w:numPr>
        <w:tabs>
          <w:tab w:val="left" w:pos="720"/>
          <w:tab w:val="left" w:pos="1440"/>
        </w:tabs>
        <w:suppressAutoHyphens/>
        <w:spacing w:before="120"/>
        <w:ind w:right="360"/>
        <w:rPr>
          <w:rFonts w:eastAsia="Times New Roman" w:cstheme="minorHAnsi"/>
          <w:bCs/>
          <w:spacing w:val="-3"/>
          <w:sz w:val="24"/>
          <w:szCs w:val="24"/>
        </w:rPr>
      </w:pPr>
      <w:r>
        <w:rPr>
          <w:rFonts w:eastAsia="Times New Roman" w:cstheme="minorHAnsi"/>
          <w:bCs/>
          <w:spacing w:val="-3"/>
          <w:sz w:val="24"/>
          <w:szCs w:val="24"/>
        </w:rPr>
        <w:t>The System, acting as lessor, leases building space for various terms under long-term noncancelable lease agreements. The original lease terms expire at various dates through 2027 and provide for renewal options (ranging from 1-20 years) which extend them to 2047. During the year</w:t>
      </w:r>
      <w:r w:rsidR="00504B75">
        <w:rPr>
          <w:rFonts w:eastAsia="Times New Roman" w:cstheme="minorHAnsi"/>
          <w:bCs/>
          <w:spacing w:val="-3"/>
          <w:sz w:val="24"/>
          <w:szCs w:val="24"/>
        </w:rPr>
        <w:t>s</w:t>
      </w:r>
      <w:r>
        <w:rPr>
          <w:rFonts w:eastAsia="Times New Roman" w:cstheme="minorHAnsi"/>
          <w:bCs/>
          <w:spacing w:val="-3"/>
          <w:sz w:val="24"/>
          <w:szCs w:val="24"/>
        </w:rPr>
        <w:t xml:space="preserve"> ended June 30, </w:t>
      </w:r>
      <w:r w:rsidR="00504B75">
        <w:rPr>
          <w:rFonts w:eastAsia="Times New Roman" w:cstheme="minorHAnsi"/>
          <w:bCs/>
          <w:spacing w:val="-3"/>
          <w:sz w:val="24"/>
          <w:szCs w:val="24"/>
        </w:rPr>
        <w:t xml:space="preserve">2023 </w:t>
      </w:r>
      <w:r w:rsidR="0070214C">
        <w:rPr>
          <w:rFonts w:eastAsia="Times New Roman" w:cstheme="minorHAnsi"/>
          <w:bCs/>
          <w:spacing w:val="-3"/>
          <w:sz w:val="24"/>
          <w:szCs w:val="24"/>
        </w:rPr>
        <w:t xml:space="preserve">and </w:t>
      </w:r>
      <w:r w:rsidR="00504B75">
        <w:rPr>
          <w:rFonts w:eastAsia="Times New Roman" w:cstheme="minorHAnsi"/>
          <w:bCs/>
          <w:spacing w:val="-3"/>
          <w:sz w:val="24"/>
          <w:szCs w:val="24"/>
        </w:rPr>
        <w:t>2022</w:t>
      </w:r>
      <w:r>
        <w:rPr>
          <w:rFonts w:eastAsia="Times New Roman" w:cstheme="minorHAnsi"/>
          <w:bCs/>
          <w:spacing w:val="-3"/>
          <w:sz w:val="24"/>
          <w:szCs w:val="24"/>
        </w:rPr>
        <w:t xml:space="preserve">, the System recognized </w:t>
      </w:r>
      <w:r w:rsidR="0070214C">
        <w:rPr>
          <w:rFonts w:eastAsia="Times New Roman" w:cstheme="minorHAnsi"/>
          <w:bCs/>
          <w:spacing w:val="-3"/>
          <w:sz w:val="24"/>
          <w:szCs w:val="24"/>
        </w:rPr>
        <w:t xml:space="preserve">$327 and </w:t>
      </w:r>
      <w:r>
        <w:rPr>
          <w:rFonts w:eastAsia="Times New Roman" w:cstheme="minorHAnsi"/>
          <w:bCs/>
          <w:spacing w:val="-3"/>
          <w:sz w:val="24"/>
          <w:szCs w:val="24"/>
        </w:rPr>
        <w:t xml:space="preserve">$353 </w:t>
      </w:r>
      <w:r w:rsidR="0070214C">
        <w:rPr>
          <w:rFonts w:eastAsia="Times New Roman" w:cstheme="minorHAnsi"/>
          <w:bCs/>
          <w:spacing w:val="-3"/>
          <w:sz w:val="24"/>
          <w:szCs w:val="24"/>
        </w:rPr>
        <w:t xml:space="preserve">in lease revenue and $39 and </w:t>
      </w:r>
      <w:r>
        <w:rPr>
          <w:rFonts w:eastAsia="Times New Roman" w:cstheme="minorHAnsi"/>
          <w:bCs/>
          <w:spacing w:val="-3"/>
          <w:sz w:val="24"/>
          <w:szCs w:val="24"/>
        </w:rPr>
        <w:t xml:space="preserve">$41 in lease interest, respectively, pursuant to these contracts. </w:t>
      </w:r>
    </w:p>
    <w:p w14:paraId="57046949"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p>
    <w:p w14:paraId="5F47FFC4" w14:textId="77777777" w:rsidR="00DD1612" w:rsidRPr="00E94785"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Certain leases provide for increases in future minimum annual rental payments based</w:t>
      </w:r>
    </w:p>
    <w:p w14:paraId="682BF1C5" w14:textId="77777777" w:rsidR="00DD1612" w:rsidRPr="00E94785"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on defined increases in the Consumer Price Index, subject to certain minimum</w:t>
      </w:r>
    </w:p>
    <w:p w14:paraId="78E6FE29"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increases.</w:t>
      </w:r>
    </w:p>
    <w:p w14:paraId="50B164CD"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p>
    <w:p w14:paraId="4074FAB1" w14:textId="657DE547" w:rsidR="00DD1612" w:rsidRPr="008B4F92" w:rsidRDefault="00DD1612" w:rsidP="00701595">
      <w:pPr>
        <w:tabs>
          <w:tab w:val="left" w:pos="720"/>
          <w:tab w:val="left" w:pos="1440"/>
        </w:tabs>
        <w:suppressAutoHyphens/>
        <w:ind w:left="720" w:right="360"/>
        <w:rPr>
          <w:rFonts w:eastAsia="Times New Roman" w:cstheme="minorHAnsi"/>
          <w:bCs/>
          <w:spacing w:val="-3"/>
          <w:sz w:val="24"/>
          <w:szCs w:val="24"/>
        </w:rPr>
      </w:pPr>
      <w:r>
        <w:rPr>
          <w:rFonts w:eastAsia="Times New Roman" w:cstheme="minorHAnsi"/>
          <w:bCs/>
          <w:spacing w:val="-3"/>
          <w:sz w:val="24"/>
          <w:szCs w:val="24"/>
        </w:rPr>
        <w:t xml:space="preserve">The System </w:t>
      </w:r>
      <w:r w:rsidRPr="008B4F92">
        <w:rPr>
          <w:rFonts w:eastAsia="Times New Roman" w:cstheme="minorHAnsi"/>
          <w:bCs/>
          <w:spacing w:val="-3"/>
          <w:sz w:val="24"/>
          <w:szCs w:val="24"/>
        </w:rPr>
        <w:t xml:space="preserve">leases </w:t>
      </w:r>
      <w:r>
        <w:rPr>
          <w:rFonts w:eastAsia="Times New Roman" w:cstheme="minorHAnsi"/>
          <w:bCs/>
          <w:spacing w:val="-3"/>
          <w:sz w:val="24"/>
          <w:szCs w:val="24"/>
        </w:rPr>
        <w:t>office space</w:t>
      </w:r>
      <w:r w:rsidRPr="008B4F92">
        <w:rPr>
          <w:rFonts w:eastAsia="Times New Roman" w:cstheme="minorHAnsi"/>
          <w:bCs/>
          <w:spacing w:val="-3"/>
          <w:sz w:val="24"/>
          <w:szCs w:val="24"/>
        </w:rPr>
        <w:t xml:space="preserve"> to a related party, and a related lease</w:t>
      </w:r>
      <w:r>
        <w:rPr>
          <w:rFonts w:eastAsia="Times New Roman" w:cstheme="minorHAnsi"/>
          <w:bCs/>
          <w:spacing w:val="-3"/>
          <w:sz w:val="24"/>
          <w:szCs w:val="24"/>
        </w:rPr>
        <w:t xml:space="preserve"> receivable and</w:t>
      </w:r>
    </w:p>
    <w:p w14:paraId="5026F3F2" w14:textId="798C7F58" w:rsidR="00DD1612" w:rsidRDefault="00DD1612" w:rsidP="00701595">
      <w:pPr>
        <w:tabs>
          <w:tab w:val="left" w:pos="720"/>
          <w:tab w:val="left" w:pos="1440"/>
        </w:tabs>
        <w:suppressAutoHyphens/>
        <w:ind w:left="720" w:right="360"/>
        <w:rPr>
          <w:rFonts w:eastAsia="Times New Roman" w:cstheme="minorHAnsi"/>
          <w:bCs/>
          <w:spacing w:val="-3"/>
          <w:sz w:val="24"/>
          <w:szCs w:val="24"/>
        </w:rPr>
      </w:pPr>
      <w:r w:rsidRPr="008B4F92">
        <w:rPr>
          <w:rFonts w:eastAsia="Times New Roman" w:cstheme="minorHAnsi"/>
          <w:bCs/>
          <w:spacing w:val="-3"/>
          <w:sz w:val="24"/>
          <w:szCs w:val="24"/>
        </w:rPr>
        <w:t xml:space="preserve">deferred inflow </w:t>
      </w:r>
      <w:r w:rsidR="00701595">
        <w:rPr>
          <w:rFonts w:eastAsia="Times New Roman" w:cstheme="minorHAnsi"/>
          <w:bCs/>
          <w:spacing w:val="-3"/>
          <w:sz w:val="24"/>
          <w:szCs w:val="24"/>
        </w:rPr>
        <w:t xml:space="preserve">of resources </w:t>
      </w:r>
      <w:proofErr w:type="gramStart"/>
      <w:r w:rsidRPr="008B4F92">
        <w:rPr>
          <w:rFonts w:eastAsia="Times New Roman" w:cstheme="minorHAnsi"/>
          <w:bCs/>
          <w:spacing w:val="-3"/>
          <w:sz w:val="24"/>
          <w:szCs w:val="24"/>
        </w:rPr>
        <w:t>have</w:t>
      </w:r>
      <w:proofErr w:type="gramEnd"/>
      <w:r w:rsidRPr="008B4F92">
        <w:rPr>
          <w:rFonts w:eastAsia="Times New Roman" w:cstheme="minorHAnsi"/>
          <w:bCs/>
          <w:spacing w:val="-3"/>
          <w:sz w:val="24"/>
          <w:szCs w:val="24"/>
        </w:rPr>
        <w:t xml:space="preserve"> been recorded. The lease provides for minimum</w:t>
      </w:r>
      <w:r>
        <w:rPr>
          <w:rFonts w:eastAsia="Times New Roman" w:cstheme="minorHAnsi"/>
          <w:bCs/>
          <w:spacing w:val="-3"/>
          <w:sz w:val="24"/>
          <w:szCs w:val="24"/>
        </w:rPr>
        <w:t xml:space="preserve"> </w:t>
      </w:r>
      <w:proofErr w:type="spellStart"/>
      <w:r>
        <w:rPr>
          <w:rFonts w:eastAsia="Times New Roman" w:cstheme="minorHAnsi"/>
          <w:bCs/>
          <w:spacing w:val="-3"/>
          <w:sz w:val="24"/>
          <w:szCs w:val="24"/>
        </w:rPr>
        <w:t>semi annual</w:t>
      </w:r>
      <w:proofErr w:type="spellEnd"/>
      <w:r w:rsidR="00701595">
        <w:rPr>
          <w:rFonts w:eastAsia="Times New Roman" w:cstheme="minorHAnsi"/>
          <w:bCs/>
          <w:spacing w:val="-3"/>
          <w:sz w:val="24"/>
          <w:szCs w:val="24"/>
        </w:rPr>
        <w:t xml:space="preserve"> </w:t>
      </w:r>
      <w:r>
        <w:rPr>
          <w:rFonts w:eastAsia="Times New Roman" w:cstheme="minorHAnsi"/>
          <w:bCs/>
          <w:spacing w:val="-3"/>
          <w:sz w:val="24"/>
          <w:szCs w:val="24"/>
        </w:rPr>
        <w:t xml:space="preserve">lease </w:t>
      </w:r>
      <w:r w:rsidRPr="008B4F92">
        <w:rPr>
          <w:rFonts w:eastAsia="Times New Roman" w:cstheme="minorHAnsi"/>
          <w:bCs/>
          <w:spacing w:val="-3"/>
          <w:sz w:val="24"/>
          <w:szCs w:val="24"/>
        </w:rPr>
        <w:t>payments of $</w:t>
      </w:r>
      <w:r>
        <w:rPr>
          <w:rFonts w:eastAsia="Times New Roman" w:cstheme="minorHAnsi"/>
          <w:bCs/>
          <w:spacing w:val="-3"/>
          <w:sz w:val="24"/>
          <w:szCs w:val="24"/>
        </w:rPr>
        <w:t>13</w:t>
      </w:r>
      <w:r w:rsidRPr="008B4F92">
        <w:rPr>
          <w:rFonts w:eastAsia="Times New Roman" w:cstheme="minorHAnsi"/>
          <w:bCs/>
          <w:spacing w:val="-3"/>
          <w:sz w:val="24"/>
          <w:szCs w:val="24"/>
        </w:rPr>
        <w:t xml:space="preserve"> through </w:t>
      </w:r>
      <w:r>
        <w:rPr>
          <w:rFonts w:eastAsia="Times New Roman" w:cstheme="minorHAnsi"/>
          <w:bCs/>
          <w:spacing w:val="-3"/>
          <w:sz w:val="24"/>
          <w:szCs w:val="24"/>
        </w:rPr>
        <w:t>January 2030.</w:t>
      </w:r>
    </w:p>
    <w:p w14:paraId="01697252"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p>
    <w:p w14:paraId="45535A61" w14:textId="77777777" w:rsidR="00DD1612" w:rsidRPr="00EB2724"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B2724">
        <w:rPr>
          <w:rFonts w:eastAsia="Times New Roman" w:cstheme="minorHAnsi"/>
          <w:bCs/>
          <w:spacing w:val="-3"/>
          <w:sz w:val="24"/>
          <w:szCs w:val="24"/>
        </w:rPr>
        <w:t>Total future minimum lease payments to be received under lease agreements are as</w:t>
      </w:r>
    </w:p>
    <w:p w14:paraId="29BF039F"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t>follows:</w:t>
      </w:r>
    </w:p>
    <w:tbl>
      <w:tblPr>
        <w:tblW w:w="5066" w:type="dxa"/>
        <w:jc w:val="center"/>
        <w:tblLayout w:type="fixed"/>
        <w:tblLook w:val="04A0" w:firstRow="1" w:lastRow="0" w:firstColumn="1" w:lastColumn="0" w:noHBand="0" w:noVBand="1"/>
      </w:tblPr>
      <w:tblGrid>
        <w:gridCol w:w="2392"/>
        <w:gridCol w:w="1337"/>
        <w:gridCol w:w="1337"/>
      </w:tblGrid>
      <w:tr w:rsidR="00DD1612" w:rsidRPr="003323E0" w14:paraId="13877A14" w14:textId="77777777" w:rsidTr="00BD375F">
        <w:trPr>
          <w:trHeight w:val="588"/>
          <w:tblHeader/>
          <w:jc w:val="center"/>
        </w:trPr>
        <w:tc>
          <w:tcPr>
            <w:tcW w:w="2392" w:type="dxa"/>
            <w:tcBorders>
              <w:top w:val="nil"/>
              <w:left w:val="nil"/>
              <w:bottom w:val="nil"/>
              <w:right w:val="nil"/>
            </w:tcBorders>
            <w:shd w:val="clear" w:color="000000" w:fill="FFFFFF"/>
            <w:vAlign w:val="bottom"/>
            <w:hideMark/>
          </w:tcPr>
          <w:p w14:paraId="1FFABB89" w14:textId="77777777" w:rsidR="00DD1612" w:rsidRPr="003323E0" w:rsidRDefault="00DD1612" w:rsidP="00BD375F">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70F94943" w14:textId="77777777" w:rsidR="00DD1612" w:rsidRPr="003323E0" w:rsidRDefault="00DD1612" w:rsidP="00BD375F">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267C8F05" w14:textId="77777777" w:rsidR="00DD1612" w:rsidRPr="003323E0" w:rsidRDefault="00DD1612" w:rsidP="00BD375F">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r>
      <w:tr w:rsidR="00824F7F" w:rsidRPr="003323E0" w14:paraId="58C51858" w14:textId="77777777" w:rsidTr="00A504DA">
        <w:trPr>
          <w:trHeight w:val="300"/>
          <w:jc w:val="center"/>
        </w:trPr>
        <w:tc>
          <w:tcPr>
            <w:tcW w:w="2392" w:type="dxa"/>
            <w:tcBorders>
              <w:top w:val="nil"/>
              <w:left w:val="nil"/>
              <w:bottom w:val="nil"/>
              <w:right w:val="nil"/>
            </w:tcBorders>
            <w:shd w:val="clear" w:color="000000" w:fill="FFFFFF"/>
            <w:noWrap/>
            <w:vAlign w:val="bottom"/>
            <w:hideMark/>
          </w:tcPr>
          <w:p w14:paraId="4F62FAC6" w14:textId="09F09292" w:rsidR="00824F7F" w:rsidRPr="003323E0" w:rsidRDefault="00824F7F" w:rsidP="00824F7F">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4</w:t>
            </w:r>
          </w:p>
        </w:tc>
        <w:tc>
          <w:tcPr>
            <w:tcW w:w="1337" w:type="dxa"/>
            <w:tcBorders>
              <w:top w:val="nil"/>
              <w:left w:val="nil"/>
              <w:bottom w:val="nil"/>
              <w:right w:val="nil"/>
            </w:tcBorders>
            <w:shd w:val="clear" w:color="auto" w:fill="auto"/>
            <w:noWrap/>
            <w:vAlign w:val="bottom"/>
            <w:hideMark/>
          </w:tcPr>
          <w:p w14:paraId="233B6FE6" w14:textId="742312F0" w:rsidR="00824F7F" w:rsidRPr="00165522" w:rsidRDefault="00824F7F" w:rsidP="00824F7F">
            <w:pPr>
              <w:jc w:val="right"/>
              <w:rPr>
                <w:rFonts w:ascii="Calibri" w:eastAsia="Times New Roman" w:hAnsi="Calibri" w:cs="Calibri"/>
                <w:color w:val="FF0000"/>
              </w:rPr>
            </w:pPr>
            <w:r>
              <w:rPr>
                <w:rFonts w:ascii="Calibri" w:hAnsi="Calibri" w:cs="Calibri"/>
                <w:color w:val="000000"/>
              </w:rPr>
              <w:t>$    340</w:t>
            </w:r>
          </w:p>
        </w:tc>
        <w:tc>
          <w:tcPr>
            <w:tcW w:w="1337" w:type="dxa"/>
            <w:tcBorders>
              <w:top w:val="nil"/>
              <w:left w:val="nil"/>
              <w:bottom w:val="nil"/>
              <w:right w:val="nil"/>
            </w:tcBorders>
            <w:shd w:val="clear" w:color="auto" w:fill="auto"/>
            <w:noWrap/>
            <w:vAlign w:val="bottom"/>
            <w:hideMark/>
          </w:tcPr>
          <w:p w14:paraId="3A408899" w14:textId="02156986" w:rsidR="00824F7F" w:rsidRPr="00165522" w:rsidRDefault="00824F7F" w:rsidP="00824F7F">
            <w:pPr>
              <w:jc w:val="right"/>
              <w:rPr>
                <w:rFonts w:ascii="Calibri" w:eastAsia="Times New Roman" w:hAnsi="Calibri" w:cs="Calibri"/>
                <w:color w:val="FF0000"/>
              </w:rPr>
            </w:pPr>
            <w:r>
              <w:rPr>
                <w:rFonts w:ascii="Calibri" w:hAnsi="Calibri" w:cs="Calibri"/>
                <w:color w:val="000000"/>
              </w:rPr>
              <w:t>$     51</w:t>
            </w:r>
          </w:p>
        </w:tc>
      </w:tr>
      <w:tr w:rsidR="00824F7F" w:rsidRPr="003323E0" w14:paraId="39615C38"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1C43BBBE" w14:textId="002B8CE4" w:rsidR="00824F7F" w:rsidRPr="003323E0" w:rsidRDefault="00824F7F" w:rsidP="00824F7F">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5</w:t>
            </w:r>
          </w:p>
        </w:tc>
        <w:tc>
          <w:tcPr>
            <w:tcW w:w="1337" w:type="dxa"/>
            <w:tcBorders>
              <w:top w:val="nil"/>
              <w:left w:val="nil"/>
              <w:bottom w:val="nil"/>
              <w:right w:val="nil"/>
            </w:tcBorders>
            <w:shd w:val="clear" w:color="auto" w:fill="auto"/>
            <w:noWrap/>
            <w:vAlign w:val="bottom"/>
            <w:hideMark/>
          </w:tcPr>
          <w:p w14:paraId="6D861E58" w14:textId="63365B38" w:rsidR="00824F7F" w:rsidRPr="00165522" w:rsidRDefault="00824F7F" w:rsidP="00824F7F">
            <w:pPr>
              <w:jc w:val="right"/>
              <w:rPr>
                <w:rFonts w:ascii="Calibri" w:eastAsia="Times New Roman" w:hAnsi="Calibri" w:cs="Calibri"/>
                <w:color w:val="FF0000"/>
              </w:rPr>
            </w:pPr>
            <w:r>
              <w:rPr>
                <w:rFonts w:ascii="Calibri" w:hAnsi="Calibri" w:cs="Calibri"/>
                <w:color w:val="000000"/>
              </w:rPr>
              <w:t>294</w:t>
            </w:r>
          </w:p>
        </w:tc>
        <w:tc>
          <w:tcPr>
            <w:tcW w:w="1337" w:type="dxa"/>
            <w:tcBorders>
              <w:top w:val="nil"/>
              <w:left w:val="nil"/>
              <w:bottom w:val="nil"/>
              <w:right w:val="nil"/>
            </w:tcBorders>
            <w:shd w:val="clear" w:color="auto" w:fill="auto"/>
            <w:noWrap/>
            <w:vAlign w:val="bottom"/>
            <w:hideMark/>
          </w:tcPr>
          <w:p w14:paraId="4D470A42" w14:textId="228F44F4" w:rsidR="00824F7F" w:rsidRPr="00165522" w:rsidRDefault="00824F7F" w:rsidP="00824F7F">
            <w:pPr>
              <w:jc w:val="right"/>
              <w:rPr>
                <w:rFonts w:ascii="Calibri" w:eastAsia="Times New Roman" w:hAnsi="Calibri" w:cs="Calibri"/>
                <w:color w:val="FF0000"/>
              </w:rPr>
            </w:pPr>
            <w:r>
              <w:rPr>
                <w:rFonts w:ascii="Calibri" w:hAnsi="Calibri" w:cs="Calibri"/>
                <w:color w:val="000000"/>
              </w:rPr>
              <w:t>47</w:t>
            </w:r>
          </w:p>
        </w:tc>
      </w:tr>
      <w:tr w:rsidR="00824F7F" w:rsidRPr="003323E0" w14:paraId="62D83D9D"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671BACCE" w14:textId="0099FA51" w:rsidR="00824F7F" w:rsidRPr="003323E0" w:rsidRDefault="00824F7F" w:rsidP="00824F7F">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6</w:t>
            </w:r>
          </w:p>
        </w:tc>
        <w:tc>
          <w:tcPr>
            <w:tcW w:w="1337" w:type="dxa"/>
            <w:tcBorders>
              <w:top w:val="nil"/>
              <w:left w:val="nil"/>
              <w:bottom w:val="nil"/>
              <w:right w:val="nil"/>
            </w:tcBorders>
            <w:shd w:val="clear" w:color="auto" w:fill="auto"/>
            <w:noWrap/>
            <w:vAlign w:val="bottom"/>
            <w:hideMark/>
          </w:tcPr>
          <w:p w14:paraId="2BC13A39" w14:textId="7B0D5226" w:rsidR="00824F7F" w:rsidRPr="00165522" w:rsidRDefault="00824F7F" w:rsidP="00824F7F">
            <w:pPr>
              <w:jc w:val="right"/>
              <w:rPr>
                <w:rFonts w:ascii="Calibri" w:eastAsia="Times New Roman" w:hAnsi="Calibri" w:cs="Calibri"/>
                <w:color w:val="FF0000"/>
              </w:rPr>
            </w:pPr>
            <w:r>
              <w:rPr>
                <w:rFonts w:ascii="Calibri" w:hAnsi="Calibri" w:cs="Calibri"/>
                <w:color w:val="000000"/>
              </w:rPr>
              <w:t>289</w:t>
            </w:r>
          </w:p>
        </w:tc>
        <w:tc>
          <w:tcPr>
            <w:tcW w:w="1337" w:type="dxa"/>
            <w:tcBorders>
              <w:top w:val="nil"/>
              <w:left w:val="nil"/>
              <w:bottom w:val="nil"/>
              <w:right w:val="nil"/>
            </w:tcBorders>
            <w:shd w:val="clear" w:color="auto" w:fill="auto"/>
            <w:noWrap/>
            <w:vAlign w:val="bottom"/>
            <w:hideMark/>
          </w:tcPr>
          <w:p w14:paraId="2EE358F3" w14:textId="1BA849C0" w:rsidR="00824F7F" w:rsidRPr="00165522" w:rsidRDefault="00824F7F" w:rsidP="00824F7F">
            <w:pPr>
              <w:jc w:val="right"/>
              <w:rPr>
                <w:rFonts w:ascii="Calibri" w:eastAsia="Times New Roman" w:hAnsi="Calibri" w:cs="Calibri"/>
                <w:color w:val="FF0000"/>
              </w:rPr>
            </w:pPr>
            <w:r>
              <w:rPr>
                <w:rFonts w:ascii="Calibri" w:hAnsi="Calibri" w:cs="Calibri"/>
                <w:color w:val="000000"/>
              </w:rPr>
              <w:t>44</w:t>
            </w:r>
          </w:p>
        </w:tc>
      </w:tr>
      <w:tr w:rsidR="00824F7F" w:rsidRPr="003323E0" w14:paraId="3A5E4892"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1CC099FC" w14:textId="2876833A" w:rsidR="00824F7F" w:rsidRPr="003323E0" w:rsidRDefault="00824F7F" w:rsidP="00824F7F">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7</w:t>
            </w:r>
          </w:p>
        </w:tc>
        <w:tc>
          <w:tcPr>
            <w:tcW w:w="1337" w:type="dxa"/>
            <w:tcBorders>
              <w:top w:val="nil"/>
              <w:left w:val="nil"/>
              <w:bottom w:val="nil"/>
              <w:right w:val="nil"/>
            </w:tcBorders>
            <w:shd w:val="clear" w:color="auto" w:fill="auto"/>
            <w:noWrap/>
            <w:vAlign w:val="bottom"/>
            <w:hideMark/>
          </w:tcPr>
          <w:p w14:paraId="23E02C3E" w14:textId="2F4F20EF" w:rsidR="00824F7F" w:rsidRPr="00165522" w:rsidRDefault="00824F7F" w:rsidP="00824F7F">
            <w:pPr>
              <w:jc w:val="right"/>
              <w:rPr>
                <w:rFonts w:ascii="Calibri" w:eastAsia="Times New Roman" w:hAnsi="Calibri" w:cs="Calibri"/>
                <w:color w:val="FF0000"/>
              </w:rPr>
            </w:pPr>
            <w:r>
              <w:rPr>
                <w:rFonts w:ascii="Calibri" w:hAnsi="Calibri" w:cs="Calibri"/>
                <w:color w:val="000000"/>
              </w:rPr>
              <w:t>276</w:t>
            </w:r>
          </w:p>
        </w:tc>
        <w:tc>
          <w:tcPr>
            <w:tcW w:w="1337" w:type="dxa"/>
            <w:tcBorders>
              <w:top w:val="nil"/>
              <w:left w:val="nil"/>
              <w:bottom w:val="nil"/>
              <w:right w:val="nil"/>
            </w:tcBorders>
            <w:shd w:val="clear" w:color="auto" w:fill="auto"/>
            <w:noWrap/>
            <w:vAlign w:val="bottom"/>
            <w:hideMark/>
          </w:tcPr>
          <w:p w14:paraId="6A0E1C3D" w14:textId="57CF8845" w:rsidR="00824F7F" w:rsidRPr="00165522" w:rsidRDefault="00824F7F" w:rsidP="00824F7F">
            <w:pPr>
              <w:jc w:val="right"/>
              <w:rPr>
                <w:rFonts w:ascii="Calibri" w:eastAsia="Times New Roman" w:hAnsi="Calibri" w:cs="Calibri"/>
                <w:color w:val="FF0000"/>
              </w:rPr>
            </w:pPr>
            <w:r>
              <w:rPr>
                <w:rFonts w:ascii="Calibri" w:hAnsi="Calibri" w:cs="Calibri"/>
                <w:color w:val="000000"/>
              </w:rPr>
              <w:t>41</w:t>
            </w:r>
          </w:p>
        </w:tc>
      </w:tr>
      <w:tr w:rsidR="00824F7F" w:rsidRPr="003323E0" w14:paraId="7A71D73F"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4E12DEE8" w14:textId="23CF44C1" w:rsidR="00824F7F" w:rsidRPr="003323E0" w:rsidRDefault="00824F7F" w:rsidP="00824F7F">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8</w:t>
            </w:r>
          </w:p>
        </w:tc>
        <w:tc>
          <w:tcPr>
            <w:tcW w:w="1337" w:type="dxa"/>
            <w:tcBorders>
              <w:top w:val="nil"/>
              <w:left w:val="nil"/>
              <w:bottom w:val="nil"/>
              <w:right w:val="nil"/>
            </w:tcBorders>
            <w:shd w:val="clear" w:color="auto" w:fill="auto"/>
            <w:noWrap/>
            <w:vAlign w:val="bottom"/>
            <w:hideMark/>
          </w:tcPr>
          <w:p w14:paraId="44FE4A44" w14:textId="0D1AF644" w:rsidR="00824F7F" w:rsidRPr="00165522" w:rsidRDefault="00824F7F" w:rsidP="00824F7F">
            <w:pPr>
              <w:jc w:val="right"/>
              <w:rPr>
                <w:rFonts w:ascii="Calibri" w:eastAsia="Times New Roman" w:hAnsi="Calibri" w:cs="Calibri"/>
                <w:color w:val="FF0000"/>
              </w:rPr>
            </w:pPr>
            <w:r>
              <w:rPr>
                <w:rFonts w:ascii="Calibri" w:hAnsi="Calibri" w:cs="Calibri"/>
                <w:color w:val="000000"/>
              </w:rPr>
              <w:t>281</w:t>
            </w:r>
          </w:p>
        </w:tc>
        <w:tc>
          <w:tcPr>
            <w:tcW w:w="1337" w:type="dxa"/>
            <w:tcBorders>
              <w:top w:val="nil"/>
              <w:left w:val="nil"/>
              <w:bottom w:val="nil"/>
              <w:right w:val="nil"/>
            </w:tcBorders>
            <w:shd w:val="clear" w:color="auto" w:fill="auto"/>
            <w:noWrap/>
            <w:vAlign w:val="bottom"/>
            <w:hideMark/>
          </w:tcPr>
          <w:p w14:paraId="6A73E054" w14:textId="46D2FE37" w:rsidR="00824F7F" w:rsidRPr="00165522" w:rsidRDefault="00824F7F" w:rsidP="00824F7F">
            <w:pPr>
              <w:jc w:val="right"/>
              <w:rPr>
                <w:rFonts w:ascii="Calibri" w:eastAsia="Times New Roman" w:hAnsi="Calibri" w:cs="Calibri"/>
                <w:color w:val="FF0000"/>
              </w:rPr>
            </w:pPr>
            <w:r>
              <w:rPr>
                <w:rFonts w:ascii="Calibri" w:hAnsi="Calibri" w:cs="Calibri"/>
                <w:color w:val="000000"/>
              </w:rPr>
              <w:t>38</w:t>
            </w:r>
          </w:p>
        </w:tc>
      </w:tr>
      <w:tr w:rsidR="00DD1612" w:rsidRPr="003323E0" w14:paraId="61511F97" w14:textId="77777777" w:rsidTr="00BD375F">
        <w:trPr>
          <w:trHeight w:val="288"/>
          <w:jc w:val="center"/>
        </w:trPr>
        <w:tc>
          <w:tcPr>
            <w:tcW w:w="2392" w:type="dxa"/>
            <w:tcBorders>
              <w:top w:val="nil"/>
              <w:left w:val="nil"/>
              <w:bottom w:val="nil"/>
              <w:right w:val="nil"/>
            </w:tcBorders>
            <w:shd w:val="clear" w:color="000000" w:fill="FFFFFF"/>
            <w:noWrap/>
            <w:vAlign w:val="bottom"/>
            <w:hideMark/>
          </w:tcPr>
          <w:p w14:paraId="7C5B78D4" w14:textId="57D220FD" w:rsidR="00DD1612" w:rsidRPr="003323E0" w:rsidRDefault="00797BE9" w:rsidP="00165522">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9</w:t>
            </w:r>
            <w:r w:rsidR="00DD1612" w:rsidRPr="003323E0">
              <w:rPr>
                <w:rFonts w:ascii="Calibri" w:eastAsia="Times New Roman" w:hAnsi="Calibri" w:cs="Calibri"/>
                <w:color w:val="0D0D0D"/>
              </w:rPr>
              <w:t>-</w:t>
            </w:r>
            <w:r w:rsidRPr="003323E0">
              <w:rPr>
                <w:rFonts w:ascii="Calibri" w:eastAsia="Times New Roman" w:hAnsi="Calibri" w:cs="Calibri"/>
                <w:color w:val="0D0D0D"/>
              </w:rPr>
              <w:t>203</w:t>
            </w:r>
            <w:r>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hideMark/>
          </w:tcPr>
          <w:p w14:paraId="5C37616A" w14:textId="60D3431F" w:rsidR="00DD1612" w:rsidRPr="00A504DA" w:rsidRDefault="00824F7F" w:rsidP="00BD375F">
            <w:pPr>
              <w:jc w:val="right"/>
              <w:rPr>
                <w:rFonts w:ascii="Calibri" w:eastAsia="Times New Roman" w:hAnsi="Calibri" w:cs="Calibri"/>
              </w:rPr>
            </w:pPr>
            <w:r w:rsidRPr="00A504DA">
              <w:rPr>
                <w:rFonts w:ascii="Calibri" w:hAnsi="Calibri"/>
              </w:rPr>
              <w:t>860</w:t>
            </w:r>
          </w:p>
        </w:tc>
        <w:tc>
          <w:tcPr>
            <w:tcW w:w="1337" w:type="dxa"/>
            <w:tcBorders>
              <w:top w:val="nil"/>
              <w:left w:val="nil"/>
              <w:bottom w:val="nil"/>
              <w:right w:val="nil"/>
            </w:tcBorders>
            <w:shd w:val="clear" w:color="auto" w:fill="auto"/>
            <w:noWrap/>
            <w:vAlign w:val="bottom"/>
            <w:hideMark/>
          </w:tcPr>
          <w:p w14:paraId="53A0F7D9" w14:textId="624AF7DE" w:rsidR="00DD1612" w:rsidRPr="00A504DA" w:rsidRDefault="00824F7F" w:rsidP="00BD375F">
            <w:pPr>
              <w:jc w:val="right"/>
              <w:rPr>
                <w:rFonts w:ascii="Calibri" w:eastAsia="Times New Roman" w:hAnsi="Calibri" w:cs="Calibri"/>
              </w:rPr>
            </w:pPr>
            <w:r w:rsidRPr="00A504DA">
              <w:rPr>
                <w:rFonts w:ascii="Calibri" w:hAnsi="Calibri"/>
              </w:rPr>
              <w:t>145</w:t>
            </w:r>
          </w:p>
        </w:tc>
      </w:tr>
      <w:tr w:rsidR="00DD1612" w:rsidRPr="003323E0" w14:paraId="6C00FCA7" w14:textId="77777777" w:rsidTr="00BD375F">
        <w:trPr>
          <w:trHeight w:val="288"/>
          <w:jc w:val="center"/>
        </w:trPr>
        <w:tc>
          <w:tcPr>
            <w:tcW w:w="2392" w:type="dxa"/>
            <w:tcBorders>
              <w:top w:val="nil"/>
              <w:left w:val="nil"/>
              <w:bottom w:val="nil"/>
              <w:right w:val="nil"/>
            </w:tcBorders>
            <w:shd w:val="clear" w:color="000000" w:fill="FFFFFF"/>
            <w:noWrap/>
            <w:vAlign w:val="bottom"/>
            <w:hideMark/>
          </w:tcPr>
          <w:p w14:paraId="0035C2F2" w14:textId="044EBDD9" w:rsidR="00DD1612" w:rsidRPr="003323E0" w:rsidRDefault="00797BE9" w:rsidP="00165522">
            <w:pPr>
              <w:jc w:val="center"/>
              <w:rPr>
                <w:rFonts w:ascii="Calibri" w:eastAsia="Times New Roman" w:hAnsi="Calibri" w:cs="Calibri"/>
                <w:color w:val="0D0D0D"/>
              </w:rPr>
            </w:pPr>
            <w:r w:rsidRPr="003323E0">
              <w:rPr>
                <w:rFonts w:ascii="Calibri" w:eastAsia="Times New Roman" w:hAnsi="Calibri" w:cs="Calibri"/>
                <w:color w:val="0D0D0D"/>
              </w:rPr>
              <w:t>203</w:t>
            </w:r>
            <w:r>
              <w:rPr>
                <w:rFonts w:ascii="Calibri" w:eastAsia="Times New Roman" w:hAnsi="Calibri" w:cs="Calibri"/>
                <w:color w:val="0D0D0D"/>
              </w:rPr>
              <w:t>4</w:t>
            </w:r>
            <w:r w:rsidR="00DD1612" w:rsidRPr="003323E0">
              <w:rPr>
                <w:rFonts w:ascii="Calibri" w:eastAsia="Times New Roman" w:hAnsi="Calibri" w:cs="Calibri"/>
                <w:color w:val="0D0D0D"/>
              </w:rPr>
              <w:t>-</w:t>
            </w:r>
            <w:r w:rsidRPr="003323E0">
              <w:rPr>
                <w:rFonts w:ascii="Calibri" w:eastAsia="Times New Roman" w:hAnsi="Calibri" w:cs="Calibri"/>
                <w:color w:val="0D0D0D"/>
              </w:rPr>
              <w:t>203</w:t>
            </w:r>
            <w:r>
              <w:rPr>
                <w:rFonts w:ascii="Calibri" w:eastAsia="Times New Roman" w:hAnsi="Calibri" w:cs="Calibri"/>
                <w:color w:val="0D0D0D"/>
              </w:rPr>
              <w:t>8</w:t>
            </w:r>
          </w:p>
        </w:tc>
        <w:tc>
          <w:tcPr>
            <w:tcW w:w="1337" w:type="dxa"/>
            <w:tcBorders>
              <w:top w:val="nil"/>
              <w:left w:val="nil"/>
              <w:bottom w:val="nil"/>
              <w:right w:val="nil"/>
            </w:tcBorders>
            <w:shd w:val="clear" w:color="000000" w:fill="FFFFFF"/>
            <w:noWrap/>
            <w:vAlign w:val="bottom"/>
            <w:hideMark/>
          </w:tcPr>
          <w:p w14:paraId="29845E49" w14:textId="45B9AAF6" w:rsidR="00DD1612" w:rsidRPr="00A504DA" w:rsidRDefault="00824F7F" w:rsidP="00BD375F">
            <w:pPr>
              <w:jc w:val="right"/>
              <w:rPr>
                <w:rFonts w:ascii="Calibri" w:eastAsia="Times New Roman" w:hAnsi="Calibri" w:cs="Calibri"/>
              </w:rPr>
            </w:pPr>
            <w:r w:rsidRPr="00A504DA">
              <w:rPr>
                <w:rFonts w:ascii="Calibri" w:hAnsi="Calibri"/>
              </w:rPr>
              <w:t>809</w:t>
            </w:r>
          </w:p>
        </w:tc>
        <w:tc>
          <w:tcPr>
            <w:tcW w:w="1337" w:type="dxa"/>
            <w:tcBorders>
              <w:top w:val="nil"/>
              <w:left w:val="nil"/>
              <w:bottom w:val="nil"/>
              <w:right w:val="nil"/>
            </w:tcBorders>
            <w:shd w:val="clear" w:color="auto" w:fill="auto"/>
            <w:noWrap/>
            <w:vAlign w:val="bottom"/>
            <w:hideMark/>
          </w:tcPr>
          <w:p w14:paraId="5621DBFA" w14:textId="7E6BF655" w:rsidR="00DD1612" w:rsidRPr="00A504DA" w:rsidRDefault="00DD1612" w:rsidP="009948C6">
            <w:pPr>
              <w:jc w:val="right"/>
              <w:rPr>
                <w:rFonts w:ascii="Calibri" w:eastAsia="Times New Roman" w:hAnsi="Calibri" w:cs="Calibri"/>
              </w:rPr>
            </w:pPr>
            <w:r w:rsidRPr="00A504DA">
              <w:rPr>
                <w:rFonts w:ascii="Calibri" w:hAnsi="Calibri"/>
              </w:rPr>
              <w:t>7</w:t>
            </w:r>
            <w:r w:rsidR="00824F7F" w:rsidRPr="00A504DA">
              <w:rPr>
                <w:rFonts w:ascii="Calibri" w:hAnsi="Calibri"/>
              </w:rPr>
              <w:t>6</w:t>
            </w:r>
          </w:p>
        </w:tc>
      </w:tr>
      <w:tr w:rsidR="00DD1612" w:rsidRPr="003323E0" w14:paraId="3C16C43C" w14:textId="77777777" w:rsidTr="00BD375F">
        <w:trPr>
          <w:trHeight w:val="288"/>
          <w:jc w:val="center"/>
        </w:trPr>
        <w:tc>
          <w:tcPr>
            <w:tcW w:w="2392" w:type="dxa"/>
            <w:tcBorders>
              <w:top w:val="nil"/>
              <w:left w:val="nil"/>
              <w:bottom w:val="nil"/>
              <w:right w:val="nil"/>
            </w:tcBorders>
            <w:shd w:val="clear" w:color="000000" w:fill="FFFFFF"/>
            <w:noWrap/>
            <w:vAlign w:val="bottom"/>
          </w:tcPr>
          <w:p w14:paraId="7CE99604" w14:textId="39225DC5" w:rsidR="00DD1612" w:rsidRPr="003323E0" w:rsidRDefault="00797BE9" w:rsidP="00165522">
            <w:pPr>
              <w:jc w:val="center"/>
              <w:rPr>
                <w:rFonts w:ascii="Calibri" w:eastAsia="Times New Roman" w:hAnsi="Calibri" w:cs="Calibri"/>
                <w:color w:val="0D0D0D"/>
              </w:rPr>
            </w:pPr>
            <w:r>
              <w:rPr>
                <w:rFonts w:ascii="Calibri" w:eastAsia="Times New Roman" w:hAnsi="Calibri" w:cs="Calibri"/>
                <w:color w:val="0D0D0D"/>
              </w:rPr>
              <w:t>2039</w:t>
            </w:r>
            <w:r w:rsidR="00DD1612">
              <w:rPr>
                <w:rFonts w:ascii="Calibri" w:eastAsia="Times New Roman" w:hAnsi="Calibri" w:cs="Calibri"/>
                <w:color w:val="0D0D0D"/>
              </w:rPr>
              <w:t>-</w:t>
            </w:r>
            <w:r>
              <w:rPr>
                <w:rFonts w:ascii="Calibri" w:eastAsia="Times New Roman" w:hAnsi="Calibri" w:cs="Calibri"/>
                <w:color w:val="0D0D0D"/>
              </w:rPr>
              <w:t>2043</w:t>
            </w:r>
          </w:p>
        </w:tc>
        <w:tc>
          <w:tcPr>
            <w:tcW w:w="1337" w:type="dxa"/>
            <w:tcBorders>
              <w:top w:val="nil"/>
              <w:left w:val="nil"/>
              <w:bottom w:val="nil"/>
              <w:right w:val="nil"/>
            </w:tcBorders>
            <w:shd w:val="clear" w:color="000000" w:fill="FFFFFF"/>
            <w:noWrap/>
            <w:vAlign w:val="bottom"/>
          </w:tcPr>
          <w:p w14:paraId="282D0154" w14:textId="2D7FE5A2" w:rsidR="00DD1612" w:rsidRPr="00A504DA" w:rsidRDefault="00824F7F" w:rsidP="00BD375F">
            <w:pPr>
              <w:jc w:val="right"/>
              <w:rPr>
                <w:rFonts w:ascii="Calibri" w:hAnsi="Calibri" w:cs="Calibri"/>
              </w:rPr>
            </w:pPr>
            <w:r w:rsidRPr="00A504DA">
              <w:rPr>
                <w:rFonts w:ascii="Calibri" w:hAnsi="Calibri"/>
              </w:rPr>
              <w:t>470</w:t>
            </w:r>
          </w:p>
        </w:tc>
        <w:tc>
          <w:tcPr>
            <w:tcW w:w="1337" w:type="dxa"/>
            <w:tcBorders>
              <w:top w:val="nil"/>
              <w:left w:val="nil"/>
              <w:bottom w:val="nil"/>
              <w:right w:val="nil"/>
            </w:tcBorders>
            <w:shd w:val="clear" w:color="auto" w:fill="auto"/>
            <w:noWrap/>
            <w:vAlign w:val="bottom"/>
          </w:tcPr>
          <w:p w14:paraId="6198C051" w14:textId="7D5B3B10" w:rsidR="00DD1612" w:rsidRPr="00A504DA" w:rsidRDefault="00DD1612" w:rsidP="009948C6">
            <w:pPr>
              <w:jc w:val="right"/>
              <w:rPr>
                <w:rFonts w:ascii="Calibri" w:hAnsi="Calibri" w:cs="Calibri"/>
              </w:rPr>
            </w:pPr>
            <w:r w:rsidRPr="00A504DA">
              <w:rPr>
                <w:rFonts w:ascii="Calibri" w:hAnsi="Calibri"/>
              </w:rPr>
              <w:t>2</w:t>
            </w:r>
            <w:r w:rsidR="00824F7F" w:rsidRPr="00A504DA">
              <w:rPr>
                <w:rFonts w:ascii="Calibri" w:hAnsi="Calibri"/>
              </w:rPr>
              <w:t>2</w:t>
            </w:r>
          </w:p>
        </w:tc>
      </w:tr>
      <w:tr w:rsidR="00DD1612" w:rsidRPr="003323E0" w14:paraId="67F96C87" w14:textId="77777777" w:rsidTr="00BD375F">
        <w:trPr>
          <w:trHeight w:val="288"/>
          <w:jc w:val="center"/>
        </w:trPr>
        <w:tc>
          <w:tcPr>
            <w:tcW w:w="2392" w:type="dxa"/>
            <w:tcBorders>
              <w:top w:val="nil"/>
              <w:left w:val="nil"/>
              <w:bottom w:val="nil"/>
              <w:right w:val="nil"/>
            </w:tcBorders>
            <w:shd w:val="clear" w:color="000000" w:fill="FFFFFF"/>
            <w:noWrap/>
            <w:vAlign w:val="bottom"/>
          </w:tcPr>
          <w:p w14:paraId="5072FF59" w14:textId="24BDF94A" w:rsidR="00DD1612" w:rsidRDefault="00797BE9" w:rsidP="002C6043">
            <w:pPr>
              <w:jc w:val="center"/>
              <w:rPr>
                <w:rFonts w:ascii="Calibri" w:eastAsia="Times New Roman" w:hAnsi="Calibri" w:cs="Calibri"/>
                <w:color w:val="0D0D0D"/>
              </w:rPr>
            </w:pPr>
            <w:r>
              <w:rPr>
                <w:rFonts w:ascii="Calibri" w:eastAsia="Times New Roman" w:hAnsi="Calibri" w:cs="Calibri"/>
                <w:color w:val="0D0D0D"/>
              </w:rPr>
              <w:t>2044</w:t>
            </w:r>
            <w:r w:rsidR="00DD1612">
              <w:rPr>
                <w:rFonts w:ascii="Calibri" w:eastAsia="Times New Roman" w:hAnsi="Calibri" w:cs="Calibri"/>
                <w:color w:val="0D0D0D"/>
              </w:rPr>
              <w:t>-</w:t>
            </w:r>
            <w:r w:rsidR="002C6043">
              <w:rPr>
                <w:rFonts w:ascii="Calibri" w:eastAsia="Times New Roman" w:hAnsi="Calibri" w:cs="Calibri"/>
                <w:color w:val="0D0D0D"/>
              </w:rPr>
              <w:t>2047</w:t>
            </w:r>
          </w:p>
        </w:tc>
        <w:tc>
          <w:tcPr>
            <w:tcW w:w="1337" w:type="dxa"/>
            <w:tcBorders>
              <w:top w:val="nil"/>
              <w:left w:val="nil"/>
              <w:bottom w:val="nil"/>
              <w:right w:val="nil"/>
            </w:tcBorders>
            <w:shd w:val="clear" w:color="000000" w:fill="FFFFFF"/>
            <w:noWrap/>
            <w:vAlign w:val="bottom"/>
          </w:tcPr>
          <w:p w14:paraId="66BAD318" w14:textId="05795587" w:rsidR="00DD1612" w:rsidRPr="00A504DA" w:rsidRDefault="00824F7F" w:rsidP="00BD375F">
            <w:pPr>
              <w:jc w:val="right"/>
              <w:rPr>
                <w:rFonts w:ascii="Calibri" w:hAnsi="Calibri" w:cs="Calibri"/>
              </w:rPr>
            </w:pPr>
            <w:r w:rsidRPr="00A504DA">
              <w:rPr>
                <w:rFonts w:ascii="Calibri" w:hAnsi="Calibri"/>
              </w:rPr>
              <w:t>164</w:t>
            </w:r>
          </w:p>
        </w:tc>
        <w:tc>
          <w:tcPr>
            <w:tcW w:w="1337" w:type="dxa"/>
            <w:tcBorders>
              <w:top w:val="nil"/>
              <w:left w:val="nil"/>
              <w:bottom w:val="nil"/>
              <w:right w:val="nil"/>
            </w:tcBorders>
            <w:shd w:val="clear" w:color="auto" w:fill="auto"/>
            <w:noWrap/>
            <w:vAlign w:val="bottom"/>
          </w:tcPr>
          <w:p w14:paraId="284130CA" w14:textId="7F17F765" w:rsidR="00DD1612" w:rsidRPr="00A504DA" w:rsidRDefault="00824F7F" w:rsidP="00BD375F">
            <w:pPr>
              <w:jc w:val="right"/>
              <w:rPr>
                <w:rFonts w:ascii="Calibri" w:hAnsi="Calibri" w:cs="Calibri"/>
              </w:rPr>
            </w:pPr>
            <w:r w:rsidRPr="00A504DA">
              <w:rPr>
                <w:rFonts w:ascii="Calibri" w:hAnsi="Calibri"/>
              </w:rPr>
              <w:t>2</w:t>
            </w:r>
          </w:p>
        </w:tc>
      </w:tr>
      <w:tr w:rsidR="00DD1612" w:rsidRPr="00F651F5" w14:paraId="4A6CA763" w14:textId="77777777" w:rsidTr="00BD375F">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66C56B41" w14:textId="77777777" w:rsidR="00DD1612" w:rsidRPr="003323E0" w:rsidRDefault="00DD1612" w:rsidP="00BD375F">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00688D"/>
              <w:left w:val="nil"/>
              <w:bottom w:val="double" w:sz="6" w:space="0" w:color="00688D"/>
              <w:right w:val="nil"/>
            </w:tcBorders>
            <w:shd w:val="clear" w:color="000000" w:fill="FFFFFF"/>
            <w:noWrap/>
            <w:vAlign w:val="bottom"/>
            <w:hideMark/>
          </w:tcPr>
          <w:p w14:paraId="3EB09240" w14:textId="735BA608" w:rsidR="00DD1612" w:rsidRPr="00A504DA" w:rsidRDefault="00DD1612" w:rsidP="009948C6">
            <w:pPr>
              <w:jc w:val="right"/>
              <w:rPr>
                <w:rFonts w:ascii="Calibri" w:eastAsia="Times New Roman" w:hAnsi="Calibri" w:cs="Calibri"/>
              </w:rPr>
            </w:pPr>
            <w:r w:rsidRPr="009948C6">
              <w:rPr>
                <w:rFonts w:ascii="Calibri" w:hAnsi="Calibri" w:cs="Calibri"/>
              </w:rPr>
              <w:t xml:space="preserve"> $ 3,</w:t>
            </w:r>
            <w:r w:rsidR="00824F7F" w:rsidRPr="009948C6">
              <w:rPr>
                <w:rFonts w:ascii="Calibri" w:hAnsi="Calibri" w:cs="Calibri"/>
              </w:rPr>
              <w:t>7</w:t>
            </w:r>
            <w:r w:rsidR="00824F7F" w:rsidRPr="00A504DA">
              <w:rPr>
                <w:rFonts w:ascii="Calibri" w:hAnsi="Calibri" w:cs="Calibri"/>
              </w:rPr>
              <w:t>83</w:t>
            </w:r>
            <w:r w:rsidR="00824F7F" w:rsidRPr="009948C6">
              <w:rPr>
                <w:rFonts w:ascii="Calibri" w:hAnsi="Calibri" w:cs="Calibri"/>
              </w:rPr>
              <w:t xml:space="preserve"> </w:t>
            </w:r>
          </w:p>
        </w:tc>
        <w:tc>
          <w:tcPr>
            <w:tcW w:w="1337" w:type="dxa"/>
            <w:tcBorders>
              <w:top w:val="single" w:sz="4" w:space="0" w:color="00688D"/>
              <w:left w:val="nil"/>
              <w:bottom w:val="double" w:sz="6" w:space="0" w:color="00688D"/>
              <w:right w:val="nil"/>
            </w:tcBorders>
            <w:shd w:val="clear" w:color="auto" w:fill="auto"/>
            <w:noWrap/>
            <w:vAlign w:val="bottom"/>
            <w:hideMark/>
          </w:tcPr>
          <w:p w14:paraId="16E781D6" w14:textId="20D1EB84" w:rsidR="00DD1612" w:rsidRPr="00A504DA" w:rsidRDefault="00DD1612" w:rsidP="009948C6">
            <w:pPr>
              <w:jc w:val="right"/>
              <w:rPr>
                <w:rFonts w:ascii="Calibri" w:eastAsia="Times New Roman" w:hAnsi="Calibri" w:cs="Calibri"/>
              </w:rPr>
            </w:pPr>
            <w:r w:rsidRPr="009948C6">
              <w:rPr>
                <w:rFonts w:ascii="Calibri" w:hAnsi="Calibri" w:cs="Calibri"/>
              </w:rPr>
              <w:t xml:space="preserve"> $  </w:t>
            </w:r>
            <w:r w:rsidR="00824F7F" w:rsidRPr="00A504DA">
              <w:rPr>
                <w:rFonts w:ascii="Calibri" w:hAnsi="Calibri" w:cs="Calibri"/>
              </w:rPr>
              <w:t>466</w:t>
            </w:r>
            <w:r w:rsidR="00824F7F" w:rsidRPr="009948C6">
              <w:rPr>
                <w:rFonts w:ascii="Calibri" w:hAnsi="Calibri" w:cs="Calibri"/>
              </w:rPr>
              <w:t xml:space="preserve"> </w:t>
            </w:r>
          </w:p>
        </w:tc>
      </w:tr>
    </w:tbl>
    <w:p w14:paraId="455E6718" w14:textId="77777777" w:rsidR="00DD1612" w:rsidRDefault="00DD1612" w:rsidP="00DD1612">
      <w:pPr>
        <w:spacing w:after="160" w:line="259" w:lineRule="auto"/>
        <w:rPr>
          <w:rFonts w:eastAsiaTheme="majorEastAsia" w:cstheme="minorHAnsi"/>
          <w:b/>
          <w:i/>
          <w:iCs/>
          <w:smallCaps/>
          <w:noProof/>
          <w:color w:val="000000" w:themeColor="text1"/>
          <w:sz w:val="26"/>
          <w:szCs w:val="26"/>
          <w:u w:color="5B9BD5"/>
        </w:rPr>
      </w:pPr>
      <w:r>
        <w:rPr>
          <w:rFonts w:cstheme="minorHAnsi"/>
          <w:sz w:val="26"/>
          <w:szCs w:val="26"/>
        </w:rPr>
        <w:br w:type="page"/>
      </w:r>
    </w:p>
    <w:p w14:paraId="51A5CD4C" w14:textId="77777777" w:rsidR="00DD1612" w:rsidRPr="00F54559" w:rsidRDefault="00DD1612" w:rsidP="00DD1612">
      <w:pPr>
        <w:pStyle w:val="AFR2"/>
        <w:rPr>
          <w:rFonts w:cstheme="minorHAnsi"/>
          <w:sz w:val="26"/>
          <w:szCs w:val="26"/>
        </w:rPr>
      </w:pPr>
      <w:r w:rsidRPr="00F54559">
        <w:rPr>
          <w:rFonts w:cstheme="minorHAnsi"/>
          <w:sz w:val="26"/>
          <w:szCs w:val="26"/>
        </w:rPr>
        <w:lastRenderedPageBreak/>
        <w:t>6. CAPITAL ASSETS</w:t>
      </w:r>
    </w:p>
    <w:p w14:paraId="60C1C4AF" w14:textId="77777777" w:rsidR="00DD1612" w:rsidRPr="00A504DA" w:rsidRDefault="00DD1612" w:rsidP="00DD1612">
      <w:pPr>
        <w:tabs>
          <w:tab w:val="left" w:pos="720"/>
          <w:tab w:val="left" w:pos="1440"/>
          <w:tab w:val="right" w:pos="4262"/>
          <w:tab w:val="right" w:pos="5220"/>
          <w:tab w:val="right" w:pos="6691"/>
          <w:tab w:val="right" w:pos="7621"/>
          <w:tab w:val="right" w:pos="9187"/>
        </w:tabs>
        <w:suppressAutoHyphens/>
        <w:spacing w:after="120"/>
        <w:rPr>
          <w:rFonts w:cstheme="minorHAnsi"/>
          <w:bCs/>
          <w:color w:val="000000" w:themeColor="text1"/>
          <w:spacing w:val="-3"/>
          <w:sz w:val="24"/>
        </w:rPr>
      </w:pPr>
      <w:r w:rsidRPr="00A504DA">
        <w:rPr>
          <w:rFonts w:cstheme="minorHAnsi"/>
          <w:bCs/>
          <w:color w:val="000000" w:themeColor="text1"/>
          <w:spacing w:val="-3"/>
          <w:sz w:val="24"/>
        </w:rPr>
        <w:t>Capital asset activity for the year ended June 30 is as follows:</w:t>
      </w:r>
    </w:p>
    <w:p w14:paraId="04A352E2" w14:textId="7CF1A9F3" w:rsidR="00DD1612" w:rsidRPr="00F54559" w:rsidRDefault="002D4879" w:rsidP="00DD1612">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2D4879">
        <w:rPr>
          <w:noProof/>
        </w:rPr>
        <w:drawing>
          <wp:inline distT="0" distB="0" distL="0" distR="0" wp14:anchorId="6C506B00" wp14:editId="6D480327">
            <wp:extent cx="5943600" cy="4143348"/>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143348"/>
                    </a:xfrm>
                    <a:prstGeom prst="rect">
                      <a:avLst/>
                    </a:prstGeom>
                    <a:noFill/>
                    <a:ln>
                      <a:noFill/>
                    </a:ln>
                  </pic:spPr>
                </pic:pic>
              </a:graphicData>
            </a:graphic>
          </wp:inline>
        </w:drawing>
      </w:r>
      <w:r w:rsidR="00DD1612">
        <w:rPr>
          <w:rFonts w:cstheme="minorHAnsi"/>
          <w:bCs/>
          <w:spacing w:val="-3"/>
          <w:sz w:val="24"/>
        </w:rPr>
        <w:fldChar w:fldCharType="begin"/>
      </w:r>
      <w:r w:rsidR="00DD1612">
        <w:rPr>
          <w:rFonts w:cstheme="minorHAnsi"/>
          <w:bCs/>
          <w:spacing w:val="-3"/>
          <w:sz w:val="24"/>
        </w:rPr>
        <w:fldChar w:fldCharType="end"/>
      </w:r>
    </w:p>
    <w:p w14:paraId="08AF4B66" w14:textId="77777777" w:rsidR="00DD1612" w:rsidRDefault="00DD1612" w:rsidP="00DD1612">
      <w:pPr>
        <w:spacing w:after="160" w:line="259" w:lineRule="auto"/>
        <w:rPr>
          <w:rFonts w:cstheme="minorHAnsi"/>
          <w:bCs/>
          <w:spacing w:val="-3"/>
          <w:sz w:val="24"/>
        </w:rPr>
      </w:pPr>
      <w:r>
        <w:rPr>
          <w:rFonts w:cstheme="minorHAnsi"/>
          <w:bCs/>
          <w:spacing w:val="-3"/>
          <w:sz w:val="24"/>
        </w:rPr>
        <w:br w:type="page"/>
      </w:r>
    </w:p>
    <w:p w14:paraId="47EC2A5F" w14:textId="77777777" w:rsidR="00DD1612" w:rsidRDefault="00DD1612" w:rsidP="00DD1612">
      <w:pPr>
        <w:tabs>
          <w:tab w:val="left" w:pos="720"/>
          <w:tab w:val="left" w:pos="1022"/>
          <w:tab w:val="left" w:pos="1440"/>
          <w:tab w:val="decimal" w:pos="6890"/>
          <w:tab w:val="decimal" w:pos="9454"/>
          <w:tab w:val="left" w:pos="10440"/>
        </w:tabs>
        <w:suppressAutoHyphens/>
        <w:spacing w:after="240"/>
        <w:rPr>
          <w:rFonts w:eastAsiaTheme="majorEastAsia" w:cstheme="minorHAnsi"/>
          <w:b/>
          <w:i/>
          <w:iCs/>
          <w:smallCaps/>
          <w:noProof/>
          <w:color w:val="000000" w:themeColor="text1"/>
          <w:sz w:val="26"/>
          <w:szCs w:val="26"/>
          <w:u w:color="5B9BD5"/>
        </w:rPr>
      </w:pPr>
      <w:r w:rsidRPr="00F54559">
        <w:rPr>
          <w:rFonts w:eastAsiaTheme="majorEastAsia" w:cstheme="minorHAnsi"/>
          <w:b/>
          <w:i/>
          <w:iCs/>
          <w:smallCaps/>
          <w:noProof/>
          <w:color w:val="000000" w:themeColor="text1"/>
          <w:sz w:val="26"/>
          <w:szCs w:val="26"/>
          <w:u w:color="5B9BD5"/>
        </w:rPr>
        <w:lastRenderedPageBreak/>
        <w:t>6. CAPITAL ASSETS - CONTINUED</w:t>
      </w:r>
    </w:p>
    <w:p w14:paraId="4A225FB2" w14:textId="77777777" w:rsidR="00DD1612" w:rsidRDefault="00DD1612" w:rsidP="00DD1612">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F54559">
        <w:rPr>
          <w:rFonts w:cstheme="minorHAnsi"/>
          <w:bCs/>
          <w:spacing w:val="-3"/>
          <w:sz w:val="24"/>
        </w:rPr>
        <w:t>Capital asset activity for the year ended June 30</w:t>
      </w:r>
      <w:r>
        <w:rPr>
          <w:rFonts w:cstheme="minorHAnsi"/>
          <w:bCs/>
          <w:spacing w:val="-3"/>
          <w:sz w:val="24"/>
        </w:rPr>
        <w:t xml:space="preserve"> </w:t>
      </w:r>
      <w:r w:rsidRPr="00F54559">
        <w:rPr>
          <w:rFonts w:cstheme="minorHAnsi"/>
          <w:bCs/>
          <w:spacing w:val="-3"/>
          <w:sz w:val="24"/>
        </w:rPr>
        <w:t>is as follows:</w:t>
      </w:r>
      <w:r>
        <w:rPr>
          <w:rFonts w:cstheme="minorHAnsi"/>
          <w:bCs/>
          <w:spacing w:val="-3"/>
          <w:sz w:val="24"/>
        </w:rPr>
        <w:t xml:space="preserve"> </w:t>
      </w:r>
    </w:p>
    <w:p w14:paraId="3D15C826" w14:textId="77777777" w:rsidR="00FF7E3D" w:rsidRDefault="002D4879" w:rsidP="00DD1612">
      <w:pPr>
        <w:tabs>
          <w:tab w:val="left" w:pos="720"/>
          <w:tab w:val="left" w:pos="1440"/>
          <w:tab w:val="right" w:pos="4262"/>
          <w:tab w:val="right" w:pos="5220"/>
          <w:tab w:val="right" w:pos="6691"/>
          <w:tab w:val="right" w:pos="7621"/>
          <w:tab w:val="right" w:pos="9187"/>
        </w:tabs>
        <w:suppressAutoHyphens/>
        <w:spacing w:after="160"/>
        <w:rPr>
          <w:rFonts w:cstheme="minorHAnsi"/>
          <w:bCs/>
          <w:spacing w:val="-3"/>
          <w:sz w:val="24"/>
        </w:rPr>
      </w:pPr>
      <w:r w:rsidRPr="002D4879">
        <w:rPr>
          <w:noProof/>
        </w:rPr>
        <w:drawing>
          <wp:inline distT="0" distB="0" distL="0" distR="0" wp14:anchorId="30C44C32" wp14:editId="7EADF0A4">
            <wp:extent cx="5943600" cy="3999099"/>
            <wp:effectExtent l="0" t="0" r="0"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999099"/>
                    </a:xfrm>
                    <a:prstGeom prst="rect">
                      <a:avLst/>
                    </a:prstGeom>
                    <a:noFill/>
                    <a:ln>
                      <a:noFill/>
                    </a:ln>
                  </pic:spPr>
                </pic:pic>
              </a:graphicData>
            </a:graphic>
          </wp:inline>
        </w:drawing>
      </w:r>
    </w:p>
    <w:p w14:paraId="23BDF9B2" w14:textId="0A78129A" w:rsidR="00DD1612" w:rsidRDefault="00DD1612" w:rsidP="00DD1612">
      <w:pPr>
        <w:tabs>
          <w:tab w:val="left" w:pos="720"/>
          <w:tab w:val="left" w:pos="1440"/>
          <w:tab w:val="right" w:pos="4262"/>
          <w:tab w:val="right" w:pos="5220"/>
          <w:tab w:val="right" w:pos="6691"/>
          <w:tab w:val="right" w:pos="7621"/>
          <w:tab w:val="right" w:pos="9187"/>
        </w:tabs>
        <w:suppressAutoHyphens/>
        <w:spacing w:after="160"/>
        <w:rPr>
          <w:rFonts w:cstheme="minorHAnsi"/>
          <w:bCs/>
          <w:spacing w:val="-3"/>
          <w:sz w:val="24"/>
        </w:rPr>
      </w:pPr>
    </w:p>
    <w:p w14:paraId="4A20E6D3" w14:textId="3608804E" w:rsidR="00DD1612" w:rsidRPr="00F54559" w:rsidRDefault="00DD1612" w:rsidP="00DD1612">
      <w:pPr>
        <w:tabs>
          <w:tab w:val="left" w:pos="720"/>
          <w:tab w:val="left" w:pos="1022"/>
          <w:tab w:val="left" w:pos="1440"/>
          <w:tab w:val="decimal" w:pos="6890"/>
          <w:tab w:val="decimal" w:pos="9454"/>
          <w:tab w:val="left" w:pos="10440"/>
        </w:tabs>
        <w:suppressAutoHyphens/>
        <w:rPr>
          <w:rFonts w:cstheme="minorHAnsi"/>
          <w:spacing w:val="-3"/>
          <w:sz w:val="24"/>
          <w:highlight w:val="yellow"/>
        </w:rPr>
      </w:pPr>
      <w:r>
        <w:rPr>
          <w:rFonts w:cstheme="minorHAnsi"/>
          <w:bCs/>
          <w:spacing w:val="-3"/>
          <w:sz w:val="24"/>
        </w:rPr>
        <w:fldChar w:fldCharType="begin"/>
      </w:r>
      <w:r>
        <w:rPr>
          <w:rFonts w:cstheme="minorHAnsi"/>
          <w:bCs/>
          <w:spacing w:val="-3"/>
          <w:sz w:val="24"/>
        </w:rPr>
        <w:fldChar w:fldCharType="end"/>
      </w:r>
      <w:r w:rsidRPr="00F54559">
        <w:rPr>
          <w:rFonts w:cstheme="minorHAnsi"/>
          <w:spacing w:val="-3"/>
          <w:sz w:val="24"/>
        </w:rPr>
        <w:t xml:space="preserve">As of June 30, </w:t>
      </w:r>
      <w:proofErr w:type="gramStart"/>
      <w:r w:rsidR="00D52AA1" w:rsidRPr="00F54559">
        <w:rPr>
          <w:rFonts w:cstheme="minorHAnsi"/>
          <w:spacing w:val="-3"/>
          <w:sz w:val="24"/>
        </w:rPr>
        <w:t>20</w:t>
      </w:r>
      <w:r w:rsidR="00D52AA1">
        <w:rPr>
          <w:rFonts w:cstheme="minorHAnsi"/>
          <w:spacing w:val="-3"/>
          <w:sz w:val="24"/>
        </w:rPr>
        <w:t>23</w:t>
      </w:r>
      <w:proofErr w:type="gramEnd"/>
      <w:r w:rsidR="00D52AA1" w:rsidRPr="00F54559">
        <w:rPr>
          <w:rFonts w:cstheme="minorHAnsi"/>
          <w:spacing w:val="-3"/>
          <w:sz w:val="24"/>
        </w:rPr>
        <w:t xml:space="preserve"> </w:t>
      </w:r>
      <w:r w:rsidRPr="00F54559">
        <w:rPr>
          <w:rFonts w:cstheme="minorHAnsi"/>
          <w:spacing w:val="-3"/>
          <w:sz w:val="24"/>
        </w:rPr>
        <w:t xml:space="preserve">and </w:t>
      </w:r>
      <w:r w:rsidR="00D52AA1" w:rsidRPr="00F54559">
        <w:rPr>
          <w:rFonts w:cstheme="minorHAnsi"/>
          <w:spacing w:val="-3"/>
          <w:sz w:val="24"/>
        </w:rPr>
        <w:t>20</w:t>
      </w:r>
      <w:r w:rsidR="00D52AA1">
        <w:rPr>
          <w:rFonts w:cstheme="minorHAnsi"/>
          <w:spacing w:val="-3"/>
          <w:sz w:val="24"/>
        </w:rPr>
        <w:t>22</w:t>
      </w:r>
      <w:r w:rsidRPr="00F54559">
        <w:rPr>
          <w:rFonts w:cstheme="minorHAnsi"/>
          <w:spacing w:val="-3"/>
          <w:sz w:val="24"/>
        </w:rPr>
        <w:t>, $</w:t>
      </w:r>
      <w:r w:rsidR="007257C7" w:rsidRPr="00A504DA">
        <w:rPr>
          <w:rFonts w:cstheme="minorHAnsi"/>
          <w:spacing w:val="-3"/>
          <w:sz w:val="24"/>
        </w:rPr>
        <w:t>26,443</w:t>
      </w:r>
      <w:r w:rsidRPr="00A504DA">
        <w:rPr>
          <w:rFonts w:cstheme="minorHAnsi"/>
          <w:spacing w:val="-3"/>
          <w:sz w:val="24"/>
        </w:rPr>
        <w:t xml:space="preserve"> </w:t>
      </w:r>
      <w:r w:rsidRPr="00F54559">
        <w:rPr>
          <w:rFonts w:cstheme="minorHAnsi"/>
          <w:spacing w:val="-3"/>
          <w:sz w:val="24"/>
        </w:rPr>
        <w:t>and $</w:t>
      </w:r>
      <w:r w:rsidR="00D52AA1" w:rsidRPr="00BB297B">
        <w:rPr>
          <w:rFonts w:cstheme="minorHAnsi"/>
          <w:spacing w:val="-3"/>
          <w:sz w:val="24"/>
        </w:rPr>
        <w:t>3,</w:t>
      </w:r>
      <w:r w:rsidR="00B84E79" w:rsidRPr="00BB297B">
        <w:rPr>
          <w:rFonts w:cstheme="minorHAnsi"/>
          <w:spacing w:val="-3"/>
          <w:sz w:val="24"/>
        </w:rPr>
        <w:t>6</w:t>
      </w:r>
      <w:r w:rsidR="00B84E79">
        <w:rPr>
          <w:rFonts w:cstheme="minorHAnsi"/>
          <w:spacing w:val="-3"/>
          <w:sz w:val="24"/>
        </w:rPr>
        <w:t>59</w:t>
      </w:r>
      <w:r w:rsidRPr="00F54559">
        <w:rPr>
          <w:rFonts w:cstheme="minorHAnsi"/>
          <w:spacing w:val="-3"/>
          <w:sz w:val="24"/>
        </w:rPr>
        <w:t xml:space="preserve">, respectively, in proceeds from </w:t>
      </w:r>
      <w:r>
        <w:rPr>
          <w:rFonts w:cstheme="minorHAnsi"/>
          <w:spacing w:val="-3"/>
          <w:sz w:val="24"/>
        </w:rPr>
        <w:t>debt</w:t>
      </w:r>
      <w:r w:rsidR="00541C5C">
        <w:rPr>
          <w:rFonts w:cstheme="minorHAnsi"/>
          <w:spacing w:val="-3"/>
          <w:sz w:val="24"/>
        </w:rPr>
        <w:t xml:space="preserve"> issuances remain unspent.</w:t>
      </w:r>
      <w:r w:rsidRPr="00F54559">
        <w:rPr>
          <w:rFonts w:cstheme="minorHAnsi"/>
          <w:spacing w:val="-3"/>
          <w:sz w:val="24"/>
        </w:rPr>
        <w:t xml:space="preserve"> These amounts are included in the accompanying Statements of Net Position as part of deposits with trustees</w:t>
      </w:r>
      <w:r>
        <w:rPr>
          <w:rFonts w:cstheme="minorHAnsi"/>
          <w:spacing w:val="-3"/>
          <w:sz w:val="24"/>
        </w:rPr>
        <w:t xml:space="preserve"> along with amounts restricted for debt service</w:t>
      </w:r>
      <w:r w:rsidRPr="00F54559">
        <w:rPr>
          <w:rFonts w:cstheme="minorHAnsi"/>
          <w:spacing w:val="-3"/>
          <w:sz w:val="24"/>
        </w:rPr>
        <w:t>.</w:t>
      </w:r>
    </w:p>
    <w:p w14:paraId="6B43F93A" w14:textId="77777777" w:rsidR="00DD1612" w:rsidRPr="00F54559"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p>
    <w:p w14:paraId="29BD1856" w14:textId="280877D5" w:rsidR="00DD1612" w:rsidRPr="00E9152E"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 xml:space="preserve">Also remaining unspent as of June 30, </w:t>
      </w:r>
      <w:r w:rsidR="00D52AA1" w:rsidRPr="00F54559">
        <w:rPr>
          <w:rFonts w:cstheme="minorHAnsi"/>
          <w:spacing w:val="-3"/>
          <w:sz w:val="24"/>
        </w:rPr>
        <w:t>20</w:t>
      </w:r>
      <w:r w:rsidR="00D52AA1">
        <w:rPr>
          <w:rFonts w:cstheme="minorHAnsi"/>
          <w:spacing w:val="-3"/>
          <w:sz w:val="24"/>
        </w:rPr>
        <w:t>23</w:t>
      </w:r>
      <w:r w:rsidR="00D52AA1" w:rsidRPr="00F54559">
        <w:rPr>
          <w:rFonts w:cstheme="minorHAnsi"/>
          <w:spacing w:val="-3"/>
          <w:sz w:val="24"/>
        </w:rPr>
        <w:t xml:space="preserve"> </w:t>
      </w:r>
      <w:r w:rsidRPr="00F54559">
        <w:rPr>
          <w:rFonts w:cstheme="minorHAnsi"/>
          <w:spacing w:val="-3"/>
          <w:sz w:val="24"/>
        </w:rPr>
        <w:t xml:space="preserve">and </w:t>
      </w:r>
      <w:r w:rsidR="00D52AA1" w:rsidRPr="00F54559">
        <w:rPr>
          <w:rFonts w:cstheme="minorHAnsi"/>
          <w:spacing w:val="-3"/>
          <w:sz w:val="24"/>
        </w:rPr>
        <w:t>20</w:t>
      </w:r>
      <w:r w:rsidR="00D52AA1">
        <w:rPr>
          <w:rFonts w:cstheme="minorHAnsi"/>
          <w:spacing w:val="-3"/>
          <w:sz w:val="24"/>
        </w:rPr>
        <w:t>22</w:t>
      </w:r>
      <w:r w:rsidR="00D52AA1" w:rsidRPr="00F54559">
        <w:rPr>
          <w:rFonts w:cstheme="minorHAnsi"/>
          <w:spacing w:val="-3"/>
          <w:sz w:val="24"/>
        </w:rPr>
        <w:t xml:space="preserve"> </w:t>
      </w:r>
      <w:r w:rsidRPr="00F54559">
        <w:rPr>
          <w:rFonts w:cstheme="minorHAnsi"/>
          <w:spacing w:val="-3"/>
          <w:sz w:val="24"/>
        </w:rPr>
        <w:t>is $</w:t>
      </w:r>
      <w:r w:rsidR="0003250F" w:rsidRPr="00316B2A">
        <w:rPr>
          <w:rFonts w:cstheme="minorHAnsi"/>
          <w:spacing w:val="-3"/>
          <w:sz w:val="24"/>
        </w:rPr>
        <w:t>4,257</w:t>
      </w:r>
      <w:r w:rsidRPr="0003250F">
        <w:rPr>
          <w:rFonts w:cstheme="minorHAnsi"/>
          <w:spacing w:val="-3"/>
          <w:sz w:val="24"/>
        </w:rPr>
        <w:t xml:space="preserve"> </w:t>
      </w:r>
      <w:r w:rsidRPr="00F54559">
        <w:rPr>
          <w:rFonts w:cstheme="minorHAnsi"/>
          <w:spacing w:val="-3"/>
          <w:sz w:val="24"/>
        </w:rPr>
        <w:t>and $</w:t>
      </w:r>
      <w:r w:rsidR="00D52AA1" w:rsidRPr="00BB297B">
        <w:rPr>
          <w:rFonts w:cstheme="minorHAnsi"/>
          <w:spacing w:val="-3"/>
          <w:sz w:val="24"/>
        </w:rPr>
        <w:t>15,756</w:t>
      </w:r>
      <w:r w:rsidRPr="00F54559">
        <w:rPr>
          <w:rFonts w:cstheme="minorHAnsi"/>
          <w:spacing w:val="-3"/>
          <w:sz w:val="24"/>
        </w:rPr>
        <w:t xml:space="preserve">, respectively, in capital appropriations </w:t>
      </w:r>
      <w:r w:rsidR="00541C5C">
        <w:rPr>
          <w:rFonts w:cstheme="minorHAnsi"/>
          <w:spacing w:val="-3"/>
          <w:sz w:val="24"/>
        </w:rPr>
        <w:t xml:space="preserve">awarded by the State of Maine. </w:t>
      </w:r>
      <w:r w:rsidRPr="00F54559">
        <w:rPr>
          <w:rFonts w:cstheme="minorHAnsi"/>
          <w:spacing w:val="-3"/>
          <w:sz w:val="24"/>
        </w:rPr>
        <w:t>These amounts are not included in the accompanying financial statements because the System has not met all eligibility requirements (e.g., incurred costs).</w:t>
      </w:r>
    </w:p>
    <w:p w14:paraId="565B753B" w14:textId="77777777" w:rsidR="00DD1612" w:rsidRPr="00F54559"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p>
    <w:p w14:paraId="0DAD380C" w14:textId="13E49E1D" w:rsidR="00DD1612" w:rsidRPr="00F54559"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 xml:space="preserve">Both the </w:t>
      </w:r>
      <w:r>
        <w:rPr>
          <w:rFonts w:cstheme="minorHAnsi"/>
          <w:spacing w:val="-3"/>
          <w:sz w:val="24"/>
        </w:rPr>
        <w:t>debt proceeds</w:t>
      </w:r>
      <w:r w:rsidRPr="00F54559">
        <w:rPr>
          <w:rFonts w:cstheme="minorHAnsi"/>
          <w:spacing w:val="-3"/>
          <w:sz w:val="24"/>
        </w:rPr>
        <w:t xml:space="preserve"> and capital appropriation monies are earmarked for specific projects, most of which are capital construction projects.</w:t>
      </w:r>
      <w:r w:rsidR="00541C5C">
        <w:rPr>
          <w:rFonts w:cstheme="minorHAnsi"/>
          <w:spacing w:val="-3"/>
          <w:sz w:val="24"/>
        </w:rPr>
        <w:t xml:space="preserve"> </w:t>
      </w:r>
      <w:r w:rsidRPr="00F54559">
        <w:rPr>
          <w:rFonts w:cstheme="minorHAnsi"/>
          <w:spacing w:val="-3"/>
          <w:sz w:val="24"/>
        </w:rPr>
        <w:t>As monies are spent on these projects, the costs are included in capital assets in the accompanying Statements of Net Position.</w:t>
      </w:r>
    </w:p>
    <w:p w14:paraId="494BCF25" w14:textId="77777777" w:rsidR="00DD1612" w:rsidRPr="00F54559"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p>
    <w:p w14:paraId="7C568D6A" w14:textId="1D4159BB" w:rsidR="00DD1612" w:rsidRDefault="00DD1612" w:rsidP="00DD1612">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Outstanding commitments on uncompleted construction contracts totaled $</w:t>
      </w:r>
      <w:r w:rsidR="00E82ABF" w:rsidRPr="00A504DA">
        <w:rPr>
          <w:rFonts w:cstheme="minorHAnsi"/>
          <w:spacing w:val="-3"/>
          <w:sz w:val="24"/>
        </w:rPr>
        <w:t>46,730</w:t>
      </w:r>
      <w:r w:rsidRPr="00D00088">
        <w:rPr>
          <w:rFonts w:cstheme="minorHAnsi"/>
          <w:spacing w:val="-3"/>
          <w:sz w:val="24"/>
        </w:rPr>
        <w:t xml:space="preserve"> </w:t>
      </w:r>
      <w:r w:rsidRPr="00F54559">
        <w:rPr>
          <w:rFonts w:cstheme="minorHAnsi"/>
          <w:spacing w:val="-3"/>
          <w:sz w:val="24"/>
        </w:rPr>
        <w:t>and $</w:t>
      </w:r>
      <w:r w:rsidR="00A301E7" w:rsidRPr="00BB297B">
        <w:rPr>
          <w:rFonts w:cstheme="minorHAnsi"/>
          <w:spacing w:val="-3"/>
          <w:sz w:val="24"/>
        </w:rPr>
        <w:t>69,160</w:t>
      </w:r>
      <w:r w:rsidR="00A301E7" w:rsidRPr="00534C17">
        <w:rPr>
          <w:rFonts w:cstheme="minorHAnsi"/>
          <w:spacing w:val="-3"/>
          <w:sz w:val="24"/>
        </w:rPr>
        <w:t xml:space="preserve"> </w:t>
      </w:r>
      <w:r w:rsidRPr="00F54559">
        <w:rPr>
          <w:rFonts w:cstheme="minorHAnsi"/>
          <w:spacing w:val="-3"/>
          <w:sz w:val="24"/>
        </w:rPr>
        <w:t>at June 30, 20</w:t>
      </w:r>
      <w:r>
        <w:rPr>
          <w:rFonts w:cstheme="minorHAnsi"/>
          <w:spacing w:val="-3"/>
          <w:sz w:val="24"/>
        </w:rPr>
        <w:t>2</w:t>
      </w:r>
      <w:r w:rsidR="00A301E7">
        <w:rPr>
          <w:rFonts w:cstheme="minorHAnsi"/>
          <w:spacing w:val="-3"/>
          <w:sz w:val="24"/>
        </w:rPr>
        <w:t>3</w:t>
      </w:r>
      <w:r w:rsidRPr="00F54559">
        <w:rPr>
          <w:rFonts w:cstheme="minorHAnsi"/>
          <w:spacing w:val="-3"/>
          <w:sz w:val="24"/>
        </w:rPr>
        <w:t xml:space="preserve"> and 20</w:t>
      </w:r>
      <w:r>
        <w:rPr>
          <w:rFonts w:cstheme="minorHAnsi"/>
          <w:spacing w:val="-3"/>
          <w:sz w:val="24"/>
        </w:rPr>
        <w:t>2</w:t>
      </w:r>
      <w:r w:rsidR="00A301E7">
        <w:rPr>
          <w:rFonts w:cstheme="minorHAnsi"/>
          <w:spacing w:val="-3"/>
          <w:sz w:val="24"/>
        </w:rPr>
        <w:t>2</w:t>
      </w:r>
      <w:r w:rsidRPr="00F54559">
        <w:rPr>
          <w:rFonts w:cstheme="minorHAnsi"/>
          <w:spacing w:val="-3"/>
          <w:sz w:val="24"/>
        </w:rPr>
        <w:t>, respectively.</w:t>
      </w:r>
    </w:p>
    <w:p w14:paraId="1F7C0695" w14:textId="77777777" w:rsidR="00DD1612" w:rsidRDefault="00DD1612" w:rsidP="00DD1612">
      <w:pPr>
        <w:pStyle w:val="AFR2"/>
        <w:rPr>
          <w:rFonts w:cstheme="minorHAnsi"/>
          <w:sz w:val="26"/>
          <w:szCs w:val="26"/>
        </w:rPr>
      </w:pPr>
      <w:r>
        <w:rPr>
          <w:rFonts w:cstheme="minorHAnsi"/>
          <w:sz w:val="26"/>
          <w:szCs w:val="26"/>
        </w:rPr>
        <w:br w:type="page"/>
      </w:r>
    </w:p>
    <w:p w14:paraId="74154B55" w14:textId="77777777" w:rsidR="00DD1612" w:rsidRPr="00243894" w:rsidRDefault="00DD1612" w:rsidP="00DD1612">
      <w:pPr>
        <w:pStyle w:val="AFR2"/>
        <w:rPr>
          <w:rFonts w:cstheme="minorHAnsi"/>
          <w:sz w:val="26"/>
          <w:szCs w:val="26"/>
        </w:rPr>
      </w:pPr>
      <w:r w:rsidRPr="00243894">
        <w:rPr>
          <w:rFonts w:cstheme="minorHAnsi"/>
          <w:sz w:val="26"/>
          <w:szCs w:val="26"/>
        </w:rPr>
        <w:lastRenderedPageBreak/>
        <w:t>7. ACCRUED LIABILITIES</w:t>
      </w:r>
      <w:r>
        <w:rPr>
          <w:rFonts w:cstheme="minorHAnsi"/>
          <w:sz w:val="26"/>
          <w:szCs w:val="26"/>
        </w:rPr>
        <w:t>, LEASE LIABILITIES</w:t>
      </w:r>
      <w:r w:rsidRPr="00243894">
        <w:rPr>
          <w:rFonts w:cstheme="minorHAnsi"/>
          <w:sz w:val="26"/>
          <w:szCs w:val="26"/>
        </w:rPr>
        <w:t xml:space="preserve"> AND LONG-TERM DEBT</w:t>
      </w:r>
    </w:p>
    <w:p w14:paraId="147806DE" w14:textId="1B044E9C" w:rsidR="00DD1612" w:rsidRDefault="00DD1612" w:rsidP="006E2801">
      <w:pPr>
        <w:tabs>
          <w:tab w:val="left" w:pos="720"/>
          <w:tab w:val="left" w:pos="1022"/>
          <w:tab w:val="left" w:pos="1440"/>
          <w:tab w:val="decimal" w:pos="6890"/>
          <w:tab w:val="decimal" w:pos="9454"/>
        </w:tabs>
        <w:suppressAutoHyphens/>
      </w:pPr>
      <w:r w:rsidRPr="00F52338">
        <w:rPr>
          <w:rFonts w:cstheme="minorHAnsi"/>
          <w:bCs/>
          <w:spacing w:val="-3"/>
          <w:sz w:val="24"/>
        </w:rPr>
        <w:t>Changes in accrued liabilities</w:t>
      </w:r>
      <w:r>
        <w:rPr>
          <w:rFonts w:cstheme="minorHAnsi"/>
          <w:bCs/>
          <w:spacing w:val="-3"/>
          <w:sz w:val="24"/>
        </w:rPr>
        <w:t xml:space="preserve">, </w:t>
      </w:r>
      <w:r w:rsidR="008D2D2C">
        <w:rPr>
          <w:rFonts w:cstheme="minorHAnsi"/>
          <w:bCs/>
          <w:spacing w:val="-3"/>
          <w:sz w:val="24"/>
        </w:rPr>
        <w:t>obligations for right</w:t>
      </w:r>
      <w:r w:rsidR="00421BDD">
        <w:rPr>
          <w:rFonts w:cstheme="minorHAnsi"/>
          <w:bCs/>
          <w:spacing w:val="-3"/>
          <w:sz w:val="24"/>
        </w:rPr>
        <w:t xml:space="preserve"> of </w:t>
      </w:r>
      <w:r w:rsidR="008D2D2C">
        <w:rPr>
          <w:rFonts w:cstheme="minorHAnsi"/>
          <w:bCs/>
          <w:spacing w:val="-3"/>
          <w:sz w:val="24"/>
        </w:rPr>
        <w:t>use assets</w:t>
      </w:r>
      <w:r w:rsidRPr="00F54559">
        <w:rPr>
          <w:rFonts w:cstheme="minorHAnsi"/>
          <w:bCs/>
          <w:spacing w:val="-3"/>
          <w:sz w:val="24"/>
        </w:rPr>
        <w:t xml:space="preserve"> and long-term debt during the year ended June 30</w:t>
      </w:r>
      <w:r>
        <w:rPr>
          <w:rFonts w:cstheme="minorHAnsi"/>
          <w:bCs/>
          <w:spacing w:val="-3"/>
          <w:sz w:val="24"/>
        </w:rPr>
        <w:t xml:space="preserve"> </w:t>
      </w:r>
      <w:r w:rsidRPr="00F54559">
        <w:rPr>
          <w:rFonts w:cstheme="minorHAnsi"/>
          <w:bCs/>
          <w:spacing w:val="-3"/>
          <w:sz w:val="24"/>
        </w:rPr>
        <w:t>include the following:</w:t>
      </w:r>
      <w:r w:rsidRPr="009560F5" w:rsidDel="00534C85">
        <w:t xml:space="preserve"> </w:t>
      </w:r>
      <w:r w:rsidR="000B0C8B" w:rsidRPr="000B0C8B" w:rsidDel="000B0C8B">
        <w:t xml:space="preserve"> </w:t>
      </w:r>
    </w:p>
    <w:p w14:paraId="174AA8FD" w14:textId="3D58A6FB" w:rsidR="00B623F2" w:rsidRDefault="00B623F2" w:rsidP="00DD1612">
      <w:pPr>
        <w:tabs>
          <w:tab w:val="left" w:pos="720"/>
          <w:tab w:val="left" w:pos="1022"/>
          <w:tab w:val="left" w:pos="1440"/>
          <w:tab w:val="decimal" w:pos="6890"/>
          <w:tab w:val="decimal" w:pos="9454"/>
        </w:tabs>
        <w:suppressAutoHyphens/>
        <w:rPr>
          <w:rFonts w:cstheme="minorHAnsi"/>
          <w:bCs/>
          <w:spacing w:val="-3"/>
          <w:sz w:val="24"/>
        </w:rPr>
      </w:pPr>
    </w:p>
    <w:p w14:paraId="2C287996" w14:textId="14605E75" w:rsidR="006E2801" w:rsidRDefault="00AB7357" w:rsidP="00DD1612">
      <w:pPr>
        <w:tabs>
          <w:tab w:val="left" w:pos="720"/>
          <w:tab w:val="left" w:pos="1022"/>
          <w:tab w:val="left" w:pos="1440"/>
          <w:tab w:val="decimal" w:pos="6890"/>
          <w:tab w:val="decimal" w:pos="9454"/>
        </w:tabs>
        <w:suppressAutoHyphens/>
        <w:rPr>
          <w:rFonts w:cstheme="minorHAnsi"/>
          <w:bCs/>
          <w:spacing w:val="-3"/>
          <w:sz w:val="24"/>
        </w:rPr>
      </w:pPr>
      <w:r w:rsidRPr="00AB7357">
        <w:rPr>
          <w:noProof/>
        </w:rPr>
        <w:drawing>
          <wp:inline distT="0" distB="0" distL="0" distR="0" wp14:anchorId="691E5FA9" wp14:editId="40D5BBB9">
            <wp:extent cx="6094645" cy="3319200"/>
            <wp:effectExtent l="0" t="0" r="190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9578" cy="3338225"/>
                    </a:xfrm>
                    <a:prstGeom prst="rect">
                      <a:avLst/>
                    </a:prstGeom>
                    <a:noFill/>
                    <a:ln>
                      <a:noFill/>
                    </a:ln>
                  </pic:spPr>
                </pic:pic>
              </a:graphicData>
            </a:graphic>
          </wp:inline>
        </w:drawing>
      </w:r>
    </w:p>
    <w:p w14:paraId="501468A6" w14:textId="0EF6D1BF" w:rsidR="00AB7357" w:rsidRDefault="00E9331F" w:rsidP="00DD1612">
      <w:pPr>
        <w:tabs>
          <w:tab w:val="left" w:pos="720"/>
          <w:tab w:val="left" w:pos="1022"/>
          <w:tab w:val="left" w:pos="1440"/>
          <w:tab w:val="decimal" w:pos="6890"/>
          <w:tab w:val="decimal" w:pos="9454"/>
        </w:tabs>
        <w:suppressAutoHyphens/>
        <w:rPr>
          <w:rFonts w:cstheme="minorHAnsi"/>
          <w:bCs/>
          <w:spacing w:val="-3"/>
          <w:sz w:val="24"/>
        </w:rPr>
      </w:pPr>
      <w:r w:rsidRPr="00F54559">
        <w:rPr>
          <w:rFonts w:cstheme="minorHAnsi"/>
          <w:bCs/>
          <w:spacing w:val="-3"/>
          <w:sz w:val="24"/>
        </w:rPr>
        <w:t>Changes in accrued liabilities</w:t>
      </w:r>
      <w:r>
        <w:rPr>
          <w:rFonts w:cstheme="minorHAnsi"/>
          <w:bCs/>
          <w:spacing w:val="-3"/>
          <w:sz w:val="24"/>
        </w:rPr>
        <w:t>, lease liabilities</w:t>
      </w:r>
      <w:r w:rsidRPr="00F54559">
        <w:rPr>
          <w:rFonts w:cstheme="minorHAnsi"/>
          <w:bCs/>
          <w:spacing w:val="-3"/>
          <w:sz w:val="24"/>
        </w:rPr>
        <w:t xml:space="preserve"> and long-term debt during the year ended June 30</w:t>
      </w:r>
      <w:r>
        <w:rPr>
          <w:rFonts w:cstheme="minorHAnsi"/>
          <w:bCs/>
          <w:spacing w:val="-3"/>
          <w:sz w:val="24"/>
        </w:rPr>
        <w:t xml:space="preserve"> </w:t>
      </w:r>
      <w:r w:rsidRPr="00F54559">
        <w:rPr>
          <w:rFonts w:cstheme="minorHAnsi"/>
          <w:bCs/>
          <w:spacing w:val="-3"/>
          <w:sz w:val="24"/>
        </w:rPr>
        <w:t>include the following:</w:t>
      </w:r>
    </w:p>
    <w:p w14:paraId="794D481E" w14:textId="0FF2847A" w:rsidR="00DD1612" w:rsidRDefault="00AB7357" w:rsidP="00204D21">
      <w:pPr>
        <w:tabs>
          <w:tab w:val="left" w:pos="720"/>
          <w:tab w:val="left" w:pos="1022"/>
          <w:tab w:val="left" w:pos="1440"/>
          <w:tab w:val="decimal" w:pos="6890"/>
          <w:tab w:val="decimal" w:pos="9454"/>
        </w:tabs>
        <w:suppressAutoHyphens/>
        <w:rPr>
          <w:rFonts w:eastAsiaTheme="majorEastAsia" w:cstheme="minorHAnsi"/>
          <w:b/>
          <w:i/>
          <w:iCs/>
          <w:smallCaps/>
          <w:noProof/>
          <w:color w:val="000000" w:themeColor="text1"/>
          <w:sz w:val="26"/>
          <w:szCs w:val="26"/>
          <w:u w:color="5B9BD5"/>
        </w:rPr>
      </w:pPr>
      <w:r w:rsidRPr="00AB7357">
        <w:rPr>
          <w:noProof/>
        </w:rPr>
        <w:drawing>
          <wp:inline distT="0" distB="0" distL="0" distR="0" wp14:anchorId="6E7E0845" wp14:editId="628F8531">
            <wp:extent cx="6076800" cy="3309481"/>
            <wp:effectExtent l="0" t="0" r="635"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5578" cy="3319708"/>
                    </a:xfrm>
                    <a:prstGeom prst="rect">
                      <a:avLst/>
                    </a:prstGeom>
                    <a:noFill/>
                    <a:ln>
                      <a:noFill/>
                    </a:ln>
                  </pic:spPr>
                </pic:pic>
              </a:graphicData>
            </a:graphic>
          </wp:inline>
        </w:drawing>
      </w:r>
      <w:r w:rsidRPr="00AB7357" w:rsidDel="00AB7357">
        <w:t xml:space="preserve"> </w:t>
      </w:r>
      <w:r w:rsidR="000B0C8B" w:rsidRPr="000B0C8B" w:rsidDel="000B0C8B">
        <w:t xml:space="preserve"> </w:t>
      </w:r>
      <w:r w:rsidR="00DD1612">
        <w:rPr>
          <w:rFonts w:eastAsiaTheme="majorEastAsia" w:cstheme="minorHAnsi"/>
          <w:b/>
          <w:i/>
          <w:iCs/>
          <w:smallCaps/>
          <w:noProof/>
          <w:color w:val="000000" w:themeColor="text1"/>
          <w:sz w:val="26"/>
          <w:szCs w:val="26"/>
          <w:u w:color="5B9BD5"/>
        </w:rPr>
        <w:fldChar w:fldCharType="begin"/>
      </w:r>
      <w:r w:rsidR="00DD1612">
        <w:rPr>
          <w:rFonts w:eastAsiaTheme="majorEastAsia" w:cstheme="minorHAnsi"/>
          <w:b/>
          <w:i/>
          <w:iCs/>
          <w:smallCaps/>
          <w:noProof/>
          <w:color w:val="000000" w:themeColor="text1"/>
          <w:sz w:val="26"/>
          <w:szCs w:val="26"/>
          <w:u w:color="5B9BD5"/>
        </w:rPr>
        <w:fldChar w:fldCharType="end"/>
      </w:r>
      <w:r w:rsidR="00DD1612">
        <w:rPr>
          <w:rFonts w:eastAsiaTheme="majorEastAsia" w:cstheme="minorHAnsi"/>
          <w:b/>
          <w:i/>
          <w:iCs/>
          <w:smallCaps/>
          <w:noProof/>
          <w:color w:val="000000" w:themeColor="text1"/>
          <w:sz w:val="26"/>
          <w:szCs w:val="26"/>
          <w:u w:color="5B9BD5"/>
        </w:rPr>
        <w:br w:type="page"/>
      </w:r>
    </w:p>
    <w:p w14:paraId="24D49E43" w14:textId="57CDBCB5" w:rsidR="00DD1612" w:rsidRPr="00F54559" w:rsidRDefault="00DD1612" w:rsidP="00DD1612">
      <w:pPr>
        <w:tabs>
          <w:tab w:val="left" w:pos="720"/>
          <w:tab w:val="left" w:pos="1022"/>
          <w:tab w:val="left" w:pos="1440"/>
          <w:tab w:val="decimal" w:pos="6890"/>
          <w:tab w:val="decimal" w:pos="9454"/>
        </w:tabs>
        <w:suppressAutoHyphens/>
        <w:spacing w:before="120" w:after="120"/>
        <w:rPr>
          <w:rFonts w:cstheme="minorHAnsi"/>
          <w:bCs/>
          <w:spacing w:val="-3"/>
          <w:sz w:val="24"/>
        </w:rPr>
      </w:pPr>
      <w:r w:rsidRPr="00F54559">
        <w:rPr>
          <w:rFonts w:eastAsiaTheme="majorEastAsia" w:cstheme="minorHAnsi"/>
          <w:b/>
          <w:i/>
          <w:iCs/>
          <w:smallCaps/>
          <w:noProof/>
          <w:color w:val="000000" w:themeColor="text1"/>
          <w:sz w:val="26"/>
          <w:szCs w:val="26"/>
          <w:u w:color="5B9BD5"/>
        </w:rPr>
        <w:lastRenderedPageBreak/>
        <w:t>7. ACCRUED LIABILITIES</w:t>
      </w:r>
      <w:r>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w:t>
      </w:r>
      <w:r w:rsidRPr="00121C9D">
        <w:rPr>
          <w:rFonts w:cstheme="minorHAnsi"/>
          <w:b/>
          <w:i/>
          <w:sz w:val="26"/>
          <w:szCs w:val="26"/>
        </w:rPr>
        <w:t>LEASE LIABILITIES</w:t>
      </w:r>
      <w:r w:rsidRPr="00243894">
        <w:rPr>
          <w:rFonts w:cstheme="minorHAnsi"/>
          <w:sz w:val="26"/>
          <w:szCs w:val="26"/>
        </w:rPr>
        <w:t xml:space="preserve"> </w:t>
      </w:r>
      <w:r w:rsidR="00541C5C">
        <w:rPr>
          <w:rFonts w:eastAsiaTheme="majorEastAsia" w:cstheme="minorHAnsi"/>
          <w:b/>
          <w:i/>
          <w:iCs/>
          <w:smallCaps/>
          <w:noProof/>
          <w:color w:val="000000" w:themeColor="text1"/>
          <w:sz w:val="26"/>
          <w:szCs w:val="26"/>
          <w:u w:color="5B9BD5"/>
        </w:rPr>
        <w:t xml:space="preserve">AND LONG-TERM DEBT </w:t>
      </w:r>
      <w:r w:rsidRPr="00F54559">
        <w:rPr>
          <w:rFonts w:eastAsiaTheme="majorEastAsia" w:cstheme="minorHAnsi"/>
          <w:b/>
          <w:i/>
          <w:iCs/>
          <w:smallCaps/>
          <w:noProof/>
          <w:color w:val="000000" w:themeColor="text1"/>
          <w:sz w:val="26"/>
          <w:szCs w:val="26"/>
          <w:u w:color="5B9BD5"/>
        </w:rPr>
        <w:t>- CONTINUED</w:t>
      </w:r>
      <w:r>
        <w:rPr>
          <w:rFonts w:cstheme="minorHAnsi"/>
          <w:bCs/>
          <w:spacing w:val="-3"/>
          <w:sz w:val="24"/>
        </w:rPr>
        <w:fldChar w:fldCharType="begin"/>
      </w:r>
      <w:r>
        <w:rPr>
          <w:rFonts w:cstheme="minorHAnsi"/>
          <w:bCs/>
          <w:spacing w:val="-3"/>
          <w:sz w:val="24"/>
        </w:rPr>
        <w:fldChar w:fldCharType="end"/>
      </w:r>
    </w:p>
    <w:p w14:paraId="0BC83175" w14:textId="1737F53E" w:rsidR="00DD1612" w:rsidRPr="00F54559" w:rsidRDefault="00DD1612" w:rsidP="00DD1612">
      <w:pPr>
        <w:pStyle w:val="AFR3"/>
        <w:rPr>
          <w:rFonts w:cstheme="minorHAnsi"/>
        </w:rPr>
      </w:pPr>
      <w:r w:rsidRPr="00F54559">
        <w:rPr>
          <w:rFonts w:cstheme="minorHAnsi"/>
        </w:rPr>
        <w:t xml:space="preserve">a. </w:t>
      </w:r>
      <w:r w:rsidR="008D2D2C">
        <w:rPr>
          <w:rFonts w:cstheme="minorHAnsi"/>
        </w:rPr>
        <w:t>Obligations for right</w:t>
      </w:r>
      <w:r w:rsidR="00421BDD">
        <w:rPr>
          <w:rFonts w:cstheme="minorHAnsi"/>
        </w:rPr>
        <w:t xml:space="preserve"> of </w:t>
      </w:r>
      <w:r w:rsidR="008D2D2C">
        <w:rPr>
          <w:rFonts w:cstheme="minorHAnsi"/>
        </w:rPr>
        <w:t>use assets</w:t>
      </w:r>
    </w:p>
    <w:p w14:paraId="4B3B70E3" w14:textId="4A106792" w:rsidR="005A24FC" w:rsidRDefault="00DD1612" w:rsidP="00DD161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 xml:space="preserve">The System leases building space for various terms under long-term noncancelable lease agreements. The original lease terms expire at various dates through 2036 and provide for renewal options (ranging from 1-15 years) which extend them to </w:t>
      </w:r>
      <w:r w:rsidR="00355BD5">
        <w:rPr>
          <w:rFonts w:eastAsia="Times New Roman" w:cstheme="minorHAnsi"/>
          <w:bCs/>
          <w:spacing w:val="-3"/>
          <w:sz w:val="24"/>
          <w:szCs w:val="24"/>
        </w:rPr>
        <w:t>2043</w:t>
      </w:r>
      <w:r>
        <w:rPr>
          <w:rFonts w:eastAsia="Times New Roman" w:cstheme="minorHAnsi"/>
          <w:bCs/>
          <w:spacing w:val="-3"/>
          <w:sz w:val="24"/>
          <w:szCs w:val="24"/>
        </w:rPr>
        <w:t xml:space="preserve">. </w:t>
      </w:r>
      <w:r w:rsidR="008D2D2C">
        <w:rPr>
          <w:rFonts w:eastAsia="Times New Roman" w:cstheme="minorHAnsi"/>
          <w:bCs/>
          <w:spacing w:val="-3"/>
          <w:sz w:val="24"/>
          <w:szCs w:val="24"/>
        </w:rPr>
        <w:t>The System also has non</w:t>
      </w:r>
      <w:r w:rsidR="00D00088">
        <w:rPr>
          <w:rFonts w:eastAsia="Times New Roman" w:cstheme="minorHAnsi"/>
          <w:bCs/>
          <w:spacing w:val="-3"/>
          <w:sz w:val="24"/>
          <w:szCs w:val="24"/>
        </w:rPr>
        <w:t>cance</w:t>
      </w:r>
      <w:r w:rsidR="008D2D2C">
        <w:rPr>
          <w:rFonts w:eastAsia="Times New Roman" w:cstheme="minorHAnsi"/>
          <w:bCs/>
          <w:spacing w:val="-3"/>
          <w:sz w:val="24"/>
          <w:szCs w:val="24"/>
        </w:rPr>
        <w:t xml:space="preserve">lable </w:t>
      </w:r>
      <w:proofErr w:type="spellStart"/>
      <w:r w:rsidR="00A504DA">
        <w:rPr>
          <w:rFonts w:eastAsia="Times New Roman" w:cstheme="minorHAnsi"/>
          <w:bCs/>
          <w:spacing w:val="-3"/>
          <w:sz w:val="24"/>
          <w:szCs w:val="24"/>
        </w:rPr>
        <w:t>SBITAs</w:t>
      </w:r>
      <w:proofErr w:type="spellEnd"/>
      <w:r w:rsidR="00A504DA">
        <w:rPr>
          <w:rFonts w:eastAsia="Times New Roman" w:cstheme="minorHAnsi"/>
          <w:bCs/>
          <w:spacing w:val="-3"/>
          <w:sz w:val="24"/>
          <w:szCs w:val="24"/>
        </w:rPr>
        <w:t xml:space="preserve"> </w:t>
      </w:r>
      <w:r w:rsidR="000B1BE8">
        <w:rPr>
          <w:rFonts w:eastAsia="Times New Roman" w:cstheme="minorHAnsi"/>
          <w:bCs/>
          <w:spacing w:val="-3"/>
          <w:sz w:val="24"/>
          <w:szCs w:val="24"/>
        </w:rPr>
        <w:t>for the right</w:t>
      </w:r>
      <w:r w:rsidR="00421BDD">
        <w:rPr>
          <w:rFonts w:eastAsia="Times New Roman" w:cstheme="minorHAnsi"/>
          <w:bCs/>
          <w:spacing w:val="-3"/>
          <w:sz w:val="24"/>
          <w:szCs w:val="24"/>
        </w:rPr>
        <w:t xml:space="preserve"> </w:t>
      </w:r>
      <w:r w:rsidR="0061648C">
        <w:rPr>
          <w:rFonts w:eastAsia="Times New Roman" w:cstheme="minorHAnsi"/>
          <w:bCs/>
          <w:spacing w:val="-3"/>
          <w:sz w:val="24"/>
          <w:szCs w:val="24"/>
        </w:rPr>
        <w:t>to</w:t>
      </w:r>
      <w:r w:rsidR="00421BDD">
        <w:rPr>
          <w:rFonts w:eastAsia="Times New Roman" w:cstheme="minorHAnsi"/>
          <w:bCs/>
          <w:spacing w:val="-3"/>
          <w:sz w:val="24"/>
          <w:szCs w:val="24"/>
        </w:rPr>
        <w:t xml:space="preserve"> </w:t>
      </w:r>
      <w:r w:rsidR="000B1BE8">
        <w:rPr>
          <w:rFonts w:eastAsia="Times New Roman" w:cstheme="minorHAnsi"/>
          <w:bCs/>
          <w:spacing w:val="-3"/>
          <w:sz w:val="24"/>
          <w:szCs w:val="24"/>
        </w:rPr>
        <w:t xml:space="preserve">use </w:t>
      </w:r>
      <w:r w:rsidR="008D2D2C">
        <w:rPr>
          <w:rFonts w:eastAsia="Times New Roman" w:cstheme="minorHAnsi"/>
          <w:bCs/>
          <w:spacing w:val="-3"/>
          <w:sz w:val="24"/>
          <w:szCs w:val="24"/>
        </w:rPr>
        <w:t>information technology hardware and software.</w:t>
      </w:r>
      <w:r w:rsidR="005A24FC">
        <w:rPr>
          <w:rFonts w:eastAsia="Times New Roman" w:cstheme="minorHAnsi"/>
          <w:bCs/>
          <w:spacing w:val="-3"/>
          <w:sz w:val="24"/>
          <w:szCs w:val="24"/>
        </w:rPr>
        <w:t xml:space="preserve"> The original lease terms expire at various dates through 2028 and provide for renewal options (ranging from 2-10 years) which extend them to 2035.</w:t>
      </w:r>
    </w:p>
    <w:p w14:paraId="0C684113" w14:textId="77777777" w:rsidR="00DD1612" w:rsidRDefault="00DD1612" w:rsidP="00DD1612">
      <w:pPr>
        <w:tabs>
          <w:tab w:val="left" w:pos="720"/>
          <w:tab w:val="left" w:pos="1440"/>
        </w:tabs>
        <w:suppressAutoHyphens/>
        <w:ind w:right="360"/>
        <w:rPr>
          <w:rFonts w:eastAsia="Times New Roman" w:cstheme="minorHAnsi"/>
          <w:bCs/>
          <w:spacing w:val="-3"/>
          <w:sz w:val="24"/>
          <w:szCs w:val="24"/>
        </w:rPr>
      </w:pPr>
    </w:p>
    <w:p w14:paraId="16953B97" w14:textId="3B0B74E7" w:rsidR="00DD1612" w:rsidRPr="00A504DA" w:rsidRDefault="00DD1612" w:rsidP="00DD1612">
      <w:pPr>
        <w:tabs>
          <w:tab w:val="left" w:pos="720"/>
          <w:tab w:val="left" w:pos="1440"/>
        </w:tabs>
        <w:suppressAutoHyphens/>
        <w:ind w:right="360"/>
        <w:rPr>
          <w:rFonts w:eastAsia="Times New Roman" w:cstheme="minorHAnsi"/>
          <w:bCs/>
          <w:color w:val="000000" w:themeColor="text1"/>
          <w:spacing w:val="-3"/>
          <w:sz w:val="24"/>
          <w:szCs w:val="24"/>
          <w:highlight w:val="yellow"/>
        </w:rPr>
      </w:pPr>
      <w:r>
        <w:rPr>
          <w:rFonts w:eastAsia="Times New Roman" w:cstheme="minorHAnsi"/>
          <w:bCs/>
          <w:spacing w:val="-3"/>
          <w:sz w:val="24"/>
          <w:szCs w:val="24"/>
        </w:rPr>
        <w:t xml:space="preserve">Lease liabilities include </w:t>
      </w:r>
      <w:r w:rsidR="00D00088" w:rsidRPr="00A504DA">
        <w:rPr>
          <w:rFonts w:eastAsia="Times New Roman" w:cstheme="minorHAnsi"/>
          <w:bCs/>
          <w:spacing w:val="-3"/>
          <w:sz w:val="24"/>
          <w:szCs w:val="24"/>
        </w:rPr>
        <w:t>leases</w:t>
      </w:r>
      <w:r w:rsidRPr="00D00088">
        <w:rPr>
          <w:rFonts w:eastAsia="Times New Roman" w:cstheme="minorHAnsi"/>
          <w:bCs/>
          <w:spacing w:val="-3"/>
          <w:sz w:val="24"/>
          <w:szCs w:val="24"/>
        </w:rPr>
        <w:t xml:space="preserve"> with option</w:t>
      </w:r>
      <w:r w:rsidR="00D00088" w:rsidRPr="00A504DA">
        <w:rPr>
          <w:rFonts w:eastAsia="Times New Roman" w:cstheme="minorHAnsi"/>
          <w:bCs/>
          <w:spacing w:val="-3"/>
          <w:sz w:val="24"/>
          <w:szCs w:val="24"/>
        </w:rPr>
        <w:t>s</w:t>
      </w:r>
      <w:r w:rsidRPr="00D00088">
        <w:rPr>
          <w:rFonts w:eastAsia="Times New Roman" w:cstheme="minorHAnsi"/>
          <w:bCs/>
          <w:spacing w:val="-3"/>
          <w:sz w:val="24"/>
          <w:szCs w:val="24"/>
        </w:rPr>
        <w:t xml:space="preserve"> to purchase after </w:t>
      </w:r>
      <w:r w:rsidR="00D00088" w:rsidRPr="00A504DA">
        <w:rPr>
          <w:rFonts w:eastAsia="Times New Roman" w:cstheme="minorHAnsi"/>
          <w:bCs/>
          <w:spacing w:val="-3"/>
          <w:sz w:val="24"/>
          <w:szCs w:val="24"/>
        </w:rPr>
        <w:t xml:space="preserve">three to </w:t>
      </w:r>
      <w:r w:rsidRPr="00D00088">
        <w:rPr>
          <w:rFonts w:eastAsia="Times New Roman" w:cstheme="minorHAnsi"/>
          <w:bCs/>
          <w:spacing w:val="-3"/>
          <w:sz w:val="24"/>
          <w:szCs w:val="24"/>
        </w:rPr>
        <w:t xml:space="preserve">five years. Monthly installments for </w:t>
      </w:r>
      <w:r w:rsidR="00FC067F" w:rsidRPr="00D00088">
        <w:rPr>
          <w:rFonts w:eastAsia="Times New Roman" w:cstheme="minorHAnsi"/>
          <w:bCs/>
          <w:spacing w:val="-3"/>
          <w:sz w:val="24"/>
          <w:szCs w:val="24"/>
        </w:rPr>
        <w:t>FY2</w:t>
      </w:r>
      <w:r w:rsidR="0069311E">
        <w:rPr>
          <w:rFonts w:eastAsia="Times New Roman" w:cstheme="minorHAnsi"/>
          <w:bCs/>
          <w:color w:val="000000" w:themeColor="text1"/>
          <w:spacing w:val="-3"/>
          <w:sz w:val="24"/>
          <w:szCs w:val="24"/>
        </w:rPr>
        <w:t>3</w:t>
      </w:r>
      <w:r w:rsidR="000B1BE8" w:rsidRPr="00A504DA">
        <w:rPr>
          <w:rFonts w:eastAsia="Times New Roman" w:cstheme="minorHAnsi"/>
          <w:bCs/>
          <w:color w:val="000000" w:themeColor="text1"/>
          <w:spacing w:val="-3"/>
          <w:sz w:val="24"/>
          <w:szCs w:val="24"/>
        </w:rPr>
        <w:t xml:space="preserve"> </w:t>
      </w:r>
      <w:r w:rsidRPr="00D00088">
        <w:rPr>
          <w:rFonts w:eastAsia="Times New Roman" w:cstheme="minorHAnsi"/>
          <w:bCs/>
          <w:spacing w:val="-3"/>
          <w:sz w:val="24"/>
          <w:szCs w:val="24"/>
        </w:rPr>
        <w:t xml:space="preserve">total </w:t>
      </w:r>
      <w:r w:rsidRPr="006667C0">
        <w:rPr>
          <w:rFonts w:eastAsia="Times New Roman" w:cstheme="minorHAnsi"/>
          <w:bCs/>
          <w:spacing w:val="-3"/>
          <w:sz w:val="24"/>
          <w:szCs w:val="24"/>
        </w:rPr>
        <w:t>$</w:t>
      </w:r>
      <w:r w:rsidR="006667C0">
        <w:rPr>
          <w:rFonts w:eastAsia="Times New Roman" w:cstheme="minorHAnsi"/>
          <w:bCs/>
          <w:spacing w:val="-3"/>
          <w:sz w:val="24"/>
          <w:szCs w:val="24"/>
        </w:rPr>
        <w:t>958</w:t>
      </w:r>
      <w:r w:rsidRPr="00261492">
        <w:rPr>
          <w:rFonts w:eastAsia="Times New Roman" w:cstheme="minorHAnsi"/>
          <w:bCs/>
          <w:spacing w:val="-3"/>
          <w:sz w:val="24"/>
          <w:szCs w:val="24"/>
        </w:rPr>
        <w:t xml:space="preserve"> </w:t>
      </w:r>
      <w:r w:rsidRPr="00D00088">
        <w:rPr>
          <w:rFonts w:eastAsia="Times New Roman" w:cstheme="minorHAnsi"/>
          <w:bCs/>
          <w:spacing w:val="-3"/>
          <w:sz w:val="24"/>
          <w:szCs w:val="24"/>
        </w:rPr>
        <w:t>including interest at rate</w:t>
      </w:r>
      <w:r w:rsidR="00D00088">
        <w:rPr>
          <w:rFonts w:eastAsia="Times New Roman" w:cstheme="minorHAnsi"/>
          <w:bCs/>
          <w:spacing w:val="-3"/>
          <w:sz w:val="24"/>
          <w:szCs w:val="24"/>
        </w:rPr>
        <w:t>s</w:t>
      </w:r>
      <w:r w:rsidRPr="00D00088">
        <w:rPr>
          <w:rFonts w:eastAsia="Times New Roman" w:cstheme="minorHAnsi"/>
          <w:bCs/>
          <w:spacing w:val="-3"/>
          <w:sz w:val="24"/>
          <w:szCs w:val="24"/>
        </w:rPr>
        <w:t xml:space="preserve"> of 1.02%</w:t>
      </w:r>
      <w:r w:rsidR="00D00088" w:rsidRPr="00A504DA">
        <w:rPr>
          <w:rFonts w:eastAsia="Times New Roman" w:cstheme="minorHAnsi"/>
          <w:bCs/>
          <w:spacing w:val="-3"/>
          <w:sz w:val="24"/>
          <w:szCs w:val="24"/>
        </w:rPr>
        <w:t xml:space="preserve"> to 2.96</w:t>
      </w:r>
      <w:r w:rsidR="00D00088">
        <w:rPr>
          <w:rFonts w:eastAsia="Times New Roman" w:cstheme="minorHAnsi"/>
          <w:bCs/>
          <w:spacing w:val="-3"/>
          <w:sz w:val="24"/>
          <w:szCs w:val="24"/>
        </w:rPr>
        <w:t>%</w:t>
      </w:r>
      <w:r w:rsidRPr="00D00088">
        <w:rPr>
          <w:rFonts w:eastAsia="Times New Roman" w:cstheme="minorHAnsi"/>
          <w:bCs/>
          <w:spacing w:val="-3"/>
          <w:sz w:val="24"/>
          <w:szCs w:val="24"/>
        </w:rPr>
        <w:t>.</w:t>
      </w:r>
    </w:p>
    <w:p w14:paraId="761BC07B" w14:textId="77777777" w:rsidR="00DD1612" w:rsidRPr="00EE0949" w:rsidRDefault="00DD1612" w:rsidP="00DD1612">
      <w:pPr>
        <w:tabs>
          <w:tab w:val="left" w:pos="720"/>
          <w:tab w:val="left" w:pos="1440"/>
        </w:tabs>
        <w:suppressAutoHyphens/>
        <w:ind w:right="360"/>
        <w:rPr>
          <w:rFonts w:eastAsia="Times New Roman" w:cstheme="minorHAnsi"/>
          <w:bCs/>
          <w:spacing w:val="-3"/>
          <w:sz w:val="20"/>
          <w:szCs w:val="20"/>
        </w:rPr>
      </w:pPr>
    </w:p>
    <w:p w14:paraId="21B42A78" w14:textId="64306259" w:rsidR="00DD1612" w:rsidRDefault="00DD1612" w:rsidP="00DD1612">
      <w:pPr>
        <w:tabs>
          <w:tab w:val="left" w:pos="720"/>
          <w:tab w:val="left" w:pos="1440"/>
        </w:tabs>
        <w:suppressAutoHyphens/>
        <w:ind w:right="360"/>
        <w:rPr>
          <w:rFonts w:eastAsia="Times New Roman" w:cstheme="minorHAnsi"/>
          <w:bCs/>
          <w:spacing w:val="-3"/>
          <w:sz w:val="24"/>
          <w:szCs w:val="24"/>
        </w:rPr>
      </w:pPr>
      <w:r w:rsidRPr="00E94785">
        <w:rPr>
          <w:rFonts w:eastAsia="Times New Roman" w:cstheme="minorHAnsi"/>
          <w:bCs/>
          <w:spacing w:val="-3"/>
          <w:sz w:val="24"/>
          <w:szCs w:val="24"/>
        </w:rPr>
        <w:t xml:space="preserve">Certain leases </w:t>
      </w:r>
      <w:r w:rsidR="00B60B3E">
        <w:rPr>
          <w:rFonts w:eastAsia="Times New Roman" w:cstheme="minorHAnsi"/>
          <w:bCs/>
          <w:spacing w:val="-3"/>
          <w:sz w:val="24"/>
          <w:szCs w:val="24"/>
        </w:rPr>
        <w:t xml:space="preserve">and </w:t>
      </w:r>
      <w:r w:rsidR="00A504DA">
        <w:rPr>
          <w:rFonts w:eastAsia="Times New Roman" w:cstheme="minorHAnsi"/>
          <w:bCs/>
          <w:spacing w:val="-3"/>
          <w:sz w:val="24"/>
          <w:szCs w:val="24"/>
        </w:rPr>
        <w:t>SBITA</w:t>
      </w:r>
      <w:r w:rsidR="00B60B3E">
        <w:rPr>
          <w:rFonts w:eastAsia="Times New Roman" w:cstheme="minorHAnsi"/>
          <w:bCs/>
          <w:spacing w:val="-3"/>
          <w:sz w:val="24"/>
          <w:szCs w:val="24"/>
        </w:rPr>
        <w:t xml:space="preserve"> liabilities </w:t>
      </w:r>
      <w:r w:rsidRPr="00E94785">
        <w:rPr>
          <w:rFonts w:eastAsia="Times New Roman" w:cstheme="minorHAnsi"/>
          <w:bCs/>
          <w:spacing w:val="-3"/>
          <w:sz w:val="24"/>
          <w:szCs w:val="24"/>
        </w:rPr>
        <w:t>provide for increases in future minim</w:t>
      </w:r>
      <w:r>
        <w:rPr>
          <w:rFonts w:eastAsia="Times New Roman" w:cstheme="minorHAnsi"/>
          <w:bCs/>
          <w:spacing w:val="-3"/>
          <w:sz w:val="24"/>
          <w:szCs w:val="24"/>
        </w:rPr>
        <w:t xml:space="preserve">um annual rental payments based </w:t>
      </w:r>
      <w:r w:rsidRPr="00E94785">
        <w:rPr>
          <w:rFonts w:eastAsia="Times New Roman" w:cstheme="minorHAnsi"/>
          <w:bCs/>
          <w:spacing w:val="-3"/>
          <w:sz w:val="24"/>
          <w:szCs w:val="24"/>
        </w:rPr>
        <w:t>on defined increases in the Consumer Price Index, subject t</w:t>
      </w:r>
      <w:r>
        <w:rPr>
          <w:rFonts w:eastAsia="Times New Roman" w:cstheme="minorHAnsi"/>
          <w:bCs/>
          <w:spacing w:val="-3"/>
          <w:sz w:val="24"/>
          <w:szCs w:val="24"/>
        </w:rPr>
        <w:t xml:space="preserve">o certain minimum </w:t>
      </w:r>
      <w:r w:rsidRPr="00E94785">
        <w:rPr>
          <w:rFonts w:eastAsia="Times New Roman" w:cstheme="minorHAnsi"/>
          <w:bCs/>
          <w:spacing w:val="-3"/>
          <w:sz w:val="24"/>
          <w:szCs w:val="24"/>
        </w:rPr>
        <w:t>increases.</w:t>
      </w:r>
    </w:p>
    <w:p w14:paraId="17CDF3C5" w14:textId="77777777" w:rsidR="00DD1612" w:rsidRPr="00121C9D" w:rsidRDefault="00DD1612" w:rsidP="00DD1612">
      <w:pPr>
        <w:tabs>
          <w:tab w:val="left" w:pos="720"/>
          <w:tab w:val="left" w:pos="1440"/>
        </w:tabs>
        <w:suppressAutoHyphens/>
        <w:ind w:right="360"/>
        <w:rPr>
          <w:rFonts w:eastAsia="Times New Roman" w:cstheme="minorHAnsi"/>
          <w:bCs/>
          <w:spacing w:val="-3"/>
          <w:sz w:val="24"/>
          <w:szCs w:val="24"/>
        </w:rPr>
      </w:pPr>
    </w:p>
    <w:p w14:paraId="67A0B4D2" w14:textId="54D269DF" w:rsidR="00B60B3E" w:rsidRDefault="00DD1612" w:rsidP="00DD1612">
      <w:pPr>
        <w:tabs>
          <w:tab w:val="left" w:pos="630"/>
          <w:tab w:val="left" w:pos="1022"/>
          <w:tab w:val="left" w:pos="1440"/>
          <w:tab w:val="decimal" w:pos="6890"/>
          <w:tab w:val="decimal" w:pos="9454"/>
        </w:tabs>
        <w:suppressAutoHyphens/>
        <w:spacing w:after="240"/>
        <w:rPr>
          <w:rFonts w:cstheme="minorHAnsi"/>
          <w:bCs/>
          <w:spacing w:val="-3"/>
          <w:sz w:val="24"/>
        </w:rPr>
      </w:pPr>
      <w:r>
        <w:rPr>
          <w:rFonts w:cstheme="minorHAnsi"/>
          <w:spacing w:val="-3"/>
          <w:sz w:val="24"/>
        </w:rPr>
        <w:t xml:space="preserve">Total </w:t>
      </w:r>
      <w:r>
        <w:rPr>
          <w:rFonts w:cstheme="minorHAnsi"/>
          <w:bCs/>
          <w:spacing w:val="-3"/>
          <w:sz w:val="24"/>
        </w:rPr>
        <w:t>f</w:t>
      </w:r>
      <w:r w:rsidRPr="00F54559">
        <w:rPr>
          <w:rFonts w:cstheme="minorHAnsi"/>
          <w:bCs/>
          <w:spacing w:val="-3"/>
          <w:sz w:val="24"/>
        </w:rPr>
        <w:t xml:space="preserve">uture minimum lease </w:t>
      </w:r>
      <w:r w:rsidR="00B60B3E">
        <w:rPr>
          <w:rFonts w:cstheme="minorHAnsi"/>
          <w:bCs/>
          <w:spacing w:val="-3"/>
          <w:sz w:val="24"/>
        </w:rPr>
        <w:t xml:space="preserve">and </w:t>
      </w:r>
      <w:r w:rsidR="00A504DA">
        <w:rPr>
          <w:rFonts w:eastAsia="Times New Roman" w:cstheme="minorHAnsi"/>
          <w:bCs/>
          <w:spacing w:val="-3"/>
          <w:sz w:val="24"/>
          <w:szCs w:val="24"/>
        </w:rPr>
        <w:t xml:space="preserve">SBITA </w:t>
      </w:r>
      <w:r w:rsidRPr="00F54559">
        <w:rPr>
          <w:rFonts w:cstheme="minorHAnsi"/>
          <w:bCs/>
          <w:spacing w:val="-3"/>
          <w:sz w:val="24"/>
        </w:rPr>
        <w:t xml:space="preserve">payments as of June 30, </w:t>
      </w:r>
      <w:r w:rsidR="00FC067F">
        <w:rPr>
          <w:rFonts w:cstheme="minorHAnsi"/>
          <w:bCs/>
          <w:spacing w:val="-3"/>
          <w:sz w:val="24"/>
        </w:rPr>
        <w:t>2023</w:t>
      </w:r>
      <w:r w:rsidR="00FC067F" w:rsidRPr="00F54559">
        <w:rPr>
          <w:rFonts w:cstheme="minorHAnsi"/>
          <w:bCs/>
          <w:spacing w:val="-3"/>
          <w:sz w:val="24"/>
        </w:rPr>
        <w:t xml:space="preserve"> </w:t>
      </w:r>
      <w:r w:rsidRPr="00F54559">
        <w:rPr>
          <w:rFonts w:cstheme="minorHAnsi"/>
          <w:bCs/>
          <w:spacing w:val="-3"/>
          <w:sz w:val="24"/>
        </w:rPr>
        <w:t>are as follows:</w:t>
      </w:r>
    </w:p>
    <w:tbl>
      <w:tblPr>
        <w:tblW w:w="7740" w:type="dxa"/>
        <w:jc w:val="center"/>
        <w:tblLayout w:type="fixed"/>
        <w:tblCellMar>
          <w:left w:w="29" w:type="dxa"/>
          <w:right w:w="29" w:type="dxa"/>
        </w:tblCellMar>
        <w:tblLook w:val="04A0" w:firstRow="1" w:lastRow="0" w:firstColumn="1" w:lastColumn="0" w:noHBand="0" w:noVBand="1"/>
      </w:tblPr>
      <w:tblGrid>
        <w:gridCol w:w="2392"/>
        <w:gridCol w:w="1337"/>
        <w:gridCol w:w="1337"/>
        <w:gridCol w:w="1414"/>
        <w:gridCol w:w="1260"/>
      </w:tblGrid>
      <w:tr w:rsidR="00135AC3" w:rsidRPr="003323E0" w14:paraId="25CE7210" w14:textId="77777777" w:rsidTr="00DB1059">
        <w:trPr>
          <w:trHeight w:val="588"/>
          <w:tblHeader/>
          <w:jc w:val="center"/>
        </w:trPr>
        <w:tc>
          <w:tcPr>
            <w:tcW w:w="2392" w:type="dxa"/>
            <w:tcBorders>
              <w:top w:val="nil"/>
              <w:left w:val="nil"/>
              <w:bottom w:val="nil"/>
              <w:right w:val="nil"/>
            </w:tcBorders>
            <w:shd w:val="clear" w:color="000000" w:fill="FFFFFF"/>
            <w:vAlign w:val="bottom"/>
          </w:tcPr>
          <w:p w14:paraId="43F24639" w14:textId="77777777" w:rsidR="00135AC3" w:rsidRPr="003323E0" w:rsidRDefault="00135AC3" w:rsidP="00636EEC">
            <w:pPr>
              <w:rPr>
                <w:rFonts w:ascii="Calibri" w:eastAsia="Times New Roman" w:hAnsi="Calibri" w:cs="Calibri"/>
                <w:b/>
                <w:bCs/>
                <w:color w:val="0D0D0D"/>
              </w:rPr>
            </w:pPr>
          </w:p>
        </w:tc>
        <w:tc>
          <w:tcPr>
            <w:tcW w:w="1337" w:type="dxa"/>
            <w:tcBorders>
              <w:top w:val="nil"/>
              <w:left w:val="nil"/>
              <w:bottom w:val="single" w:sz="12" w:space="0" w:color="00688D"/>
              <w:right w:val="nil"/>
            </w:tcBorders>
            <w:shd w:val="clear" w:color="000000" w:fill="FFFFFF"/>
            <w:noWrap/>
            <w:vAlign w:val="bottom"/>
          </w:tcPr>
          <w:p w14:paraId="407CC6C8" w14:textId="4501D3E5" w:rsidR="00135AC3" w:rsidRPr="009044F3" w:rsidRDefault="00135AC3" w:rsidP="008B4E5D">
            <w:pPr>
              <w:jc w:val="right"/>
              <w:rPr>
                <w:rFonts w:ascii="Calibri" w:eastAsia="Times New Roman" w:hAnsi="Calibri" w:cs="Calibri"/>
                <w:color w:val="0D0D0D"/>
              </w:rPr>
            </w:pPr>
            <w:r>
              <w:rPr>
                <w:rFonts w:ascii="Calibri" w:eastAsia="Times New Roman" w:hAnsi="Calibri" w:cs="Calibri"/>
                <w:b/>
                <w:bCs/>
                <w:color w:val="0D0D0D"/>
              </w:rPr>
              <w:t xml:space="preserve">Lease </w:t>
            </w:r>
          </w:p>
        </w:tc>
        <w:tc>
          <w:tcPr>
            <w:tcW w:w="1337" w:type="dxa"/>
            <w:tcBorders>
              <w:top w:val="nil"/>
              <w:left w:val="nil"/>
              <w:bottom w:val="single" w:sz="12" w:space="0" w:color="00688D"/>
              <w:right w:val="nil"/>
            </w:tcBorders>
            <w:shd w:val="clear" w:color="000000" w:fill="FFFFFF"/>
            <w:vAlign w:val="bottom"/>
          </w:tcPr>
          <w:p w14:paraId="0DE2CAD7" w14:textId="2F8B62D5" w:rsidR="00135AC3" w:rsidRPr="003323E0" w:rsidRDefault="00135AC3" w:rsidP="00636EEC">
            <w:pPr>
              <w:rPr>
                <w:rFonts w:ascii="Calibri" w:eastAsia="Times New Roman" w:hAnsi="Calibri" w:cs="Calibri"/>
                <w:b/>
                <w:bCs/>
                <w:color w:val="0D0D0D"/>
              </w:rPr>
            </w:pPr>
            <w:r>
              <w:rPr>
                <w:rFonts w:ascii="Calibri" w:eastAsia="Times New Roman" w:hAnsi="Calibri" w:cs="Calibri"/>
                <w:b/>
                <w:bCs/>
                <w:color w:val="0D0D0D"/>
              </w:rPr>
              <w:t>Liabilities</w:t>
            </w:r>
          </w:p>
        </w:tc>
        <w:tc>
          <w:tcPr>
            <w:tcW w:w="2674" w:type="dxa"/>
            <w:gridSpan w:val="2"/>
            <w:tcBorders>
              <w:top w:val="nil"/>
              <w:left w:val="nil"/>
              <w:bottom w:val="single" w:sz="12" w:space="0" w:color="00688D"/>
              <w:right w:val="nil"/>
            </w:tcBorders>
            <w:shd w:val="clear" w:color="000000" w:fill="FFFFFF"/>
            <w:noWrap/>
            <w:vAlign w:val="bottom"/>
          </w:tcPr>
          <w:p w14:paraId="70D81E0D" w14:textId="3312C078" w:rsidR="00135AC3" w:rsidRPr="009044F3" w:rsidRDefault="00135AC3" w:rsidP="00636EEC">
            <w:pPr>
              <w:jc w:val="right"/>
              <w:rPr>
                <w:rFonts w:ascii="Calibri" w:eastAsia="Times New Roman" w:hAnsi="Calibri" w:cs="Calibri"/>
                <w:color w:val="0D0D0D"/>
              </w:rPr>
            </w:pPr>
            <w:r>
              <w:rPr>
                <w:rFonts w:ascii="Calibri" w:eastAsia="Times New Roman" w:hAnsi="Calibri" w:cs="Calibri"/>
                <w:b/>
                <w:bCs/>
                <w:color w:val="0D0D0D"/>
              </w:rPr>
              <w:t xml:space="preserve">  Subscription </w:t>
            </w:r>
            <w:r w:rsidR="003E72E3">
              <w:rPr>
                <w:rFonts w:ascii="Calibri" w:eastAsia="Times New Roman" w:hAnsi="Calibri" w:cs="Calibri"/>
                <w:b/>
                <w:bCs/>
                <w:color w:val="0D0D0D"/>
              </w:rPr>
              <w:t>B</w:t>
            </w:r>
            <w:r>
              <w:rPr>
                <w:rFonts w:ascii="Calibri" w:eastAsia="Times New Roman" w:hAnsi="Calibri" w:cs="Calibri"/>
                <w:b/>
                <w:bCs/>
                <w:color w:val="0D0D0D"/>
              </w:rPr>
              <w:t>ased IT</w:t>
            </w:r>
          </w:p>
          <w:p w14:paraId="30B18880" w14:textId="3B6D71CE" w:rsidR="00135AC3" w:rsidRPr="003323E0" w:rsidRDefault="00135AC3" w:rsidP="00636EEC">
            <w:pPr>
              <w:rPr>
                <w:rFonts w:ascii="Calibri" w:eastAsia="Times New Roman" w:hAnsi="Calibri" w:cs="Calibri"/>
                <w:b/>
                <w:bCs/>
                <w:color w:val="0D0D0D"/>
              </w:rPr>
            </w:pPr>
            <w:r>
              <w:rPr>
                <w:rFonts w:ascii="Calibri" w:eastAsia="Times New Roman" w:hAnsi="Calibri" w:cs="Calibri"/>
                <w:b/>
                <w:bCs/>
                <w:color w:val="0D0D0D"/>
              </w:rPr>
              <w:t xml:space="preserve">                      Liabilities</w:t>
            </w:r>
          </w:p>
        </w:tc>
      </w:tr>
      <w:tr w:rsidR="00B60B3E" w:rsidRPr="003323E0" w14:paraId="5852F44B" w14:textId="77777777" w:rsidTr="00A504DA">
        <w:trPr>
          <w:trHeight w:val="588"/>
          <w:tblHeader/>
          <w:jc w:val="center"/>
        </w:trPr>
        <w:tc>
          <w:tcPr>
            <w:tcW w:w="2392" w:type="dxa"/>
            <w:tcBorders>
              <w:top w:val="nil"/>
              <w:left w:val="nil"/>
              <w:bottom w:val="nil"/>
              <w:right w:val="nil"/>
            </w:tcBorders>
            <w:shd w:val="clear" w:color="000000" w:fill="FFFFFF"/>
            <w:vAlign w:val="bottom"/>
            <w:hideMark/>
          </w:tcPr>
          <w:p w14:paraId="7BFAA84D" w14:textId="77777777" w:rsidR="00B60B3E" w:rsidRPr="003323E0" w:rsidRDefault="00B60B3E" w:rsidP="00636EEC">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5A177FAB" w14:textId="77777777" w:rsidR="00B60B3E" w:rsidRPr="003323E0" w:rsidRDefault="00B60B3E" w:rsidP="00636EEC">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528999F6" w14:textId="77777777" w:rsidR="00B60B3E" w:rsidRPr="003323E0" w:rsidRDefault="00B60B3E" w:rsidP="00636EEC">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c>
          <w:tcPr>
            <w:tcW w:w="1414" w:type="dxa"/>
            <w:tcBorders>
              <w:top w:val="nil"/>
              <w:left w:val="nil"/>
              <w:bottom w:val="single" w:sz="12" w:space="0" w:color="00688D"/>
              <w:right w:val="nil"/>
            </w:tcBorders>
            <w:shd w:val="clear" w:color="000000" w:fill="FFFFFF"/>
            <w:noWrap/>
            <w:vAlign w:val="bottom"/>
            <w:hideMark/>
          </w:tcPr>
          <w:p w14:paraId="03E46037" w14:textId="77777777" w:rsidR="00B60B3E" w:rsidRPr="003323E0" w:rsidRDefault="00B60B3E" w:rsidP="00636EEC">
            <w:pPr>
              <w:jc w:val="center"/>
              <w:rPr>
                <w:rFonts w:ascii="Calibri" w:eastAsia="Times New Roman" w:hAnsi="Calibri" w:cs="Calibri"/>
                <w:b/>
                <w:bCs/>
                <w:color w:val="0D0D0D"/>
              </w:rPr>
            </w:pPr>
            <w:r>
              <w:rPr>
                <w:rFonts w:ascii="Calibri" w:eastAsia="Times New Roman" w:hAnsi="Calibri" w:cs="Calibri"/>
                <w:b/>
                <w:bCs/>
                <w:color w:val="0D0D0D"/>
              </w:rPr>
              <w:t>Principal</w:t>
            </w:r>
          </w:p>
        </w:tc>
        <w:tc>
          <w:tcPr>
            <w:tcW w:w="1260" w:type="dxa"/>
            <w:tcBorders>
              <w:top w:val="nil"/>
              <w:left w:val="nil"/>
              <w:bottom w:val="single" w:sz="12" w:space="0" w:color="00688D"/>
              <w:right w:val="nil"/>
            </w:tcBorders>
            <w:shd w:val="clear" w:color="000000" w:fill="FFFFFF"/>
            <w:vAlign w:val="bottom"/>
          </w:tcPr>
          <w:p w14:paraId="6B4BDC65" w14:textId="77777777" w:rsidR="00B60B3E" w:rsidRPr="003323E0" w:rsidRDefault="00B60B3E" w:rsidP="00636EEC">
            <w:pPr>
              <w:jc w:val="center"/>
              <w:rPr>
                <w:rFonts w:ascii="Calibri" w:eastAsia="Times New Roman" w:hAnsi="Calibri" w:cs="Calibri"/>
                <w:b/>
                <w:bCs/>
                <w:color w:val="0D0D0D"/>
              </w:rPr>
            </w:pPr>
            <w:r>
              <w:rPr>
                <w:rFonts w:ascii="Calibri" w:eastAsia="Times New Roman" w:hAnsi="Calibri" w:cs="Calibri"/>
                <w:b/>
                <w:bCs/>
                <w:color w:val="0D0D0D"/>
              </w:rPr>
              <w:t>Interest</w:t>
            </w:r>
          </w:p>
        </w:tc>
      </w:tr>
      <w:tr w:rsidR="006A1779" w:rsidRPr="003323E0" w14:paraId="7273240E" w14:textId="77777777" w:rsidTr="00A504DA">
        <w:trPr>
          <w:trHeight w:val="300"/>
          <w:jc w:val="center"/>
        </w:trPr>
        <w:tc>
          <w:tcPr>
            <w:tcW w:w="2392" w:type="dxa"/>
            <w:tcBorders>
              <w:top w:val="nil"/>
              <w:left w:val="nil"/>
              <w:bottom w:val="nil"/>
              <w:right w:val="nil"/>
            </w:tcBorders>
            <w:shd w:val="clear" w:color="000000" w:fill="FFFFFF"/>
            <w:noWrap/>
            <w:vAlign w:val="bottom"/>
            <w:hideMark/>
          </w:tcPr>
          <w:p w14:paraId="0172C6C7"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2024</w:t>
            </w:r>
          </w:p>
        </w:tc>
        <w:tc>
          <w:tcPr>
            <w:tcW w:w="1337" w:type="dxa"/>
            <w:tcBorders>
              <w:top w:val="nil"/>
              <w:left w:val="nil"/>
              <w:bottom w:val="nil"/>
              <w:right w:val="nil"/>
            </w:tcBorders>
            <w:shd w:val="clear" w:color="000000" w:fill="FFFFFF"/>
            <w:noWrap/>
            <w:vAlign w:val="center"/>
            <w:hideMark/>
          </w:tcPr>
          <w:p w14:paraId="2B40787E" w14:textId="660D09DB" w:rsidR="006A1779" w:rsidRPr="004454C0" w:rsidRDefault="006A1779" w:rsidP="006A1779">
            <w:pPr>
              <w:jc w:val="right"/>
              <w:rPr>
                <w:rFonts w:eastAsia="Times New Roman" w:cstheme="minorHAnsi"/>
                <w:color w:val="000000" w:themeColor="text1"/>
              </w:rPr>
            </w:pPr>
            <w:r>
              <w:rPr>
                <w:rFonts w:ascii="Calibri" w:hAnsi="Calibri" w:cs="Calibri"/>
                <w:color w:val="000000"/>
              </w:rPr>
              <w:t xml:space="preserve"> $    2,471 </w:t>
            </w:r>
          </w:p>
        </w:tc>
        <w:tc>
          <w:tcPr>
            <w:tcW w:w="1337" w:type="dxa"/>
            <w:tcBorders>
              <w:top w:val="nil"/>
              <w:left w:val="nil"/>
              <w:bottom w:val="nil"/>
              <w:right w:val="nil"/>
            </w:tcBorders>
            <w:shd w:val="clear" w:color="000000" w:fill="FFFFFF"/>
            <w:noWrap/>
            <w:vAlign w:val="center"/>
            <w:hideMark/>
          </w:tcPr>
          <w:p w14:paraId="635B3617" w14:textId="6CD18166" w:rsidR="006A1779" w:rsidRPr="004454C0" w:rsidRDefault="006A1779" w:rsidP="00261043">
            <w:pPr>
              <w:jc w:val="right"/>
              <w:rPr>
                <w:rFonts w:eastAsia="Times New Roman" w:cstheme="minorHAnsi"/>
                <w:color w:val="000000" w:themeColor="text1"/>
              </w:rPr>
            </w:pPr>
            <w:r>
              <w:rPr>
                <w:rFonts w:ascii="Calibri" w:hAnsi="Calibri" w:cs="Calibri"/>
                <w:color w:val="000000"/>
              </w:rPr>
              <w:t xml:space="preserve"> $    840 </w:t>
            </w:r>
          </w:p>
        </w:tc>
        <w:tc>
          <w:tcPr>
            <w:tcW w:w="1414" w:type="dxa"/>
            <w:tcBorders>
              <w:top w:val="nil"/>
              <w:left w:val="nil"/>
              <w:bottom w:val="nil"/>
              <w:right w:val="nil"/>
            </w:tcBorders>
            <w:shd w:val="clear" w:color="auto" w:fill="auto"/>
            <w:noWrap/>
            <w:vAlign w:val="bottom"/>
          </w:tcPr>
          <w:p w14:paraId="3D36FE2A" w14:textId="50F84E22" w:rsidR="006A1779" w:rsidRPr="004454C0" w:rsidRDefault="006A1779" w:rsidP="006A1779">
            <w:pPr>
              <w:jc w:val="right"/>
              <w:rPr>
                <w:rFonts w:eastAsia="Times New Roman" w:cstheme="minorHAnsi"/>
                <w:color w:val="000000" w:themeColor="text1"/>
              </w:rPr>
            </w:pPr>
            <w:r>
              <w:rPr>
                <w:rFonts w:ascii="Calibri" w:hAnsi="Calibri" w:cs="Calibri"/>
                <w:color w:val="000000"/>
              </w:rPr>
              <w:t>$   3,526</w:t>
            </w:r>
          </w:p>
        </w:tc>
        <w:tc>
          <w:tcPr>
            <w:tcW w:w="1260" w:type="dxa"/>
            <w:tcBorders>
              <w:top w:val="nil"/>
              <w:left w:val="nil"/>
              <w:bottom w:val="nil"/>
              <w:right w:val="nil"/>
            </w:tcBorders>
            <w:shd w:val="clear" w:color="auto" w:fill="auto"/>
            <w:vAlign w:val="bottom"/>
          </w:tcPr>
          <w:p w14:paraId="01C15F56" w14:textId="5E1944C7" w:rsidR="006A1779" w:rsidRPr="004454C0" w:rsidRDefault="006A1779" w:rsidP="006A1779">
            <w:pPr>
              <w:jc w:val="right"/>
              <w:rPr>
                <w:rFonts w:eastAsia="Times New Roman" w:cstheme="minorHAnsi"/>
                <w:color w:val="000000" w:themeColor="text1"/>
              </w:rPr>
            </w:pPr>
            <w:r>
              <w:rPr>
                <w:rFonts w:ascii="Calibri" w:hAnsi="Calibri" w:cs="Calibri"/>
                <w:color w:val="000000"/>
              </w:rPr>
              <w:t>$    199</w:t>
            </w:r>
          </w:p>
        </w:tc>
      </w:tr>
      <w:tr w:rsidR="006A1779" w:rsidRPr="003323E0" w14:paraId="2D40BE2E"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463B27AC"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2025</w:t>
            </w:r>
          </w:p>
        </w:tc>
        <w:tc>
          <w:tcPr>
            <w:tcW w:w="1337" w:type="dxa"/>
            <w:tcBorders>
              <w:top w:val="nil"/>
              <w:left w:val="nil"/>
              <w:bottom w:val="nil"/>
              <w:right w:val="nil"/>
            </w:tcBorders>
            <w:shd w:val="clear" w:color="000000" w:fill="FFFFFF"/>
            <w:noWrap/>
            <w:vAlign w:val="center"/>
            <w:hideMark/>
          </w:tcPr>
          <w:p w14:paraId="666DC254" w14:textId="3D2F1A1A" w:rsidR="006A1779" w:rsidRPr="004454C0" w:rsidRDefault="006A1779" w:rsidP="006A1779">
            <w:pPr>
              <w:jc w:val="right"/>
              <w:rPr>
                <w:rFonts w:eastAsia="Times New Roman" w:cstheme="minorHAnsi"/>
                <w:color w:val="000000" w:themeColor="text1"/>
              </w:rPr>
            </w:pPr>
            <w:r>
              <w:rPr>
                <w:rFonts w:ascii="Calibri" w:hAnsi="Calibri" w:cs="Calibri"/>
                <w:color w:val="000000"/>
              </w:rPr>
              <w:t>2,322</w:t>
            </w:r>
          </w:p>
        </w:tc>
        <w:tc>
          <w:tcPr>
            <w:tcW w:w="1337" w:type="dxa"/>
            <w:tcBorders>
              <w:top w:val="nil"/>
              <w:left w:val="nil"/>
              <w:bottom w:val="nil"/>
              <w:right w:val="nil"/>
            </w:tcBorders>
            <w:shd w:val="clear" w:color="000000" w:fill="FFFFFF"/>
            <w:noWrap/>
            <w:vAlign w:val="center"/>
            <w:hideMark/>
          </w:tcPr>
          <w:p w14:paraId="1BC51059" w14:textId="552FC65D" w:rsidR="006A1779" w:rsidRPr="004454C0" w:rsidRDefault="006A1779" w:rsidP="006A1779">
            <w:pPr>
              <w:jc w:val="right"/>
              <w:rPr>
                <w:rFonts w:eastAsia="Times New Roman" w:cstheme="minorHAnsi"/>
                <w:color w:val="000000" w:themeColor="text1"/>
              </w:rPr>
            </w:pPr>
            <w:r>
              <w:rPr>
                <w:rFonts w:ascii="Calibri" w:hAnsi="Calibri" w:cs="Calibri"/>
                <w:color w:val="000000"/>
              </w:rPr>
              <w:t>1,013</w:t>
            </w:r>
          </w:p>
        </w:tc>
        <w:tc>
          <w:tcPr>
            <w:tcW w:w="1414" w:type="dxa"/>
            <w:tcBorders>
              <w:top w:val="nil"/>
              <w:left w:val="nil"/>
              <w:bottom w:val="nil"/>
              <w:right w:val="nil"/>
            </w:tcBorders>
            <w:shd w:val="clear" w:color="auto" w:fill="auto"/>
            <w:noWrap/>
            <w:vAlign w:val="bottom"/>
          </w:tcPr>
          <w:p w14:paraId="7210D529" w14:textId="0D690703" w:rsidR="006A1779" w:rsidRPr="004454C0" w:rsidRDefault="006A1779" w:rsidP="006A1779">
            <w:pPr>
              <w:jc w:val="right"/>
              <w:rPr>
                <w:rFonts w:eastAsia="Times New Roman" w:cstheme="minorHAnsi"/>
                <w:color w:val="000000" w:themeColor="text1"/>
              </w:rPr>
            </w:pPr>
            <w:r>
              <w:rPr>
                <w:rFonts w:ascii="Calibri" w:hAnsi="Calibri" w:cs="Calibri"/>
                <w:color w:val="000000"/>
              </w:rPr>
              <w:t>2,657</w:t>
            </w:r>
          </w:p>
        </w:tc>
        <w:tc>
          <w:tcPr>
            <w:tcW w:w="1260" w:type="dxa"/>
            <w:tcBorders>
              <w:top w:val="nil"/>
              <w:left w:val="nil"/>
              <w:bottom w:val="nil"/>
              <w:right w:val="nil"/>
            </w:tcBorders>
            <w:shd w:val="clear" w:color="auto" w:fill="auto"/>
            <w:vAlign w:val="bottom"/>
          </w:tcPr>
          <w:p w14:paraId="0ACE73E5" w14:textId="57B318C6" w:rsidR="006A1779" w:rsidRPr="004454C0" w:rsidRDefault="006A1779" w:rsidP="006A1779">
            <w:pPr>
              <w:jc w:val="right"/>
              <w:rPr>
                <w:rFonts w:cstheme="minorHAnsi"/>
                <w:color w:val="000000" w:themeColor="text1"/>
              </w:rPr>
            </w:pPr>
            <w:r>
              <w:rPr>
                <w:rFonts w:ascii="Calibri" w:hAnsi="Calibri" w:cs="Calibri"/>
                <w:color w:val="000000"/>
              </w:rPr>
              <w:t>159</w:t>
            </w:r>
          </w:p>
        </w:tc>
      </w:tr>
      <w:tr w:rsidR="006A1779" w:rsidRPr="003323E0" w14:paraId="45E1C024"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27CCC813"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2026</w:t>
            </w:r>
          </w:p>
        </w:tc>
        <w:tc>
          <w:tcPr>
            <w:tcW w:w="1337" w:type="dxa"/>
            <w:tcBorders>
              <w:top w:val="nil"/>
              <w:left w:val="nil"/>
              <w:bottom w:val="nil"/>
              <w:right w:val="nil"/>
            </w:tcBorders>
            <w:shd w:val="clear" w:color="000000" w:fill="FFFFFF"/>
            <w:noWrap/>
            <w:vAlign w:val="center"/>
            <w:hideMark/>
          </w:tcPr>
          <w:p w14:paraId="762440D0" w14:textId="206469D6" w:rsidR="006A1779" w:rsidRPr="004454C0" w:rsidRDefault="006A1779" w:rsidP="006A1779">
            <w:pPr>
              <w:jc w:val="right"/>
              <w:rPr>
                <w:rFonts w:eastAsia="Times New Roman" w:cstheme="minorHAnsi"/>
                <w:color w:val="000000" w:themeColor="text1"/>
              </w:rPr>
            </w:pPr>
            <w:r>
              <w:rPr>
                <w:rFonts w:ascii="Calibri" w:hAnsi="Calibri" w:cs="Calibri"/>
                <w:color w:val="000000"/>
              </w:rPr>
              <w:t>2,391</w:t>
            </w:r>
          </w:p>
        </w:tc>
        <w:tc>
          <w:tcPr>
            <w:tcW w:w="1337" w:type="dxa"/>
            <w:tcBorders>
              <w:top w:val="nil"/>
              <w:left w:val="nil"/>
              <w:bottom w:val="nil"/>
              <w:right w:val="nil"/>
            </w:tcBorders>
            <w:shd w:val="clear" w:color="000000" w:fill="FFFFFF"/>
            <w:noWrap/>
            <w:vAlign w:val="center"/>
            <w:hideMark/>
          </w:tcPr>
          <w:p w14:paraId="67D76971" w14:textId="7CA4A103" w:rsidR="006A1779" w:rsidRPr="004454C0" w:rsidRDefault="006A1779" w:rsidP="006A1779">
            <w:pPr>
              <w:jc w:val="right"/>
              <w:rPr>
                <w:rFonts w:eastAsia="Times New Roman" w:cstheme="minorHAnsi"/>
                <w:color w:val="000000" w:themeColor="text1"/>
              </w:rPr>
            </w:pPr>
            <w:r>
              <w:rPr>
                <w:rFonts w:ascii="Calibri" w:hAnsi="Calibri" w:cs="Calibri"/>
                <w:color w:val="000000"/>
              </w:rPr>
              <w:t>983</w:t>
            </w:r>
          </w:p>
        </w:tc>
        <w:tc>
          <w:tcPr>
            <w:tcW w:w="1414" w:type="dxa"/>
            <w:tcBorders>
              <w:top w:val="nil"/>
              <w:left w:val="nil"/>
              <w:bottom w:val="nil"/>
              <w:right w:val="nil"/>
            </w:tcBorders>
            <w:shd w:val="clear" w:color="auto" w:fill="auto"/>
            <w:noWrap/>
            <w:vAlign w:val="bottom"/>
          </w:tcPr>
          <w:p w14:paraId="4DF4F3E2" w14:textId="4314F614" w:rsidR="006A1779" w:rsidRPr="004454C0" w:rsidRDefault="006A1779" w:rsidP="006A1779">
            <w:pPr>
              <w:jc w:val="right"/>
              <w:rPr>
                <w:rFonts w:eastAsia="Times New Roman" w:cstheme="minorHAnsi"/>
                <w:color w:val="000000" w:themeColor="text1"/>
              </w:rPr>
            </w:pPr>
            <w:r>
              <w:rPr>
                <w:rFonts w:ascii="Calibri" w:hAnsi="Calibri" w:cs="Calibri"/>
                <w:color w:val="000000"/>
              </w:rPr>
              <w:t>2,421</w:t>
            </w:r>
          </w:p>
        </w:tc>
        <w:tc>
          <w:tcPr>
            <w:tcW w:w="1260" w:type="dxa"/>
            <w:tcBorders>
              <w:top w:val="nil"/>
              <w:left w:val="nil"/>
              <w:bottom w:val="nil"/>
              <w:right w:val="nil"/>
            </w:tcBorders>
            <w:shd w:val="clear" w:color="auto" w:fill="auto"/>
            <w:vAlign w:val="bottom"/>
          </w:tcPr>
          <w:p w14:paraId="493D0B27" w14:textId="0CCA4258" w:rsidR="006A1779" w:rsidRPr="004454C0" w:rsidRDefault="006A1779" w:rsidP="006A1779">
            <w:pPr>
              <w:jc w:val="right"/>
              <w:rPr>
                <w:rFonts w:cstheme="minorHAnsi"/>
                <w:color w:val="000000" w:themeColor="text1"/>
              </w:rPr>
            </w:pPr>
            <w:r>
              <w:rPr>
                <w:rFonts w:ascii="Calibri" w:hAnsi="Calibri" w:cs="Calibri"/>
                <w:color w:val="000000"/>
              </w:rPr>
              <w:t>114</w:t>
            </w:r>
          </w:p>
        </w:tc>
      </w:tr>
      <w:tr w:rsidR="006A1779" w:rsidRPr="003323E0" w14:paraId="617443CD"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00951147"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2027</w:t>
            </w:r>
          </w:p>
        </w:tc>
        <w:tc>
          <w:tcPr>
            <w:tcW w:w="1337" w:type="dxa"/>
            <w:tcBorders>
              <w:top w:val="nil"/>
              <w:left w:val="nil"/>
              <w:bottom w:val="nil"/>
              <w:right w:val="nil"/>
            </w:tcBorders>
            <w:shd w:val="clear" w:color="000000" w:fill="FFFFFF"/>
            <w:noWrap/>
            <w:vAlign w:val="center"/>
            <w:hideMark/>
          </w:tcPr>
          <w:p w14:paraId="71C48F5B" w14:textId="079EB043" w:rsidR="006A1779" w:rsidRPr="004454C0" w:rsidRDefault="006A1779" w:rsidP="006A1779">
            <w:pPr>
              <w:jc w:val="right"/>
              <w:rPr>
                <w:rFonts w:eastAsia="Times New Roman" w:cstheme="minorHAnsi"/>
                <w:color w:val="000000" w:themeColor="text1"/>
              </w:rPr>
            </w:pPr>
            <w:r>
              <w:rPr>
                <w:rFonts w:ascii="Calibri" w:hAnsi="Calibri" w:cs="Calibri"/>
                <w:color w:val="000000"/>
              </w:rPr>
              <w:t>38,594</w:t>
            </w:r>
          </w:p>
        </w:tc>
        <w:tc>
          <w:tcPr>
            <w:tcW w:w="1337" w:type="dxa"/>
            <w:tcBorders>
              <w:top w:val="nil"/>
              <w:left w:val="nil"/>
              <w:bottom w:val="nil"/>
              <w:right w:val="nil"/>
            </w:tcBorders>
            <w:shd w:val="clear" w:color="000000" w:fill="FFFFFF"/>
            <w:noWrap/>
            <w:vAlign w:val="center"/>
            <w:hideMark/>
          </w:tcPr>
          <w:p w14:paraId="1CBC899A" w14:textId="7690AEF4" w:rsidR="006A1779" w:rsidRPr="004454C0" w:rsidRDefault="006A1779" w:rsidP="006A1779">
            <w:pPr>
              <w:jc w:val="right"/>
              <w:rPr>
                <w:rFonts w:eastAsia="Times New Roman" w:cstheme="minorHAnsi"/>
                <w:color w:val="000000" w:themeColor="text1"/>
              </w:rPr>
            </w:pPr>
            <w:r>
              <w:rPr>
                <w:rFonts w:ascii="Calibri" w:hAnsi="Calibri" w:cs="Calibri"/>
                <w:color w:val="000000"/>
              </w:rPr>
              <w:t>404</w:t>
            </w:r>
          </w:p>
        </w:tc>
        <w:tc>
          <w:tcPr>
            <w:tcW w:w="1414" w:type="dxa"/>
            <w:tcBorders>
              <w:top w:val="nil"/>
              <w:left w:val="nil"/>
              <w:bottom w:val="nil"/>
              <w:right w:val="nil"/>
            </w:tcBorders>
            <w:shd w:val="clear" w:color="auto" w:fill="auto"/>
            <w:noWrap/>
            <w:vAlign w:val="bottom"/>
          </w:tcPr>
          <w:p w14:paraId="07F79B69" w14:textId="00407FE7" w:rsidR="006A1779" w:rsidRPr="004454C0" w:rsidRDefault="006A1779" w:rsidP="006A1779">
            <w:pPr>
              <w:jc w:val="right"/>
              <w:rPr>
                <w:rFonts w:eastAsia="Times New Roman" w:cstheme="minorHAnsi"/>
                <w:color w:val="000000" w:themeColor="text1"/>
              </w:rPr>
            </w:pPr>
            <w:r>
              <w:rPr>
                <w:rFonts w:ascii="Calibri" w:hAnsi="Calibri" w:cs="Calibri"/>
                <w:color w:val="000000"/>
              </w:rPr>
              <w:t>1,485</w:t>
            </w:r>
          </w:p>
        </w:tc>
        <w:tc>
          <w:tcPr>
            <w:tcW w:w="1260" w:type="dxa"/>
            <w:tcBorders>
              <w:top w:val="nil"/>
              <w:left w:val="nil"/>
              <w:bottom w:val="nil"/>
              <w:right w:val="nil"/>
            </w:tcBorders>
            <w:shd w:val="clear" w:color="auto" w:fill="auto"/>
            <w:vAlign w:val="bottom"/>
          </w:tcPr>
          <w:p w14:paraId="4111C30B" w14:textId="465FD859" w:rsidR="006A1779" w:rsidRPr="004454C0" w:rsidRDefault="006A1779" w:rsidP="006A1779">
            <w:pPr>
              <w:jc w:val="right"/>
              <w:rPr>
                <w:rFonts w:cstheme="minorHAnsi"/>
                <w:color w:val="000000" w:themeColor="text1"/>
              </w:rPr>
            </w:pPr>
            <w:r>
              <w:rPr>
                <w:rFonts w:ascii="Calibri" w:hAnsi="Calibri" w:cs="Calibri"/>
                <w:color w:val="000000"/>
              </w:rPr>
              <w:t>70</w:t>
            </w:r>
          </w:p>
        </w:tc>
      </w:tr>
      <w:tr w:rsidR="006A1779" w:rsidRPr="003323E0" w14:paraId="3D579BC8"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445A0243"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2028</w:t>
            </w:r>
          </w:p>
        </w:tc>
        <w:tc>
          <w:tcPr>
            <w:tcW w:w="1337" w:type="dxa"/>
            <w:tcBorders>
              <w:top w:val="nil"/>
              <w:left w:val="nil"/>
              <w:bottom w:val="nil"/>
              <w:right w:val="nil"/>
            </w:tcBorders>
            <w:shd w:val="clear" w:color="000000" w:fill="FFFFFF"/>
            <w:noWrap/>
            <w:vAlign w:val="center"/>
            <w:hideMark/>
          </w:tcPr>
          <w:p w14:paraId="4C15A8AB" w14:textId="43645ADC" w:rsidR="006A1779" w:rsidRPr="004454C0" w:rsidRDefault="006A1779" w:rsidP="006A1779">
            <w:pPr>
              <w:jc w:val="right"/>
              <w:rPr>
                <w:rFonts w:eastAsia="Times New Roman" w:cstheme="minorHAnsi"/>
                <w:color w:val="000000" w:themeColor="text1"/>
              </w:rPr>
            </w:pPr>
            <w:r>
              <w:rPr>
                <w:rFonts w:ascii="Calibri" w:hAnsi="Calibri" w:cs="Calibri"/>
                <w:color w:val="000000"/>
              </w:rPr>
              <w:t>1,474</w:t>
            </w:r>
          </w:p>
        </w:tc>
        <w:tc>
          <w:tcPr>
            <w:tcW w:w="1337" w:type="dxa"/>
            <w:tcBorders>
              <w:top w:val="nil"/>
              <w:left w:val="nil"/>
              <w:bottom w:val="nil"/>
              <w:right w:val="nil"/>
            </w:tcBorders>
            <w:shd w:val="clear" w:color="000000" w:fill="FFFFFF"/>
            <w:noWrap/>
            <w:vAlign w:val="center"/>
            <w:hideMark/>
          </w:tcPr>
          <w:p w14:paraId="75F48A46" w14:textId="10BFC840" w:rsidR="006A1779" w:rsidRPr="004454C0" w:rsidRDefault="006A1779" w:rsidP="006A1779">
            <w:pPr>
              <w:jc w:val="right"/>
              <w:rPr>
                <w:rFonts w:eastAsia="Times New Roman" w:cstheme="minorHAnsi"/>
                <w:color w:val="000000" w:themeColor="text1"/>
              </w:rPr>
            </w:pPr>
            <w:r>
              <w:rPr>
                <w:rFonts w:ascii="Calibri" w:hAnsi="Calibri" w:cs="Calibri"/>
                <w:color w:val="000000"/>
              </w:rPr>
              <w:t>173</w:t>
            </w:r>
          </w:p>
        </w:tc>
        <w:tc>
          <w:tcPr>
            <w:tcW w:w="1414" w:type="dxa"/>
            <w:tcBorders>
              <w:top w:val="nil"/>
              <w:left w:val="nil"/>
              <w:bottom w:val="nil"/>
              <w:right w:val="nil"/>
            </w:tcBorders>
            <w:shd w:val="clear" w:color="auto" w:fill="auto"/>
            <w:noWrap/>
            <w:vAlign w:val="bottom"/>
          </w:tcPr>
          <w:p w14:paraId="41699DAF" w14:textId="6A3BE0F1" w:rsidR="006A1779" w:rsidRPr="004454C0" w:rsidRDefault="006A1779" w:rsidP="006A1779">
            <w:pPr>
              <w:jc w:val="right"/>
              <w:rPr>
                <w:rFonts w:eastAsia="Times New Roman" w:cstheme="minorHAnsi"/>
                <w:color w:val="000000" w:themeColor="text1"/>
              </w:rPr>
            </w:pPr>
            <w:r>
              <w:rPr>
                <w:rFonts w:ascii="Calibri" w:hAnsi="Calibri" w:cs="Calibri"/>
                <w:color w:val="000000"/>
              </w:rPr>
              <w:t>1,210</w:t>
            </w:r>
          </w:p>
        </w:tc>
        <w:tc>
          <w:tcPr>
            <w:tcW w:w="1260" w:type="dxa"/>
            <w:tcBorders>
              <w:top w:val="nil"/>
              <w:left w:val="nil"/>
              <w:bottom w:val="nil"/>
              <w:right w:val="nil"/>
            </w:tcBorders>
            <w:shd w:val="clear" w:color="auto" w:fill="auto"/>
            <w:vAlign w:val="bottom"/>
          </w:tcPr>
          <w:p w14:paraId="0BD31EF7" w14:textId="65FBB8E1" w:rsidR="006A1779" w:rsidRPr="004454C0" w:rsidRDefault="006A1779" w:rsidP="006A1779">
            <w:pPr>
              <w:jc w:val="right"/>
              <w:rPr>
                <w:rFonts w:cstheme="minorHAnsi"/>
                <w:color w:val="000000" w:themeColor="text1"/>
              </w:rPr>
            </w:pPr>
            <w:r>
              <w:rPr>
                <w:rFonts w:ascii="Calibri" w:hAnsi="Calibri" w:cs="Calibri"/>
                <w:color w:val="000000"/>
              </w:rPr>
              <w:t>48</w:t>
            </w:r>
          </w:p>
        </w:tc>
      </w:tr>
      <w:tr w:rsidR="006A1779" w:rsidRPr="003323E0" w14:paraId="1F1B2F7D"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65002E62" w14:textId="77777777" w:rsidR="006A1779" w:rsidRPr="00AD54E4" w:rsidRDefault="006A1779" w:rsidP="006A1779">
            <w:pPr>
              <w:jc w:val="center"/>
              <w:rPr>
                <w:rFonts w:ascii="Calibri" w:eastAsia="Times New Roman" w:hAnsi="Calibri" w:cs="Calibri"/>
                <w:color w:val="0D0D0D"/>
              </w:rPr>
            </w:pPr>
            <w:r w:rsidRPr="00AD54E4">
              <w:rPr>
                <w:rFonts w:ascii="Calibri" w:eastAsia="Times New Roman" w:hAnsi="Calibri" w:cs="Calibri"/>
                <w:color w:val="0D0D0D"/>
              </w:rPr>
              <w:t>2029-2033</w:t>
            </w:r>
          </w:p>
        </w:tc>
        <w:tc>
          <w:tcPr>
            <w:tcW w:w="1337" w:type="dxa"/>
            <w:tcBorders>
              <w:top w:val="nil"/>
              <w:left w:val="nil"/>
              <w:bottom w:val="nil"/>
              <w:right w:val="nil"/>
            </w:tcBorders>
            <w:shd w:val="clear" w:color="000000" w:fill="FFFFFF"/>
            <w:noWrap/>
            <w:vAlign w:val="center"/>
            <w:hideMark/>
          </w:tcPr>
          <w:p w14:paraId="53004090" w14:textId="6EC9993B" w:rsidR="006A1779" w:rsidRPr="004454C0" w:rsidRDefault="006A1779" w:rsidP="006A1779">
            <w:pPr>
              <w:jc w:val="right"/>
              <w:rPr>
                <w:rFonts w:eastAsia="Times New Roman" w:cstheme="minorHAnsi"/>
                <w:color w:val="000000" w:themeColor="text1"/>
              </w:rPr>
            </w:pPr>
            <w:r>
              <w:rPr>
                <w:rFonts w:ascii="Calibri" w:hAnsi="Calibri" w:cs="Calibri"/>
                <w:color w:val="000000"/>
              </w:rPr>
              <w:t>6,025</w:t>
            </w:r>
          </w:p>
        </w:tc>
        <w:tc>
          <w:tcPr>
            <w:tcW w:w="1337" w:type="dxa"/>
            <w:tcBorders>
              <w:top w:val="nil"/>
              <w:left w:val="nil"/>
              <w:bottom w:val="nil"/>
              <w:right w:val="nil"/>
            </w:tcBorders>
            <w:shd w:val="clear" w:color="000000" w:fill="FFFFFF"/>
            <w:noWrap/>
            <w:vAlign w:val="center"/>
            <w:hideMark/>
          </w:tcPr>
          <w:p w14:paraId="4BB9C1C8" w14:textId="3A0E91FD" w:rsidR="006A1779" w:rsidRPr="004454C0" w:rsidRDefault="006A1779" w:rsidP="006A1779">
            <w:pPr>
              <w:jc w:val="right"/>
              <w:rPr>
                <w:rFonts w:eastAsia="Times New Roman" w:cstheme="minorHAnsi"/>
                <w:color w:val="000000" w:themeColor="text1"/>
              </w:rPr>
            </w:pPr>
            <w:r>
              <w:rPr>
                <w:rFonts w:ascii="Calibri" w:hAnsi="Calibri" w:cs="Calibri"/>
                <w:color w:val="000000"/>
              </w:rPr>
              <w:t>607</w:t>
            </w:r>
          </w:p>
        </w:tc>
        <w:tc>
          <w:tcPr>
            <w:tcW w:w="1414" w:type="dxa"/>
            <w:tcBorders>
              <w:top w:val="nil"/>
              <w:left w:val="nil"/>
              <w:bottom w:val="nil"/>
              <w:right w:val="nil"/>
            </w:tcBorders>
            <w:shd w:val="clear" w:color="auto" w:fill="auto"/>
            <w:noWrap/>
            <w:vAlign w:val="bottom"/>
          </w:tcPr>
          <w:p w14:paraId="304BFDF5" w14:textId="2C5EE403" w:rsidR="006A1779" w:rsidRPr="004454C0" w:rsidRDefault="006A1779" w:rsidP="006A1779">
            <w:pPr>
              <w:jc w:val="right"/>
              <w:rPr>
                <w:rFonts w:eastAsia="Times New Roman" w:cstheme="minorHAnsi"/>
                <w:color w:val="000000" w:themeColor="text1"/>
              </w:rPr>
            </w:pPr>
            <w:r>
              <w:rPr>
                <w:rFonts w:ascii="Calibri" w:hAnsi="Calibri" w:cs="Calibri"/>
                <w:color w:val="000000"/>
              </w:rPr>
              <w:t>2,678</w:t>
            </w:r>
          </w:p>
        </w:tc>
        <w:tc>
          <w:tcPr>
            <w:tcW w:w="1260" w:type="dxa"/>
            <w:tcBorders>
              <w:top w:val="nil"/>
              <w:left w:val="nil"/>
              <w:bottom w:val="nil"/>
              <w:right w:val="nil"/>
            </w:tcBorders>
            <w:shd w:val="clear" w:color="auto" w:fill="auto"/>
            <w:vAlign w:val="bottom"/>
          </w:tcPr>
          <w:p w14:paraId="6E5A73D9" w14:textId="04F074D2" w:rsidR="006A1779" w:rsidRPr="004454C0" w:rsidRDefault="006A1779" w:rsidP="006A1779">
            <w:pPr>
              <w:jc w:val="right"/>
              <w:rPr>
                <w:rFonts w:cstheme="minorHAnsi"/>
                <w:color w:val="000000" w:themeColor="text1"/>
              </w:rPr>
            </w:pPr>
            <w:r>
              <w:rPr>
                <w:rFonts w:ascii="Calibri" w:hAnsi="Calibri" w:cs="Calibri"/>
                <w:color w:val="000000"/>
              </w:rPr>
              <w:t>143</w:t>
            </w:r>
          </w:p>
        </w:tc>
      </w:tr>
      <w:tr w:rsidR="007C360A" w:rsidRPr="003323E0" w14:paraId="7974F07E"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70F9985D" w14:textId="77777777" w:rsidR="007C360A" w:rsidRPr="00AD54E4" w:rsidRDefault="007C360A" w:rsidP="007C360A">
            <w:pPr>
              <w:jc w:val="center"/>
              <w:rPr>
                <w:rFonts w:ascii="Calibri" w:eastAsia="Times New Roman" w:hAnsi="Calibri" w:cs="Calibri"/>
                <w:color w:val="0D0D0D"/>
              </w:rPr>
            </w:pPr>
            <w:r w:rsidRPr="00AD54E4">
              <w:rPr>
                <w:rFonts w:ascii="Calibri" w:eastAsia="Times New Roman" w:hAnsi="Calibri" w:cs="Calibri"/>
                <w:color w:val="0D0D0D"/>
              </w:rPr>
              <w:t>2034-2038</w:t>
            </w:r>
          </w:p>
        </w:tc>
        <w:tc>
          <w:tcPr>
            <w:tcW w:w="1337" w:type="dxa"/>
            <w:tcBorders>
              <w:top w:val="nil"/>
              <w:left w:val="nil"/>
              <w:bottom w:val="nil"/>
              <w:right w:val="nil"/>
            </w:tcBorders>
            <w:shd w:val="clear" w:color="000000" w:fill="FFFFFF"/>
            <w:noWrap/>
            <w:vAlign w:val="center"/>
            <w:hideMark/>
          </w:tcPr>
          <w:p w14:paraId="32570C57" w14:textId="29E8F334" w:rsidR="007C360A" w:rsidRPr="004454C0" w:rsidRDefault="007C360A" w:rsidP="007C360A">
            <w:pPr>
              <w:jc w:val="right"/>
              <w:rPr>
                <w:rFonts w:eastAsia="Times New Roman" w:cstheme="minorHAnsi"/>
                <w:color w:val="000000" w:themeColor="text1"/>
              </w:rPr>
            </w:pPr>
            <w:r>
              <w:rPr>
                <w:rFonts w:ascii="Calibri" w:hAnsi="Calibri" w:cs="Calibri"/>
                <w:color w:val="000000"/>
              </w:rPr>
              <w:t>2,318</w:t>
            </w:r>
          </w:p>
        </w:tc>
        <w:tc>
          <w:tcPr>
            <w:tcW w:w="1337" w:type="dxa"/>
            <w:tcBorders>
              <w:top w:val="nil"/>
              <w:left w:val="nil"/>
              <w:bottom w:val="nil"/>
              <w:right w:val="nil"/>
            </w:tcBorders>
            <w:shd w:val="clear" w:color="000000" w:fill="FFFFFF"/>
            <w:noWrap/>
            <w:vAlign w:val="center"/>
            <w:hideMark/>
          </w:tcPr>
          <w:p w14:paraId="50813674" w14:textId="096E39EB" w:rsidR="007C360A" w:rsidRPr="004454C0" w:rsidRDefault="007C360A" w:rsidP="007C360A">
            <w:pPr>
              <w:jc w:val="right"/>
              <w:rPr>
                <w:rFonts w:eastAsia="Times New Roman" w:cstheme="minorHAnsi"/>
                <w:color w:val="000000" w:themeColor="text1"/>
              </w:rPr>
            </w:pPr>
            <w:r>
              <w:rPr>
                <w:rFonts w:ascii="Calibri" w:hAnsi="Calibri" w:cs="Calibri"/>
                <w:color w:val="000000"/>
              </w:rPr>
              <w:t>265</w:t>
            </w:r>
          </w:p>
        </w:tc>
        <w:tc>
          <w:tcPr>
            <w:tcW w:w="1414" w:type="dxa"/>
            <w:tcBorders>
              <w:top w:val="nil"/>
              <w:left w:val="nil"/>
              <w:bottom w:val="nil"/>
              <w:right w:val="nil"/>
            </w:tcBorders>
            <w:shd w:val="clear" w:color="auto" w:fill="auto"/>
            <w:noWrap/>
            <w:vAlign w:val="bottom"/>
          </w:tcPr>
          <w:p w14:paraId="0812D99C" w14:textId="738F7D87" w:rsidR="007C360A" w:rsidRPr="004454C0" w:rsidRDefault="00F053A3" w:rsidP="007C360A">
            <w:pPr>
              <w:jc w:val="right"/>
              <w:rPr>
                <w:rFonts w:eastAsia="Times New Roman" w:cstheme="minorHAnsi"/>
                <w:color w:val="000000" w:themeColor="text1"/>
              </w:rPr>
            </w:pPr>
            <w:r>
              <w:rPr>
                <w:rFonts w:eastAsia="Times New Roman" w:cstheme="minorHAnsi"/>
                <w:color w:val="000000" w:themeColor="text1"/>
              </w:rPr>
              <w:t>754</w:t>
            </w:r>
          </w:p>
        </w:tc>
        <w:tc>
          <w:tcPr>
            <w:tcW w:w="1260" w:type="dxa"/>
            <w:tcBorders>
              <w:top w:val="nil"/>
              <w:left w:val="nil"/>
              <w:bottom w:val="nil"/>
              <w:right w:val="nil"/>
            </w:tcBorders>
            <w:shd w:val="clear" w:color="auto" w:fill="auto"/>
            <w:vAlign w:val="bottom"/>
          </w:tcPr>
          <w:p w14:paraId="5632E480" w14:textId="26A9771F" w:rsidR="007C360A" w:rsidRPr="004454C0" w:rsidRDefault="00F053A3" w:rsidP="007C360A">
            <w:pPr>
              <w:jc w:val="right"/>
              <w:rPr>
                <w:rFonts w:cstheme="minorHAnsi"/>
                <w:color w:val="000000" w:themeColor="text1"/>
              </w:rPr>
            </w:pPr>
            <w:r>
              <w:rPr>
                <w:rFonts w:cstheme="minorHAnsi"/>
                <w:color w:val="000000" w:themeColor="text1"/>
              </w:rPr>
              <w:t>10</w:t>
            </w:r>
          </w:p>
        </w:tc>
      </w:tr>
      <w:tr w:rsidR="00355BD5" w:rsidRPr="003323E0" w14:paraId="15F4ADB4" w14:textId="77777777" w:rsidTr="00A504DA">
        <w:trPr>
          <w:trHeight w:val="288"/>
          <w:jc w:val="center"/>
        </w:trPr>
        <w:tc>
          <w:tcPr>
            <w:tcW w:w="2392" w:type="dxa"/>
            <w:tcBorders>
              <w:top w:val="nil"/>
              <w:left w:val="nil"/>
              <w:bottom w:val="nil"/>
              <w:right w:val="nil"/>
            </w:tcBorders>
            <w:shd w:val="clear" w:color="000000" w:fill="FFFFFF"/>
            <w:noWrap/>
            <w:vAlign w:val="bottom"/>
          </w:tcPr>
          <w:p w14:paraId="6C9196C8" w14:textId="02112506" w:rsidR="00355BD5" w:rsidRPr="00AD54E4" w:rsidRDefault="00355BD5" w:rsidP="007C360A">
            <w:pPr>
              <w:jc w:val="center"/>
              <w:rPr>
                <w:rFonts w:ascii="Calibri" w:eastAsia="Times New Roman" w:hAnsi="Calibri" w:cs="Calibri"/>
                <w:color w:val="0D0D0D"/>
              </w:rPr>
            </w:pPr>
            <w:r>
              <w:rPr>
                <w:rFonts w:ascii="Calibri" w:eastAsia="Times New Roman" w:hAnsi="Calibri" w:cs="Calibri"/>
                <w:color w:val="0D0D0D"/>
              </w:rPr>
              <w:t>2039-2043</w:t>
            </w:r>
          </w:p>
        </w:tc>
        <w:tc>
          <w:tcPr>
            <w:tcW w:w="1337" w:type="dxa"/>
            <w:tcBorders>
              <w:top w:val="nil"/>
              <w:left w:val="nil"/>
              <w:bottom w:val="nil"/>
              <w:right w:val="nil"/>
            </w:tcBorders>
            <w:shd w:val="clear" w:color="000000" w:fill="FFFFFF"/>
            <w:noWrap/>
            <w:vAlign w:val="center"/>
          </w:tcPr>
          <w:p w14:paraId="2852584A" w14:textId="5BFE76F3" w:rsidR="00355BD5" w:rsidRDefault="0036047A" w:rsidP="007C360A">
            <w:pPr>
              <w:jc w:val="right"/>
              <w:rPr>
                <w:rFonts w:ascii="Calibri" w:hAnsi="Calibri" w:cs="Calibri"/>
                <w:color w:val="000000"/>
              </w:rPr>
            </w:pPr>
            <w:r>
              <w:rPr>
                <w:rFonts w:ascii="Calibri" w:hAnsi="Calibri" w:cs="Calibri"/>
                <w:color w:val="000000"/>
              </w:rPr>
              <w:t>1,235</w:t>
            </w:r>
          </w:p>
        </w:tc>
        <w:tc>
          <w:tcPr>
            <w:tcW w:w="1337" w:type="dxa"/>
            <w:tcBorders>
              <w:top w:val="nil"/>
              <w:left w:val="nil"/>
              <w:bottom w:val="nil"/>
              <w:right w:val="nil"/>
            </w:tcBorders>
            <w:shd w:val="clear" w:color="000000" w:fill="FFFFFF"/>
            <w:noWrap/>
            <w:vAlign w:val="center"/>
          </w:tcPr>
          <w:p w14:paraId="7A11DC6E" w14:textId="761FB1B1" w:rsidR="00355BD5" w:rsidRDefault="0036047A" w:rsidP="007C360A">
            <w:pPr>
              <w:jc w:val="right"/>
              <w:rPr>
                <w:rFonts w:ascii="Calibri" w:hAnsi="Calibri" w:cs="Calibri"/>
                <w:color w:val="000000"/>
              </w:rPr>
            </w:pPr>
            <w:r>
              <w:rPr>
                <w:rFonts w:ascii="Calibri" w:hAnsi="Calibri" w:cs="Calibri"/>
                <w:color w:val="000000"/>
              </w:rPr>
              <w:t>74</w:t>
            </w:r>
          </w:p>
        </w:tc>
        <w:tc>
          <w:tcPr>
            <w:tcW w:w="1414" w:type="dxa"/>
            <w:tcBorders>
              <w:top w:val="nil"/>
              <w:left w:val="nil"/>
              <w:bottom w:val="nil"/>
              <w:right w:val="nil"/>
            </w:tcBorders>
            <w:shd w:val="clear" w:color="auto" w:fill="auto"/>
            <w:noWrap/>
            <w:vAlign w:val="bottom"/>
          </w:tcPr>
          <w:p w14:paraId="1A426817" w14:textId="12A96F17" w:rsidR="00355BD5" w:rsidRDefault="00CF4DC1" w:rsidP="007C360A">
            <w:pPr>
              <w:jc w:val="right"/>
              <w:rPr>
                <w:rFonts w:eastAsia="Times New Roman" w:cstheme="minorHAnsi"/>
                <w:color w:val="000000" w:themeColor="text1"/>
              </w:rPr>
            </w:pPr>
            <w:r>
              <w:rPr>
                <w:rFonts w:eastAsia="Times New Roman" w:cstheme="minorHAnsi"/>
                <w:color w:val="000000" w:themeColor="text1"/>
              </w:rPr>
              <w:t>-</w:t>
            </w:r>
          </w:p>
        </w:tc>
        <w:tc>
          <w:tcPr>
            <w:tcW w:w="1260" w:type="dxa"/>
            <w:tcBorders>
              <w:top w:val="nil"/>
              <w:left w:val="nil"/>
              <w:bottom w:val="nil"/>
              <w:right w:val="nil"/>
            </w:tcBorders>
            <w:shd w:val="clear" w:color="auto" w:fill="auto"/>
            <w:vAlign w:val="bottom"/>
          </w:tcPr>
          <w:p w14:paraId="00A00537" w14:textId="76124582" w:rsidR="00355BD5" w:rsidRDefault="00CF4DC1" w:rsidP="007C360A">
            <w:pPr>
              <w:jc w:val="right"/>
              <w:rPr>
                <w:rFonts w:cstheme="minorHAnsi"/>
                <w:color w:val="000000" w:themeColor="text1"/>
              </w:rPr>
            </w:pPr>
            <w:r>
              <w:rPr>
                <w:rFonts w:eastAsia="Times New Roman" w:cstheme="minorHAnsi"/>
                <w:color w:val="000000" w:themeColor="text1"/>
              </w:rPr>
              <w:t>-</w:t>
            </w:r>
          </w:p>
        </w:tc>
      </w:tr>
      <w:tr w:rsidR="00B60B3E" w:rsidRPr="00F651F5" w14:paraId="0071D172" w14:textId="77777777" w:rsidTr="00A504DA">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163B047E" w14:textId="77777777" w:rsidR="00B60B3E" w:rsidRPr="003323E0" w:rsidRDefault="00B60B3E" w:rsidP="00636EEC">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auto"/>
              <w:left w:val="nil"/>
              <w:bottom w:val="double" w:sz="6" w:space="0" w:color="auto"/>
              <w:right w:val="nil"/>
            </w:tcBorders>
            <w:shd w:val="clear" w:color="auto" w:fill="auto"/>
            <w:noWrap/>
            <w:vAlign w:val="bottom"/>
            <w:hideMark/>
          </w:tcPr>
          <w:p w14:paraId="71280CD8" w14:textId="098969DD" w:rsidR="00B60B3E" w:rsidRPr="004454C0" w:rsidRDefault="00B60B3E" w:rsidP="008B4E5D">
            <w:pPr>
              <w:jc w:val="right"/>
              <w:rPr>
                <w:rFonts w:eastAsia="Times New Roman" w:cstheme="minorHAnsi"/>
                <w:color w:val="000000" w:themeColor="text1"/>
              </w:rPr>
            </w:pPr>
            <w:r w:rsidRPr="004454C0">
              <w:rPr>
                <w:rFonts w:cstheme="minorHAnsi"/>
                <w:color w:val="000000" w:themeColor="text1"/>
              </w:rPr>
              <w:t>$</w:t>
            </w:r>
            <w:r w:rsidR="007C360A">
              <w:rPr>
                <w:rFonts w:cstheme="minorHAnsi"/>
                <w:color w:val="000000" w:themeColor="text1"/>
              </w:rPr>
              <w:t>56,830</w:t>
            </w:r>
          </w:p>
        </w:tc>
        <w:tc>
          <w:tcPr>
            <w:tcW w:w="1337" w:type="dxa"/>
            <w:tcBorders>
              <w:top w:val="single" w:sz="4" w:space="0" w:color="auto"/>
              <w:left w:val="nil"/>
              <w:bottom w:val="double" w:sz="6" w:space="0" w:color="auto"/>
              <w:right w:val="nil"/>
            </w:tcBorders>
            <w:shd w:val="clear" w:color="auto" w:fill="auto"/>
            <w:noWrap/>
            <w:vAlign w:val="bottom"/>
            <w:hideMark/>
          </w:tcPr>
          <w:p w14:paraId="2881A7B7" w14:textId="49EBB909" w:rsidR="007C360A" w:rsidRPr="00A504DA" w:rsidRDefault="00B60B3E" w:rsidP="008B4E5D">
            <w:pPr>
              <w:jc w:val="right"/>
              <w:rPr>
                <w:rFonts w:cstheme="minorHAnsi"/>
                <w:color w:val="000000" w:themeColor="text1"/>
              </w:rPr>
            </w:pPr>
            <w:r w:rsidRPr="004454C0">
              <w:rPr>
                <w:rFonts w:cstheme="minorHAnsi"/>
                <w:color w:val="000000" w:themeColor="text1"/>
              </w:rPr>
              <w:t>$</w:t>
            </w:r>
            <w:r w:rsidR="007C360A">
              <w:rPr>
                <w:rFonts w:cstheme="minorHAnsi"/>
                <w:color w:val="000000" w:themeColor="text1"/>
              </w:rPr>
              <w:t>4,359</w:t>
            </w:r>
          </w:p>
        </w:tc>
        <w:tc>
          <w:tcPr>
            <w:tcW w:w="1414" w:type="dxa"/>
            <w:tcBorders>
              <w:top w:val="single" w:sz="4" w:space="0" w:color="auto"/>
              <w:left w:val="nil"/>
              <w:bottom w:val="double" w:sz="6" w:space="0" w:color="auto"/>
              <w:right w:val="nil"/>
            </w:tcBorders>
            <w:shd w:val="clear" w:color="auto" w:fill="auto"/>
            <w:noWrap/>
            <w:vAlign w:val="bottom"/>
            <w:hideMark/>
          </w:tcPr>
          <w:p w14:paraId="110BEB07" w14:textId="0F9A16A0" w:rsidR="00B60B3E" w:rsidRPr="004454C0" w:rsidRDefault="00B60B3E">
            <w:pPr>
              <w:jc w:val="right"/>
              <w:rPr>
                <w:rFonts w:eastAsia="Times New Roman" w:cstheme="minorHAnsi"/>
                <w:color w:val="000000" w:themeColor="text1"/>
              </w:rPr>
            </w:pPr>
            <w:r w:rsidRPr="004454C0">
              <w:rPr>
                <w:rFonts w:cstheme="minorHAnsi"/>
                <w:color w:val="000000" w:themeColor="text1"/>
              </w:rPr>
              <w:t>$</w:t>
            </w:r>
            <w:r w:rsidR="007C360A">
              <w:rPr>
                <w:rFonts w:cstheme="minorHAnsi"/>
                <w:color w:val="000000" w:themeColor="text1"/>
              </w:rPr>
              <w:t>14,731</w:t>
            </w:r>
            <w:r w:rsidRPr="004454C0">
              <w:rPr>
                <w:rFonts w:cstheme="minorHAnsi"/>
                <w:color w:val="000000" w:themeColor="text1"/>
              </w:rPr>
              <w:t xml:space="preserve"> </w:t>
            </w:r>
          </w:p>
        </w:tc>
        <w:tc>
          <w:tcPr>
            <w:tcW w:w="1260" w:type="dxa"/>
            <w:tcBorders>
              <w:top w:val="single" w:sz="4" w:space="0" w:color="auto"/>
              <w:left w:val="nil"/>
              <w:bottom w:val="double" w:sz="6" w:space="0" w:color="auto"/>
              <w:right w:val="nil"/>
            </w:tcBorders>
            <w:shd w:val="clear" w:color="auto" w:fill="auto"/>
            <w:vAlign w:val="bottom"/>
          </w:tcPr>
          <w:p w14:paraId="11443354" w14:textId="0812E7EB" w:rsidR="00B60B3E" w:rsidRPr="004454C0" w:rsidRDefault="006A1779" w:rsidP="00636EEC">
            <w:pPr>
              <w:jc w:val="right"/>
              <w:rPr>
                <w:rFonts w:eastAsia="Times New Roman" w:cstheme="minorHAnsi"/>
                <w:color w:val="000000" w:themeColor="text1"/>
              </w:rPr>
            </w:pPr>
            <w:r>
              <w:rPr>
                <w:rFonts w:eastAsia="Times New Roman" w:cstheme="minorHAnsi"/>
                <w:color w:val="000000" w:themeColor="text1"/>
              </w:rPr>
              <w:t>$     743</w:t>
            </w:r>
          </w:p>
        </w:tc>
      </w:tr>
    </w:tbl>
    <w:p w14:paraId="7F814C63" w14:textId="6944FBBF" w:rsidR="002E2D4A" w:rsidRDefault="00DD1612" w:rsidP="00DD1612">
      <w:pPr>
        <w:spacing w:before="100" w:beforeAutospacing="1" w:after="160" w:line="259" w:lineRule="auto"/>
        <w:rPr>
          <w:rFonts w:cstheme="minorHAnsi"/>
          <w:noProof/>
          <w:spacing w:val="-2"/>
          <w:sz w:val="24"/>
          <w:szCs w:val="24"/>
        </w:rPr>
      </w:pPr>
      <w:r>
        <w:rPr>
          <w:rFonts w:cstheme="minorHAnsi"/>
          <w:noProof/>
          <w:spacing w:val="-2"/>
          <w:sz w:val="24"/>
          <w:szCs w:val="24"/>
        </w:rPr>
        <w:t xml:space="preserve">As of June 30, </w:t>
      </w:r>
      <w:r w:rsidR="00165522">
        <w:rPr>
          <w:rFonts w:cstheme="minorHAnsi"/>
          <w:noProof/>
          <w:spacing w:val="-2"/>
          <w:sz w:val="24"/>
          <w:szCs w:val="24"/>
        </w:rPr>
        <w:t xml:space="preserve">2023 </w:t>
      </w:r>
      <w:r>
        <w:rPr>
          <w:rFonts w:cstheme="minorHAnsi"/>
          <w:noProof/>
          <w:spacing w:val="-2"/>
          <w:sz w:val="24"/>
          <w:szCs w:val="24"/>
        </w:rPr>
        <w:t xml:space="preserve">and </w:t>
      </w:r>
      <w:r w:rsidR="00165522">
        <w:rPr>
          <w:rFonts w:cstheme="minorHAnsi"/>
          <w:noProof/>
          <w:spacing w:val="-2"/>
          <w:sz w:val="24"/>
          <w:szCs w:val="24"/>
        </w:rPr>
        <w:t>2022</w:t>
      </w:r>
      <w:r>
        <w:rPr>
          <w:rFonts w:cstheme="minorHAnsi"/>
          <w:noProof/>
          <w:spacing w:val="-2"/>
          <w:sz w:val="24"/>
          <w:szCs w:val="24"/>
        </w:rPr>
        <w:t>, right of</w:t>
      </w:r>
      <w:r w:rsidDel="007153DB">
        <w:rPr>
          <w:rFonts w:cstheme="minorHAnsi"/>
          <w:noProof/>
          <w:spacing w:val="-2"/>
          <w:sz w:val="24"/>
          <w:szCs w:val="24"/>
        </w:rPr>
        <w:t xml:space="preserve"> </w:t>
      </w:r>
      <w:r>
        <w:rPr>
          <w:rFonts w:cstheme="minorHAnsi"/>
          <w:noProof/>
          <w:spacing w:val="-2"/>
          <w:sz w:val="24"/>
          <w:szCs w:val="24"/>
        </w:rPr>
        <w:t>use lease assets acquired through outstanding leases consisting of building and office space totalled $</w:t>
      </w:r>
      <w:r w:rsidR="007C0D81" w:rsidRPr="00A504DA">
        <w:rPr>
          <w:rFonts w:cstheme="minorHAnsi"/>
          <w:noProof/>
          <w:color w:val="000000" w:themeColor="text1"/>
          <w:spacing w:val="-2"/>
          <w:sz w:val="24"/>
          <w:szCs w:val="24"/>
        </w:rPr>
        <w:t xml:space="preserve">56,433 </w:t>
      </w:r>
      <w:r>
        <w:rPr>
          <w:rFonts w:cstheme="minorHAnsi"/>
          <w:noProof/>
          <w:spacing w:val="-2"/>
          <w:sz w:val="24"/>
          <w:szCs w:val="24"/>
        </w:rPr>
        <w:t>(net of $</w:t>
      </w:r>
      <w:r w:rsidR="007C0D81" w:rsidRPr="00A504DA">
        <w:rPr>
          <w:rFonts w:cstheme="minorHAnsi"/>
          <w:noProof/>
          <w:color w:val="000000" w:themeColor="text1"/>
          <w:spacing w:val="-2"/>
          <w:sz w:val="24"/>
          <w:szCs w:val="24"/>
        </w:rPr>
        <w:t>6</w:t>
      </w:r>
      <w:r w:rsidRPr="00A504DA">
        <w:rPr>
          <w:rFonts w:cstheme="minorHAnsi"/>
          <w:noProof/>
          <w:color w:val="000000" w:themeColor="text1"/>
          <w:spacing w:val="-2"/>
          <w:sz w:val="24"/>
          <w:szCs w:val="24"/>
        </w:rPr>
        <w:t>,</w:t>
      </w:r>
      <w:r w:rsidR="007C0D81" w:rsidRPr="00A504DA">
        <w:rPr>
          <w:rFonts w:cstheme="minorHAnsi"/>
          <w:noProof/>
          <w:color w:val="000000" w:themeColor="text1"/>
          <w:spacing w:val="-2"/>
          <w:sz w:val="24"/>
          <w:szCs w:val="24"/>
        </w:rPr>
        <w:t>481</w:t>
      </w:r>
      <w:r w:rsidR="007C0D81" w:rsidRPr="00A504DA">
        <w:rPr>
          <w:rFonts w:cstheme="minorHAnsi"/>
          <w:noProof/>
          <w:color w:val="FF0000"/>
          <w:spacing w:val="-2"/>
          <w:sz w:val="24"/>
          <w:szCs w:val="24"/>
        </w:rPr>
        <w:t xml:space="preserve"> </w:t>
      </w:r>
      <w:r>
        <w:rPr>
          <w:rFonts w:cstheme="minorHAnsi"/>
          <w:noProof/>
          <w:spacing w:val="-2"/>
          <w:sz w:val="24"/>
          <w:szCs w:val="24"/>
        </w:rPr>
        <w:t>accumulated amortization) and $</w:t>
      </w:r>
      <w:r w:rsidR="00165522">
        <w:rPr>
          <w:rFonts w:cstheme="minorHAnsi"/>
          <w:noProof/>
          <w:spacing w:val="-2"/>
          <w:sz w:val="24"/>
          <w:szCs w:val="24"/>
        </w:rPr>
        <w:t xml:space="preserve">35,021 (net of $4,056 </w:t>
      </w:r>
      <w:r>
        <w:rPr>
          <w:rFonts w:cstheme="minorHAnsi"/>
          <w:noProof/>
          <w:spacing w:val="-2"/>
          <w:sz w:val="24"/>
          <w:szCs w:val="24"/>
        </w:rPr>
        <w:t xml:space="preserve">accumulated amortization), respectively </w:t>
      </w:r>
      <w:r w:rsidRPr="00EE0949">
        <w:rPr>
          <w:rFonts w:cstheme="minorHAnsi"/>
          <w:i/>
          <w:noProof/>
          <w:spacing w:val="-2"/>
          <w:sz w:val="24"/>
          <w:szCs w:val="24"/>
        </w:rPr>
        <w:t>(Note 6)</w:t>
      </w:r>
      <w:r>
        <w:rPr>
          <w:rFonts w:cstheme="minorHAnsi"/>
          <w:noProof/>
          <w:spacing w:val="-2"/>
          <w:sz w:val="24"/>
          <w:szCs w:val="24"/>
        </w:rPr>
        <w:t xml:space="preserve">. </w:t>
      </w:r>
    </w:p>
    <w:p w14:paraId="3A396F3E" w14:textId="07293976" w:rsidR="00DD1612" w:rsidRPr="00BB2D81" w:rsidRDefault="002E2D4A" w:rsidP="00BB2D81">
      <w:pPr>
        <w:spacing w:before="100" w:beforeAutospacing="1" w:after="160" w:line="259" w:lineRule="auto"/>
        <w:rPr>
          <w:rFonts w:cstheme="minorHAnsi"/>
          <w:noProof/>
          <w:spacing w:val="-2"/>
          <w:sz w:val="24"/>
          <w:szCs w:val="24"/>
        </w:rPr>
      </w:pPr>
      <w:r>
        <w:rPr>
          <w:rFonts w:cstheme="minorHAnsi"/>
          <w:noProof/>
          <w:spacing w:val="-2"/>
          <w:sz w:val="24"/>
          <w:szCs w:val="24"/>
        </w:rPr>
        <w:t xml:space="preserve">As of June 30, 2023 and 2022, </w:t>
      </w:r>
      <w:r>
        <w:rPr>
          <w:rFonts w:eastAsia="Times New Roman" w:cstheme="minorHAnsi"/>
          <w:bCs/>
          <w:spacing w:val="-3"/>
          <w:sz w:val="24"/>
          <w:szCs w:val="24"/>
        </w:rPr>
        <w:t xml:space="preserve">subscription </w:t>
      </w:r>
      <w:r w:rsidR="006667C0">
        <w:rPr>
          <w:rFonts w:eastAsia="Times New Roman" w:cstheme="minorHAnsi"/>
          <w:bCs/>
          <w:spacing w:val="-3"/>
          <w:sz w:val="24"/>
          <w:szCs w:val="24"/>
        </w:rPr>
        <w:t xml:space="preserve">based </w:t>
      </w:r>
      <w:r>
        <w:rPr>
          <w:rFonts w:eastAsia="Times New Roman" w:cstheme="minorHAnsi"/>
          <w:bCs/>
          <w:spacing w:val="-3"/>
          <w:sz w:val="24"/>
          <w:szCs w:val="24"/>
        </w:rPr>
        <w:t>IT arrangements for the right to use information technology hardware and software totaled</w:t>
      </w:r>
      <w:r>
        <w:rPr>
          <w:rFonts w:cstheme="minorHAnsi"/>
          <w:noProof/>
          <w:spacing w:val="-2"/>
          <w:sz w:val="24"/>
          <w:szCs w:val="24"/>
        </w:rPr>
        <w:t xml:space="preserve"> $</w:t>
      </w:r>
      <w:r>
        <w:rPr>
          <w:rFonts w:cstheme="minorHAnsi"/>
          <w:noProof/>
          <w:color w:val="000000" w:themeColor="text1"/>
          <w:spacing w:val="-2"/>
          <w:sz w:val="24"/>
          <w:szCs w:val="24"/>
        </w:rPr>
        <w:t>15,740</w:t>
      </w:r>
      <w:r w:rsidRPr="00951EFC">
        <w:rPr>
          <w:rFonts w:cstheme="minorHAnsi"/>
          <w:noProof/>
          <w:color w:val="000000" w:themeColor="text1"/>
          <w:spacing w:val="-2"/>
          <w:sz w:val="24"/>
          <w:szCs w:val="24"/>
        </w:rPr>
        <w:t xml:space="preserve"> </w:t>
      </w:r>
      <w:r>
        <w:rPr>
          <w:rFonts w:cstheme="minorHAnsi"/>
          <w:noProof/>
          <w:spacing w:val="-2"/>
          <w:sz w:val="24"/>
          <w:szCs w:val="24"/>
        </w:rPr>
        <w:t>(net of $</w:t>
      </w:r>
      <w:r>
        <w:rPr>
          <w:rFonts w:cstheme="minorHAnsi"/>
          <w:noProof/>
          <w:color w:val="000000" w:themeColor="text1"/>
          <w:spacing w:val="-2"/>
          <w:sz w:val="24"/>
          <w:szCs w:val="24"/>
        </w:rPr>
        <w:t>7,029</w:t>
      </w:r>
      <w:r w:rsidRPr="00951EFC">
        <w:rPr>
          <w:rFonts w:cstheme="minorHAnsi"/>
          <w:noProof/>
          <w:color w:val="FF0000"/>
          <w:spacing w:val="-2"/>
          <w:sz w:val="24"/>
          <w:szCs w:val="24"/>
        </w:rPr>
        <w:t xml:space="preserve"> </w:t>
      </w:r>
      <w:r>
        <w:rPr>
          <w:rFonts w:cstheme="minorHAnsi"/>
          <w:noProof/>
          <w:spacing w:val="-2"/>
          <w:sz w:val="24"/>
          <w:szCs w:val="24"/>
        </w:rPr>
        <w:t xml:space="preserve">accumulated amortization) and $17,780 (net of $3,327 accumulated amortization), respectively </w:t>
      </w:r>
      <w:r w:rsidRPr="00EE0949">
        <w:rPr>
          <w:rFonts w:cstheme="minorHAnsi"/>
          <w:i/>
          <w:noProof/>
          <w:spacing w:val="-2"/>
          <w:sz w:val="24"/>
          <w:szCs w:val="24"/>
        </w:rPr>
        <w:t>(Note 6)</w:t>
      </w:r>
      <w:r>
        <w:rPr>
          <w:rFonts w:cstheme="minorHAnsi"/>
          <w:noProof/>
          <w:spacing w:val="-2"/>
          <w:sz w:val="24"/>
          <w:szCs w:val="24"/>
        </w:rPr>
        <w:t xml:space="preserve">. </w:t>
      </w:r>
      <w:r w:rsidR="00DD1612" w:rsidRPr="00F54559">
        <w:rPr>
          <w:rFonts w:cstheme="minorHAnsi"/>
          <w:noProof/>
          <w:spacing w:val="-2"/>
          <w:sz w:val="24"/>
          <w:szCs w:val="24"/>
        </w:rPr>
        <w:br w:type="page"/>
      </w:r>
      <w:r w:rsidR="00DD1612" w:rsidRPr="00F54559">
        <w:rPr>
          <w:rFonts w:eastAsiaTheme="majorEastAsia" w:cstheme="minorHAnsi"/>
          <w:b/>
          <w:i/>
          <w:iCs/>
          <w:smallCaps/>
          <w:noProof/>
          <w:color w:val="000000" w:themeColor="text1"/>
          <w:sz w:val="26"/>
          <w:szCs w:val="26"/>
          <w:u w:color="5B9BD5"/>
        </w:rPr>
        <w:lastRenderedPageBreak/>
        <w:t>7. ACCRUED LIABILITIES</w:t>
      </w:r>
      <w:r w:rsidR="00DD1612">
        <w:rPr>
          <w:rFonts w:eastAsiaTheme="majorEastAsia" w:cstheme="minorHAnsi"/>
          <w:b/>
          <w:i/>
          <w:iCs/>
          <w:smallCaps/>
          <w:noProof/>
          <w:color w:val="000000" w:themeColor="text1"/>
          <w:sz w:val="26"/>
          <w:szCs w:val="26"/>
          <w:u w:color="5B9BD5"/>
        </w:rPr>
        <w:t>,</w:t>
      </w:r>
      <w:r w:rsidR="00DD1612" w:rsidRPr="00F54559">
        <w:rPr>
          <w:rFonts w:eastAsiaTheme="majorEastAsia" w:cstheme="minorHAnsi"/>
          <w:b/>
          <w:i/>
          <w:iCs/>
          <w:smallCaps/>
          <w:noProof/>
          <w:color w:val="000000" w:themeColor="text1"/>
          <w:sz w:val="26"/>
          <w:szCs w:val="26"/>
          <w:u w:color="5B9BD5"/>
        </w:rPr>
        <w:t xml:space="preserve"> </w:t>
      </w:r>
      <w:r w:rsidR="00DD1612" w:rsidRPr="00122B1D">
        <w:rPr>
          <w:rFonts w:cstheme="minorHAnsi"/>
          <w:b/>
          <w:i/>
          <w:sz w:val="26"/>
          <w:szCs w:val="26"/>
        </w:rPr>
        <w:t>LEASE LIABILITIES</w:t>
      </w:r>
      <w:r w:rsidR="00DD1612" w:rsidRPr="00243894">
        <w:rPr>
          <w:rFonts w:cstheme="minorHAnsi"/>
          <w:sz w:val="26"/>
          <w:szCs w:val="26"/>
        </w:rPr>
        <w:t xml:space="preserve"> </w:t>
      </w:r>
      <w:r w:rsidR="003E72E3">
        <w:rPr>
          <w:rFonts w:eastAsiaTheme="majorEastAsia" w:cstheme="minorHAnsi"/>
          <w:b/>
          <w:i/>
          <w:iCs/>
          <w:smallCaps/>
          <w:noProof/>
          <w:color w:val="000000" w:themeColor="text1"/>
          <w:sz w:val="26"/>
          <w:szCs w:val="26"/>
          <w:u w:color="5B9BD5"/>
        </w:rPr>
        <w:t>AND LONG-TERM DEBT</w:t>
      </w:r>
      <w:r w:rsidR="00DD1612" w:rsidRPr="00F54559">
        <w:rPr>
          <w:rFonts w:eastAsiaTheme="majorEastAsia" w:cstheme="minorHAnsi"/>
          <w:b/>
          <w:i/>
          <w:iCs/>
          <w:smallCaps/>
          <w:noProof/>
          <w:color w:val="000000" w:themeColor="text1"/>
          <w:sz w:val="26"/>
          <w:szCs w:val="26"/>
          <w:u w:color="5B9BD5"/>
        </w:rPr>
        <w:t xml:space="preserve"> - CONTINUED</w:t>
      </w:r>
      <w:r w:rsidR="00DD1612">
        <w:rPr>
          <w:rFonts w:cstheme="minorHAnsi"/>
          <w:bCs/>
          <w:spacing w:val="-3"/>
          <w:sz w:val="24"/>
        </w:rPr>
        <w:fldChar w:fldCharType="begin"/>
      </w:r>
      <w:r w:rsidR="00DD1612">
        <w:rPr>
          <w:rFonts w:cstheme="minorHAnsi"/>
          <w:bCs/>
          <w:spacing w:val="-3"/>
          <w:sz w:val="24"/>
        </w:rPr>
        <w:fldChar w:fldCharType="end"/>
      </w:r>
    </w:p>
    <w:p w14:paraId="486D7ABC" w14:textId="77777777" w:rsidR="00DD1612" w:rsidRPr="00F54559" w:rsidRDefault="00DD1612" w:rsidP="00DD1612">
      <w:pPr>
        <w:pStyle w:val="AFR3"/>
        <w:rPr>
          <w:rFonts w:cstheme="minorHAnsi"/>
        </w:rPr>
      </w:pPr>
      <w:r w:rsidRPr="00F54559">
        <w:rPr>
          <w:rFonts w:cstheme="minorHAnsi"/>
          <w:noProof/>
          <w:spacing w:val="-2"/>
        </w:rPr>
        <w:t>b</w:t>
      </w:r>
      <w:r w:rsidRPr="00F453D3">
        <w:rPr>
          <w:rFonts w:cstheme="minorHAnsi"/>
          <w:noProof/>
          <w:spacing w:val="-2"/>
        </w:rPr>
        <w:t xml:space="preserve">. </w:t>
      </w:r>
      <w:r w:rsidRPr="00F453D3">
        <w:rPr>
          <w:rFonts w:cstheme="minorHAnsi"/>
        </w:rPr>
        <w:t>Bonds</w:t>
      </w:r>
      <w:r>
        <w:rPr>
          <w:rFonts w:cstheme="minorHAnsi"/>
        </w:rPr>
        <w:t xml:space="preserve"> Payable and Direct Borrowings</w:t>
      </w:r>
    </w:p>
    <w:p w14:paraId="2B0A56A4" w14:textId="77777777" w:rsidR="00DD1612" w:rsidRPr="00F54559" w:rsidRDefault="00DD1612" w:rsidP="00DD1612">
      <w:pPr>
        <w:tabs>
          <w:tab w:val="left" w:pos="720"/>
          <w:tab w:val="left" w:pos="1260"/>
          <w:tab w:val="left" w:pos="1440"/>
        </w:tabs>
        <w:suppressAutoHyphens/>
        <w:spacing w:after="120"/>
        <w:rPr>
          <w:rFonts w:eastAsia="Times New Roman" w:cstheme="minorHAnsi"/>
          <w:spacing w:val="-3"/>
          <w:sz w:val="2"/>
          <w:szCs w:val="2"/>
        </w:rPr>
      </w:pPr>
      <w:r w:rsidRPr="00F54559">
        <w:rPr>
          <w:rFonts w:eastAsia="Times New Roman" w:cstheme="minorHAnsi"/>
          <w:spacing w:val="-3"/>
          <w:sz w:val="24"/>
          <w:szCs w:val="20"/>
        </w:rPr>
        <w:t>Bonds</w:t>
      </w:r>
      <w:r>
        <w:rPr>
          <w:rFonts w:eastAsia="Times New Roman" w:cstheme="minorHAnsi"/>
          <w:spacing w:val="-3"/>
          <w:sz w:val="24"/>
          <w:szCs w:val="20"/>
        </w:rPr>
        <w:t xml:space="preserve"> </w:t>
      </w:r>
      <w:r w:rsidRPr="00F54559">
        <w:rPr>
          <w:rFonts w:eastAsia="Times New Roman" w:cstheme="minorHAnsi"/>
          <w:spacing w:val="-3"/>
          <w:sz w:val="24"/>
          <w:szCs w:val="20"/>
        </w:rPr>
        <w:t xml:space="preserve">payable and </w:t>
      </w:r>
      <w:r>
        <w:rPr>
          <w:rFonts w:eastAsia="Times New Roman" w:cstheme="minorHAnsi"/>
          <w:spacing w:val="-3"/>
          <w:sz w:val="24"/>
          <w:szCs w:val="20"/>
        </w:rPr>
        <w:t>direct borrowings</w:t>
      </w:r>
      <w:r w:rsidRPr="00F54559">
        <w:rPr>
          <w:rFonts w:eastAsia="Times New Roman" w:cstheme="minorHAnsi"/>
          <w:spacing w:val="-3"/>
          <w:sz w:val="24"/>
          <w:szCs w:val="20"/>
        </w:rPr>
        <w:t xml:space="preserve"> consist of the following </w:t>
      </w:r>
      <w:proofErr w:type="gramStart"/>
      <w:r w:rsidRPr="00F54559">
        <w:rPr>
          <w:rFonts w:eastAsia="Times New Roman" w:cstheme="minorHAnsi"/>
          <w:spacing w:val="-3"/>
          <w:sz w:val="24"/>
          <w:szCs w:val="20"/>
        </w:rPr>
        <w:t>at</w:t>
      </w:r>
      <w:proofErr w:type="gramEnd"/>
      <w:r w:rsidRPr="00F54559">
        <w:rPr>
          <w:rFonts w:eastAsia="Times New Roman" w:cstheme="minorHAnsi"/>
          <w:spacing w:val="-3"/>
          <w:sz w:val="24"/>
          <w:szCs w:val="20"/>
        </w:rPr>
        <w:t xml:space="preserve"> June 30:</w:t>
      </w:r>
      <w:r>
        <w:rPr>
          <w:rFonts w:eastAsia="Times New Roman" w:cstheme="minorHAnsi"/>
          <w:spacing w:val="-3"/>
          <w:sz w:val="2"/>
          <w:szCs w:val="2"/>
        </w:rPr>
        <w:fldChar w:fldCharType="begin"/>
      </w:r>
      <w:r>
        <w:rPr>
          <w:rFonts w:eastAsia="Times New Roman" w:cstheme="minorHAnsi"/>
          <w:spacing w:val="-3"/>
          <w:sz w:val="2"/>
          <w:szCs w:val="2"/>
        </w:rPr>
        <w:fldChar w:fldCharType="end"/>
      </w:r>
    </w:p>
    <w:tbl>
      <w:tblPr>
        <w:tblW w:w="9360" w:type="dxa"/>
        <w:tblLook w:val="04A0" w:firstRow="1" w:lastRow="0" w:firstColumn="1" w:lastColumn="0" w:noHBand="0" w:noVBand="1"/>
      </w:tblPr>
      <w:tblGrid>
        <w:gridCol w:w="6191"/>
        <w:gridCol w:w="1569"/>
        <w:gridCol w:w="15"/>
        <w:gridCol w:w="1585"/>
      </w:tblGrid>
      <w:tr w:rsidR="00DD1612" w:rsidRPr="00C317EF" w14:paraId="468B84E4" w14:textId="77777777" w:rsidTr="00A504DA">
        <w:trPr>
          <w:trHeight w:val="300"/>
          <w:tblHeader/>
        </w:trPr>
        <w:tc>
          <w:tcPr>
            <w:tcW w:w="6191" w:type="dxa"/>
            <w:tcBorders>
              <w:top w:val="nil"/>
              <w:left w:val="nil"/>
              <w:bottom w:val="single" w:sz="12" w:space="0" w:color="00688D"/>
              <w:right w:val="nil"/>
            </w:tcBorders>
            <w:shd w:val="clear" w:color="000000" w:fill="FFFFFF"/>
            <w:noWrap/>
            <w:vAlign w:val="bottom"/>
            <w:hideMark/>
          </w:tcPr>
          <w:p w14:paraId="46AA8AF9" w14:textId="77777777" w:rsidR="00DD1612" w:rsidRPr="00C317EF" w:rsidRDefault="00DD1612" w:rsidP="00BD375F">
            <w:pPr>
              <w:rPr>
                <w:rFonts w:ascii="Calibri" w:eastAsia="Times New Roman" w:hAnsi="Calibri" w:cs="Calibri"/>
                <w:b/>
                <w:bCs/>
                <w:color w:val="0D0D0D"/>
              </w:rPr>
            </w:pPr>
            <w:r w:rsidRPr="00C317EF">
              <w:rPr>
                <w:rFonts w:ascii="Calibri" w:eastAsia="Times New Roman" w:hAnsi="Calibri" w:cs="Calibri"/>
                <w:b/>
                <w:bCs/>
                <w:color w:val="0D0D0D"/>
              </w:rPr>
              <w:t> </w:t>
            </w:r>
          </w:p>
        </w:tc>
        <w:tc>
          <w:tcPr>
            <w:tcW w:w="1584" w:type="dxa"/>
            <w:gridSpan w:val="2"/>
            <w:tcBorders>
              <w:top w:val="nil"/>
              <w:left w:val="nil"/>
              <w:bottom w:val="single" w:sz="12" w:space="0" w:color="00688D"/>
              <w:right w:val="nil"/>
            </w:tcBorders>
            <w:shd w:val="clear" w:color="000000" w:fill="FFFFFF"/>
            <w:noWrap/>
            <w:vAlign w:val="bottom"/>
            <w:hideMark/>
          </w:tcPr>
          <w:p w14:paraId="17A2518B" w14:textId="63755F37" w:rsidR="00DD1612" w:rsidRPr="00C317EF" w:rsidRDefault="00217CD2" w:rsidP="003977A2">
            <w:pPr>
              <w:jc w:val="center"/>
              <w:rPr>
                <w:rFonts w:ascii="Calibri" w:eastAsia="Times New Roman" w:hAnsi="Calibri" w:cs="Calibri"/>
                <w:b/>
                <w:bCs/>
                <w:color w:val="0D0D0D"/>
              </w:rPr>
            </w:pPr>
            <w:r w:rsidRPr="00C317EF">
              <w:rPr>
                <w:rFonts w:ascii="Calibri" w:eastAsia="Times New Roman" w:hAnsi="Calibri" w:cs="Calibri"/>
                <w:b/>
                <w:bCs/>
                <w:color w:val="0D0D0D"/>
              </w:rPr>
              <w:t>202</w:t>
            </w:r>
            <w:r>
              <w:rPr>
                <w:rFonts w:ascii="Calibri" w:eastAsia="Times New Roman" w:hAnsi="Calibri" w:cs="Calibri"/>
                <w:b/>
                <w:bCs/>
                <w:color w:val="0D0D0D"/>
              </w:rPr>
              <w:t>3</w:t>
            </w:r>
          </w:p>
        </w:tc>
        <w:tc>
          <w:tcPr>
            <w:tcW w:w="1585" w:type="dxa"/>
            <w:tcBorders>
              <w:top w:val="nil"/>
              <w:left w:val="nil"/>
              <w:bottom w:val="single" w:sz="12" w:space="0" w:color="00688D"/>
              <w:right w:val="nil"/>
            </w:tcBorders>
            <w:shd w:val="clear" w:color="auto" w:fill="F2F2F2" w:themeFill="background1" w:themeFillShade="F2"/>
            <w:noWrap/>
            <w:vAlign w:val="bottom"/>
            <w:hideMark/>
          </w:tcPr>
          <w:p w14:paraId="491F083A" w14:textId="50E5A211" w:rsidR="00DD1612" w:rsidRPr="00C317EF" w:rsidRDefault="00217CD2" w:rsidP="001E2D2D">
            <w:pPr>
              <w:jc w:val="center"/>
              <w:rPr>
                <w:rFonts w:ascii="Calibri" w:eastAsia="Times New Roman" w:hAnsi="Calibri" w:cs="Calibri"/>
                <w:b/>
                <w:bCs/>
                <w:color w:val="0D0D0D"/>
              </w:rPr>
            </w:pPr>
            <w:r w:rsidRPr="00C317EF">
              <w:rPr>
                <w:rFonts w:ascii="Calibri" w:eastAsia="Times New Roman" w:hAnsi="Calibri" w:cs="Calibri"/>
                <w:b/>
                <w:bCs/>
                <w:color w:val="0D0D0D"/>
              </w:rPr>
              <w:t>20</w:t>
            </w:r>
            <w:r>
              <w:rPr>
                <w:rFonts w:ascii="Calibri" w:eastAsia="Times New Roman" w:hAnsi="Calibri" w:cs="Calibri"/>
                <w:b/>
                <w:bCs/>
                <w:color w:val="0D0D0D"/>
              </w:rPr>
              <w:t>22</w:t>
            </w:r>
          </w:p>
        </w:tc>
      </w:tr>
      <w:tr w:rsidR="00DD1612" w:rsidRPr="00C317EF" w14:paraId="33D5A65A" w14:textId="77777777" w:rsidTr="00A504DA">
        <w:trPr>
          <w:trHeight w:val="300"/>
        </w:trPr>
        <w:tc>
          <w:tcPr>
            <w:tcW w:w="6191" w:type="dxa"/>
            <w:tcBorders>
              <w:top w:val="nil"/>
              <w:left w:val="nil"/>
              <w:bottom w:val="nil"/>
              <w:right w:val="nil"/>
            </w:tcBorders>
            <w:shd w:val="clear" w:color="auto" w:fill="auto"/>
            <w:noWrap/>
            <w:vAlign w:val="bottom"/>
          </w:tcPr>
          <w:p w14:paraId="71760747" w14:textId="77777777" w:rsidR="00DD1612" w:rsidRPr="0045079E" w:rsidRDefault="00DD1612" w:rsidP="00BD375F">
            <w:pPr>
              <w:rPr>
                <w:rFonts w:ascii="Calibri" w:eastAsia="Times New Roman" w:hAnsi="Calibri" w:cs="Calibri"/>
                <w:b/>
                <w:color w:val="0D0D0D"/>
              </w:rPr>
            </w:pPr>
            <w:r w:rsidRPr="0045079E">
              <w:rPr>
                <w:rFonts w:ascii="Calibri" w:eastAsia="Times New Roman" w:hAnsi="Calibri" w:cs="Calibri"/>
                <w:b/>
                <w:color w:val="0D0D0D"/>
              </w:rPr>
              <w:t>Bonds Payable:</w:t>
            </w:r>
          </w:p>
        </w:tc>
        <w:tc>
          <w:tcPr>
            <w:tcW w:w="1584" w:type="dxa"/>
            <w:gridSpan w:val="2"/>
            <w:tcBorders>
              <w:top w:val="nil"/>
              <w:left w:val="nil"/>
              <w:bottom w:val="nil"/>
              <w:right w:val="nil"/>
            </w:tcBorders>
            <w:shd w:val="clear" w:color="000000" w:fill="FFFFFF"/>
            <w:noWrap/>
            <w:vAlign w:val="bottom"/>
          </w:tcPr>
          <w:p w14:paraId="58021093" w14:textId="77777777" w:rsidR="00DD1612" w:rsidRPr="00C317EF" w:rsidRDefault="00DD1612" w:rsidP="00BD375F">
            <w:pPr>
              <w:jc w:val="center"/>
              <w:rPr>
                <w:rFonts w:ascii="Calibri" w:eastAsia="Times New Roman" w:hAnsi="Calibri" w:cs="Calibri"/>
                <w:color w:val="0D0D0D"/>
                <w:u w:val="single"/>
              </w:rPr>
            </w:pPr>
          </w:p>
        </w:tc>
        <w:tc>
          <w:tcPr>
            <w:tcW w:w="1585" w:type="dxa"/>
            <w:tcBorders>
              <w:top w:val="nil"/>
              <w:left w:val="nil"/>
              <w:bottom w:val="nil"/>
              <w:right w:val="nil"/>
            </w:tcBorders>
            <w:shd w:val="clear" w:color="auto" w:fill="F2F2F2" w:themeFill="background1" w:themeFillShade="F2"/>
            <w:noWrap/>
            <w:vAlign w:val="bottom"/>
          </w:tcPr>
          <w:p w14:paraId="6242B2E3" w14:textId="77777777" w:rsidR="00DD1612" w:rsidRPr="00C317EF" w:rsidRDefault="00DD1612" w:rsidP="00BD375F">
            <w:pPr>
              <w:jc w:val="center"/>
              <w:rPr>
                <w:rFonts w:ascii="Calibri" w:eastAsia="Times New Roman" w:hAnsi="Calibri" w:cs="Calibri"/>
                <w:color w:val="0D0D0D"/>
                <w:u w:val="single"/>
              </w:rPr>
            </w:pPr>
          </w:p>
        </w:tc>
      </w:tr>
      <w:tr w:rsidR="005E5EC3" w:rsidRPr="00C317EF" w14:paraId="73C0F394" w14:textId="77777777" w:rsidTr="00204D21">
        <w:trPr>
          <w:trHeight w:val="1251"/>
        </w:trPr>
        <w:tc>
          <w:tcPr>
            <w:tcW w:w="6191" w:type="dxa"/>
            <w:tcBorders>
              <w:top w:val="nil"/>
              <w:left w:val="nil"/>
              <w:bottom w:val="nil"/>
              <w:right w:val="nil"/>
            </w:tcBorders>
            <w:shd w:val="clear" w:color="auto" w:fill="auto"/>
            <w:vAlign w:val="bottom"/>
          </w:tcPr>
          <w:p w14:paraId="7215491A" w14:textId="611EA10D" w:rsidR="005E5EC3" w:rsidRPr="0002159C" w:rsidRDefault="005E5EC3" w:rsidP="00A76DD2">
            <w:pPr>
              <w:spacing w:before="120"/>
              <w:ind w:leftChars="106" w:left="248" w:hangingChars="7" w:hanging="15"/>
              <w:rPr>
                <w:rFonts w:ascii="Calibri" w:eastAsia="Times New Roman" w:hAnsi="Calibri" w:cs="Calibri"/>
                <w:color w:val="0D0D0D"/>
                <w:sz w:val="21"/>
                <w:szCs w:val="21"/>
              </w:rPr>
            </w:pPr>
            <w:r w:rsidRPr="0002159C">
              <w:rPr>
                <w:rFonts w:ascii="Calibri" w:eastAsia="Times New Roman" w:hAnsi="Calibri" w:cs="Calibri"/>
                <w:color w:val="0D0D0D"/>
                <w:sz w:val="21"/>
                <w:szCs w:val="21"/>
              </w:rPr>
              <w:t>20</w:t>
            </w:r>
            <w:r>
              <w:rPr>
                <w:rFonts w:ascii="Calibri" w:eastAsia="Times New Roman" w:hAnsi="Calibri" w:cs="Calibri"/>
                <w:color w:val="0D0D0D"/>
                <w:sz w:val="21"/>
                <w:szCs w:val="21"/>
              </w:rPr>
              <w:t>23</w:t>
            </w:r>
            <w:r w:rsidRPr="0002159C">
              <w:rPr>
                <w:rFonts w:ascii="Calibri" w:eastAsia="Times New Roman" w:hAnsi="Calibri" w:cs="Calibri"/>
                <w:color w:val="0D0D0D"/>
                <w:sz w:val="21"/>
                <w:szCs w:val="21"/>
              </w:rPr>
              <w:t xml:space="preserve"> Series A Revenue </w:t>
            </w:r>
            <w:r w:rsidR="00A76DD2">
              <w:rPr>
                <w:rFonts w:ascii="Calibri" w:eastAsia="Times New Roman" w:hAnsi="Calibri" w:cs="Calibri"/>
                <w:color w:val="0D0D0D"/>
                <w:sz w:val="21"/>
                <w:szCs w:val="21"/>
              </w:rPr>
              <w:t>B</w:t>
            </w:r>
            <w:r w:rsidR="00AA3FB7" w:rsidRPr="00AA3FB7">
              <w:rPr>
                <w:rFonts w:ascii="Calibri" w:eastAsia="Times New Roman" w:hAnsi="Calibri" w:cs="Calibri"/>
                <w:color w:val="0D0D0D"/>
                <w:sz w:val="21"/>
                <w:szCs w:val="21"/>
              </w:rPr>
              <w:t>onds</w:t>
            </w:r>
            <w:r w:rsidR="00A76DD2">
              <w:rPr>
                <w:rFonts w:ascii="Calibri" w:eastAsia="Times New Roman" w:hAnsi="Calibri" w:cs="Calibri"/>
                <w:color w:val="0D0D0D"/>
                <w:sz w:val="21"/>
                <w:szCs w:val="21"/>
              </w:rPr>
              <w:t xml:space="preserve"> (original principal $37,510) Serial bonds</w:t>
            </w:r>
            <w:r w:rsidR="00AA3FB7" w:rsidRPr="00AA3FB7">
              <w:rPr>
                <w:rFonts w:ascii="Calibri" w:eastAsia="Times New Roman" w:hAnsi="Calibri" w:cs="Calibri"/>
                <w:color w:val="0D0D0D"/>
                <w:sz w:val="21"/>
                <w:szCs w:val="21"/>
              </w:rPr>
              <w:t>, maturing from 2024 to 2034, with annual principal payments from $2,150 to $4,615 an</w:t>
            </w:r>
            <w:r w:rsidR="00541C5C">
              <w:rPr>
                <w:rFonts w:ascii="Calibri" w:eastAsia="Times New Roman" w:hAnsi="Calibri" w:cs="Calibri"/>
                <w:color w:val="0D0D0D"/>
                <w:sz w:val="21"/>
                <w:szCs w:val="21"/>
              </w:rPr>
              <w:t>d coupon interest rate of 5.0%.</w:t>
            </w:r>
            <w:r w:rsidR="00AA3FB7" w:rsidRPr="00AA3FB7">
              <w:rPr>
                <w:rFonts w:ascii="Calibri" w:eastAsia="Times New Roman" w:hAnsi="Calibri" w:cs="Calibri"/>
                <w:color w:val="0D0D0D"/>
                <w:sz w:val="21"/>
                <w:szCs w:val="21"/>
              </w:rPr>
              <w:t xml:space="preserve"> Issued to refund 2013 Series</w:t>
            </w:r>
            <w:r w:rsidR="00A76DD2">
              <w:rPr>
                <w:rFonts w:ascii="Calibri" w:eastAsia="Times New Roman" w:hAnsi="Calibri" w:cs="Calibri"/>
                <w:color w:val="0D0D0D"/>
                <w:sz w:val="21"/>
                <w:szCs w:val="21"/>
              </w:rPr>
              <w:t xml:space="preserve"> A</w:t>
            </w:r>
            <w:r w:rsidR="00AA3FB7" w:rsidRPr="00AA3FB7">
              <w:rPr>
                <w:rFonts w:ascii="Calibri" w:eastAsia="Times New Roman" w:hAnsi="Calibri" w:cs="Calibri"/>
                <w:color w:val="0D0D0D"/>
                <w:sz w:val="21"/>
                <w:szCs w:val="21"/>
              </w:rPr>
              <w:t xml:space="preserve"> Revenue bonds and to provide fundi</w:t>
            </w:r>
            <w:r w:rsidR="00541C5C">
              <w:rPr>
                <w:rFonts w:ascii="Calibri" w:eastAsia="Times New Roman" w:hAnsi="Calibri" w:cs="Calibri"/>
                <w:color w:val="0D0D0D"/>
                <w:sz w:val="21"/>
                <w:szCs w:val="21"/>
              </w:rPr>
              <w:t xml:space="preserve">ng for capital projects. </w:t>
            </w:r>
            <w:r w:rsidR="00AA3FB7" w:rsidRPr="00AA3FB7">
              <w:rPr>
                <w:rFonts w:ascii="Calibri" w:eastAsia="Times New Roman" w:hAnsi="Calibri" w:cs="Calibri"/>
                <w:color w:val="0D0D0D"/>
                <w:sz w:val="21"/>
                <w:szCs w:val="21"/>
              </w:rPr>
              <w:t>Includes premiums of $4,139 and $</w:t>
            </w:r>
            <w:r w:rsidR="000C00B1">
              <w:rPr>
                <w:rFonts w:ascii="Calibri" w:eastAsia="Times New Roman" w:hAnsi="Calibri" w:cs="Calibri"/>
                <w:color w:val="0D0D0D"/>
                <w:sz w:val="21"/>
                <w:szCs w:val="21"/>
              </w:rPr>
              <w:t>0</w:t>
            </w:r>
            <w:r w:rsidR="00AA3FB7" w:rsidRPr="00AA3FB7">
              <w:rPr>
                <w:rFonts w:ascii="Calibri" w:eastAsia="Times New Roman" w:hAnsi="Calibri" w:cs="Calibri"/>
                <w:color w:val="0D0D0D"/>
                <w:sz w:val="21"/>
                <w:szCs w:val="21"/>
              </w:rPr>
              <w:t xml:space="preserve"> respectively.</w:t>
            </w:r>
          </w:p>
        </w:tc>
        <w:tc>
          <w:tcPr>
            <w:tcW w:w="1569" w:type="dxa"/>
            <w:tcBorders>
              <w:top w:val="nil"/>
              <w:left w:val="nil"/>
              <w:bottom w:val="nil"/>
              <w:right w:val="nil"/>
            </w:tcBorders>
            <w:shd w:val="clear" w:color="000000" w:fill="FFFFFF"/>
            <w:noWrap/>
            <w:vAlign w:val="bottom"/>
          </w:tcPr>
          <w:p w14:paraId="35A26D0C" w14:textId="18719B2D" w:rsidR="005E5EC3" w:rsidRPr="00A504DA" w:rsidRDefault="007C0D81"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$41,649</w:t>
            </w:r>
          </w:p>
        </w:tc>
        <w:tc>
          <w:tcPr>
            <w:tcW w:w="1600" w:type="dxa"/>
            <w:gridSpan w:val="2"/>
            <w:tcBorders>
              <w:top w:val="nil"/>
              <w:left w:val="nil"/>
              <w:bottom w:val="nil"/>
              <w:right w:val="nil"/>
            </w:tcBorders>
            <w:shd w:val="clear" w:color="auto" w:fill="F2F2F2" w:themeFill="background1" w:themeFillShade="F2"/>
            <w:noWrap/>
            <w:vAlign w:val="bottom"/>
          </w:tcPr>
          <w:p w14:paraId="333E2FEA" w14:textId="34E236E7" w:rsidR="005E5EC3" w:rsidRPr="00A504DA" w:rsidRDefault="005E5EC3">
            <w:pPr>
              <w:jc w:val="right"/>
              <w:rPr>
                <w:rFonts w:ascii="Calibri" w:eastAsia="Times New Roman" w:hAnsi="Calibri" w:cs="Calibri"/>
                <w:sz w:val="21"/>
                <w:szCs w:val="21"/>
              </w:rPr>
            </w:pPr>
            <w:r w:rsidRPr="00A504DA">
              <w:rPr>
                <w:rFonts w:ascii="Calibri" w:eastAsia="Times New Roman" w:hAnsi="Calibri" w:cs="Calibri"/>
                <w:sz w:val="21"/>
                <w:szCs w:val="21"/>
              </w:rPr>
              <w:t>$               -</w:t>
            </w:r>
          </w:p>
        </w:tc>
      </w:tr>
      <w:tr w:rsidR="005E5EC3" w:rsidRPr="00C317EF" w14:paraId="6A0535D7" w14:textId="77777777" w:rsidTr="00204D21">
        <w:trPr>
          <w:trHeight w:val="1251"/>
        </w:trPr>
        <w:tc>
          <w:tcPr>
            <w:tcW w:w="6191" w:type="dxa"/>
            <w:tcBorders>
              <w:top w:val="nil"/>
              <w:left w:val="nil"/>
              <w:bottom w:val="nil"/>
              <w:right w:val="nil"/>
            </w:tcBorders>
            <w:shd w:val="clear" w:color="auto" w:fill="auto"/>
            <w:vAlign w:val="bottom"/>
          </w:tcPr>
          <w:p w14:paraId="24089272" w14:textId="5D3ACA01" w:rsidR="005E5EC3" w:rsidRPr="0002159C" w:rsidRDefault="005E5EC3" w:rsidP="00A76DD2">
            <w:pPr>
              <w:spacing w:before="120"/>
              <w:ind w:leftChars="106" w:left="248" w:hangingChars="7" w:hanging="15"/>
              <w:rPr>
                <w:rFonts w:ascii="Calibri" w:eastAsia="Times New Roman" w:hAnsi="Calibri" w:cs="Calibri"/>
                <w:color w:val="0D0D0D"/>
                <w:sz w:val="21"/>
                <w:szCs w:val="21"/>
              </w:rPr>
            </w:pPr>
            <w:r w:rsidRPr="0002159C">
              <w:rPr>
                <w:rFonts w:ascii="Calibri" w:eastAsia="Times New Roman" w:hAnsi="Calibri" w:cs="Calibri"/>
                <w:color w:val="0D0D0D"/>
                <w:sz w:val="21"/>
                <w:szCs w:val="21"/>
              </w:rPr>
              <w:t>20</w:t>
            </w:r>
            <w:r>
              <w:rPr>
                <w:rFonts w:ascii="Calibri" w:eastAsia="Times New Roman" w:hAnsi="Calibri" w:cs="Calibri"/>
                <w:color w:val="0D0D0D"/>
                <w:sz w:val="21"/>
                <w:szCs w:val="21"/>
              </w:rPr>
              <w:t>22</w:t>
            </w:r>
            <w:r w:rsidRPr="0002159C">
              <w:rPr>
                <w:rFonts w:ascii="Calibri" w:eastAsia="Times New Roman" w:hAnsi="Calibri" w:cs="Calibri"/>
                <w:color w:val="0D0D0D"/>
                <w:sz w:val="21"/>
                <w:szCs w:val="21"/>
              </w:rPr>
              <w:t xml:space="preserve"> Series A Revenue </w:t>
            </w:r>
            <w:r w:rsidR="00A76DD2">
              <w:rPr>
                <w:rFonts w:ascii="Calibri" w:eastAsia="Times New Roman" w:hAnsi="Calibri" w:cs="Calibri"/>
                <w:color w:val="0D0D0D"/>
                <w:sz w:val="21"/>
                <w:szCs w:val="21"/>
              </w:rPr>
              <w:t>B</w:t>
            </w:r>
            <w:r w:rsidR="00AA3FB7" w:rsidRPr="00AA3FB7">
              <w:rPr>
                <w:rFonts w:ascii="Calibri" w:eastAsia="Times New Roman" w:hAnsi="Calibri" w:cs="Calibri"/>
                <w:color w:val="0D0D0D"/>
                <w:sz w:val="21"/>
                <w:szCs w:val="21"/>
              </w:rPr>
              <w:t xml:space="preserve">onds </w:t>
            </w:r>
            <w:r w:rsidR="00AA3FB7">
              <w:rPr>
                <w:rFonts w:ascii="Calibri" w:eastAsia="Times New Roman" w:hAnsi="Calibri" w:cs="Calibri"/>
                <w:color w:val="0D0D0D"/>
                <w:sz w:val="21"/>
                <w:szCs w:val="21"/>
              </w:rPr>
              <w:t xml:space="preserve">(original principal $120,325) </w:t>
            </w:r>
            <w:r w:rsidR="00A76DD2">
              <w:rPr>
                <w:rFonts w:ascii="Calibri" w:eastAsia="Times New Roman" w:hAnsi="Calibri" w:cs="Calibri"/>
                <w:color w:val="0D0D0D"/>
                <w:sz w:val="21"/>
                <w:szCs w:val="21"/>
              </w:rPr>
              <w:t xml:space="preserve">Serial and Term bonds, </w:t>
            </w:r>
            <w:r w:rsidR="00AA3FB7" w:rsidRPr="00AA3FB7">
              <w:rPr>
                <w:rFonts w:ascii="Calibri" w:eastAsia="Times New Roman" w:hAnsi="Calibri" w:cs="Calibri"/>
                <w:color w:val="0D0D0D"/>
                <w:sz w:val="21"/>
                <w:szCs w:val="21"/>
              </w:rPr>
              <w:t>maturing from 2024 to 2062, with annual principal payments from $1,165 to $6,050 and coupon int</w:t>
            </w:r>
            <w:r w:rsidR="00541C5C">
              <w:rPr>
                <w:rFonts w:ascii="Calibri" w:eastAsia="Times New Roman" w:hAnsi="Calibri" w:cs="Calibri"/>
                <w:color w:val="0D0D0D"/>
                <w:sz w:val="21"/>
                <w:szCs w:val="21"/>
              </w:rPr>
              <w:t xml:space="preserve">erest rates from 5.0% to 5.5%. </w:t>
            </w:r>
            <w:r w:rsidR="00AA3FB7" w:rsidRPr="00AA3FB7">
              <w:rPr>
                <w:rFonts w:ascii="Calibri" w:eastAsia="Times New Roman" w:hAnsi="Calibri" w:cs="Calibri"/>
                <w:color w:val="0D0D0D"/>
                <w:sz w:val="21"/>
                <w:szCs w:val="21"/>
              </w:rPr>
              <w:t>Issued to provide funding for capital projects.  Includes premiums of $10,86</w:t>
            </w:r>
            <w:r w:rsidR="002F27AD">
              <w:rPr>
                <w:rFonts w:ascii="Calibri" w:eastAsia="Times New Roman" w:hAnsi="Calibri" w:cs="Calibri"/>
                <w:color w:val="0D0D0D"/>
                <w:sz w:val="21"/>
                <w:szCs w:val="21"/>
              </w:rPr>
              <w:t>7</w:t>
            </w:r>
            <w:r w:rsidR="00AA3FB7" w:rsidRPr="00AA3FB7">
              <w:rPr>
                <w:rFonts w:ascii="Calibri" w:eastAsia="Times New Roman" w:hAnsi="Calibri" w:cs="Calibri"/>
                <w:color w:val="0D0D0D"/>
                <w:sz w:val="21"/>
                <w:szCs w:val="21"/>
              </w:rPr>
              <w:t xml:space="preserve"> and $</w:t>
            </w:r>
            <w:r w:rsidR="000C00B1">
              <w:rPr>
                <w:rFonts w:ascii="Calibri" w:eastAsia="Times New Roman" w:hAnsi="Calibri" w:cs="Calibri"/>
                <w:color w:val="0D0D0D"/>
                <w:sz w:val="21"/>
                <w:szCs w:val="21"/>
              </w:rPr>
              <w:t>0</w:t>
            </w:r>
            <w:r w:rsidR="00636EEC">
              <w:rPr>
                <w:rFonts w:ascii="Calibri" w:eastAsia="Times New Roman" w:hAnsi="Calibri" w:cs="Calibri"/>
                <w:color w:val="0D0D0D"/>
                <w:sz w:val="21"/>
                <w:szCs w:val="21"/>
              </w:rPr>
              <w:t xml:space="preserve">, </w:t>
            </w:r>
            <w:r w:rsidR="00AA3FB7" w:rsidRPr="00AA3FB7">
              <w:rPr>
                <w:rFonts w:ascii="Calibri" w:eastAsia="Times New Roman" w:hAnsi="Calibri" w:cs="Calibri"/>
                <w:color w:val="0D0D0D"/>
                <w:sz w:val="21"/>
                <w:szCs w:val="21"/>
              </w:rPr>
              <w:t>respectively.</w:t>
            </w:r>
          </w:p>
        </w:tc>
        <w:tc>
          <w:tcPr>
            <w:tcW w:w="1569" w:type="dxa"/>
            <w:tcBorders>
              <w:top w:val="nil"/>
              <w:left w:val="nil"/>
              <w:bottom w:val="nil"/>
              <w:right w:val="nil"/>
            </w:tcBorders>
            <w:shd w:val="clear" w:color="000000" w:fill="FFFFFF"/>
            <w:noWrap/>
            <w:vAlign w:val="bottom"/>
          </w:tcPr>
          <w:p w14:paraId="77E6F7FA" w14:textId="23685DD1" w:rsidR="005E5EC3" w:rsidRPr="00A504DA" w:rsidRDefault="007C0D81"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126,562</w:t>
            </w:r>
          </w:p>
        </w:tc>
        <w:tc>
          <w:tcPr>
            <w:tcW w:w="1600" w:type="dxa"/>
            <w:gridSpan w:val="2"/>
            <w:tcBorders>
              <w:top w:val="nil"/>
              <w:left w:val="nil"/>
              <w:bottom w:val="nil"/>
              <w:right w:val="nil"/>
            </w:tcBorders>
            <w:shd w:val="clear" w:color="auto" w:fill="F2F2F2" w:themeFill="background1" w:themeFillShade="F2"/>
            <w:noWrap/>
            <w:vAlign w:val="bottom"/>
          </w:tcPr>
          <w:p w14:paraId="72C4267B" w14:textId="56261097" w:rsidR="005E5EC3" w:rsidRPr="00A504DA" w:rsidRDefault="00FD341A">
            <w:pPr>
              <w:jc w:val="right"/>
              <w:rPr>
                <w:rFonts w:ascii="Calibri" w:eastAsia="Times New Roman" w:hAnsi="Calibri" w:cs="Calibri"/>
                <w:sz w:val="21"/>
                <w:szCs w:val="21"/>
              </w:rPr>
            </w:pPr>
            <w:r>
              <w:rPr>
                <w:rFonts w:ascii="Calibri" w:eastAsia="Times New Roman" w:hAnsi="Calibri" w:cs="Calibri"/>
                <w:sz w:val="21"/>
                <w:szCs w:val="21"/>
              </w:rPr>
              <w:t>-</w:t>
            </w:r>
          </w:p>
        </w:tc>
      </w:tr>
      <w:tr w:rsidR="005E5EC3" w:rsidRPr="00C317EF" w14:paraId="3E315358" w14:textId="77777777" w:rsidTr="00A504DA">
        <w:trPr>
          <w:trHeight w:val="1251"/>
        </w:trPr>
        <w:tc>
          <w:tcPr>
            <w:tcW w:w="6191" w:type="dxa"/>
            <w:tcBorders>
              <w:top w:val="nil"/>
              <w:left w:val="nil"/>
              <w:bottom w:val="nil"/>
              <w:right w:val="nil"/>
            </w:tcBorders>
            <w:shd w:val="clear" w:color="auto" w:fill="auto"/>
            <w:vAlign w:val="bottom"/>
            <w:hideMark/>
          </w:tcPr>
          <w:p w14:paraId="265B9626" w14:textId="0249FE90" w:rsidR="005E5EC3" w:rsidRPr="0002159C" w:rsidRDefault="005E5EC3" w:rsidP="005E5EC3">
            <w:pPr>
              <w:spacing w:before="120"/>
              <w:ind w:leftChars="106" w:left="248" w:hangingChars="7" w:hanging="15"/>
              <w:rPr>
                <w:rFonts w:ascii="Calibri" w:eastAsia="Times New Roman" w:hAnsi="Calibri" w:cs="Calibri"/>
                <w:color w:val="0D0D0D"/>
                <w:sz w:val="21"/>
                <w:szCs w:val="21"/>
              </w:rPr>
            </w:pPr>
            <w:r w:rsidRPr="0002159C">
              <w:rPr>
                <w:rFonts w:ascii="Calibri" w:eastAsia="Times New Roman" w:hAnsi="Calibri" w:cs="Calibri"/>
                <w:color w:val="0D0D0D"/>
                <w:sz w:val="21"/>
                <w:szCs w:val="21"/>
              </w:rPr>
              <w:t>2017 Series A Revenue Bonds (original principal of $30,340) Serial bonds, maturing from 2018 to 2026, with annual principal payments from $2,285 to $4,460 and coupon int</w:t>
            </w:r>
            <w:r w:rsidR="00541C5C">
              <w:rPr>
                <w:rFonts w:ascii="Calibri" w:eastAsia="Times New Roman" w:hAnsi="Calibri" w:cs="Calibri"/>
                <w:color w:val="0D0D0D"/>
                <w:sz w:val="21"/>
                <w:szCs w:val="21"/>
              </w:rPr>
              <w:t xml:space="preserve">erest rates from 4.0% to 5.0%. </w:t>
            </w:r>
            <w:r w:rsidRPr="0002159C">
              <w:rPr>
                <w:rFonts w:ascii="Calibri" w:eastAsia="Times New Roman" w:hAnsi="Calibri" w:cs="Calibri"/>
                <w:color w:val="0D0D0D"/>
                <w:sz w:val="21"/>
                <w:szCs w:val="21"/>
              </w:rPr>
              <w:t>Issued to refund 2007A Series Revenue bonds and to provide</w:t>
            </w:r>
            <w:r w:rsidR="00541C5C">
              <w:rPr>
                <w:rFonts w:ascii="Calibri" w:eastAsia="Times New Roman" w:hAnsi="Calibri" w:cs="Calibri"/>
                <w:color w:val="0D0D0D"/>
                <w:sz w:val="21"/>
                <w:szCs w:val="21"/>
              </w:rPr>
              <w:t xml:space="preserve"> funding for capital projects. </w:t>
            </w:r>
            <w:r w:rsidRPr="0002159C">
              <w:rPr>
                <w:rFonts w:ascii="Calibri" w:eastAsia="Times New Roman" w:hAnsi="Calibri" w:cs="Calibri"/>
                <w:color w:val="0D0D0D"/>
                <w:sz w:val="21"/>
                <w:szCs w:val="21"/>
              </w:rPr>
              <w:t>Includes premiums of $</w:t>
            </w:r>
            <w:r w:rsidRPr="00896CE6">
              <w:rPr>
                <w:rFonts w:ascii="Calibri" w:eastAsia="Times New Roman" w:hAnsi="Calibri" w:cs="Calibri"/>
                <w:sz w:val="21"/>
                <w:szCs w:val="21"/>
              </w:rPr>
              <w:t>319</w:t>
            </w:r>
            <w:r w:rsidRPr="0002159C">
              <w:rPr>
                <w:rFonts w:ascii="Calibri" w:eastAsia="Times New Roman" w:hAnsi="Calibri" w:cs="Calibri"/>
                <w:color w:val="0D0D0D"/>
                <w:sz w:val="21"/>
                <w:szCs w:val="21"/>
              </w:rPr>
              <w:t xml:space="preserve"> and $</w:t>
            </w:r>
            <w:r>
              <w:rPr>
                <w:rFonts w:ascii="Calibri" w:eastAsia="Times New Roman" w:hAnsi="Calibri" w:cs="Calibri"/>
                <w:color w:val="0D0D0D"/>
                <w:sz w:val="21"/>
                <w:szCs w:val="21"/>
              </w:rPr>
              <w:t>637</w:t>
            </w:r>
            <w:r w:rsidRPr="0002159C">
              <w:rPr>
                <w:rFonts w:ascii="Calibri" w:eastAsia="Times New Roman" w:hAnsi="Calibri" w:cs="Calibri"/>
                <w:color w:val="0D0D0D"/>
                <w:sz w:val="21"/>
                <w:szCs w:val="21"/>
              </w:rPr>
              <w:t>, respectively.</w:t>
            </w:r>
          </w:p>
        </w:tc>
        <w:tc>
          <w:tcPr>
            <w:tcW w:w="1584" w:type="dxa"/>
            <w:gridSpan w:val="2"/>
            <w:tcBorders>
              <w:top w:val="nil"/>
              <w:left w:val="nil"/>
              <w:bottom w:val="nil"/>
              <w:right w:val="nil"/>
            </w:tcBorders>
            <w:shd w:val="clear" w:color="000000" w:fill="FFFFFF"/>
            <w:noWrap/>
            <w:vAlign w:val="bottom"/>
            <w:hideMark/>
          </w:tcPr>
          <w:p w14:paraId="229C0646" w14:textId="78BAB199" w:rsidR="005E5EC3" w:rsidRPr="00A504DA" w:rsidRDefault="007C0D81"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8,954</w:t>
            </w:r>
          </w:p>
        </w:tc>
        <w:tc>
          <w:tcPr>
            <w:tcW w:w="1585" w:type="dxa"/>
            <w:tcBorders>
              <w:top w:val="nil"/>
              <w:left w:val="nil"/>
              <w:bottom w:val="nil"/>
              <w:right w:val="nil"/>
            </w:tcBorders>
            <w:shd w:val="clear" w:color="auto" w:fill="F2F2F2" w:themeFill="background1" w:themeFillShade="F2"/>
            <w:noWrap/>
            <w:vAlign w:val="bottom"/>
            <w:hideMark/>
          </w:tcPr>
          <w:p w14:paraId="56A9766F" w14:textId="5D178435" w:rsidR="005E5EC3" w:rsidRPr="0002159C" w:rsidRDefault="005E5EC3" w:rsidP="005E5EC3">
            <w:pPr>
              <w:jc w:val="right"/>
              <w:rPr>
                <w:rFonts w:ascii="Calibri" w:eastAsia="Times New Roman" w:hAnsi="Calibri" w:cs="Calibri"/>
                <w:color w:val="0D0D0D"/>
                <w:sz w:val="21"/>
                <w:szCs w:val="21"/>
              </w:rPr>
            </w:pPr>
            <w:r w:rsidRPr="00896CE6">
              <w:rPr>
                <w:rFonts w:ascii="Calibri" w:eastAsia="Times New Roman" w:hAnsi="Calibri" w:cs="Calibri"/>
                <w:color w:val="0D0D0D"/>
                <w:sz w:val="21"/>
                <w:szCs w:val="21"/>
              </w:rPr>
              <w:t>13,032</w:t>
            </w:r>
          </w:p>
        </w:tc>
      </w:tr>
      <w:tr w:rsidR="005E5EC3" w:rsidRPr="00C317EF" w14:paraId="30F9427C" w14:textId="77777777" w:rsidTr="00A504DA">
        <w:trPr>
          <w:trHeight w:val="1368"/>
        </w:trPr>
        <w:tc>
          <w:tcPr>
            <w:tcW w:w="6191" w:type="dxa"/>
            <w:tcBorders>
              <w:top w:val="nil"/>
              <w:left w:val="nil"/>
              <w:bottom w:val="nil"/>
              <w:right w:val="nil"/>
            </w:tcBorders>
            <w:shd w:val="clear" w:color="000000" w:fill="FFFFFF"/>
            <w:vAlign w:val="bottom"/>
            <w:hideMark/>
          </w:tcPr>
          <w:p w14:paraId="05573AB4" w14:textId="5153838B" w:rsidR="005E5EC3" w:rsidRPr="0002159C" w:rsidRDefault="005E5EC3">
            <w:pPr>
              <w:spacing w:before="160"/>
              <w:ind w:leftChars="106" w:left="250" w:hangingChars="8" w:hanging="17"/>
              <w:rPr>
                <w:rFonts w:ascii="Calibri" w:eastAsia="Times New Roman" w:hAnsi="Calibri" w:cs="Calibri"/>
                <w:sz w:val="21"/>
                <w:szCs w:val="21"/>
              </w:rPr>
            </w:pPr>
            <w:r w:rsidRPr="0002159C">
              <w:rPr>
                <w:rFonts w:ascii="Calibri" w:eastAsia="Times New Roman" w:hAnsi="Calibri" w:cs="Calibri"/>
                <w:sz w:val="21"/>
                <w:szCs w:val="21"/>
              </w:rPr>
              <w:t>2015 Series A Revenue Bonds (original principal of $48,450) Serial bonds, maturing from 2016 to 2037, with annual principal payments from $405 to $3,760 and coupon in</w:t>
            </w:r>
            <w:r w:rsidR="00541C5C">
              <w:rPr>
                <w:rFonts w:ascii="Calibri" w:eastAsia="Times New Roman" w:hAnsi="Calibri" w:cs="Calibri"/>
                <w:sz w:val="21"/>
                <w:szCs w:val="21"/>
              </w:rPr>
              <w:t>terest rates from 3.0% to 5.0%.</w:t>
            </w:r>
            <w:r w:rsidRPr="0002159C">
              <w:rPr>
                <w:rFonts w:ascii="Calibri" w:eastAsia="Times New Roman" w:hAnsi="Calibri" w:cs="Calibri"/>
                <w:sz w:val="21"/>
                <w:szCs w:val="21"/>
              </w:rPr>
              <w:t xml:space="preserve"> Issued to refund 2004A, 2005A, and 2007A Series Revenue bonds and to provide funding for capital projects.  Includes premiums of $</w:t>
            </w:r>
            <w:r w:rsidRPr="00A504DA">
              <w:rPr>
                <w:rFonts w:ascii="Calibri" w:eastAsia="Times New Roman" w:hAnsi="Calibri" w:cs="Calibri"/>
                <w:sz w:val="21"/>
                <w:szCs w:val="21"/>
              </w:rPr>
              <w:t xml:space="preserve">791 </w:t>
            </w:r>
            <w:r w:rsidRPr="0002159C">
              <w:rPr>
                <w:rFonts w:ascii="Calibri" w:eastAsia="Times New Roman" w:hAnsi="Calibri" w:cs="Calibri"/>
                <w:sz w:val="21"/>
                <w:szCs w:val="21"/>
              </w:rPr>
              <w:t>and $1,099, respectively.</w:t>
            </w:r>
          </w:p>
        </w:tc>
        <w:tc>
          <w:tcPr>
            <w:tcW w:w="1584" w:type="dxa"/>
            <w:gridSpan w:val="2"/>
            <w:tcBorders>
              <w:top w:val="nil"/>
              <w:left w:val="nil"/>
              <w:bottom w:val="nil"/>
              <w:right w:val="nil"/>
            </w:tcBorders>
            <w:shd w:val="clear" w:color="000000" w:fill="FFFFFF"/>
            <w:noWrap/>
            <w:vAlign w:val="bottom"/>
            <w:hideMark/>
          </w:tcPr>
          <w:p w14:paraId="7E73B5CC" w14:textId="47638AE1" w:rsidR="005E5EC3" w:rsidRPr="00A504DA" w:rsidRDefault="007C0D81"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32,941</w:t>
            </w:r>
          </w:p>
        </w:tc>
        <w:tc>
          <w:tcPr>
            <w:tcW w:w="1585" w:type="dxa"/>
            <w:tcBorders>
              <w:top w:val="nil"/>
              <w:left w:val="nil"/>
              <w:bottom w:val="nil"/>
              <w:right w:val="nil"/>
            </w:tcBorders>
            <w:shd w:val="clear" w:color="auto" w:fill="F2F2F2" w:themeFill="background1" w:themeFillShade="F2"/>
            <w:noWrap/>
            <w:vAlign w:val="bottom"/>
            <w:hideMark/>
          </w:tcPr>
          <w:p w14:paraId="38124BF8" w14:textId="5C41027A" w:rsidR="005E5EC3" w:rsidRPr="00A504DA" w:rsidRDefault="005E5EC3" w:rsidP="005E5EC3">
            <w:pPr>
              <w:jc w:val="right"/>
              <w:rPr>
                <w:rFonts w:ascii="Calibri" w:eastAsia="Times New Roman" w:hAnsi="Calibri" w:cs="Calibri"/>
                <w:color w:val="0D0D0D"/>
                <w:sz w:val="21"/>
                <w:szCs w:val="21"/>
              </w:rPr>
            </w:pPr>
            <w:r w:rsidRPr="00A504DA">
              <w:rPr>
                <w:rFonts w:ascii="Calibri" w:eastAsia="Times New Roman" w:hAnsi="Calibri" w:cs="Calibri"/>
                <w:color w:val="0D0D0D"/>
                <w:sz w:val="21"/>
                <w:szCs w:val="21"/>
              </w:rPr>
              <w:t>35,754</w:t>
            </w:r>
          </w:p>
        </w:tc>
      </w:tr>
      <w:tr w:rsidR="005E5EC3" w:rsidRPr="00C317EF" w14:paraId="7B5D109A" w14:textId="77777777" w:rsidTr="00A504DA">
        <w:trPr>
          <w:trHeight w:val="1305"/>
        </w:trPr>
        <w:tc>
          <w:tcPr>
            <w:tcW w:w="6191" w:type="dxa"/>
            <w:tcBorders>
              <w:top w:val="nil"/>
              <w:left w:val="nil"/>
              <w:bottom w:val="nil"/>
              <w:right w:val="nil"/>
            </w:tcBorders>
            <w:shd w:val="clear" w:color="000000" w:fill="FFFFFF"/>
            <w:vAlign w:val="bottom"/>
            <w:hideMark/>
          </w:tcPr>
          <w:p w14:paraId="65785D45" w14:textId="4BD42CE9" w:rsidR="005E5EC3" w:rsidRPr="0002159C" w:rsidRDefault="005E5EC3" w:rsidP="009948C6">
            <w:pPr>
              <w:spacing w:before="160"/>
              <w:ind w:leftChars="106" w:left="250" w:hangingChars="8" w:hanging="17"/>
              <w:rPr>
                <w:rFonts w:ascii="Calibri" w:eastAsia="Times New Roman" w:hAnsi="Calibri" w:cs="Calibri"/>
                <w:color w:val="0D0D0D"/>
                <w:sz w:val="21"/>
                <w:szCs w:val="21"/>
              </w:rPr>
            </w:pPr>
            <w:r w:rsidRPr="0002159C">
              <w:rPr>
                <w:rFonts w:ascii="Calibri" w:eastAsia="Times New Roman" w:hAnsi="Calibri" w:cs="Calibri"/>
                <w:color w:val="0D0D0D"/>
                <w:sz w:val="21"/>
                <w:szCs w:val="21"/>
              </w:rPr>
              <w:t xml:space="preserve">2013 Series A Revenue Bonds (original principal of $65,255) Serial and Term bonds, </w:t>
            </w:r>
            <w:r w:rsidR="00E85A07" w:rsidRPr="00A504DA">
              <w:rPr>
                <w:rFonts w:ascii="Calibri" w:eastAsia="Times New Roman" w:hAnsi="Calibri" w:cs="Calibri"/>
                <w:sz w:val="21"/>
                <w:szCs w:val="21"/>
              </w:rPr>
              <w:t xml:space="preserve">refinanced May 2023 with </w:t>
            </w:r>
            <w:r w:rsidR="00FD306C" w:rsidRPr="0002159C">
              <w:rPr>
                <w:rFonts w:ascii="Calibri" w:eastAsia="Times New Roman" w:hAnsi="Calibri" w:cs="Calibri"/>
                <w:color w:val="0D0D0D"/>
                <w:sz w:val="21"/>
                <w:szCs w:val="21"/>
              </w:rPr>
              <w:t>20</w:t>
            </w:r>
            <w:r w:rsidR="00FD306C">
              <w:rPr>
                <w:rFonts w:ascii="Calibri" w:eastAsia="Times New Roman" w:hAnsi="Calibri" w:cs="Calibri"/>
                <w:color w:val="0D0D0D"/>
                <w:sz w:val="21"/>
                <w:szCs w:val="21"/>
              </w:rPr>
              <w:t>23</w:t>
            </w:r>
            <w:r w:rsidR="00FD306C" w:rsidRPr="0002159C">
              <w:rPr>
                <w:rFonts w:ascii="Calibri" w:eastAsia="Times New Roman" w:hAnsi="Calibri" w:cs="Calibri"/>
                <w:color w:val="0D0D0D"/>
                <w:sz w:val="21"/>
                <w:szCs w:val="21"/>
              </w:rPr>
              <w:t xml:space="preserve"> Series A Revenue </w:t>
            </w:r>
            <w:r w:rsidR="00FD306C" w:rsidRPr="00AA3FB7">
              <w:rPr>
                <w:rFonts w:ascii="Calibri" w:eastAsia="Times New Roman" w:hAnsi="Calibri" w:cs="Calibri"/>
                <w:color w:val="0D0D0D"/>
                <w:sz w:val="21"/>
                <w:szCs w:val="21"/>
              </w:rPr>
              <w:t>Serial bonds</w:t>
            </w:r>
            <w:r w:rsidR="00FD306C">
              <w:rPr>
                <w:rFonts w:ascii="Calibri" w:eastAsia="Times New Roman" w:hAnsi="Calibri" w:cs="Calibri"/>
                <w:color w:val="0D0D0D"/>
                <w:sz w:val="21"/>
                <w:szCs w:val="21"/>
              </w:rPr>
              <w:t>;</w:t>
            </w:r>
            <w:r w:rsidR="00FD306C" w:rsidRPr="0002159C">
              <w:rPr>
                <w:rFonts w:ascii="Calibri" w:eastAsia="Times New Roman" w:hAnsi="Calibri" w:cs="Calibri"/>
                <w:color w:val="0D0D0D"/>
                <w:sz w:val="21"/>
                <w:szCs w:val="21"/>
              </w:rPr>
              <w:t xml:space="preserve"> </w:t>
            </w:r>
            <w:r w:rsidRPr="0002159C">
              <w:rPr>
                <w:rFonts w:ascii="Calibri" w:eastAsia="Times New Roman" w:hAnsi="Calibri" w:cs="Calibri"/>
                <w:color w:val="0D0D0D"/>
                <w:sz w:val="21"/>
                <w:szCs w:val="21"/>
              </w:rPr>
              <w:t>with annual principal payments from $1,275 to $4,425 and coupon int</w:t>
            </w:r>
            <w:r w:rsidR="00541C5C">
              <w:rPr>
                <w:rFonts w:ascii="Calibri" w:eastAsia="Times New Roman" w:hAnsi="Calibri" w:cs="Calibri"/>
                <w:color w:val="0D0D0D"/>
                <w:sz w:val="21"/>
                <w:szCs w:val="21"/>
              </w:rPr>
              <w:t xml:space="preserve">erest rates from 2.0% to 5.0%. </w:t>
            </w:r>
            <w:r w:rsidRPr="0002159C">
              <w:rPr>
                <w:rFonts w:ascii="Calibri" w:eastAsia="Times New Roman" w:hAnsi="Calibri" w:cs="Calibri"/>
                <w:color w:val="0D0D0D"/>
                <w:sz w:val="21"/>
                <w:szCs w:val="21"/>
              </w:rPr>
              <w:t xml:space="preserve">Issued to refund 2000A, 2003A, 2004A, </w:t>
            </w:r>
            <w:r w:rsidR="00541C5C">
              <w:rPr>
                <w:rFonts w:ascii="Calibri" w:eastAsia="Times New Roman" w:hAnsi="Calibri" w:cs="Calibri"/>
                <w:color w:val="0D0D0D"/>
                <w:sz w:val="21"/>
                <w:szCs w:val="21"/>
              </w:rPr>
              <w:t>and 2005A Series Revenue bonds.</w:t>
            </w:r>
            <w:r w:rsidRPr="0002159C">
              <w:rPr>
                <w:rFonts w:ascii="Calibri" w:eastAsia="Times New Roman" w:hAnsi="Calibri" w:cs="Calibri"/>
                <w:color w:val="0D0D0D"/>
                <w:sz w:val="21"/>
                <w:szCs w:val="21"/>
              </w:rPr>
              <w:t xml:space="preserve"> Includes premiums of $</w:t>
            </w:r>
            <w:r w:rsidR="001F58BE">
              <w:rPr>
                <w:rFonts w:ascii="Calibri" w:eastAsia="Times New Roman" w:hAnsi="Calibri" w:cs="Calibri"/>
                <w:sz w:val="21"/>
                <w:szCs w:val="21"/>
              </w:rPr>
              <w:t>0</w:t>
            </w:r>
            <w:r w:rsidRPr="00A504DA">
              <w:rPr>
                <w:rFonts w:ascii="Calibri" w:eastAsia="Times New Roman" w:hAnsi="Calibri" w:cs="Calibri"/>
                <w:color w:val="FF0000"/>
                <w:sz w:val="21"/>
                <w:szCs w:val="21"/>
              </w:rPr>
              <w:t xml:space="preserve"> </w:t>
            </w:r>
            <w:r w:rsidRPr="0002159C">
              <w:rPr>
                <w:rFonts w:ascii="Calibri" w:eastAsia="Times New Roman" w:hAnsi="Calibri" w:cs="Calibri"/>
                <w:color w:val="0D0D0D"/>
                <w:sz w:val="21"/>
                <w:szCs w:val="21"/>
              </w:rPr>
              <w:t>and $1,568</w:t>
            </w:r>
            <w:r>
              <w:rPr>
                <w:rFonts w:ascii="Calibri" w:eastAsia="Times New Roman" w:hAnsi="Calibri" w:cs="Calibri"/>
                <w:color w:val="0D0D0D"/>
                <w:sz w:val="21"/>
                <w:szCs w:val="21"/>
              </w:rPr>
              <w:t xml:space="preserve"> respectively</w:t>
            </w:r>
            <w:r w:rsidRPr="0002159C">
              <w:rPr>
                <w:rFonts w:ascii="Calibri" w:eastAsia="Times New Roman" w:hAnsi="Calibri" w:cs="Calibri"/>
                <w:color w:val="0D0D0D"/>
                <w:sz w:val="21"/>
                <w:szCs w:val="21"/>
              </w:rPr>
              <w:t>.</w:t>
            </w:r>
          </w:p>
        </w:tc>
        <w:tc>
          <w:tcPr>
            <w:tcW w:w="1584" w:type="dxa"/>
            <w:gridSpan w:val="2"/>
            <w:tcBorders>
              <w:top w:val="nil"/>
              <w:left w:val="nil"/>
              <w:bottom w:val="nil"/>
              <w:right w:val="nil"/>
            </w:tcBorders>
            <w:shd w:val="clear" w:color="000000" w:fill="FFFFFF"/>
            <w:noWrap/>
            <w:vAlign w:val="bottom"/>
            <w:hideMark/>
          </w:tcPr>
          <w:p w14:paraId="559F122E" w14:textId="0B2D7A3B" w:rsidR="005E5EC3" w:rsidRPr="00A504DA" w:rsidRDefault="005E5EC3"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w:t>
            </w:r>
          </w:p>
        </w:tc>
        <w:tc>
          <w:tcPr>
            <w:tcW w:w="1585" w:type="dxa"/>
            <w:tcBorders>
              <w:top w:val="nil"/>
              <w:left w:val="nil"/>
              <w:bottom w:val="nil"/>
              <w:right w:val="nil"/>
            </w:tcBorders>
            <w:shd w:val="clear" w:color="auto" w:fill="F2F2F2" w:themeFill="background1" w:themeFillShade="F2"/>
            <w:noWrap/>
            <w:vAlign w:val="bottom"/>
            <w:hideMark/>
          </w:tcPr>
          <w:p w14:paraId="5289610D" w14:textId="6B4F7BA8" w:rsidR="005E5EC3" w:rsidRPr="0002159C" w:rsidRDefault="005E5EC3" w:rsidP="005E5EC3">
            <w:pPr>
              <w:jc w:val="right"/>
              <w:rPr>
                <w:rFonts w:ascii="Calibri" w:eastAsia="Times New Roman" w:hAnsi="Calibri" w:cs="Calibri"/>
                <w:color w:val="0D0D0D"/>
                <w:sz w:val="21"/>
                <w:szCs w:val="21"/>
              </w:rPr>
            </w:pPr>
            <w:r w:rsidRPr="00316B2A">
              <w:rPr>
                <w:rFonts w:ascii="Calibri" w:eastAsia="Times New Roman" w:hAnsi="Calibri" w:cs="Calibri"/>
                <w:color w:val="0D0D0D"/>
                <w:sz w:val="21"/>
                <w:szCs w:val="21"/>
              </w:rPr>
              <w:t>42,818</w:t>
            </w:r>
          </w:p>
        </w:tc>
      </w:tr>
      <w:tr w:rsidR="005E5EC3" w:rsidRPr="00C317EF" w14:paraId="2F3121F2" w14:textId="77777777" w:rsidTr="00A504DA">
        <w:trPr>
          <w:trHeight w:val="1341"/>
        </w:trPr>
        <w:tc>
          <w:tcPr>
            <w:tcW w:w="6191" w:type="dxa"/>
            <w:tcBorders>
              <w:top w:val="nil"/>
              <w:left w:val="nil"/>
              <w:bottom w:val="single" w:sz="4" w:space="0" w:color="auto"/>
              <w:right w:val="nil"/>
            </w:tcBorders>
            <w:shd w:val="clear" w:color="000000" w:fill="FFFFFF"/>
            <w:vAlign w:val="bottom"/>
            <w:hideMark/>
          </w:tcPr>
          <w:p w14:paraId="3C52DED4" w14:textId="1B821713" w:rsidR="005E5EC3" w:rsidRPr="0002159C" w:rsidRDefault="005E5EC3">
            <w:pPr>
              <w:spacing w:before="160"/>
              <w:ind w:leftChars="106" w:left="250" w:hangingChars="8" w:hanging="17"/>
              <w:rPr>
                <w:rFonts w:ascii="Calibri" w:eastAsia="Times New Roman" w:hAnsi="Calibri" w:cs="Calibri"/>
                <w:color w:val="0D0D0D"/>
                <w:sz w:val="21"/>
                <w:szCs w:val="21"/>
              </w:rPr>
            </w:pPr>
            <w:r w:rsidRPr="0002159C">
              <w:rPr>
                <w:rFonts w:ascii="Calibri" w:eastAsia="Times New Roman" w:hAnsi="Calibri" w:cs="Calibri"/>
                <w:color w:val="0D0D0D"/>
                <w:sz w:val="21"/>
                <w:szCs w:val="21"/>
              </w:rPr>
              <w:t>2012 Series A Revenue Bonds (original principal of $34,975) Serial and Term bonds, maturing from 2013 to 2033, with annual principal payments from $1,070 to $2,620 and coupon int</w:t>
            </w:r>
            <w:r w:rsidR="00541C5C">
              <w:rPr>
                <w:rFonts w:ascii="Calibri" w:eastAsia="Times New Roman" w:hAnsi="Calibri" w:cs="Calibri"/>
                <w:color w:val="0D0D0D"/>
                <w:sz w:val="21"/>
                <w:szCs w:val="21"/>
              </w:rPr>
              <w:t xml:space="preserve">erest rates from 2.0% to 4.0%. </w:t>
            </w:r>
            <w:r w:rsidRPr="0002159C">
              <w:rPr>
                <w:rFonts w:ascii="Calibri" w:eastAsia="Times New Roman" w:hAnsi="Calibri" w:cs="Calibri"/>
                <w:color w:val="0D0D0D"/>
                <w:sz w:val="21"/>
                <w:szCs w:val="21"/>
              </w:rPr>
              <w:t xml:space="preserve">Issued to refund balloon on the 2002A Series Revenue bonds and to provide </w:t>
            </w:r>
            <w:r w:rsidR="00541C5C">
              <w:rPr>
                <w:rFonts w:ascii="Calibri" w:eastAsia="Times New Roman" w:hAnsi="Calibri" w:cs="Calibri"/>
                <w:color w:val="0D0D0D"/>
                <w:sz w:val="21"/>
                <w:szCs w:val="21"/>
              </w:rPr>
              <w:t>funding for a capital project.</w:t>
            </w:r>
            <w:r w:rsidRPr="0002159C">
              <w:rPr>
                <w:rFonts w:ascii="Calibri" w:eastAsia="Times New Roman" w:hAnsi="Calibri" w:cs="Calibri"/>
                <w:color w:val="0D0D0D"/>
                <w:sz w:val="21"/>
                <w:szCs w:val="21"/>
              </w:rPr>
              <w:t xml:space="preserve"> Includes premiums of $</w:t>
            </w:r>
            <w:r w:rsidRPr="00A504DA">
              <w:rPr>
                <w:rFonts w:ascii="Calibri" w:eastAsia="Times New Roman" w:hAnsi="Calibri" w:cs="Calibri"/>
                <w:sz w:val="21"/>
                <w:szCs w:val="21"/>
              </w:rPr>
              <w:t>271</w:t>
            </w:r>
            <w:r w:rsidRPr="0002159C">
              <w:rPr>
                <w:rFonts w:ascii="Calibri" w:eastAsia="Times New Roman" w:hAnsi="Calibri" w:cs="Calibri"/>
                <w:color w:val="0D0D0D"/>
                <w:sz w:val="21"/>
                <w:szCs w:val="21"/>
              </w:rPr>
              <w:t xml:space="preserve"> and $308, respectively.</w:t>
            </w:r>
          </w:p>
        </w:tc>
        <w:tc>
          <w:tcPr>
            <w:tcW w:w="1584" w:type="dxa"/>
            <w:gridSpan w:val="2"/>
            <w:tcBorders>
              <w:top w:val="nil"/>
              <w:left w:val="nil"/>
              <w:bottom w:val="single" w:sz="4" w:space="0" w:color="auto"/>
              <w:right w:val="nil"/>
            </w:tcBorders>
            <w:shd w:val="clear" w:color="000000" w:fill="FFFFFF"/>
            <w:noWrap/>
            <w:vAlign w:val="bottom"/>
            <w:hideMark/>
          </w:tcPr>
          <w:p w14:paraId="523B40A8" w14:textId="27C76A71" w:rsidR="005E5EC3" w:rsidRPr="00A504DA" w:rsidRDefault="007C0D81" w:rsidP="005E5EC3">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sz w:val="21"/>
                <w:szCs w:val="21"/>
              </w:rPr>
              <w:t>12,516</w:t>
            </w:r>
          </w:p>
        </w:tc>
        <w:tc>
          <w:tcPr>
            <w:tcW w:w="1585" w:type="dxa"/>
            <w:tcBorders>
              <w:top w:val="nil"/>
              <w:left w:val="nil"/>
              <w:bottom w:val="single" w:sz="4" w:space="0" w:color="auto"/>
              <w:right w:val="nil"/>
            </w:tcBorders>
            <w:shd w:val="clear" w:color="auto" w:fill="F2F2F2" w:themeFill="background1" w:themeFillShade="F2"/>
            <w:noWrap/>
            <w:vAlign w:val="bottom"/>
            <w:hideMark/>
          </w:tcPr>
          <w:p w14:paraId="462C5E79" w14:textId="0AD64375" w:rsidR="005E5EC3" w:rsidRPr="0002159C" w:rsidRDefault="005E5EC3" w:rsidP="005E5EC3">
            <w:pPr>
              <w:jc w:val="right"/>
              <w:rPr>
                <w:rFonts w:ascii="Calibri" w:eastAsia="Times New Roman" w:hAnsi="Calibri" w:cs="Calibri"/>
                <w:color w:val="0D0D0D"/>
                <w:sz w:val="21"/>
                <w:szCs w:val="21"/>
              </w:rPr>
            </w:pPr>
            <w:r w:rsidRPr="00316B2A">
              <w:rPr>
                <w:rFonts w:ascii="Calibri" w:eastAsia="Times New Roman" w:hAnsi="Calibri" w:cs="Calibri"/>
                <w:color w:val="0D0D0D"/>
                <w:sz w:val="21"/>
                <w:szCs w:val="21"/>
              </w:rPr>
              <w:t>13,623</w:t>
            </w:r>
          </w:p>
        </w:tc>
      </w:tr>
      <w:tr w:rsidR="005E5EC3" w:rsidRPr="00C317EF" w14:paraId="38CBA8FC" w14:textId="77777777" w:rsidTr="00A504DA">
        <w:trPr>
          <w:trHeight w:val="368"/>
        </w:trPr>
        <w:tc>
          <w:tcPr>
            <w:tcW w:w="6191" w:type="dxa"/>
            <w:tcBorders>
              <w:top w:val="single" w:sz="4" w:space="0" w:color="auto"/>
              <w:left w:val="nil"/>
              <w:bottom w:val="single" w:sz="4" w:space="0" w:color="auto"/>
              <w:right w:val="nil"/>
            </w:tcBorders>
            <w:shd w:val="clear" w:color="000000" w:fill="FFFFFF"/>
            <w:noWrap/>
            <w:vAlign w:val="bottom"/>
          </w:tcPr>
          <w:p w14:paraId="0AF02087" w14:textId="77777777" w:rsidR="005E5EC3" w:rsidRPr="0002159C" w:rsidRDefault="005E5EC3" w:rsidP="005E5EC3">
            <w:pPr>
              <w:ind w:left="250"/>
              <w:rPr>
                <w:rFonts w:ascii="Calibri" w:eastAsia="Times New Roman" w:hAnsi="Calibri" w:cs="Calibri"/>
                <w:sz w:val="21"/>
                <w:szCs w:val="21"/>
              </w:rPr>
            </w:pPr>
            <w:r w:rsidRPr="0002159C">
              <w:rPr>
                <w:rFonts w:ascii="Calibri" w:eastAsia="Times New Roman" w:hAnsi="Calibri" w:cs="Calibri"/>
                <w:sz w:val="21"/>
                <w:szCs w:val="21"/>
              </w:rPr>
              <w:t>Total bonds payable, net</w:t>
            </w:r>
          </w:p>
        </w:tc>
        <w:tc>
          <w:tcPr>
            <w:tcW w:w="1584" w:type="dxa"/>
            <w:gridSpan w:val="2"/>
            <w:tcBorders>
              <w:top w:val="single" w:sz="4" w:space="0" w:color="auto"/>
              <w:left w:val="nil"/>
              <w:bottom w:val="single" w:sz="4" w:space="0" w:color="auto"/>
              <w:right w:val="nil"/>
            </w:tcBorders>
            <w:shd w:val="clear" w:color="000000" w:fill="FFFFFF"/>
            <w:noWrap/>
            <w:vAlign w:val="bottom"/>
          </w:tcPr>
          <w:p w14:paraId="391C85D4" w14:textId="7BCAE580" w:rsidR="005E5EC3" w:rsidRPr="00A504DA" w:rsidRDefault="007C0D81" w:rsidP="005E5EC3">
            <w:pPr>
              <w:jc w:val="right"/>
              <w:rPr>
                <w:rFonts w:ascii="Calibri" w:eastAsia="Times New Roman" w:hAnsi="Calibri" w:cs="Calibri"/>
                <w:color w:val="000000" w:themeColor="text1"/>
                <w:sz w:val="21"/>
                <w:szCs w:val="21"/>
              </w:rPr>
            </w:pPr>
            <w:r>
              <w:rPr>
                <w:rFonts w:ascii="Calibri" w:eastAsia="Times New Roman" w:hAnsi="Calibri" w:cs="Calibri"/>
                <w:color w:val="000000" w:themeColor="text1"/>
                <w:sz w:val="21"/>
                <w:szCs w:val="21"/>
              </w:rPr>
              <w:t>2</w:t>
            </w:r>
            <w:r w:rsidRPr="00A504DA">
              <w:rPr>
                <w:rFonts w:ascii="Calibri" w:eastAsia="Times New Roman" w:hAnsi="Calibri" w:cs="Calibri"/>
                <w:color w:val="000000" w:themeColor="text1"/>
                <w:sz w:val="21"/>
                <w:szCs w:val="21"/>
              </w:rPr>
              <w:t>22,622</w:t>
            </w:r>
          </w:p>
        </w:tc>
        <w:tc>
          <w:tcPr>
            <w:tcW w:w="1585" w:type="dxa"/>
            <w:tcBorders>
              <w:top w:val="single" w:sz="4" w:space="0" w:color="auto"/>
              <w:left w:val="nil"/>
              <w:bottom w:val="single" w:sz="4" w:space="0" w:color="auto"/>
              <w:right w:val="nil"/>
            </w:tcBorders>
            <w:shd w:val="clear" w:color="auto" w:fill="F2F2F2" w:themeFill="background1" w:themeFillShade="F2"/>
            <w:noWrap/>
            <w:vAlign w:val="bottom"/>
          </w:tcPr>
          <w:p w14:paraId="1646E4FE" w14:textId="1010410B" w:rsidR="005E5EC3" w:rsidRPr="0002159C" w:rsidRDefault="005E5EC3" w:rsidP="005E5EC3">
            <w:pPr>
              <w:jc w:val="right"/>
              <w:rPr>
                <w:rFonts w:ascii="Calibri" w:eastAsia="Times New Roman" w:hAnsi="Calibri" w:cs="Calibri"/>
                <w:color w:val="0D0D0D"/>
                <w:sz w:val="21"/>
                <w:szCs w:val="21"/>
              </w:rPr>
            </w:pPr>
            <w:r w:rsidRPr="00316B2A">
              <w:rPr>
                <w:rFonts w:ascii="Calibri" w:eastAsia="Times New Roman" w:hAnsi="Calibri" w:cs="Calibri"/>
                <w:color w:val="0D0D0D"/>
                <w:sz w:val="21"/>
                <w:szCs w:val="21"/>
              </w:rPr>
              <w:t>105,227</w:t>
            </w:r>
          </w:p>
        </w:tc>
      </w:tr>
    </w:tbl>
    <w:p w14:paraId="21589FA3" w14:textId="042F1AFE" w:rsidR="00FC37B3" w:rsidRDefault="00FC37B3"/>
    <w:p w14:paraId="1E2B3CCB" w14:textId="77777777" w:rsidR="00BB2D81" w:rsidRDefault="00BB2D81"/>
    <w:p w14:paraId="4AFC1D89" w14:textId="43302B1E" w:rsidR="003E72E3" w:rsidRPr="00061285" w:rsidRDefault="007D573B" w:rsidP="003E72E3">
      <w:pPr>
        <w:pStyle w:val="AFR3"/>
        <w:spacing w:after="240"/>
        <w:rPr>
          <w:rFonts w:cstheme="minorHAnsi"/>
          <w:noProof/>
          <w:spacing w:val="-2"/>
        </w:rPr>
      </w:pPr>
      <w:r>
        <w:rPr>
          <w:rFonts w:cstheme="minorHAnsi"/>
          <w:noProof/>
          <w:spacing w:val="-2"/>
        </w:rPr>
        <w:lastRenderedPageBreak/>
        <w:t>7</w:t>
      </w:r>
      <w:r w:rsidR="003E72E3" w:rsidRPr="00F54559">
        <w:rPr>
          <w:rFonts w:cstheme="minorHAnsi"/>
          <w:noProof/>
          <w:spacing w:val="-2"/>
        </w:rPr>
        <w:t>b</w:t>
      </w:r>
      <w:r w:rsidR="003E72E3" w:rsidRPr="00B44EB6">
        <w:rPr>
          <w:rFonts w:cstheme="minorHAnsi"/>
          <w:noProof/>
          <w:spacing w:val="-2"/>
        </w:rPr>
        <w:t xml:space="preserve">. </w:t>
      </w:r>
      <w:r w:rsidR="003E72E3" w:rsidRPr="00B44EB6">
        <w:rPr>
          <w:rFonts w:cstheme="minorHAnsi"/>
        </w:rPr>
        <w:t xml:space="preserve">Bonds Payable and </w:t>
      </w:r>
      <w:r w:rsidR="003E72E3">
        <w:rPr>
          <w:rFonts w:cstheme="minorHAnsi"/>
        </w:rPr>
        <w:t>Direct Borrowings - continued</w:t>
      </w:r>
      <w:r w:rsidR="003E72E3" w:rsidRPr="00061285">
        <w:rPr>
          <w:rFonts w:cstheme="minorHAnsi"/>
          <w:noProof/>
          <w:spacing w:val="-2"/>
        </w:rPr>
        <w:fldChar w:fldCharType="begin"/>
      </w:r>
      <w:r w:rsidR="003E72E3" w:rsidRPr="00061285">
        <w:rPr>
          <w:rFonts w:cstheme="minorHAnsi"/>
          <w:noProof/>
          <w:spacing w:val="-2"/>
        </w:rPr>
        <w:fldChar w:fldCharType="end"/>
      </w:r>
    </w:p>
    <w:tbl>
      <w:tblPr>
        <w:tblW w:w="9360" w:type="dxa"/>
        <w:tblLook w:val="04A0" w:firstRow="1" w:lastRow="0" w:firstColumn="1" w:lastColumn="0" w:noHBand="0" w:noVBand="1"/>
      </w:tblPr>
      <w:tblGrid>
        <w:gridCol w:w="6202"/>
        <w:gridCol w:w="1571"/>
        <w:gridCol w:w="1587"/>
      </w:tblGrid>
      <w:tr w:rsidR="005E5EC3" w:rsidRPr="00C317EF" w14:paraId="351DD130" w14:textId="77777777" w:rsidTr="00A504DA">
        <w:trPr>
          <w:trHeight w:val="420"/>
        </w:trPr>
        <w:tc>
          <w:tcPr>
            <w:tcW w:w="6202" w:type="dxa"/>
            <w:tcBorders>
              <w:top w:val="single" w:sz="4" w:space="0" w:color="auto"/>
              <w:left w:val="nil"/>
              <w:bottom w:val="nil"/>
              <w:right w:val="nil"/>
            </w:tcBorders>
            <w:shd w:val="clear" w:color="000000" w:fill="FFFFFF"/>
            <w:noWrap/>
            <w:vAlign w:val="bottom"/>
          </w:tcPr>
          <w:p w14:paraId="781E94AC" w14:textId="2BD1319B" w:rsidR="005E5EC3" w:rsidRPr="0045079E" w:rsidRDefault="005E5EC3" w:rsidP="005E5EC3">
            <w:pPr>
              <w:rPr>
                <w:rFonts w:ascii="Calibri" w:eastAsia="Times New Roman" w:hAnsi="Calibri" w:cs="Calibri"/>
                <w:b/>
              </w:rPr>
            </w:pPr>
            <w:r w:rsidRPr="0045079E">
              <w:rPr>
                <w:rFonts w:ascii="Calibri" w:eastAsia="Times New Roman" w:hAnsi="Calibri" w:cs="Calibri"/>
                <w:b/>
              </w:rPr>
              <w:t>Direct Borrowings:</w:t>
            </w:r>
          </w:p>
        </w:tc>
        <w:tc>
          <w:tcPr>
            <w:tcW w:w="1571" w:type="dxa"/>
            <w:tcBorders>
              <w:top w:val="single" w:sz="4" w:space="0" w:color="auto"/>
              <w:left w:val="nil"/>
              <w:bottom w:val="nil"/>
              <w:right w:val="nil"/>
            </w:tcBorders>
            <w:shd w:val="clear" w:color="000000" w:fill="FFFFFF"/>
            <w:noWrap/>
            <w:vAlign w:val="bottom"/>
          </w:tcPr>
          <w:p w14:paraId="483A957A" w14:textId="77777777" w:rsidR="005E5EC3" w:rsidRPr="00C317EF" w:rsidRDefault="005E5EC3" w:rsidP="005E5EC3">
            <w:pPr>
              <w:jc w:val="right"/>
              <w:rPr>
                <w:rFonts w:ascii="Calibri" w:eastAsia="Times New Roman" w:hAnsi="Calibri" w:cs="Calibri"/>
                <w:color w:val="0D0D0D"/>
              </w:rPr>
            </w:pPr>
          </w:p>
        </w:tc>
        <w:tc>
          <w:tcPr>
            <w:tcW w:w="1587" w:type="dxa"/>
            <w:tcBorders>
              <w:top w:val="single" w:sz="4" w:space="0" w:color="auto"/>
              <w:left w:val="nil"/>
              <w:bottom w:val="nil"/>
              <w:right w:val="nil"/>
            </w:tcBorders>
            <w:shd w:val="clear" w:color="auto" w:fill="F2F2F2" w:themeFill="background1" w:themeFillShade="F2"/>
            <w:noWrap/>
            <w:vAlign w:val="bottom"/>
          </w:tcPr>
          <w:p w14:paraId="0A854111" w14:textId="77777777" w:rsidR="005E5EC3" w:rsidRPr="00A504DA" w:rsidRDefault="005E5EC3" w:rsidP="005E5EC3">
            <w:pPr>
              <w:jc w:val="right"/>
              <w:rPr>
                <w:rFonts w:ascii="Calibri" w:eastAsia="Times New Roman" w:hAnsi="Calibri" w:cs="Calibri"/>
                <w:color w:val="0D0D0D"/>
                <w:sz w:val="21"/>
                <w:szCs w:val="21"/>
              </w:rPr>
            </w:pPr>
          </w:p>
        </w:tc>
      </w:tr>
      <w:tr w:rsidR="005E5EC3" w:rsidRPr="00C317EF" w14:paraId="136FE314" w14:textId="77777777" w:rsidTr="00A504DA">
        <w:trPr>
          <w:trHeight w:val="420"/>
        </w:trPr>
        <w:tc>
          <w:tcPr>
            <w:tcW w:w="6202" w:type="dxa"/>
            <w:tcBorders>
              <w:top w:val="nil"/>
              <w:left w:val="nil"/>
              <w:bottom w:val="nil"/>
              <w:right w:val="nil"/>
            </w:tcBorders>
            <w:shd w:val="clear" w:color="000000" w:fill="FFFFFF"/>
            <w:noWrap/>
            <w:vAlign w:val="bottom"/>
          </w:tcPr>
          <w:p w14:paraId="11B1CDBA" w14:textId="74C6D42E" w:rsidR="005E5EC3" w:rsidRPr="0002159C" w:rsidRDefault="005E5EC3" w:rsidP="00A504DA">
            <w:pPr>
              <w:spacing w:before="160"/>
              <w:ind w:left="250"/>
              <w:rPr>
                <w:rFonts w:ascii="Calibri" w:eastAsia="Times New Roman" w:hAnsi="Calibri" w:cs="Calibri"/>
                <w:sz w:val="21"/>
                <w:szCs w:val="21"/>
              </w:rPr>
            </w:pPr>
            <w:r w:rsidRPr="0002159C">
              <w:rPr>
                <w:rFonts w:ascii="Calibri" w:eastAsia="Times New Roman" w:hAnsi="Calibri" w:cs="Calibri"/>
                <w:sz w:val="21"/>
                <w:szCs w:val="21"/>
                <w:u w:val="single"/>
              </w:rPr>
              <w:t>TD Bank, N.A.:</w:t>
            </w:r>
            <w:r w:rsidR="00541C5C">
              <w:rPr>
                <w:rFonts w:ascii="Calibri" w:eastAsia="Times New Roman" w:hAnsi="Calibri" w:cs="Calibri"/>
                <w:sz w:val="21"/>
                <w:szCs w:val="21"/>
              </w:rPr>
              <w:t xml:space="preserve"> </w:t>
            </w:r>
            <w:r w:rsidRPr="0002159C">
              <w:rPr>
                <w:rFonts w:ascii="Calibri" w:eastAsia="Times New Roman" w:hAnsi="Calibri" w:cs="Calibri"/>
                <w:sz w:val="21"/>
                <w:szCs w:val="21"/>
              </w:rPr>
              <w:t xml:space="preserve">$43,000 bond anticipation note, Series 2021, monthly interest only payments at </w:t>
            </w:r>
            <w:r w:rsidRPr="00A504DA">
              <w:rPr>
                <w:rFonts w:ascii="Calibri" w:eastAsia="Times New Roman" w:hAnsi="Calibri" w:cs="Calibri"/>
                <w:color w:val="000000" w:themeColor="text1"/>
                <w:sz w:val="21"/>
                <w:szCs w:val="21"/>
              </w:rPr>
              <w:t>.31%, mature</w:t>
            </w:r>
            <w:r w:rsidR="00AA3FB7">
              <w:rPr>
                <w:rFonts w:ascii="Calibri" w:eastAsia="Times New Roman" w:hAnsi="Calibri" w:cs="Calibri"/>
                <w:color w:val="000000" w:themeColor="text1"/>
                <w:sz w:val="21"/>
                <w:szCs w:val="21"/>
              </w:rPr>
              <w:t>d</w:t>
            </w:r>
            <w:r w:rsidRPr="00A504DA">
              <w:rPr>
                <w:rFonts w:ascii="Calibri" w:eastAsia="Times New Roman" w:hAnsi="Calibri" w:cs="Calibri"/>
                <w:color w:val="000000" w:themeColor="text1"/>
                <w:sz w:val="21"/>
                <w:szCs w:val="21"/>
              </w:rPr>
              <w:t xml:space="preserve"> July 2022</w:t>
            </w:r>
            <w:r w:rsidRPr="0002159C">
              <w:rPr>
                <w:rFonts w:ascii="Calibri" w:eastAsia="Times New Roman" w:hAnsi="Calibri" w:cs="Calibri"/>
                <w:sz w:val="21"/>
                <w:szCs w:val="21"/>
              </w:rPr>
              <w:t>.</w:t>
            </w:r>
          </w:p>
        </w:tc>
        <w:tc>
          <w:tcPr>
            <w:tcW w:w="1571" w:type="dxa"/>
            <w:tcBorders>
              <w:top w:val="nil"/>
              <w:left w:val="nil"/>
              <w:bottom w:val="nil"/>
              <w:right w:val="nil"/>
            </w:tcBorders>
            <w:shd w:val="clear" w:color="000000" w:fill="FFFFFF"/>
            <w:noWrap/>
            <w:vAlign w:val="bottom"/>
          </w:tcPr>
          <w:p w14:paraId="6D2E13D6" w14:textId="21E443BF" w:rsidR="005E5EC3" w:rsidRPr="00A504DA" w:rsidRDefault="00BC176D" w:rsidP="00BC176D">
            <w:pPr>
              <w:jc w:val="right"/>
              <w:rPr>
                <w:rFonts w:ascii="Calibri" w:eastAsia="Times New Roman" w:hAnsi="Calibri" w:cs="Calibri"/>
                <w:color w:val="000000" w:themeColor="text1"/>
                <w:sz w:val="21"/>
                <w:szCs w:val="21"/>
              </w:rPr>
            </w:pPr>
            <w:r>
              <w:rPr>
                <w:rFonts w:ascii="Calibri" w:eastAsia="Times New Roman" w:hAnsi="Calibri" w:cs="Calibri"/>
                <w:color w:val="000000" w:themeColor="text1"/>
                <w:sz w:val="21"/>
                <w:szCs w:val="21"/>
              </w:rPr>
              <w:t xml:space="preserve">$   </w:t>
            </w:r>
            <w:r w:rsidR="0010015F">
              <w:rPr>
                <w:rFonts w:ascii="Calibri" w:eastAsia="Times New Roman" w:hAnsi="Calibri" w:cs="Calibri"/>
                <w:color w:val="000000" w:themeColor="text1"/>
                <w:sz w:val="21"/>
                <w:szCs w:val="21"/>
              </w:rPr>
              <w:t xml:space="preserve">   </w:t>
            </w:r>
            <w:r>
              <w:rPr>
                <w:rFonts w:ascii="Calibri" w:eastAsia="Times New Roman" w:hAnsi="Calibri" w:cs="Calibri"/>
                <w:color w:val="000000" w:themeColor="text1"/>
                <w:sz w:val="21"/>
                <w:szCs w:val="21"/>
              </w:rPr>
              <w:t xml:space="preserve">      -</w:t>
            </w:r>
          </w:p>
        </w:tc>
        <w:tc>
          <w:tcPr>
            <w:tcW w:w="1587" w:type="dxa"/>
            <w:tcBorders>
              <w:top w:val="nil"/>
              <w:left w:val="nil"/>
              <w:bottom w:val="nil"/>
              <w:right w:val="nil"/>
            </w:tcBorders>
            <w:shd w:val="clear" w:color="auto" w:fill="F2F2F2" w:themeFill="background1" w:themeFillShade="F2"/>
            <w:noWrap/>
            <w:vAlign w:val="bottom"/>
          </w:tcPr>
          <w:p w14:paraId="1BBBEC95" w14:textId="04501A34" w:rsidR="005E5EC3" w:rsidRPr="0002159C" w:rsidRDefault="0010015F" w:rsidP="0010015F">
            <w:pPr>
              <w:jc w:val="right"/>
              <w:rPr>
                <w:rFonts w:ascii="Calibri" w:eastAsia="Times New Roman" w:hAnsi="Calibri" w:cs="Calibri"/>
                <w:color w:val="0D0D0D"/>
                <w:sz w:val="21"/>
                <w:szCs w:val="21"/>
              </w:rPr>
            </w:pPr>
            <w:r>
              <w:rPr>
                <w:rFonts w:ascii="Calibri" w:eastAsia="Times New Roman" w:hAnsi="Calibri" w:cs="Calibri"/>
                <w:color w:val="0D0D0D"/>
                <w:sz w:val="21"/>
                <w:szCs w:val="21"/>
              </w:rPr>
              <w:t xml:space="preserve">$ </w:t>
            </w:r>
            <w:r w:rsidR="005E5EC3" w:rsidRPr="0002159C">
              <w:rPr>
                <w:rFonts w:ascii="Calibri" w:eastAsia="Times New Roman" w:hAnsi="Calibri" w:cs="Calibri"/>
                <w:color w:val="0D0D0D"/>
                <w:sz w:val="21"/>
                <w:szCs w:val="21"/>
              </w:rPr>
              <w:t>43,000</w:t>
            </w:r>
          </w:p>
        </w:tc>
      </w:tr>
      <w:tr w:rsidR="00CC5ED5" w:rsidRPr="00C317EF" w14:paraId="1C3247EC" w14:textId="77777777" w:rsidTr="00A504DA">
        <w:trPr>
          <w:trHeight w:val="420"/>
        </w:trPr>
        <w:tc>
          <w:tcPr>
            <w:tcW w:w="6202" w:type="dxa"/>
            <w:tcBorders>
              <w:top w:val="nil"/>
              <w:left w:val="nil"/>
              <w:bottom w:val="nil"/>
              <w:right w:val="nil"/>
            </w:tcBorders>
            <w:shd w:val="clear" w:color="000000" w:fill="FFFFFF"/>
            <w:noWrap/>
            <w:vAlign w:val="bottom"/>
          </w:tcPr>
          <w:p w14:paraId="43A9D9AE" w14:textId="73FC9F61" w:rsidR="00CC5ED5" w:rsidRPr="0002159C" w:rsidRDefault="00CC5ED5" w:rsidP="000B1BE8">
            <w:pPr>
              <w:spacing w:before="160"/>
              <w:ind w:left="250"/>
              <w:rPr>
                <w:rFonts w:ascii="Calibri" w:eastAsia="Times New Roman" w:hAnsi="Calibri" w:cs="Calibri"/>
                <w:sz w:val="21"/>
                <w:szCs w:val="21"/>
                <w:u w:val="single"/>
              </w:rPr>
            </w:pPr>
            <w:r w:rsidRPr="0097659C">
              <w:rPr>
                <w:rFonts w:ascii="Calibri" w:eastAsia="Times New Roman" w:hAnsi="Calibri" w:cs="Calibri"/>
                <w:color w:val="0D0D0D"/>
                <w:u w:val="single"/>
              </w:rPr>
              <w:t>Key Government Finance Inc. (KGF):</w:t>
            </w:r>
            <w:r>
              <w:rPr>
                <w:rFonts w:ascii="Calibri" w:eastAsia="Times New Roman" w:hAnsi="Calibri" w:cs="Calibri"/>
                <w:color w:val="0D0D0D"/>
              </w:rPr>
              <w:t xml:space="preserve"> </w:t>
            </w:r>
            <w:r w:rsidRPr="00C317EF">
              <w:rPr>
                <w:rFonts w:ascii="Calibri" w:eastAsia="Times New Roman" w:hAnsi="Calibri" w:cs="Calibri"/>
                <w:color w:val="0D0D0D"/>
              </w:rPr>
              <w:t>$832 loan secured by five-year software license agreement, annual payments of $182, including interest at 3.78%, mature</w:t>
            </w:r>
            <w:r w:rsidR="00E3016E">
              <w:rPr>
                <w:rFonts w:ascii="Calibri" w:eastAsia="Times New Roman" w:hAnsi="Calibri" w:cs="Calibri"/>
                <w:color w:val="0D0D0D"/>
              </w:rPr>
              <w:t>d</w:t>
            </w:r>
            <w:r w:rsidRPr="00C317EF">
              <w:rPr>
                <w:rFonts w:ascii="Calibri" w:eastAsia="Times New Roman" w:hAnsi="Calibri" w:cs="Calibri"/>
                <w:color w:val="0D0D0D"/>
              </w:rPr>
              <w:t xml:space="preserve"> </w:t>
            </w:r>
            <w:r w:rsidRPr="00A504DA">
              <w:rPr>
                <w:rFonts w:ascii="Calibri" w:eastAsia="Times New Roman" w:hAnsi="Calibri" w:cs="Calibri"/>
              </w:rPr>
              <w:t>July 2023</w:t>
            </w:r>
            <w:r>
              <w:rPr>
                <w:rFonts w:ascii="Calibri" w:eastAsia="Times New Roman" w:hAnsi="Calibri" w:cs="Calibri"/>
                <w:color w:val="0D0D0D"/>
              </w:rPr>
              <w:t>. The loan agreement contains a provision that in the event of default, KGF may exercise one or more of the following remedies in its sole discretion: a) terminate the agreement and all of the UMS’ rights to the software license agreement, b) seek court action to enforce payment, c) cause the Licensor to terminate the license with the UMS, d) declare all unpaid installment payments to be immediately due and payable. L</w:t>
            </w:r>
            <w:r>
              <w:rPr>
                <w:rFonts w:ascii="Calibri" w:eastAsia="Times New Roman" w:hAnsi="Calibri" w:cs="Calibri"/>
              </w:rPr>
              <w:t xml:space="preserve">ate charges will be assessed on any delinquent payments from the due date of the payment until paid at the rate of 5% per annum or the highest rate permitted by law, whichever is less. </w:t>
            </w:r>
          </w:p>
        </w:tc>
        <w:tc>
          <w:tcPr>
            <w:tcW w:w="1571" w:type="dxa"/>
            <w:tcBorders>
              <w:top w:val="nil"/>
              <w:left w:val="nil"/>
              <w:bottom w:val="nil"/>
              <w:right w:val="nil"/>
            </w:tcBorders>
            <w:shd w:val="clear" w:color="000000" w:fill="FFFFFF"/>
            <w:noWrap/>
            <w:vAlign w:val="bottom"/>
          </w:tcPr>
          <w:p w14:paraId="6610BB4E" w14:textId="753A22F4" w:rsidR="00CC5ED5" w:rsidRPr="00A504DA" w:rsidRDefault="00FD341A" w:rsidP="00CC5ED5">
            <w:pPr>
              <w:jc w:val="right"/>
              <w:rPr>
                <w:rFonts w:ascii="Calibri" w:eastAsia="Times New Roman" w:hAnsi="Calibri" w:cs="Calibri"/>
                <w:color w:val="000000" w:themeColor="text1"/>
                <w:sz w:val="21"/>
                <w:szCs w:val="21"/>
              </w:rPr>
            </w:pPr>
            <w:r w:rsidRPr="00A504DA">
              <w:rPr>
                <w:rFonts w:ascii="Calibri" w:eastAsia="Times New Roman" w:hAnsi="Calibri" w:cs="Calibri"/>
                <w:color w:val="000000" w:themeColor="text1"/>
              </w:rPr>
              <w:t>17</w:t>
            </w:r>
            <w:r w:rsidR="00AA3FB7">
              <w:rPr>
                <w:rFonts w:ascii="Calibri" w:eastAsia="Times New Roman" w:hAnsi="Calibri" w:cs="Calibri"/>
                <w:color w:val="000000" w:themeColor="text1"/>
              </w:rPr>
              <w:t>6</w:t>
            </w:r>
          </w:p>
        </w:tc>
        <w:tc>
          <w:tcPr>
            <w:tcW w:w="1587" w:type="dxa"/>
            <w:tcBorders>
              <w:top w:val="nil"/>
              <w:left w:val="nil"/>
              <w:bottom w:val="nil"/>
              <w:right w:val="nil"/>
            </w:tcBorders>
            <w:shd w:val="clear" w:color="auto" w:fill="F2F2F2" w:themeFill="background1" w:themeFillShade="F2"/>
            <w:noWrap/>
            <w:vAlign w:val="bottom"/>
          </w:tcPr>
          <w:p w14:paraId="2AEE8A09" w14:textId="143160CE" w:rsidR="00CC5ED5" w:rsidRPr="0002159C" w:rsidRDefault="00CC5ED5" w:rsidP="00CC5ED5">
            <w:pPr>
              <w:jc w:val="right"/>
              <w:rPr>
                <w:rFonts w:ascii="Calibri" w:eastAsia="Times New Roman" w:hAnsi="Calibri" w:cs="Calibri"/>
                <w:color w:val="0D0D0D"/>
                <w:sz w:val="21"/>
                <w:szCs w:val="21"/>
              </w:rPr>
            </w:pPr>
            <w:r w:rsidRPr="00E13594">
              <w:rPr>
                <w:rFonts w:ascii="Calibri" w:eastAsia="Times New Roman" w:hAnsi="Calibri" w:cs="Calibri"/>
              </w:rPr>
              <w:t>346</w:t>
            </w:r>
          </w:p>
        </w:tc>
      </w:tr>
      <w:tr w:rsidR="00CC5ED5" w:rsidRPr="00C317EF" w14:paraId="7BB794EB" w14:textId="77777777" w:rsidTr="00A504DA">
        <w:trPr>
          <w:trHeight w:val="420"/>
        </w:trPr>
        <w:tc>
          <w:tcPr>
            <w:tcW w:w="6202" w:type="dxa"/>
            <w:tcBorders>
              <w:top w:val="nil"/>
              <w:left w:val="nil"/>
              <w:bottom w:val="nil"/>
              <w:right w:val="nil"/>
            </w:tcBorders>
            <w:shd w:val="clear" w:color="000000" w:fill="FFFFFF"/>
            <w:noWrap/>
            <w:vAlign w:val="bottom"/>
          </w:tcPr>
          <w:p w14:paraId="3515CC6C" w14:textId="77777777" w:rsidR="00CC5ED5" w:rsidRDefault="00CC5ED5" w:rsidP="00CC5ED5">
            <w:pPr>
              <w:spacing w:before="16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Efficiency Maine Trust:</w:t>
            </w:r>
            <w:r>
              <w:rPr>
                <w:rFonts w:ascii="Calibri" w:eastAsia="Times New Roman" w:hAnsi="Calibri" w:cs="Calibri"/>
                <w:color w:val="0D0D0D"/>
              </w:rPr>
              <w:t xml:space="preserve"> </w:t>
            </w:r>
            <w:r w:rsidRPr="00C317EF">
              <w:rPr>
                <w:rFonts w:ascii="Calibri" w:eastAsia="Times New Roman" w:hAnsi="Calibri" w:cs="Calibri"/>
                <w:color w:val="0D0D0D"/>
              </w:rPr>
              <w:t>$2,595 loan for biomass energy project, quarterly principal payments of $65 plus interest at 1.5% beginning in June 2016 and continuing through March 2026.</w:t>
            </w:r>
          </w:p>
          <w:p w14:paraId="307B6879" w14:textId="205020A8" w:rsidR="00CC5ED5" w:rsidRPr="0097659C" w:rsidRDefault="00CC5ED5" w:rsidP="00CC5ED5">
            <w:pPr>
              <w:spacing w:before="160"/>
              <w:ind w:left="250"/>
              <w:rPr>
                <w:rFonts w:ascii="Calibri" w:eastAsia="Times New Roman" w:hAnsi="Calibri" w:cs="Calibri"/>
                <w:color w:val="0D0D0D"/>
                <w:u w:val="single"/>
              </w:rPr>
            </w:pPr>
            <w:r>
              <w:rPr>
                <w:rFonts w:ascii="Calibri" w:eastAsia="Times New Roman" w:hAnsi="Calibri" w:cs="Calibri"/>
                <w:color w:val="0D0D0D"/>
              </w:rPr>
              <w:t>The promissory note contains a provision that in the event of default, all outstanding principal shall be immediately due and payable, and interest on the unpaid principal balance shall thereafter accrue at an interest rate equal to 12%.</w:t>
            </w:r>
          </w:p>
        </w:tc>
        <w:tc>
          <w:tcPr>
            <w:tcW w:w="1571" w:type="dxa"/>
            <w:tcBorders>
              <w:top w:val="nil"/>
              <w:left w:val="nil"/>
              <w:bottom w:val="nil"/>
              <w:right w:val="nil"/>
            </w:tcBorders>
            <w:shd w:val="clear" w:color="000000" w:fill="FFFFFF"/>
            <w:noWrap/>
            <w:vAlign w:val="bottom"/>
          </w:tcPr>
          <w:p w14:paraId="0963C333" w14:textId="3A789896" w:rsidR="00CC5ED5" w:rsidRPr="00A504DA" w:rsidRDefault="00FD341A" w:rsidP="00CC5ED5">
            <w:pPr>
              <w:jc w:val="right"/>
              <w:rPr>
                <w:rFonts w:ascii="Calibri" w:eastAsia="Times New Roman" w:hAnsi="Calibri" w:cs="Calibri"/>
                <w:color w:val="000000" w:themeColor="text1"/>
              </w:rPr>
            </w:pPr>
            <w:r w:rsidRPr="00A504DA">
              <w:rPr>
                <w:rFonts w:ascii="Calibri" w:eastAsia="Times New Roman" w:hAnsi="Calibri" w:cs="Calibri"/>
                <w:color w:val="000000" w:themeColor="text1"/>
              </w:rPr>
              <w:t>714</w:t>
            </w:r>
          </w:p>
        </w:tc>
        <w:tc>
          <w:tcPr>
            <w:tcW w:w="1587" w:type="dxa"/>
            <w:tcBorders>
              <w:top w:val="nil"/>
              <w:left w:val="nil"/>
              <w:bottom w:val="nil"/>
              <w:right w:val="nil"/>
            </w:tcBorders>
            <w:shd w:val="clear" w:color="auto" w:fill="F2F2F2" w:themeFill="background1" w:themeFillShade="F2"/>
            <w:noWrap/>
            <w:vAlign w:val="bottom"/>
          </w:tcPr>
          <w:p w14:paraId="53443BD1" w14:textId="7E13483D" w:rsidR="00CC5ED5" w:rsidRPr="00E13594" w:rsidRDefault="00CC5ED5" w:rsidP="00CC5ED5">
            <w:pPr>
              <w:jc w:val="right"/>
              <w:rPr>
                <w:rFonts w:ascii="Calibri" w:eastAsia="Times New Roman" w:hAnsi="Calibri" w:cs="Calibri"/>
              </w:rPr>
            </w:pPr>
            <w:r w:rsidRPr="00E13594">
              <w:rPr>
                <w:rFonts w:ascii="Calibri" w:eastAsia="Times New Roman" w:hAnsi="Calibri" w:cs="Calibri"/>
              </w:rPr>
              <w:t>973</w:t>
            </w:r>
          </w:p>
        </w:tc>
      </w:tr>
      <w:tr w:rsidR="004B5037" w:rsidRPr="00C317EF" w14:paraId="6742A93F" w14:textId="77777777" w:rsidTr="00A504DA">
        <w:trPr>
          <w:trHeight w:val="420"/>
        </w:trPr>
        <w:tc>
          <w:tcPr>
            <w:tcW w:w="6202" w:type="dxa"/>
            <w:tcBorders>
              <w:top w:val="nil"/>
              <w:left w:val="nil"/>
              <w:bottom w:val="nil"/>
              <w:right w:val="nil"/>
            </w:tcBorders>
            <w:shd w:val="clear" w:color="000000" w:fill="FFFFFF"/>
            <w:noWrap/>
            <w:vAlign w:val="bottom"/>
          </w:tcPr>
          <w:p w14:paraId="1ACF70F1" w14:textId="50A7462D" w:rsidR="004B5037" w:rsidRPr="0097659C" w:rsidRDefault="004B5037" w:rsidP="00CC5ED5">
            <w:pPr>
              <w:spacing w:before="160"/>
              <w:ind w:leftChars="106" w:left="251" w:hangingChars="8" w:hanging="18"/>
              <w:rPr>
                <w:rFonts w:ascii="Calibri" w:eastAsia="Times New Roman" w:hAnsi="Calibri" w:cs="Calibri"/>
                <w:color w:val="0D0D0D"/>
                <w:u w:val="single"/>
              </w:rPr>
            </w:pPr>
            <w:r w:rsidRPr="0097659C">
              <w:rPr>
                <w:rFonts w:ascii="Calibri" w:eastAsia="Times New Roman" w:hAnsi="Calibri" w:cs="Calibri"/>
                <w:color w:val="0D0D0D"/>
                <w:u w:val="single"/>
              </w:rPr>
              <w:t>Banc of America Public Capital Corp. (BOAPCC):</w:t>
            </w:r>
            <w:r>
              <w:rPr>
                <w:rFonts w:ascii="Calibri" w:eastAsia="Times New Roman" w:hAnsi="Calibri" w:cs="Calibri"/>
                <w:color w:val="0D0D0D"/>
              </w:rPr>
              <w:t xml:space="preserve"> </w:t>
            </w:r>
            <w:r w:rsidRPr="003323E0">
              <w:rPr>
                <w:rFonts w:ascii="Calibri" w:eastAsia="Times New Roman" w:hAnsi="Calibri" w:cs="Calibri"/>
                <w:color w:val="0D0D0D"/>
              </w:rPr>
              <w:t>Master lease purchase agreement, secured by equipment and vehicles, quarterly or semi-annual payments including interest at 1.</w:t>
            </w:r>
            <w:r>
              <w:rPr>
                <w:rFonts w:ascii="Calibri" w:eastAsia="Times New Roman" w:hAnsi="Calibri" w:cs="Calibri"/>
                <w:color w:val="0D0D0D"/>
              </w:rPr>
              <w:t>19</w:t>
            </w:r>
            <w:r w:rsidRPr="003323E0">
              <w:rPr>
                <w:rFonts w:ascii="Calibri" w:eastAsia="Times New Roman" w:hAnsi="Calibri" w:cs="Calibri"/>
                <w:color w:val="0D0D0D"/>
              </w:rPr>
              <w:t xml:space="preserve">% to 4.14%, maturing from October 2022 to </w:t>
            </w:r>
            <w:r>
              <w:rPr>
                <w:rFonts w:ascii="Calibri" w:eastAsia="Times New Roman" w:hAnsi="Calibri" w:cs="Calibri"/>
                <w:color w:val="0D0D0D"/>
              </w:rPr>
              <w:t>May 2037. The master lease purchase agreement contains a provision that in the event of default, BOAPCC has the right, at its sole option, to take one or any combination of the following steps: a) declare all remaining payments due and payable, b) repossess the financed property, c) whatever action at law or in equity may appear necessary or desirable to enforce its rights under the agreement.</w:t>
            </w:r>
          </w:p>
        </w:tc>
        <w:tc>
          <w:tcPr>
            <w:tcW w:w="1571" w:type="dxa"/>
            <w:tcBorders>
              <w:top w:val="nil"/>
              <w:left w:val="nil"/>
              <w:bottom w:val="nil"/>
              <w:right w:val="nil"/>
            </w:tcBorders>
            <w:shd w:val="clear" w:color="000000" w:fill="FFFFFF"/>
            <w:noWrap/>
            <w:vAlign w:val="bottom"/>
          </w:tcPr>
          <w:p w14:paraId="232C8A05" w14:textId="6E03B6D8" w:rsidR="004B5037" w:rsidRPr="00A504DA" w:rsidRDefault="00FD341A" w:rsidP="00CC5ED5">
            <w:pPr>
              <w:jc w:val="right"/>
              <w:rPr>
                <w:rFonts w:ascii="Calibri" w:eastAsia="Times New Roman" w:hAnsi="Calibri" w:cs="Calibri"/>
                <w:color w:val="000000" w:themeColor="text1"/>
              </w:rPr>
            </w:pPr>
            <w:r w:rsidRPr="00A504DA">
              <w:rPr>
                <w:rFonts w:ascii="Calibri" w:eastAsia="Times New Roman" w:hAnsi="Calibri" w:cs="Calibri"/>
                <w:color w:val="000000" w:themeColor="text1"/>
              </w:rPr>
              <w:t>13,227</w:t>
            </w:r>
          </w:p>
        </w:tc>
        <w:tc>
          <w:tcPr>
            <w:tcW w:w="1587" w:type="dxa"/>
            <w:tcBorders>
              <w:top w:val="nil"/>
              <w:left w:val="nil"/>
              <w:bottom w:val="nil"/>
              <w:right w:val="nil"/>
            </w:tcBorders>
            <w:shd w:val="clear" w:color="auto" w:fill="F2F2F2" w:themeFill="background1" w:themeFillShade="F2"/>
            <w:noWrap/>
            <w:vAlign w:val="bottom"/>
          </w:tcPr>
          <w:p w14:paraId="7EB7ABB1" w14:textId="7074CB91" w:rsidR="004B5037" w:rsidRPr="00E13594" w:rsidRDefault="008A0584" w:rsidP="00B64C2B">
            <w:pPr>
              <w:jc w:val="right"/>
              <w:rPr>
                <w:rFonts w:ascii="Calibri" w:eastAsia="Times New Roman" w:hAnsi="Calibri" w:cs="Calibri"/>
              </w:rPr>
            </w:pPr>
            <w:r>
              <w:rPr>
                <w:rFonts w:ascii="Calibri" w:eastAsia="Times New Roman" w:hAnsi="Calibri" w:cs="Calibri"/>
              </w:rPr>
              <w:t xml:space="preserve">         </w:t>
            </w:r>
            <w:r w:rsidR="004B5037" w:rsidRPr="00A504DA">
              <w:rPr>
                <w:rFonts w:ascii="Calibri" w:eastAsia="Times New Roman" w:hAnsi="Calibri" w:cs="Calibri"/>
              </w:rPr>
              <w:t>2,347</w:t>
            </w:r>
          </w:p>
        </w:tc>
      </w:tr>
    </w:tbl>
    <w:p w14:paraId="6E21BAC9" w14:textId="4803EFB8" w:rsidR="00DD1612" w:rsidRPr="00A504DA" w:rsidRDefault="00DD1612" w:rsidP="00A504DA">
      <w:pPr>
        <w:spacing w:line="259" w:lineRule="auto"/>
        <w:rPr>
          <w:sz w:val="2"/>
          <w:szCs w:val="2"/>
        </w:rPr>
      </w:pPr>
    </w:p>
    <w:tbl>
      <w:tblPr>
        <w:tblW w:w="9360" w:type="dxa"/>
        <w:tblLook w:val="04A0" w:firstRow="1" w:lastRow="0" w:firstColumn="1" w:lastColumn="0" w:noHBand="0" w:noVBand="1"/>
      </w:tblPr>
      <w:tblGrid>
        <w:gridCol w:w="3980"/>
        <w:gridCol w:w="2230"/>
        <w:gridCol w:w="1530"/>
        <w:gridCol w:w="1620"/>
      </w:tblGrid>
      <w:tr w:rsidR="008A0584" w:rsidRPr="003323E0" w14:paraId="29FED5F3" w14:textId="77777777" w:rsidTr="00B64C2B">
        <w:trPr>
          <w:trHeight w:val="300"/>
        </w:trPr>
        <w:tc>
          <w:tcPr>
            <w:tcW w:w="3980" w:type="dxa"/>
            <w:tcBorders>
              <w:top w:val="single" w:sz="4" w:space="0" w:color="00688D"/>
              <w:left w:val="nil"/>
              <w:bottom w:val="single" w:sz="4" w:space="0" w:color="00688D"/>
              <w:right w:val="nil"/>
            </w:tcBorders>
            <w:shd w:val="clear" w:color="000000" w:fill="FFFFFF"/>
            <w:noWrap/>
            <w:vAlign w:val="bottom"/>
            <w:hideMark/>
          </w:tcPr>
          <w:p w14:paraId="5DB27837" w14:textId="77777777" w:rsidR="004B5037" w:rsidRPr="00061285" w:rsidRDefault="004B5037" w:rsidP="006A5C6E">
            <w:pPr>
              <w:ind w:left="250" w:right="968"/>
              <w:rPr>
                <w:rFonts w:ascii="Calibri" w:eastAsia="Times New Roman" w:hAnsi="Calibri" w:cs="Calibri"/>
              </w:rPr>
            </w:pPr>
            <w:r w:rsidRPr="00061285">
              <w:rPr>
                <w:rFonts w:ascii="Calibri" w:eastAsia="Times New Roman" w:hAnsi="Calibri" w:cs="Calibri"/>
              </w:rPr>
              <w:t>Total direct borrowings</w:t>
            </w:r>
          </w:p>
        </w:tc>
        <w:tc>
          <w:tcPr>
            <w:tcW w:w="2230" w:type="dxa"/>
            <w:tcBorders>
              <w:top w:val="single" w:sz="4" w:space="0" w:color="00688D"/>
              <w:left w:val="nil"/>
              <w:bottom w:val="single" w:sz="4" w:space="0" w:color="00688D"/>
              <w:right w:val="nil"/>
            </w:tcBorders>
            <w:shd w:val="clear" w:color="000000" w:fill="FFFFFF"/>
          </w:tcPr>
          <w:p w14:paraId="4E42AE05" w14:textId="77777777" w:rsidR="004B5037" w:rsidRPr="00217CD2" w:rsidRDefault="004B5037" w:rsidP="004B5037">
            <w:pPr>
              <w:ind w:left="250" w:right="1311"/>
              <w:jc w:val="right"/>
              <w:rPr>
                <w:rFonts w:ascii="Calibri" w:eastAsia="Times New Roman" w:hAnsi="Calibri" w:cs="Calibri"/>
                <w:color w:val="FF0000"/>
              </w:rPr>
            </w:pPr>
          </w:p>
        </w:tc>
        <w:tc>
          <w:tcPr>
            <w:tcW w:w="1530" w:type="dxa"/>
            <w:tcBorders>
              <w:top w:val="single" w:sz="4" w:space="0" w:color="00688D"/>
              <w:left w:val="nil"/>
              <w:bottom w:val="single" w:sz="4" w:space="0" w:color="00688D"/>
              <w:right w:val="nil"/>
            </w:tcBorders>
            <w:shd w:val="clear" w:color="000000" w:fill="FFFFFF"/>
            <w:noWrap/>
            <w:vAlign w:val="bottom"/>
            <w:hideMark/>
          </w:tcPr>
          <w:p w14:paraId="22BAB31E" w14:textId="75903DB3" w:rsidR="004B5037" w:rsidRPr="00A504DA" w:rsidRDefault="00F9315C" w:rsidP="00A504DA">
            <w:pPr>
              <w:ind w:left="250"/>
              <w:jc w:val="right"/>
              <w:rPr>
                <w:rFonts w:ascii="Calibri" w:eastAsia="Times New Roman" w:hAnsi="Calibri" w:cs="Calibri"/>
                <w:color w:val="000000" w:themeColor="text1"/>
              </w:rPr>
            </w:pPr>
            <w:r>
              <w:rPr>
                <w:rFonts w:ascii="Calibri" w:eastAsia="Times New Roman" w:hAnsi="Calibri" w:cs="Calibri"/>
                <w:color w:val="000000" w:themeColor="text1"/>
              </w:rPr>
              <w:t xml:space="preserve"> </w:t>
            </w:r>
            <w:r w:rsidR="00AA3FB7">
              <w:rPr>
                <w:rFonts w:ascii="Calibri" w:eastAsia="Times New Roman" w:hAnsi="Calibri" w:cs="Calibri"/>
                <w:color w:val="000000" w:themeColor="text1"/>
              </w:rPr>
              <w:t>14</w:t>
            </w:r>
            <w:r w:rsidR="00FD341A" w:rsidRPr="00A504DA">
              <w:rPr>
                <w:rFonts w:ascii="Calibri" w:eastAsia="Times New Roman" w:hAnsi="Calibri" w:cs="Calibri"/>
                <w:color w:val="000000" w:themeColor="text1"/>
              </w:rPr>
              <w:t>,117</w:t>
            </w:r>
          </w:p>
        </w:tc>
        <w:tc>
          <w:tcPr>
            <w:tcW w:w="1620" w:type="dxa"/>
            <w:tcBorders>
              <w:top w:val="single" w:sz="4" w:space="0" w:color="00688D"/>
              <w:left w:val="nil"/>
              <w:bottom w:val="single" w:sz="4" w:space="0" w:color="00688D"/>
              <w:right w:val="nil"/>
            </w:tcBorders>
            <w:shd w:val="clear" w:color="auto" w:fill="F2F2F2" w:themeFill="background1" w:themeFillShade="F2"/>
            <w:noWrap/>
            <w:vAlign w:val="bottom"/>
            <w:hideMark/>
          </w:tcPr>
          <w:p w14:paraId="6F765745" w14:textId="517DBA18" w:rsidR="004B5037" w:rsidRPr="00061285" w:rsidRDefault="0010015F" w:rsidP="00B64C2B">
            <w:pPr>
              <w:jc w:val="right"/>
              <w:rPr>
                <w:rFonts w:ascii="Calibri" w:eastAsia="Times New Roman" w:hAnsi="Calibri" w:cs="Calibri"/>
              </w:rPr>
            </w:pPr>
            <w:r>
              <w:rPr>
                <w:rFonts w:ascii="Calibri" w:eastAsia="Times New Roman" w:hAnsi="Calibri" w:cs="Calibri"/>
              </w:rPr>
              <w:t xml:space="preserve">     4</w:t>
            </w:r>
            <w:r w:rsidR="004B5037" w:rsidRPr="00E13594">
              <w:rPr>
                <w:rFonts w:ascii="Calibri" w:eastAsia="Times New Roman" w:hAnsi="Calibri" w:cs="Calibri"/>
              </w:rPr>
              <w:t>6,666</w:t>
            </w:r>
          </w:p>
        </w:tc>
      </w:tr>
      <w:tr w:rsidR="008A0584" w:rsidRPr="003323E0" w14:paraId="19E02AC1" w14:textId="77777777" w:rsidTr="00B64C2B">
        <w:trPr>
          <w:trHeight w:val="300"/>
        </w:trPr>
        <w:tc>
          <w:tcPr>
            <w:tcW w:w="3980" w:type="dxa"/>
            <w:tcBorders>
              <w:top w:val="single" w:sz="4" w:space="0" w:color="00688D"/>
              <w:left w:val="nil"/>
              <w:bottom w:val="double" w:sz="4" w:space="0" w:color="00688D"/>
              <w:right w:val="nil"/>
            </w:tcBorders>
            <w:shd w:val="clear" w:color="000000" w:fill="FFFFFF"/>
            <w:noWrap/>
            <w:vAlign w:val="bottom"/>
          </w:tcPr>
          <w:p w14:paraId="306283B3" w14:textId="02C532F2" w:rsidR="004B5037" w:rsidRDefault="004B5037" w:rsidP="00A504DA">
            <w:pPr>
              <w:ind w:right="-306"/>
              <w:rPr>
                <w:rFonts w:ascii="Calibri" w:eastAsia="Times New Roman" w:hAnsi="Calibri" w:cs="Calibri"/>
                <w:color w:val="0D0D0D"/>
              </w:rPr>
            </w:pPr>
            <w:r>
              <w:rPr>
                <w:rFonts w:ascii="Calibri" w:eastAsia="Times New Roman" w:hAnsi="Calibri" w:cs="Calibri"/>
                <w:color w:val="0D0D0D"/>
              </w:rPr>
              <w:t xml:space="preserve">Total bonds payable and direct </w:t>
            </w:r>
            <w:r w:rsidR="008F2032">
              <w:rPr>
                <w:rFonts w:ascii="Calibri" w:eastAsia="Times New Roman" w:hAnsi="Calibri" w:cs="Calibri"/>
                <w:color w:val="0D0D0D"/>
              </w:rPr>
              <w:t>b</w:t>
            </w:r>
            <w:r>
              <w:rPr>
                <w:rFonts w:ascii="Calibri" w:eastAsia="Times New Roman" w:hAnsi="Calibri" w:cs="Calibri"/>
                <w:color w:val="0D0D0D"/>
              </w:rPr>
              <w:t>orrowings</w:t>
            </w:r>
          </w:p>
        </w:tc>
        <w:tc>
          <w:tcPr>
            <w:tcW w:w="2230" w:type="dxa"/>
            <w:tcBorders>
              <w:top w:val="single" w:sz="4" w:space="0" w:color="00688D"/>
              <w:left w:val="nil"/>
              <w:bottom w:val="double" w:sz="4" w:space="0" w:color="00688D"/>
              <w:right w:val="nil"/>
            </w:tcBorders>
            <w:shd w:val="clear" w:color="000000" w:fill="FFFFFF"/>
          </w:tcPr>
          <w:p w14:paraId="73EAA2B3" w14:textId="77777777" w:rsidR="004B5037" w:rsidRPr="00217CD2" w:rsidRDefault="004B5037" w:rsidP="004B5037">
            <w:pPr>
              <w:ind w:right="1311"/>
              <w:jc w:val="right"/>
              <w:rPr>
                <w:rFonts w:ascii="Calibri" w:eastAsia="Times New Roman" w:hAnsi="Calibri" w:cs="Calibri"/>
                <w:color w:val="FF0000"/>
              </w:rPr>
            </w:pPr>
          </w:p>
        </w:tc>
        <w:tc>
          <w:tcPr>
            <w:tcW w:w="1530" w:type="dxa"/>
            <w:tcBorders>
              <w:top w:val="single" w:sz="4" w:space="0" w:color="00688D"/>
              <w:left w:val="nil"/>
              <w:bottom w:val="double" w:sz="4" w:space="0" w:color="00688D"/>
              <w:right w:val="nil"/>
            </w:tcBorders>
            <w:shd w:val="clear" w:color="000000" w:fill="FFFFFF"/>
            <w:noWrap/>
            <w:vAlign w:val="bottom"/>
          </w:tcPr>
          <w:p w14:paraId="4E633B40" w14:textId="5B9A18ED" w:rsidR="004B5037" w:rsidRPr="00A504DA" w:rsidRDefault="004B5037" w:rsidP="00A504DA">
            <w:pPr>
              <w:jc w:val="right"/>
              <w:rPr>
                <w:rFonts w:ascii="Calibri" w:eastAsia="Times New Roman" w:hAnsi="Calibri" w:cs="Calibri"/>
                <w:color w:val="FF0000"/>
              </w:rPr>
            </w:pPr>
            <w:r w:rsidRPr="00A504DA">
              <w:rPr>
                <w:rFonts w:ascii="Calibri" w:eastAsia="Times New Roman" w:hAnsi="Calibri" w:cs="Calibri"/>
                <w:color w:val="000000" w:themeColor="text1"/>
              </w:rPr>
              <w:t>$</w:t>
            </w:r>
            <w:r w:rsidR="00FD341A" w:rsidRPr="00A504DA">
              <w:rPr>
                <w:rFonts w:ascii="Calibri" w:eastAsia="Times New Roman" w:hAnsi="Calibri" w:cs="Calibri"/>
                <w:color w:val="000000" w:themeColor="text1"/>
              </w:rPr>
              <w:t>2</w:t>
            </w:r>
            <w:r w:rsidR="00FD341A">
              <w:rPr>
                <w:rFonts w:ascii="Calibri" w:eastAsia="Times New Roman" w:hAnsi="Calibri" w:cs="Calibri"/>
                <w:color w:val="000000" w:themeColor="text1"/>
              </w:rPr>
              <w:t>36</w:t>
            </w:r>
            <w:r w:rsidR="00FD341A" w:rsidRPr="00A504DA">
              <w:rPr>
                <w:rFonts w:ascii="Calibri" w:eastAsia="Times New Roman" w:hAnsi="Calibri" w:cs="Calibri"/>
                <w:color w:val="000000" w:themeColor="text1"/>
              </w:rPr>
              <w:t>,739</w:t>
            </w:r>
          </w:p>
        </w:tc>
        <w:tc>
          <w:tcPr>
            <w:tcW w:w="1620" w:type="dxa"/>
            <w:tcBorders>
              <w:top w:val="single" w:sz="4" w:space="0" w:color="00688D"/>
              <w:left w:val="nil"/>
              <w:bottom w:val="double" w:sz="4" w:space="0" w:color="00688D"/>
              <w:right w:val="nil"/>
            </w:tcBorders>
            <w:shd w:val="clear" w:color="auto" w:fill="F2F2F2" w:themeFill="background1" w:themeFillShade="F2"/>
            <w:noWrap/>
            <w:vAlign w:val="bottom"/>
          </w:tcPr>
          <w:p w14:paraId="4FE4DC31" w14:textId="5E3A8A58" w:rsidR="004B5037" w:rsidRPr="003323E0" w:rsidRDefault="008A0584" w:rsidP="00B64C2B">
            <w:pPr>
              <w:ind w:left="-110"/>
              <w:jc w:val="right"/>
              <w:rPr>
                <w:rFonts w:ascii="Calibri" w:eastAsia="Times New Roman" w:hAnsi="Calibri" w:cs="Calibri"/>
                <w:color w:val="0D0D0D"/>
              </w:rPr>
            </w:pPr>
            <w:r>
              <w:rPr>
                <w:rFonts w:ascii="Calibri" w:eastAsia="Times New Roman" w:hAnsi="Calibri" w:cs="Calibri"/>
              </w:rPr>
              <w:t xml:space="preserve">   </w:t>
            </w:r>
            <w:r w:rsidR="004B5037" w:rsidRPr="00E13594">
              <w:rPr>
                <w:rFonts w:ascii="Calibri" w:eastAsia="Times New Roman" w:hAnsi="Calibri" w:cs="Calibri"/>
              </w:rPr>
              <w:t>$151,893</w:t>
            </w:r>
          </w:p>
        </w:tc>
      </w:tr>
    </w:tbl>
    <w:p w14:paraId="0CCC0B34" w14:textId="77777777" w:rsidR="008A0584" w:rsidRDefault="008A0584" w:rsidP="00E34DCE">
      <w:pPr>
        <w:spacing w:after="160" w:line="259" w:lineRule="auto"/>
        <w:ind w:right="180"/>
        <w:rPr>
          <w:rFonts w:cstheme="minorHAnsi"/>
          <w:noProof/>
          <w:spacing w:val="-2"/>
        </w:rPr>
      </w:pPr>
    </w:p>
    <w:tbl>
      <w:tblPr>
        <w:tblW w:w="9360" w:type="dxa"/>
        <w:tblLook w:val="04A0" w:firstRow="1" w:lastRow="0" w:firstColumn="1" w:lastColumn="0" w:noHBand="0" w:noVBand="1"/>
      </w:tblPr>
      <w:tblGrid>
        <w:gridCol w:w="5373"/>
        <w:gridCol w:w="222"/>
        <w:gridCol w:w="2145"/>
        <w:gridCol w:w="1620"/>
      </w:tblGrid>
      <w:tr w:rsidR="008A0584" w:rsidRPr="00061285" w14:paraId="5316AAE2" w14:textId="77777777" w:rsidTr="00B64C2B">
        <w:trPr>
          <w:trHeight w:val="300"/>
        </w:trPr>
        <w:tc>
          <w:tcPr>
            <w:tcW w:w="5373" w:type="dxa"/>
            <w:tcBorders>
              <w:left w:val="nil"/>
              <w:right w:val="nil"/>
            </w:tcBorders>
            <w:shd w:val="clear" w:color="000000" w:fill="FFFFFF"/>
            <w:noWrap/>
            <w:vAlign w:val="bottom"/>
          </w:tcPr>
          <w:p w14:paraId="0C4E0FE5" w14:textId="13A9B734" w:rsidR="008A0584" w:rsidRPr="00061285" w:rsidRDefault="008A0584" w:rsidP="00C757A2">
            <w:pPr>
              <w:ind w:right="-247"/>
              <w:rPr>
                <w:rFonts w:ascii="Calibri" w:eastAsia="Times New Roman" w:hAnsi="Calibri" w:cs="Calibri"/>
              </w:rPr>
            </w:pPr>
            <w:r>
              <w:rPr>
                <w:rFonts w:ascii="Calibri" w:eastAsia="Times New Roman" w:hAnsi="Calibri" w:cs="Calibri"/>
                <w:color w:val="0D0D0D"/>
              </w:rPr>
              <w:t xml:space="preserve">Total </w:t>
            </w:r>
            <w:r w:rsidR="008F2032">
              <w:rPr>
                <w:rFonts w:ascii="Calibri" w:eastAsia="Times New Roman" w:hAnsi="Calibri" w:cs="Calibri"/>
                <w:color w:val="0D0D0D"/>
              </w:rPr>
              <w:t xml:space="preserve">par value of </w:t>
            </w:r>
            <w:r w:rsidR="00C757A2">
              <w:rPr>
                <w:rFonts w:ascii="Calibri" w:eastAsia="Times New Roman" w:hAnsi="Calibri" w:cs="Calibri"/>
                <w:color w:val="0D0D0D"/>
              </w:rPr>
              <w:t xml:space="preserve">bonds payable and direct </w:t>
            </w:r>
            <w:r>
              <w:rPr>
                <w:rFonts w:ascii="Calibri" w:eastAsia="Times New Roman" w:hAnsi="Calibri" w:cs="Calibri"/>
                <w:color w:val="0D0D0D"/>
              </w:rPr>
              <w:t>borrowings</w:t>
            </w:r>
          </w:p>
        </w:tc>
        <w:tc>
          <w:tcPr>
            <w:tcW w:w="222" w:type="dxa"/>
            <w:tcBorders>
              <w:left w:val="nil"/>
              <w:right w:val="nil"/>
            </w:tcBorders>
            <w:shd w:val="clear" w:color="000000" w:fill="FFFFFF"/>
          </w:tcPr>
          <w:p w14:paraId="29C4720D" w14:textId="77777777" w:rsidR="008A0584" w:rsidRPr="00217CD2" w:rsidRDefault="008A0584" w:rsidP="008A0584">
            <w:pPr>
              <w:ind w:left="250" w:right="1311"/>
              <w:jc w:val="right"/>
              <w:rPr>
                <w:rFonts w:ascii="Calibri" w:eastAsia="Times New Roman" w:hAnsi="Calibri" w:cs="Calibri"/>
                <w:color w:val="FF0000"/>
              </w:rPr>
            </w:pPr>
          </w:p>
        </w:tc>
        <w:tc>
          <w:tcPr>
            <w:tcW w:w="2145" w:type="dxa"/>
            <w:tcBorders>
              <w:top w:val="nil"/>
              <w:left w:val="nil"/>
              <w:bottom w:val="nil"/>
              <w:right w:val="nil"/>
            </w:tcBorders>
            <w:shd w:val="clear" w:color="000000" w:fill="FFFFFF"/>
            <w:noWrap/>
            <w:vAlign w:val="bottom"/>
          </w:tcPr>
          <w:p w14:paraId="7058167D" w14:textId="75519D0F" w:rsidR="008A0584" w:rsidRDefault="008A0584" w:rsidP="008A0584">
            <w:pPr>
              <w:ind w:left="250"/>
              <w:jc w:val="right"/>
              <w:rPr>
                <w:rFonts w:ascii="Calibri" w:eastAsia="Times New Roman" w:hAnsi="Calibri" w:cs="Calibri"/>
                <w:color w:val="000000" w:themeColor="text1"/>
              </w:rPr>
            </w:pPr>
            <w:r>
              <w:rPr>
                <w:rFonts w:ascii="Calibri" w:hAnsi="Calibri" w:cs="Calibri"/>
              </w:rPr>
              <w:t xml:space="preserve"> </w:t>
            </w:r>
            <w:r w:rsidRPr="00C757A2">
              <w:rPr>
                <w:rFonts w:ascii="Calibri" w:hAnsi="Calibri" w:cs="Calibri"/>
              </w:rPr>
              <w:t>$220,352</w:t>
            </w:r>
            <w:r>
              <w:rPr>
                <w:rFonts w:ascii="Calibri" w:hAnsi="Calibri" w:cs="Calibri"/>
              </w:rPr>
              <w:t xml:space="preserve"> </w:t>
            </w:r>
          </w:p>
        </w:tc>
        <w:tc>
          <w:tcPr>
            <w:tcW w:w="1620" w:type="dxa"/>
            <w:tcBorders>
              <w:top w:val="nil"/>
              <w:left w:val="nil"/>
              <w:bottom w:val="nil"/>
              <w:right w:val="nil"/>
            </w:tcBorders>
            <w:shd w:val="clear" w:color="000000" w:fill="FFFFFF"/>
            <w:noWrap/>
            <w:vAlign w:val="bottom"/>
          </w:tcPr>
          <w:p w14:paraId="7E63BB55" w14:textId="451A385B" w:rsidR="008A0584" w:rsidRPr="00E13594" w:rsidRDefault="008A0584" w:rsidP="00A504DA">
            <w:pPr>
              <w:ind w:left="-110"/>
              <w:jc w:val="right"/>
              <w:rPr>
                <w:rFonts w:ascii="Calibri" w:eastAsia="Times New Roman" w:hAnsi="Calibri" w:cs="Calibri"/>
              </w:rPr>
            </w:pPr>
            <w:r>
              <w:rPr>
                <w:rFonts w:ascii="Calibri" w:hAnsi="Calibri" w:cs="Calibri"/>
                <w:color w:val="0D0D0D"/>
              </w:rPr>
              <w:t xml:space="preserve"> $148,281 </w:t>
            </w:r>
          </w:p>
        </w:tc>
      </w:tr>
      <w:tr w:rsidR="00C757A2" w:rsidRPr="00061285" w14:paraId="5CF81EFA" w14:textId="77777777" w:rsidTr="00B64C2B">
        <w:trPr>
          <w:trHeight w:val="300"/>
        </w:trPr>
        <w:tc>
          <w:tcPr>
            <w:tcW w:w="5373" w:type="dxa"/>
            <w:tcBorders>
              <w:left w:val="nil"/>
              <w:bottom w:val="single" w:sz="4" w:space="0" w:color="auto"/>
              <w:right w:val="nil"/>
            </w:tcBorders>
            <w:shd w:val="clear" w:color="auto" w:fill="auto"/>
            <w:noWrap/>
            <w:vAlign w:val="bottom"/>
            <w:hideMark/>
          </w:tcPr>
          <w:p w14:paraId="19B0F386" w14:textId="29855946" w:rsidR="008A0584" w:rsidRPr="00A504DA" w:rsidRDefault="008F2032" w:rsidP="00A504DA">
            <w:pPr>
              <w:ind w:right="-67"/>
              <w:rPr>
                <w:rFonts w:ascii="Calibri" w:hAnsi="Calibri" w:cs="Calibri"/>
                <w:color w:val="0D0D0D"/>
              </w:rPr>
            </w:pPr>
            <w:r>
              <w:rPr>
                <w:rFonts w:ascii="Calibri" w:hAnsi="Calibri" w:cs="Calibri"/>
                <w:color w:val="0D0D0D"/>
              </w:rPr>
              <w:t>Total unamortized premiums and discounts</w:t>
            </w:r>
          </w:p>
        </w:tc>
        <w:tc>
          <w:tcPr>
            <w:tcW w:w="222" w:type="dxa"/>
            <w:tcBorders>
              <w:left w:val="nil"/>
              <w:bottom w:val="single" w:sz="4" w:space="0" w:color="auto"/>
              <w:right w:val="nil"/>
            </w:tcBorders>
            <w:shd w:val="clear" w:color="auto" w:fill="auto"/>
          </w:tcPr>
          <w:p w14:paraId="347B17D9" w14:textId="77777777" w:rsidR="008A0584" w:rsidRPr="00217CD2" w:rsidRDefault="008A0584" w:rsidP="008A0584">
            <w:pPr>
              <w:ind w:left="250" w:right="1311"/>
              <w:jc w:val="right"/>
              <w:rPr>
                <w:rFonts w:ascii="Calibri" w:eastAsia="Times New Roman" w:hAnsi="Calibri" w:cs="Calibri"/>
                <w:color w:val="FF0000"/>
              </w:rPr>
            </w:pPr>
          </w:p>
        </w:tc>
        <w:tc>
          <w:tcPr>
            <w:tcW w:w="2145" w:type="dxa"/>
            <w:tcBorders>
              <w:top w:val="nil"/>
              <w:left w:val="nil"/>
              <w:bottom w:val="nil"/>
              <w:right w:val="nil"/>
            </w:tcBorders>
            <w:shd w:val="clear" w:color="000000" w:fill="FFFFFF"/>
            <w:noWrap/>
            <w:vAlign w:val="bottom"/>
            <w:hideMark/>
          </w:tcPr>
          <w:p w14:paraId="714EB433" w14:textId="17299849" w:rsidR="008A0584" w:rsidRPr="004454C0" w:rsidRDefault="008A0584" w:rsidP="008A0584">
            <w:pPr>
              <w:ind w:left="250"/>
              <w:jc w:val="right"/>
              <w:rPr>
                <w:rFonts w:ascii="Calibri" w:eastAsia="Times New Roman" w:hAnsi="Calibri" w:cs="Calibri"/>
                <w:color w:val="000000" w:themeColor="text1"/>
              </w:rPr>
            </w:pPr>
            <w:r w:rsidRPr="00C757A2">
              <w:rPr>
                <w:rFonts w:ascii="Calibri" w:hAnsi="Calibri" w:cs="Calibri"/>
              </w:rPr>
              <w:t xml:space="preserve">         16,387 </w:t>
            </w:r>
          </w:p>
        </w:tc>
        <w:tc>
          <w:tcPr>
            <w:tcW w:w="1620" w:type="dxa"/>
            <w:tcBorders>
              <w:top w:val="nil"/>
              <w:left w:val="nil"/>
              <w:bottom w:val="nil"/>
              <w:right w:val="nil"/>
            </w:tcBorders>
            <w:shd w:val="clear" w:color="000000" w:fill="FFFFFF"/>
            <w:noWrap/>
            <w:vAlign w:val="bottom"/>
            <w:hideMark/>
          </w:tcPr>
          <w:p w14:paraId="7363F698" w14:textId="121D01B4" w:rsidR="008A0584" w:rsidRPr="00061285" w:rsidRDefault="008A0584" w:rsidP="00A504DA">
            <w:pPr>
              <w:ind w:left="-110"/>
              <w:jc w:val="right"/>
              <w:rPr>
                <w:rFonts w:ascii="Calibri" w:eastAsia="Times New Roman" w:hAnsi="Calibri" w:cs="Calibri"/>
              </w:rPr>
            </w:pPr>
            <w:r>
              <w:rPr>
                <w:rFonts w:ascii="Calibri" w:hAnsi="Calibri" w:cs="Calibri"/>
                <w:color w:val="0D0D0D"/>
              </w:rPr>
              <w:t xml:space="preserve">            3,612 </w:t>
            </w:r>
          </w:p>
        </w:tc>
      </w:tr>
      <w:tr w:rsidR="008A0584" w:rsidRPr="003323E0" w14:paraId="3A404768" w14:textId="77777777" w:rsidTr="00B64C2B">
        <w:trPr>
          <w:trHeight w:val="300"/>
        </w:trPr>
        <w:tc>
          <w:tcPr>
            <w:tcW w:w="5373" w:type="dxa"/>
            <w:tcBorders>
              <w:top w:val="single" w:sz="4" w:space="0" w:color="auto"/>
              <w:left w:val="nil"/>
              <w:bottom w:val="double" w:sz="4" w:space="0" w:color="00688D"/>
              <w:right w:val="nil"/>
            </w:tcBorders>
            <w:shd w:val="clear" w:color="000000" w:fill="FFFFFF"/>
            <w:noWrap/>
            <w:vAlign w:val="bottom"/>
          </w:tcPr>
          <w:p w14:paraId="35C93D1B" w14:textId="77777777" w:rsidR="008A0584" w:rsidRDefault="008A0584" w:rsidP="008A0584">
            <w:pPr>
              <w:rPr>
                <w:rFonts w:ascii="Calibri" w:eastAsia="Times New Roman" w:hAnsi="Calibri" w:cs="Calibri"/>
                <w:color w:val="0D0D0D"/>
              </w:rPr>
            </w:pPr>
            <w:r>
              <w:rPr>
                <w:rFonts w:ascii="Calibri" w:eastAsia="Times New Roman" w:hAnsi="Calibri" w:cs="Calibri"/>
                <w:color w:val="0D0D0D"/>
              </w:rPr>
              <w:t>Total bonds payable and direct borrowings</w:t>
            </w:r>
          </w:p>
        </w:tc>
        <w:tc>
          <w:tcPr>
            <w:tcW w:w="222" w:type="dxa"/>
            <w:tcBorders>
              <w:top w:val="single" w:sz="4" w:space="0" w:color="auto"/>
              <w:left w:val="nil"/>
              <w:bottom w:val="double" w:sz="4" w:space="0" w:color="00688D"/>
              <w:right w:val="nil"/>
            </w:tcBorders>
            <w:shd w:val="clear" w:color="000000" w:fill="FFFFFF"/>
          </w:tcPr>
          <w:p w14:paraId="0439F7F3" w14:textId="77777777" w:rsidR="008A0584" w:rsidRPr="00217CD2" w:rsidRDefault="008A0584" w:rsidP="008A0584">
            <w:pPr>
              <w:ind w:right="1311"/>
              <w:jc w:val="right"/>
              <w:rPr>
                <w:rFonts w:ascii="Calibri" w:eastAsia="Times New Roman" w:hAnsi="Calibri" w:cs="Calibri"/>
                <w:color w:val="FF0000"/>
              </w:rPr>
            </w:pPr>
          </w:p>
        </w:tc>
        <w:tc>
          <w:tcPr>
            <w:tcW w:w="2145" w:type="dxa"/>
            <w:tcBorders>
              <w:top w:val="single" w:sz="4" w:space="0" w:color="00688D"/>
              <w:left w:val="nil"/>
              <w:bottom w:val="double" w:sz="4" w:space="0" w:color="00688D"/>
              <w:right w:val="nil"/>
            </w:tcBorders>
            <w:shd w:val="clear" w:color="000000" w:fill="FFFFFF"/>
            <w:noWrap/>
            <w:vAlign w:val="bottom"/>
          </w:tcPr>
          <w:p w14:paraId="3EE9CF2A" w14:textId="77777777" w:rsidR="008A0584" w:rsidRPr="004454C0" w:rsidRDefault="008A0584" w:rsidP="008A0584">
            <w:pPr>
              <w:jc w:val="right"/>
              <w:rPr>
                <w:rFonts w:ascii="Calibri" w:eastAsia="Times New Roman" w:hAnsi="Calibri" w:cs="Calibri"/>
                <w:color w:val="FF0000"/>
              </w:rPr>
            </w:pPr>
            <w:r w:rsidRPr="004454C0">
              <w:rPr>
                <w:rFonts w:ascii="Calibri" w:eastAsia="Times New Roman" w:hAnsi="Calibri" w:cs="Calibri"/>
                <w:color w:val="000000" w:themeColor="text1"/>
              </w:rPr>
              <w:t>$2</w:t>
            </w:r>
            <w:r>
              <w:rPr>
                <w:rFonts w:ascii="Calibri" w:eastAsia="Times New Roman" w:hAnsi="Calibri" w:cs="Calibri"/>
                <w:color w:val="000000" w:themeColor="text1"/>
              </w:rPr>
              <w:t>36</w:t>
            </w:r>
            <w:r w:rsidRPr="004454C0">
              <w:rPr>
                <w:rFonts w:ascii="Calibri" w:eastAsia="Times New Roman" w:hAnsi="Calibri" w:cs="Calibri"/>
                <w:color w:val="000000" w:themeColor="text1"/>
              </w:rPr>
              <w:t>,739</w:t>
            </w:r>
          </w:p>
        </w:tc>
        <w:tc>
          <w:tcPr>
            <w:tcW w:w="1620" w:type="dxa"/>
            <w:tcBorders>
              <w:top w:val="single" w:sz="4" w:space="0" w:color="00688D"/>
              <w:left w:val="nil"/>
              <w:bottom w:val="double" w:sz="4" w:space="0" w:color="00688D"/>
              <w:right w:val="nil"/>
            </w:tcBorders>
            <w:shd w:val="clear" w:color="auto" w:fill="F2F2F2" w:themeFill="background1" w:themeFillShade="F2"/>
            <w:noWrap/>
            <w:vAlign w:val="bottom"/>
          </w:tcPr>
          <w:p w14:paraId="2ABD4657" w14:textId="02F067DC" w:rsidR="008A0584" w:rsidRPr="003323E0" w:rsidRDefault="008A0584" w:rsidP="0010015F">
            <w:pPr>
              <w:ind w:left="250"/>
              <w:jc w:val="right"/>
              <w:rPr>
                <w:rFonts w:ascii="Calibri" w:eastAsia="Times New Roman" w:hAnsi="Calibri" w:cs="Calibri"/>
                <w:color w:val="0D0D0D"/>
              </w:rPr>
            </w:pPr>
            <w:r w:rsidRPr="00E13594">
              <w:rPr>
                <w:rFonts w:ascii="Calibri" w:eastAsia="Times New Roman" w:hAnsi="Calibri" w:cs="Calibri"/>
              </w:rPr>
              <w:t>$151,89</w:t>
            </w:r>
            <w:r w:rsidR="0010015F">
              <w:rPr>
                <w:rFonts w:ascii="Calibri" w:eastAsia="Times New Roman" w:hAnsi="Calibri" w:cs="Calibri"/>
              </w:rPr>
              <w:t>3</w:t>
            </w:r>
          </w:p>
        </w:tc>
      </w:tr>
    </w:tbl>
    <w:p w14:paraId="47D4F79E" w14:textId="04C821F9" w:rsidR="00DD1612" w:rsidRDefault="00DD1612" w:rsidP="00E34DCE">
      <w:pPr>
        <w:spacing w:after="160" w:line="259" w:lineRule="auto"/>
        <w:ind w:right="180"/>
        <w:rPr>
          <w:rFonts w:cstheme="minorHAnsi"/>
          <w:noProof/>
          <w:spacing w:val="-2"/>
        </w:rPr>
      </w:pPr>
      <w:r>
        <w:rPr>
          <w:rFonts w:cstheme="minorHAnsi"/>
          <w:noProof/>
          <w:spacing w:val="-2"/>
        </w:rPr>
        <w:br w:type="page"/>
      </w:r>
    </w:p>
    <w:p w14:paraId="502C4981" w14:textId="29F2FA23" w:rsidR="00DD1612" w:rsidRPr="00061285" w:rsidRDefault="007D573B" w:rsidP="00DD1612">
      <w:pPr>
        <w:pStyle w:val="AFR3"/>
        <w:spacing w:after="240"/>
        <w:rPr>
          <w:rFonts w:cstheme="minorHAnsi"/>
          <w:noProof/>
          <w:spacing w:val="-2"/>
        </w:rPr>
      </w:pPr>
      <w:r>
        <w:rPr>
          <w:rFonts w:cstheme="minorHAnsi"/>
          <w:noProof/>
          <w:spacing w:val="-2"/>
        </w:rPr>
        <w:lastRenderedPageBreak/>
        <w:t>7</w:t>
      </w:r>
      <w:r w:rsidR="00DD1612" w:rsidRPr="00F54559">
        <w:rPr>
          <w:rFonts w:cstheme="minorHAnsi"/>
          <w:noProof/>
          <w:spacing w:val="-2"/>
        </w:rPr>
        <w:t>b</w:t>
      </w:r>
      <w:r w:rsidR="00DD1612" w:rsidRPr="00B44EB6">
        <w:rPr>
          <w:rFonts w:cstheme="minorHAnsi"/>
          <w:noProof/>
          <w:spacing w:val="-2"/>
        </w:rPr>
        <w:t xml:space="preserve">. </w:t>
      </w:r>
      <w:r w:rsidR="00DD1612" w:rsidRPr="00B44EB6">
        <w:rPr>
          <w:rFonts w:cstheme="minorHAnsi"/>
        </w:rPr>
        <w:t xml:space="preserve">Bonds Payable and </w:t>
      </w:r>
      <w:r w:rsidR="00DD1612">
        <w:rPr>
          <w:rFonts w:cstheme="minorHAnsi"/>
        </w:rPr>
        <w:t>Direct Borrowings - continued</w:t>
      </w:r>
      <w:r w:rsidR="00DD1612" w:rsidRPr="00061285">
        <w:rPr>
          <w:rFonts w:cstheme="minorHAnsi"/>
          <w:noProof/>
          <w:spacing w:val="-2"/>
        </w:rPr>
        <w:fldChar w:fldCharType="begin"/>
      </w:r>
      <w:r w:rsidR="00DD1612" w:rsidRPr="00061285">
        <w:rPr>
          <w:rFonts w:cstheme="minorHAnsi"/>
          <w:noProof/>
          <w:spacing w:val="-2"/>
        </w:rPr>
        <w:fldChar w:fldCharType="end"/>
      </w:r>
    </w:p>
    <w:p w14:paraId="4E0CC349" w14:textId="69E6B41C" w:rsidR="00DD1612" w:rsidRPr="00F54559" w:rsidRDefault="00DD1612" w:rsidP="00DD1612">
      <w:pPr>
        <w:tabs>
          <w:tab w:val="left" w:pos="0"/>
          <w:tab w:val="left" w:pos="1260"/>
          <w:tab w:val="left" w:pos="1440"/>
        </w:tabs>
        <w:suppressAutoHyphens/>
        <w:rPr>
          <w:rFonts w:eastAsia="Times New Roman" w:cstheme="minorHAnsi"/>
          <w:spacing w:val="-3"/>
          <w:sz w:val="24"/>
          <w:szCs w:val="20"/>
        </w:rPr>
      </w:pPr>
      <w:r w:rsidRPr="00F54559">
        <w:rPr>
          <w:rFonts w:eastAsia="Times New Roman" w:cstheme="minorHAnsi"/>
          <w:spacing w:val="-3"/>
          <w:sz w:val="24"/>
          <w:szCs w:val="20"/>
        </w:rPr>
        <w:t>Costs associated with the issuance of revenue bonds have been expensed as incurred and included in the accompanying Statements of Revenues, Expense</w:t>
      </w:r>
      <w:r w:rsidR="00541C5C">
        <w:rPr>
          <w:rFonts w:eastAsia="Times New Roman" w:cstheme="minorHAnsi"/>
          <w:spacing w:val="-3"/>
          <w:sz w:val="24"/>
          <w:szCs w:val="20"/>
        </w:rPr>
        <w:t xml:space="preserve">s and Changes in Net Position. </w:t>
      </w:r>
      <w:r w:rsidRPr="00F54559">
        <w:rPr>
          <w:rFonts w:eastAsia="Times New Roman" w:cstheme="minorHAnsi"/>
          <w:spacing w:val="-3"/>
          <w:sz w:val="24"/>
          <w:szCs w:val="20"/>
        </w:rPr>
        <w:t>Premiums, discounts, and deferred amounts on refunding are being amortized over the life of the respective bond issuances as part of interest expense using the effective interest method.</w:t>
      </w:r>
    </w:p>
    <w:p w14:paraId="5AACB729" w14:textId="77777777" w:rsidR="00DD1612" w:rsidRPr="00F54559" w:rsidRDefault="00DD1612" w:rsidP="00DD1612">
      <w:pPr>
        <w:rPr>
          <w:rFonts w:cstheme="minorHAnsi"/>
          <w:sz w:val="24"/>
          <w:szCs w:val="20"/>
        </w:rPr>
      </w:pPr>
    </w:p>
    <w:p w14:paraId="2EFB9276" w14:textId="496CB898" w:rsidR="00DD1612" w:rsidRDefault="00DD1612" w:rsidP="00DD1612">
      <w:pPr>
        <w:tabs>
          <w:tab w:val="left" w:pos="540"/>
          <w:tab w:val="left" w:pos="630"/>
          <w:tab w:val="left" w:pos="1440"/>
          <w:tab w:val="decimal" w:pos="7020"/>
          <w:tab w:val="decimal" w:pos="9454"/>
        </w:tabs>
        <w:suppressAutoHyphens/>
        <w:spacing w:after="240"/>
        <w:rPr>
          <w:rFonts w:cstheme="minorHAnsi"/>
          <w:bCs/>
          <w:spacing w:val="-2"/>
          <w:sz w:val="24"/>
        </w:rPr>
      </w:pPr>
      <w:r w:rsidRPr="00F54559">
        <w:rPr>
          <w:rFonts w:cstheme="minorHAnsi"/>
          <w:bCs/>
          <w:spacing w:val="-2"/>
          <w:sz w:val="24"/>
        </w:rPr>
        <w:t>Principal and interest payments on bonds</w:t>
      </w:r>
      <w:r>
        <w:rPr>
          <w:rFonts w:cstheme="minorHAnsi"/>
          <w:bCs/>
          <w:spacing w:val="-2"/>
          <w:sz w:val="24"/>
        </w:rPr>
        <w:t xml:space="preserve"> </w:t>
      </w:r>
      <w:r w:rsidRPr="00F54559">
        <w:rPr>
          <w:rFonts w:cstheme="minorHAnsi"/>
          <w:bCs/>
          <w:spacing w:val="-2"/>
          <w:sz w:val="24"/>
        </w:rPr>
        <w:t xml:space="preserve">payable and </w:t>
      </w:r>
      <w:r>
        <w:rPr>
          <w:rFonts w:cstheme="minorHAnsi"/>
          <w:bCs/>
          <w:spacing w:val="-2"/>
          <w:sz w:val="24"/>
        </w:rPr>
        <w:t>direct borrowings</w:t>
      </w:r>
      <w:r w:rsidRPr="00F54559">
        <w:rPr>
          <w:rFonts w:cstheme="minorHAnsi"/>
          <w:bCs/>
          <w:spacing w:val="-2"/>
          <w:sz w:val="24"/>
        </w:rPr>
        <w:t xml:space="preserve"> for the next five years and in subsequent five-year periods are as follows </w:t>
      </w:r>
      <w:proofErr w:type="gramStart"/>
      <w:r w:rsidRPr="00F54559">
        <w:rPr>
          <w:rFonts w:cstheme="minorHAnsi"/>
          <w:bCs/>
          <w:spacing w:val="-2"/>
          <w:sz w:val="24"/>
        </w:rPr>
        <w:t>at</w:t>
      </w:r>
      <w:proofErr w:type="gramEnd"/>
      <w:r w:rsidRPr="00F54559">
        <w:rPr>
          <w:rFonts w:cstheme="minorHAnsi"/>
          <w:bCs/>
          <w:spacing w:val="-2"/>
          <w:sz w:val="24"/>
        </w:rPr>
        <w:t xml:space="preserve"> June 30</w:t>
      </w:r>
      <w:r>
        <w:rPr>
          <w:rFonts w:cstheme="minorHAnsi"/>
          <w:bCs/>
          <w:spacing w:val="-2"/>
          <w:sz w:val="24"/>
        </w:rPr>
        <w:t xml:space="preserve">, </w:t>
      </w:r>
      <w:r w:rsidR="00D65440">
        <w:rPr>
          <w:rFonts w:cstheme="minorHAnsi"/>
          <w:bCs/>
          <w:spacing w:val="-2"/>
          <w:sz w:val="24"/>
        </w:rPr>
        <w:t>2023</w:t>
      </w:r>
      <w:r w:rsidRPr="00F54559">
        <w:rPr>
          <w:rFonts w:cstheme="minorHAnsi"/>
          <w:bCs/>
          <w:spacing w:val="-2"/>
          <w:sz w:val="24"/>
        </w:rPr>
        <w:t>:</w:t>
      </w:r>
      <w:r>
        <w:rPr>
          <w:rFonts w:cstheme="minorHAnsi"/>
          <w:bCs/>
          <w:spacing w:val="-2"/>
          <w:sz w:val="24"/>
        </w:rPr>
        <w:fldChar w:fldCharType="begin"/>
      </w:r>
      <w:r>
        <w:rPr>
          <w:rFonts w:cstheme="minorHAnsi"/>
          <w:bCs/>
          <w:spacing w:val="-2"/>
          <w:sz w:val="24"/>
        </w:rPr>
        <w:fldChar w:fldCharType="end"/>
      </w:r>
    </w:p>
    <w:tbl>
      <w:tblPr>
        <w:tblW w:w="7740" w:type="dxa"/>
        <w:jc w:val="center"/>
        <w:tblLayout w:type="fixed"/>
        <w:tblCellMar>
          <w:left w:w="29" w:type="dxa"/>
          <w:right w:w="29" w:type="dxa"/>
        </w:tblCellMar>
        <w:tblLook w:val="04A0" w:firstRow="1" w:lastRow="0" w:firstColumn="1" w:lastColumn="0" w:noHBand="0" w:noVBand="1"/>
      </w:tblPr>
      <w:tblGrid>
        <w:gridCol w:w="2392"/>
        <w:gridCol w:w="1337"/>
        <w:gridCol w:w="1337"/>
        <w:gridCol w:w="1337"/>
        <w:gridCol w:w="1337"/>
      </w:tblGrid>
      <w:tr w:rsidR="00DD1612" w:rsidRPr="003323E0" w14:paraId="4CB65E93" w14:textId="77777777" w:rsidTr="00BD375F">
        <w:trPr>
          <w:trHeight w:val="588"/>
          <w:tblHeader/>
          <w:jc w:val="center"/>
        </w:trPr>
        <w:tc>
          <w:tcPr>
            <w:tcW w:w="2392" w:type="dxa"/>
            <w:tcBorders>
              <w:top w:val="nil"/>
              <w:left w:val="nil"/>
              <w:bottom w:val="nil"/>
              <w:right w:val="nil"/>
            </w:tcBorders>
            <w:shd w:val="clear" w:color="000000" w:fill="FFFFFF"/>
            <w:vAlign w:val="bottom"/>
          </w:tcPr>
          <w:p w14:paraId="042E884C" w14:textId="77777777" w:rsidR="00DD1612" w:rsidRPr="003323E0" w:rsidRDefault="00DD1612" w:rsidP="00BD375F">
            <w:pPr>
              <w:rPr>
                <w:rFonts w:ascii="Calibri" w:eastAsia="Times New Roman" w:hAnsi="Calibri" w:cs="Calibri"/>
                <w:b/>
                <w:bCs/>
                <w:color w:val="0D0D0D"/>
              </w:rPr>
            </w:pPr>
          </w:p>
        </w:tc>
        <w:tc>
          <w:tcPr>
            <w:tcW w:w="1337" w:type="dxa"/>
            <w:tcBorders>
              <w:top w:val="nil"/>
              <w:left w:val="nil"/>
              <w:bottom w:val="single" w:sz="12" w:space="0" w:color="00688D"/>
              <w:right w:val="nil"/>
            </w:tcBorders>
            <w:shd w:val="clear" w:color="000000" w:fill="FFFFFF"/>
            <w:noWrap/>
            <w:vAlign w:val="bottom"/>
          </w:tcPr>
          <w:p w14:paraId="082F6D68" w14:textId="77777777" w:rsidR="00DD1612" w:rsidRPr="009044F3" w:rsidRDefault="00DD1612" w:rsidP="00BD375F">
            <w:pPr>
              <w:jc w:val="right"/>
              <w:rPr>
                <w:rFonts w:ascii="Calibri" w:eastAsia="Times New Roman" w:hAnsi="Calibri" w:cs="Calibri"/>
                <w:color w:val="0D0D0D"/>
              </w:rPr>
            </w:pPr>
            <w:r>
              <w:rPr>
                <w:rFonts w:ascii="Calibri" w:eastAsia="Times New Roman" w:hAnsi="Calibri" w:cs="Calibri"/>
                <w:b/>
                <w:bCs/>
                <w:color w:val="0D0D0D"/>
              </w:rPr>
              <w:t>Bonds</w:t>
            </w:r>
          </w:p>
        </w:tc>
        <w:tc>
          <w:tcPr>
            <w:tcW w:w="1337" w:type="dxa"/>
            <w:tcBorders>
              <w:top w:val="nil"/>
              <w:left w:val="nil"/>
              <w:bottom w:val="single" w:sz="12" w:space="0" w:color="00688D"/>
              <w:right w:val="nil"/>
            </w:tcBorders>
            <w:shd w:val="clear" w:color="000000" w:fill="FFFFFF"/>
            <w:vAlign w:val="bottom"/>
          </w:tcPr>
          <w:p w14:paraId="1E84DF30" w14:textId="77777777" w:rsidR="00DD1612" w:rsidRPr="003323E0" w:rsidRDefault="00DD1612" w:rsidP="00BD375F">
            <w:pPr>
              <w:rPr>
                <w:rFonts w:ascii="Calibri" w:eastAsia="Times New Roman" w:hAnsi="Calibri" w:cs="Calibri"/>
                <w:b/>
                <w:bCs/>
                <w:color w:val="0D0D0D"/>
              </w:rPr>
            </w:pPr>
            <w:r>
              <w:rPr>
                <w:rFonts w:ascii="Calibri" w:eastAsia="Times New Roman" w:hAnsi="Calibri" w:cs="Calibri"/>
                <w:b/>
                <w:bCs/>
                <w:color w:val="0D0D0D"/>
              </w:rPr>
              <w:t>Payable</w:t>
            </w:r>
          </w:p>
        </w:tc>
        <w:tc>
          <w:tcPr>
            <w:tcW w:w="1337" w:type="dxa"/>
            <w:tcBorders>
              <w:top w:val="nil"/>
              <w:left w:val="nil"/>
              <w:bottom w:val="single" w:sz="12" w:space="0" w:color="00688D"/>
              <w:right w:val="nil"/>
            </w:tcBorders>
            <w:shd w:val="clear" w:color="000000" w:fill="FFFFFF"/>
            <w:noWrap/>
            <w:vAlign w:val="bottom"/>
          </w:tcPr>
          <w:p w14:paraId="6A72F4F3" w14:textId="77777777" w:rsidR="00DD1612" w:rsidRPr="009044F3" w:rsidRDefault="00DD1612" w:rsidP="00BD375F">
            <w:pPr>
              <w:jc w:val="right"/>
              <w:rPr>
                <w:rFonts w:ascii="Calibri" w:eastAsia="Times New Roman" w:hAnsi="Calibri" w:cs="Calibri"/>
                <w:color w:val="0D0D0D"/>
              </w:rPr>
            </w:pPr>
            <w:r>
              <w:rPr>
                <w:rFonts w:ascii="Calibri" w:eastAsia="Times New Roman" w:hAnsi="Calibri" w:cs="Calibri"/>
                <w:b/>
                <w:bCs/>
                <w:color w:val="0D0D0D"/>
              </w:rPr>
              <w:t>Direct</w:t>
            </w:r>
          </w:p>
        </w:tc>
        <w:tc>
          <w:tcPr>
            <w:tcW w:w="1337" w:type="dxa"/>
            <w:tcBorders>
              <w:top w:val="nil"/>
              <w:left w:val="nil"/>
              <w:bottom w:val="single" w:sz="12" w:space="0" w:color="00688D"/>
              <w:right w:val="nil"/>
            </w:tcBorders>
            <w:shd w:val="clear" w:color="000000" w:fill="FFFFFF"/>
            <w:vAlign w:val="bottom"/>
          </w:tcPr>
          <w:p w14:paraId="572BF72D" w14:textId="77777777" w:rsidR="00DD1612" w:rsidRPr="003323E0" w:rsidRDefault="00DD1612" w:rsidP="00BD375F">
            <w:pPr>
              <w:rPr>
                <w:rFonts w:ascii="Calibri" w:eastAsia="Times New Roman" w:hAnsi="Calibri" w:cs="Calibri"/>
                <w:b/>
                <w:bCs/>
                <w:color w:val="0D0D0D"/>
              </w:rPr>
            </w:pPr>
            <w:r>
              <w:rPr>
                <w:rFonts w:ascii="Calibri" w:eastAsia="Times New Roman" w:hAnsi="Calibri" w:cs="Calibri"/>
                <w:b/>
                <w:bCs/>
                <w:color w:val="0D0D0D"/>
              </w:rPr>
              <w:t>Borrowings</w:t>
            </w:r>
          </w:p>
        </w:tc>
      </w:tr>
      <w:tr w:rsidR="00DD1612" w:rsidRPr="003323E0" w14:paraId="597A3F69" w14:textId="77777777" w:rsidTr="00BD375F">
        <w:trPr>
          <w:trHeight w:val="588"/>
          <w:tblHeader/>
          <w:jc w:val="center"/>
        </w:trPr>
        <w:tc>
          <w:tcPr>
            <w:tcW w:w="2392" w:type="dxa"/>
            <w:tcBorders>
              <w:top w:val="nil"/>
              <w:left w:val="nil"/>
              <w:bottom w:val="nil"/>
              <w:right w:val="nil"/>
            </w:tcBorders>
            <w:shd w:val="clear" w:color="000000" w:fill="FFFFFF"/>
            <w:vAlign w:val="bottom"/>
            <w:hideMark/>
          </w:tcPr>
          <w:p w14:paraId="0B571675" w14:textId="77777777" w:rsidR="00DD1612" w:rsidRPr="003323E0" w:rsidRDefault="00DD1612" w:rsidP="00BD375F">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27052CF2" w14:textId="77777777" w:rsidR="00DD1612" w:rsidRPr="003323E0" w:rsidRDefault="00DD1612" w:rsidP="00BD375F">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0C99FA5D" w14:textId="77777777" w:rsidR="00DD1612" w:rsidRPr="003323E0" w:rsidRDefault="00DD1612" w:rsidP="00BD375F">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c>
          <w:tcPr>
            <w:tcW w:w="1337" w:type="dxa"/>
            <w:tcBorders>
              <w:top w:val="nil"/>
              <w:left w:val="nil"/>
              <w:bottom w:val="single" w:sz="12" w:space="0" w:color="00688D"/>
              <w:right w:val="nil"/>
            </w:tcBorders>
            <w:shd w:val="clear" w:color="000000" w:fill="FFFFFF"/>
            <w:noWrap/>
            <w:vAlign w:val="bottom"/>
            <w:hideMark/>
          </w:tcPr>
          <w:p w14:paraId="0A2668FA" w14:textId="77777777" w:rsidR="00DD1612" w:rsidRPr="003323E0" w:rsidRDefault="00DD1612" w:rsidP="00BD375F">
            <w:pPr>
              <w:jc w:val="center"/>
              <w:rPr>
                <w:rFonts w:ascii="Calibri" w:eastAsia="Times New Roman" w:hAnsi="Calibri" w:cs="Calibri"/>
                <w:b/>
                <w:bCs/>
                <w:color w:val="0D0D0D"/>
              </w:rPr>
            </w:pPr>
            <w:r>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000000" w:fill="FFFFFF"/>
            <w:vAlign w:val="bottom"/>
          </w:tcPr>
          <w:p w14:paraId="7E95F238" w14:textId="77777777" w:rsidR="00DD1612" w:rsidRPr="003323E0" w:rsidRDefault="00DD1612" w:rsidP="00BD375F">
            <w:pPr>
              <w:jc w:val="center"/>
              <w:rPr>
                <w:rFonts w:ascii="Calibri" w:eastAsia="Times New Roman" w:hAnsi="Calibri" w:cs="Calibri"/>
                <w:b/>
                <w:bCs/>
                <w:color w:val="0D0D0D"/>
              </w:rPr>
            </w:pPr>
            <w:r>
              <w:rPr>
                <w:rFonts w:ascii="Calibri" w:eastAsia="Times New Roman" w:hAnsi="Calibri" w:cs="Calibri"/>
                <w:b/>
                <w:bCs/>
                <w:color w:val="0D0D0D"/>
              </w:rPr>
              <w:t>Interest</w:t>
            </w:r>
          </w:p>
        </w:tc>
      </w:tr>
      <w:tr w:rsidR="008B4E5D" w:rsidRPr="003323E0" w14:paraId="5159179F" w14:textId="77777777" w:rsidTr="00A504DA">
        <w:trPr>
          <w:trHeight w:val="300"/>
          <w:jc w:val="center"/>
        </w:trPr>
        <w:tc>
          <w:tcPr>
            <w:tcW w:w="2392" w:type="dxa"/>
            <w:tcBorders>
              <w:top w:val="nil"/>
              <w:left w:val="nil"/>
              <w:bottom w:val="nil"/>
              <w:right w:val="nil"/>
            </w:tcBorders>
            <w:shd w:val="clear" w:color="000000" w:fill="FFFFFF"/>
            <w:noWrap/>
            <w:vAlign w:val="bottom"/>
            <w:hideMark/>
          </w:tcPr>
          <w:p w14:paraId="41DF7CBB" w14:textId="47993960"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2024</w:t>
            </w:r>
          </w:p>
        </w:tc>
        <w:tc>
          <w:tcPr>
            <w:tcW w:w="1337" w:type="dxa"/>
            <w:tcBorders>
              <w:top w:val="nil"/>
              <w:left w:val="nil"/>
              <w:bottom w:val="nil"/>
              <w:right w:val="nil"/>
            </w:tcBorders>
            <w:shd w:val="clear" w:color="000000" w:fill="FFFFFF"/>
            <w:noWrap/>
            <w:vAlign w:val="bottom"/>
            <w:hideMark/>
          </w:tcPr>
          <w:p w14:paraId="35C0E6C1" w14:textId="3EEBA487" w:rsidR="008B4E5D" w:rsidRPr="00A504DA" w:rsidRDefault="008B4E5D" w:rsidP="008B4E5D">
            <w:pPr>
              <w:jc w:val="right"/>
              <w:rPr>
                <w:rFonts w:eastAsia="Times New Roman" w:cstheme="minorHAnsi"/>
                <w:color w:val="000000" w:themeColor="text1"/>
              </w:rPr>
            </w:pPr>
            <w:r>
              <w:rPr>
                <w:rFonts w:ascii="Calibri" w:hAnsi="Calibri" w:cs="Calibri"/>
              </w:rPr>
              <w:t xml:space="preserve"> $    16,120 </w:t>
            </w:r>
          </w:p>
        </w:tc>
        <w:tc>
          <w:tcPr>
            <w:tcW w:w="1337" w:type="dxa"/>
            <w:tcBorders>
              <w:top w:val="nil"/>
              <w:left w:val="nil"/>
              <w:bottom w:val="nil"/>
              <w:right w:val="nil"/>
            </w:tcBorders>
            <w:shd w:val="clear" w:color="000000" w:fill="FFFFFF"/>
            <w:noWrap/>
            <w:vAlign w:val="bottom"/>
            <w:hideMark/>
          </w:tcPr>
          <w:p w14:paraId="44614544" w14:textId="62BE423E" w:rsidR="008B4E5D" w:rsidRPr="00A504DA" w:rsidRDefault="008B4E5D" w:rsidP="008B4E5D">
            <w:pPr>
              <w:jc w:val="right"/>
              <w:rPr>
                <w:rFonts w:eastAsia="Times New Roman" w:cstheme="minorHAnsi"/>
                <w:color w:val="000000" w:themeColor="text1"/>
              </w:rPr>
            </w:pPr>
            <w:r>
              <w:rPr>
                <w:rFonts w:ascii="Calibri" w:hAnsi="Calibri" w:cs="Calibri"/>
              </w:rPr>
              <w:t xml:space="preserve"> $      9,961 </w:t>
            </w:r>
          </w:p>
        </w:tc>
        <w:tc>
          <w:tcPr>
            <w:tcW w:w="1337" w:type="dxa"/>
            <w:tcBorders>
              <w:top w:val="nil"/>
              <w:left w:val="nil"/>
              <w:bottom w:val="nil"/>
              <w:right w:val="nil"/>
            </w:tcBorders>
            <w:shd w:val="clear" w:color="000000" w:fill="FFFFFF"/>
            <w:noWrap/>
            <w:vAlign w:val="bottom"/>
          </w:tcPr>
          <w:p w14:paraId="62AB22A9" w14:textId="17082DC7" w:rsidR="008B4E5D" w:rsidRPr="00A504DA" w:rsidRDefault="008B4E5D" w:rsidP="008B4E5D">
            <w:pPr>
              <w:jc w:val="right"/>
              <w:rPr>
                <w:rFonts w:eastAsia="Times New Roman" w:cstheme="minorHAnsi"/>
                <w:color w:val="000000" w:themeColor="text1"/>
              </w:rPr>
            </w:pPr>
            <w:r>
              <w:rPr>
                <w:rFonts w:ascii="Calibri" w:hAnsi="Calibri" w:cs="Calibri"/>
              </w:rPr>
              <w:t xml:space="preserve"> $     1,626 </w:t>
            </w:r>
          </w:p>
        </w:tc>
        <w:tc>
          <w:tcPr>
            <w:tcW w:w="1337" w:type="dxa"/>
            <w:tcBorders>
              <w:top w:val="nil"/>
              <w:left w:val="nil"/>
              <w:bottom w:val="nil"/>
              <w:right w:val="nil"/>
            </w:tcBorders>
            <w:shd w:val="clear" w:color="auto" w:fill="auto"/>
            <w:vAlign w:val="bottom"/>
          </w:tcPr>
          <w:p w14:paraId="5A5D88E1" w14:textId="7A58D854" w:rsidR="008B4E5D" w:rsidRPr="00A504DA" w:rsidRDefault="008B4E5D" w:rsidP="008B4E5D">
            <w:pPr>
              <w:jc w:val="right"/>
              <w:rPr>
                <w:rFonts w:eastAsia="Times New Roman" w:cstheme="minorHAnsi"/>
                <w:color w:val="000000" w:themeColor="text1"/>
              </w:rPr>
            </w:pPr>
            <w:r w:rsidRPr="00AD54E4">
              <w:rPr>
                <w:rFonts w:cstheme="minorHAnsi"/>
                <w:color w:val="000000" w:themeColor="text1"/>
              </w:rPr>
              <w:t>$</w:t>
            </w:r>
            <w:r>
              <w:rPr>
                <w:rFonts w:cstheme="minorHAnsi"/>
                <w:color w:val="000000" w:themeColor="text1"/>
              </w:rPr>
              <w:t xml:space="preserve">   </w:t>
            </w:r>
            <w:r w:rsidRPr="00AD54E4">
              <w:rPr>
                <w:rFonts w:cstheme="minorHAnsi"/>
                <w:color w:val="000000" w:themeColor="text1"/>
              </w:rPr>
              <w:t>425</w:t>
            </w:r>
          </w:p>
        </w:tc>
      </w:tr>
      <w:tr w:rsidR="008B4E5D" w:rsidRPr="003323E0" w14:paraId="4DB0A5A3"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61EC2093" w14:textId="3C34477A"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2025</w:t>
            </w:r>
          </w:p>
        </w:tc>
        <w:tc>
          <w:tcPr>
            <w:tcW w:w="1337" w:type="dxa"/>
            <w:tcBorders>
              <w:top w:val="nil"/>
              <w:left w:val="nil"/>
              <w:bottom w:val="nil"/>
              <w:right w:val="nil"/>
            </w:tcBorders>
            <w:shd w:val="clear" w:color="000000" w:fill="FFFFFF"/>
            <w:noWrap/>
            <w:vAlign w:val="bottom"/>
            <w:hideMark/>
          </w:tcPr>
          <w:p w14:paraId="3AAAA43C" w14:textId="3E78E3DE" w:rsidR="008B4E5D" w:rsidRPr="00A504DA" w:rsidRDefault="008B4E5D" w:rsidP="008B4E5D">
            <w:pPr>
              <w:jc w:val="right"/>
              <w:rPr>
                <w:rFonts w:eastAsia="Times New Roman" w:cstheme="minorHAnsi"/>
                <w:color w:val="000000" w:themeColor="text1"/>
              </w:rPr>
            </w:pPr>
            <w:r>
              <w:rPr>
                <w:rFonts w:ascii="Calibri" w:hAnsi="Calibri" w:cs="Calibri"/>
              </w:rPr>
              <w:t xml:space="preserve">       14,885 </w:t>
            </w:r>
          </w:p>
        </w:tc>
        <w:tc>
          <w:tcPr>
            <w:tcW w:w="1337" w:type="dxa"/>
            <w:tcBorders>
              <w:top w:val="nil"/>
              <w:left w:val="nil"/>
              <w:bottom w:val="nil"/>
              <w:right w:val="nil"/>
            </w:tcBorders>
            <w:shd w:val="clear" w:color="000000" w:fill="FFFFFF"/>
            <w:noWrap/>
            <w:vAlign w:val="bottom"/>
            <w:hideMark/>
          </w:tcPr>
          <w:p w14:paraId="3F6B5CCD" w14:textId="02E8E4C1" w:rsidR="008B4E5D" w:rsidRPr="00A504DA" w:rsidRDefault="008B4E5D" w:rsidP="008B4E5D">
            <w:pPr>
              <w:jc w:val="right"/>
              <w:rPr>
                <w:rFonts w:eastAsia="Times New Roman" w:cstheme="minorHAnsi"/>
                <w:color w:val="000000" w:themeColor="text1"/>
              </w:rPr>
            </w:pPr>
            <w:r>
              <w:rPr>
                <w:rFonts w:ascii="Calibri" w:hAnsi="Calibri" w:cs="Calibri"/>
              </w:rPr>
              <w:t xml:space="preserve">         9,579 </w:t>
            </w:r>
          </w:p>
        </w:tc>
        <w:tc>
          <w:tcPr>
            <w:tcW w:w="1337" w:type="dxa"/>
            <w:tcBorders>
              <w:top w:val="nil"/>
              <w:left w:val="nil"/>
              <w:bottom w:val="nil"/>
              <w:right w:val="nil"/>
            </w:tcBorders>
            <w:shd w:val="clear" w:color="000000" w:fill="FFFFFF"/>
            <w:noWrap/>
            <w:vAlign w:val="bottom"/>
          </w:tcPr>
          <w:p w14:paraId="14D3F77F" w14:textId="4AAAE447" w:rsidR="008B4E5D" w:rsidRPr="00A504DA" w:rsidRDefault="008B4E5D" w:rsidP="008B4E5D">
            <w:pPr>
              <w:jc w:val="right"/>
              <w:rPr>
                <w:rFonts w:eastAsia="Times New Roman" w:cstheme="minorHAnsi"/>
                <w:color w:val="000000" w:themeColor="text1"/>
              </w:rPr>
            </w:pPr>
            <w:r>
              <w:rPr>
                <w:rFonts w:ascii="Calibri" w:hAnsi="Calibri" w:cs="Calibri"/>
              </w:rPr>
              <w:t xml:space="preserve">            906 </w:t>
            </w:r>
          </w:p>
        </w:tc>
        <w:tc>
          <w:tcPr>
            <w:tcW w:w="1337" w:type="dxa"/>
            <w:tcBorders>
              <w:top w:val="nil"/>
              <w:left w:val="nil"/>
              <w:bottom w:val="nil"/>
              <w:right w:val="nil"/>
            </w:tcBorders>
            <w:shd w:val="clear" w:color="auto" w:fill="auto"/>
            <w:vAlign w:val="bottom"/>
          </w:tcPr>
          <w:p w14:paraId="22CA8081" w14:textId="0A88BB0C" w:rsidR="008B4E5D" w:rsidRPr="00A504DA" w:rsidRDefault="008B4E5D" w:rsidP="008B4E5D">
            <w:pPr>
              <w:jc w:val="right"/>
              <w:rPr>
                <w:rFonts w:cstheme="minorHAnsi"/>
                <w:color w:val="000000" w:themeColor="text1"/>
              </w:rPr>
            </w:pPr>
            <w:r w:rsidRPr="00AD54E4">
              <w:rPr>
                <w:rFonts w:cstheme="minorHAnsi"/>
                <w:color w:val="000000" w:themeColor="text1"/>
              </w:rPr>
              <w:t>385</w:t>
            </w:r>
          </w:p>
        </w:tc>
      </w:tr>
      <w:tr w:rsidR="008B4E5D" w:rsidRPr="003323E0" w14:paraId="56BB8522"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0CCF30B7" w14:textId="03FA0B66"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2026</w:t>
            </w:r>
          </w:p>
        </w:tc>
        <w:tc>
          <w:tcPr>
            <w:tcW w:w="1337" w:type="dxa"/>
            <w:tcBorders>
              <w:top w:val="nil"/>
              <w:left w:val="nil"/>
              <w:bottom w:val="nil"/>
              <w:right w:val="nil"/>
            </w:tcBorders>
            <w:shd w:val="clear" w:color="000000" w:fill="FFFFFF"/>
            <w:noWrap/>
            <w:vAlign w:val="bottom"/>
            <w:hideMark/>
          </w:tcPr>
          <w:p w14:paraId="038C8F70" w14:textId="250102D4" w:rsidR="008B4E5D" w:rsidRPr="00A504DA" w:rsidRDefault="008B4E5D" w:rsidP="008B4E5D">
            <w:pPr>
              <w:jc w:val="right"/>
              <w:rPr>
                <w:rFonts w:eastAsia="Times New Roman" w:cstheme="minorHAnsi"/>
                <w:color w:val="000000" w:themeColor="text1"/>
              </w:rPr>
            </w:pPr>
            <w:r>
              <w:rPr>
                <w:rFonts w:ascii="Calibri" w:hAnsi="Calibri" w:cs="Calibri"/>
              </w:rPr>
              <w:t xml:space="preserve">       15,615 </w:t>
            </w:r>
          </w:p>
        </w:tc>
        <w:tc>
          <w:tcPr>
            <w:tcW w:w="1337" w:type="dxa"/>
            <w:tcBorders>
              <w:top w:val="nil"/>
              <w:left w:val="nil"/>
              <w:bottom w:val="nil"/>
              <w:right w:val="nil"/>
            </w:tcBorders>
            <w:shd w:val="clear" w:color="000000" w:fill="FFFFFF"/>
            <w:noWrap/>
            <w:vAlign w:val="bottom"/>
            <w:hideMark/>
          </w:tcPr>
          <w:p w14:paraId="42675C95" w14:textId="3E9F3020" w:rsidR="008B4E5D" w:rsidRPr="00A504DA" w:rsidRDefault="008B4E5D" w:rsidP="008B4E5D">
            <w:pPr>
              <w:jc w:val="right"/>
              <w:rPr>
                <w:rFonts w:eastAsia="Times New Roman" w:cstheme="minorHAnsi"/>
                <w:color w:val="000000" w:themeColor="text1"/>
              </w:rPr>
            </w:pPr>
            <w:r>
              <w:rPr>
                <w:rFonts w:ascii="Calibri" w:hAnsi="Calibri" w:cs="Calibri"/>
              </w:rPr>
              <w:t xml:space="preserve">         8,828 </w:t>
            </w:r>
          </w:p>
        </w:tc>
        <w:tc>
          <w:tcPr>
            <w:tcW w:w="1337" w:type="dxa"/>
            <w:tcBorders>
              <w:top w:val="nil"/>
              <w:left w:val="nil"/>
              <w:bottom w:val="nil"/>
              <w:right w:val="nil"/>
            </w:tcBorders>
            <w:shd w:val="clear" w:color="000000" w:fill="FFFFFF"/>
            <w:noWrap/>
            <w:vAlign w:val="bottom"/>
          </w:tcPr>
          <w:p w14:paraId="12579001" w14:textId="49AD21B1" w:rsidR="008B4E5D" w:rsidRPr="00A504DA" w:rsidRDefault="008B4E5D" w:rsidP="008B4E5D">
            <w:pPr>
              <w:jc w:val="right"/>
              <w:rPr>
                <w:rFonts w:eastAsia="Times New Roman" w:cstheme="minorHAnsi"/>
                <w:color w:val="000000" w:themeColor="text1"/>
              </w:rPr>
            </w:pPr>
            <w:r>
              <w:rPr>
                <w:rFonts w:ascii="Calibri" w:hAnsi="Calibri" w:cs="Calibri"/>
              </w:rPr>
              <w:t xml:space="preserve">            758 </w:t>
            </w:r>
          </w:p>
        </w:tc>
        <w:tc>
          <w:tcPr>
            <w:tcW w:w="1337" w:type="dxa"/>
            <w:tcBorders>
              <w:top w:val="nil"/>
              <w:left w:val="nil"/>
              <w:bottom w:val="nil"/>
              <w:right w:val="nil"/>
            </w:tcBorders>
            <w:shd w:val="clear" w:color="auto" w:fill="auto"/>
            <w:vAlign w:val="bottom"/>
          </w:tcPr>
          <w:p w14:paraId="443C41F7" w14:textId="711D2CA7" w:rsidR="008B4E5D" w:rsidRPr="00A504DA" w:rsidRDefault="008B4E5D" w:rsidP="008B4E5D">
            <w:pPr>
              <w:jc w:val="right"/>
              <w:rPr>
                <w:rFonts w:cstheme="minorHAnsi"/>
                <w:color w:val="000000" w:themeColor="text1"/>
              </w:rPr>
            </w:pPr>
            <w:r w:rsidRPr="00AD54E4">
              <w:rPr>
                <w:rFonts w:cstheme="minorHAnsi"/>
                <w:color w:val="000000" w:themeColor="text1"/>
              </w:rPr>
              <w:t>347</w:t>
            </w:r>
          </w:p>
        </w:tc>
      </w:tr>
      <w:tr w:rsidR="008B4E5D" w:rsidRPr="003323E0" w14:paraId="4E9916B0"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72EF5279" w14:textId="4A215932"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2027</w:t>
            </w:r>
          </w:p>
        </w:tc>
        <w:tc>
          <w:tcPr>
            <w:tcW w:w="1337" w:type="dxa"/>
            <w:tcBorders>
              <w:top w:val="nil"/>
              <w:left w:val="nil"/>
              <w:bottom w:val="nil"/>
              <w:right w:val="nil"/>
            </w:tcBorders>
            <w:shd w:val="clear" w:color="000000" w:fill="FFFFFF"/>
            <w:noWrap/>
            <w:vAlign w:val="bottom"/>
            <w:hideMark/>
          </w:tcPr>
          <w:p w14:paraId="623BE617" w14:textId="1E471D21" w:rsidR="008B4E5D" w:rsidRPr="00A504DA" w:rsidRDefault="008B4E5D" w:rsidP="008B4E5D">
            <w:pPr>
              <w:jc w:val="right"/>
              <w:rPr>
                <w:rFonts w:eastAsia="Times New Roman" w:cstheme="minorHAnsi"/>
                <w:color w:val="000000" w:themeColor="text1"/>
              </w:rPr>
            </w:pPr>
            <w:r>
              <w:rPr>
                <w:rFonts w:ascii="Calibri" w:hAnsi="Calibri" w:cs="Calibri"/>
              </w:rPr>
              <w:t xml:space="preserve">       13,855 </w:t>
            </w:r>
          </w:p>
        </w:tc>
        <w:tc>
          <w:tcPr>
            <w:tcW w:w="1337" w:type="dxa"/>
            <w:tcBorders>
              <w:top w:val="nil"/>
              <w:left w:val="nil"/>
              <w:bottom w:val="nil"/>
              <w:right w:val="nil"/>
            </w:tcBorders>
            <w:shd w:val="clear" w:color="000000" w:fill="FFFFFF"/>
            <w:noWrap/>
            <w:vAlign w:val="bottom"/>
            <w:hideMark/>
          </w:tcPr>
          <w:p w14:paraId="2EF6DD31" w14:textId="6F66B276" w:rsidR="008B4E5D" w:rsidRPr="00A504DA" w:rsidRDefault="008B4E5D" w:rsidP="008B4E5D">
            <w:pPr>
              <w:jc w:val="right"/>
              <w:rPr>
                <w:rFonts w:eastAsia="Times New Roman" w:cstheme="minorHAnsi"/>
                <w:color w:val="000000" w:themeColor="text1"/>
              </w:rPr>
            </w:pPr>
            <w:r>
              <w:rPr>
                <w:rFonts w:ascii="Calibri" w:hAnsi="Calibri" w:cs="Calibri"/>
              </w:rPr>
              <w:t xml:space="preserve">         7,757 </w:t>
            </w:r>
          </w:p>
        </w:tc>
        <w:tc>
          <w:tcPr>
            <w:tcW w:w="1337" w:type="dxa"/>
            <w:tcBorders>
              <w:top w:val="nil"/>
              <w:left w:val="nil"/>
              <w:bottom w:val="nil"/>
              <w:right w:val="nil"/>
            </w:tcBorders>
            <w:shd w:val="clear" w:color="000000" w:fill="FFFFFF"/>
            <w:noWrap/>
            <w:vAlign w:val="bottom"/>
          </w:tcPr>
          <w:p w14:paraId="4F907CAA" w14:textId="72C8231A" w:rsidR="008B4E5D" w:rsidRPr="00A504DA" w:rsidRDefault="008B4E5D" w:rsidP="008B4E5D">
            <w:pPr>
              <w:jc w:val="right"/>
              <w:rPr>
                <w:rFonts w:eastAsia="Times New Roman" w:cstheme="minorHAnsi"/>
                <w:color w:val="000000" w:themeColor="text1"/>
              </w:rPr>
            </w:pPr>
            <w:r>
              <w:rPr>
                <w:rFonts w:ascii="Calibri" w:hAnsi="Calibri" w:cs="Calibri"/>
              </w:rPr>
              <w:t xml:space="preserve">            566 </w:t>
            </w:r>
          </w:p>
        </w:tc>
        <w:tc>
          <w:tcPr>
            <w:tcW w:w="1337" w:type="dxa"/>
            <w:tcBorders>
              <w:top w:val="nil"/>
              <w:left w:val="nil"/>
              <w:bottom w:val="nil"/>
              <w:right w:val="nil"/>
            </w:tcBorders>
            <w:shd w:val="clear" w:color="auto" w:fill="auto"/>
            <w:vAlign w:val="bottom"/>
          </w:tcPr>
          <w:p w14:paraId="750B53C1" w14:textId="18804D5A" w:rsidR="008B4E5D" w:rsidRPr="00A504DA" w:rsidRDefault="008B4E5D" w:rsidP="008B4E5D">
            <w:pPr>
              <w:jc w:val="right"/>
              <w:rPr>
                <w:rFonts w:cstheme="minorHAnsi"/>
                <w:color w:val="000000" w:themeColor="text1"/>
              </w:rPr>
            </w:pPr>
            <w:r w:rsidRPr="00AD54E4">
              <w:rPr>
                <w:rFonts w:cstheme="minorHAnsi"/>
                <w:color w:val="000000" w:themeColor="text1"/>
              </w:rPr>
              <w:t>10</w:t>
            </w:r>
          </w:p>
        </w:tc>
      </w:tr>
      <w:tr w:rsidR="008B4E5D" w:rsidRPr="003323E0" w14:paraId="5E78EBFF"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62083647" w14:textId="5D20C4E4"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2028</w:t>
            </w:r>
          </w:p>
        </w:tc>
        <w:tc>
          <w:tcPr>
            <w:tcW w:w="1337" w:type="dxa"/>
            <w:tcBorders>
              <w:top w:val="nil"/>
              <w:left w:val="nil"/>
              <w:bottom w:val="nil"/>
              <w:right w:val="nil"/>
            </w:tcBorders>
            <w:shd w:val="clear" w:color="000000" w:fill="FFFFFF"/>
            <w:noWrap/>
            <w:vAlign w:val="bottom"/>
            <w:hideMark/>
          </w:tcPr>
          <w:p w14:paraId="7017218C" w14:textId="6D6F8746" w:rsidR="008B4E5D" w:rsidRPr="00A504DA" w:rsidRDefault="008B4E5D" w:rsidP="008B4E5D">
            <w:pPr>
              <w:jc w:val="right"/>
              <w:rPr>
                <w:rFonts w:eastAsia="Times New Roman" w:cstheme="minorHAnsi"/>
                <w:color w:val="000000" w:themeColor="text1"/>
              </w:rPr>
            </w:pPr>
            <w:r>
              <w:rPr>
                <w:rFonts w:ascii="Calibri" w:hAnsi="Calibri" w:cs="Calibri"/>
              </w:rPr>
              <w:t xml:space="preserve">       14,460 </w:t>
            </w:r>
          </w:p>
        </w:tc>
        <w:tc>
          <w:tcPr>
            <w:tcW w:w="1337" w:type="dxa"/>
            <w:tcBorders>
              <w:top w:val="nil"/>
              <w:left w:val="nil"/>
              <w:bottom w:val="nil"/>
              <w:right w:val="nil"/>
            </w:tcBorders>
            <w:shd w:val="clear" w:color="000000" w:fill="FFFFFF"/>
            <w:noWrap/>
            <w:vAlign w:val="bottom"/>
            <w:hideMark/>
          </w:tcPr>
          <w:p w14:paraId="426EFD4F" w14:textId="04DFAF24" w:rsidR="008B4E5D" w:rsidRPr="00A504DA" w:rsidRDefault="008B4E5D" w:rsidP="008B4E5D">
            <w:pPr>
              <w:jc w:val="right"/>
              <w:rPr>
                <w:rFonts w:eastAsia="Times New Roman" w:cstheme="minorHAnsi"/>
                <w:color w:val="000000" w:themeColor="text1"/>
              </w:rPr>
            </w:pPr>
            <w:r>
              <w:rPr>
                <w:rFonts w:ascii="Calibri" w:hAnsi="Calibri" w:cs="Calibri"/>
              </w:rPr>
              <w:t xml:space="preserve">         7,438 </w:t>
            </w:r>
          </w:p>
        </w:tc>
        <w:tc>
          <w:tcPr>
            <w:tcW w:w="1337" w:type="dxa"/>
            <w:tcBorders>
              <w:top w:val="nil"/>
              <w:left w:val="nil"/>
              <w:bottom w:val="nil"/>
              <w:right w:val="nil"/>
            </w:tcBorders>
            <w:shd w:val="clear" w:color="000000" w:fill="FFFFFF"/>
            <w:noWrap/>
            <w:vAlign w:val="bottom"/>
          </w:tcPr>
          <w:p w14:paraId="36F88682" w14:textId="3140CEC9" w:rsidR="008B4E5D" w:rsidRPr="00A504DA" w:rsidRDefault="008B4E5D" w:rsidP="008B4E5D">
            <w:pPr>
              <w:jc w:val="right"/>
              <w:rPr>
                <w:rFonts w:eastAsia="Times New Roman" w:cstheme="minorHAnsi"/>
                <w:color w:val="000000" w:themeColor="text1"/>
              </w:rPr>
            </w:pPr>
            <w:r>
              <w:rPr>
                <w:rFonts w:ascii="Calibri" w:hAnsi="Calibri" w:cs="Calibri"/>
              </w:rPr>
              <w:t xml:space="preserve">            491 </w:t>
            </w:r>
          </w:p>
        </w:tc>
        <w:tc>
          <w:tcPr>
            <w:tcW w:w="1337" w:type="dxa"/>
            <w:tcBorders>
              <w:top w:val="nil"/>
              <w:left w:val="nil"/>
              <w:bottom w:val="nil"/>
              <w:right w:val="nil"/>
            </w:tcBorders>
            <w:shd w:val="clear" w:color="auto" w:fill="auto"/>
            <w:vAlign w:val="bottom"/>
          </w:tcPr>
          <w:p w14:paraId="774CF5A6" w14:textId="2B2FB96A" w:rsidR="008B4E5D" w:rsidRPr="00A504DA" w:rsidRDefault="008B4E5D" w:rsidP="008B4E5D">
            <w:pPr>
              <w:jc w:val="right"/>
              <w:rPr>
                <w:rFonts w:cstheme="minorHAnsi"/>
                <w:color w:val="000000" w:themeColor="text1"/>
              </w:rPr>
            </w:pPr>
            <w:r w:rsidRPr="00AD54E4">
              <w:rPr>
                <w:rFonts w:cstheme="minorHAnsi"/>
                <w:color w:val="000000" w:themeColor="text1"/>
              </w:rPr>
              <w:t>329</w:t>
            </w:r>
          </w:p>
        </w:tc>
      </w:tr>
      <w:tr w:rsidR="008B4E5D" w:rsidRPr="003323E0" w14:paraId="75240678"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600277DE" w14:textId="3BF1F3AE"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2029-2033</w:t>
            </w:r>
          </w:p>
        </w:tc>
        <w:tc>
          <w:tcPr>
            <w:tcW w:w="1337" w:type="dxa"/>
            <w:tcBorders>
              <w:top w:val="nil"/>
              <w:left w:val="nil"/>
              <w:bottom w:val="nil"/>
              <w:right w:val="nil"/>
            </w:tcBorders>
            <w:shd w:val="clear" w:color="000000" w:fill="FFFFFF"/>
            <w:noWrap/>
            <w:vAlign w:val="bottom"/>
            <w:hideMark/>
          </w:tcPr>
          <w:p w14:paraId="59BD5E82" w14:textId="43D8F18C" w:rsidR="008B4E5D" w:rsidRPr="00A504DA" w:rsidRDefault="008B4E5D" w:rsidP="008B4E5D">
            <w:pPr>
              <w:jc w:val="right"/>
              <w:rPr>
                <w:rFonts w:eastAsia="Times New Roman" w:cstheme="minorHAnsi"/>
                <w:color w:val="000000" w:themeColor="text1"/>
              </w:rPr>
            </w:pPr>
            <w:r>
              <w:rPr>
                <w:rFonts w:ascii="Calibri" w:hAnsi="Calibri" w:cs="Calibri"/>
              </w:rPr>
              <w:t xml:space="preserve">       48,385 </w:t>
            </w:r>
          </w:p>
        </w:tc>
        <w:tc>
          <w:tcPr>
            <w:tcW w:w="1337" w:type="dxa"/>
            <w:tcBorders>
              <w:top w:val="nil"/>
              <w:left w:val="nil"/>
              <w:bottom w:val="nil"/>
              <w:right w:val="nil"/>
            </w:tcBorders>
            <w:shd w:val="clear" w:color="000000" w:fill="FFFFFF"/>
            <w:noWrap/>
            <w:vAlign w:val="bottom"/>
            <w:hideMark/>
          </w:tcPr>
          <w:p w14:paraId="50DF796B" w14:textId="6A98DC53" w:rsidR="008B4E5D" w:rsidRPr="00A504DA" w:rsidRDefault="008B4E5D" w:rsidP="008B4E5D">
            <w:pPr>
              <w:jc w:val="right"/>
              <w:rPr>
                <w:rFonts w:eastAsia="Times New Roman" w:cstheme="minorHAnsi"/>
                <w:color w:val="000000" w:themeColor="text1"/>
              </w:rPr>
            </w:pPr>
            <w:r>
              <w:rPr>
                <w:rFonts w:ascii="Calibri" w:hAnsi="Calibri" w:cs="Calibri"/>
              </w:rPr>
              <w:t xml:space="preserve">       28,957 </w:t>
            </w:r>
          </w:p>
        </w:tc>
        <w:tc>
          <w:tcPr>
            <w:tcW w:w="1337" w:type="dxa"/>
            <w:tcBorders>
              <w:top w:val="nil"/>
              <w:left w:val="nil"/>
              <w:bottom w:val="nil"/>
              <w:right w:val="nil"/>
            </w:tcBorders>
            <w:shd w:val="clear" w:color="000000" w:fill="FFFFFF"/>
            <w:noWrap/>
            <w:vAlign w:val="bottom"/>
          </w:tcPr>
          <w:p w14:paraId="2841CFB2" w14:textId="768503B3" w:rsidR="008B4E5D" w:rsidRPr="00A504DA" w:rsidRDefault="008B4E5D" w:rsidP="008B4E5D">
            <w:pPr>
              <w:jc w:val="right"/>
              <w:rPr>
                <w:rFonts w:eastAsia="Times New Roman" w:cstheme="minorHAnsi"/>
                <w:color w:val="000000" w:themeColor="text1"/>
              </w:rPr>
            </w:pPr>
            <w:r>
              <w:rPr>
                <w:rFonts w:ascii="Calibri" w:hAnsi="Calibri" w:cs="Calibri"/>
              </w:rPr>
              <w:t xml:space="preserve">        2,600 </w:t>
            </w:r>
          </w:p>
        </w:tc>
        <w:tc>
          <w:tcPr>
            <w:tcW w:w="1337" w:type="dxa"/>
            <w:tcBorders>
              <w:top w:val="nil"/>
              <w:left w:val="nil"/>
              <w:bottom w:val="nil"/>
              <w:right w:val="nil"/>
            </w:tcBorders>
            <w:shd w:val="clear" w:color="auto" w:fill="auto"/>
            <w:vAlign w:val="bottom"/>
          </w:tcPr>
          <w:p w14:paraId="7FC9A0A0" w14:textId="1F8FE6D1" w:rsidR="008B4E5D" w:rsidRPr="00A504DA" w:rsidRDefault="008B4E5D" w:rsidP="008B4E5D">
            <w:pPr>
              <w:jc w:val="right"/>
              <w:rPr>
                <w:rFonts w:cstheme="minorHAnsi"/>
                <w:color w:val="000000" w:themeColor="text1"/>
              </w:rPr>
            </w:pPr>
            <w:r w:rsidRPr="00AD54E4">
              <w:rPr>
                <w:rFonts w:cstheme="minorHAnsi"/>
                <w:color w:val="000000" w:themeColor="text1"/>
              </w:rPr>
              <w:t>1,422</w:t>
            </w:r>
          </w:p>
        </w:tc>
      </w:tr>
      <w:tr w:rsidR="008B4E5D" w:rsidRPr="003323E0" w14:paraId="7CC54B21" w14:textId="77777777" w:rsidTr="00A504DA">
        <w:trPr>
          <w:trHeight w:val="288"/>
          <w:jc w:val="center"/>
        </w:trPr>
        <w:tc>
          <w:tcPr>
            <w:tcW w:w="2392" w:type="dxa"/>
            <w:tcBorders>
              <w:top w:val="nil"/>
              <w:left w:val="nil"/>
              <w:bottom w:val="nil"/>
              <w:right w:val="nil"/>
            </w:tcBorders>
            <w:shd w:val="clear" w:color="000000" w:fill="FFFFFF"/>
            <w:noWrap/>
            <w:vAlign w:val="bottom"/>
            <w:hideMark/>
          </w:tcPr>
          <w:p w14:paraId="02191C9D" w14:textId="3F03115A" w:rsidR="008B4E5D" w:rsidRPr="00AD54E4" w:rsidRDefault="008B4E5D" w:rsidP="008B4E5D">
            <w:pPr>
              <w:jc w:val="center"/>
              <w:rPr>
                <w:rFonts w:ascii="Calibri" w:eastAsia="Times New Roman" w:hAnsi="Calibri" w:cs="Calibri"/>
                <w:color w:val="0D0D0D"/>
              </w:rPr>
            </w:pPr>
            <w:r w:rsidRPr="00AD54E4">
              <w:rPr>
                <w:rFonts w:ascii="Calibri" w:eastAsia="Times New Roman" w:hAnsi="Calibri" w:cs="Calibri"/>
                <w:color w:val="0D0D0D"/>
              </w:rPr>
              <w:t>2034-2038</w:t>
            </w:r>
          </w:p>
        </w:tc>
        <w:tc>
          <w:tcPr>
            <w:tcW w:w="1337" w:type="dxa"/>
            <w:tcBorders>
              <w:top w:val="nil"/>
              <w:left w:val="nil"/>
              <w:bottom w:val="nil"/>
              <w:right w:val="nil"/>
            </w:tcBorders>
            <w:shd w:val="clear" w:color="000000" w:fill="FFFFFF"/>
            <w:noWrap/>
            <w:vAlign w:val="bottom"/>
            <w:hideMark/>
          </w:tcPr>
          <w:p w14:paraId="186B5F9F" w14:textId="4C591EE6" w:rsidR="008B4E5D" w:rsidRPr="00A504DA" w:rsidRDefault="008B4E5D" w:rsidP="008B4E5D">
            <w:pPr>
              <w:jc w:val="right"/>
              <w:rPr>
                <w:rFonts w:eastAsia="Times New Roman" w:cstheme="minorHAnsi"/>
                <w:color w:val="000000" w:themeColor="text1"/>
              </w:rPr>
            </w:pPr>
            <w:r>
              <w:rPr>
                <w:rFonts w:ascii="Calibri" w:hAnsi="Calibri" w:cs="Calibri"/>
              </w:rPr>
              <w:t xml:space="preserve">       11,910 </w:t>
            </w:r>
          </w:p>
        </w:tc>
        <w:tc>
          <w:tcPr>
            <w:tcW w:w="1337" w:type="dxa"/>
            <w:tcBorders>
              <w:top w:val="nil"/>
              <w:left w:val="nil"/>
              <w:bottom w:val="nil"/>
              <w:right w:val="nil"/>
            </w:tcBorders>
            <w:shd w:val="clear" w:color="000000" w:fill="FFFFFF"/>
            <w:noWrap/>
            <w:vAlign w:val="bottom"/>
            <w:hideMark/>
          </w:tcPr>
          <w:p w14:paraId="6A400D29" w14:textId="7A1FC260" w:rsidR="008B4E5D" w:rsidRPr="00A504DA" w:rsidRDefault="008B4E5D" w:rsidP="008B4E5D">
            <w:pPr>
              <w:jc w:val="right"/>
              <w:rPr>
                <w:rFonts w:eastAsia="Times New Roman" w:cstheme="minorHAnsi"/>
                <w:color w:val="000000" w:themeColor="text1"/>
              </w:rPr>
            </w:pPr>
            <w:r>
              <w:rPr>
                <w:rFonts w:ascii="Calibri" w:hAnsi="Calibri" w:cs="Calibri"/>
              </w:rPr>
              <w:t xml:space="preserve">       21,407 </w:t>
            </w:r>
          </w:p>
        </w:tc>
        <w:tc>
          <w:tcPr>
            <w:tcW w:w="1337" w:type="dxa"/>
            <w:tcBorders>
              <w:top w:val="nil"/>
              <w:left w:val="nil"/>
              <w:bottom w:val="nil"/>
              <w:right w:val="nil"/>
            </w:tcBorders>
            <w:shd w:val="clear" w:color="000000" w:fill="FFFFFF"/>
            <w:noWrap/>
            <w:vAlign w:val="bottom"/>
          </w:tcPr>
          <w:p w14:paraId="3645C9CB" w14:textId="454B8631" w:rsidR="008B4E5D" w:rsidRPr="00A504DA" w:rsidRDefault="008B4E5D" w:rsidP="008B4E5D">
            <w:pPr>
              <w:jc w:val="right"/>
              <w:rPr>
                <w:rFonts w:eastAsia="Times New Roman" w:cstheme="minorHAnsi"/>
                <w:color w:val="000000" w:themeColor="text1"/>
              </w:rPr>
            </w:pPr>
            <w:r>
              <w:rPr>
                <w:rFonts w:ascii="Calibri" w:hAnsi="Calibri" w:cs="Calibri"/>
              </w:rPr>
              <w:t xml:space="preserve">        3,271 </w:t>
            </w:r>
          </w:p>
        </w:tc>
        <w:tc>
          <w:tcPr>
            <w:tcW w:w="1337" w:type="dxa"/>
            <w:tcBorders>
              <w:top w:val="nil"/>
              <w:left w:val="nil"/>
              <w:bottom w:val="nil"/>
              <w:right w:val="nil"/>
            </w:tcBorders>
            <w:shd w:val="clear" w:color="auto" w:fill="auto"/>
            <w:vAlign w:val="bottom"/>
          </w:tcPr>
          <w:p w14:paraId="2E5B39CD" w14:textId="68DC1B14" w:rsidR="008B4E5D" w:rsidRPr="00A504DA" w:rsidRDefault="008B4E5D" w:rsidP="008B4E5D">
            <w:pPr>
              <w:jc w:val="right"/>
              <w:rPr>
                <w:rFonts w:cstheme="minorHAnsi"/>
                <w:color w:val="000000" w:themeColor="text1"/>
              </w:rPr>
            </w:pPr>
            <w:r w:rsidRPr="00AD54E4">
              <w:rPr>
                <w:rFonts w:cstheme="minorHAnsi"/>
                <w:color w:val="000000" w:themeColor="text1"/>
              </w:rPr>
              <w:t>963</w:t>
            </w:r>
          </w:p>
        </w:tc>
      </w:tr>
      <w:tr w:rsidR="008B4E5D" w:rsidRPr="003323E0" w14:paraId="2C2D34A7" w14:textId="77777777" w:rsidTr="00A504DA">
        <w:trPr>
          <w:trHeight w:val="288"/>
          <w:jc w:val="center"/>
        </w:trPr>
        <w:tc>
          <w:tcPr>
            <w:tcW w:w="2392" w:type="dxa"/>
            <w:tcBorders>
              <w:top w:val="nil"/>
              <w:left w:val="nil"/>
              <w:bottom w:val="nil"/>
              <w:right w:val="nil"/>
            </w:tcBorders>
            <w:shd w:val="clear" w:color="000000" w:fill="FFFFFF"/>
            <w:noWrap/>
            <w:vAlign w:val="bottom"/>
          </w:tcPr>
          <w:p w14:paraId="3A57083B" w14:textId="0841FFEB" w:rsidR="008B4E5D" w:rsidRPr="00AD54E4" w:rsidRDefault="008B4E5D">
            <w:pPr>
              <w:jc w:val="center"/>
              <w:rPr>
                <w:rFonts w:ascii="Calibri" w:eastAsia="Times New Roman" w:hAnsi="Calibri" w:cs="Calibri"/>
                <w:color w:val="0D0D0D"/>
              </w:rPr>
            </w:pPr>
            <w:r w:rsidRPr="00AD54E4">
              <w:rPr>
                <w:rFonts w:ascii="Calibri" w:eastAsia="Times New Roman" w:hAnsi="Calibri" w:cs="Calibri"/>
                <w:color w:val="0D0D0D"/>
              </w:rPr>
              <w:t>20</w:t>
            </w:r>
            <w:r w:rsidR="00FE0DDD">
              <w:rPr>
                <w:rFonts w:ascii="Calibri" w:eastAsia="Times New Roman" w:hAnsi="Calibri" w:cs="Calibri"/>
                <w:color w:val="0D0D0D"/>
              </w:rPr>
              <w:t>3</w:t>
            </w:r>
            <w:r w:rsidRPr="00AD54E4">
              <w:rPr>
                <w:rFonts w:ascii="Calibri" w:eastAsia="Times New Roman" w:hAnsi="Calibri" w:cs="Calibri"/>
                <w:color w:val="0D0D0D"/>
              </w:rPr>
              <w:t>9-20</w:t>
            </w:r>
            <w:r w:rsidR="00FE0DDD">
              <w:rPr>
                <w:rFonts w:ascii="Calibri" w:eastAsia="Times New Roman" w:hAnsi="Calibri" w:cs="Calibri"/>
                <w:color w:val="0D0D0D"/>
              </w:rPr>
              <w:t>4</w:t>
            </w:r>
            <w:r w:rsidRPr="00AD54E4">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tcPr>
          <w:p w14:paraId="37E38DA9" w14:textId="41B69D0C" w:rsidR="008B4E5D" w:rsidRPr="00AD54E4" w:rsidRDefault="008B4E5D" w:rsidP="008B4E5D">
            <w:pPr>
              <w:jc w:val="right"/>
              <w:rPr>
                <w:rFonts w:cstheme="minorHAnsi"/>
                <w:color w:val="000000" w:themeColor="text1"/>
              </w:rPr>
            </w:pPr>
            <w:r>
              <w:rPr>
                <w:rFonts w:ascii="Calibri" w:hAnsi="Calibri" w:cs="Calibri"/>
              </w:rPr>
              <w:t xml:space="preserve">         8,565 </w:t>
            </w:r>
          </w:p>
        </w:tc>
        <w:tc>
          <w:tcPr>
            <w:tcW w:w="1337" w:type="dxa"/>
            <w:tcBorders>
              <w:top w:val="nil"/>
              <w:left w:val="nil"/>
              <w:bottom w:val="nil"/>
              <w:right w:val="nil"/>
            </w:tcBorders>
            <w:shd w:val="clear" w:color="000000" w:fill="FFFFFF"/>
            <w:noWrap/>
            <w:vAlign w:val="bottom"/>
          </w:tcPr>
          <w:p w14:paraId="2FBE5826" w14:textId="35FE8A9A" w:rsidR="008B4E5D" w:rsidRPr="00AD54E4" w:rsidRDefault="008B4E5D" w:rsidP="008B4E5D">
            <w:pPr>
              <w:jc w:val="right"/>
              <w:rPr>
                <w:rFonts w:cstheme="minorHAnsi"/>
                <w:color w:val="000000" w:themeColor="text1"/>
              </w:rPr>
            </w:pPr>
            <w:r>
              <w:rPr>
                <w:rFonts w:ascii="Calibri" w:hAnsi="Calibri" w:cs="Calibri"/>
              </w:rPr>
              <w:t xml:space="preserve">       18,689 </w:t>
            </w:r>
          </w:p>
        </w:tc>
        <w:tc>
          <w:tcPr>
            <w:tcW w:w="1337" w:type="dxa"/>
            <w:tcBorders>
              <w:top w:val="nil"/>
              <w:left w:val="nil"/>
              <w:bottom w:val="nil"/>
              <w:right w:val="nil"/>
            </w:tcBorders>
            <w:shd w:val="clear" w:color="000000" w:fill="FFFFFF"/>
            <w:noWrap/>
            <w:vAlign w:val="bottom"/>
          </w:tcPr>
          <w:p w14:paraId="344875C8" w14:textId="1C97B742" w:rsidR="008B4E5D" w:rsidRPr="00AD54E4" w:rsidRDefault="008B4E5D" w:rsidP="008B4E5D">
            <w:pPr>
              <w:jc w:val="right"/>
              <w:rPr>
                <w:rFonts w:cstheme="minorHAnsi"/>
                <w:color w:val="000000" w:themeColor="text1"/>
              </w:rPr>
            </w:pPr>
            <w:r>
              <w:rPr>
                <w:rFonts w:ascii="Calibri" w:hAnsi="Calibri" w:cs="Calibri"/>
              </w:rPr>
              <w:t xml:space="preserve">        3,899 </w:t>
            </w:r>
          </w:p>
        </w:tc>
        <w:tc>
          <w:tcPr>
            <w:tcW w:w="1337" w:type="dxa"/>
            <w:tcBorders>
              <w:top w:val="nil"/>
              <w:left w:val="nil"/>
              <w:bottom w:val="nil"/>
              <w:right w:val="nil"/>
            </w:tcBorders>
            <w:shd w:val="clear" w:color="auto" w:fill="auto"/>
            <w:vAlign w:val="bottom"/>
          </w:tcPr>
          <w:p w14:paraId="5ADB5A8A" w14:textId="1443D74F" w:rsidR="008B4E5D" w:rsidRPr="00AD54E4" w:rsidRDefault="008B4E5D" w:rsidP="008B4E5D">
            <w:pPr>
              <w:jc w:val="right"/>
              <w:rPr>
                <w:rFonts w:cstheme="minorHAnsi"/>
                <w:color w:val="000000" w:themeColor="text1"/>
              </w:rPr>
            </w:pPr>
            <w:r>
              <w:rPr>
                <w:rFonts w:cstheme="minorHAnsi"/>
                <w:color w:val="000000" w:themeColor="text1"/>
              </w:rPr>
              <w:t>403</w:t>
            </w:r>
          </w:p>
        </w:tc>
      </w:tr>
      <w:tr w:rsidR="008B4E5D" w:rsidRPr="003323E0" w14:paraId="7184E3B4" w14:textId="77777777" w:rsidTr="00A504DA">
        <w:trPr>
          <w:trHeight w:val="288"/>
          <w:jc w:val="center"/>
        </w:trPr>
        <w:tc>
          <w:tcPr>
            <w:tcW w:w="2392" w:type="dxa"/>
            <w:tcBorders>
              <w:top w:val="nil"/>
              <w:left w:val="nil"/>
              <w:bottom w:val="nil"/>
              <w:right w:val="nil"/>
            </w:tcBorders>
            <w:shd w:val="clear" w:color="000000" w:fill="FFFFFF"/>
            <w:noWrap/>
            <w:vAlign w:val="bottom"/>
          </w:tcPr>
          <w:p w14:paraId="70217A7A" w14:textId="6F4CA563" w:rsidR="008B4E5D" w:rsidRPr="00AD54E4" w:rsidRDefault="00EE7A27" w:rsidP="00EE7A27">
            <w:pPr>
              <w:jc w:val="center"/>
              <w:rPr>
                <w:rFonts w:ascii="Calibri" w:eastAsia="Times New Roman" w:hAnsi="Calibri" w:cs="Calibri"/>
                <w:color w:val="0D0D0D"/>
              </w:rPr>
            </w:pPr>
            <w:r w:rsidRPr="00AD54E4">
              <w:rPr>
                <w:rFonts w:ascii="Calibri" w:eastAsia="Times New Roman" w:hAnsi="Calibri" w:cs="Calibri"/>
                <w:color w:val="0D0D0D"/>
              </w:rPr>
              <w:t>20</w:t>
            </w:r>
            <w:r>
              <w:rPr>
                <w:rFonts w:ascii="Calibri" w:eastAsia="Times New Roman" w:hAnsi="Calibri" w:cs="Calibri"/>
                <w:color w:val="0D0D0D"/>
              </w:rPr>
              <w:t>4</w:t>
            </w:r>
            <w:r w:rsidRPr="00AD54E4">
              <w:rPr>
                <w:rFonts w:ascii="Calibri" w:eastAsia="Times New Roman" w:hAnsi="Calibri" w:cs="Calibri"/>
                <w:color w:val="0D0D0D"/>
              </w:rPr>
              <w:t>4</w:t>
            </w:r>
            <w:r w:rsidR="008B4E5D" w:rsidRPr="00AD54E4">
              <w:rPr>
                <w:rFonts w:ascii="Calibri" w:eastAsia="Times New Roman" w:hAnsi="Calibri" w:cs="Calibri"/>
                <w:color w:val="0D0D0D"/>
              </w:rPr>
              <w:t>-</w:t>
            </w:r>
            <w:r w:rsidRPr="00AD54E4">
              <w:rPr>
                <w:rFonts w:ascii="Calibri" w:eastAsia="Times New Roman" w:hAnsi="Calibri" w:cs="Calibri"/>
                <w:color w:val="0D0D0D"/>
              </w:rPr>
              <w:t>20</w:t>
            </w:r>
            <w:r>
              <w:rPr>
                <w:rFonts w:ascii="Calibri" w:eastAsia="Times New Roman" w:hAnsi="Calibri" w:cs="Calibri"/>
                <w:color w:val="0D0D0D"/>
              </w:rPr>
              <w:t>4</w:t>
            </w:r>
            <w:r w:rsidRPr="00AD54E4">
              <w:rPr>
                <w:rFonts w:ascii="Calibri" w:eastAsia="Times New Roman" w:hAnsi="Calibri" w:cs="Calibri"/>
                <w:color w:val="0D0D0D"/>
              </w:rPr>
              <w:t>8</w:t>
            </w:r>
          </w:p>
        </w:tc>
        <w:tc>
          <w:tcPr>
            <w:tcW w:w="1337" w:type="dxa"/>
            <w:tcBorders>
              <w:top w:val="nil"/>
              <w:left w:val="nil"/>
              <w:bottom w:val="nil"/>
              <w:right w:val="nil"/>
            </w:tcBorders>
            <w:shd w:val="clear" w:color="000000" w:fill="FFFFFF"/>
            <w:noWrap/>
            <w:vAlign w:val="bottom"/>
          </w:tcPr>
          <w:p w14:paraId="4F648BC3" w14:textId="15B3ABD4" w:rsidR="008B4E5D" w:rsidRPr="00AD54E4" w:rsidRDefault="008B4E5D" w:rsidP="008B4E5D">
            <w:pPr>
              <w:jc w:val="right"/>
              <w:rPr>
                <w:rFonts w:cstheme="minorHAnsi"/>
                <w:color w:val="000000" w:themeColor="text1"/>
              </w:rPr>
            </w:pPr>
            <w:r>
              <w:rPr>
                <w:rFonts w:ascii="Calibri" w:hAnsi="Calibri" w:cs="Calibri"/>
              </w:rPr>
              <w:t xml:space="preserve">       10,930 </w:t>
            </w:r>
          </w:p>
        </w:tc>
        <w:tc>
          <w:tcPr>
            <w:tcW w:w="1337" w:type="dxa"/>
            <w:tcBorders>
              <w:top w:val="nil"/>
              <w:left w:val="nil"/>
              <w:bottom w:val="nil"/>
              <w:right w:val="nil"/>
            </w:tcBorders>
            <w:shd w:val="clear" w:color="000000" w:fill="FFFFFF"/>
            <w:noWrap/>
            <w:vAlign w:val="bottom"/>
          </w:tcPr>
          <w:p w14:paraId="5F529D5E" w14:textId="0117F424" w:rsidR="008B4E5D" w:rsidRPr="00AD54E4" w:rsidRDefault="008B4E5D" w:rsidP="008B4E5D">
            <w:pPr>
              <w:jc w:val="right"/>
              <w:rPr>
                <w:rFonts w:cstheme="minorHAnsi"/>
                <w:color w:val="000000" w:themeColor="text1"/>
              </w:rPr>
            </w:pPr>
            <w:r>
              <w:rPr>
                <w:rFonts w:ascii="Calibri" w:hAnsi="Calibri" w:cs="Calibri"/>
              </w:rPr>
              <w:t xml:space="preserve">       15,919 </w:t>
            </w:r>
          </w:p>
        </w:tc>
        <w:tc>
          <w:tcPr>
            <w:tcW w:w="1337" w:type="dxa"/>
            <w:tcBorders>
              <w:top w:val="nil"/>
              <w:left w:val="nil"/>
              <w:bottom w:val="nil"/>
              <w:right w:val="nil"/>
            </w:tcBorders>
            <w:shd w:val="clear" w:color="000000" w:fill="FFFFFF"/>
            <w:noWrap/>
            <w:vAlign w:val="bottom"/>
          </w:tcPr>
          <w:p w14:paraId="7F6BFDB4" w14:textId="21D93596" w:rsidR="008B4E5D" w:rsidRPr="00AD54E4" w:rsidRDefault="008B4E5D" w:rsidP="008B4E5D">
            <w:pPr>
              <w:jc w:val="right"/>
              <w:rPr>
                <w:rFonts w:cstheme="minorHAnsi"/>
                <w:color w:val="000000" w:themeColor="text1"/>
              </w:rPr>
            </w:pPr>
            <w:r>
              <w:rPr>
                <w:rFonts w:ascii="Calibri" w:hAnsi="Calibri" w:cs="Calibri"/>
              </w:rPr>
              <w:t>- </w:t>
            </w:r>
          </w:p>
        </w:tc>
        <w:tc>
          <w:tcPr>
            <w:tcW w:w="1337" w:type="dxa"/>
            <w:tcBorders>
              <w:top w:val="nil"/>
              <w:left w:val="nil"/>
              <w:bottom w:val="nil"/>
              <w:right w:val="nil"/>
            </w:tcBorders>
            <w:shd w:val="clear" w:color="auto" w:fill="auto"/>
            <w:vAlign w:val="bottom"/>
          </w:tcPr>
          <w:p w14:paraId="6CF0EB6F" w14:textId="29BAADEB" w:rsidR="008B4E5D" w:rsidRPr="00AD54E4" w:rsidRDefault="008B4E5D" w:rsidP="008B4E5D">
            <w:pPr>
              <w:jc w:val="right"/>
              <w:rPr>
                <w:rFonts w:cstheme="minorHAnsi"/>
                <w:color w:val="000000" w:themeColor="text1"/>
              </w:rPr>
            </w:pPr>
            <w:r>
              <w:rPr>
                <w:rFonts w:cstheme="minorHAnsi"/>
                <w:color w:val="000000" w:themeColor="text1"/>
              </w:rPr>
              <w:t>-</w:t>
            </w:r>
          </w:p>
        </w:tc>
      </w:tr>
      <w:tr w:rsidR="00FE0DDD" w:rsidRPr="003323E0" w14:paraId="639C4052" w14:textId="77777777" w:rsidTr="00A504DA">
        <w:trPr>
          <w:trHeight w:val="288"/>
          <w:jc w:val="center"/>
        </w:trPr>
        <w:tc>
          <w:tcPr>
            <w:tcW w:w="2392" w:type="dxa"/>
            <w:tcBorders>
              <w:top w:val="nil"/>
              <w:left w:val="nil"/>
              <w:bottom w:val="nil"/>
              <w:right w:val="nil"/>
            </w:tcBorders>
            <w:shd w:val="clear" w:color="000000" w:fill="FFFFFF"/>
            <w:noWrap/>
            <w:vAlign w:val="bottom"/>
          </w:tcPr>
          <w:p w14:paraId="0633572A" w14:textId="092FD005" w:rsidR="00FE0DDD" w:rsidRPr="00AD54E4" w:rsidRDefault="00FE0DDD">
            <w:pPr>
              <w:jc w:val="center"/>
              <w:rPr>
                <w:rFonts w:ascii="Calibri" w:eastAsia="Times New Roman" w:hAnsi="Calibri" w:cs="Calibri"/>
                <w:color w:val="0D0D0D"/>
              </w:rPr>
            </w:pPr>
            <w:r w:rsidRPr="00AD54E4">
              <w:rPr>
                <w:rFonts w:ascii="Calibri" w:eastAsia="Times New Roman" w:hAnsi="Calibri" w:cs="Calibri"/>
                <w:color w:val="0D0D0D"/>
              </w:rPr>
              <w:t>20</w:t>
            </w:r>
            <w:r>
              <w:rPr>
                <w:rFonts w:ascii="Calibri" w:eastAsia="Times New Roman" w:hAnsi="Calibri" w:cs="Calibri"/>
                <w:color w:val="0D0D0D"/>
              </w:rPr>
              <w:t>4</w:t>
            </w:r>
            <w:r w:rsidRPr="00AD54E4">
              <w:rPr>
                <w:rFonts w:ascii="Calibri" w:eastAsia="Times New Roman" w:hAnsi="Calibri" w:cs="Calibri"/>
                <w:color w:val="0D0D0D"/>
              </w:rPr>
              <w:t>9-20</w:t>
            </w:r>
            <w:r>
              <w:rPr>
                <w:rFonts w:ascii="Calibri" w:eastAsia="Times New Roman" w:hAnsi="Calibri" w:cs="Calibri"/>
                <w:color w:val="0D0D0D"/>
              </w:rPr>
              <w:t>5</w:t>
            </w:r>
            <w:r w:rsidRPr="00AD54E4">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tcPr>
          <w:p w14:paraId="7AA38D38" w14:textId="28D3AF05" w:rsidR="00FE0DDD" w:rsidRPr="00AD54E4" w:rsidRDefault="00FE0DDD" w:rsidP="00FE0DDD">
            <w:pPr>
              <w:jc w:val="right"/>
              <w:rPr>
                <w:rFonts w:cstheme="minorHAnsi"/>
                <w:color w:val="000000" w:themeColor="text1"/>
              </w:rPr>
            </w:pPr>
            <w:r>
              <w:rPr>
                <w:rFonts w:ascii="Calibri" w:hAnsi="Calibri" w:cs="Calibri"/>
              </w:rPr>
              <w:t xml:space="preserve">       14,165 </w:t>
            </w:r>
          </w:p>
        </w:tc>
        <w:tc>
          <w:tcPr>
            <w:tcW w:w="1337" w:type="dxa"/>
            <w:tcBorders>
              <w:top w:val="nil"/>
              <w:left w:val="nil"/>
              <w:bottom w:val="nil"/>
              <w:right w:val="nil"/>
            </w:tcBorders>
            <w:shd w:val="clear" w:color="000000" w:fill="FFFFFF"/>
            <w:noWrap/>
            <w:vAlign w:val="bottom"/>
          </w:tcPr>
          <w:p w14:paraId="6F6D8890" w14:textId="0EFDB36A" w:rsidR="00FE0DDD" w:rsidRPr="00AD54E4" w:rsidRDefault="00FE0DDD" w:rsidP="00FE0DDD">
            <w:pPr>
              <w:jc w:val="right"/>
              <w:rPr>
                <w:rFonts w:cstheme="minorHAnsi"/>
                <w:color w:val="000000" w:themeColor="text1"/>
              </w:rPr>
            </w:pPr>
            <w:r>
              <w:rPr>
                <w:rFonts w:ascii="Calibri" w:hAnsi="Calibri" w:cs="Calibri"/>
              </w:rPr>
              <w:t xml:space="preserve">       12,691 </w:t>
            </w:r>
          </w:p>
        </w:tc>
        <w:tc>
          <w:tcPr>
            <w:tcW w:w="1337" w:type="dxa"/>
            <w:tcBorders>
              <w:top w:val="nil"/>
              <w:left w:val="nil"/>
              <w:bottom w:val="nil"/>
              <w:right w:val="nil"/>
            </w:tcBorders>
            <w:shd w:val="clear" w:color="000000" w:fill="FFFFFF"/>
            <w:noWrap/>
            <w:vAlign w:val="bottom"/>
          </w:tcPr>
          <w:p w14:paraId="581CF9D1" w14:textId="6B95F534" w:rsidR="00FE0DDD" w:rsidRPr="00AD54E4" w:rsidRDefault="00FE0DDD" w:rsidP="00FE0DDD">
            <w:pPr>
              <w:jc w:val="right"/>
              <w:rPr>
                <w:rFonts w:cstheme="minorHAnsi"/>
                <w:color w:val="000000" w:themeColor="text1"/>
              </w:rPr>
            </w:pPr>
            <w:r>
              <w:rPr>
                <w:rFonts w:ascii="Calibri" w:hAnsi="Calibri" w:cs="Calibri"/>
              </w:rPr>
              <w:t>- </w:t>
            </w:r>
          </w:p>
        </w:tc>
        <w:tc>
          <w:tcPr>
            <w:tcW w:w="1337" w:type="dxa"/>
            <w:tcBorders>
              <w:top w:val="nil"/>
              <w:left w:val="nil"/>
              <w:bottom w:val="nil"/>
              <w:right w:val="nil"/>
            </w:tcBorders>
            <w:shd w:val="clear" w:color="auto" w:fill="auto"/>
            <w:vAlign w:val="bottom"/>
          </w:tcPr>
          <w:p w14:paraId="6AA8AA5A" w14:textId="725DB100" w:rsidR="00FE0DDD" w:rsidRPr="00AD54E4" w:rsidRDefault="00FE0DDD" w:rsidP="00FE0DDD">
            <w:pPr>
              <w:jc w:val="right"/>
              <w:rPr>
                <w:rFonts w:cstheme="minorHAnsi"/>
                <w:color w:val="000000" w:themeColor="text1"/>
              </w:rPr>
            </w:pPr>
            <w:r>
              <w:rPr>
                <w:rFonts w:cstheme="minorHAnsi"/>
                <w:color w:val="000000" w:themeColor="text1"/>
              </w:rPr>
              <w:t>-</w:t>
            </w:r>
          </w:p>
        </w:tc>
      </w:tr>
      <w:tr w:rsidR="00FE0DDD" w:rsidRPr="003323E0" w14:paraId="5247285D" w14:textId="77777777" w:rsidTr="00A504DA">
        <w:trPr>
          <w:trHeight w:val="288"/>
          <w:jc w:val="center"/>
        </w:trPr>
        <w:tc>
          <w:tcPr>
            <w:tcW w:w="2392" w:type="dxa"/>
            <w:tcBorders>
              <w:top w:val="nil"/>
              <w:left w:val="nil"/>
              <w:bottom w:val="nil"/>
              <w:right w:val="nil"/>
            </w:tcBorders>
            <w:shd w:val="clear" w:color="000000" w:fill="FFFFFF"/>
            <w:noWrap/>
            <w:vAlign w:val="bottom"/>
          </w:tcPr>
          <w:p w14:paraId="1D6565F7" w14:textId="0FCECB79" w:rsidR="00FE0DDD" w:rsidRPr="00AD54E4" w:rsidRDefault="00EE7A27" w:rsidP="00EE7A27">
            <w:pPr>
              <w:jc w:val="center"/>
              <w:rPr>
                <w:rFonts w:ascii="Calibri" w:eastAsia="Times New Roman" w:hAnsi="Calibri" w:cs="Calibri"/>
                <w:color w:val="0D0D0D"/>
              </w:rPr>
            </w:pPr>
            <w:r w:rsidRPr="00AD54E4">
              <w:rPr>
                <w:rFonts w:ascii="Calibri" w:eastAsia="Times New Roman" w:hAnsi="Calibri" w:cs="Calibri"/>
                <w:color w:val="0D0D0D"/>
              </w:rPr>
              <w:t>20</w:t>
            </w:r>
            <w:r>
              <w:rPr>
                <w:rFonts w:ascii="Calibri" w:eastAsia="Times New Roman" w:hAnsi="Calibri" w:cs="Calibri"/>
                <w:color w:val="0D0D0D"/>
              </w:rPr>
              <w:t>5</w:t>
            </w:r>
            <w:r w:rsidRPr="00AD54E4">
              <w:rPr>
                <w:rFonts w:ascii="Calibri" w:eastAsia="Times New Roman" w:hAnsi="Calibri" w:cs="Calibri"/>
                <w:color w:val="0D0D0D"/>
              </w:rPr>
              <w:t>4</w:t>
            </w:r>
            <w:r w:rsidR="00FE0DDD" w:rsidRPr="00AD54E4">
              <w:rPr>
                <w:rFonts w:ascii="Calibri" w:eastAsia="Times New Roman" w:hAnsi="Calibri" w:cs="Calibri"/>
                <w:color w:val="0D0D0D"/>
              </w:rPr>
              <w:t>-</w:t>
            </w:r>
            <w:r w:rsidRPr="00AD54E4">
              <w:rPr>
                <w:rFonts w:ascii="Calibri" w:eastAsia="Times New Roman" w:hAnsi="Calibri" w:cs="Calibri"/>
                <w:color w:val="0D0D0D"/>
              </w:rPr>
              <w:t>20</w:t>
            </w:r>
            <w:r>
              <w:rPr>
                <w:rFonts w:ascii="Calibri" w:eastAsia="Times New Roman" w:hAnsi="Calibri" w:cs="Calibri"/>
                <w:color w:val="0D0D0D"/>
              </w:rPr>
              <w:t>5</w:t>
            </w:r>
            <w:r w:rsidRPr="00AD54E4">
              <w:rPr>
                <w:rFonts w:ascii="Calibri" w:eastAsia="Times New Roman" w:hAnsi="Calibri" w:cs="Calibri"/>
                <w:color w:val="0D0D0D"/>
              </w:rPr>
              <w:t>8</w:t>
            </w:r>
          </w:p>
        </w:tc>
        <w:tc>
          <w:tcPr>
            <w:tcW w:w="1337" w:type="dxa"/>
            <w:tcBorders>
              <w:top w:val="nil"/>
              <w:left w:val="nil"/>
              <w:bottom w:val="nil"/>
              <w:right w:val="nil"/>
            </w:tcBorders>
            <w:shd w:val="clear" w:color="000000" w:fill="FFFFFF"/>
            <w:noWrap/>
            <w:vAlign w:val="bottom"/>
          </w:tcPr>
          <w:p w14:paraId="56058727" w14:textId="5BEE25D6" w:rsidR="00FE0DDD" w:rsidRPr="00AD54E4" w:rsidRDefault="00FE0DDD" w:rsidP="00FE0DDD">
            <w:pPr>
              <w:jc w:val="right"/>
              <w:rPr>
                <w:rFonts w:cstheme="minorHAnsi"/>
                <w:color w:val="000000" w:themeColor="text1"/>
              </w:rPr>
            </w:pPr>
            <w:r>
              <w:rPr>
                <w:rFonts w:ascii="Calibri" w:hAnsi="Calibri" w:cs="Calibri"/>
              </w:rPr>
              <w:t xml:space="preserve">       18,520 </w:t>
            </w:r>
          </w:p>
        </w:tc>
        <w:tc>
          <w:tcPr>
            <w:tcW w:w="1337" w:type="dxa"/>
            <w:tcBorders>
              <w:top w:val="nil"/>
              <w:left w:val="nil"/>
              <w:bottom w:val="nil"/>
              <w:right w:val="nil"/>
            </w:tcBorders>
            <w:shd w:val="clear" w:color="000000" w:fill="FFFFFF"/>
            <w:noWrap/>
            <w:vAlign w:val="bottom"/>
          </w:tcPr>
          <w:p w14:paraId="2D1EB584" w14:textId="35D8B50A" w:rsidR="00FE0DDD" w:rsidRPr="00AD54E4" w:rsidRDefault="00FE0DDD" w:rsidP="00FE0DDD">
            <w:pPr>
              <w:jc w:val="right"/>
              <w:rPr>
                <w:rFonts w:cstheme="minorHAnsi"/>
                <w:color w:val="000000" w:themeColor="text1"/>
              </w:rPr>
            </w:pPr>
            <w:r>
              <w:rPr>
                <w:rFonts w:ascii="Calibri" w:hAnsi="Calibri" w:cs="Calibri"/>
              </w:rPr>
              <w:t xml:space="preserve">         8,344 </w:t>
            </w:r>
          </w:p>
        </w:tc>
        <w:tc>
          <w:tcPr>
            <w:tcW w:w="1337" w:type="dxa"/>
            <w:tcBorders>
              <w:top w:val="nil"/>
              <w:left w:val="nil"/>
              <w:bottom w:val="nil"/>
              <w:right w:val="nil"/>
            </w:tcBorders>
            <w:shd w:val="clear" w:color="000000" w:fill="FFFFFF"/>
            <w:noWrap/>
            <w:vAlign w:val="bottom"/>
          </w:tcPr>
          <w:p w14:paraId="0E265456" w14:textId="59218634" w:rsidR="00FE0DDD" w:rsidRPr="00AD54E4" w:rsidRDefault="00FE0DDD" w:rsidP="00FE0DDD">
            <w:pPr>
              <w:jc w:val="right"/>
              <w:rPr>
                <w:rFonts w:cstheme="minorHAnsi"/>
                <w:color w:val="000000" w:themeColor="text1"/>
              </w:rPr>
            </w:pPr>
            <w:r>
              <w:rPr>
                <w:rFonts w:ascii="Calibri" w:hAnsi="Calibri" w:cs="Calibri"/>
              </w:rPr>
              <w:t>- </w:t>
            </w:r>
          </w:p>
        </w:tc>
        <w:tc>
          <w:tcPr>
            <w:tcW w:w="1337" w:type="dxa"/>
            <w:tcBorders>
              <w:top w:val="nil"/>
              <w:left w:val="nil"/>
              <w:bottom w:val="nil"/>
              <w:right w:val="nil"/>
            </w:tcBorders>
            <w:shd w:val="clear" w:color="auto" w:fill="auto"/>
            <w:vAlign w:val="bottom"/>
          </w:tcPr>
          <w:p w14:paraId="6F7E1060" w14:textId="7EA87F15" w:rsidR="00FE0DDD" w:rsidRPr="00AD54E4" w:rsidRDefault="00FE0DDD" w:rsidP="00FE0DDD">
            <w:pPr>
              <w:jc w:val="right"/>
              <w:rPr>
                <w:rFonts w:cstheme="minorHAnsi"/>
                <w:color w:val="000000" w:themeColor="text1"/>
              </w:rPr>
            </w:pPr>
            <w:r>
              <w:rPr>
                <w:rFonts w:cstheme="minorHAnsi"/>
                <w:color w:val="000000" w:themeColor="text1"/>
              </w:rPr>
              <w:t>-</w:t>
            </w:r>
          </w:p>
        </w:tc>
      </w:tr>
      <w:tr w:rsidR="00FE0DDD" w:rsidRPr="003323E0" w14:paraId="6D53DDEB" w14:textId="77777777" w:rsidTr="00A504DA">
        <w:trPr>
          <w:trHeight w:val="288"/>
          <w:jc w:val="center"/>
        </w:trPr>
        <w:tc>
          <w:tcPr>
            <w:tcW w:w="2392" w:type="dxa"/>
            <w:tcBorders>
              <w:top w:val="nil"/>
              <w:left w:val="nil"/>
              <w:bottom w:val="nil"/>
              <w:right w:val="nil"/>
            </w:tcBorders>
            <w:shd w:val="clear" w:color="000000" w:fill="FFFFFF"/>
            <w:noWrap/>
            <w:vAlign w:val="bottom"/>
          </w:tcPr>
          <w:p w14:paraId="0019A391" w14:textId="5DDD9E2A" w:rsidR="00FE0DDD" w:rsidRPr="00AD54E4" w:rsidRDefault="00FE0DDD" w:rsidP="00EE7A27">
            <w:pPr>
              <w:jc w:val="center"/>
              <w:rPr>
                <w:rFonts w:ascii="Calibri" w:eastAsia="Times New Roman" w:hAnsi="Calibri" w:cs="Calibri"/>
                <w:color w:val="0D0D0D"/>
              </w:rPr>
            </w:pPr>
            <w:r w:rsidRPr="00AD54E4">
              <w:rPr>
                <w:rFonts w:ascii="Calibri" w:eastAsia="Times New Roman" w:hAnsi="Calibri" w:cs="Calibri"/>
                <w:color w:val="0D0D0D"/>
              </w:rPr>
              <w:t>20</w:t>
            </w:r>
            <w:r>
              <w:rPr>
                <w:rFonts w:ascii="Calibri" w:eastAsia="Times New Roman" w:hAnsi="Calibri" w:cs="Calibri"/>
                <w:color w:val="0D0D0D"/>
              </w:rPr>
              <w:t>5</w:t>
            </w:r>
            <w:r w:rsidRPr="00AD54E4">
              <w:rPr>
                <w:rFonts w:ascii="Calibri" w:eastAsia="Times New Roman" w:hAnsi="Calibri" w:cs="Calibri"/>
                <w:color w:val="0D0D0D"/>
              </w:rPr>
              <w:t>9-</w:t>
            </w:r>
            <w:r w:rsidR="00EE7A27" w:rsidRPr="00AD54E4">
              <w:rPr>
                <w:rFonts w:ascii="Calibri" w:eastAsia="Times New Roman" w:hAnsi="Calibri" w:cs="Calibri"/>
                <w:color w:val="0D0D0D"/>
              </w:rPr>
              <w:t>20</w:t>
            </w:r>
            <w:r w:rsidR="00EE7A27">
              <w:rPr>
                <w:rFonts w:ascii="Calibri" w:eastAsia="Times New Roman" w:hAnsi="Calibri" w:cs="Calibri"/>
                <w:color w:val="0D0D0D"/>
              </w:rPr>
              <w:t>62</w:t>
            </w:r>
          </w:p>
        </w:tc>
        <w:tc>
          <w:tcPr>
            <w:tcW w:w="1337" w:type="dxa"/>
            <w:tcBorders>
              <w:top w:val="nil"/>
              <w:left w:val="nil"/>
              <w:bottom w:val="nil"/>
              <w:right w:val="nil"/>
            </w:tcBorders>
            <w:shd w:val="clear" w:color="000000" w:fill="FFFFFF"/>
            <w:noWrap/>
            <w:vAlign w:val="bottom"/>
          </w:tcPr>
          <w:p w14:paraId="72A4A7F5" w14:textId="5A2E6678" w:rsidR="00FE0DDD" w:rsidRPr="00AD54E4" w:rsidRDefault="00FE0DDD" w:rsidP="00FE0DDD">
            <w:pPr>
              <w:jc w:val="right"/>
              <w:rPr>
                <w:rFonts w:cstheme="minorHAnsi"/>
                <w:color w:val="000000" w:themeColor="text1"/>
              </w:rPr>
            </w:pPr>
            <w:r>
              <w:rPr>
                <w:rFonts w:ascii="Calibri" w:hAnsi="Calibri" w:cs="Calibri"/>
              </w:rPr>
              <w:t xml:space="preserve">       18,825 </w:t>
            </w:r>
          </w:p>
        </w:tc>
        <w:tc>
          <w:tcPr>
            <w:tcW w:w="1337" w:type="dxa"/>
            <w:tcBorders>
              <w:top w:val="nil"/>
              <w:left w:val="nil"/>
              <w:bottom w:val="nil"/>
              <w:right w:val="nil"/>
            </w:tcBorders>
            <w:shd w:val="clear" w:color="000000" w:fill="FFFFFF"/>
            <w:noWrap/>
            <w:vAlign w:val="bottom"/>
          </w:tcPr>
          <w:p w14:paraId="31CC65FE" w14:textId="55A60335" w:rsidR="00FE0DDD" w:rsidRPr="00AD54E4" w:rsidRDefault="00FE0DDD" w:rsidP="00FE0DDD">
            <w:pPr>
              <w:jc w:val="right"/>
              <w:rPr>
                <w:rFonts w:cstheme="minorHAnsi"/>
                <w:color w:val="000000" w:themeColor="text1"/>
              </w:rPr>
            </w:pPr>
            <w:r>
              <w:rPr>
                <w:rFonts w:ascii="Calibri" w:hAnsi="Calibri" w:cs="Calibri"/>
              </w:rPr>
              <w:t xml:space="preserve">         2,658 </w:t>
            </w:r>
          </w:p>
        </w:tc>
        <w:tc>
          <w:tcPr>
            <w:tcW w:w="1337" w:type="dxa"/>
            <w:tcBorders>
              <w:top w:val="nil"/>
              <w:left w:val="nil"/>
              <w:bottom w:val="nil"/>
              <w:right w:val="nil"/>
            </w:tcBorders>
            <w:shd w:val="clear" w:color="000000" w:fill="FFFFFF"/>
            <w:noWrap/>
            <w:vAlign w:val="bottom"/>
          </w:tcPr>
          <w:p w14:paraId="09719413" w14:textId="506C7DF1" w:rsidR="00FE0DDD" w:rsidRPr="00AD54E4" w:rsidRDefault="00FE0DDD" w:rsidP="00FE0DDD">
            <w:pPr>
              <w:jc w:val="right"/>
              <w:rPr>
                <w:rFonts w:cstheme="minorHAnsi"/>
                <w:color w:val="000000" w:themeColor="text1"/>
              </w:rPr>
            </w:pPr>
            <w:r>
              <w:rPr>
                <w:rFonts w:ascii="Calibri" w:hAnsi="Calibri" w:cs="Calibri"/>
              </w:rPr>
              <w:t>- </w:t>
            </w:r>
          </w:p>
        </w:tc>
        <w:tc>
          <w:tcPr>
            <w:tcW w:w="1337" w:type="dxa"/>
            <w:tcBorders>
              <w:top w:val="nil"/>
              <w:left w:val="nil"/>
              <w:bottom w:val="nil"/>
              <w:right w:val="nil"/>
            </w:tcBorders>
            <w:shd w:val="clear" w:color="auto" w:fill="auto"/>
            <w:vAlign w:val="bottom"/>
          </w:tcPr>
          <w:p w14:paraId="654A455D" w14:textId="17DA50AB" w:rsidR="00FE0DDD" w:rsidRPr="00AD54E4" w:rsidRDefault="00FE0DDD" w:rsidP="00FE0DDD">
            <w:pPr>
              <w:jc w:val="right"/>
              <w:rPr>
                <w:rFonts w:cstheme="minorHAnsi"/>
                <w:color w:val="000000" w:themeColor="text1"/>
              </w:rPr>
            </w:pPr>
            <w:r>
              <w:rPr>
                <w:rFonts w:cstheme="minorHAnsi"/>
                <w:color w:val="000000" w:themeColor="text1"/>
              </w:rPr>
              <w:t>-</w:t>
            </w:r>
          </w:p>
        </w:tc>
      </w:tr>
      <w:tr w:rsidR="00FE0DDD" w:rsidRPr="00F651F5" w14:paraId="7D5B1E4D" w14:textId="77777777" w:rsidTr="00A504DA">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37E03324" w14:textId="77777777" w:rsidR="00FE0DDD" w:rsidRPr="003323E0" w:rsidRDefault="00FE0DDD" w:rsidP="00FE0DDD">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auto"/>
              <w:left w:val="nil"/>
              <w:bottom w:val="double" w:sz="6" w:space="0" w:color="auto"/>
              <w:right w:val="nil"/>
            </w:tcBorders>
            <w:shd w:val="clear" w:color="auto" w:fill="auto"/>
            <w:noWrap/>
            <w:vAlign w:val="bottom"/>
            <w:hideMark/>
          </w:tcPr>
          <w:p w14:paraId="2F16B330" w14:textId="4999A5BA" w:rsidR="00FE0DDD" w:rsidRPr="00A504DA" w:rsidRDefault="00FE0DDD">
            <w:pPr>
              <w:jc w:val="right"/>
              <w:rPr>
                <w:rFonts w:eastAsia="Times New Roman" w:cstheme="minorHAnsi"/>
                <w:color w:val="000000" w:themeColor="text1"/>
              </w:rPr>
            </w:pPr>
            <w:r w:rsidRPr="00A504DA">
              <w:rPr>
                <w:rFonts w:cstheme="minorHAnsi"/>
                <w:color w:val="000000" w:themeColor="text1"/>
              </w:rPr>
              <w:t>$</w:t>
            </w:r>
            <w:r>
              <w:rPr>
                <w:rFonts w:cstheme="minorHAnsi"/>
                <w:color w:val="000000" w:themeColor="text1"/>
              </w:rPr>
              <w:t xml:space="preserve"> </w:t>
            </w:r>
            <w:r w:rsidRPr="00B476DC">
              <w:rPr>
                <w:rFonts w:cstheme="minorHAnsi"/>
                <w:color w:val="000000" w:themeColor="text1"/>
              </w:rPr>
              <w:t>206,235</w:t>
            </w:r>
          </w:p>
        </w:tc>
        <w:tc>
          <w:tcPr>
            <w:tcW w:w="1337" w:type="dxa"/>
            <w:tcBorders>
              <w:top w:val="single" w:sz="4" w:space="0" w:color="auto"/>
              <w:left w:val="nil"/>
              <w:bottom w:val="double" w:sz="6" w:space="0" w:color="auto"/>
              <w:right w:val="nil"/>
            </w:tcBorders>
            <w:shd w:val="clear" w:color="auto" w:fill="auto"/>
            <w:noWrap/>
            <w:vAlign w:val="bottom"/>
            <w:hideMark/>
          </w:tcPr>
          <w:p w14:paraId="14E4FA61" w14:textId="1FE809AC" w:rsidR="00FE0DDD" w:rsidRPr="00A504DA" w:rsidRDefault="00FE0DDD">
            <w:pPr>
              <w:jc w:val="right"/>
              <w:rPr>
                <w:rFonts w:eastAsia="Times New Roman" w:cstheme="minorHAnsi"/>
                <w:color w:val="000000" w:themeColor="text1"/>
              </w:rPr>
            </w:pPr>
            <w:r w:rsidRPr="00A504DA">
              <w:rPr>
                <w:rFonts w:cstheme="minorHAnsi"/>
                <w:color w:val="000000" w:themeColor="text1"/>
              </w:rPr>
              <w:t>$</w:t>
            </w:r>
            <w:r>
              <w:rPr>
                <w:rFonts w:cstheme="minorHAnsi"/>
                <w:color w:val="000000" w:themeColor="text1"/>
              </w:rPr>
              <w:t xml:space="preserve"> 152,228</w:t>
            </w:r>
          </w:p>
        </w:tc>
        <w:tc>
          <w:tcPr>
            <w:tcW w:w="1337" w:type="dxa"/>
            <w:tcBorders>
              <w:top w:val="single" w:sz="4" w:space="0" w:color="auto"/>
              <w:left w:val="nil"/>
              <w:bottom w:val="double" w:sz="6" w:space="0" w:color="auto"/>
              <w:right w:val="nil"/>
            </w:tcBorders>
            <w:shd w:val="clear" w:color="auto" w:fill="auto"/>
            <w:noWrap/>
            <w:vAlign w:val="bottom"/>
            <w:hideMark/>
          </w:tcPr>
          <w:p w14:paraId="2F6608B9" w14:textId="29DB3A05" w:rsidR="00FE0DDD" w:rsidRPr="00A504DA" w:rsidRDefault="00FE0DDD">
            <w:pPr>
              <w:jc w:val="right"/>
              <w:rPr>
                <w:rFonts w:eastAsia="Times New Roman" w:cstheme="minorHAnsi"/>
                <w:color w:val="000000" w:themeColor="text1"/>
              </w:rPr>
            </w:pPr>
            <w:r w:rsidRPr="00A504DA">
              <w:rPr>
                <w:rFonts w:cstheme="minorHAnsi"/>
                <w:color w:val="000000" w:themeColor="text1"/>
              </w:rPr>
              <w:t>$</w:t>
            </w:r>
            <w:r>
              <w:rPr>
                <w:rFonts w:cstheme="minorHAnsi"/>
                <w:color w:val="000000" w:themeColor="text1"/>
              </w:rPr>
              <w:t xml:space="preserve"> </w:t>
            </w:r>
            <w:r w:rsidR="00791A79">
              <w:rPr>
                <w:rFonts w:cstheme="minorHAnsi"/>
                <w:color w:val="000000" w:themeColor="text1"/>
              </w:rPr>
              <w:t>14,117</w:t>
            </w:r>
            <w:r w:rsidRPr="00A504DA">
              <w:rPr>
                <w:rFonts w:cstheme="minorHAnsi"/>
                <w:color w:val="000000" w:themeColor="text1"/>
              </w:rPr>
              <w:t xml:space="preserve"> </w:t>
            </w:r>
          </w:p>
        </w:tc>
        <w:tc>
          <w:tcPr>
            <w:tcW w:w="1337" w:type="dxa"/>
            <w:tcBorders>
              <w:top w:val="single" w:sz="4" w:space="0" w:color="auto"/>
              <w:left w:val="nil"/>
              <w:bottom w:val="double" w:sz="6" w:space="0" w:color="auto"/>
              <w:right w:val="nil"/>
            </w:tcBorders>
            <w:shd w:val="clear" w:color="auto" w:fill="auto"/>
            <w:vAlign w:val="bottom"/>
          </w:tcPr>
          <w:p w14:paraId="78695E7F" w14:textId="6127D40B" w:rsidR="00FE0DDD" w:rsidRPr="00A504DA" w:rsidRDefault="00FE0DDD">
            <w:pPr>
              <w:jc w:val="right"/>
              <w:rPr>
                <w:rFonts w:eastAsia="Times New Roman" w:cstheme="minorHAnsi"/>
                <w:color w:val="000000" w:themeColor="text1"/>
              </w:rPr>
            </w:pPr>
            <w:r w:rsidRPr="00A504DA">
              <w:rPr>
                <w:rFonts w:cstheme="minorHAnsi"/>
                <w:color w:val="000000" w:themeColor="text1"/>
              </w:rPr>
              <w:t>$</w:t>
            </w:r>
            <w:r>
              <w:rPr>
                <w:rFonts w:cstheme="minorHAnsi"/>
                <w:color w:val="000000" w:themeColor="text1"/>
              </w:rPr>
              <w:t>4,284</w:t>
            </w:r>
          </w:p>
        </w:tc>
      </w:tr>
    </w:tbl>
    <w:p w14:paraId="1FC585B0" w14:textId="74CC477E" w:rsidR="00B623F2" w:rsidRDefault="00DD1612" w:rsidP="001F30B7">
      <w:pPr>
        <w:tabs>
          <w:tab w:val="left" w:pos="540"/>
          <w:tab w:val="left" w:pos="630"/>
          <w:tab w:val="left" w:pos="1440"/>
          <w:tab w:val="decimal" w:pos="7020"/>
          <w:tab w:val="decimal" w:pos="9454"/>
        </w:tabs>
        <w:suppressAutoHyphens/>
        <w:spacing w:before="100" w:beforeAutospacing="1"/>
        <w:rPr>
          <w:rFonts w:cstheme="minorHAnsi"/>
          <w:spacing w:val="-3"/>
          <w:sz w:val="24"/>
        </w:rPr>
      </w:pPr>
      <w:r w:rsidRPr="00F54559">
        <w:rPr>
          <w:rFonts w:cstheme="minorHAnsi"/>
          <w:spacing w:val="-3"/>
          <w:sz w:val="24"/>
        </w:rPr>
        <w:t xml:space="preserve">Interest costs related to the revenue bonds for </w:t>
      </w:r>
      <w:r w:rsidR="005A0A02" w:rsidRPr="00F54559">
        <w:rPr>
          <w:rFonts w:cstheme="minorHAnsi"/>
          <w:spacing w:val="-3"/>
          <w:sz w:val="24"/>
        </w:rPr>
        <w:t>FY</w:t>
      </w:r>
      <w:r w:rsidR="005A0A02">
        <w:rPr>
          <w:rFonts w:cstheme="minorHAnsi"/>
          <w:spacing w:val="-3"/>
          <w:sz w:val="24"/>
        </w:rPr>
        <w:t>23</w:t>
      </w:r>
      <w:r w:rsidR="005A0A02" w:rsidRPr="00F54559">
        <w:rPr>
          <w:rFonts w:cstheme="minorHAnsi"/>
          <w:spacing w:val="-3"/>
          <w:sz w:val="24"/>
        </w:rPr>
        <w:t xml:space="preserve"> </w:t>
      </w:r>
      <w:r w:rsidRPr="00F54559">
        <w:rPr>
          <w:rFonts w:cstheme="minorHAnsi"/>
          <w:spacing w:val="-3"/>
          <w:sz w:val="24"/>
        </w:rPr>
        <w:t xml:space="preserve">and </w:t>
      </w:r>
      <w:r w:rsidR="005A0A02" w:rsidRPr="00F54559">
        <w:rPr>
          <w:rFonts w:cstheme="minorHAnsi"/>
          <w:spacing w:val="-3"/>
          <w:sz w:val="24"/>
        </w:rPr>
        <w:t>FY</w:t>
      </w:r>
      <w:r w:rsidR="005A0A02">
        <w:rPr>
          <w:rFonts w:cstheme="minorHAnsi"/>
          <w:spacing w:val="-3"/>
          <w:sz w:val="24"/>
        </w:rPr>
        <w:t>22</w:t>
      </w:r>
      <w:r w:rsidR="005A0A02" w:rsidRPr="00F54559">
        <w:rPr>
          <w:rFonts w:cstheme="minorHAnsi"/>
          <w:spacing w:val="-3"/>
          <w:sz w:val="24"/>
        </w:rPr>
        <w:t xml:space="preserve"> </w:t>
      </w:r>
      <w:r w:rsidRPr="00F54559">
        <w:rPr>
          <w:rFonts w:cstheme="minorHAnsi"/>
          <w:spacing w:val="-3"/>
          <w:sz w:val="24"/>
        </w:rPr>
        <w:t xml:space="preserve">were </w:t>
      </w:r>
      <w:r w:rsidRPr="00142620">
        <w:rPr>
          <w:rFonts w:cstheme="minorHAnsi"/>
          <w:spacing w:val="-3"/>
          <w:sz w:val="24"/>
        </w:rPr>
        <w:t>$</w:t>
      </w:r>
      <w:r w:rsidR="00542BCF" w:rsidRPr="00316B2A">
        <w:rPr>
          <w:rFonts w:cstheme="minorHAnsi"/>
          <w:spacing w:val="-3"/>
          <w:sz w:val="24"/>
        </w:rPr>
        <w:t>7,970</w:t>
      </w:r>
      <w:r w:rsidRPr="000B1BE8">
        <w:rPr>
          <w:rFonts w:cstheme="minorHAnsi"/>
          <w:spacing w:val="-3"/>
          <w:sz w:val="24"/>
        </w:rPr>
        <w:t xml:space="preserve"> </w:t>
      </w:r>
      <w:r>
        <w:rPr>
          <w:rFonts w:cstheme="minorHAnsi"/>
          <w:spacing w:val="-3"/>
          <w:sz w:val="24"/>
        </w:rPr>
        <w:t>and $</w:t>
      </w:r>
      <w:r w:rsidR="005A0A02" w:rsidRPr="00FB2070">
        <w:rPr>
          <w:rFonts w:cstheme="minorHAnsi"/>
          <w:spacing w:val="-3"/>
          <w:sz w:val="24"/>
        </w:rPr>
        <w:t>3</w:t>
      </w:r>
      <w:r w:rsidR="005A0A02">
        <w:rPr>
          <w:rFonts w:cstheme="minorHAnsi"/>
          <w:spacing w:val="-3"/>
          <w:sz w:val="24"/>
        </w:rPr>
        <w:t>,</w:t>
      </w:r>
      <w:r w:rsidR="005A0A02" w:rsidRPr="00E13594">
        <w:rPr>
          <w:rFonts w:cstheme="minorHAnsi"/>
          <w:spacing w:val="-3"/>
          <w:sz w:val="24"/>
        </w:rPr>
        <w:t>408</w:t>
      </w:r>
      <w:r w:rsidRPr="00F54559">
        <w:rPr>
          <w:rFonts w:cstheme="minorHAnsi"/>
          <w:spacing w:val="-3"/>
          <w:sz w:val="24"/>
        </w:rPr>
        <w:t>, respectively.</w:t>
      </w:r>
    </w:p>
    <w:p w14:paraId="6BE33CDE" w14:textId="5DC768A9" w:rsidR="00A665D4" w:rsidRDefault="00A665D4" w:rsidP="000842F5">
      <w:pPr>
        <w:spacing w:before="120" w:after="160" w:line="259" w:lineRule="auto"/>
        <w:rPr>
          <w:rFonts w:cstheme="minorHAnsi"/>
          <w:spacing w:val="-3"/>
          <w:sz w:val="24"/>
        </w:rPr>
      </w:pPr>
      <w:r>
        <w:rPr>
          <w:rStyle w:val="AFR5Char"/>
        </w:rPr>
        <w:t>Issuance of 2022 Series A Revenue Bonds</w:t>
      </w:r>
    </w:p>
    <w:p w14:paraId="6CF1012E" w14:textId="26190278" w:rsidR="000F743B" w:rsidRDefault="00A665D4">
      <w:pPr>
        <w:spacing w:after="160" w:line="259" w:lineRule="auto"/>
        <w:rPr>
          <w:rFonts w:cstheme="minorHAnsi"/>
          <w:spacing w:val="-3"/>
          <w:sz w:val="24"/>
        </w:rPr>
      </w:pPr>
      <w:r>
        <w:rPr>
          <w:rFonts w:cstheme="minorHAnsi"/>
          <w:spacing w:val="-3"/>
          <w:sz w:val="24"/>
        </w:rPr>
        <w:t xml:space="preserve">On July </w:t>
      </w:r>
      <w:r w:rsidR="000F743B">
        <w:rPr>
          <w:rFonts w:cstheme="minorHAnsi"/>
          <w:spacing w:val="-3"/>
          <w:sz w:val="24"/>
        </w:rPr>
        <w:t>20</w:t>
      </w:r>
      <w:r>
        <w:rPr>
          <w:rFonts w:cstheme="minorHAnsi"/>
          <w:spacing w:val="-3"/>
          <w:sz w:val="24"/>
        </w:rPr>
        <w:t xml:space="preserve">, 2022, the System issued $120,325 of 2022 Series A Revenue Bonds </w:t>
      </w:r>
      <w:r w:rsidR="000F743B">
        <w:rPr>
          <w:rFonts w:cstheme="minorHAnsi"/>
          <w:spacing w:val="-3"/>
          <w:sz w:val="24"/>
        </w:rPr>
        <w:t xml:space="preserve">to pay off $43,000 of bond anticipation notes and to provide $83,396 for new projects. </w:t>
      </w:r>
      <w:r w:rsidR="005C2889">
        <w:rPr>
          <w:rFonts w:cstheme="minorHAnsi"/>
          <w:spacing w:val="-3"/>
          <w:sz w:val="24"/>
        </w:rPr>
        <w:t>An escrow account was not needed because the bond anticipation notes matured in July 2022 and could be paid off in advance of the final maturity date without penalty.</w:t>
      </w:r>
    </w:p>
    <w:p w14:paraId="6C6D105E" w14:textId="2D1627A4" w:rsidR="000F743B" w:rsidRDefault="000F743B" w:rsidP="000F743B">
      <w:pPr>
        <w:spacing w:before="120" w:after="160" w:line="259" w:lineRule="auto"/>
        <w:rPr>
          <w:rFonts w:cstheme="minorHAnsi"/>
          <w:spacing w:val="-3"/>
          <w:sz w:val="24"/>
        </w:rPr>
      </w:pPr>
      <w:r>
        <w:rPr>
          <w:rStyle w:val="AFR5Char"/>
        </w:rPr>
        <w:t>Issuance of 2023 Series A Revenue Bonds</w:t>
      </w:r>
    </w:p>
    <w:p w14:paraId="736472C9" w14:textId="77777777" w:rsidR="00375348" w:rsidRDefault="000F743B">
      <w:pPr>
        <w:spacing w:after="160" w:line="259" w:lineRule="auto"/>
        <w:rPr>
          <w:rFonts w:cstheme="minorHAnsi"/>
          <w:spacing w:val="-3"/>
          <w:sz w:val="24"/>
        </w:rPr>
      </w:pPr>
      <w:r>
        <w:rPr>
          <w:rFonts w:cstheme="minorHAnsi"/>
          <w:spacing w:val="-3"/>
          <w:sz w:val="24"/>
        </w:rPr>
        <w:t>On May 24, 2023, the System issued $</w:t>
      </w:r>
      <w:r w:rsidR="00A51C4D">
        <w:rPr>
          <w:rFonts w:cstheme="minorHAnsi"/>
          <w:spacing w:val="-3"/>
          <w:sz w:val="24"/>
        </w:rPr>
        <w:t>37,510</w:t>
      </w:r>
      <w:r>
        <w:rPr>
          <w:rFonts w:cstheme="minorHAnsi"/>
          <w:spacing w:val="-3"/>
          <w:sz w:val="24"/>
        </w:rPr>
        <w:t xml:space="preserve"> of 2023 Series A Revenue Bonds to currently refund $38,190 of 2013 Series A Revenue Bonds and to provide $2,850 for projects. The System completed the refunding to reduce its total debt service payments over the following twelve years</w:t>
      </w:r>
      <w:r w:rsidR="008526C1">
        <w:rPr>
          <w:rFonts w:cstheme="minorHAnsi"/>
          <w:spacing w:val="-3"/>
          <w:sz w:val="24"/>
        </w:rPr>
        <w:t xml:space="preserve"> by $3,023 and to obtain economic gain (difference between the present values of the old and new debt service payments) of $2,174. The principal amount of debt refunded through in-substance </w:t>
      </w:r>
    </w:p>
    <w:p w14:paraId="0DA8CBAC" w14:textId="6972DB31" w:rsidR="00375348" w:rsidRPr="004D2BFE" w:rsidRDefault="007D573B" w:rsidP="00952F13">
      <w:pPr>
        <w:spacing w:after="120" w:line="259" w:lineRule="auto"/>
        <w:rPr>
          <w:rFonts w:cstheme="minorHAnsi"/>
          <w:b/>
          <w:i/>
          <w:spacing w:val="-3"/>
          <w:sz w:val="26"/>
          <w:szCs w:val="26"/>
          <w:u w:val="single"/>
        </w:rPr>
      </w:pPr>
      <w:r>
        <w:rPr>
          <w:rFonts w:cstheme="minorHAnsi"/>
          <w:b/>
          <w:i/>
          <w:noProof/>
          <w:spacing w:val="-2"/>
          <w:sz w:val="26"/>
          <w:szCs w:val="26"/>
          <w:u w:val="single"/>
        </w:rPr>
        <w:lastRenderedPageBreak/>
        <w:t>7</w:t>
      </w:r>
      <w:r w:rsidR="00375348" w:rsidRPr="004D2BFE">
        <w:rPr>
          <w:rFonts w:cstheme="minorHAnsi"/>
          <w:b/>
          <w:i/>
          <w:noProof/>
          <w:spacing w:val="-2"/>
          <w:sz w:val="26"/>
          <w:szCs w:val="26"/>
          <w:u w:val="single"/>
        </w:rPr>
        <w:t xml:space="preserve">b. </w:t>
      </w:r>
      <w:r w:rsidR="00375348" w:rsidRPr="004D2BFE">
        <w:rPr>
          <w:rFonts w:cstheme="minorHAnsi"/>
          <w:b/>
          <w:i/>
          <w:sz w:val="26"/>
          <w:szCs w:val="26"/>
          <w:u w:val="single"/>
        </w:rPr>
        <w:t>Bonds Payable and Direct Borrowings - continued</w:t>
      </w:r>
    </w:p>
    <w:p w14:paraId="63EE8BD4" w14:textId="2CA9EAFE" w:rsidR="008526C1" w:rsidRDefault="008526C1">
      <w:pPr>
        <w:spacing w:after="160" w:line="259" w:lineRule="auto"/>
        <w:rPr>
          <w:rFonts w:cstheme="minorHAnsi"/>
          <w:spacing w:val="-3"/>
          <w:sz w:val="24"/>
        </w:rPr>
      </w:pPr>
      <w:r>
        <w:rPr>
          <w:rFonts w:cstheme="minorHAnsi"/>
          <w:spacing w:val="-3"/>
          <w:sz w:val="24"/>
        </w:rPr>
        <w:t>defeasance was $38,190. The amount still outstanding at June 30, 2023 was $0. Refunding bond proceeds of $38,582 were placed in an escrow account to pay the interest due on the refunded bonds and to retire the bonds on their respective call dates</w:t>
      </w:r>
      <w:r w:rsidR="00A51C4D">
        <w:rPr>
          <w:rFonts w:cstheme="minorHAnsi"/>
          <w:spacing w:val="-3"/>
          <w:sz w:val="24"/>
        </w:rPr>
        <w:t>,</w:t>
      </w:r>
      <w:r>
        <w:rPr>
          <w:rFonts w:cstheme="minorHAnsi"/>
          <w:spacing w:val="-3"/>
          <w:sz w:val="24"/>
        </w:rPr>
        <w:t xml:space="preserve"> which was June 23, 2023.</w:t>
      </w:r>
    </w:p>
    <w:p w14:paraId="5BDFB092" w14:textId="2EC8C697" w:rsidR="00B623F2" w:rsidRDefault="008526C1">
      <w:pPr>
        <w:spacing w:after="160" w:line="259" w:lineRule="auto"/>
        <w:rPr>
          <w:rFonts w:cstheme="minorHAnsi"/>
          <w:spacing w:val="-3"/>
          <w:sz w:val="24"/>
        </w:rPr>
      </w:pPr>
      <w:r>
        <w:rPr>
          <w:rFonts w:cstheme="minorHAnsi"/>
          <w:spacing w:val="-3"/>
          <w:sz w:val="24"/>
        </w:rPr>
        <w:t xml:space="preserve">The refunding of the 2013 Series A bonds resulted in a deferred amount on refunding of ($869) which represents the difference between the reacquisition price and the carrying value of the refunded bonds. Amortization of this deferred amount on refunding will be charged to operations as additional interest expense through the year </w:t>
      </w:r>
      <w:r w:rsidR="005C2889">
        <w:rPr>
          <w:rFonts w:cstheme="minorHAnsi"/>
          <w:spacing w:val="-3"/>
          <w:sz w:val="24"/>
        </w:rPr>
        <w:t>FY34. The unamortized portion of the deferred amount on refunding, which was ($869) and $0 as of June 30, 2023 and 2022, respectively, is included in deferred outflows in the accompanying Statements of Net Position.</w:t>
      </w:r>
    </w:p>
    <w:p w14:paraId="2AB18587" w14:textId="57530758" w:rsidR="00DD1612" w:rsidRDefault="00DD1612" w:rsidP="00952F13">
      <w:pPr>
        <w:pStyle w:val="AFR2"/>
        <w:spacing w:before="240"/>
        <w:rPr>
          <w:rFonts w:cstheme="minorHAnsi"/>
          <w:bCs/>
          <w:spacing w:val="-3"/>
          <w:sz w:val="24"/>
        </w:rPr>
      </w:pPr>
      <w:r>
        <w:rPr>
          <w:rFonts w:cstheme="minorHAnsi"/>
          <w:sz w:val="26"/>
          <w:szCs w:val="26"/>
        </w:rPr>
        <w:t>8</w:t>
      </w:r>
      <w:r w:rsidRPr="00F54559">
        <w:rPr>
          <w:rFonts w:cstheme="minorHAnsi"/>
          <w:sz w:val="26"/>
          <w:szCs w:val="26"/>
        </w:rPr>
        <w:t xml:space="preserve">. </w:t>
      </w:r>
      <w:r>
        <w:rPr>
          <w:rFonts w:cstheme="minorHAnsi"/>
          <w:sz w:val="26"/>
          <w:szCs w:val="26"/>
        </w:rPr>
        <w:t>UNEARNED REVENUE AND DEPOSITS</w:t>
      </w:r>
    </w:p>
    <w:p w14:paraId="3685A109" w14:textId="77777777" w:rsidR="00D87E82" w:rsidRDefault="00DD1612" w:rsidP="00DD1612">
      <w:pPr>
        <w:tabs>
          <w:tab w:val="left" w:pos="1440"/>
          <w:tab w:val="decimal" w:pos="6786"/>
          <w:tab w:val="decimal" w:pos="9187"/>
        </w:tabs>
        <w:suppressAutoHyphens/>
        <w:spacing w:before="120" w:after="240"/>
        <w:rPr>
          <w:rFonts w:cstheme="minorHAnsi"/>
          <w:bCs/>
          <w:spacing w:val="-3"/>
          <w:sz w:val="24"/>
        </w:rPr>
      </w:pPr>
      <w:r w:rsidRPr="00F54559">
        <w:rPr>
          <w:rFonts w:cstheme="minorHAnsi"/>
          <w:bCs/>
          <w:spacing w:val="-3"/>
          <w:sz w:val="24"/>
        </w:rPr>
        <w:t>Unearned revenue and deposits as of June 30 consist of the following:</w:t>
      </w:r>
    </w:p>
    <w:tbl>
      <w:tblPr>
        <w:tblW w:w="10355" w:type="dxa"/>
        <w:tblLook w:val="04A0" w:firstRow="1" w:lastRow="0" w:firstColumn="1" w:lastColumn="0" w:noHBand="0" w:noVBand="1"/>
      </w:tblPr>
      <w:tblGrid>
        <w:gridCol w:w="3870"/>
        <w:gridCol w:w="940"/>
        <w:gridCol w:w="990"/>
        <w:gridCol w:w="1298"/>
        <w:gridCol w:w="998"/>
        <w:gridCol w:w="990"/>
        <w:gridCol w:w="1269"/>
      </w:tblGrid>
      <w:tr w:rsidR="00D87E82" w:rsidRPr="00DE5CB9" w14:paraId="7FFD27AE" w14:textId="77777777" w:rsidTr="00B64C2B">
        <w:trPr>
          <w:trHeight w:val="300"/>
        </w:trPr>
        <w:tc>
          <w:tcPr>
            <w:tcW w:w="3870" w:type="dxa"/>
            <w:tcBorders>
              <w:top w:val="nil"/>
              <w:left w:val="nil"/>
              <w:bottom w:val="single" w:sz="12" w:space="0" w:color="00688D"/>
              <w:right w:val="nil"/>
            </w:tcBorders>
            <w:shd w:val="clear" w:color="000000" w:fill="FFFFFF"/>
            <w:noWrap/>
            <w:vAlign w:val="bottom"/>
            <w:hideMark/>
          </w:tcPr>
          <w:p w14:paraId="127C8161" w14:textId="77777777" w:rsidR="00D87E82" w:rsidRPr="00DE5CB9" w:rsidRDefault="00D87E82" w:rsidP="00BD2A40">
            <w:pPr>
              <w:rPr>
                <w:rFonts w:ascii="Calibri" w:eastAsia="Times New Roman" w:hAnsi="Calibri" w:cs="Calibri"/>
                <w:b/>
                <w:bCs/>
                <w:color w:val="0D0D0D"/>
              </w:rPr>
            </w:pPr>
            <w:r w:rsidRPr="00DE5CB9">
              <w:rPr>
                <w:rFonts w:ascii="Calibri" w:eastAsia="Times New Roman" w:hAnsi="Calibri" w:cs="Calibri"/>
                <w:b/>
                <w:bCs/>
                <w:color w:val="0D0D0D"/>
              </w:rPr>
              <w:t> </w:t>
            </w:r>
          </w:p>
        </w:tc>
        <w:tc>
          <w:tcPr>
            <w:tcW w:w="3228" w:type="dxa"/>
            <w:gridSpan w:val="3"/>
            <w:tcBorders>
              <w:top w:val="nil"/>
              <w:left w:val="nil"/>
              <w:bottom w:val="single" w:sz="12" w:space="0" w:color="00688D"/>
              <w:right w:val="nil"/>
            </w:tcBorders>
            <w:shd w:val="clear" w:color="000000" w:fill="FFFFFF"/>
            <w:noWrap/>
            <w:vAlign w:val="bottom"/>
            <w:hideMark/>
          </w:tcPr>
          <w:p w14:paraId="4D7C1A50"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2023</w:t>
            </w:r>
          </w:p>
        </w:tc>
        <w:tc>
          <w:tcPr>
            <w:tcW w:w="3257" w:type="dxa"/>
            <w:gridSpan w:val="3"/>
            <w:tcBorders>
              <w:top w:val="nil"/>
              <w:left w:val="nil"/>
              <w:bottom w:val="single" w:sz="12" w:space="0" w:color="00688D"/>
              <w:right w:val="nil"/>
            </w:tcBorders>
            <w:shd w:val="clear" w:color="auto" w:fill="F2F2F2" w:themeFill="background1" w:themeFillShade="F2"/>
            <w:noWrap/>
            <w:vAlign w:val="bottom"/>
            <w:hideMark/>
          </w:tcPr>
          <w:p w14:paraId="0D4A6647" w14:textId="77777777" w:rsidR="00D87E82"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2022</w:t>
            </w:r>
            <w:r>
              <w:rPr>
                <w:rFonts w:ascii="Calibri" w:eastAsia="Times New Roman" w:hAnsi="Calibri" w:cs="Calibri"/>
                <w:b/>
                <w:bCs/>
                <w:color w:val="0D0D0D"/>
              </w:rPr>
              <w:t xml:space="preserve"> </w:t>
            </w:r>
          </w:p>
          <w:p w14:paraId="2D0A521F" w14:textId="6CB8EC34" w:rsidR="00D87E82" w:rsidRPr="00DE5CB9" w:rsidRDefault="00D87E82" w:rsidP="00BD2A40">
            <w:pPr>
              <w:jc w:val="center"/>
              <w:rPr>
                <w:rFonts w:ascii="Calibri" w:eastAsia="Times New Roman" w:hAnsi="Calibri" w:cs="Calibri"/>
                <w:b/>
                <w:bCs/>
                <w:color w:val="0D0D0D"/>
              </w:rPr>
            </w:pPr>
            <w:r>
              <w:rPr>
                <w:rFonts w:ascii="Calibri" w:eastAsia="Times New Roman" w:hAnsi="Calibri" w:cs="Calibri"/>
                <w:b/>
                <w:bCs/>
                <w:color w:val="0D0D0D"/>
              </w:rPr>
              <w:t>Restated</w:t>
            </w:r>
          </w:p>
        </w:tc>
      </w:tr>
      <w:tr w:rsidR="00D87E82" w:rsidRPr="00DE5CB9" w14:paraId="4381A426" w14:textId="77777777" w:rsidTr="00952F13">
        <w:trPr>
          <w:trHeight w:val="609"/>
        </w:trPr>
        <w:tc>
          <w:tcPr>
            <w:tcW w:w="3870" w:type="dxa"/>
            <w:tcBorders>
              <w:top w:val="nil"/>
              <w:left w:val="nil"/>
              <w:bottom w:val="single" w:sz="12" w:space="0" w:color="00688D"/>
              <w:right w:val="nil"/>
            </w:tcBorders>
            <w:shd w:val="clear" w:color="000000" w:fill="FFFFFF"/>
            <w:noWrap/>
            <w:vAlign w:val="bottom"/>
            <w:hideMark/>
          </w:tcPr>
          <w:p w14:paraId="2DE835CC" w14:textId="77777777" w:rsidR="00D87E82" w:rsidRPr="00DE5CB9" w:rsidRDefault="00D87E82" w:rsidP="00BD2A40">
            <w:pPr>
              <w:rPr>
                <w:rFonts w:ascii="Calibri" w:eastAsia="Times New Roman" w:hAnsi="Calibri" w:cs="Calibri"/>
                <w:b/>
                <w:bCs/>
                <w:color w:val="0D0D0D"/>
              </w:rPr>
            </w:pPr>
            <w:r w:rsidRPr="00DE5CB9">
              <w:rPr>
                <w:rFonts w:ascii="Calibri" w:eastAsia="Times New Roman" w:hAnsi="Calibri" w:cs="Calibri"/>
                <w:b/>
                <w:bCs/>
                <w:color w:val="0D0D0D"/>
              </w:rPr>
              <w:t> </w:t>
            </w:r>
          </w:p>
        </w:tc>
        <w:tc>
          <w:tcPr>
            <w:tcW w:w="940" w:type="dxa"/>
            <w:tcBorders>
              <w:top w:val="nil"/>
              <w:left w:val="nil"/>
              <w:bottom w:val="single" w:sz="12" w:space="0" w:color="00688D"/>
              <w:right w:val="nil"/>
            </w:tcBorders>
            <w:shd w:val="clear" w:color="000000" w:fill="FFFFFF"/>
            <w:noWrap/>
            <w:vAlign w:val="bottom"/>
            <w:hideMark/>
          </w:tcPr>
          <w:p w14:paraId="4064A90D"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Total</w:t>
            </w:r>
          </w:p>
        </w:tc>
        <w:tc>
          <w:tcPr>
            <w:tcW w:w="990" w:type="dxa"/>
            <w:tcBorders>
              <w:top w:val="nil"/>
              <w:left w:val="nil"/>
              <w:bottom w:val="single" w:sz="12" w:space="0" w:color="00688D"/>
              <w:right w:val="nil"/>
            </w:tcBorders>
            <w:shd w:val="clear" w:color="000000" w:fill="FFFFFF"/>
            <w:vAlign w:val="bottom"/>
            <w:hideMark/>
          </w:tcPr>
          <w:p w14:paraId="70B63EAC"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Current</w:t>
            </w:r>
            <w:r w:rsidRPr="00DE5CB9">
              <w:rPr>
                <w:rFonts w:ascii="Calibri" w:eastAsia="Times New Roman" w:hAnsi="Calibri" w:cs="Calibri"/>
                <w:b/>
                <w:bCs/>
                <w:color w:val="0D0D0D"/>
              </w:rPr>
              <w:br/>
              <w:t>Portion</w:t>
            </w:r>
          </w:p>
        </w:tc>
        <w:tc>
          <w:tcPr>
            <w:tcW w:w="1298" w:type="dxa"/>
            <w:tcBorders>
              <w:top w:val="nil"/>
              <w:left w:val="nil"/>
              <w:bottom w:val="single" w:sz="12" w:space="0" w:color="00688D"/>
              <w:right w:val="nil"/>
            </w:tcBorders>
            <w:shd w:val="clear" w:color="000000" w:fill="FFFFFF"/>
            <w:vAlign w:val="bottom"/>
            <w:hideMark/>
          </w:tcPr>
          <w:p w14:paraId="1A8F3C5B"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 xml:space="preserve">Noncurrent </w:t>
            </w:r>
            <w:r w:rsidRPr="00DE5CB9">
              <w:rPr>
                <w:rFonts w:ascii="Calibri" w:eastAsia="Times New Roman" w:hAnsi="Calibri" w:cs="Calibri"/>
                <w:b/>
                <w:bCs/>
                <w:color w:val="0D0D0D"/>
              </w:rPr>
              <w:br/>
              <w:t>Portion</w:t>
            </w:r>
          </w:p>
        </w:tc>
        <w:tc>
          <w:tcPr>
            <w:tcW w:w="998" w:type="dxa"/>
            <w:tcBorders>
              <w:top w:val="nil"/>
              <w:left w:val="nil"/>
              <w:bottom w:val="single" w:sz="12" w:space="0" w:color="00688D"/>
              <w:right w:val="nil"/>
            </w:tcBorders>
            <w:shd w:val="clear" w:color="auto" w:fill="F2F2F2" w:themeFill="background1" w:themeFillShade="F2"/>
            <w:noWrap/>
            <w:vAlign w:val="bottom"/>
            <w:hideMark/>
          </w:tcPr>
          <w:p w14:paraId="040B29E2"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Total</w:t>
            </w:r>
          </w:p>
        </w:tc>
        <w:tc>
          <w:tcPr>
            <w:tcW w:w="990" w:type="dxa"/>
            <w:tcBorders>
              <w:top w:val="nil"/>
              <w:left w:val="nil"/>
              <w:bottom w:val="single" w:sz="12" w:space="0" w:color="00688D"/>
              <w:right w:val="nil"/>
            </w:tcBorders>
            <w:shd w:val="clear" w:color="auto" w:fill="F2F2F2" w:themeFill="background1" w:themeFillShade="F2"/>
            <w:vAlign w:val="bottom"/>
            <w:hideMark/>
          </w:tcPr>
          <w:p w14:paraId="3B5266C5"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Current</w:t>
            </w:r>
            <w:r w:rsidRPr="00DE5CB9">
              <w:rPr>
                <w:rFonts w:ascii="Calibri" w:eastAsia="Times New Roman" w:hAnsi="Calibri" w:cs="Calibri"/>
                <w:b/>
                <w:bCs/>
                <w:color w:val="0D0D0D"/>
              </w:rPr>
              <w:br/>
              <w:t>Portion</w:t>
            </w:r>
          </w:p>
        </w:tc>
        <w:tc>
          <w:tcPr>
            <w:tcW w:w="1269" w:type="dxa"/>
            <w:tcBorders>
              <w:top w:val="nil"/>
              <w:left w:val="nil"/>
              <w:bottom w:val="single" w:sz="12" w:space="0" w:color="00688D"/>
              <w:right w:val="nil"/>
            </w:tcBorders>
            <w:shd w:val="clear" w:color="auto" w:fill="F2F2F2" w:themeFill="background1" w:themeFillShade="F2"/>
            <w:vAlign w:val="bottom"/>
            <w:hideMark/>
          </w:tcPr>
          <w:p w14:paraId="633D58B9" w14:textId="77777777" w:rsidR="00D87E82" w:rsidRPr="00DE5CB9" w:rsidRDefault="00D87E82" w:rsidP="00BD2A40">
            <w:pPr>
              <w:jc w:val="center"/>
              <w:rPr>
                <w:rFonts w:ascii="Calibri" w:eastAsia="Times New Roman" w:hAnsi="Calibri" w:cs="Calibri"/>
                <w:b/>
                <w:bCs/>
                <w:color w:val="0D0D0D"/>
              </w:rPr>
            </w:pPr>
            <w:r w:rsidRPr="00DE5CB9">
              <w:rPr>
                <w:rFonts w:ascii="Calibri" w:eastAsia="Times New Roman" w:hAnsi="Calibri" w:cs="Calibri"/>
                <w:b/>
                <w:bCs/>
                <w:color w:val="0D0D0D"/>
              </w:rPr>
              <w:t xml:space="preserve">Noncurrent </w:t>
            </w:r>
            <w:r w:rsidRPr="00DE5CB9">
              <w:rPr>
                <w:rFonts w:ascii="Calibri" w:eastAsia="Times New Roman" w:hAnsi="Calibri" w:cs="Calibri"/>
                <w:b/>
                <w:bCs/>
                <w:color w:val="0D0D0D"/>
              </w:rPr>
              <w:br/>
              <w:t>Portion</w:t>
            </w:r>
          </w:p>
        </w:tc>
      </w:tr>
      <w:tr w:rsidR="00D87E82" w:rsidRPr="006330E0" w14:paraId="5C920D3E" w14:textId="77777777" w:rsidTr="0048737B">
        <w:trPr>
          <w:trHeight w:val="420"/>
        </w:trPr>
        <w:tc>
          <w:tcPr>
            <w:tcW w:w="3870" w:type="dxa"/>
            <w:tcBorders>
              <w:top w:val="nil"/>
              <w:left w:val="nil"/>
              <w:bottom w:val="nil"/>
              <w:right w:val="nil"/>
            </w:tcBorders>
            <w:shd w:val="clear" w:color="000000" w:fill="FFFFFF"/>
            <w:noWrap/>
            <w:vAlign w:val="bottom"/>
            <w:hideMark/>
          </w:tcPr>
          <w:p w14:paraId="5F8311B5" w14:textId="7B0F81BA" w:rsidR="00D87E82" w:rsidRPr="0048737B" w:rsidRDefault="00D87E82" w:rsidP="00D87E82">
            <w:pPr>
              <w:rPr>
                <w:rFonts w:eastAsia="Times New Roman" w:cstheme="minorHAnsi"/>
                <w:color w:val="0D0D0D"/>
              </w:rPr>
            </w:pPr>
            <w:r w:rsidRPr="0048737B">
              <w:rPr>
                <w:rFonts w:cstheme="minorHAnsi"/>
                <w:color w:val="000000"/>
              </w:rPr>
              <w:t>Unearned grant advances</w:t>
            </w:r>
          </w:p>
        </w:tc>
        <w:tc>
          <w:tcPr>
            <w:tcW w:w="940" w:type="dxa"/>
            <w:tcBorders>
              <w:top w:val="nil"/>
              <w:left w:val="nil"/>
              <w:bottom w:val="nil"/>
              <w:right w:val="nil"/>
            </w:tcBorders>
            <w:shd w:val="clear" w:color="000000" w:fill="FFFFFF"/>
            <w:noWrap/>
            <w:vAlign w:val="bottom"/>
            <w:hideMark/>
          </w:tcPr>
          <w:p w14:paraId="424B26AB" w14:textId="7A411C31" w:rsidR="00D87E82" w:rsidRPr="0048737B" w:rsidRDefault="00532141" w:rsidP="0048737B">
            <w:pPr>
              <w:rPr>
                <w:rFonts w:eastAsia="Times New Roman" w:cstheme="minorHAnsi"/>
              </w:rPr>
            </w:pPr>
            <w:r w:rsidRPr="0048737B">
              <w:rPr>
                <w:rFonts w:cstheme="minorHAnsi"/>
              </w:rPr>
              <w:t>$</w:t>
            </w:r>
            <w:r w:rsidR="00D87E82" w:rsidRPr="0048737B">
              <w:rPr>
                <w:rFonts w:cstheme="minorHAnsi"/>
              </w:rPr>
              <w:t xml:space="preserve">14,386 </w:t>
            </w:r>
          </w:p>
        </w:tc>
        <w:tc>
          <w:tcPr>
            <w:tcW w:w="990" w:type="dxa"/>
            <w:tcBorders>
              <w:top w:val="nil"/>
              <w:left w:val="nil"/>
              <w:bottom w:val="nil"/>
              <w:right w:val="nil"/>
            </w:tcBorders>
            <w:shd w:val="clear" w:color="000000" w:fill="FFFFFF"/>
            <w:noWrap/>
            <w:vAlign w:val="bottom"/>
            <w:hideMark/>
          </w:tcPr>
          <w:p w14:paraId="581746C3" w14:textId="19B481CC" w:rsidR="00D87E82" w:rsidRPr="0048737B" w:rsidRDefault="00532141" w:rsidP="00D87E82">
            <w:pPr>
              <w:jc w:val="right"/>
              <w:rPr>
                <w:rFonts w:eastAsia="Times New Roman" w:cstheme="minorHAnsi"/>
                <w:color w:val="000000"/>
              </w:rPr>
            </w:pPr>
            <w:r w:rsidRPr="0048737B">
              <w:rPr>
                <w:rFonts w:cstheme="minorHAnsi"/>
                <w:color w:val="000000"/>
              </w:rPr>
              <w:t xml:space="preserve"> $</w:t>
            </w:r>
            <w:r w:rsidR="00D87E82" w:rsidRPr="0048737B">
              <w:rPr>
                <w:rFonts w:cstheme="minorHAnsi"/>
                <w:color w:val="000000"/>
              </w:rPr>
              <w:t xml:space="preserve">14,386 </w:t>
            </w:r>
          </w:p>
        </w:tc>
        <w:tc>
          <w:tcPr>
            <w:tcW w:w="1298" w:type="dxa"/>
            <w:tcBorders>
              <w:top w:val="nil"/>
              <w:left w:val="nil"/>
              <w:bottom w:val="nil"/>
              <w:right w:val="nil"/>
            </w:tcBorders>
            <w:shd w:val="clear" w:color="000000" w:fill="FFFFFF"/>
            <w:noWrap/>
            <w:vAlign w:val="bottom"/>
            <w:hideMark/>
          </w:tcPr>
          <w:p w14:paraId="10027C1D" w14:textId="527BEE95" w:rsidR="00D87E82" w:rsidRPr="0048737B" w:rsidRDefault="00D87E82" w:rsidP="009948C6">
            <w:pPr>
              <w:jc w:val="right"/>
              <w:rPr>
                <w:rFonts w:eastAsia="Times New Roman" w:cstheme="minorHAnsi"/>
                <w:color w:val="000000"/>
              </w:rPr>
            </w:pPr>
            <w:r w:rsidRPr="0048737B">
              <w:rPr>
                <w:rFonts w:cstheme="minorHAnsi"/>
                <w:color w:val="000000"/>
              </w:rPr>
              <w:t xml:space="preserve"> $            - </w:t>
            </w:r>
          </w:p>
        </w:tc>
        <w:tc>
          <w:tcPr>
            <w:tcW w:w="998" w:type="dxa"/>
            <w:tcBorders>
              <w:top w:val="nil"/>
              <w:left w:val="nil"/>
              <w:bottom w:val="nil"/>
              <w:right w:val="nil"/>
            </w:tcBorders>
            <w:shd w:val="clear" w:color="auto" w:fill="F2F2F2" w:themeFill="background1" w:themeFillShade="F2"/>
            <w:noWrap/>
            <w:vAlign w:val="bottom"/>
            <w:hideMark/>
          </w:tcPr>
          <w:p w14:paraId="4A600CC5" w14:textId="5BCB6C61" w:rsidR="00D87E82" w:rsidRPr="0048737B" w:rsidRDefault="00532141" w:rsidP="00D87E82">
            <w:pPr>
              <w:jc w:val="right"/>
              <w:rPr>
                <w:rFonts w:eastAsia="Times New Roman" w:cstheme="minorHAnsi"/>
              </w:rPr>
            </w:pPr>
            <w:r w:rsidRPr="0048737B">
              <w:rPr>
                <w:rFonts w:cstheme="minorHAnsi"/>
              </w:rPr>
              <w:t xml:space="preserve"> $</w:t>
            </w:r>
            <w:r w:rsidR="00D87E82" w:rsidRPr="0048737B">
              <w:rPr>
                <w:rFonts w:cstheme="minorHAnsi"/>
              </w:rPr>
              <w:t xml:space="preserve">14,618 </w:t>
            </w:r>
          </w:p>
        </w:tc>
        <w:tc>
          <w:tcPr>
            <w:tcW w:w="990" w:type="dxa"/>
            <w:tcBorders>
              <w:top w:val="nil"/>
              <w:left w:val="nil"/>
              <w:bottom w:val="nil"/>
              <w:right w:val="nil"/>
            </w:tcBorders>
            <w:shd w:val="clear" w:color="auto" w:fill="F2F2F2" w:themeFill="background1" w:themeFillShade="F2"/>
            <w:noWrap/>
            <w:vAlign w:val="bottom"/>
            <w:hideMark/>
          </w:tcPr>
          <w:p w14:paraId="61D6D029" w14:textId="49CEC5B1" w:rsidR="00D87E82" w:rsidRPr="0048737B" w:rsidRDefault="00532141" w:rsidP="00D87E82">
            <w:pPr>
              <w:jc w:val="right"/>
              <w:rPr>
                <w:rFonts w:eastAsia="Times New Roman" w:cstheme="minorHAnsi"/>
              </w:rPr>
            </w:pPr>
            <w:r w:rsidRPr="0048737B">
              <w:rPr>
                <w:rFonts w:cstheme="minorHAnsi"/>
              </w:rPr>
              <w:t xml:space="preserve"> $</w:t>
            </w:r>
            <w:r w:rsidR="00D87E82" w:rsidRPr="0048737B">
              <w:rPr>
                <w:rFonts w:cstheme="minorHAnsi"/>
              </w:rPr>
              <w:t xml:space="preserve">14,618 </w:t>
            </w:r>
          </w:p>
        </w:tc>
        <w:tc>
          <w:tcPr>
            <w:tcW w:w="1269" w:type="dxa"/>
            <w:tcBorders>
              <w:top w:val="nil"/>
              <w:left w:val="nil"/>
              <w:bottom w:val="nil"/>
              <w:right w:val="nil"/>
            </w:tcBorders>
            <w:shd w:val="clear" w:color="auto" w:fill="F2F2F2" w:themeFill="background1" w:themeFillShade="F2"/>
            <w:noWrap/>
            <w:vAlign w:val="bottom"/>
            <w:hideMark/>
          </w:tcPr>
          <w:p w14:paraId="08FC92A2" w14:textId="1C524970" w:rsidR="00D87E82" w:rsidRPr="0048737B" w:rsidRDefault="00532141" w:rsidP="009948C6">
            <w:pPr>
              <w:jc w:val="right"/>
              <w:rPr>
                <w:rFonts w:eastAsia="Times New Roman" w:cstheme="minorHAnsi"/>
              </w:rPr>
            </w:pPr>
            <w:r w:rsidRPr="0048737B">
              <w:rPr>
                <w:rFonts w:cstheme="minorHAnsi"/>
              </w:rPr>
              <w:t xml:space="preserve"> $            </w:t>
            </w:r>
            <w:r w:rsidR="00D87E82" w:rsidRPr="0048737B">
              <w:rPr>
                <w:rFonts w:cstheme="minorHAnsi"/>
              </w:rPr>
              <w:t xml:space="preserve">- </w:t>
            </w:r>
          </w:p>
        </w:tc>
      </w:tr>
      <w:tr w:rsidR="00D87E82" w:rsidRPr="006330E0" w14:paraId="655869FB" w14:textId="77777777" w:rsidTr="0048737B">
        <w:trPr>
          <w:trHeight w:val="300"/>
        </w:trPr>
        <w:tc>
          <w:tcPr>
            <w:tcW w:w="3870" w:type="dxa"/>
            <w:tcBorders>
              <w:top w:val="nil"/>
              <w:left w:val="nil"/>
              <w:bottom w:val="nil"/>
              <w:right w:val="nil"/>
            </w:tcBorders>
            <w:shd w:val="clear" w:color="000000" w:fill="FFFFFF"/>
            <w:noWrap/>
            <w:vAlign w:val="bottom"/>
          </w:tcPr>
          <w:p w14:paraId="50FA8FC3" w14:textId="42A62334" w:rsidR="00D87E82" w:rsidRPr="0048737B" w:rsidRDefault="00D87E82" w:rsidP="00B3487F">
            <w:pPr>
              <w:tabs>
                <w:tab w:val="left" w:pos="163"/>
              </w:tabs>
              <w:rPr>
                <w:rFonts w:eastAsia="Times New Roman" w:cstheme="minorHAnsi"/>
                <w:color w:val="0D0D0D"/>
              </w:rPr>
            </w:pPr>
            <w:r w:rsidRPr="0048737B">
              <w:rPr>
                <w:rFonts w:cstheme="minorHAnsi"/>
                <w:color w:val="000000"/>
              </w:rPr>
              <w:t>Unearned summer session revenue</w:t>
            </w:r>
          </w:p>
        </w:tc>
        <w:tc>
          <w:tcPr>
            <w:tcW w:w="940" w:type="dxa"/>
            <w:tcBorders>
              <w:top w:val="nil"/>
              <w:left w:val="nil"/>
              <w:bottom w:val="nil"/>
              <w:right w:val="nil"/>
            </w:tcBorders>
            <w:shd w:val="clear" w:color="000000" w:fill="FFFFFF"/>
            <w:noWrap/>
            <w:vAlign w:val="bottom"/>
          </w:tcPr>
          <w:p w14:paraId="376A1EC8" w14:textId="5F23C740"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8,223 </w:t>
            </w:r>
          </w:p>
        </w:tc>
        <w:tc>
          <w:tcPr>
            <w:tcW w:w="990" w:type="dxa"/>
            <w:tcBorders>
              <w:top w:val="nil"/>
              <w:left w:val="nil"/>
              <w:bottom w:val="nil"/>
              <w:right w:val="nil"/>
            </w:tcBorders>
            <w:shd w:val="clear" w:color="000000" w:fill="FFFFFF"/>
            <w:noWrap/>
            <w:vAlign w:val="bottom"/>
          </w:tcPr>
          <w:p w14:paraId="7D2BAA8E" w14:textId="10276FC2" w:rsidR="00D87E82" w:rsidRPr="0048737B" w:rsidRDefault="00B3487F" w:rsidP="00D87E82">
            <w:pPr>
              <w:jc w:val="right"/>
              <w:rPr>
                <w:rFonts w:eastAsia="Times New Roman" w:cstheme="minorHAnsi"/>
                <w:color w:val="000000"/>
              </w:rPr>
            </w:pPr>
            <w:r w:rsidRPr="0048737B">
              <w:rPr>
                <w:rFonts w:cstheme="minorHAnsi"/>
                <w:color w:val="000000"/>
              </w:rPr>
              <w:t xml:space="preserve">    </w:t>
            </w:r>
            <w:r w:rsidR="00D87E82" w:rsidRPr="0048737B">
              <w:rPr>
                <w:rFonts w:cstheme="minorHAnsi"/>
                <w:color w:val="000000"/>
              </w:rPr>
              <w:t xml:space="preserve">8,223 </w:t>
            </w:r>
          </w:p>
        </w:tc>
        <w:tc>
          <w:tcPr>
            <w:tcW w:w="1298" w:type="dxa"/>
            <w:tcBorders>
              <w:top w:val="nil"/>
              <w:left w:val="nil"/>
              <w:bottom w:val="nil"/>
              <w:right w:val="nil"/>
            </w:tcBorders>
            <w:shd w:val="clear" w:color="000000" w:fill="FFFFFF"/>
            <w:noWrap/>
            <w:vAlign w:val="bottom"/>
          </w:tcPr>
          <w:p w14:paraId="0F3B09DE" w14:textId="639C629C" w:rsidR="00D87E82" w:rsidRPr="0048737B" w:rsidRDefault="00D87E82" w:rsidP="00D87E82">
            <w:pPr>
              <w:jc w:val="right"/>
              <w:rPr>
                <w:rFonts w:eastAsia="Times New Roman" w:cstheme="minorHAnsi"/>
                <w:color w:val="000000"/>
              </w:rPr>
            </w:pPr>
            <w:r w:rsidRPr="0048737B">
              <w:rPr>
                <w:rFonts w:cstheme="minorHAnsi"/>
                <w:color w:val="000000"/>
              </w:rPr>
              <w:t xml:space="preserve">                   - </w:t>
            </w:r>
          </w:p>
        </w:tc>
        <w:tc>
          <w:tcPr>
            <w:tcW w:w="998" w:type="dxa"/>
            <w:tcBorders>
              <w:top w:val="nil"/>
              <w:left w:val="nil"/>
              <w:bottom w:val="nil"/>
              <w:right w:val="nil"/>
            </w:tcBorders>
            <w:shd w:val="clear" w:color="auto" w:fill="F2F2F2" w:themeFill="background1" w:themeFillShade="F2"/>
            <w:noWrap/>
            <w:vAlign w:val="bottom"/>
          </w:tcPr>
          <w:p w14:paraId="66F63BEC" w14:textId="77E0EB1B"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7,730 </w:t>
            </w:r>
          </w:p>
        </w:tc>
        <w:tc>
          <w:tcPr>
            <w:tcW w:w="990" w:type="dxa"/>
            <w:tcBorders>
              <w:top w:val="nil"/>
              <w:left w:val="nil"/>
              <w:bottom w:val="nil"/>
              <w:right w:val="nil"/>
            </w:tcBorders>
            <w:shd w:val="clear" w:color="auto" w:fill="F2F2F2" w:themeFill="background1" w:themeFillShade="F2"/>
            <w:noWrap/>
            <w:vAlign w:val="bottom"/>
          </w:tcPr>
          <w:p w14:paraId="0F65C85F" w14:textId="4B7DA80C"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7,730 </w:t>
            </w:r>
          </w:p>
        </w:tc>
        <w:tc>
          <w:tcPr>
            <w:tcW w:w="1269" w:type="dxa"/>
            <w:tcBorders>
              <w:top w:val="nil"/>
              <w:left w:val="nil"/>
              <w:bottom w:val="nil"/>
              <w:right w:val="nil"/>
            </w:tcBorders>
            <w:shd w:val="clear" w:color="auto" w:fill="F2F2F2" w:themeFill="background1" w:themeFillShade="F2"/>
            <w:noWrap/>
            <w:vAlign w:val="bottom"/>
          </w:tcPr>
          <w:p w14:paraId="4EC48CBF" w14:textId="4B888520"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 </w:t>
            </w:r>
          </w:p>
        </w:tc>
      </w:tr>
      <w:tr w:rsidR="00D87E82" w:rsidRPr="006330E0" w14:paraId="6FE40B7A" w14:textId="77777777" w:rsidTr="0048737B">
        <w:trPr>
          <w:trHeight w:val="300"/>
        </w:trPr>
        <w:tc>
          <w:tcPr>
            <w:tcW w:w="3870" w:type="dxa"/>
            <w:tcBorders>
              <w:top w:val="nil"/>
              <w:left w:val="nil"/>
              <w:bottom w:val="nil"/>
              <w:right w:val="nil"/>
            </w:tcBorders>
            <w:shd w:val="clear" w:color="000000" w:fill="FFFFFF"/>
            <w:noWrap/>
            <w:vAlign w:val="bottom"/>
          </w:tcPr>
          <w:p w14:paraId="0F329055" w14:textId="4122F2C3" w:rsidR="00D87E82" w:rsidRPr="0048737B" w:rsidRDefault="008D3723" w:rsidP="00D87E82">
            <w:pPr>
              <w:rPr>
                <w:rFonts w:eastAsia="Times New Roman" w:cstheme="minorHAnsi"/>
                <w:color w:val="0D0D0D"/>
              </w:rPr>
            </w:pPr>
            <w:r w:rsidRPr="0048737B">
              <w:rPr>
                <w:rFonts w:cstheme="minorHAnsi"/>
                <w:color w:val="000000"/>
              </w:rPr>
              <w:t>S</w:t>
            </w:r>
            <w:r w:rsidR="00D87E82" w:rsidRPr="0048737B">
              <w:rPr>
                <w:rFonts w:cstheme="minorHAnsi"/>
                <w:color w:val="000000"/>
              </w:rPr>
              <w:t>tudent deposits and advance payments</w:t>
            </w:r>
          </w:p>
        </w:tc>
        <w:tc>
          <w:tcPr>
            <w:tcW w:w="940" w:type="dxa"/>
            <w:tcBorders>
              <w:top w:val="nil"/>
              <w:left w:val="nil"/>
              <w:bottom w:val="nil"/>
              <w:right w:val="nil"/>
            </w:tcBorders>
            <w:shd w:val="clear" w:color="000000" w:fill="FFFFFF"/>
            <w:noWrap/>
            <w:vAlign w:val="bottom"/>
          </w:tcPr>
          <w:p w14:paraId="21D7C561" w14:textId="0DF48EC1" w:rsidR="00D87E82" w:rsidRPr="0048737B" w:rsidRDefault="008D3723" w:rsidP="00D87E82">
            <w:pPr>
              <w:jc w:val="right"/>
              <w:rPr>
                <w:rFonts w:eastAsia="Times New Roman" w:cstheme="minorHAnsi"/>
              </w:rPr>
            </w:pPr>
            <w:r w:rsidRPr="0048737B">
              <w:rPr>
                <w:rFonts w:cstheme="minorHAnsi"/>
              </w:rPr>
              <w:t xml:space="preserve">    </w:t>
            </w:r>
            <w:r w:rsidR="00D87E82" w:rsidRPr="0048737B">
              <w:rPr>
                <w:rFonts w:cstheme="minorHAnsi"/>
              </w:rPr>
              <w:t xml:space="preserve">6,196 </w:t>
            </w:r>
          </w:p>
        </w:tc>
        <w:tc>
          <w:tcPr>
            <w:tcW w:w="990" w:type="dxa"/>
            <w:tcBorders>
              <w:top w:val="nil"/>
              <w:left w:val="nil"/>
              <w:bottom w:val="nil"/>
              <w:right w:val="nil"/>
            </w:tcBorders>
            <w:shd w:val="clear" w:color="000000" w:fill="FFFFFF"/>
            <w:noWrap/>
            <w:vAlign w:val="bottom"/>
          </w:tcPr>
          <w:p w14:paraId="6DBBCC10" w14:textId="56FDF8F5" w:rsidR="00D87E82" w:rsidRPr="0048737B" w:rsidRDefault="008D3723" w:rsidP="00D87E82">
            <w:pPr>
              <w:jc w:val="right"/>
              <w:rPr>
                <w:rFonts w:eastAsia="Times New Roman" w:cstheme="minorHAnsi"/>
                <w:color w:val="000000"/>
              </w:rPr>
            </w:pPr>
            <w:r w:rsidRPr="0048737B">
              <w:rPr>
                <w:rFonts w:cstheme="minorHAnsi"/>
                <w:color w:val="000000"/>
              </w:rPr>
              <w:t xml:space="preserve">    </w:t>
            </w:r>
            <w:r w:rsidR="00D87E82" w:rsidRPr="0048737B">
              <w:rPr>
                <w:rFonts w:cstheme="minorHAnsi"/>
                <w:color w:val="000000"/>
              </w:rPr>
              <w:t xml:space="preserve">6,196 </w:t>
            </w:r>
          </w:p>
        </w:tc>
        <w:tc>
          <w:tcPr>
            <w:tcW w:w="1298" w:type="dxa"/>
            <w:tcBorders>
              <w:top w:val="nil"/>
              <w:left w:val="nil"/>
              <w:bottom w:val="nil"/>
              <w:right w:val="nil"/>
            </w:tcBorders>
            <w:shd w:val="clear" w:color="000000" w:fill="FFFFFF"/>
            <w:noWrap/>
            <w:vAlign w:val="bottom"/>
          </w:tcPr>
          <w:p w14:paraId="589079FF" w14:textId="017FD69D" w:rsidR="00D87E82" w:rsidRPr="0048737B" w:rsidRDefault="00D87E82" w:rsidP="00D87E82">
            <w:pPr>
              <w:jc w:val="right"/>
              <w:rPr>
                <w:rFonts w:eastAsia="Times New Roman" w:cstheme="minorHAnsi"/>
                <w:color w:val="000000"/>
              </w:rPr>
            </w:pPr>
            <w:r w:rsidRPr="0048737B">
              <w:rPr>
                <w:rFonts w:cstheme="minorHAnsi"/>
                <w:color w:val="000000"/>
              </w:rPr>
              <w:t xml:space="preserve">                   - </w:t>
            </w:r>
          </w:p>
        </w:tc>
        <w:tc>
          <w:tcPr>
            <w:tcW w:w="998" w:type="dxa"/>
            <w:tcBorders>
              <w:top w:val="nil"/>
              <w:left w:val="nil"/>
              <w:bottom w:val="nil"/>
              <w:right w:val="nil"/>
            </w:tcBorders>
            <w:shd w:val="clear" w:color="auto" w:fill="F2F2F2" w:themeFill="background1" w:themeFillShade="F2"/>
            <w:noWrap/>
            <w:vAlign w:val="bottom"/>
          </w:tcPr>
          <w:p w14:paraId="39A512F7" w14:textId="778AD930" w:rsidR="00D87E82" w:rsidRPr="0048737B" w:rsidRDefault="008D3723" w:rsidP="00D87E82">
            <w:pPr>
              <w:jc w:val="right"/>
              <w:rPr>
                <w:rFonts w:eastAsia="Times New Roman" w:cstheme="minorHAnsi"/>
              </w:rPr>
            </w:pPr>
            <w:r w:rsidRPr="0048737B">
              <w:rPr>
                <w:rFonts w:cstheme="minorHAnsi"/>
              </w:rPr>
              <w:t xml:space="preserve">    </w:t>
            </w:r>
            <w:r w:rsidR="00D87E82" w:rsidRPr="0048737B">
              <w:rPr>
                <w:rFonts w:cstheme="minorHAnsi"/>
              </w:rPr>
              <w:t xml:space="preserve">4,546 </w:t>
            </w:r>
          </w:p>
        </w:tc>
        <w:tc>
          <w:tcPr>
            <w:tcW w:w="990" w:type="dxa"/>
            <w:tcBorders>
              <w:top w:val="nil"/>
              <w:left w:val="nil"/>
              <w:bottom w:val="nil"/>
              <w:right w:val="nil"/>
            </w:tcBorders>
            <w:shd w:val="clear" w:color="auto" w:fill="F2F2F2" w:themeFill="background1" w:themeFillShade="F2"/>
            <w:noWrap/>
            <w:vAlign w:val="bottom"/>
          </w:tcPr>
          <w:p w14:paraId="0CD553B8" w14:textId="5ED8B08B" w:rsidR="00D87E82" w:rsidRPr="0048737B" w:rsidRDefault="008D3723" w:rsidP="00D87E82">
            <w:pPr>
              <w:jc w:val="right"/>
              <w:rPr>
                <w:rFonts w:eastAsia="Times New Roman" w:cstheme="minorHAnsi"/>
              </w:rPr>
            </w:pPr>
            <w:r w:rsidRPr="0048737B">
              <w:rPr>
                <w:rFonts w:cstheme="minorHAnsi"/>
              </w:rPr>
              <w:t xml:space="preserve">    </w:t>
            </w:r>
            <w:r w:rsidR="00D87E82" w:rsidRPr="0048737B">
              <w:rPr>
                <w:rFonts w:cstheme="minorHAnsi"/>
              </w:rPr>
              <w:t xml:space="preserve">4,546 </w:t>
            </w:r>
          </w:p>
        </w:tc>
        <w:tc>
          <w:tcPr>
            <w:tcW w:w="1269" w:type="dxa"/>
            <w:tcBorders>
              <w:top w:val="nil"/>
              <w:left w:val="nil"/>
              <w:bottom w:val="nil"/>
              <w:right w:val="nil"/>
            </w:tcBorders>
            <w:shd w:val="clear" w:color="auto" w:fill="F2F2F2" w:themeFill="background1" w:themeFillShade="F2"/>
            <w:noWrap/>
            <w:vAlign w:val="bottom"/>
          </w:tcPr>
          <w:p w14:paraId="6EF95FFB" w14:textId="4F17BD4A"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 </w:t>
            </w:r>
          </w:p>
        </w:tc>
      </w:tr>
      <w:tr w:rsidR="00D87E82" w:rsidRPr="006330E0" w14:paraId="608A0690" w14:textId="77777777" w:rsidTr="0048737B">
        <w:trPr>
          <w:trHeight w:val="300"/>
        </w:trPr>
        <w:tc>
          <w:tcPr>
            <w:tcW w:w="3870" w:type="dxa"/>
            <w:tcBorders>
              <w:top w:val="nil"/>
              <w:left w:val="nil"/>
              <w:bottom w:val="nil"/>
              <w:right w:val="nil"/>
            </w:tcBorders>
            <w:shd w:val="clear" w:color="000000" w:fill="FFFFFF"/>
            <w:noWrap/>
            <w:vAlign w:val="bottom"/>
            <w:hideMark/>
          </w:tcPr>
          <w:p w14:paraId="6A12ECCC" w14:textId="78AC807D" w:rsidR="00D87E82" w:rsidRPr="0048737B" w:rsidRDefault="00D87E82" w:rsidP="00D87E82">
            <w:pPr>
              <w:rPr>
                <w:rFonts w:eastAsia="Times New Roman" w:cstheme="minorHAnsi"/>
                <w:color w:val="0D0D0D"/>
              </w:rPr>
            </w:pPr>
            <w:r w:rsidRPr="0048737B">
              <w:rPr>
                <w:rFonts w:cstheme="minorHAnsi"/>
                <w:color w:val="000000"/>
              </w:rPr>
              <w:t>Funds Held for Others</w:t>
            </w:r>
          </w:p>
        </w:tc>
        <w:tc>
          <w:tcPr>
            <w:tcW w:w="940" w:type="dxa"/>
            <w:tcBorders>
              <w:top w:val="nil"/>
              <w:left w:val="nil"/>
              <w:bottom w:val="nil"/>
              <w:right w:val="nil"/>
            </w:tcBorders>
            <w:shd w:val="clear" w:color="000000" w:fill="FFFFFF"/>
            <w:noWrap/>
            <w:vAlign w:val="bottom"/>
            <w:hideMark/>
          </w:tcPr>
          <w:p w14:paraId="73132FD0" w14:textId="0178E3CC"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594 </w:t>
            </w:r>
          </w:p>
        </w:tc>
        <w:tc>
          <w:tcPr>
            <w:tcW w:w="990" w:type="dxa"/>
            <w:tcBorders>
              <w:top w:val="nil"/>
              <w:left w:val="nil"/>
              <w:bottom w:val="nil"/>
              <w:right w:val="nil"/>
            </w:tcBorders>
            <w:shd w:val="clear" w:color="000000" w:fill="FFFFFF"/>
            <w:noWrap/>
            <w:vAlign w:val="bottom"/>
            <w:hideMark/>
          </w:tcPr>
          <w:p w14:paraId="421E395F" w14:textId="244214AC" w:rsidR="00D87E82" w:rsidRPr="0048737B" w:rsidRDefault="00B3487F" w:rsidP="00D87E82">
            <w:pPr>
              <w:jc w:val="right"/>
              <w:rPr>
                <w:rFonts w:eastAsia="Times New Roman" w:cstheme="minorHAnsi"/>
                <w:color w:val="000000"/>
              </w:rPr>
            </w:pPr>
            <w:r w:rsidRPr="0048737B">
              <w:rPr>
                <w:rFonts w:cstheme="minorHAnsi"/>
                <w:color w:val="000000"/>
              </w:rPr>
              <w:t xml:space="preserve">        </w:t>
            </w:r>
            <w:r w:rsidR="00D87E82" w:rsidRPr="0048737B">
              <w:rPr>
                <w:rFonts w:cstheme="minorHAnsi"/>
                <w:color w:val="000000"/>
              </w:rPr>
              <w:t xml:space="preserve">476 </w:t>
            </w:r>
          </w:p>
        </w:tc>
        <w:tc>
          <w:tcPr>
            <w:tcW w:w="1298" w:type="dxa"/>
            <w:tcBorders>
              <w:top w:val="nil"/>
              <w:left w:val="nil"/>
              <w:bottom w:val="nil"/>
              <w:right w:val="nil"/>
            </w:tcBorders>
            <w:shd w:val="clear" w:color="000000" w:fill="FFFFFF"/>
            <w:noWrap/>
            <w:vAlign w:val="bottom"/>
            <w:hideMark/>
          </w:tcPr>
          <w:p w14:paraId="1C8BC044" w14:textId="2D369867" w:rsidR="00D87E82" w:rsidRPr="0048737B" w:rsidRDefault="00B3487F" w:rsidP="00D87E82">
            <w:pPr>
              <w:jc w:val="right"/>
              <w:rPr>
                <w:rFonts w:eastAsia="Times New Roman" w:cstheme="minorHAnsi"/>
                <w:color w:val="000000"/>
              </w:rPr>
            </w:pPr>
            <w:r w:rsidRPr="0048737B">
              <w:rPr>
                <w:rFonts w:cstheme="minorHAnsi"/>
                <w:color w:val="000000"/>
              </w:rPr>
              <w:t xml:space="preserve">           </w:t>
            </w:r>
            <w:r w:rsidR="00D87E82" w:rsidRPr="0048737B">
              <w:rPr>
                <w:rFonts w:cstheme="minorHAnsi"/>
                <w:color w:val="000000"/>
              </w:rPr>
              <w:t xml:space="preserve"> 118 </w:t>
            </w:r>
          </w:p>
        </w:tc>
        <w:tc>
          <w:tcPr>
            <w:tcW w:w="998" w:type="dxa"/>
            <w:tcBorders>
              <w:top w:val="nil"/>
              <w:left w:val="nil"/>
              <w:bottom w:val="nil"/>
              <w:right w:val="nil"/>
            </w:tcBorders>
            <w:shd w:val="clear" w:color="auto" w:fill="F2F2F2" w:themeFill="background1" w:themeFillShade="F2"/>
            <w:noWrap/>
            <w:vAlign w:val="bottom"/>
            <w:hideMark/>
          </w:tcPr>
          <w:p w14:paraId="385BA082" w14:textId="1E383044"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1,811 </w:t>
            </w:r>
          </w:p>
        </w:tc>
        <w:tc>
          <w:tcPr>
            <w:tcW w:w="990" w:type="dxa"/>
            <w:tcBorders>
              <w:top w:val="nil"/>
              <w:left w:val="nil"/>
              <w:bottom w:val="nil"/>
              <w:right w:val="nil"/>
            </w:tcBorders>
            <w:shd w:val="clear" w:color="auto" w:fill="F2F2F2" w:themeFill="background1" w:themeFillShade="F2"/>
            <w:noWrap/>
            <w:vAlign w:val="bottom"/>
            <w:hideMark/>
          </w:tcPr>
          <w:p w14:paraId="2E2970B9" w14:textId="27C2B022"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1,735 </w:t>
            </w:r>
          </w:p>
        </w:tc>
        <w:tc>
          <w:tcPr>
            <w:tcW w:w="1269" w:type="dxa"/>
            <w:tcBorders>
              <w:top w:val="nil"/>
              <w:left w:val="nil"/>
              <w:bottom w:val="nil"/>
              <w:right w:val="nil"/>
            </w:tcBorders>
            <w:shd w:val="clear" w:color="auto" w:fill="F2F2F2" w:themeFill="background1" w:themeFillShade="F2"/>
            <w:noWrap/>
            <w:vAlign w:val="bottom"/>
            <w:hideMark/>
          </w:tcPr>
          <w:p w14:paraId="06D6265A" w14:textId="55DD520E" w:rsidR="00D87E82" w:rsidRPr="0048737B" w:rsidRDefault="00B3487F" w:rsidP="00D87E82">
            <w:pPr>
              <w:jc w:val="right"/>
              <w:rPr>
                <w:rFonts w:eastAsia="Times New Roman" w:cstheme="minorHAnsi"/>
              </w:rPr>
            </w:pPr>
            <w:r w:rsidRPr="0048737B">
              <w:rPr>
                <w:rFonts w:cstheme="minorHAnsi"/>
              </w:rPr>
              <w:t xml:space="preserve">              </w:t>
            </w:r>
            <w:r w:rsidR="00D87E82" w:rsidRPr="0048737B">
              <w:rPr>
                <w:rFonts w:cstheme="minorHAnsi"/>
              </w:rPr>
              <w:t xml:space="preserve">76 </w:t>
            </w:r>
          </w:p>
        </w:tc>
      </w:tr>
      <w:tr w:rsidR="00D87E82" w:rsidRPr="006330E0" w14:paraId="60CE9971" w14:textId="77777777" w:rsidTr="0048737B">
        <w:trPr>
          <w:trHeight w:val="300"/>
        </w:trPr>
        <w:tc>
          <w:tcPr>
            <w:tcW w:w="3870" w:type="dxa"/>
            <w:tcBorders>
              <w:top w:val="nil"/>
              <w:left w:val="nil"/>
              <w:bottom w:val="nil"/>
              <w:right w:val="nil"/>
            </w:tcBorders>
            <w:shd w:val="clear" w:color="000000" w:fill="FFFFFF"/>
            <w:noWrap/>
            <w:vAlign w:val="bottom"/>
            <w:hideMark/>
          </w:tcPr>
          <w:p w14:paraId="55260709" w14:textId="447AB1EC" w:rsidR="00D87E82" w:rsidRPr="0048737B" w:rsidRDefault="00D87E82" w:rsidP="00D87E82">
            <w:pPr>
              <w:rPr>
                <w:rFonts w:eastAsia="Times New Roman" w:cstheme="minorHAnsi"/>
                <w:color w:val="0D0D0D"/>
              </w:rPr>
            </w:pPr>
            <w:r w:rsidRPr="0048737B">
              <w:rPr>
                <w:rFonts w:cstheme="minorHAnsi"/>
                <w:color w:val="000000"/>
              </w:rPr>
              <w:t>Unearned revenue, dining</w:t>
            </w:r>
          </w:p>
        </w:tc>
        <w:tc>
          <w:tcPr>
            <w:tcW w:w="940" w:type="dxa"/>
            <w:tcBorders>
              <w:top w:val="nil"/>
              <w:left w:val="nil"/>
              <w:bottom w:val="nil"/>
              <w:right w:val="nil"/>
            </w:tcBorders>
            <w:shd w:val="clear" w:color="000000" w:fill="FFFFFF"/>
            <w:noWrap/>
            <w:vAlign w:val="bottom"/>
            <w:hideMark/>
          </w:tcPr>
          <w:p w14:paraId="2EE8BE56" w14:textId="16A5CE5B" w:rsidR="00D87E82" w:rsidRPr="0048737B" w:rsidRDefault="00BD2A40" w:rsidP="00D87E82">
            <w:pPr>
              <w:jc w:val="right"/>
              <w:rPr>
                <w:rFonts w:eastAsia="Times New Roman" w:cstheme="minorHAnsi"/>
              </w:rPr>
            </w:pPr>
            <w:r w:rsidRPr="0048737B">
              <w:rPr>
                <w:rFonts w:cstheme="minorHAnsi"/>
              </w:rPr>
              <w:t xml:space="preserve">    </w:t>
            </w:r>
            <w:r w:rsidR="00D87E82" w:rsidRPr="0048737B">
              <w:rPr>
                <w:rFonts w:cstheme="minorHAnsi"/>
              </w:rPr>
              <w:t xml:space="preserve">6,797 </w:t>
            </w:r>
          </w:p>
        </w:tc>
        <w:tc>
          <w:tcPr>
            <w:tcW w:w="990" w:type="dxa"/>
            <w:tcBorders>
              <w:top w:val="nil"/>
              <w:left w:val="nil"/>
              <w:bottom w:val="nil"/>
              <w:right w:val="nil"/>
            </w:tcBorders>
            <w:shd w:val="clear" w:color="000000" w:fill="FFFFFF"/>
            <w:noWrap/>
            <w:vAlign w:val="bottom"/>
            <w:hideMark/>
          </w:tcPr>
          <w:p w14:paraId="31DAA975" w14:textId="5491A9DA" w:rsidR="00D87E82" w:rsidRPr="0048737B" w:rsidRDefault="00BD2A40" w:rsidP="00D87E82">
            <w:pPr>
              <w:jc w:val="right"/>
              <w:rPr>
                <w:rFonts w:eastAsia="Times New Roman" w:cstheme="minorHAnsi"/>
                <w:color w:val="000000"/>
              </w:rPr>
            </w:pPr>
            <w:r w:rsidRPr="0048737B">
              <w:rPr>
                <w:rFonts w:cstheme="minorHAnsi"/>
              </w:rPr>
              <w:t xml:space="preserve">        </w:t>
            </w:r>
            <w:r w:rsidR="00D87E82" w:rsidRPr="0048737B">
              <w:rPr>
                <w:rFonts w:cstheme="minorHAnsi"/>
              </w:rPr>
              <w:t xml:space="preserve">850 </w:t>
            </w:r>
          </w:p>
        </w:tc>
        <w:tc>
          <w:tcPr>
            <w:tcW w:w="1298" w:type="dxa"/>
            <w:tcBorders>
              <w:top w:val="nil"/>
              <w:left w:val="nil"/>
              <w:bottom w:val="nil"/>
              <w:right w:val="nil"/>
            </w:tcBorders>
            <w:shd w:val="clear" w:color="000000" w:fill="FFFFFF"/>
            <w:noWrap/>
            <w:vAlign w:val="bottom"/>
            <w:hideMark/>
          </w:tcPr>
          <w:p w14:paraId="2CA3BA88" w14:textId="6055C5EF" w:rsidR="00D87E82" w:rsidRPr="0048737B" w:rsidRDefault="00D87E82" w:rsidP="00D87E82">
            <w:pPr>
              <w:jc w:val="right"/>
              <w:rPr>
                <w:rFonts w:eastAsia="Times New Roman" w:cstheme="minorHAnsi"/>
                <w:color w:val="000000"/>
              </w:rPr>
            </w:pPr>
            <w:r w:rsidRPr="0048737B">
              <w:rPr>
                <w:rFonts w:cstheme="minorHAnsi"/>
                <w:color w:val="000000"/>
              </w:rPr>
              <w:t xml:space="preserve"> </w:t>
            </w:r>
            <w:r w:rsidR="00BD2A40" w:rsidRPr="0048737B">
              <w:rPr>
                <w:rFonts w:cstheme="minorHAnsi"/>
                <w:color w:val="000000"/>
              </w:rPr>
              <w:t xml:space="preserve">        </w:t>
            </w:r>
            <w:r w:rsidRPr="0048737B">
              <w:rPr>
                <w:rFonts w:cstheme="minorHAnsi"/>
                <w:color w:val="000000"/>
              </w:rPr>
              <w:t xml:space="preserve">5,947 </w:t>
            </w:r>
          </w:p>
        </w:tc>
        <w:tc>
          <w:tcPr>
            <w:tcW w:w="998" w:type="dxa"/>
            <w:tcBorders>
              <w:top w:val="nil"/>
              <w:left w:val="nil"/>
              <w:bottom w:val="nil"/>
              <w:right w:val="nil"/>
            </w:tcBorders>
            <w:shd w:val="clear" w:color="auto" w:fill="F2F2F2" w:themeFill="background1" w:themeFillShade="F2"/>
            <w:noWrap/>
            <w:vAlign w:val="bottom"/>
            <w:hideMark/>
          </w:tcPr>
          <w:p w14:paraId="2037C2C2" w14:textId="20E81F90" w:rsidR="00D87E82" w:rsidRPr="0048737B" w:rsidRDefault="00BD2A40" w:rsidP="00D87E82">
            <w:pPr>
              <w:jc w:val="right"/>
              <w:rPr>
                <w:rFonts w:eastAsia="Times New Roman" w:cstheme="minorHAnsi"/>
              </w:rPr>
            </w:pPr>
            <w:r w:rsidRPr="0048737B">
              <w:rPr>
                <w:rFonts w:cstheme="minorHAnsi"/>
              </w:rPr>
              <w:t xml:space="preserve">     </w:t>
            </w:r>
            <w:r w:rsidR="00D87E82" w:rsidRPr="0048737B">
              <w:rPr>
                <w:rFonts w:cstheme="minorHAnsi"/>
              </w:rPr>
              <w:t xml:space="preserve">4,196 </w:t>
            </w:r>
          </w:p>
        </w:tc>
        <w:tc>
          <w:tcPr>
            <w:tcW w:w="990" w:type="dxa"/>
            <w:tcBorders>
              <w:top w:val="nil"/>
              <w:left w:val="nil"/>
              <w:bottom w:val="nil"/>
              <w:right w:val="nil"/>
            </w:tcBorders>
            <w:shd w:val="clear" w:color="auto" w:fill="F2F2F2" w:themeFill="background1" w:themeFillShade="F2"/>
            <w:noWrap/>
            <w:vAlign w:val="bottom"/>
            <w:hideMark/>
          </w:tcPr>
          <w:p w14:paraId="16374DAB" w14:textId="47ABA6A8" w:rsidR="00D87E82" w:rsidRPr="0048737B" w:rsidRDefault="00BD2A40" w:rsidP="00D87E82">
            <w:pPr>
              <w:jc w:val="right"/>
              <w:rPr>
                <w:rFonts w:eastAsia="Times New Roman" w:cstheme="minorHAnsi"/>
              </w:rPr>
            </w:pPr>
            <w:r w:rsidRPr="0048737B">
              <w:rPr>
                <w:rFonts w:cstheme="minorHAnsi"/>
              </w:rPr>
              <w:t xml:space="preserve">        </w:t>
            </w:r>
            <w:r w:rsidR="00D87E82" w:rsidRPr="0048737B">
              <w:rPr>
                <w:rFonts w:cstheme="minorHAnsi"/>
              </w:rPr>
              <w:t xml:space="preserve">513 </w:t>
            </w:r>
          </w:p>
        </w:tc>
        <w:tc>
          <w:tcPr>
            <w:tcW w:w="1269" w:type="dxa"/>
            <w:tcBorders>
              <w:top w:val="nil"/>
              <w:left w:val="nil"/>
              <w:bottom w:val="nil"/>
              <w:right w:val="nil"/>
            </w:tcBorders>
            <w:shd w:val="clear" w:color="auto" w:fill="F2F2F2" w:themeFill="background1" w:themeFillShade="F2"/>
            <w:noWrap/>
            <w:vAlign w:val="bottom"/>
            <w:hideMark/>
          </w:tcPr>
          <w:p w14:paraId="62AB4DA5" w14:textId="67C2627F" w:rsidR="00D87E82" w:rsidRPr="0048737B" w:rsidRDefault="00BD2A40" w:rsidP="00D87E82">
            <w:pPr>
              <w:jc w:val="right"/>
              <w:rPr>
                <w:rFonts w:eastAsia="Times New Roman" w:cstheme="minorHAnsi"/>
              </w:rPr>
            </w:pPr>
            <w:r w:rsidRPr="0048737B">
              <w:rPr>
                <w:rFonts w:cstheme="minorHAnsi"/>
              </w:rPr>
              <w:t xml:space="preserve">          </w:t>
            </w:r>
            <w:r w:rsidR="00D87E82" w:rsidRPr="0048737B">
              <w:rPr>
                <w:rFonts w:cstheme="minorHAnsi"/>
              </w:rPr>
              <w:t xml:space="preserve">3,683 </w:t>
            </w:r>
          </w:p>
        </w:tc>
      </w:tr>
      <w:tr w:rsidR="00EC274F" w:rsidRPr="006330E0" w14:paraId="284AA902" w14:textId="77777777" w:rsidTr="0048737B">
        <w:trPr>
          <w:trHeight w:val="300"/>
        </w:trPr>
        <w:tc>
          <w:tcPr>
            <w:tcW w:w="3870" w:type="dxa"/>
            <w:tcBorders>
              <w:top w:val="nil"/>
              <w:left w:val="nil"/>
              <w:bottom w:val="nil"/>
              <w:right w:val="nil"/>
            </w:tcBorders>
            <w:shd w:val="clear" w:color="000000" w:fill="FFFFFF"/>
            <w:noWrap/>
            <w:vAlign w:val="bottom"/>
          </w:tcPr>
          <w:p w14:paraId="413F77AB" w14:textId="79558EF1" w:rsidR="00EC274F" w:rsidRPr="0048737B" w:rsidRDefault="00EC274F" w:rsidP="00D87E82">
            <w:pPr>
              <w:rPr>
                <w:rFonts w:ascii="Calibri" w:hAnsi="Calibri" w:cs="Calibri"/>
                <w:color w:val="000000"/>
              </w:rPr>
            </w:pPr>
            <w:r>
              <w:rPr>
                <w:rFonts w:ascii="Calibri" w:hAnsi="Calibri" w:cs="Calibri"/>
                <w:color w:val="000000"/>
              </w:rPr>
              <w:t>Other unearned revenue and deposits</w:t>
            </w:r>
          </w:p>
        </w:tc>
        <w:tc>
          <w:tcPr>
            <w:tcW w:w="940" w:type="dxa"/>
            <w:tcBorders>
              <w:top w:val="nil"/>
              <w:left w:val="nil"/>
              <w:bottom w:val="nil"/>
              <w:right w:val="nil"/>
            </w:tcBorders>
            <w:shd w:val="clear" w:color="000000" w:fill="FFFFFF"/>
            <w:noWrap/>
            <w:vAlign w:val="bottom"/>
          </w:tcPr>
          <w:p w14:paraId="3ADEA1C8" w14:textId="225896B0" w:rsidR="00EC274F" w:rsidRPr="006330E0" w:rsidRDefault="00EC274F" w:rsidP="00D87E82">
            <w:pPr>
              <w:jc w:val="right"/>
              <w:rPr>
                <w:rFonts w:cstheme="minorHAnsi"/>
              </w:rPr>
            </w:pPr>
            <w:r>
              <w:rPr>
                <w:rFonts w:cstheme="minorHAnsi"/>
              </w:rPr>
              <w:t>5,073</w:t>
            </w:r>
          </w:p>
        </w:tc>
        <w:tc>
          <w:tcPr>
            <w:tcW w:w="990" w:type="dxa"/>
            <w:tcBorders>
              <w:top w:val="nil"/>
              <w:left w:val="nil"/>
              <w:bottom w:val="nil"/>
              <w:right w:val="nil"/>
            </w:tcBorders>
            <w:shd w:val="clear" w:color="000000" w:fill="FFFFFF"/>
            <w:noWrap/>
            <w:vAlign w:val="bottom"/>
          </w:tcPr>
          <w:p w14:paraId="09F14B27" w14:textId="373A77C5" w:rsidR="00EC274F" w:rsidRPr="006330E0" w:rsidRDefault="00EC274F" w:rsidP="00D87E82">
            <w:pPr>
              <w:jc w:val="right"/>
              <w:rPr>
                <w:rFonts w:cstheme="minorHAnsi"/>
              </w:rPr>
            </w:pPr>
            <w:r>
              <w:rPr>
                <w:rFonts w:cstheme="minorHAnsi"/>
              </w:rPr>
              <w:t>3,910</w:t>
            </w:r>
          </w:p>
        </w:tc>
        <w:tc>
          <w:tcPr>
            <w:tcW w:w="1298" w:type="dxa"/>
            <w:tcBorders>
              <w:top w:val="nil"/>
              <w:left w:val="nil"/>
              <w:bottom w:val="nil"/>
              <w:right w:val="nil"/>
            </w:tcBorders>
            <w:shd w:val="clear" w:color="000000" w:fill="FFFFFF"/>
            <w:noWrap/>
            <w:vAlign w:val="bottom"/>
          </w:tcPr>
          <w:p w14:paraId="08DCD450" w14:textId="00FC2CE8" w:rsidR="00EC274F" w:rsidRPr="006330E0" w:rsidRDefault="00EC274F" w:rsidP="00D87E82">
            <w:pPr>
              <w:jc w:val="right"/>
              <w:rPr>
                <w:rFonts w:cstheme="minorHAnsi"/>
                <w:color w:val="000000"/>
              </w:rPr>
            </w:pPr>
            <w:r>
              <w:rPr>
                <w:rFonts w:cstheme="minorHAnsi"/>
                <w:color w:val="000000"/>
              </w:rPr>
              <w:t>1,163</w:t>
            </w:r>
          </w:p>
        </w:tc>
        <w:tc>
          <w:tcPr>
            <w:tcW w:w="998" w:type="dxa"/>
            <w:tcBorders>
              <w:top w:val="nil"/>
              <w:left w:val="nil"/>
              <w:bottom w:val="nil"/>
              <w:right w:val="nil"/>
            </w:tcBorders>
            <w:shd w:val="clear" w:color="auto" w:fill="F2F2F2" w:themeFill="background1" w:themeFillShade="F2"/>
            <w:noWrap/>
            <w:vAlign w:val="bottom"/>
          </w:tcPr>
          <w:p w14:paraId="1AC9BCEF" w14:textId="5DA6C613" w:rsidR="00EC274F" w:rsidRPr="006330E0" w:rsidRDefault="00EC274F" w:rsidP="00D87E82">
            <w:pPr>
              <w:jc w:val="right"/>
              <w:rPr>
                <w:rFonts w:cstheme="minorHAnsi"/>
              </w:rPr>
            </w:pPr>
            <w:r>
              <w:rPr>
                <w:rFonts w:cstheme="minorHAnsi"/>
              </w:rPr>
              <w:t>454</w:t>
            </w:r>
          </w:p>
        </w:tc>
        <w:tc>
          <w:tcPr>
            <w:tcW w:w="990" w:type="dxa"/>
            <w:tcBorders>
              <w:top w:val="nil"/>
              <w:left w:val="nil"/>
              <w:bottom w:val="nil"/>
              <w:right w:val="nil"/>
            </w:tcBorders>
            <w:shd w:val="clear" w:color="auto" w:fill="F2F2F2" w:themeFill="background1" w:themeFillShade="F2"/>
            <w:noWrap/>
            <w:vAlign w:val="bottom"/>
          </w:tcPr>
          <w:p w14:paraId="4861D552" w14:textId="24C610D7" w:rsidR="00EC274F" w:rsidRPr="006330E0" w:rsidRDefault="00EC274F" w:rsidP="00D87E82">
            <w:pPr>
              <w:jc w:val="right"/>
              <w:rPr>
                <w:rFonts w:cstheme="minorHAnsi"/>
              </w:rPr>
            </w:pPr>
            <w:r>
              <w:rPr>
                <w:rFonts w:cstheme="minorHAnsi"/>
              </w:rPr>
              <w:t>39</w:t>
            </w:r>
          </w:p>
        </w:tc>
        <w:tc>
          <w:tcPr>
            <w:tcW w:w="1269" w:type="dxa"/>
            <w:tcBorders>
              <w:top w:val="nil"/>
              <w:left w:val="nil"/>
              <w:bottom w:val="nil"/>
              <w:right w:val="nil"/>
            </w:tcBorders>
            <w:shd w:val="clear" w:color="auto" w:fill="F2F2F2" w:themeFill="background1" w:themeFillShade="F2"/>
            <w:noWrap/>
            <w:vAlign w:val="bottom"/>
          </w:tcPr>
          <w:p w14:paraId="6C4182FA" w14:textId="3595D1BF" w:rsidR="00EC274F" w:rsidRPr="006330E0" w:rsidRDefault="00EC274F" w:rsidP="00D87E82">
            <w:pPr>
              <w:jc w:val="right"/>
              <w:rPr>
                <w:rFonts w:cstheme="minorHAnsi"/>
              </w:rPr>
            </w:pPr>
            <w:r>
              <w:rPr>
                <w:rFonts w:cstheme="minorHAnsi"/>
              </w:rPr>
              <w:t>415</w:t>
            </w:r>
          </w:p>
        </w:tc>
      </w:tr>
      <w:tr w:rsidR="00D87E82" w:rsidRPr="006330E0" w14:paraId="666247D9" w14:textId="77777777" w:rsidTr="0048737B">
        <w:trPr>
          <w:trHeight w:val="315"/>
        </w:trPr>
        <w:tc>
          <w:tcPr>
            <w:tcW w:w="3870" w:type="dxa"/>
            <w:tcBorders>
              <w:top w:val="single" w:sz="4" w:space="0" w:color="00688D"/>
              <w:left w:val="nil"/>
              <w:bottom w:val="double" w:sz="6" w:space="0" w:color="00688D"/>
              <w:right w:val="nil"/>
            </w:tcBorders>
            <w:shd w:val="clear" w:color="000000" w:fill="FFFFFF"/>
            <w:noWrap/>
            <w:vAlign w:val="bottom"/>
            <w:hideMark/>
          </w:tcPr>
          <w:p w14:paraId="70E17078" w14:textId="14016756" w:rsidR="00D87E82" w:rsidRPr="0048737B" w:rsidRDefault="006330E0" w:rsidP="00D87E82">
            <w:pPr>
              <w:rPr>
                <w:rFonts w:cstheme="minorHAnsi"/>
                <w:color w:val="000000"/>
              </w:rPr>
            </w:pPr>
            <w:r w:rsidRPr="0048737B">
              <w:rPr>
                <w:rFonts w:cstheme="minorHAnsi"/>
                <w:color w:val="000000"/>
              </w:rPr>
              <w:t>Total unearned revenue, deposits and  other liabilities</w:t>
            </w:r>
          </w:p>
        </w:tc>
        <w:tc>
          <w:tcPr>
            <w:tcW w:w="940" w:type="dxa"/>
            <w:tcBorders>
              <w:top w:val="single" w:sz="4" w:space="0" w:color="00688D"/>
              <w:left w:val="nil"/>
              <w:bottom w:val="double" w:sz="6" w:space="0" w:color="00688D"/>
              <w:right w:val="nil"/>
            </w:tcBorders>
            <w:shd w:val="clear" w:color="000000" w:fill="FFFFFF"/>
            <w:noWrap/>
            <w:vAlign w:val="bottom"/>
            <w:hideMark/>
          </w:tcPr>
          <w:p w14:paraId="13A4A56E" w14:textId="0F072C8C" w:rsidR="00D87E82" w:rsidRPr="0048737B" w:rsidRDefault="00532141" w:rsidP="00D87E82">
            <w:pPr>
              <w:jc w:val="right"/>
              <w:rPr>
                <w:rFonts w:eastAsia="Times New Roman" w:cstheme="minorHAnsi"/>
                <w:color w:val="0D0D0D"/>
              </w:rPr>
            </w:pPr>
            <w:r w:rsidRPr="0048737B">
              <w:rPr>
                <w:rFonts w:cstheme="minorHAnsi"/>
                <w:color w:val="0D0D0D"/>
              </w:rPr>
              <w:t xml:space="preserve"> $</w:t>
            </w:r>
            <w:r w:rsidR="00D87E82" w:rsidRPr="0048737B">
              <w:rPr>
                <w:rFonts w:cstheme="minorHAnsi"/>
                <w:color w:val="0D0D0D"/>
              </w:rPr>
              <w:t xml:space="preserve">41,269 </w:t>
            </w:r>
          </w:p>
        </w:tc>
        <w:tc>
          <w:tcPr>
            <w:tcW w:w="990" w:type="dxa"/>
            <w:tcBorders>
              <w:top w:val="single" w:sz="4" w:space="0" w:color="00688D"/>
              <w:left w:val="nil"/>
              <w:bottom w:val="double" w:sz="6" w:space="0" w:color="00688D"/>
              <w:right w:val="nil"/>
            </w:tcBorders>
            <w:shd w:val="clear" w:color="000000" w:fill="FFFFFF"/>
            <w:noWrap/>
            <w:vAlign w:val="bottom"/>
            <w:hideMark/>
          </w:tcPr>
          <w:p w14:paraId="2E6B2DED" w14:textId="7574B9A1" w:rsidR="00D87E82" w:rsidRPr="0048737B" w:rsidRDefault="00532141" w:rsidP="00D87E82">
            <w:pPr>
              <w:jc w:val="right"/>
              <w:rPr>
                <w:rFonts w:eastAsia="Times New Roman" w:cstheme="minorHAnsi"/>
                <w:color w:val="0D0D0D"/>
              </w:rPr>
            </w:pPr>
            <w:r w:rsidRPr="0048737B">
              <w:rPr>
                <w:rFonts w:cstheme="minorHAnsi"/>
                <w:color w:val="0D0D0D"/>
              </w:rPr>
              <w:t xml:space="preserve"> $</w:t>
            </w:r>
            <w:r w:rsidR="00D87E82" w:rsidRPr="0048737B">
              <w:rPr>
                <w:rFonts w:cstheme="minorHAnsi"/>
                <w:color w:val="0D0D0D"/>
              </w:rPr>
              <w:t xml:space="preserve">34,041 </w:t>
            </w:r>
          </w:p>
        </w:tc>
        <w:tc>
          <w:tcPr>
            <w:tcW w:w="1298" w:type="dxa"/>
            <w:tcBorders>
              <w:top w:val="single" w:sz="4" w:space="0" w:color="00688D"/>
              <w:left w:val="nil"/>
              <w:bottom w:val="double" w:sz="6" w:space="0" w:color="00688D"/>
              <w:right w:val="nil"/>
            </w:tcBorders>
            <w:shd w:val="clear" w:color="000000" w:fill="FFFFFF"/>
            <w:noWrap/>
            <w:vAlign w:val="bottom"/>
            <w:hideMark/>
          </w:tcPr>
          <w:p w14:paraId="60CDA314" w14:textId="0C9174A8" w:rsidR="00D87E82" w:rsidRPr="0048737B" w:rsidRDefault="00D87E82" w:rsidP="009948C6">
            <w:pPr>
              <w:jc w:val="right"/>
              <w:rPr>
                <w:rFonts w:eastAsia="Times New Roman" w:cstheme="minorHAnsi"/>
                <w:color w:val="0D0D0D"/>
              </w:rPr>
            </w:pPr>
            <w:r w:rsidRPr="0048737B">
              <w:rPr>
                <w:rFonts w:cstheme="minorHAnsi"/>
                <w:color w:val="0D0D0D"/>
              </w:rPr>
              <w:t xml:space="preserve"> $    7,228 </w:t>
            </w:r>
          </w:p>
        </w:tc>
        <w:tc>
          <w:tcPr>
            <w:tcW w:w="998"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4BF62921" w14:textId="1A48CDA2" w:rsidR="00D87E82" w:rsidRPr="0048737B" w:rsidRDefault="00532141" w:rsidP="00D87E82">
            <w:pPr>
              <w:jc w:val="right"/>
              <w:rPr>
                <w:rFonts w:eastAsia="Times New Roman" w:cstheme="minorHAnsi"/>
                <w:color w:val="0D0D0D"/>
              </w:rPr>
            </w:pPr>
            <w:r w:rsidRPr="0048737B">
              <w:rPr>
                <w:rFonts w:cstheme="minorHAnsi"/>
                <w:color w:val="0D0D0D"/>
              </w:rPr>
              <w:t xml:space="preserve"> $</w:t>
            </w:r>
            <w:r w:rsidR="00D87E82" w:rsidRPr="0048737B">
              <w:rPr>
                <w:rFonts w:cstheme="minorHAnsi"/>
                <w:color w:val="0D0D0D"/>
              </w:rPr>
              <w:t xml:space="preserve">33,355 </w:t>
            </w:r>
          </w:p>
        </w:tc>
        <w:tc>
          <w:tcPr>
            <w:tcW w:w="99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D94C249" w14:textId="1FDB4CB9" w:rsidR="00D87E82" w:rsidRPr="0048737B" w:rsidRDefault="00532141" w:rsidP="00D87E82">
            <w:pPr>
              <w:jc w:val="right"/>
              <w:rPr>
                <w:rFonts w:eastAsia="Times New Roman" w:cstheme="minorHAnsi"/>
                <w:color w:val="0D0D0D"/>
              </w:rPr>
            </w:pPr>
            <w:r w:rsidRPr="0048737B">
              <w:rPr>
                <w:rFonts w:cstheme="minorHAnsi"/>
                <w:color w:val="0D0D0D"/>
              </w:rPr>
              <w:t xml:space="preserve"> $</w:t>
            </w:r>
            <w:r w:rsidR="00D87E82" w:rsidRPr="0048737B">
              <w:rPr>
                <w:rFonts w:cstheme="minorHAnsi"/>
                <w:color w:val="0D0D0D"/>
              </w:rPr>
              <w:t xml:space="preserve">29,181 </w:t>
            </w:r>
          </w:p>
        </w:tc>
        <w:tc>
          <w:tcPr>
            <w:tcW w:w="1269"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0EEE488F" w14:textId="6542C7B8" w:rsidR="00D87E82" w:rsidRPr="0048737B" w:rsidRDefault="00532141" w:rsidP="009948C6">
            <w:pPr>
              <w:jc w:val="right"/>
              <w:rPr>
                <w:rFonts w:eastAsia="Times New Roman" w:cstheme="minorHAnsi"/>
                <w:color w:val="0D0D0D"/>
              </w:rPr>
            </w:pPr>
            <w:r w:rsidRPr="0048737B">
              <w:rPr>
                <w:rFonts w:cstheme="minorHAnsi"/>
                <w:color w:val="0D0D0D"/>
              </w:rPr>
              <w:t xml:space="preserve"> $   </w:t>
            </w:r>
            <w:r w:rsidR="00D87E82" w:rsidRPr="0048737B">
              <w:rPr>
                <w:rFonts w:cstheme="minorHAnsi"/>
                <w:color w:val="0D0D0D"/>
              </w:rPr>
              <w:t xml:space="preserve">4,174 </w:t>
            </w:r>
          </w:p>
        </w:tc>
      </w:tr>
      <w:tr w:rsidR="00D87E82" w:rsidRPr="00DE5CB9" w14:paraId="00B37072" w14:textId="77777777" w:rsidTr="00B64C2B">
        <w:trPr>
          <w:trHeight w:val="60"/>
        </w:trPr>
        <w:tc>
          <w:tcPr>
            <w:tcW w:w="3870" w:type="dxa"/>
            <w:tcBorders>
              <w:top w:val="nil"/>
              <w:left w:val="nil"/>
              <w:bottom w:val="nil"/>
              <w:right w:val="nil"/>
            </w:tcBorders>
            <w:shd w:val="clear" w:color="000000" w:fill="FFFFFF"/>
            <w:noWrap/>
            <w:vAlign w:val="bottom"/>
            <w:hideMark/>
          </w:tcPr>
          <w:p w14:paraId="636B4EFC"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bottom"/>
            <w:hideMark/>
          </w:tcPr>
          <w:p w14:paraId="26C1FCC1"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c>
          <w:tcPr>
            <w:tcW w:w="990" w:type="dxa"/>
            <w:tcBorders>
              <w:top w:val="nil"/>
              <w:left w:val="nil"/>
              <w:bottom w:val="nil"/>
              <w:right w:val="nil"/>
            </w:tcBorders>
            <w:shd w:val="clear" w:color="000000" w:fill="FFFFFF"/>
            <w:noWrap/>
            <w:vAlign w:val="bottom"/>
            <w:hideMark/>
          </w:tcPr>
          <w:p w14:paraId="7B0A3E78" w14:textId="1F058B11" w:rsidR="00D87E82" w:rsidRPr="00DE5CB9" w:rsidRDefault="00D87E82" w:rsidP="00BD2A40">
            <w:pPr>
              <w:rPr>
                <w:rFonts w:ascii="Calibri" w:eastAsia="Times New Roman" w:hAnsi="Calibri" w:cs="Calibri"/>
                <w:color w:val="000000"/>
              </w:rPr>
            </w:pPr>
          </w:p>
        </w:tc>
        <w:tc>
          <w:tcPr>
            <w:tcW w:w="1298" w:type="dxa"/>
            <w:tcBorders>
              <w:top w:val="nil"/>
              <w:left w:val="nil"/>
              <w:bottom w:val="nil"/>
              <w:right w:val="nil"/>
            </w:tcBorders>
            <w:shd w:val="clear" w:color="000000" w:fill="FFFFFF"/>
            <w:noWrap/>
            <w:vAlign w:val="bottom"/>
            <w:hideMark/>
          </w:tcPr>
          <w:p w14:paraId="530B70F0"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c>
          <w:tcPr>
            <w:tcW w:w="998" w:type="dxa"/>
            <w:tcBorders>
              <w:top w:val="nil"/>
              <w:left w:val="nil"/>
              <w:bottom w:val="nil"/>
              <w:right w:val="nil"/>
            </w:tcBorders>
            <w:shd w:val="clear" w:color="000000" w:fill="FFFFFF"/>
            <w:noWrap/>
            <w:vAlign w:val="bottom"/>
            <w:hideMark/>
          </w:tcPr>
          <w:p w14:paraId="78F87E07"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c>
          <w:tcPr>
            <w:tcW w:w="990" w:type="dxa"/>
            <w:tcBorders>
              <w:top w:val="nil"/>
              <w:left w:val="nil"/>
              <w:bottom w:val="nil"/>
              <w:right w:val="nil"/>
            </w:tcBorders>
            <w:shd w:val="clear" w:color="000000" w:fill="FFFFFF"/>
            <w:noWrap/>
            <w:vAlign w:val="bottom"/>
            <w:hideMark/>
          </w:tcPr>
          <w:p w14:paraId="7007C063"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c>
          <w:tcPr>
            <w:tcW w:w="1269" w:type="dxa"/>
            <w:tcBorders>
              <w:top w:val="nil"/>
              <w:left w:val="nil"/>
              <w:bottom w:val="nil"/>
              <w:right w:val="nil"/>
            </w:tcBorders>
            <w:shd w:val="clear" w:color="000000" w:fill="FFFFFF"/>
            <w:noWrap/>
            <w:vAlign w:val="bottom"/>
            <w:hideMark/>
          </w:tcPr>
          <w:p w14:paraId="746C7AE4" w14:textId="77777777" w:rsidR="00D87E82" w:rsidRPr="00DE5CB9" w:rsidRDefault="00D87E82" w:rsidP="00BD2A40">
            <w:pPr>
              <w:rPr>
                <w:rFonts w:ascii="Calibri" w:eastAsia="Times New Roman" w:hAnsi="Calibri" w:cs="Calibri"/>
                <w:color w:val="000000"/>
              </w:rPr>
            </w:pPr>
            <w:r w:rsidRPr="00DE5CB9">
              <w:rPr>
                <w:rFonts w:ascii="Calibri" w:eastAsia="Times New Roman" w:hAnsi="Calibri" w:cs="Calibri"/>
                <w:color w:val="000000"/>
              </w:rPr>
              <w:t> </w:t>
            </w:r>
          </w:p>
        </w:tc>
      </w:tr>
    </w:tbl>
    <w:p w14:paraId="6D42971C" w14:textId="00366455" w:rsidR="00DD1612" w:rsidRDefault="00DD1612" w:rsidP="0048737B">
      <w:pPr>
        <w:rPr>
          <w:rFonts w:cstheme="minorHAnsi"/>
          <w:sz w:val="24"/>
          <w:szCs w:val="24"/>
        </w:rPr>
      </w:pPr>
      <w:r w:rsidRPr="00F54559">
        <w:rPr>
          <w:rFonts w:cstheme="minorHAnsi"/>
          <w:sz w:val="24"/>
          <w:szCs w:val="24"/>
        </w:rPr>
        <w:t>The System recognizes grant and contract revenue to the extent that it has fulfilled the eligibility requirements (e.g., incurred allowable costs) of th</w:t>
      </w:r>
      <w:r w:rsidR="00541C5C">
        <w:rPr>
          <w:rFonts w:cstheme="minorHAnsi"/>
          <w:sz w:val="24"/>
          <w:szCs w:val="24"/>
        </w:rPr>
        <w:t>e grant or contract award.</w:t>
      </w:r>
      <w:r w:rsidRPr="00F54559">
        <w:rPr>
          <w:rFonts w:cstheme="minorHAnsi"/>
          <w:sz w:val="24"/>
          <w:szCs w:val="24"/>
        </w:rPr>
        <w:t xml:space="preserve"> Some awards pay the System in advance of the Syst</w:t>
      </w:r>
      <w:r w:rsidR="00541C5C">
        <w:rPr>
          <w:rFonts w:cstheme="minorHAnsi"/>
          <w:sz w:val="24"/>
          <w:szCs w:val="24"/>
        </w:rPr>
        <w:t xml:space="preserve">em fulfilling its obligations. </w:t>
      </w:r>
      <w:r w:rsidRPr="00F54559">
        <w:rPr>
          <w:rFonts w:cstheme="minorHAnsi"/>
          <w:sz w:val="24"/>
          <w:szCs w:val="24"/>
        </w:rPr>
        <w:t>In such situations, the System reports the cash as an asset and the offset as unearned revenue and deposits</w:t>
      </w:r>
      <w:r w:rsidR="00E01E79">
        <w:rPr>
          <w:rFonts w:cstheme="minorHAnsi"/>
          <w:sz w:val="24"/>
          <w:szCs w:val="24"/>
        </w:rPr>
        <w:t xml:space="preserve"> </w:t>
      </w:r>
      <w:r w:rsidR="00E01E79" w:rsidRPr="00F54559">
        <w:rPr>
          <w:rFonts w:cstheme="minorHAnsi"/>
          <w:sz w:val="24"/>
          <w:szCs w:val="24"/>
        </w:rPr>
        <w:t>(see unearned grant advances in the above table)</w:t>
      </w:r>
      <w:r w:rsidR="00E01E79">
        <w:rPr>
          <w:rFonts w:cstheme="minorHAnsi"/>
          <w:sz w:val="24"/>
          <w:szCs w:val="24"/>
        </w:rPr>
        <w:t xml:space="preserve"> which is </w:t>
      </w:r>
      <w:r w:rsidRPr="00F54559">
        <w:rPr>
          <w:rFonts w:cstheme="minorHAnsi"/>
          <w:sz w:val="24"/>
          <w:szCs w:val="24"/>
        </w:rPr>
        <w:t>a current liability in the Statements of Net Position</w:t>
      </w:r>
      <w:r w:rsidR="00E01E79">
        <w:rPr>
          <w:rFonts w:cstheme="minorHAnsi"/>
          <w:sz w:val="24"/>
          <w:szCs w:val="24"/>
        </w:rPr>
        <w:t>.</w:t>
      </w:r>
      <w:r w:rsidRPr="00F54559">
        <w:rPr>
          <w:rFonts w:cstheme="minorHAnsi"/>
          <w:sz w:val="24"/>
          <w:szCs w:val="24"/>
        </w:rPr>
        <w:t xml:space="preserve"> </w:t>
      </w:r>
    </w:p>
    <w:p w14:paraId="0DC5C790" w14:textId="77777777" w:rsidR="0077729E" w:rsidRDefault="0077729E" w:rsidP="00DD1612">
      <w:pPr>
        <w:rPr>
          <w:rFonts w:cstheme="minorHAnsi"/>
          <w:sz w:val="24"/>
          <w:szCs w:val="24"/>
        </w:rPr>
      </w:pPr>
    </w:p>
    <w:p w14:paraId="16EACD2D" w14:textId="2388E53F" w:rsidR="00DD1612" w:rsidRPr="00F54559" w:rsidRDefault="00DD1612" w:rsidP="00DD1612">
      <w:pPr>
        <w:rPr>
          <w:rFonts w:cstheme="minorHAnsi"/>
          <w:sz w:val="24"/>
          <w:szCs w:val="24"/>
        </w:rPr>
      </w:pPr>
      <w:r w:rsidRPr="00F54559">
        <w:rPr>
          <w:rFonts w:cstheme="minorHAnsi"/>
          <w:sz w:val="24"/>
          <w:szCs w:val="24"/>
        </w:rPr>
        <w:t>The vast majority of grant and contract awards made to the System pay funds to the S</w:t>
      </w:r>
      <w:r w:rsidR="00541C5C">
        <w:rPr>
          <w:rFonts w:cstheme="minorHAnsi"/>
          <w:sz w:val="24"/>
          <w:szCs w:val="24"/>
        </w:rPr>
        <w:t>ystem on a reimbursement basis.</w:t>
      </w:r>
      <w:r w:rsidRPr="00F54559">
        <w:rPr>
          <w:rFonts w:cstheme="minorHAnsi"/>
          <w:sz w:val="24"/>
          <w:szCs w:val="24"/>
        </w:rPr>
        <w:t xml:space="preserve"> To the extent that the System has eligible, unreimbursed expenses, it recognizes a grant receivable in t</w:t>
      </w:r>
      <w:r w:rsidR="00541C5C">
        <w:rPr>
          <w:rFonts w:cstheme="minorHAnsi"/>
          <w:sz w:val="24"/>
          <w:szCs w:val="24"/>
        </w:rPr>
        <w:t xml:space="preserve">he Statements of Net Position. </w:t>
      </w:r>
      <w:r w:rsidRPr="00F54559">
        <w:rPr>
          <w:rFonts w:cstheme="minorHAnsi"/>
          <w:sz w:val="24"/>
          <w:szCs w:val="24"/>
        </w:rPr>
        <w:t>The System excludes from its financial statements the portion of an award not currently reimbursable because the System has not yet met</w:t>
      </w:r>
      <w:r w:rsidR="00541C5C">
        <w:rPr>
          <w:rFonts w:cstheme="minorHAnsi"/>
          <w:sz w:val="24"/>
          <w:szCs w:val="24"/>
        </w:rPr>
        <w:t xml:space="preserve"> the eligibility requirements. </w:t>
      </w:r>
      <w:r w:rsidRPr="00F54559">
        <w:rPr>
          <w:rFonts w:cstheme="minorHAnsi"/>
          <w:sz w:val="24"/>
          <w:szCs w:val="24"/>
        </w:rPr>
        <w:t xml:space="preserve">As of June 30, </w:t>
      </w:r>
      <w:r w:rsidR="00D97DF5" w:rsidRPr="00F54559">
        <w:rPr>
          <w:rFonts w:cstheme="minorHAnsi"/>
          <w:sz w:val="24"/>
          <w:szCs w:val="24"/>
        </w:rPr>
        <w:t>20</w:t>
      </w:r>
      <w:r w:rsidR="00D97DF5">
        <w:rPr>
          <w:rFonts w:cstheme="minorHAnsi"/>
          <w:sz w:val="24"/>
          <w:szCs w:val="24"/>
        </w:rPr>
        <w:t>23</w:t>
      </w:r>
      <w:r w:rsidR="00D97DF5" w:rsidRPr="00F54559">
        <w:rPr>
          <w:rFonts w:cstheme="minorHAnsi"/>
          <w:sz w:val="24"/>
          <w:szCs w:val="24"/>
        </w:rPr>
        <w:t xml:space="preserve"> </w:t>
      </w:r>
      <w:r w:rsidRPr="00F54559">
        <w:rPr>
          <w:rFonts w:cstheme="minorHAnsi"/>
          <w:sz w:val="24"/>
          <w:szCs w:val="24"/>
        </w:rPr>
        <w:t xml:space="preserve">and </w:t>
      </w:r>
      <w:r w:rsidR="00D97DF5" w:rsidRPr="00F54559">
        <w:rPr>
          <w:rFonts w:cstheme="minorHAnsi"/>
          <w:sz w:val="24"/>
          <w:szCs w:val="24"/>
        </w:rPr>
        <w:t>20</w:t>
      </w:r>
      <w:r w:rsidR="00D97DF5">
        <w:rPr>
          <w:rFonts w:cstheme="minorHAnsi"/>
          <w:sz w:val="24"/>
          <w:szCs w:val="24"/>
        </w:rPr>
        <w:t>22</w:t>
      </w:r>
      <w:r w:rsidRPr="00F54559">
        <w:rPr>
          <w:rFonts w:cstheme="minorHAnsi"/>
          <w:sz w:val="24"/>
          <w:szCs w:val="24"/>
        </w:rPr>
        <w:t>, the portion of outstanding awards excluded from the financial statements totaled $</w:t>
      </w:r>
      <w:r w:rsidR="00410965" w:rsidRPr="0048737B">
        <w:rPr>
          <w:rFonts w:cstheme="minorHAnsi"/>
          <w:sz w:val="24"/>
          <w:szCs w:val="24"/>
        </w:rPr>
        <w:t>99,7</w:t>
      </w:r>
      <w:r w:rsidR="00CD31C2">
        <w:rPr>
          <w:rFonts w:cstheme="minorHAnsi"/>
          <w:sz w:val="24"/>
          <w:szCs w:val="24"/>
        </w:rPr>
        <w:t>47</w:t>
      </w:r>
      <w:r w:rsidRPr="004C0939">
        <w:rPr>
          <w:rFonts w:cstheme="minorHAnsi"/>
          <w:sz w:val="24"/>
          <w:szCs w:val="24"/>
        </w:rPr>
        <w:t xml:space="preserve"> </w:t>
      </w:r>
      <w:r w:rsidRPr="00F54559">
        <w:rPr>
          <w:rFonts w:cstheme="minorHAnsi"/>
          <w:sz w:val="24"/>
          <w:szCs w:val="24"/>
        </w:rPr>
        <w:t>and $</w:t>
      </w:r>
      <w:r w:rsidR="00D97DF5">
        <w:rPr>
          <w:rFonts w:cstheme="minorHAnsi"/>
          <w:sz w:val="24"/>
          <w:szCs w:val="24"/>
        </w:rPr>
        <w:t>71,848</w:t>
      </w:r>
      <w:r w:rsidRPr="00F54559">
        <w:rPr>
          <w:rFonts w:cstheme="minorHAnsi"/>
          <w:sz w:val="24"/>
          <w:szCs w:val="24"/>
        </w:rPr>
        <w:t>, respectively.</w:t>
      </w:r>
    </w:p>
    <w:p w14:paraId="48CDFBC2" w14:textId="77777777" w:rsidR="00DD1612" w:rsidRPr="00F54559" w:rsidRDefault="00DD1612" w:rsidP="00DD1612">
      <w:pPr>
        <w:pStyle w:val="AFR2"/>
        <w:rPr>
          <w:rFonts w:cstheme="minorHAnsi"/>
          <w:sz w:val="26"/>
          <w:szCs w:val="26"/>
        </w:rPr>
      </w:pPr>
      <w:r w:rsidRPr="00F54559">
        <w:rPr>
          <w:rFonts w:cstheme="minorHAnsi"/>
          <w:sz w:val="26"/>
          <w:szCs w:val="26"/>
        </w:rPr>
        <w:lastRenderedPageBreak/>
        <w:t>9. GOVERNMENT ADVANCES REFUNDABLE</w:t>
      </w:r>
    </w:p>
    <w:p w14:paraId="32762ED5" w14:textId="425DBF34" w:rsidR="00DD1612" w:rsidRDefault="00DD1612" w:rsidP="000842F5">
      <w:pPr>
        <w:tabs>
          <w:tab w:val="left" w:pos="720"/>
          <w:tab w:val="left" w:pos="1022"/>
          <w:tab w:val="left" w:pos="1440"/>
          <w:tab w:val="center" w:pos="3960"/>
          <w:tab w:val="right" w:pos="5220"/>
          <w:tab w:val="right" w:pos="6691"/>
          <w:tab w:val="right" w:pos="7621"/>
          <w:tab w:val="right" w:pos="9187"/>
        </w:tabs>
        <w:suppressAutoHyphens/>
        <w:rPr>
          <w:rFonts w:eastAsiaTheme="majorEastAsia" w:cstheme="minorHAnsi"/>
          <w:b/>
          <w:i/>
          <w:iCs/>
          <w:smallCaps/>
          <w:noProof/>
          <w:sz w:val="26"/>
          <w:szCs w:val="26"/>
          <w:u w:color="5B9BD5"/>
        </w:rPr>
      </w:pPr>
      <w:r w:rsidRPr="00F54559">
        <w:rPr>
          <w:rFonts w:cstheme="minorHAnsi"/>
          <w:bCs/>
          <w:spacing w:val="-3"/>
          <w:sz w:val="24"/>
        </w:rPr>
        <w:t>The System participates in the Federal Perkins L</w:t>
      </w:r>
      <w:r w:rsidR="00541C5C">
        <w:rPr>
          <w:rFonts w:cstheme="minorHAnsi"/>
          <w:bCs/>
          <w:spacing w:val="-3"/>
          <w:sz w:val="24"/>
        </w:rPr>
        <w:t xml:space="preserve">oan and Nursing Loan Programs. </w:t>
      </w:r>
      <w:r w:rsidRPr="00F54559">
        <w:rPr>
          <w:rFonts w:cstheme="minorHAnsi"/>
          <w:bCs/>
          <w:spacing w:val="-3"/>
          <w:sz w:val="24"/>
        </w:rPr>
        <w:t xml:space="preserve">These programs are funded through a combination of </w:t>
      </w:r>
      <w:r>
        <w:rPr>
          <w:rFonts w:cstheme="minorHAnsi"/>
          <w:bCs/>
          <w:spacing w:val="-3"/>
          <w:sz w:val="24"/>
        </w:rPr>
        <w:t>f</w:t>
      </w:r>
      <w:r w:rsidRPr="00F54559">
        <w:rPr>
          <w:rFonts w:cstheme="minorHAnsi"/>
          <w:bCs/>
          <w:spacing w:val="-3"/>
          <w:sz w:val="24"/>
        </w:rPr>
        <w:t xml:space="preserve">ederal and </w:t>
      </w:r>
      <w:r>
        <w:rPr>
          <w:rFonts w:cstheme="minorHAnsi"/>
          <w:bCs/>
          <w:spacing w:val="-3"/>
          <w:sz w:val="24"/>
        </w:rPr>
        <w:t>i</w:t>
      </w:r>
      <w:r w:rsidR="00541C5C">
        <w:rPr>
          <w:rFonts w:cstheme="minorHAnsi"/>
          <w:bCs/>
          <w:spacing w:val="-3"/>
          <w:sz w:val="24"/>
        </w:rPr>
        <w:t xml:space="preserve">nstitutional resources. </w:t>
      </w:r>
      <w:r w:rsidRPr="00F54559">
        <w:rPr>
          <w:rFonts w:cstheme="minorHAnsi"/>
          <w:bCs/>
          <w:spacing w:val="-3"/>
          <w:sz w:val="24"/>
        </w:rPr>
        <w:t xml:space="preserve">The portion of these programs that has been funded with </w:t>
      </w:r>
      <w:r>
        <w:rPr>
          <w:rFonts w:cstheme="minorHAnsi"/>
          <w:bCs/>
          <w:spacing w:val="-3"/>
          <w:sz w:val="24"/>
        </w:rPr>
        <w:t>f</w:t>
      </w:r>
      <w:r w:rsidRPr="00F54559">
        <w:rPr>
          <w:rFonts w:cstheme="minorHAnsi"/>
          <w:bCs/>
          <w:spacing w:val="-3"/>
          <w:sz w:val="24"/>
        </w:rPr>
        <w:t>ederal funds is ultimately refundable to the U.S. Government upon the termination of the System’s participation in the program</w:t>
      </w:r>
      <w:r w:rsidR="00541C5C">
        <w:rPr>
          <w:rFonts w:cstheme="minorHAnsi"/>
          <w:bCs/>
          <w:spacing w:val="-3"/>
          <w:sz w:val="24"/>
        </w:rPr>
        <w:t xml:space="preserve">s. </w:t>
      </w:r>
      <w:r w:rsidRPr="00F54559">
        <w:rPr>
          <w:rFonts w:cstheme="minorHAnsi"/>
          <w:bCs/>
          <w:spacing w:val="-3"/>
          <w:sz w:val="24"/>
        </w:rPr>
        <w:t xml:space="preserve">The portion that would be refundable if the programs were terminated as of June 30, </w:t>
      </w:r>
      <w:proofErr w:type="gramStart"/>
      <w:r w:rsidR="00D97DF5" w:rsidRPr="00F54559">
        <w:rPr>
          <w:rFonts w:cstheme="minorHAnsi"/>
          <w:bCs/>
          <w:spacing w:val="-3"/>
          <w:sz w:val="24"/>
        </w:rPr>
        <w:t>20</w:t>
      </w:r>
      <w:r w:rsidR="00D97DF5">
        <w:rPr>
          <w:rFonts w:cstheme="minorHAnsi"/>
          <w:bCs/>
          <w:spacing w:val="-3"/>
          <w:sz w:val="24"/>
        </w:rPr>
        <w:t>23</w:t>
      </w:r>
      <w:proofErr w:type="gramEnd"/>
      <w:r w:rsidR="00D97DF5" w:rsidRPr="00F54559">
        <w:rPr>
          <w:rFonts w:cstheme="minorHAnsi"/>
          <w:bCs/>
          <w:spacing w:val="-3"/>
          <w:sz w:val="24"/>
        </w:rPr>
        <w:t xml:space="preserve"> </w:t>
      </w:r>
      <w:r w:rsidRPr="00F54559">
        <w:rPr>
          <w:rFonts w:cstheme="minorHAnsi"/>
          <w:bCs/>
          <w:spacing w:val="-3"/>
          <w:sz w:val="24"/>
        </w:rPr>
        <w:t xml:space="preserve">and </w:t>
      </w:r>
      <w:r w:rsidR="00D97DF5" w:rsidRPr="00F54559">
        <w:rPr>
          <w:rFonts w:cstheme="minorHAnsi"/>
          <w:bCs/>
          <w:spacing w:val="-3"/>
          <w:sz w:val="24"/>
        </w:rPr>
        <w:t>20</w:t>
      </w:r>
      <w:r w:rsidR="00D97DF5">
        <w:rPr>
          <w:rFonts w:cstheme="minorHAnsi"/>
          <w:bCs/>
          <w:spacing w:val="-3"/>
          <w:sz w:val="24"/>
        </w:rPr>
        <w:t>22</w:t>
      </w:r>
      <w:r w:rsidR="00D97DF5" w:rsidRPr="00F54559">
        <w:rPr>
          <w:rFonts w:cstheme="minorHAnsi"/>
          <w:bCs/>
          <w:spacing w:val="-3"/>
          <w:sz w:val="24"/>
        </w:rPr>
        <w:t xml:space="preserve"> </w:t>
      </w:r>
      <w:r w:rsidRPr="00F54559">
        <w:rPr>
          <w:rFonts w:cstheme="minorHAnsi"/>
          <w:bCs/>
          <w:spacing w:val="-3"/>
          <w:sz w:val="24"/>
        </w:rPr>
        <w:t>has been included in the accompanying Statements of Net Position as a noncurrent liability.</w:t>
      </w:r>
    </w:p>
    <w:p w14:paraId="7AEF778B" w14:textId="77777777" w:rsidR="00DD1612" w:rsidRPr="00994168" w:rsidRDefault="00DD1612" w:rsidP="00DD1612">
      <w:pPr>
        <w:pStyle w:val="AFR2"/>
        <w:rPr>
          <w:rFonts w:cstheme="minorHAnsi"/>
          <w:color w:val="auto"/>
          <w:sz w:val="26"/>
          <w:szCs w:val="26"/>
        </w:rPr>
      </w:pPr>
      <w:r w:rsidRPr="00994168">
        <w:rPr>
          <w:rFonts w:cstheme="minorHAnsi"/>
          <w:color w:val="auto"/>
          <w:sz w:val="26"/>
          <w:szCs w:val="26"/>
        </w:rPr>
        <w:t>10. NET POSITION</w:t>
      </w:r>
    </w:p>
    <w:p w14:paraId="4FCA0B5A" w14:textId="77777777" w:rsidR="00DD1612" w:rsidRPr="00F54559" w:rsidRDefault="00DD1612" w:rsidP="00DD1612">
      <w:pPr>
        <w:tabs>
          <w:tab w:val="left" w:pos="720"/>
          <w:tab w:val="left" w:pos="1022"/>
          <w:tab w:val="left" w:pos="1440"/>
          <w:tab w:val="center" w:pos="3960"/>
          <w:tab w:val="right" w:pos="5220"/>
          <w:tab w:val="right" w:pos="6691"/>
          <w:tab w:val="right" w:pos="7621"/>
          <w:tab w:val="right" w:pos="9187"/>
        </w:tabs>
        <w:suppressAutoHyphens/>
        <w:spacing w:after="240"/>
        <w:rPr>
          <w:rFonts w:eastAsia="Times New Roman" w:cstheme="minorHAnsi"/>
          <w:b/>
          <w:bCs/>
          <w:i/>
          <w:iCs/>
          <w:smallCaps/>
          <w:spacing w:val="-3"/>
          <w:sz w:val="24"/>
          <w:szCs w:val="24"/>
        </w:rPr>
      </w:pPr>
      <w:r w:rsidRPr="00F54559">
        <w:rPr>
          <w:rFonts w:eastAsia="Times New Roman" w:cstheme="minorHAnsi"/>
          <w:bCs/>
          <w:spacing w:val="-3"/>
          <w:sz w:val="24"/>
          <w:szCs w:val="24"/>
        </w:rPr>
        <w:t>The System’s net position is composed of the following as of June 30:</w:t>
      </w:r>
      <w:r>
        <w:rPr>
          <w:rFonts w:eastAsia="Times New Roman" w:cstheme="minorHAnsi"/>
          <w:b/>
          <w:bCs/>
          <w:i/>
          <w:iCs/>
          <w:smallCaps/>
          <w:spacing w:val="-3"/>
          <w:sz w:val="24"/>
          <w:szCs w:val="24"/>
        </w:rPr>
        <w:fldChar w:fldCharType="begin"/>
      </w:r>
      <w:r>
        <w:rPr>
          <w:rFonts w:eastAsia="Times New Roman" w:cstheme="minorHAnsi"/>
          <w:b/>
          <w:bCs/>
          <w:i/>
          <w:iCs/>
          <w:smallCaps/>
          <w:spacing w:val="-3"/>
          <w:sz w:val="24"/>
          <w:szCs w:val="24"/>
        </w:rPr>
        <w:fldChar w:fldCharType="end"/>
      </w:r>
    </w:p>
    <w:tbl>
      <w:tblPr>
        <w:tblW w:w="9360" w:type="dxa"/>
        <w:jc w:val="center"/>
        <w:tblLook w:val="04A0" w:firstRow="1" w:lastRow="0" w:firstColumn="1" w:lastColumn="0" w:noHBand="0" w:noVBand="1"/>
      </w:tblPr>
      <w:tblGrid>
        <w:gridCol w:w="5994"/>
        <w:gridCol w:w="1661"/>
        <w:gridCol w:w="1705"/>
      </w:tblGrid>
      <w:tr w:rsidR="00DD1612" w:rsidRPr="005F7BC7" w14:paraId="5D13A083" w14:textId="77777777" w:rsidTr="00C213A7">
        <w:trPr>
          <w:trHeight w:val="300"/>
          <w:tblHeader/>
          <w:jc w:val="center"/>
        </w:trPr>
        <w:tc>
          <w:tcPr>
            <w:tcW w:w="5994" w:type="dxa"/>
            <w:tcBorders>
              <w:top w:val="nil"/>
              <w:left w:val="nil"/>
              <w:bottom w:val="single" w:sz="12" w:space="0" w:color="00688D"/>
              <w:right w:val="nil"/>
            </w:tcBorders>
            <w:shd w:val="clear" w:color="000000" w:fill="FFFFFF"/>
            <w:noWrap/>
            <w:vAlign w:val="bottom"/>
            <w:hideMark/>
          </w:tcPr>
          <w:p w14:paraId="15225F47" w14:textId="77777777" w:rsidR="00DD1612" w:rsidRPr="001A18A6" w:rsidRDefault="00DD1612" w:rsidP="00BD375F">
            <w:pPr>
              <w:rPr>
                <w:rFonts w:eastAsia="Times New Roman" w:cstheme="minorHAnsi"/>
                <w:b/>
                <w:bCs/>
                <w:color w:val="0D0D0D"/>
                <w:szCs w:val="24"/>
              </w:rPr>
            </w:pPr>
            <w:r w:rsidRPr="001A18A6">
              <w:rPr>
                <w:rFonts w:eastAsia="Times New Roman" w:cstheme="minorHAnsi"/>
                <w:b/>
                <w:bCs/>
                <w:color w:val="0D0D0D"/>
                <w:szCs w:val="24"/>
              </w:rPr>
              <w:t> </w:t>
            </w:r>
          </w:p>
        </w:tc>
        <w:tc>
          <w:tcPr>
            <w:tcW w:w="1661" w:type="dxa"/>
            <w:tcBorders>
              <w:top w:val="nil"/>
              <w:left w:val="nil"/>
              <w:bottom w:val="single" w:sz="12" w:space="0" w:color="00688D"/>
              <w:right w:val="nil"/>
            </w:tcBorders>
            <w:shd w:val="clear" w:color="000000" w:fill="FFFFFF"/>
            <w:noWrap/>
            <w:vAlign w:val="bottom"/>
            <w:hideMark/>
          </w:tcPr>
          <w:p w14:paraId="62ADE9A1" w14:textId="42754773" w:rsidR="00DD1612" w:rsidRPr="001A18A6" w:rsidRDefault="00DD1612" w:rsidP="00BD375F">
            <w:pPr>
              <w:jc w:val="center"/>
              <w:rPr>
                <w:rFonts w:eastAsia="Times New Roman" w:cstheme="minorHAnsi"/>
                <w:b/>
                <w:bCs/>
                <w:color w:val="0D0D0D"/>
                <w:szCs w:val="24"/>
              </w:rPr>
            </w:pPr>
            <w:r w:rsidRPr="001A18A6">
              <w:rPr>
                <w:rFonts w:eastAsia="Times New Roman" w:cstheme="minorHAnsi"/>
                <w:b/>
                <w:bCs/>
                <w:color w:val="0D0D0D"/>
                <w:szCs w:val="24"/>
              </w:rPr>
              <w:t>202</w:t>
            </w:r>
            <w:r w:rsidR="00D97DF5">
              <w:rPr>
                <w:rFonts w:eastAsia="Times New Roman" w:cstheme="minorHAnsi"/>
                <w:b/>
                <w:bCs/>
                <w:color w:val="0D0D0D"/>
                <w:szCs w:val="24"/>
              </w:rPr>
              <w:t>3</w:t>
            </w:r>
          </w:p>
        </w:tc>
        <w:tc>
          <w:tcPr>
            <w:tcW w:w="1705" w:type="dxa"/>
            <w:tcBorders>
              <w:top w:val="nil"/>
              <w:left w:val="nil"/>
              <w:bottom w:val="single" w:sz="12" w:space="0" w:color="00688D"/>
              <w:right w:val="nil"/>
            </w:tcBorders>
            <w:shd w:val="clear" w:color="auto" w:fill="F2F2F2" w:themeFill="background1" w:themeFillShade="F2"/>
            <w:noWrap/>
            <w:vAlign w:val="bottom"/>
            <w:hideMark/>
          </w:tcPr>
          <w:p w14:paraId="2B57A9A3" w14:textId="25A0C2FB" w:rsidR="00DD1612" w:rsidRPr="001A18A6" w:rsidRDefault="00DD1612" w:rsidP="003977A2">
            <w:pPr>
              <w:jc w:val="center"/>
              <w:rPr>
                <w:rFonts w:eastAsia="Times New Roman" w:cstheme="minorHAnsi"/>
                <w:b/>
                <w:bCs/>
                <w:color w:val="0D0D0D"/>
                <w:szCs w:val="24"/>
              </w:rPr>
            </w:pPr>
            <w:r>
              <w:rPr>
                <w:rFonts w:eastAsia="Times New Roman" w:cstheme="minorHAnsi"/>
                <w:b/>
                <w:bCs/>
                <w:color w:val="0D0D0D"/>
                <w:szCs w:val="24"/>
              </w:rPr>
              <w:t>202</w:t>
            </w:r>
            <w:r w:rsidR="00D97DF5">
              <w:rPr>
                <w:rFonts w:eastAsia="Times New Roman" w:cstheme="minorHAnsi"/>
                <w:b/>
                <w:bCs/>
                <w:color w:val="0D0D0D"/>
                <w:szCs w:val="24"/>
              </w:rPr>
              <w:t>2</w:t>
            </w:r>
            <w:r w:rsidR="005A5528">
              <w:rPr>
                <w:rFonts w:eastAsia="Times New Roman" w:cstheme="minorHAnsi"/>
                <w:b/>
                <w:bCs/>
                <w:color w:val="0D0D0D"/>
                <w:szCs w:val="24"/>
              </w:rPr>
              <w:t xml:space="preserve"> Restated</w:t>
            </w:r>
          </w:p>
        </w:tc>
      </w:tr>
      <w:tr w:rsidR="00D97DF5" w:rsidRPr="005F7BC7" w14:paraId="639BD94D" w14:textId="77777777" w:rsidTr="0048737B">
        <w:trPr>
          <w:trHeight w:val="390"/>
          <w:jc w:val="center"/>
        </w:trPr>
        <w:tc>
          <w:tcPr>
            <w:tcW w:w="5994" w:type="dxa"/>
            <w:tcBorders>
              <w:top w:val="nil"/>
              <w:left w:val="nil"/>
              <w:bottom w:val="single" w:sz="4" w:space="0" w:color="00688D"/>
              <w:right w:val="nil"/>
            </w:tcBorders>
            <w:shd w:val="clear" w:color="000000" w:fill="FFFFFF"/>
            <w:noWrap/>
            <w:vAlign w:val="bottom"/>
            <w:hideMark/>
          </w:tcPr>
          <w:p w14:paraId="5501BAAC" w14:textId="77777777" w:rsidR="00D97DF5" w:rsidRPr="001A18A6" w:rsidRDefault="00D97DF5" w:rsidP="00D97DF5">
            <w:pPr>
              <w:rPr>
                <w:rFonts w:eastAsia="Times New Roman" w:cstheme="minorHAnsi"/>
                <w:color w:val="0D0D0D"/>
                <w:szCs w:val="24"/>
              </w:rPr>
            </w:pPr>
            <w:r w:rsidRPr="001A18A6">
              <w:rPr>
                <w:rFonts w:eastAsia="Times New Roman" w:cstheme="minorHAnsi"/>
                <w:color w:val="0D0D0D"/>
                <w:szCs w:val="24"/>
              </w:rPr>
              <w:t>Net investment in capital assets</w:t>
            </w:r>
          </w:p>
        </w:tc>
        <w:tc>
          <w:tcPr>
            <w:tcW w:w="1661" w:type="dxa"/>
            <w:tcBorders>
              <w:top w:val="nil"/>
              <w:left w:val="nil"/>
              <w:bottom w:val="single" w:sz="4" w:space="0" w:color="00688D"/>
              <w:right w:val="nil"/>
            </w:tcBorders>
            <w:shd w:val="clear" w:color="000000" w:fill="FFFFFF"/>
            <w:noWrap/>
            <w:vAlign w:val="bottom"/>
            <w:hideMark/>
          </w:tcPr>
          <w:p w14:paraId="3E6346B4" w14:textId="51D8CCC5" w:rsidR="00D97DF5" w:rsidRPr="0048737B" w:rsidRDefault="00D97DF5" w:rsidP="000B1BE8">
            <w:pPr>
              <w:jc w:val="right"/>
              <w:rPr>
                <w:rFonts w:eastAsia="Times New Roman" w:cstheme="minorHAnsi"/>
                <w:color w:val="FF0000"/>
                <w:szCs w:val="24"/>
              </w:rPr>
            </w:pPr>
            <w:r w:rsidRPr="000B1BE8">
              <w:rPr>
                <w:rFonts w:eastAsia="Times New Roman" w:cstheme="minorHAnsi"/>
                <w:szCs w:val="24"/>
              </w:rPr>
              <w:t xml:space="preserve">$   </w:t>
            </w:r>
            <w:r w:rsidR="00C213A7" w:rsidRPr="0048737B">
              <w:rPr>
                <w:rFonts w:eastAsia="Times New Roman" w:cstheme="minorHAnsi"/>
                <w:szCs w:val="24"/>
              </w:rPr>
              <w:t>634,614</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019C48A7" w14:textId="27EAC1E7" w:rsidR="00D97DF5" w:rsidRPr="001A18A6" w:rsidRDefault="00D97DF5" w:rsidP="004C0939">
            <w:pPr>
              <w:jc w:val="right"/>
              <w:rPr>
                <w:rFonts w:eastAsia="Times New Roman" w:cstheme="minorHAnsi"/>
                <w:color w:val="0D0D0D"/>
                <w:szCs w:val="24"/>
              </w:rPr>
            </w:pPr>
            <w:r w:rsidRPr="00B861F2">
              <w:rPr>
                <w:rFonts w:eastAsia="Times New Roman" w:cstheme="minorHAnsi"/>
                <w:szCs w:val="24"/>
              </w:rPr>
              <w:t xml:space="preserve">$   </w:t>
            </w:r>
            <w:r>
              <w:rPr>
                <w:rFonts w:eastAsia="Times New Roman" w:cstheme="minorHAnsi"/>
                <w:szCs w:val="24"/>
              </w:rPr>
              <w:t>58</w:t>
            </w:r>
            <w:r w:rsidR="00EF2216">
              <w:rPr>
                <w:rFonts w:eastAsia="Times New Roman" w:cstheme="minorHAnsi"/>
                <w:szCs w:val="24"/>
              </w:rPr>
              <w:t>9</w:t>
            </w:r>
            <w:r>
              <w:rPr>
                <w:rFonts w:eastAsia="Times New Roman" w:cstheme="minorHAnsi"/>
                <w:szCs w:val="24"/>
              </w:rPr>
              <w:t>,</w:t>
            </w:r>
            <w:r w:rsidR="00EF2216">
              <w:rPr>
                <w:rFonts w:eastAsia="Times New Roman" w:cstheme="minorHAnsi"/>
                <w:szCs w:val="24"/>
              </w:rPr>
              <w:t>331</w:t>
            </w:r>
          </w:p>
        </w:tc>
      </w:tr>
      <w:tr w:rsidR="00D97DF5" w:rsidRPr="005F7BC7" w14:paraId="53A6D5A2"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6CEC465F" w14:textId="77777777" w:rsidR="00D97DF5" w:rsidRPr="001A18A6" w:rsidRDefault="00D97DF5" w:rsidP="00D97DF5">
            <w:pPr>
              <w:rPr>
                <w:rFonts w:eastAsia="Times New Roman" w:cstheme="minorHAnsi"/>
                <w:color w:val="0D0D0D"/>
                <w:szCs w:val="24"/>
              </w:rPr>
            </w:pPr>
            <w:r w:rsidRPr="001A18A6">
              <w:rPr>
                <w:rFonts w:eastAsia="Times New Roman" w:cstheme="minorHAnsi"/>
                <w:color w:val="0D0D0D"/>
                <w:szCs w:val="24"/>
              </w:rPr>
              <w:t>Restricted - Nonexpendable:</w:t>
            </w:r>
          </w:p>
        </w:tc>
        <w:tc>
          <w:tcPr>
            <w:tcW w:w="1661" w:type="dxa"/>
            <w:tcBorders>
              <w:top w:val="nil"/>
              <w:left w:val="nil"/>
              <w:bottom w:val="nil"/>
              <w:right w:val="nil"/>
            </w:tcBorders>
            <w:shd w:val="clear" w:color="000000" w:fill="FFFFFF"/>
            <w:noWrap/>
            <w:vAlign w:val="bottom"/>
            <w:hideMark/>
          </w:tcPr>
          <w:p w14:paraId="3F54A94A" w14:textId="77777777" w:rsidR="00D97DF5" w:rsidRPr="0048737B" w:rsidRDefault="00D97DF5" w:rsidP="00D97DF5">
            <w:pPr>
              <w:jc w:val="right"/>
              <w:rPr>
                <w:rFonts w:eastAsia="Times New Roman" w:cstheme="minorHAnsi"/>
                <w:color w:val="FF0000"/>
                <w:szCs w:val="24"/>
              </w:rPr>
            </w:pPr>
            <w:r w:rsidRPr="0048737B">
              <w:rPr>
                <w:rFonts w:eastAsia="Times New Roman" w:cstheme="minorHAnsi"/>
                <w:color w:val="FF0000"/>
                <w:szCs w:val="24"/>
              </w:rPr>
              <w:t> </w:t>
            </w:r>
          </w:p>
        </w:tc>
        <w:tc>
          <w:tcPr>
            <w:tcW w:w="1705" w:type="dxa"/>
            <w:tcBorders>
              <w:top w:val="nil"/>
              <w:left w:val="nil"/>
              <w:bottom w:val="nil"/>
              <w:right w:val="nil"/>
            </w:tcBorders>
            <w:shd w:val="clear" w:color="auto" w:fill="F2F2F2" w:themeFill="background1" w:themeFillShade="F2"/>
            <w:noWrap/>
            <w:vAlign w:val="bottom"/>
            <w:hideMark/>
          </w:tcPr>
          <w:p w14:paraId="2DEF629C" w14:textId="0F4FC048" w:rsidR="00D97DF5" w:rsidRPr="001A18A6" w:rsidRDefault="00D97DF5" w:rsidP="00D97DF5">
            <w:pPr>
              <w:jc w:val="right"/>
              <w:rPr>
                <w:rFonts w:eastAsia="Times New Roman" w:cstheme="minorHAnsi"/>
                <w:color w:val="0D0D0D"/>
                <w:szCs w:val="24"/>
              </w:rPr>
            </w:pPr>
            <w:r w:rsidRPr="00B861F2">
              <w:rPr>
                <w:rFonts w:eastAsia="Times New Roman" w:cstheme="minorHAnsi"/>
                <w:szCs w:val="24"/>
              </w:rPr>
              <w:t> </w:t>
            </w:r>
          </w:p>
        </w:tc>
      </w:tr>
      <w:tr w:rsidR="00D97DF5" w:rsidRPr="005F7BC7" w14:paraId="08552130" w14:textId="77777777" w:rsidTr="0048737B">
        <w:trPr>
          <w:trHeight w:val="288"/>
          <w:jc w:val="center"/>
        </w:trPr>
        <w:tc>
          <w:tcPr>
            <w:tcW w:w="5994" w:type="dxa"/>
            <w:tcBorders>
              <w:top w:val="nil"/>
              <w:left w:val="nil"/>
              <w:bottom w:val="single" w:sz="4" w:space="0" w:color="00688D"/>
              <w:right w:val="nil"/>
            </w:tcBorders>
            <w:shd w:val="clear" w:color="000000" w:fill="FFFFFF"/>
            <w:noWrap/>
            <w:vAlign w:val="bottom"/>
            <w:hideMark/>
          </w:tcPr>
          <w:p w14:paraId="425E9552" w14:textId="77777777" w:rsidR="00D97DF5" w:rsidRPr="001A18A6" w:rsidRDefault="00D97DF5" w:rsidP="00D97DF5">
            <w:pPr>
              <w:ind w:firstLineChars="100" w:firstLine="220"/>
              <w:rPr>
                <w:rFonts w:eastAsia="Times New Roman" w:cstheme="minorHAnsi"/>
                <w:color w:val="0D0D0D"/>
                <w:szCs w:val="24"/>
              </w:rPr>
            </w:pPr>
            <w:r w:rsidRPr="001A18A6">
              <w:rPr>
                <w:rFonts w:eastAsia="Times New Roman" w:cstheme="minorHAnsi"/>
                <w:color w:val="0D0D0D"/>
                <w:szCs w:val="24"/>
              </w:rPr>
              <w:t>Endowment funds</w:t>
            </w:r>
          </w:p>
        </w:tc>
        <w:tc>
          <w:tcPr>
            <w:tcW w:w="1661" w:type="dxa"/>
            <w:tcBorders>
              <w:top w:val="nil"/>
              <w:left w:val="nil"/>
              <w:bottom w:val="single" w:sz="4" w:space="0" w:color="00688D"/>
              <w:right w:val="nil"/>
            </w:tcBorders>
            <w:shd w:val="clear" w:color="000000" w:fill="FFFFFF"/>
            <w:noWrap/>
            <w:vAlign w:val="bottom"/>
            <w:hideMark/>
          </w:tcPr>
          <w:p w14:paraId="41935317" w14:textId="238F292F" w:rsidR="00D97DF5" w:rsidRPr="0048737B" w:rsidRDefault="00C213A7" w:rsidP="00D97DF5">
            <w:pPr>
              <w:jc w:val="right"/>
              <w:rPr>
                <w:rFonts w:eastAsia="Times New Roman" w:cstheme="minorHAnsi"/>
                <w:color w:val="FF0000"/>
                <w:szCs w:val="24"/>
              </w:rPr>
            </w:pPr>
            <w:r w:rsidRPr="0048737B">
              <w:rPr>
                <w:rFonts w:eastAsia="Times New Roman" w:cstheme="minorHAnsi"/>
                <w:szCs w:val="24"/>
              </w:rPr>
              <w:t>72,410</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4BE76D33" w14:textId="6AB0B8A6" w:rsidR="00D97DF5" w:rsidRPr="001A18A6" w:rsidRDefault="00D97DF5" w:rsidP="00D97DF5">
            <w:pPr>
              <w:jc w:val="right"/>
              <w:rPr>
                <w:rFonts w:eastAsia="Times New Roman" w:cstheme="minorHAnsi"/>
                <w:color w:val="0D0D0D"/>
                <w:szCs w:val="24"/>
              </w:rPr>
            </w:pPr>
            <w:r w:rsidRPr="00B861F2">
              <w:rPr>
                <w:rFonts w:eastAsia="Times New Roman" w:cstheme="minorHAnsi"/>
                <w:szCs w:val="24"/>
              </w:rPr>
              <w:t>71,249</w:t>
            </w:r>
          </w:p>
        </w:tc>
      </w:tr>
      <w:tr w:rsidR="00D97DF5" w:rsidRPr="005F7BC7" w14:paraId="794169C6"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44E6D1E1" w14:textId="77777777" w:rsidR="00D97DF5" w:rsidRPr="001A18A6" w:rsidRDefault="00D97DF5" w:rsidP="00D97DF5">
            <w:pPr>
              <w:rPr>
                <w:rFonts w:eastAsia="Times New Roman" w:cstheme="minorHAnsi"/>
                <w:color w:val="0D0D0D"/>
                <w:szCs w:val="24"/>
              </w:rPr>
            </w:pPr>
            <w:r w:rsidRPr="001A18A6">
              <w:rPr>
                <w:rFonts w:eastAsia="Times New Roman" w:cstheme="minorHAnsi"/>
                <w:color w:val="0D0D0D"/>
                <w:szCs w:val="24"/>
              </w:rPr>
              <w:t>Restricted - Expendable:</w:t>
            </w:r>
          </w:p>
        </w:tc>
        <w:tc>
          <w:tcPr>
            <w:tcW w:w="1661" w:type="dxa"/>
            <w:tcBorders>
              <w:top w:val="nil"/>
              <w:left w:val="nil"/>
              <w:bottom w:val="nil"/>
              <w:right w:val="nil"/>
            </w:tcBorders>
            <w:shd w:val="clear" w:color="000000" w:fill="FFFFFF"/>
            <w:noWrap/>
            <w:vAlign w:val="bottom"/>
            <w:hideMark/>
          </w:tcPr>
          <w:p w14:paraId="660E7B5A" w14:textId="77777777" w:rsidR="00D97DF5" w:rsidRPr="0048737B" w:rsidRDefault="00D97DF5" w:rsidP="00D97DF5">
            <w:pPr>
              <w:jc w:val="right"/>
              <w:rPr>
                <w:rFonts w:eastAsia="Times New Roman" w:cstheme="minorHAnsi"/>
                <w:color w:val="FF0000"/>
                <w:szCs w:val="24"/>
              </w:rPr>
            </w:pPr>
            <w:r w:rsidRPr="0048737B">
              <w:rPr>
                <w:rFonts w:eastAsia="Times New Roman" w:cstheme="minorHAnsi"/>
                <w:color w:val="FF0000"/>
                <w:szCs w:val="24"/>
              </w:rPr>
              <w:t> </w:t>
            </w:r>
          </w:p>
        </w:tc>
        <w:tc>
          <w:tcPr>
            <w:tcW w:w="1705" w:type="dxa"/>
            <w:tcBorders>
              <w:top w:val="nil"/>
              <w:left w:val="nil"/>
              <w:bottom w:val="nil"/>
              <w:right w:val="nil"/>
            </w:tcBorders>
            <w:shd w:val="clear" w:color="auto" w:fill="F2F2F2" w:themeFill="background1" w:themeFillShade="F2"/>
            <w:noWrap/>
            <w:vAlign w:val="bottom"/>
            <w:hideMark/>
          </w:tcPr>
          <w:p w14:paraId="549F2AFF" w14:textId="0D8D7E49" w:rsidR="00D97DF5" w:rsidRPr="001A18A6" w:rsidRDefault="00D97DF5" w:rsidP="00D97DF5">
            <w:pPr>
              <w:jc w:val="right"/>
              <w:rPr>
                <w:rFonts w:eastAsia="Times New Roman" w:cstheme="minorHAnsi"/>
                <w:color w:val="0D0D0D"/>
                <w:szCs w:val="24"/>
              </w:rPr>
            </w:pPr>
            <w:r w:rsidRPr="00B861F2">
              <w:rPr>
                <w:rFonts w:eastAsia="Times New Roman" w:cstheme="minorHAnsi"/>
                <w:szCs w:val="24"/>
              </w:rPr>
              <w:t> </w:t>
            </w:r>
          </w:p>
        </w:tc>
      </w:tr>
      <w:tr w:rsidR="00C213A7" w:rsidRPr="005F7BC7" w14:paraId="5EC3C7F2"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5D83DBC5"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Student financial aid</w:t>
            </w:r>
          </w:p>
        </w:tc>
        <w:tc>
          <w:tcPr>
            <w:tcW w:w="1661" w:type="dxa"/>
            <w:tcBorders>
              <w:top w:val="nil"/>
              <w:left w:val="nil"/>
              <w:bottom w:val="nil"/>
              <w:right w:val="nil"/>
            </w:tcBorders>
            <w:shd w:val="clear" w:color="auto" w:fill="auto"/>
            <w:noWrap/>
            <w:vAlign w:val="bottom"/>
            <w:hideMark/>
          </w:tcPr>
          <w:p w14:paraId="269304BC" w14:textId="77699262" w:rsidR="00C213A7" w:rsidRPr="0048737B" w:rsidRDefault="00C213A7" w:rsidP="00C213A7">
            <w:pPr>
              <w:jc w:val="right"/>
              <w:rPr>
                <w:rFonts w:eastAsia="Times New Roman" w:cstheme="minorHAnsi"/>
                <w:color w:val="FF0000"/>
                <w:szCs w:val="24"/>
              </w:rPr>
            </w:pPr>
            <w:r>
              <w:rPr>
                <w:rFonts w:ascii="Calibri" w:hAnsi="Calibri" w:cs="Calibri"/>
              </w:rPr>
              <w:t xml:space="preserve">            57,111 </w:t>
            </w:r>
          </w:p>
        </w:tc>
        <w:tc>
          <w:tcPr>
            <w:tcW w:w="1705" w:type="dxa"/>
            <w:tcBorders>
              <w:top w:val="nil"/>
              <w:left w:val="nil"/>
              <w:bottom w:val="nil"/>
              <w:right w:val="nil"/>
            </w:tcBorders>
            <w:shd w:val="clear" w:color="auto" w:fill="F2F2F2" w:themeFill="background1" w:themeFillShade="F2"/>
            <w:noWrap/>
            <w:vAlign w:val="bottom"/>
            <w:hideMark/>
          </w:tcPr>
          <w:p w14:paraId="712976E9" w14:textId="0973147E" w:rsidR="00C213A7" w:rsidRPr="001A18A6" w:rsidRDefault="00C213A7" w:rsidP="00C213A7">
            <w:pPr>
              <w:jc w:val="right"/>
              <w:rPr>
                <w:rFonts w:eastAsia="Times New Roman" w:cstheme="minorHAnsi"/>
                <w:color w:val="0D0D0D"/>
                <w:szCs w:val="24"/>
              </w:rPr>
            </w:pPr>
            <w:r w:rsidRPr="00B861F2">
              <w:rPr>
                <w:rFonts w:ascii="Calibri" w:hAnsi="Calibri" w:cs="Calibri"/>
              </w:rPr>
              <w:t>52,241</w:t>
            </w:r>
            <w:r w:rsidRPr="00AB0061">
              <w:rPr>
                <w:rFonts w:ascii="Calibri" w:hAnsi="Calibri" w:cs="Calibri"/>
              </w:rPr>
              <w:t xml:space="preserve"> </w:t>
            </w:r>
          </w:p>
        </w:tc>
      </w:tr>
      <w:tr w:rsidR="00C213A7" w:rsidRPr="005F7BC7" w14:paraId="575CCEA2"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17DA8022"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Capital assets and retirement of debt</w:t>
            </w:r>
          </w:p>
        </w:tc>
        <w:tc>
          <w:tcPr>
            <w:tcW w:w="1661" w:type="dxa"/>
            <w:tcBorders>
              <w:top w:val="nil"/>
              <w:left w:val="nil"/>
              <w:bottom w:val="nil"/>
              <w:right w:val="nil"/>
            </w:tcBorders>
            <w:shd w:val="clear" w:color="auto" w:fill="auto"/>
            <w:noWrap/>
            <w:vAlign w:val="bottom"/>
            <w:hideMark/>
          </w:tcPr>
          <w:p w14:paraId="34725D70" w14:textId="59D4994F" w:rsidR="00C213A7" w:rsidRPr="0048737B" w:rsidRDefault="00C213A7" w:rsidP="00C213A7">
            <w:pPr>
              <w:jc w:val="right"/>
              <w:rPr>
                <w:rFonts w:eastAsia="Times New Roman" w:cstheme="minorHAnsi"/>
                <w:color w:val="FF0000"/>
                <w:szCs w:val="24"/>
              </w:rPr>
            </w:pPr>
            <w:r>
              <w:rPr>
                <w:rFonts w:ascii="Calibri" w:hAnsi="Calibri" w:cs="Calibri"/>
              </w:rPr>
              <w:t xml:space="preserve">              9,923 </w:t>
            </w:r>
          </w:p>
        </w:tc>
        <w:tc>
          <w:tcPr>
            <w:tcW w:w="1705" w:type="dxa"/>
            <w:tcBorders>
              <w:top w:val="nil"/>
              <w:left w:val="nil"/>
              <w:bottom w:val="nil"/>
              <w:right w:val="nil"/>
            </w:tcBorders>
            <w:shd w:val="clear" w:color="auto" w:fill="F2F2F2" w:themeFill="background1" w:themeFillShade="F2"/>
            <w:noWrap/>
            <w:vAlign w:val="bottom"/>
            <w:hideMark/>
          </w:tcPr>
          <w:p w14:paraId="2277574C" w14:textId="24914862" w:rsidR="00C213A7" w:rsidRPr="001A18A6" w:rsidRDefault="00C213A7" w:rsidP="00C213A7">
            <w:pPr>
              <w:jc w:val="right"/>
              <w:rPr>
                <w:rFonts w:eastAsia="Times New Roman" w:cstheme="minorHAnsi"/>
                <w:color w:val="0D0D0D"/>
                <w:szCs w:val="24"/>
              </w:rPr>
            </w:pPr>
            <w:r>
              <w:rPr>
                <w:rFonts w:ascii="Calibri" w:hAnsi="Calibri" w:cs="Calibri"/>
              </w:rPr>
              <w:t>21,414</w:t>
            </w:r>
          </w:p>
        </w:tc>
      </w:tr>
      <w:tr w:rsidR="00C213A7" w:rsidRPr="005F7BC7" w14:paraId="79C9143E"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1E6FF665"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Loans</w:t>
            </w:r>
          </w:p>
        </w:tc>
        <w:tc>
          <w:tcPr>
            <w:tcW w:w="1661" w:type="dxa"/>
            <w:tcBorders>
              <w:top w:val="nil"/>
              <w:left w:val="nil"/>
              <w:bottom w:val="nil"/>
              <w:right w:val="nil"/>
            </w:tcBorders>
            <w:shd w:val="clear" w:color="auto" w:fill="auto"/>
            <w:noWrap/>
            <w:vAlign w:val="bottom"/>
            <w:hideMark/>
          </w:tcPr>
          <w:p w14:paraId="484C367D" w14:textId="6FDAE68F" w:rsidR="00C213A7" w:rsidRPr="0048737B" w:rsidRDefault="00C213A7" w:rsidP="00C213A7">
            <w:pPr>
              <w:jc w:val="right"/>
              <w:rPr>
                <w:rFonts w:eastAsia="Times New Roman" w:cstheme="minorHAnsi"/>
                <w:color w:val="FF0000"/>
                <w:szCs w:val="24"/>
              </w:rPr>
            </w:pPr>
            <w:r>
              <w:rPr>
                <w:rFonts w:ascii="Calibri" w:hAnsi="Calibri" w:cs="Calibri"/>
              </w:rPr>
              <w:t xml:space="preserve">            17,319 </w:t>
            </w:r>
          </w:p>
        </w:tc>
        <w:tc>
          <w:tcPr>
            <w:tcW w:w="1705" w:type="dxa"/>
            <w:tcBorders>
              <w:top w:val="nil"/>
              <w:left w:val="nil"/>
              <w:bottom w:val="nil"/>
              <w:right w:val="nil"/>
            </w:tcBorders>
            <w:shd w:val="clear" w:color="auto" w:fill="F2F2F2" w:themeFill="background1" w:themeFillShade="F2"/>
            <w:noWrap/>
            <w:vAlign w:val="bottom"/>
            <w:hideMark/>
          </w:tcPr>
          <w:p w14:paraId="2ED34349" w14:textId="7C0257F1" w:rsidR="00C213A7" w:rsidRPr="001A18A6" w:rsidRDefault="00C213A7" w:rsidP="00C213A7">
            <w:pPr>
              <w:jc w:val="right"/>
              <w:rPr>
                <w:rFonts w:eastAsia="Times New Roman" w:cstheme="minorHAnsi"/>
                <w:color w:val="0D0D0D"/>
                <w:szCs w:val="24"/>
              </w:rPr>
            </w:pPr>
            <w:r w:rsidRPr="00B861F2">
              <w:rPr>
                <w:rFonts w:ascii="Calibri" w:hAnsi="Calibri" w:cs="Calibri"/>
              </w:rPr>
              <w:t>17,096</w:t>
            </w:r>
            <w:r w:rsidRPr="00AB0061">
              <w:rPr>
                <w:rFonts w:ascii="Calibri" w:hAnsi="Calibri" w:cs="Calibri"/>
              </w:rPr>
              <w:t xml:space="preserve"> </w:t>
            </w:r>
          </w:p>
        </w:tc>
      </w:tr>
      <w:tr w:rsidR="00C213A7" w:rsidRPr="005F7BC7" w14:paraId="59C7BF1F"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321A8EBA"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Academic support</w:t>
            </w:r>
          </w:p>
        </w:tc>
        <w:tc>
          <w:tcPr>
            <w:tcW w:w="1661" w:type="dxa"/>
            <w:tcBorders>
              <w:top w:val="nil"/>
              <w:left w:val="nil"/>
              <w:bottom w:val="nil"/>
              <w:right w:val="nil"/>
            </w:tcBorders>
            <w:shd w:val="clear" w:color="auto" w:fill="auto"/>
            <w:noWrap/>
            <w:vAlign w:val="bottom"/>
            <w:hideMark/>
          </w:tcPr>
          <w:p w14:paraId="3FE24751" w14:textId="4440BE83" w:rsidR="00C213A7" w:rsidRPr="0048737B" w:rsidRDefault="00C213A7" w:rsidP="00C213A7">
            <w:pPr>
              <w:jc w:val="right"/>
              <w:rPr>
                <w:rFonts w:eastAsia="Times New Roman" w:cstheme="minorHAnsi"/>
                <w:color w:val="FF0000"/>
                <w:szCs w:val="24"/>
              </w:rPr>
            </w:pPr>
            <w:r>
              <w:rPr>
                <w:rFonts w:ascii="Calibri" w:hAnsi="Calibri" w:cs="Calibri"/>
              </w:rPr>
              <w:t xml:space="preserve">            20,390 </w:t>
            </w:r>
          </w:p>
        </w:tc>
        <w:tc>
          <w:tcPr>
            <w:tcW w:w="1705" w:type="dxa"/>
            <w:tcBorders>
              <w:top w:val="nil"/>
              <w:left w:val="nil"/>
              <w:bottom w:val="nil"/>
              <w:right w:val="nil"/>
            </w:tcBorders>
            <w:shd w:val="clear" w:color="auto" w:fill="F2F2F2" w:themeFill="background1" w:themeFillShade="F2"/>
            <w:noWrap/>
            <w:vAlign w:val="bottom"/>
            <w:hideMark/>
          </w:tcPr>
          <w:p w14:paraId="66D6CEC8" w14:textId="35935561" w:rsidR="00C213A7" w:rsidRPr="001A18A6" w:rsidRDefault="00C213A7" w:rsidP="00C213A7">
            <w:pPr>
              <w:jc w:val="right"/>
              <w:rPr>
                <w:rFonts w:eastAsia="Times New Roman" w:cstheme="minorHAnsi"/>
                <w:color w:val="0D0D0D"/>
                <w:szCs w:val="24"/>
              </w:rPr>
            </w:pPr>
            <w:r w:rsidRPr="00B861F2">
              <w:rPr>
                <w:rFonts w:ascii="Calibri" w:hAnsi="Calibri" w:cs="Calibri"/>
              </w:rPr>
              <w:t>16,917</w:t>
            </w:r>
            <w:r w:rsidRPr="00AB0061">
              <w:rPr>
                <w:rFonts w:ascii="Calibri" w:hAnsi="Calibri" w:cs="Calibri"/>
              </w:rPr>
              <w:t xml:space="preserve"> </w:t>
            </w:r>
          </w:p>
        </w:tc>
      </w:tr>
      <w:tr w:rsidR="00C213A7" w:rsidRPr="005F7BC7" w14:paraId="4A3E08D1"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5EFBFAC0"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Research and public service</w:t>
            </w:r>
          </w:p>
        </w:tc>
        <w:tc>
          <w:tcPr>
            <w:tcW w:w="1661" w:type="dxa"/>
            <w:tcBorders>
              <w:top w:val="nil"/>
              <w:left w:val="nil"/>
              <w:bottom w:val="nil"/>
              <w:right w:val="nil"/>
            </w:tcBorders>
            <w:shd w:val="clear" w:color="auto" w:fill="auto"/>
            <w:noWrap/>
            <w:vAlign w:val="bottom"/>
            <w:hideMark/>
          </w:tcPr>
          <w:p w14:paraId="03CF8693" w14:textId="1B3716D0" w:rsidR="00C213A7" w:rsidRPr="0048737B" w:rsidRDefault="00C213A7" w:rsidP="00C213A7">
            <w:pPr>
              <w:jc w:val="right"/>
              <w:rPr>
                <w:rFonts w:eastAsia="Times New Roman" w:cstheme="minorHAnsi"/>
                <w:color w:val="FF0000"/>
                <w:szCs w:val="24"/>
              </w:rPr>
            </w:pPr>
            <w:r>
              <w:rPr>
                <w:rFonts w:ascii="Calibri" w:hAnsi="Calibri" w:cs="Calibri"/>
              </w:rPr>
              <w:t xml:space="preserve">            16,035 </w:t>
            </w:r>
          </w:p>
        </w:tc>
        <w:tc>
          <w:tcPr>
            <w:tcW w:w="1705" w:type="dxa"/>
            <w:tcBorders>
              <w:top w:val="nil"/>
              <w:left w:val="nil"/>
              <w:bottom w:val="nil"/>
              <w:right w:val="nil"/>
            </w:tcBorders>
            <w:shd w:val="clear" w:color="auto" w:fill="F2F2F2" w:themeFill="background1" w:themeFillShade="F2"/>
            <w:noWrap/>
            <w:vAlign w:val="bottom"/>
            <w:hideMark/>
          </w:tcPr>
          <w:p w14:paraId="4B6A5B51" w14:textId="7B9E5BF9" w:rsidR="00C213A7" w:rsidRPr="001A18A6" w:rsidRDefault="00C213A7" w:rsidP="00C213A7">
            <w:pPr>
              <w:jc w:val="right"/>
              <w:rPr>
                <w:rFonts w:eastAsia="Times New Roman" w:cstheme="minorHAnsi"/>
                <w:color w:val="0D0D0D"/>
                <w:szCs w:val="24"/>
              </w:rPr>
            </w:pPr>
            <w:r w:rsidRPr="00B861F2">
              <w:rPr>
                <w:rFonts w:ascii="Calibri" w:hAnsi="Calibri" w:cs="Calibri"/>
              </w:rPr>
              <w:t>11,675</w:t>
            </w:r>
            <w:r w:rsidRPr="00AB0061">
              <w:rPr>
                <w:rFonts w:ascii="Calibri" w:hAnsi="Calibri" w:cs="Calibri"/>
              </w:rPr>
              <w:t xml:space="preserve"> </w:t>
            </w:r>
          </w:p>
        </w:tc>
      </w:tr>
      <w:tr w:rsidR="00C213A7" w:rsidRPr="005F7BC7" w14:paraId="0D84FB3E"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48E52453"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Library</w:t>
            </w:r>
          </w:p>
        </w:tc>
        <w:tc>
          <w:tcPr>
            <w:tcW w:w="1661" w:type="dxa"/>
            <w:tcBorders>
              <w:top w:val="nil"/>
              <w:left w:val="nil"/>
              <w:bottom w:val="nil"/>
              <w:right w:val="nil"/>
            </w:tcBorders>
            <w:shd w:val="clear" w:color="auto" w:fill="auto"/>
            <w:noWrap/>
            <w:vAlign w:val="bottom"/>
            <w:hideMark/>
          </w:tcPr>
          <w:p w14:paraId="19AF5B4C" w14:textId="05C3BBD0" w:rsidR="00C213A7" w:rsidRPr="0048737B" w:rsidRDefault="00C213A7" w:rsidP="00C213A7">
            <w:pPr>
              <w:jc w:val="right"/>
              <w:rPr>
                <w:rFonts w:eastAsia="Times New Roman" w:cstheme="minorHAnsi"/>
                <w:color w:val="FF0000"/>
                <w:szCs w:val="24"/>
              </w:rPr>
            </w:pPr>
            <w:r>
              <w:rPr>
                <w:rFonts w:ascii="Calibri" w:hAnsi="Calibri" w:cs="Calibri"/>
              </w:rPr>
              <w:t xml:space="preserve">              4,648 </w:t>
            </w:r>
          </w:p>
        </w:tc>
        <w:tc>
          <w:tcPr>
            <w:tcW w:w="1705" w:type="dxa"/>
            <w:tcBorders>
              <w:top w:val="nil"/>
              <w:left w:val="nil"/>
              <w:bottom w:val="nil"/>
              <w:right w:val="nil"/>
            </w:tcBorders>
            <w:shd w:val="clear" w:color="auto" w:fill="F2F2F2" w:themeFill="background1" w:themeFillShade="F2"/>
            <w:noWrap/>
            <w:vAlign w:val="bottom"/>
            <w:hideMark/>
          </w:tcPr>
          <w:p w14:paraId="774E2F99" w14:textId="38F7D8D3" w:rsidR="00C213A7" w:rsidRPr="001A18A6" w:rsidRDefault="00C213A7" w:rsidP="00C213A7">
            <w:pPr>
              <w:jc w:val="right"/>
              <w:rPr>
                <w:rFonts w:eastAsia="Times New Roman" w:cstheme="minorHAnsi"/>
                <w:color w:val="0D0D0D"/>
                <w:szCs w:val="24"/>
              </w:rPr>
            </w:pPr>
            <w:r w:rsidRPr="00B861F2">
              <w:rPr>
                <w:rFonts w:ascii="Calibri" w:hAnsi="Calibri" w:cs="Calibri"/>
              </w:rPr>
              <w:t>4,059</w:t>
            </w:r>
            <w:r w:rsidRPr="00AB0061">
              <w:rPr>
                <w:rFonts w:ascii="Calibri" w:hAnsi="Calibri" w:cs="Calibri"/>
              </w:rPr>
              <w:t xml:space="preserve"> </w:t>
            </w:r>
          </w:p>
        </w:tc>
      </w:tr>
      <w:tr w:rsidR="00C213A7" w:rsidRPr="005F7BC7" w14:paraId="1BA8E0B2" w14:textId="77777777" w:rsidTr="0048737B">
        <w:trPr>
          <w:trHeight w:val="288"/>
          <w:jc w:val="center"/>
        </w:trPr>
        <w:tc>
          <w:tcPr>
            <w:tcW w:w="5994" w:type="dxa"/>
            <w:tcBorders>
              <w:top w:val="nil"/>
              <w:left w:val="nil"/>
              <w:bottom w:val="single" w:sz="4" w:space="0" w:color="00688D"/>
              <w:right w:val="nil"/>
            </w:tcBorders>
            <w:shd w:val="clear" w:color="000000" w:fill="FFFFFF"/>
            <w:noWrap/>
            <w:vAlign w:val="bottom"/>
            <w:hideMark/>
          </w:tcPr>
          <w:p w14:paraId="41A73A56"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Other</w:t>
            </w:r>
          </w:p>
        </w:tc>
        <w:tc>
          <w:tcPr>
            <w:tcW w:w="1661" w:type="dxa"/>
            <w:tcBorders>
              <w:top w:val="nil"/>
              <w:left w:val="nil"/>
              <w:bottom w:val="single" w:sz="4" w:space="0" w:color="00688D"/>
              <w:right w:val="nil"/>
            </w:tcBorders>
            <w:shd w:val="clear" w:color="auto" w:fill="auto"/>
            <w:noWrap/>
            <w:vAlign w:val="bottom"/>
            <w:hideMark/>
          </w:tcPr>
          <w:p w14:paraId="4775D3A7" w14:textId="46CE4126" w:rsidR="00C213A7" w:rsidRPr="0048737B" w:rsidRDefault="00C213A7" w:rsidP="00C213A7">
            <w:pPr>
              <w:jc w:val="right"/>
              <w:rPr>
                <w:rFonts w:eastAsia="Times New Roman" w:cstheme="minorHAnsi"/>
                <w:color w:val="FF0000"/>
                <w:szCs w:val="24"/>
              </w:rPr>
            </w:pPr>
            <w:r>
              <w:rPr>
                <w:rFonts w:ascii="Calibri" w:hAnsi="Calibri" w:cs="Calibri"/>
              </w:rPr>
              <w:t xml:space="preserve">            26,629 </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0E45826A" w14:textId="2879D3E5" w:rsidR="00C213A7" w:rsidRPr="001A18A6" w:rsidRDefault="00C213A7" w:rsidP="00C213A7">
            <w:pPr>
              <w:jc w:val="right"/>
              <w:rPr>
                <w:rFonts w:eastAsia="Times New Roman" w:cstheme="minorHAnsi"/>
                <w:color w:val="0D0D0D"/>
                <w:szCs w:val="24"/>
              </w:rPr>
            </w:pPr>
            <w:r w:rsidRPr="00B861F2">
              <w:rPr>
                <w:rFonts w:ascii="Calibri" w:hAnsi="Calibri" w:cs="Calibri"/>
              </w:rPr>
              <w:t>24,017</w:t>
            </w:r>
            <w:r w:rsidRPr="00AB0061">
              <w:rPr>
                <w:rFonts w:ascii="Calibri" w:hAnsi="Calibri" w:cs="Calibri"/>
              </w:rPr>
              <w:t xml:space="preserve"> </w:t>
            </w:r>
          </w:p>
        </w:tc>
      </w:tr>
      <w:tr w:rsidR="00D97DF5" w:rsidRPr="005F7BC7" w14:paraId="04701AB9" w14:textId="77777777" w:rsidTr="0048737B">
        <w:trPr>
          <w:trHeight w:val="288"/>
          <w:jc w:val="center"/>
        </w:trPr>
        <w:tc>
          <w:tcPr>
            <w:tcW w:w="5994" w:type="dxa"/>
            <w:tcBorders>
              <w:top w:val="nil"/>
              <w:left w:val="nil"/>
              <w:bottom w:val="single" w:sz="4" w:space="0" w:color="00688D"/>
              <w:right w:val="nil"/>
            </w:tcBorders>
            <w:shd w:val="clear" w:color="000000" w:fill="FFFFFF"/>
            <w:noWrap/>
            <w:vAlign w:val="bottom"/>
            <w:hideMark/>
          </w:tcPr>
          <w:p w14:paraId="38C0CB61" w14:textId="77777777" w:rsidR="00D97DF5" w:rsidRPr="001A18A6" w:rsidRDefault="00D97DF5" w:rsidP="00D97DF5">
            <w:pPr>
              <w:ind w:firstLineChars="100" w:firstLine="220"/>
              <w:rPr>
                <w:rFonts w:eastAsia="Times New Roman" w:cstheme="minorHAnsi"/>
                <w:color w:val="0D0D0D"/>
                <w:szCs w:val="24"/>
              </w:rPr>
            </w:pPr>
            <w:r w:rsidRPr="001A18A6">
              <w:rPr>
                <w:rFonts w:eastAsia="Times New Roman" w:cstheme="minorHAnsi"/>
                <w:color w:val="0D0D0D"/>
                <w:szCs w:val="24"/>
              </w:rPr>
              <w:t>Total restricted - expendable</w:t>
            </w:r>
          </w:p>
        </w:tc>
        <w:tc>
          <w:tcPr>
            <w:tcW w:w="1661" w:type="dxa"/>
            <w:tcBorders>
              <w:top w:val="nil"/>
              <w:left w:val="nil"/>
              <w:bottom w:val="single" w:sz="4" w:space="0" w:color="00688D"/>
              <w:right w:val="nil"/>
            </w:tcBorders>
            <w:shd w:val="clear" w:color="000000" w:fill="FFFFFF"/>
            <w:noWrap/>
            <w:vAlign w:val="bottom"/>
            <w:hideMark/>
          </w:tcPr>
          <w:p w14:paraId="5747235A" w14:textId="60D90B3D" w:rsidR="00D97DF5" w:rsidRPr="00B861F2" w:rsidRDefault="00C213A7" w:rsidP="00D97DF5">
            <w:pPr>
              <w:jc w:val="right"/>
              <w:rPr>
                <w:rFonts w:eastAsia="Times New Roman" w:cstheme="minorHAnsi"/>
                <w:szCs w:val="24"/>
              </w:rPr>
            </w:pPr>
            <w:r w:rsidRPr="00316B2A">
              <w:rPr>
                <w:rFonts w:eastAsia="Times New Roman" w:cstheme="minorHAnsi"/>
                <w:szCs w:val="24"/>
              </w:rPr>
              <w:t>152,055</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5F2408BD" w14:textId="63602BEA" w:rsidR="00D97DF5" w:rsidRPr="001A18A6" w:rsidRDefault="00D97DF5" w:rsidP="00D97DF5">
            <w:pPr>
              <w:jc w:val="right"/>
              <w:rPr>
                <w:rFonts w:eastAsia="Times New Roman" w:cstheme="minorHAnsi"/>
                <w:color w:val="0D0D0D"/>
                <w:szCs w:val="24"/>
              </w:rPr>
            </w:pPr>
            <w:r w:rsidRPr="00B861F2">
              <w:rPr>
                <w:rFonts w:eastAsia="Times New Roman" w:cstheme="minorHAnsi"/>
                <w:szCs w:val="24"/>
              </w:rPr>
              <w:t>1</w:t>
            </w:r>
            <w:r>
              <w:rPr>
                <w:rFonts w:eastAsia="Times New Roman" w:cstheme="minorHAnsi"/>
                <w:szCs w:val="24"/>
              </w:rPr>
              <w:t>47</w:t>
            </w:r>
            <w:r w:rsidRPr="00B861F2">
              <w:rPr>
                <w:rFonts w:eastAsia="Times New Roman" w:cstheme="minorHAnsi"/>
                <w:szCs w:val="24"/>
              </w:rPr>
              <w:t>,</w:t>
            </w:r>
            <w:r>
              <w:rPr>
                <w:rFonts w:eastAsia="Times New Roman" w:cstheme="minorHAnsi"/>
                <w:szCs w:val="24"/>
              </w:rPr>
              <w:t>419</w:t>
            </w:r>
          </w:p>
        </w:tc>
      </w:tr>
      <w:tr w:rsidR="00D97DF5" w:rsidRPr="005F7BC7" w14:paraId="4E3A5ED3"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5BBDD970" w14:textId="77777777" w:rsidR="00D97DF5" w:rsidRPr="001A18A6" w:rsidRDefault="00D97DF5" w:rsidP="00D97DF5">
            <w:pPr>
              <w:rPr>
                <w:rFonts w:eastAsia="Times New Roman" w:cstheme="minorHAnsi"/>
                <w:color w:val="0D0D0D"/>
                <w:szCs w:val="24"/>
              </w:rPr>
            </w:pPr>
            <w:r w:rsidRPr="001A18A6">
              <w:rPr>
                <w:rFonts w:eastAsia="Times New Roman" w:cstheme="minorHAnsi"/>
                <w:color w:val="0D0D0D"/>
                <w:szCs w:val="24"/>
              </w:rPr>
              <w:t>Unrestricted:</w:t>
            </w:r>
          </w:p>
        </w:tc>
        <w:tc>
          <w:tcPr>
            <w:tcW w:w="1661" w:type="dxa"/>
            <w:tcBorders>
              <w:top w:val="nil"/>
              <w:left w:val="nil"/>
              <w:bottom w:val="nil"/>
              <w:right w:val="nil"/>
            </w:tcBorders>
            <w:shd w:val="clear" w:color="000000" w:fill="FFFFFF"/>
            <w:noWrap/>
            <w:vAlign w:val="bottom"/>
            <w:hideMark/>
          </w:tcPr>
          <w:p w14:paraId="1D4B7A4D" w14:textId="77777777" w:rsidR="00D97DF5" w:rsidRPr="00B861F2" w:rsidRDefault="00D97DF5" w:rsidP="00D97DF5">
            <w:pPr>
              <w:jc w:val="right"/>
              <w:rPr>
                <w:rFonts w:eastAsia="Times New Roman" w:cstheme="minorHAnsi"/>
                <w:szCs w:val="24"/>
              </w:rPr>
            </w:pPr>
            <w:r w:rsidRPr="00B861F2">
              <w:rPr>
                <w:rFonts w:eastAsia="Times New Roman" w:cstheme="minorHAnsi"/>
                <w:szCs w:val="24"/>
              </w:rPr>
              <w:t> </w:t>
            </w:r>
          </w:p>
        </w:tc>
        <w:tc>
          <w:tcPr>
            <w:tcW w:w="1705" w:type="dxa"/>
            <w:tcBorders>
              <w:top w:val="nil"/>
              <w:left w:val="nil"/>
              <w:bottom w:val="nil"/>
              <w:right w:val="nil"/>
            </w:tcBorders>
            <w:shd w:val="clear" w:color="auto" w:fill="F2F2F2" w:themeFill="background1" w:themeFillShade="F2"/>
            <w:noWrap/>
            <w:vAlign w:val="bottom"/>
            <w:hideMark/>
          </w:tcPr>
          <w:p w14:paraId="739FA2ED" w14:textId="0136BDE4" w:rsidR="00D97DF5" w:rsidRPr="001A18A6" w:rsidRDefault="00D97DF5" w:rsidP="00D97DF5">
            <w:pPr>
              <w:jc w:val="right"/>
              <w:rPr>
                <w:rFonts w:eastAsia="Times New Roman" w:cstheme="minorHAnsi"/>
                <w:color w:val="0D0D0D"/>
                <w:szCs w:val="24"/>
              </w:rPr>
            </w:pPr>
            <w:r w:rsidRPr="00B861F2">
              <w:rPr>
                <w:rFonts w:eastAsia="Times New Roman" w:cstheme="minorHAnsi"/>
                <w:szCs w:val="24"/>
              </w:rPr>
              <w:t> </w:t>
            </w:r>
          </w:p>
        </w:tc>
      </w:tr>
      <w:tr w:rsidR="00C213A7" w:rsidRPr="005F7BC7" w14:paraId="570ACA8C"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3054A0E4"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Educational and general reserves</w:t>
            </w:r>
          </w:p>
        </w:tc>
        <w:tc>
          <w:tcPr>
            <w:tcW w:w="1661" w:type="dxa"/>
            <w:tcBorders>
              <w:top w:val="nil"/>
              <w:left w:val="nil"/>
              <w:bottom w:val="nil"/>
              <w:right w:val="nil"/>
            </w:tcBorders>
            <w:shd w:val="clear" w:color="auto" w:fill="auto"/>
            <w:noWrap/>
            <w:vAlign w:val="bottom"/>
            <w:hideMark/>
          </w:tcPr>
          <w:p w14:paraId="39AD154F" w14:textId="3520032F" w:rsidR="00C213A7" w:rsidRPr="0048737B" w:rsidRDefault="00C213A7" w:rsidP="00C213A7">
            <w:pPr>
              <w:jc w:val="right"/>
              <w:rPr>
                <w:rFonts w:eastAsia="Times New Roman" w:cstheme="minorHAnsi"/>
                <w:color w:val="FF0000"/>
                <w:szCs w:val="24"/>
              </w:rPr>
            </w:pPr>
            <w:r>
              <w:rPr>
                <w:rFonts w:ascii="Calibri" w:hAnsi="Calibri" w:cs="Calibri"/>
              </w:rPr>
              <w:t xml:space="preserve">            53,577 </w:t>
            </w:r>
          </w:p>
        </w:tc>
        <w:tc>
          <w:tcPr>
            <w:tcW w:w="1705" w:type="dxa"/>
            <w:tcBorders>
              <w:top w:val="nil"/>
              <w:left w:val="nil"/>
              <w:bottom w:val="nil"/>
              <w:right w:val="nil"/>
            </w:tcBorders>
            <w:shd w:val="clear" w:color="auto" w:fill="F2F2F2" w:themeFill="background1" w:themeFillShade="F2"/>
            <w:noWrap/>
            <w:vAlign w:val="bottom"/>
            <w:hideMark/>
          </w:tcPr>
          <w:p w14:paraId="4017404E" w14:textId="31B2B7E7" w:rsidR="00C213A7" w:rsidRPr="001A18A6" w:rsidRDefault="00C213A7" w:rsidP="00C213A7">
            <w:pPr>
              <w:jc w:val="right"/>
              <w:rPr>
                <w:rFonts w:eastAsia="Times New Roman" w:cstheme="minorHAnsi"/>
                <w:color w:val="0D0D0D"/>
                <w:szCs w:val="24"/>
              </w:rPr>
            </w:pPr>
            <w:r>
              <w:rPr>
                <w:rFonts w:ascii="Calibri" w:hAnsi="Calibri" w:cs="Calibri"/>
              </w:rPr>
              <w:t xml:space="preserve">               83,858 </w:t>
            </w:r>
          </w:p>
        </w:tc>
      </w:tr>
      <w:tr w:rsidR="00C213A7" w:rsidRPr="005F7BC7" w14:paraId="3CBFAD48"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5409515F"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Risk management</w:t>
            </w:r>
          </w:p>
        </w:tc>
        <w:tc>
          <w:tcPr>
            <w:tcW w:w="1661" w:type="dxa"/>
            <w:tcBorders>
              <w:top w:val="nil"/>
              <w:left w:val="nil"/>
              <w:bottom w:val="nil"/>
              <w:right w:val="nil"/>
            </w:tcBorders>
            <w:shd w:val="clear" w:color="auto" w:fill="auto"/>
            <w:noWrap/>
            <w:vAlign w:val="bottom"/>
            <w:hideMark/>
          </w:tcPr>
          <w:p w14:paraId="048394AA" w14:textId="45D67F33" w:rsidR="00C213A7" w:rsidRPr="0048737B" w:rsidRDefault="00C213A7" w:rsidP="00C213A7">
            <w:pPr>
              <w:jc w:val="right"/>
              <w:rPr>
                <w:rFonts w:eastAsia="Times New Roman" w:cstheme="minorHAnsi"/>
                <w:color w:val="FF0000"/>
                <w:szCs w:val="24"/>
              </w:rPr>
            </w:pPr>
            <w:r>
              <w:rPr>
                <w:rFonts w:ascii="Calibri" w:hAnsi="Calibri" w:cs="Calibri"/>
              </w:rPr>
              <w:t xml:space="preserve">              4,022 </w:t>
            </w:r>
          </w:p>
        </w:tc>
        <w:tc>
          <w:tcPr>
            <w:tcW w:w="1705" w:type="dxa"/>
            <w:tcBorders>
              <w:top w:val="nil"/>
              <w:left w:val="nil"/>
              <w:bottom w:val="nil"/>
              <w:right w:val="nil"/>
            </w:tcBorders>
            <w:shd w:val="clear" w:color="auto" w:fill="F2F2F2" w:themeFill="background1" w:themeFillShade="F2"/>
            <w:noWrap/>
            <w:vAlign w:val="bottom"/>
            <w:hideMark/>
          </w:tcPr>
          <w:p w14:paraId="46EAE77E" w14:textId="5497C6F3" w:rsidR="00C213A7" w:rsidRPr="001A18A6" w:rsidRDefault="00C213A7" w:rsidP="00C213A7">
            <w:pPr>
              <w:jc w:val="right"/>
              <w:rPr>
                <w:rFonts w:eastAsia="Times New Roman" w:cstheme="minorHAnsi"/>
                <w:color w:val="0D0D0D"/>
                <w:szCs w:val="24"/>
              </w:rPr>
            </w:pPr>
            <w:r>
              <w:rPr>
                <w:rFonts w:ascii="Calibri" w:hAnsi="Calibri" w:cs="Calibri"/>
              </w:rPr>
              <w:t xml:space="preserve">                 3,603 </w:t>
            </w:r>
          </w:p>
        </w:tc>
      </w:tr>
      <w:tr w:rsidR="00C213A7" w:rsidRPr="005F7BC7" w14:paraId="7CDF5FB6"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20677B33"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Budget stabilization</w:t>
            </w:r>
          </w:p>
        </w:tc>
        <w:tc>
          <w:tcPr>
            <w:tcW w:w="1661" w:type="dxa"/>
            <w:tcBorders>
              <w:top w:val="nil"/>
              <w:left w:val="nil"/>
              <w:bottom w:val="nil"/>
              <w:right w:val="nil"/>
            </w:tcBorders>
            <w:shd w:val="clear" w:color="auto" w:fill="auto"/>
            <w:noWrap/>
            <w:vAlign w:val="bottom"/>
            <w:hideMark/>
          </w:tcPr>
          <w:p w14:paraId="3CEE176A" w14:textId="2E11F57F" w:rsidR="00C213A7" w:rsidRPr="0048737B" w:rsidRDefault="00C213A7" w:rsidP="00C213A7">
            <w:pPr>
              <w:jc w:val="right"/>
              <w:rPr>
                <w:rFonts w:eastAsia="Times New Roman" w:cstheme="minorHAnsi"/>
                <w:color w:val="FF0000"/>
                <w:szCs w:val="24"/>
              </w:rPr>
            </w:pPr>
            <w:r>
              <w:rPr>
                <w:rFonts w:ascii="Calibri" w:hAnsi="Calibri" w:cs="Calibri"/>
              </w:rPr>
              <w:t xml:space="preserve">              </w:t>
            </w:r>
            <w:r w:rsidR="0077729E">
              <w:rPr>
                <w:rFonts w:ascii="Calibri" w:hAnsi="Calibri" w:cs="Calibri"/>
              </w:rPr>
              <w:t>4,997</w:t>
            </w:r>
            <w:r>
              <w:rPr>
                <w:rFonts w:ascii="Calibri" w:hAnsi="Calibri" w:cs="Calibri"/>
              </w:rPr>
              <w:t xml:space="preserve"> </w:t>
            </w:r>
          </w:p>
        </w:tc>
        <w:tc>
          <w:tcPr>
            <w:tcW w:w="1705" w:type="dxa"/>
            <w:tcBorders>
              <w:top w:val="nil"/>
              <w:left w:val="nil"/>
              <w:bottom w:val="nil"/>
              <w:right w:val="nil"/>
            </w:tcBorders>
            <w:shd w:val="clear" w:color="auto" w:fill="F2F2F2" w:themeFill="background1" w:themeFillShade="F2"/>
            <w:noWrap/>
            <w:vAlign w:val="bottom"/>
            <w:hideMark/>
          </w:tcPr>
          <w:p w14:paraId="150506B7" w14:textId="55866EA0" w:rsidR="00C213A7" w:rsidRPr="001A18A6" w:rsidRDefault="00C213A7" w:rsidP="00C213A7">
            <w:pPr>
              <w:jc w:val="right"/>
              <w:rPr>
                <w:rFonts w:eastAsia="Times New Roman" w:cstheme="minorHAnsi"/>
                <w:color w:val="0D0D0D"/>
                <w:szCs w:val="24"/>
              </w:rPr>
            </w:pPr>
            <w:r>
              <w:rPr>
                <w:rFonts w:ascii="Calibri" w:hAnsi="Calibri" w:cs="Calibri"/>
              </w:rPr>
              <w:t xml:space="preserve">                 4,873 </w:t>
            </w:r>
          </w:p>
        </w:tc>
      </w:tr>
      <w:tr w:rsidR="00C213A7" w:rsidRPr="005F7BC7" w14:paraId="2D4E5310"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2067C307"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Auxiliary enterprises</w:t>
            </w:r>
          </w:p>
        </w:tc>
        <w:tc>
          <w:tcPr>
            <w:tcW w:w="1661" w:type="dxa"/>
            <w:tcBorders>
              <w:top w:val="nil"/>
              <w:left w:val="nil"/>
              <w:bottom w:val="nil"/>
              <w:right w:val="nil"/>
            </w:tcBorders>
            <w:shd w:val="clear" w:color="auto" w:fill="auto"/>
            <w:noWrap/>
            <w:vAlign w:val="bottom"/>
            <w:hideMark/>
          </w:tcPr>
          <w:p w14:paraId="47B1AB66" w14:textId="5A877C43" w:rsidR="00C213A7" w:rsidRPr="0048737B" w:rsidRDefault="00C213A7" w:rsidP="00C213A7">
            <w:pPr>
              <w:jc w:val="right"/>
              <w:rPr>
                <w:rFonts w:eastAsia="Times New Roman" w:cstheme="minorHAnsi"/>
                <w:color w:val="FF0000"/>
                <w:szCs w:val="24"/>
              </w:rPr>
            </w:pPr>
            <w:r>
              <w:rPr>
                <w:rFonts w:ascii="Calibri" w:hAnsi="Calibri" w:cs="Calibri"/>
              </w:rPr>
              <w:t xml:space="preserve">              2,05</w:t>
            </w:r>
            <w:r w:rsidR="0077729E">
              <w:rPr>
                <w:rFonts w:ascii="Calibri" w:hAnsi="Calibri" w:cs="Calibri"/>
              </w:rPr>
              <w:t>4</w:t>
            </w:r>
            <w:r>
              <w:rPr>
                <w:rFonts w:ascii="Calibri" w:hAnsi="Calibri" w:cs="Calibri"/>
              </w:rPr>
              <w:t xml:space="preserve"> </w:t>
            </w:r>
          </w:p>
        </w:tc>
        <w:tc>
          <w:tcPr>
            <w:tcW w:w="1705" w:type="dxa"/>
            <w:tcBorders>
              <w:top w:val="nil"/>
              <w:left w:val="nil"/>
              <w:bottom w:val="nil"/>
              <w:right w:val="nil"/>
            </w:tcBorders>
            <w:shd w:val="clear" w:color="auto" w:fill="F2F2F2" w:themeFill="background1" w:themeFillShade="F2"/>
            <w:noWrap/>
            <w:vAlign w:val="bottom"/>
            <w:hideMark/>
          </w:tcPr>
          <w:p w14:paraId="06094951" w14:textId="529896F1" w:rsidR="00C213A7" w:rsidRPr="001A18A6" w:rsidRDefault="00C213A7" w:rsidP="00C213A7">
            <w:pPr>
              <w:jc w:val="right"/>
              <w:rPr>
                <w:rFonts w:eastAsia="Times New Roman" w:cstheme="minorHAnsi"/>
                <w:color w:val="0D0D0D"/>
                <w:szCs w:val="24"/>
              </w:rPr>
            </w:pPr>
            <w:r w:rsidRPr="00B861F2">
              <w:rPr>
                <w:rFonts w:ascii="Calibri" w:hAnsi="Calibri" w:cs="Calibri"/>
              </w:rPr>
              <w:t>7,643</w:t>
            </w:r>
            <w:r w:rsidRPr="00AB0061">
              <w:rPr>
                <w:rFonts w:ascii="Calibri" w:hAnsi="Calibri" w:cs="Calibri"/>
              </w:rPr>
              <w:t xml:space="preserve"> </w:t>
            </w:r>
          </w:p>
        </w:tc>
      </w:tr>
      <w:tr w:rsidR="00C213A7" w:rsidRPr="005F7BC7" w14:paraId="2E8401C0"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30D54DDA"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Benefit pool carryover</w:t>
            </w:r>
          </w:p>
        </w:tc>
        <w:tc>
          <w:tcPr>
            <w:tcW w:w="1661" w:type="dxa"/>
            <w:tcBorders>
              <w:top w:val="nil"/>
              <w:left w:val="nil"/>
              <w:bottom w:val="nil"/>
              <w:right w:val="nil"/>
            </w:tcBorders>
            <w:shd w:val="clear" w:color="auto" w:fill="auto"/>
            <w:noWrap/>
            <w:vAlign w:val="bottom"/>
            <w:hideMark/>
          </w:tcPr>
          <w:p w14:paraId="02187127" w14:textId="247B2B6A" w:rsidR="00C213A7" w:rsidRPr="0048737B" w:rsidRDefault="00C213A7" w:rsidP="00C213A7">
            <w:pPr>
              <w:jc w:val="right"/>
              <w:rPr>
                <w:rFonts w:eastAsia="Times New Roman" w:cstheme="minorHAnsi"/>
                <w:color w:val="FF0000"/>
                <w:szCs w:val="24"/>
              </w:rPr>
            </w:pPr>
            <w:r>
              <w:rPr>
                <w:rFonts w:ascii="Calibri" w:hAnsi="Calibri" w:cs="Calibri"/>
              </w:rPr>
              <w:t xml:space="preserve">            3</w:t>
            </w:r>
            <w:r w:rsidR="0077729E">
              <w:rPr>
                <w:rFonts w:ascii="Calibri" w:hAnsi="Calibri" w:cs="Calibri"/>
              </w:rPr>
              <w:t>5,909</w:t>
            </w:r>
            <w:r>
              <w:rPr>
                <w:rFonts w:ascii="Calibri" w:hAnsi="Calibri" w:cs="Calibri"/>
              </w:rPr>
              <w:t xml:space="preserve"> </w:t>
            </w:r>
          </w:p>
        </w:tc>
        <w:tc>
          <w:tcPr>
            <w:tcW w:w="1705" w:type="dxa"/>
            <w:tcBorders>
              <w:top w:val="nil"/>
              <w:left w:val="nil"/>
              <w:bottom w:val="nil"/>
              <w:right w:val="nil"/>
            </w:tcBorders>
            <w:shd w:val="clear" w:color="auto" w:fill="F2F2F2" w:themeFill="background1" w:themeFillShade="F2"/>
            <w:noWrap/>
            <w:vAlign w:val="bottom"/>
            <w:hideMark/>
          </w:tcPr>
          <w:p w14:paraId="7EB9872F" w14:textId="1BFEC50E" w:rsidR="00C213A7" w:rsidRPr="001A18A6" w:rsidRDefault="00C213A7" w:rsidP="00C213A7">
            <w:pPr>
              <w:jc w:val="right"/>
              <w:rPr>
                <w:rFonts w:eastAsia="Times New Roman" w:cstheme="minorHAnsi"/>
                <w:color w:val="0D0D0D"/>
                <w:szCs w:val="24"/>
              </w:rPr>
            </w:pPr>
            <w:r w:rsidRPr="0048737B">
              <w:rPr>
                <w:rFonts w:ascii="Calibri" w:hAnsi="Calibri" w:cs="Calibri"/>
                <w:shd w:val="clear" w:color="auto" w:fill="F2F2F2" w:themeFill="background1" w:themeFillShade="F2"/>
              </w:rPr>
              <w:t>28,732</w:t>
            </w:r>
            <w:r w:rsidRPr="00AB0061">
              <w:rPr>
                <w:rFonts w:ascii="Calibri" w:hAnsi="Calibri" w:cs="Calibri"/>
              </w:rPr>
              <w:t xml:space="preserve"> </w:t>
            </w:r>
          </w:p>
        </w:tc>
      </w:tr>
      <w:tr w:rsidR="00C213A7" w:rsidRPr="005F7BC7" w14:paraId="2FDEBACF"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1943EDE8"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Implementation of GASB 75 for OPEB</w:t>
            </w:r>
          </w:p>
        </w:tc>
        <w:tc>
          <w:tcPr>
            <w:tcW w:w="1661" w:type="dxa"/>
            <w:tcBorders>
              <w:top w:val="nil"/>
              <w:left w:val="nil"/>
              <w:bottom w:val="nil"/>
              <w:right w:val="nil"/>
            </w:tcBorders>
            <w:shd w:val="clear" w:color="auto" w:fill="auto"/>
            <w:noWrap/>
            <w:vAlign w:val="bottom"/>
            <w:hideMark/>
          </w:tcPr>
          <w:p w14:paraId="5E0A97E0" w14:textId="043F45E9" w:rsidR="00C213A7" w:rsidRPr="0048737B" w:rsidRDefault="00C213A7" w:rsidP="00C213A7">
            <w:pPr>
              <w:jc w:val="right"/>
              <w:rPr>
                <w:rFonts w:eastAsia="Times New Roman" w:cstheme="minorHAnsi"/>
                <w:color w:val="FF0000"/>
                <w:szCs w:val="24"/>
              </w:rPr>
            </w:pPr>
            <w:r>
              <w:rPr>
                <w:rFonts w:ascii="Calibri" w:hAnsi="Calibri" w:cs="Calibri"/>
              </w:rPr>
              <w:t xml:space="preserve">          (33,795)</w:t>
            </w:r>
          </w:p>
        </w:tc>
        <w:tc>
          <w:tcPr>
            <w:tcW w:w="1705" w:type="dxa"/>
            <w:tcBorders>
              <w:top w:val="nil"/>
              <w:left w:val="nil"/>
              <w:bottom w:val="nil"/>
              <w:right w:val="nil"/>
            </w:tcBorders>
            <w:shd w:val="clear" w:color="auto" w:fill="F2F2F2" w:themeFill="background1" w:themeFillShade="F2"/>
            <w:noWrap/>
            <w:vAlign w:val="bottom"/>
            <w:hideMark/>
          </w:tcPr>
          <w:p w14:paraId="577147DD" w14:textId="35A6757F" w:rsidR="00C213A7" w:rsidRPr="001A18A6" w:rsidRDefault="00C213A7" w:rsidP="00C213A7">
            <w:pPr>
              <w:jc w:val="right"/>
              <w:rPr>
                <w:rFonts w:eastAsia="Times New Roman" w:cstheme="minorHAnsi"/>
                <w:color w:val="0D0D0D"/>
                <w:szCs w:val="24"/>
              </w:rPr>
            </w:pPr>
            <w:r w:rsidRPr="00B861F2">
              <w:rPr>
                <w:rFonts w:ascii="Calibri" w:hAnsi="Calibri" w:cs="Calibri"/>
              </w:rPr>
              <w:t>(33,795)</w:t>
            </w:r>
          </w:p>
        </w:tc>
      </w:tr>
      <w:tr w:rsidR="00C213A7" w:rsidRPr="005F7BC7" w14:paraId="69F619DD"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0EB162A8"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Information technology initiatives</w:t>
            </w:r>
          </w:p>
        </w:tc>
        <w:tc>
          <w:tcPr>
            <w:tcW w:w="1661" w:type="dxa"/>
            <w:tcBorders>
              <w:top w:val="nil"/>
              <w:left w:val="nil"/>
              <w:bottom w:val="nil"/>
              <w:right w:val="nil"/>
            </w:tcBorders>
            <w:shd w:val="clear" w:color="auto" w:fill="auto"/>
            <w:noWrap/>
            <w:vAlign w:val="bottom"/>
            <w:hideMark/>
          </w:tcPr>
          <w:p w14:paraId="46227723" w14:textId="770632EB" w:rsidR="00C213A7" w:rsidRPr="0048737B" w:rsidRDefault="00C213A7" w:rsidP="00C213A7">
            <w:pPr>
              <w:jc w:val="right"/>
              <w:rPr>
                <w:rFonts w:eastAsia="Times New Roman" w:cstheme="minorHAnsi"/>
                <w:color w:val="FF0000"/>
                <w:szCs w:val="24"/>
              </w:rPr>
            </w:pPr>
            <w:r>
              <w:rPr>
                <w:rFonts w:ascii="Calibri" w:hAnsi="Calibri" w:cs="Calibri"/>
              </w:rPr>
              <w:t xml:space="preserve">              2,932 </w:t>
            </w:r>
          </w:p>
        </w:tc>
        <w:tc>
          <w:tcPr>
            <w:tcW w:w="1705" w:type="dxa"/>
            <w:tcBorders>
              <w:top w:val="nil"/>
              <w:left w:val="nil"/>
              <w:bottom w:val="nil"/>
              <w:right w:val="nil"/>
            </w:tcBorders>
            <w:shd w:val="clear" w:color="auto" w:fill="F2F2F2" w:themeFill="background1" w:themeFillShade="F2"/>
            <w:noWrap/>
            <w:vAlign w:val="bottom"/>
            <w:hideMark/>
          </w:tcPr>
          <w:p w14:paraId="334144B8" w14:textId="3346E7FA" w:rsidR="00C213A7" w:rsidRPr="001A18A6" w:rsidRDefault="00C213A7" w:rsidP="00C213A7">
            <w:pPr>
              <w:jc w:val="right"/>
              <w:rPr>
                <w:rFonts w:eastAsia="Times New Roman" w:cstheme="minorHAnsi"/>
                <w:color w:val="0D0D0D"/>
                <w:szCs w:val="24"/>
              </w:rPr>
            </w:pPr>
            <w:r w:rsidRPr="00B861F2">
              <w:rPr>
                <w:rFonts w:ascii="Calibri" w:hAnsi="Calibri" w:cs="Calibri"/>
              </w:rPr>
              <w:t>2,695</w:t>
            </w:r>
            <w:r w:rsidRPr="00AB0061">
              <w:rPr>
                <w:rFonts w:ascii="Calibri" w:hAnsi="Calibri" w:cs="Calibri"/>
              </w:rPr>
              <w:t xml:space="preserve"> </w:t>
            </w:r>
          </w:p>
        </w:tc>
      </w:tr>
      <w:tr w:rsidR="00C213A7" w:rsidRPr="005F7BC7" w14:paraId="239ED7FE"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214B1704"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Internally designated projects</w:t>
            </w:r>
          </w:p>
        </w:tc>
        <w:tc>
          <w:tcPr>
            <w:tcW w:w="1661" w:type="dxa"/>
            <w:tcBorders>
              <w:top w:val="nil"/>
              <w:left w:val="nil"/>
              <w:bottom w:val="nil"/>
              <w:right w:val="nil"/>
            </w:tcBorders>
            <w:shd w:val="clear" w:color="auto" w:fill="auto"/>
            <w:noWrap/>
            <w:vAlign w:val="bottom"/>
            <w:hideMark/>
          </w:tcPr>
          <w:p w14:paraId="58BEC53A" w14:textId="3C4391E7" w:rsidR="00C213A7" w:rsidRPr="0048737B" w:rsidRDefault="00C213A7" w:rsidP="00C213A7">
            <w:pPr>
              <w:jc w:val="right"/>
              <w:rPr>
                <w:rFonts w:eastAsia="Times New Roman" w:cstheme="minorHAnsi"/>
                <w:color w:val="FF0000"/>
                <w:szCs w:val="24"/>
              </w:rPr>
            </w:pPr>
            <w:r>
              <w:rPr>
                <w:rFonts w:ascii="Calibri" w:hAnsi="Calibri" w:cs="Calibri"/>
              </w:rPr>
              <w:t xml:space="preserve">            20,251 </w:t>
            </w:r>
          </w:p>
        </w:tc>
        <w:tc>
          <w:tcPr>
            <w:tcW w:w="1705" w:type="dxa"/>
            <w:tcBorders>
              <w:top w:val="nil"/>
              <w:left w:val="nil"/>
              <w:bottom w:val="nil"/>
              <w:right w:val="nil"/>
            </w:tcBorders>
            <w:shd w:val="clear" w:color="auto" w:fill="F2F2F2" w:themeFill="background1" w:themeFillShade="F2"/>
            <w:noWrap/>
            <w:vAlign w:val="bottom"/>
            <w:hideMark/>
          </w:tcPr>
          <w:p w14:paraId="29A11491" w14:textId="20C7146A" w:rsidR="00C213A7" w:rsidRPr="001A18A6" w:rsidRDefault="00C213A7" w:rsidP="00C213A7">
            <w:pPr>
              <w:jc w:val="right"/>
              <w:rPr>
                <w:rFonts w:eastAsia="Times New Roman" w:cstheme="minorHAnsi"/>
                <w:color w:val="0D0D0D"/>
                <w:szCs w:val="24"/>
              </w:rPr>
            </w:pPr>
            <w:r w:rsidRPr="00B861F2">
              <w:rPr>
                <w:rFonts w:ascii="Calibri" w:hAnsi="Calibri" w:cs="Calibri"/>
              </w:rPr>
              <w:t>21,499</w:t>
            </w:r>
            <w:r w:rsidRPr="00AB0061">
              <w:rPr>
                <w:rFonts w:ascii="Calibri" w:hAnsi="Calibri" w:cs="Calibri"/>
              </w:rPr>
              <w:t xml:space="preserve"> </w:t>
            </w:r>
          </w:p>
        </w:tc>
      </w:tr>
      <w:tr w:rsidR="00C213A7" w:rsidRPr="005F7BC7" w14:paraId="223A4AE2"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1FD0F288"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Facility projects</w:t>
            </w:r>
          </w:p>
        </w:tc>
        <w:tc>
          <w:tcPr>
            <w:tcW w:w="1661" w:type="dxa"/>
            <w:tcBorders>
              <w:top w:val="nil"/>
              <w:left w:val="nil"/>
              <w:bottom w:val="nil"/>
              <w:right w:val="nil"/>
            </w:tcBorders>
            <w:shd w:val="clear" w:color="auto" w:fill="auto"/>
            <w:noWrap/>
            <w:vAlign w:val="bottom"/>
            <w:hideMark/>
          </w:tcPr>
          <w:p w14:paraId="2DF51B48" w14:textId="5796CEE7" w:rsidR="00C213A7" w:rsidRPr="0048737B" w:rsidRDefault="00C213A7" w:rsidP="00C213A7">
            <w:pPr>
              <w:jc w:val="right"/>
              <w:rPr>
                <w:rFonts w:eastAsia="Times New Roman" w:cstheme="minorHAnsi"/>
                <w:color w:val="FF0000"/>
                <w:szCs w:val="24"/>
              </w:rPr>
            </w:pPr>
            <w:r>
              <w:rPr>
                <w:rFonts w:ascii="Calibri" w:hAnsi="Calibri" w:cs="Calibri"/>
              </w:rPr>
              <w:t xml:space="preserve">            29,117 </w:t>
            </w:r>
          </w:p>
        </w:tc>
        <w:tc>
          <w:tcPr>
            <w:tcW w:w="1705" w:type="dxa"/>
            <w:tcBorders>
              <w:top w:val="nil"/>
              <w:left w:val="nil"/>
              <w:bottom w:val="nil"/>
              <w:right w:val="nil"/>
            </w:tcBorders>
            <w:shd w:val="clear" w:color="auto" w:fill="F2F2F2" w:themeFill="background1" w:themeFillShade="F2"/>
            <w:noWrap/>
            <w:vAlign w:val="bottom"/>
            <w:hideMark/>
          </w:tcPr>
          <w:p w14:paraId="2F2464C3" w14:textId="68346A8D" w:rsidR="00C213A7" w:rsidRPr="001A18A6" w:rsidRDefault="00C213A7" w:rsidP="00C213A7">
            <w:pPr>
              <w:jc w:val="right"/>
              <w:rPr>
                <w:rFonts w:eastAsia="Times New Roman" w:cstheme="minorHAnsi"/>
                <w:color w:val="0D0D0D"/>
                <w:szCs w:val="24"/>
              </w:rPr>
            </w:pPr>
            <w:r>
              <w:rPr>
                <w:rFonts w:ascii="Calibri" w:hAnsi="Calibri" w:cs="Calibri"/>
              </w:rPr>
              <w:t>36,418</w:t>
            </w:r>
            <w:r w:rsidRPr="00AB0061">
              <w:rPr>
                <w:rFonts w:ascii="Calibri" w:hAnsi="Calibri" w:cs="Calibri"/>
              </w:rPr>
              <w:t xml:space="preserve"> </w:t>
            </w:r>
          </w:p>
        </w:tc>
      </w:tr>
      <w:tr w:rsidR="00C213A7" w:rsidRPr="005F7BC7" w14:paraId="72FA06DA"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315782DD"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Quasi endowment corpus</w:t>
            </w:r>
          </w:p>
        </w:tc>
        <w:tc>
          <w:tcPr>
            <w:tcW w:w="1661" w:type="dxa"/>
            <w:tcBorders>
              <w:top w:val="nil"/>
              <w:left w:val="nil"/>
              <w:bottom w:val="nil"/>
              <w:right w:val="nil"/>
            </w:tcBorders>
            <w:shd w:val="clear" w:color="auto" w:fill="auto"/>
            <w:noWrap/>
            <w:vAlign w:val="bottom"/>
            <w:hideMark/>
          </w:tcPr>
          <w:p w14:paraId="05442C0F" w14:textId="3408FE1E" w:rsidR="00C213A7" w:rsidRPr="0048737B" w:rsidRDefault="00C213A7" w:rsidP="00C213A7">
            <w:pPr>
              <w:jc w:val="right"/>
              <w:rPr>
                <w:rFonts w:eastAsia="Times New Roman" w:cstheme="minorHAnsi"/>
                <w:color w:val="FF0000"/>
                <w:szCs w:val="24"/>
              </w:rPr>
            </w:pPr>
            <w:r>
              <w:rPr>
                <w:rFonts w:ascii="Calibri" w:hAnsi="Calibri" w:cs="Calibri"/>
              </w:rPr>
              <w:t xml:space="preserve">            12,051 </w:t>
            </w:r>
          </w:p>
        </w:tc>
        <w:tc>
          <w:tcPr>
            <w:tcW w:w="1705" w:type="dxa"/>
            <w:tcBorders>
              <w:top w:val="nil"/>
              <w:left w:val="nil"/>
              <w:bottom w:val="nil"/>
              <w:right w:val="nil"/>
            </w:tcBorders>
            <w:shd w:val="clear" w:color="auto" w:fill="F2F2F2" w:themeFill="background1" w:themeFillShade="F2"/>
            <w:noWrap/>
            <w:vAlign w:val="bottom"/>
            <w:hideMark/>
          </w:tcPr>
          <w:p w14:paraId="235AF1C6" w14:textId="37F6BB78" w:rsidR="00C213A7" w:rsidRPr="001A18A6" w:rsidRDefault="00C213A7" w:rsidP="00C213A7">
            <w:pPr>
              <w:jc w:val="right"/>
              <w:rPr>
                <w:rFonts w:eastAsia="Times New Roman" w:cstheme="minorHAnsi"/>
                <w:color w:val="0D0D0D"/>
                <w:szCs w:val="24"/>
              </w:rPr>
            </w:pPr>
            <w:r w:rsidRPr="00B861F2">
              <w:rPr>
                <w:rFonts w:ascii="Calibri" w:hAnsi="Calibri" w:cs="Calibri"/>
              </w:rPr>
              <w:t>11,347</w:t>
            </w:r>
            <w:r w:rsidRPr="00AB0061">
              <w:rPr>
                <w:rFonts w:ascii="Calibri" w:hAnsi="Calibri" w:cs="Calibri"/>
              </w:rPr>
              <w:t xml:space="preserve"> </w:t>
            </w:r>
          </w:p>
        </w:tc>
      </w:tr>
      <w:tr w:rsidR="00C213A7" w:rsidRPr="005F7BC7" w14:paraId="1F8E6AA0" w14:textId="77777777" w:rsidTr="0048737B">
        <w:trPr>
          <w:trHeight w:val="288"/>
          <w:jc w:val="center"/>
        </w:trPr>
        <w:tc>
          <w:tcPr>
            <w:tcW w:w="5994" w:type="dxa"/>
            <w:tcBorders>
              <w:top w:val="nil"/>
              <w:left w:val="nil"/>
              <w:bottom w:val="nil"/>
              <w:right w:val="nil"/>
            </w:tcBorders>
            <w:shd w:val="clear" w:color="000000" w:fill="FFFFFF"/>
            <w:noWrap/>
            <w:vAlign w:val="bottom"/>
            <w:hideMark/>
          </w:tcPr>
          <w:p w14:paraId="7CE5D5CC"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Endowment appreciation</w:t>
            </w:r>
          </w:p>
        </w:tc>
        <w:tc>
          <w:tcPr>
            <w:tcW w:w="1661" w:type="dxa"/>
            <w:tcBorders>
              <w:top w:val="nil"/>
              <w:left w:val="nil"/>
              <w:bottom w:val="nil"/>
              <w:right w:val="nil"/>
            </w:tcBorders>
            <w:shd w:val="clear" w:color="auto" w:fill="auto"/>
            <w:noWrap/>
            <w:vAlign w:val="bottom"/>
            <w:hideMark/>
          </w:tcPr>
          <w:p w14:paraId="1847F603" w14:textId="20E46586" w:rsidR="00C213A7" w:rsidRPr="0048737B" w:rsidRDefault="00C213A7" w:rsidP="00C213A7">
            <w:pPr>
              <w:jc w:val="right"/>
              <w:rPr>
                <w:rFonts w:eastAsia="Times New Roman" w:cstheme="minorHAnsi"/>
                <w:color w:val="FF0000"/>
                <w:szCs w:val="24"/>
              </w:rPr>
            </w:pPr>
            <w:r>
              <w:rPr>
                <w:rFonts w:ascii="Calibri" w:hAnsi="Calibri" w:cs="Calibri"/>
              </w:rPr>
              <w:t xml:space="preserve">              6,27</w:t>
            </w:r>
            <w:r w:rsidR="0077729E">
              <w:rPr>
                <w:rFonts w:ascii="Calibri" w:hAnsi="Calibri" w:cs="Calibri"/>
              </w:rPr>
              <w:t>6</w:t>
            </w:r>
            <w:r>
              <w:rPr>
                <w:rFonts w:ascii="Calibri" w:hAnsi="Calibri" w:cs="Calibri"/>
              </w:rPr>
              <w:t xml:space="preserve"> </w:t>
            </w:r>
          </w:p>
        </w:tc>
        <w:tc>
          <w:tcPr>
            <w:tcW w:w="1705" w:type="dxa"/>
            <w:tcBorders>
              <w:top w:val="nil"/>
              <w:left w:val="nil"/>
              <w:bottom w:val="nil"/>
              <w:right w:val="nil"/>
            </w:tcBorders>
            <w:shd w:val="clear" w:color="auto" w:fill="F2F2F2" w:themeFill="background1" w:themeFillShade="F2"/>
            <w:noWrap/>
            <w:vAlign w:val="bottom"/>
            <w:hideMark/>
          </w:tcPr>
          <w:p w14:paraId="1BB59128" w14:textId="085A69D1" w:rsidR="00C213A7" w:rsidRPr="001A18A6" w:rsidRDefault="00C213A7" w:rsidP="00C213A7">
            <w:pPr>
              <w:jc w:val="right"/>
              <w:rPr>
                <w:rFonts w:eastAsia="Times New Roman" w:cstheme="minorHAnsi"/>
                <w:color w:val="0D0D0D"/>
                <w:szCs w:val="24"/>
              </w:rPr>
            </w:pPr>
            <w:r w:rsidRPr="00B861F2">
              <w:rPr>
                <w:rFonts w:ascii="Calibri" w:hAnsi="Calibri" w:cs="Calibri"/>
              </w:rPr>
              <w:t>5,836</w:t>
            </w:r>
            <w:r w:rsidRPr="00AB0061">
              <w:rPr>
                <w:rFonts w:ascii="Calibri" w:hAnsi="Calibri" w:cs="Calibri"/>
              </w:rPr>
              <w:t xml:space="preserve"> </w:t>
            </w:r>
          </w:p>
        </w:tc>
      </w:tr>
      <w:tr w:rsidR="00C213A7" w:rsidRPr="005F7BC7" w14:paraId="406C1386" w14:textId="77777777" w:rsidTr="0048737B">
        <w:trPr>
          <w:trHeight w:val="288"/>
          <w:jc w:val="center"/>
        </w:trPr>
        <w:tc>
          <w:tcPr>
            <w:tcW w:w="5994" w:type="dxa"/>
            <w:tcBorders>
              <w:top w:val="nil"/>
              <w:left w:val="nil"/>
              <w:bottom w:val="single" w:sz="4" w:space="0" w:color="00688D"/>
              <w:right w:val="nil"/>
            </w:tcBorders>
            <w:shd w:val="clear" w:color="000000" w:fill="FFFFFF"/>
            <w:noWrap/>
            <w:vAlign w:val="bottom"/>
            <w:hideMark/>
          </w:tcPr>
          <w:p w14:paraId="359D2D5B" w14:textId="77777777" w:rsidR="00C213A7" w:rsidRPr="001A18A6" w:rsidRDefault="00C213A7" w:rsidP="00C213A7">
            <w:pPr>
              <w:ind w:firstLineChars="100" w:firstLine="220"/>
              <w:rPr>
                <w:rFonts w:eastAsia="Times New Roman" w:cstheme="minorHAnsi"/>
                <w:color w:val="0D0D0D"/>
                <w:szCs w:val="24"/>
              </w:rPr>
            </w:pPr>
            <w:r w:rsidRPr="001A18A6">
              <w:rPr>
                <w:rFonts w:eastAsia="Times New Roman" w:cstheme="minorHAnsi"/>
                <w:color w:val="0D0D0D"/>
                <w:szCs w:val="24"/>
              </w:rPr>
              <w:t>Cost sharing and other</w:t>
            </w:r>
          </w:p>
        </w:tc>
        <w:tc>
          <w:tcPr>
            <w:tcW w:w="1661" w:type="dxa"/>
            <w:tcBorders>
              <w:top w:val="nil"/>
              <w:left w:val="nil"/>
              <w:bottom w:val="single" w:sz="4" w:space="0" w:color="00688D"/>
              <w:right w:val="nil"/>
            </w:tcBorders>
            <w:shd w:val="clear" w:color="auto" w:fill="auto"/>
            <w:noWrap/>
            <w:vAlign w:val="bottom"/>
            <w:hideMark/>
          </w:tcPr>
          <w:p w14:paraId="69E1BC7F" w14:textId="320765FB" w:rsidR="00C213A7" w:rsidRPr="0048737B" w:rsidRDefault="00C213A7" w:rsidP="00C213A7">
            <w:pPr>
              <w:jc w:val="right"/>
              <w:rPr>
                <w:rFonts w:eastAsia="Times New Roman" w:cstheme="minorHAnsi"/>
                <w:color w:val="FF0000"/>
                <w:szCs w:val="24"/>
              </w:rPr>
            </w:pPr>
            <w:r>
              <w:rPr>
                <w:rFonts w:ascii="Calibri" w:hAnsi="Calibri" w:cs="Calibri"/>
              </w:rPr>
              <w:t xml:space="preserve">              4,245 </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14093612" w14:textId="29BA702B" w:rsidR="00C213A7" w:rsidRPr="001A18A6" w:rsidRDefault="00C213A7" w:rsidP="00C213A7">
            <w:pPr>
              <w:jc w:val="right"/>
              <w:rPr>
                <w:rFonts w:eastAsia="Times New Roman" w:cstheme="minorHAnsi"/>
                <w:color w:val="0D0D0D"/>
                <w:szCs w:val="24"/>
              </w:rPr>
            </w:pPr>
            <w:r w:rsidRPr="00B861F2">
              <w:rPr>
                <w:rFonts w:ascii="Calibri" w:hAnsi="Calibri" w:cs="Calibri"/>
              </w:rPr>
              <w:t>(</w:t>
            </w:r>
            <w:r>
              <w:rPr>
                <w:rFonts w:ascii="Calibri" w:hAnsi="Calibri" w:cs="Calibri"/>
              </w:rPr>
              <w:t>11,428</w:t>
            </w:r>
            <w:r w:rsidRPr="00B861F2">
              <w:rPr>
                <w:rFonts w:ascii="Calibri" w:hAnsi="Calibri" w:cs="Calibri"/>
              </w:rPr>
              <w:t>)</w:t>
            </w:r>
            <w:r w:rsidRPr="00AB0061">
              <w:rPr>
                <w:rFonts w:ascii="Calibri" w:hAnsi="Calibri" w:cs="Calibri"/>
              </w:rPr>
              <w:t xml:space="preserve"> </w:t>
            </w:r>
          </w:p>
        </w:tc>
      </w:tr>
      <w:tr w:rsidR="00D97DF5" w:rsidRPr="005F7BC7" w14:paraId="6CAF5758" w14:textId="77777777" w:rsidTr="0048737B">
        <w:trPr>
          <w:trHeight w:val="288"/>
          <w:jc w:val="center"/>
        </w:trPr>
        <w:tc>
          <w:tcPr>
            <w:tcW w:w="5994" w:type="dxa"/>
            <w:tcBorders>
              <w:top w:val="nil"/>
              <w:left w:val="nil"/>
              <w:bottom w:val="single" w:sz="4" w:space="0" w:color="00688D"/>
              <w:right w:val="nil"/>
            </w:tcBorders>
            <w:shd w:val="clear" w:color="000000" w:fill="FFFFFF"/>
            <w:noWrap/>
            <w:vAlign w:val="bottom"/>
            <w:hideMark/>
          </w:tcPr>
          <w:p w14:paraId="0D35E45C" w14:textId="77777777" w:rsidR="00D97DF5" w:rsidRPr="001A18A6" w:rsidRDefault="00D97DF5" w:rsidP="00D97DF5">
            <w:pPr>
              <w:ind w:firstLineChars="100" w:firstLine="220"/>
              <w:rPr>
                <w:rFonts w:eastAsia="Times New Roman" w:cstheme="minorHAnsi"/>
                <w:color w:val="0D0D0D"/>
                <w:szCs w:val="24"/>
              </w:rPr>
            </w:pPr>
            <w:r w:rsidRPr="001A18A6">
              <w:rPr>
                <w:rFonts w:eastAsia="Times New Roman" w:cstheme="minorHAnsi"/>
                <w:color w:val="0D0D0D"/>
                <w:szCs w:val="24"/>
              </w:rPr>
              <w:t>Total unrestricted</w:t>
            </w:r>
          </w:p>
        </w:tc>
        <w:tc>
          <w:tcPr>
            <w:tcW w:w="1661" w:type="dxa"/>
            <w:tcBorders>
              <w:top w:val="nil"/>
              <w:left w:val="nil"/>
              <w:bottom w:val="single" w:sz="4" w:space="0" w:color="00688D"/>
              <w:right w:val="nil"/>
            </w:tcBorders>
            <w:shd w:val="clear" w:color="000000" w:fill="FFFFFF"/>
            <w:noWrap/>
            <w:vAlign w:val="bottom"/>
            <w:hideMark/>
          </w:tcPr>
          <w:p w14:paraId="67864761" w14:textId="110033C7" w:rsidR="00D97DF5" w:rsidRPr="004C0939" w:rsidRDefault="00C213A7" w:rsidP="00D97DF5">
            <w:pPr>
              <w:jc w:val="right"/>
              <w:rPr>
                <w:rFonts w:eastAsia="Times New Roman" w:cstheme="minorHAnsi"/>
                <w:szCs w:val="24"/>
              </w:rPr>
            </w:pPr>
            <w:r w:rsidRPr="00316B2A">
              <w:rPr>
                <w:rFonts w:eastAsia="Times New Roman" w:cstheme="minorHAnsi"/>
                <w:szCs w:val="24"/>
              </w:rPr>
              <w:t>14</w:t>
            </w:r>
            <w:r w:rsidR="0077729E">
              <w:rPr>
                <w:rFonts w:eastAsia="Times New Roman" w:cstheme="minorHAnsi"/>
                <w:szCs w:val="24"/>
              </w:rPr>
              <w:t>1,636</w:t>
            </w:r>
          </w:p>
        </w:tc>
        <w:tc>
          <w:tcPr>
            <w:tcW w:w="1705" w:type="dxa"/>
            <w:tcBorders>
              <w:top w:val="nil"/>
              <w:left w:val="nil"/>
              <w:bottom w:val="single" w:sz="4" w:space="0" w:color="00688D"/>
              <w:right w:val="nil"/>
            </w:tcBorders>
            <w:shd w:val="clear" w:color="auto" w:fill="F2F2F2" w:themeFill="background1" w:themeFillShade="F2"/>
            <w:noWrap/>
            <w:vAlign w:val="bottom"/>
            <w:hideMark/>
          </w:tcPr>
          <w:p w14:paraId="256D49A7" w14:textId="171321CA" w:rsidR="00D97DF5" w:rsidRPr="001A18A6" w:rsidRDefault="00D97DF5" w:rsidP="000B1BE8">
            <w:pPr>
              <w:jc w:val="right"/>
              <w:rPr>
                <w:rFonts w:eastAsia="Times New Roman" w:cstheme="minorHAnsi"/>
                <w:color w:val="0D0D0D"/>
                <w:szCs w:val="24"/>
              </w:rPr>
            </w:pPr>
            <w:r w:rsidRPr="00B861F2">
              <w:rPr>
                <w:rFonts w:eastAsia="Times New Roman" w:cstheme="minorHAnsi"/>
                <w:szCs w:val="24"/>
              </w:rPr>
              <w:t>1</w:t>
            </w:r>
            <w:r>
              <w:rPr>
                <w:rFonts w:eastAsia="Times New Roman" w:cstheme="minorHAnsi"/>
                <w:szCs w:val="24"/>
              </w:rPr>
              <w:t>61</w:t>
            </w:r>
            <w:r w:rsidRPr="00B861F2">
              <w:rPr>
                <w:rFonts w:eastAsia="Times New Roman" w:cstheme="minorHAnsi"/>
                <w:szCs w:val="24"/>
              </w:rPr>
              <w:t>,</w:t>
            </w:r>
            <w:r w:rsidR="00EF2216">
              <w:rPr>
                <w:rFonts w:eastAsia="Times New Roman" w:cstheme="minorHAnsi"/>
                <w:szCs w:val="24"/>
              </w:rPr>
              <w:t>281</w:t>
            </w:r>
          </w:p>
        </w:tc>
      </w:tr>
      <w:tr w:rsidR="00D97DF5" w:rsidRPr="005F7BC7" w14:paraId="1824E4FC" w14:textId="77777777" w:rsidTr="0048737B">
        <w:trPr>
          <w:trHeight w:val="300"/>
          <w:jc w:val="center"/>
        </w:trPr>
        <w:tc>
          <w:tcPr>
            <w:tcW w:w="5994" w:type="dxa"/>
            <w:tcBorders>
              <w:top w:val="single" w:sz="4" w:space="0" w:color="00688D"/>
              <w:left w:val="nil"/>
              <w:bottom w:val="double" w:sz="4" w:space="0" w:color="00688D"/>
              <w:right w:val="nil"/>
            </w:tcBorders>
            <w:shd w:val="clear" w:color="000000" w:fill="FFFFFF"/>
            <w:noWrap/>
            <w:vAlign w:val="bottom"/>
            <w:hideMark/>
          </w:tcPr>
          <w:p w14:paraId="1DB6B658" w14:textId="77777777" w:rsidR="00D97DF5" w:rsidRPr="001A18A6" w:rsidRDefault="00D97DF5" w:rsidP="00D97DF5">
            <w:pPr>
              <w:rPr>
                <w:rFonts w:eastAsia="Times New Roman" w:cstheme="minorHAnsi"/>
                <w:color w:val="0D0D0D"/>
                <w:szCs w:val="24"/>
              </w:rPr>
            </w:pPr>
            <w:r w:rsidRPr="001A18A6">
              <w:rPr>
                <w:rFonts w:eastAsia="Times New Roman" w:cstheme="minorHAnsi"/>
                <w:color w:val="0D0D0D"/>
                <w:szCs w:val="24"/>
              </w:rPr>
              <w:t>Total Net Position</w:t>
            </w:r>
          </w:p>
        </w:tc>
        <w:tc>
          <w:tcPr>
            <w:tcW w:w="1661" w:type="dxa"/>
            <w:tcBorders>
              <w:top w:val="single" w:sz="4" w:space="0" w:color="00688D"/>
              <w:left w:val="nil"/>
              <w:bottom w:val="double" w:sz="4" w:space="0" w:color="00688D"/>
              <w:right w:val="nil"/>
            </w:tcBorders>
            <w:shd w:val="clear" w:color="000000" w:fill="FFFFFF"/>
            <w:noWrap/>
            <w:vAlign w:val="bottom"/>
            <w:hideMark/>
          </w:tcPr>
          <w:p w14:paraId="057E0CB0" w14:textId="2D36BA84" w:rsidR="00D97DF5" w:rsidRPr="000B1BE8" w:rsidRDefault="00D97DF5" w:rsidP="000B1BE8">
            <w:pPr>
              <w:jc w:val="right"/>
              <w:rPr>
                <w:rFonts w:eastAsia="Times New Roman" w:cstheme="minorHAnsi"/>
                <w:szCs w:val="24"/>
              </w:rPr>
            </w:pPr>
            <w:r w:rsidRPr="000B1BE8">
              <w:rPr>
                <w:rFonts w:eastAsia="Times New Roman" w:cstheme="minorHAnsi"/>
                <w:szCs w:val="24"/>
              </w:rPr>
              <w:t xml:space="preserve">$   </w:t>
            </w:r>
            <w:r w:rsidR="00C213A7" w:rsidRPr="00316B2A">
              <w:rPr>
                <w:rFonts w:eastAsia="Times New Roman" w:cstheme="minorHAnsi"/>
                <w:szCs w:val="24"/>
              </w:rPr>
              <w:t>1,00</w:t>
            </w:r>
            <w:r w:rsidR="0077729E">
              <w:rPr>
                <w:rFonts w:eastAsia="Times New Roman" w:cstheme="minorHAnsi"/>
                <w:szCs w:val="24"/>
              </w:rPr>
              <w:t>0,715</w:t>
            </w:r>
          </w:p>
        </w:tc>
        <w:tc>
          <w:tcPr>
            <w:tcW w:w="1705" w:type="dxa"/>
            <w:tcBorders>
              <w:top w:val="single" w:sz="4" w:space="0" w:color="00688D"/>
              <w:left w:val="nil"/>
              <w:bottom w:val="double" w:sz="4" w:space="0" w:color="00688D"/>
              <w:right w:val="nil"/>
            </w:tcBorders>
            <w:shd w:val="clear" w:color="auto" w:fill="F2F2F2" w:themeFill="background1" w:themeFillShade="F2"/>
            <w:noWrap/>
            <w:vAlign w:val="bottom"/>
            <w:hideMark/>
          </w:tcPr>
          <w:p w14:paraId="4FB970B0" w14:textId="683F6E86" w:rsidR="00D97DF5" w:rsidRPr="001A18A6" w:rsidRDefault="00D97DF5" w:rsidP="004C0939">
            <w:pPr>
              <w:jc w:val="right"/>
              <w:rPr>
                <w:rFonts w:eastAsia="Times New Roman" w:cstheme="minorHAnsi"/>
                <w:color w:val="0D0D0D"/>
                <w:szCs w:val="24"/>
              </w:rPr>
            </w:pPr>
            <w:r w:rsidRPr="00B861F2">
              <w:rPr>
                <w:rFonts w:eastAsia="Times New Roman" w:cstheme="minorHAnsi"/>
                <w:szCs w:val="24"/>
              </w:rPr>
              <w:t xml:space="preserve">$   </w:t>
            </w:r>
            <w:r>
              <w:rPr>
                <w:rFonts w:eastAsia="Times New Roman" w:cstheme="minorHAnsi"/>
                <w:szCs w:val="24"/>
              </w:rPr>
              <w:t>969,</w:t>
            </w:r>
            <w:r w:rsidR="00EF2216">
              <w:rPr>
                <w:rFonts w:eastAsia="Times New Roman" w:cstheme="minorHAnsi"/>
                <w:szCs w:val="24"/>
              </w:rPr>
              <w:t>280</w:t>
            </w:r>
          </w:p>
        </w:tc>
      </w:tr>
    </w:tbl>
    <w:p w14:paraId="5A71513E" w14:textId="77777777" w:rsidR="00DD1612" w:rsidRDefault="00DD1612" w:rsidP="00DD1612">
      <w:pPr>
        <w:spacing w:after="160" w:line="259" w:lineRule="auto"/>
        <w:rPr>
          <w:rFonts w:eastAsiaTheme="majorEastAsia" w:cstheme="majorBidi"/>
          <w:b/>
          <w:i/>
          <w:iCs/>
          <w:smallCaps/>
          <w:noProof/>
          <w:color w:val="000000" w:themeColor="text1"/>
          <w:sz w:val="26"/>
          <w:szCs w:val="26"/>
          <w:u w:color="5B9BD5"/>
        </w:rPr>
      </w:pPr>
      <w:r>
        <w:rPr>
          <w:sz w:val="26"/>
          <w:szCs w:val="26"/>
        </w:rPr>
        <w:br w:type="page"/>
      </w:r>
    </w:p>
    <w:p w14:paraId="48468C1E" w14:textId="77777777" w:rsidR="00DD1612" w:rsidRPr="00095F21" w:rsidRDefault="00DD1612" w:rsidP="00DD1612">
      <w:pPr>
        <w:pStyle w:val="AFR2"/>
        <w:rPr>
          <w:sz w:val="26"/>
          <w:szCs w:val="26"/>
        </w:rPr>
      </w:pPr>
      <w:r w:rsidRPr="00095F21">
        <w:rPr>
          <w:sz w:val="26"/>
          <w:szCs w:val="26"/>
        </w:rPr>
        <w:lastRenderedPageBreak/>
        <w:t>11. COMMITMENTS AND CONTINGENCIES</w:t>
      </w:r>
    </w:p>
    <w:p w14:paraId="557A3782" w14:textId="77777777" w:rsidR="00DD1612" w:rsidRPr="00F54559" w:rsidRDefault="00DD1612" w:rsidP="00DD1612">
      <w:pPr>
        <w:pStyle w:val="AFR3"/>
        <w:rPr>
          <w:rFonts w:cstheme="minorHAnsi"/>
        </w:rPr>
      </w:pPr>
      <w:r w:rsidRPr="00F54559">
        <w:rPr>
          <w:rFonts w:cstheme="minorHAnsi"/>
        </w:rPr>
        <w:t>a. Grant Program Involvement</w:t>
      </w:r>
    </w:p>
    <w:p w14:paraId="4CB0638C" w14:textId="091B0997" w:rsidR="00DD1612" w:rsidRDefault="00DD1612" w:rsidP="00DD1612">
      <w:pPr>
        <w:tabs>
          <w:tab w:val="left" w:pos="720"/>
          <w:tab w:val="left" w:pos="108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cstheme="minorHAnsi"/>
          <w:bCs/>
          <w:spacing w:val="-3"/>
          <w:sz w:val="24"/>
        </w:rPr>
        <w:t>The System participates in a number of federal programs subject to financial and complian</w:t>
      </w:r>
      <w:r w:rsidR="00541C5C">
        <w:rPr>
          <w:rFonts w:cstheme="minorHAnsi"/>
          <w:bCs/>
          <w:spacing w:val="-3"/>
          <w:sz w:val="24"/>
        </w:rPr>
        <w:t xml:space="preserve">ce audits. </w:t>
      </w:r>
      <w:r w:rsidRPr="00F54559">
        <w:rPr>
          <w:rFonts w:cstheme="minorHAnsi"/>
          <w:bCs/>
          <w:spacing w:val="-3"/>
          <w:sz w:val="24"/>
        </w:rPr>
        <w:t xml:space="preserve">The </w:t>
      </w:r>
      <w:proofErr w:type="gramStart"/>
      <w:r w:rsidRPr="00F54559">
        <w:rPr>
          <w:rFonts w:cstheme="minorHAnsi"/>
          <w:bCs/>
          <w:spacing w:val="-3"/>
          <w:sz w:val="24"/>
        </w:rPr>
        <w:t>amount</w:t>
      </w:r>
      <w:proofErr w:type="gramEnd"/>
      <w:r w:rsidRPr="00F54559">
        <w:rPr>
          <w:rFonts w:cstheme="minorHAnsi"/>
          <w:bCs/>
          <w:spacing w:val="-3"/>
          <w:sz w:val="24"/>
        </w:rPr>
        <w:t xml:space="preserve"> of expenditures that may be disallowed by the granting agencies cannot be determined at this time, although the System does not expect these amounts, if any, to be material to the financial statements.</w:t>
      </w:r>
    </w:p>
    <w:p w14:paraId="25E7CC3A" w14:textId="77777777" w:rsidR="00DD1612" w:rsidRPr="00F54559" w:rsidRDefault="00DD1612" w:rsidP="00DD1612">
      <w:pPr>
        <w:pStyle w:val="AFR3"/>
        <w:rPr>
          <w:rFonts w:cstheme="minorHAnsi"/>
        </w:rPr>
      </w:pPr>
      <w:r w:rsidRPr="00F54559">
        <w:rPr>
          <w:rFonts w:cstheme="minorHAnsi"/>
        </w:rPr>
        <w:t>b</w:t>
      </w:r>
      <w:r w:rsidRPr="00160E4E">
        <w:rPr>
          <w:rFonts w:cstheme="minorHAnsi"/>
        </w:rPr>
        <w:t xml:space="preserve">. </w:t>
      </w:r>
      <w:r w:rsidRPr="00AE7DB9">
        <w:rPr>
          <w:rFonts w:cstheme="minorHAnsi"/>
        </w:rPr>
        <w:t>Risk Management – Insurance Programs</w:t>
      </w:r>
    </w:p>
    <w:p w14:paraId="489282CB" w14:textId="156EC346" w:rsidR="00DD1612" w:rsidRPr="00F54559" w:rsidRDefault="00DD1612" w:rsidP="00DD1612">
      <w:pPr>
        <w:tabs>
          <w:tab w:val="left" w:pos="720"/>
          <w:tab w:val="left" w:pos="1080"/>
          <w:tab w:val="right" w:pos="4262"/>
          <w:tab w:val="right" w:pos="5220"/>
          <w:tab w:val="right" w:pos="6691"/>
          <w:tab w:val="right" w:pos="7621"/>
          <w:tab w:val="right" w:pos="9187"/>
        </w:tabs>
        <w:suppressAutoHyphens/>
        <w:rPr>
          <w:rFonts w:eastAsia="Times New Roman" w:cstheme="minorHAnsi"/>
          <w:bCs/>
          <w:spacing w:val="-3"/>
          <w:sz w:val="20"/>
          <w:szCs w:val="24"/>
        </w:rPr>
      </w:pPr>
      <w:r w:rsidRPr="00F54559">
        <w:rPr>
          <w:rFonts w:eastAsia="Times New Roman" w:cstheme="minorHAnsi"/>
          <w:bCs/>
          <w:spacing w:val="-3"/>
          <w:sz w:val="24"/>
          <w:szCs w:val="24"/>
        </w:rPr>
        <w:t xml:space="preserve">The System is exposed to various risks of loss related to torts; thefts </w:t>
      </w:r>
      <w:proofErr w:type="gramStart"/>
      <w:r w:rsidRPr="00F54559">
        <w:rPr>
          <w:rFonts w:eastAsia="Times New Roman" w:cstheme="minorHAnsi"/>
          <w:bCs/>
          <w:spacing w:val="-3"/>
          <w:sz w:val="24"/>
          <w:szCs w:val="24"/>
        </w:rPr>
        <w:t>of,</w:t>
      </w:r>
      <w:proofErr w:type="gramEnd"/>
      <w:r w:rsidRPr="00F54559">
        <w:rPr>
          <w:rFonts w:eastAsia="Times New Roman" w:cstheme="minorHAnsi"/>
          <w:bCs/>
          <w:spacing w:val="-3"/>
          <w:sz w:val="24"/>
          <w:szCs w:val="24"/>
        </w:rPr>
        <w:t xml:space="preserve"> damage to and destruction of assets; errors and omissions; injuries; environmental po</w:t>
      </w:r>
      <w:r w:rsidR="00541C5C">
        <w:rPr>
          <w:rFonts w:eastAsia="Times New Roman" w:cstheme="minorHAnsi"/>
          <w:bCs/>
          <w:spacing w:val="-3"/>
          <w:sz w:val="24"/>
          <w:szCs w:val="24"/>
        </w:rPr>
        <w:t xml:space="preserve">llution and natural disasters. </w:t>
      </w:r>
      <w:r w:rsidRPr="00F54559">
        <w:rPr>
          <w:rFonts w:eastAsia="Times New Roman" w:cstheme="minorHAnsi"/>
          <w:bCs/>
          <w:spacing w:val="-3"/>
          <w:sz w:val="24"/>
          <w:szCs w:val="24"/>
        </w:rPr>
        <w:t>The System manages these risks through a combination of commercial insurance policies purchased in the name of the System, a large deductible all-risk property insurance program and a self-insured retention program for physical damage to vehicles and mobile equipment.</w:t>
      </w:r>
    </w:p>
    <w:p w14:paraId="37B088A7"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ind w:left="720"/>
        <w:rPr>
          <w:rFonts w:eastAsia="Times New Roman" w:cstheme="minorHAnsi"/>
          <w:spacing w:val="-3"/>
          <w:sz w:val="20"/>
          <w:szCs w:val="20"/>
          <w:highlight w:val="yellow"/>
        </w:rPr>
      </w:pPr>
    </w:p>
    <w:p w14:paraId="0A773F85" w14:textId="0A9B8B35" w:rsidR="00DD1612" w:rsidRPr="00F54559" w:rsidRDefault="00DD1612" w:rsidP="00DD1612">
      <w:pPr>
        <w:tabs>
          <w:tab w:val="left" w:pos="720"/>
          <w:tab w:val="left" w:pos="1080"/>
          <w:tab w:val="center" w:pos="5112"/>
        </w:tabs>
        <w:suppressAutoHyphens/>
        <w:rPr>
          <w:rFonts w:eastAsia="Times New Roman" w:cstheme="minorHAnsi"/>
          <w:spacing w:val="-3"/>
          <w:sz w:val="20"/>
          <w:szCs w:val="20"/>
        </w:rPr>
      </w:pPr>
      <w:r w:rsidRPr="00F54559">
        <w:rPr>
          <w:rFonts w:eastAsia="Times New Roman" w:cstheme="minorHAnsi"/>
          <w:bCs/>
          <w:color w:val="000000"/>
          <w:spacing w:val="-3"/>
          <w:sz w:val="24"/>
          <w:szCs w:val="24"/>
        </w:rPr>
        <w:t xml:space="preserve">The System’s retention obligation for the general liability and vehicle liability is capped at </w:t>
      </w:r>
      <w:r w:rsidRPr="00B861F2">
        <w:rPr>
          <w:rFonts w:eastAsia="Times New Roman" w:cstheme="minorHAnsi"/>
          <w:bCs/>
          <w:spacing w:val="-3"/>
          <w:sz w:val="24"/>
          <w:szCs w:val="24"/>
        </w:rPr>
        <w:t xml:space="preserve">$400 </w:t>
      </w:r>
      <w:r w:rsidRPr="00813DF0">
        <w:rPr>
          <w:rFonts w:eastAsia="Times New Roman" w:cstheme="minorHAnsi"/>
          <w:bCs/>
          <w:color w:val="000000"/>
          <w:spacing w:val="-3"/>
          <w:sz w:val="24"/>
          <w:szCs w:val="24"/>
        </w:rPr>
        <w:t xml:space="preserve">per claim, with an aggregate limit of </w:t>
      </w:r>
      <w:r w:rsidRPr="00B861F2">
        <w:rPr>
          <w:rFonts w:eastAsia="Times New Roman" w:cstheme="minorHAnsi"/>
          <w:bCs/>
          <w:spacing w:val="-3"/>
          <w:sz w:val="24"/>
          <w:szCs w:val="24"/>
        </w:rPr>
        <w:t>$</w:t>
      </w:r>
      <w:r w:rsidR="002B782E" w:rsidRPr="00B861F2">
        <w:rPr>
          <w:rFonts w:eastAsia="Times New Roman" w:cstheme="minorHAnsi"/>
          <w:bCs/>
          <w:spacing w:val="-3"/>
          <w:sz w:val="24"/>
          <w:szCs w:val="24"/>
        </w:rPr>
        <w:t>2</w:t>
      </w:r>
      <w:r w:rsidR="002B782E">
        <w:rPr>
          <w:rFonts w:eastAsia="Times New Roman" w:cstheme="minorHAnsi"/>
          <w:bCs/>
          <w:spacing w:val="-3"/>
          <w:sz w:val="24"/>
          <w:szCs w:val="24"/>
        </w:rPr>
        <w:t>5</w:t>
      </w:r>
      <w:r w:rsidRPr="00B861F2">
        <w:rPr>
          <w:rFonts w:eastAsia="Times New Roman" w:cstheme="minorHAnsi"/>
          <w:bCs/>
          <w:spacing w:val="-3"/>
          <w:sz w:val="24"/>
          <w:szCs w:val="24"/>
        </w:rPr>
        <w:t xml:space="preserve">,000 </w:t>
      </w:r>
      <w:r w:rsidR="00541C5C">
        <w:rPr>
          <w:rFonts w:eastAsia="Times New Roman" w:cstheme="minorHAnsi"/>
          <w:bCs/>
          <w:color w:val="000000"/>
          <w:spacing w:val="-3"/>
          <w:sz w:val="24"/>
          <w:szCs w:val="24"/>
        </w:rPr>
        <w:t xml:space="preserve">per year. </w:t>
      </w:r>
      <w:r w:rsidRPr="00813DF0">
        <w:rPr>
          <w:rFonts w:eastAsia="Times New Roman" w:cstheme="minorHAnsi"/>
          <w:bCs/>
          <w:color w:val="000000"/>
          <w:spacing w:val="-3"/>
          <w:sz w:val="24"/>
          <w:szCs w:val="24"/>
        </w:rPr>
        <w:t>Educator’s legal liability risks are subject to a $</w:t>
      </w:r>
      <w:r>
        <w:rPr>
          <w:rFonts w:eastAsia="Times New Roman" w:cstheme="minorHAnsi"/>
          <w:bCs/>
          <w:color w:val="000000"/>
          <w:spacing w:val="-3"/>
          <w:sz w:val="24"/>
          <w:szCs w:val="24"/>
        </w:rPr>
        <w:t>200</w:t>
      </w:r>
      <w:r w:rsidRPr="00813DF0">
        <w:rPr>
          <w:rFonts w:eastAsia="Times New Roman" w:cstheme="minorHAnsi"/>
          <w:bCs/>
          <w:color w:val="000000"/>
          <w:spacing w:val="-3"/>
          <w:sz w:val="24"/>
          <w:szCs w:val="24"/>
        </w:rPr>
        <w:t xml:space="preserve"> per loss retention with </w:t>
      </w:r>
      <w:r>
        <w:rPr>
          <w:rFonts w:eastAsia="Times New Roman" w:cstheme="minorHAnsi"/>
          <w:bCs/>
          <w:color w:val="000000"/>
          <w:spacing w:val="-3"/>
          <w:sz w:val="24"/>
          <w:szCs w:val="24"/>
        </w:rPr>
        <w:t xml:space="preserve">an aggregate limit of </w:t>
      </w:r>
      <w:r w:rsidRPr="00B861F2">
        <w:rPr>
          <w:rFonts w:eastAsia="Times New Roman" w:cstheme="minorHAnsi"/>
          <w:bCs/>
          <w:spacing w:val="-3"/>
          <w:sz w:val="24"/>
          <w:szCs w:val="24"/>
        </w:rPr>
        <w:t>$25,000</w:t>
      </w:r>
      <w:r w:rsidR="00541C5C">
        <w:rPr>
          <w:rFonts w:eastAsia="Times New Roman" w:cstheme="minorHAnsi"/>
          <w:bCs/>
          <w:color w:val="000000"/>
          <w:spacing w:val="-3"/>
          <w:sz w:val="24"/>
          <w:szCs w:val="24"/>
        </w:rPr>
        <w:t xml:space="preserve">. </w:t>
      </w:r>
      <w:r w:rsidRPr="00F54559">
        <w:rPr>
          <w:rFonts w:eastAsia="Times New Roman" w:cstheme="minorHAnsi"/>
          <w:bCs/>
          <w:color w:val="000000"/>
          <w:spacing w:val="-3"/>
          <w:sz w:val="24"/>
          <w:szCs w:val="24"/>
        </w:rPr>
        <w:t>The System’s estimate of the amount payable under these retention levels has been included in the accompanying Statements of Net Position as part o</w:t>
      </w:r>
      <w:r w:rsidR="00541C5C">
        <w:rPr>
          <w:rFonts w:eastAsia="Times New Roman" w:cstheme="minorHAnsi"/>
          <w:bCs/>
          <w:color w:val="000000"/>
          <w:spacing w:val="-3"/>
          <w:sz w:val="24"/>
          <w:szCs w:val="24"/>
        </w:rPr>
        <w:t xml:space="preserve">f current accrued liabilities. </w:t>
      </w:r>
      <w:r w:rsidRPr="00F54559">
        <w:rPr>
          <w:rFonts w:eastAsia="Times New Roman" w:cstheme="minorHAnsi"/>
          <w:bCs/>
          <w:color w:val="000000"/>
          <w:spacing w:val="-3"/>
          <w:sz w:val="24"/>
          <w:szCs w:val="24"/>
        </w:rPr>
        <w:t xml:space="preserve">As of June 30, </w:t>
      </w:r>
      <w:proofErr w:type="gramStart"/>
      <w:r w:rsidR="009D0856" w:rsidRPr="00F54559">
        <w:rPr>
          <w:rFonts w:eastAsia="Times New Roman" w:cstheme="minorHAnsi"/>
          <w:bCs/>
          <w:color w:val="000000"/>
          <w:spacing w:val="-3"/>
          <w:sz w:val="24"/>
          <w:szCs w:val="24"/>
        </w:rPr>
        <w:t>20</w:t>
      </w:r>
      <w:r w:rsidR="009D0856">
        <w:rPr>
          <w:rFonts w:eastAsia="Times New Roman" w:cstheme="minorHAnsi"/>
          <w:bCs/>
          <w:color w:val="000000"/>
          <w:spacing w:val="-3"/>
          <w:sz w:val="24"/>
          <w:szCs w:val="24"/>
        </w:rPr>
        <w:t>23</w:t>
      </w:r>
      <w:proofErr w:type="gramEnd"/>
      <w:r w:rsidR="009D0856" w:rsidRPr="00F54559">
        <w:rPr>
          <w:rFonts w:eastAsia="Times New Roman" w:cstheme="minorHAnsi"/>
          <w:bCs/>
          <w:color w:val="000000"/>
          <w:spacing w:val="-3"/>
          <w:sz w:val="24"/>
          <w:szCs w:val="24"/>
        </w:rPr>
        <w:t xml:space="preserve"> </w:t>
      </w:r>
      <w:r w:rsidRPr="00F54559">
        <w:rPr>
          <w:rFonts w:eastAsia="Times New Roman" w:cstheme="minorHAnsi"/>
          <w:bCs/>
          <w:color w:val="000000"/>
          <w:spacing w:val="-3"/>
          <w:sz w:val="24"/>
          <w:szCs w:val="24"/>
        </w:rPr>
        <w:t xml:space="preserve">and </w:t>
      </w:r>
      <w:r w:rsidR="009D0856" w:rsidRPr="00F54559">
        <w:rPr>
          <w:rFonts w:eastAsia="Times New Roman" w:cstheme="minorHAnsi"/>
          <w:bCs/>
          <w:color w:val="000000"/>
          <w:spacing w:val="-3"/>
          <w:sz w:val="24"/>
          <w:szCs w:val="24"/>
        </w:rPr>
        <w:t>20</w:t>
      </w:r>
      <w:r w:rsidR="009D0856">
        <w:rPr>
          <w:rFonts w:eastAsia="Times New Roman" w:cstheme="minorHAnsi"/>
          <w:bCs/>
          <w:color w:val="000000"/>
          <w:spacing w:val="-3"/>
          <w:sz w:val="24"/>
          <w:szCs w:val="24"/>
        </w:rPr>
        <w:t>22</w:t>
      </w:r>
      <w:r w:rsidR="009D0856" w:rsidRPr="00F54559">
        <w:rPr>
          <w:rFonts w:eastAsia="Times New Roman" w:cstheme="minorHAnsi"/>
          <w:bCs/>
          <w:color w:val="000000"/>
          <w:spacing w:val="-3"/>
          <w:sz w:val="24"/>
          <w:szCs w:val="24"/>
        </w:rPr>
        <w:t xml:space="preserve"> </w:t>
      </w:r>
      <w:r w:rsidRPr="00F54559">
        <w:rPr>
          <w:rFonts w:eastAsia="Times New Roman" w:cstheme="minorHAnsi"/>
          <w:bCs/>
          <w:color w:val="000000"/>
          <w:spacing w:val="-3"/>
          <w:sz w:val="24"/>
          <w:szCs w:val="24"/>
        </w:rPr>
        <w:t>certain legal claims existed for which the probability or amount of payment could not be determined. The System, however, does not expect these amounts, if any, to be material to the financial statements.</w:t>
      </w:r>
    </w:p>
    <w:p w14:paraId="1BCC846C" w14:textId="77777777" w:rsidR="00DD1612" w:rsidRPr="00F54559" w:rsidRDefault="00DD1612" w:rsidP="00DD1612">
      <w:pPr>
        <w:tabs>
          <w:tab w:val="left" w:pos="720"/>
          <w:tab w:val="left" w:pos="1080"/>
          <w:tab w:val="center" w:pos="5112"/>
        </w:tabs>
        <w:suppressAutoHyphens/>
        <w:rPr>
          <w:rFonts w:eastAsia="Times New Roman" w:cstheme="minorHAnsi"/>
          <w:spacing w:val="-3"/>
          <w:sz w:val="20"/>
          <w:szCs w:val="20"/>
        </w:rPr>
      </w:pPr>
    </w:p>
    <w:p w14:paraId="1000D211" w14:textId="562E484F" w:rsidR="00DD1612" w:rsidRPr="00F54559" w:rsidRDefault="00DD1612" w:rsidP="00DD1612">
      <w:pPr>
        <w:tabs>
          <w:tab w:val="left" w:pos="720"/>
          <w:tab w:val="left" w:pos="1080"/>
          <w:tab w:val="center" w:pos="5112"/>
        </w:tabs>
        <w:suppressAutoHyphens/>
        <w:rPr>
          <w:rFonts w:eastAsia="Times New Roman" w:cstheme="minorHAnsi"/>
          <w:bCs/>
          <w:spacing w:val="-3"/>
          <w:sz w:val="20"/>
          <w:szCs w:val="24"/>
        </w:rPr>
      </w:pPr>
      <w:r w:rsidRPr="00F54559">
        <w:rPr>
          <w:rFonts w:eastAsia="Times New Roman" w:cstheme="minorHAnsi"/>
          <w:spacing w:val="-3"/>
          <w:sz w:val="24"/>
          <w:szCs w:val="20"/>
        </w:rPr>
        <w:t xml:space="preserve">At October 1, 2016, the System moved from a self-funded workers’ compensation model to commercial insurance. The liability for pre-existing unpaid claims is based on the requirements of GASB Statement No. 10, </w:t>
      </w:r>
      <w:r w:rsidRPr="00F54559">
        <w:rPr>
          <w:rFonts w:eastAsia="Times New Roman" w:cstheme="minorHAnsi"/>
          <w:i/>
          <w:spacing w:val="-3"/>
          <w:sz w:val="24"/>
          <w:szCs w:val="20"/>
        </w:rPr>
        <w:t>Accounting and Financial Reporting for Risk Financing and Related Insurance Issues,</w:t>
      </w:r>
      <w:r w:rsidRPr="00F54559">
        <w:rPr>
          <w:rFonts w:eastAsia="Times New Roman" w:cstheme="minorHAnsi"/>
          <w:spacing w:val="-3"/>
          <w:sz w:val="24"/>
          <w:szCs w:val="20"/>
        </w:rPr>
        <w:t xml:space="preserve"> which requires that a liability for claims be reported if information prior to the issuance of the financial statements indicates that it is probable that a liability has been incurred at the date of the financial statements and the amount of the loss can be reasonably estimated. The System’s estimated liability at June 30, </w:t>
      </w:r>
      <w:r w:rsidR="002B782E" w:rsidRPr="00F54559">
        <w:rPr>
          <w:rFonts w:eastAsia="Times New Roman" w:cstheme="minorHAnsi"/>
          <w:spacing w:val="-3"/>
          <w:sz w:val="24"/>
          <w:szCs w:val="20"/>
        </w:rPr>
        <w:t>20</w:t>
      </w:r>
      <w:r w:rsidR="002B782E">
        <w:rPr>
          <w:rFonts w:eastAsia="Times New Roman" w:cstheme="minorHAnsi"/>
          <w:spacing w:val="-3"/>
          <w:sz w:val="24"/>
          <w:szCs w:val="20"/>
        </w:rPr>
        <w:t>23</w:t>
      </w:r>
      <w:r w:rsidR="002B782E" w:rsidRPr="00F54559">
        <w:rPr>
          <w:rFonts w:eastAsia="Times New Roman" w:cstheme="minorHAnsi"/>
          <w:spacing w:val="-3"/>
          <w:sz w:val="24"/>
          <w:szCs w:val="20"/>
        </w:rPr>
        <w:t xml:space="preserve"> </w:t>
      </w:r>
      <w:r w:rsidRPr="00F54559">
        <w:rPr>
          <w:rFonts w:eastAsia="Times New Roman" w:cstheme="minorHAnsi"/>
          <w:spacing w:val="-3"/>
          <w:sz w:val="24"/>
          <w:szCs w:val="20"/>
        </w:rPr>
        <w:t xml:space="preserve">and </w:t>
      </w:r>
      <w:r w:rsidR="002B782E" w:rsidRPr="00F54559">
        <w:rPr>
          <w:rFonts w:eastAsia="Times New Roman" w:cstheme="minorHAnsi"/>
          <w:spacing w:val="-3"/>
          <w:sz w:val="24"/>
          <w:szCs w:val="20"/>
        </w:rPr>
        <w:t>20</w:t>
      </w:r>
      <w:r w:rsidR="002B782E">
        <w:rPr>
          <w:rFonts w:eastAsia="Times New Roman" w:cstheme="minorHAnsi"/>
          <w:spacing w:val="-3"/>
          <w:sz w:val="24"/>
          <w:szCs w:val="20"/>
        </w:rPr>
        <w:t>22</w:t>
      </w:r>
      <w:r w:rsidR="002B782E" w:rsidRPr="00F54559">
        <w:rPr>
          <w:rFonts w:eastAsia="Times New Roman" w:cstheme="minorHAnsi"/>
          <w:spacing w:val="-3"/>
          <w:sz w:val="24"/>
          <w:szCs w:val="20"/>
        </w:rPr>
        <w:t xml:space="preserve"> </w:t>
      </w:r>
      <w:r w:rsidRPr="00F54559">
        <w:rPr>
          <w:rFonts w:eastAsia="Times New Roman" w:cstheme="minorHAnsi"/>
          <w:spacing w:val="-3"/>
          <w:sz w:val="24"/>
          <w:szCs w:val="20"/>
        </w:rPr>
        <w:t>of $</w:t>
      </w:r>
      <w:r w:rsidR="002B782E" w:rsidRPr="0048737B">
        <w:rPr>
          <w:rFonts w:eastAsia="Times New Roman" w:cstheme="minorHAnsi"/>
          <w:spacing w:val="-3"/>
          <w:sz w:val="24"/>
          <w:szCs w:val="20"/>
        </w:rPr>
        <w:t>1,731</w:t>
      </w:r>
      <w:r w:rsidRPr="009948C6">
        <w:rPr>
          <w:rFonts w:eastAsia="Times New Roman" w:cstheme="minorHAnsi"/>
          <w:spacing w:val="-3"/>
          <w:sz w:val="24"/>
          <w:szCs w:val="20"/>
        </w:rPr>
        <w:t xml:space="preserve"> </w:t>
      </w:r>
      <w:r w:rsidRPr="00F54559">
        <w:rPr>
          <w:rFonts w:eastAsia="Times New Roman" w:cstheme="minorHAnsi"/>
          <w:spacing w:val="-3"/>
          <w:sz w:val="24"/>
          <w:szCs w:val="20"/>
        </w:rPr>
        <w:t>and $</w:t>
      </w:r>
      <w:r w:rsidR="002B782E" w:rsidRPr="002B782E">
        <w:rPr>
          <w:rFonts w:eastAsia="Times New Roman" w:cstheme="minorHAnsi"/>
          <w:spacing w:val="-3"/>
          <w:sz w:val="24"/>
          <w:szCs w:val="20"/>
        </w:rPr>
        <w:t>1,926</w:t>
      </w:r>
      <w:r w:rsidRPr="00F54559">
        <w:rPr>
          <w:rFonts w:eastAsia="Times New Roman" w:cstheme="minorHAnsi"/>
          <w:spacing w:val="-3"/>
          <w:sz w:val="24"/>
          <w:szCs w:val="20"/>
        </w:rPr>
        <w:t xml:space="preserve">, respectively, for pre-existing workers’ compensation claims is included in accrued liabilities in the </w:t>
      </w:r>
      <w:r w:rsidRPr="00F54559">
        <w:rPr>
          <w:rFonts w:eastAsia="Times New Roman" w:cstheme="minorHAnsi"/>
          <w:bCs/>
          <w:spacing w:val="-3"/>
          <w:sz w:val="24"/>
          <w:szCs w:val="24"/>
        </w:rPr>
        <w:t xml:space="preserve">accompanying Statements of Net Position (see Note 7). The System now purchases commercial workers’ compensation insurance which limits </w:t>
      </w:r>
      <w:r>
        <w:rPr>
          <w:rFonts w:eastAsia="Times New Roman" w:cstheme="minorHAnsi"/>
          <w:bCs/>
          <w:spacing w:val="-3"/>
          <w:sz w:val="24"/>
          <w:szCs w:val="24"/>
        </w:rPr>
        <w:t xml:space="preserve">UMS’ insurable </w:t>
      </w:r>
      <w:r w:rsidRPr="00F54559">
        <w:rPr>
          <w:rFonts w:eastAsia="Times New Roman" w:cstheme="minorHAnsi"/>
          <w:bCs/>
          <w:spacing w:val="-3"/>
          <w:sz w:val="24"/>
          <w:szCs w:val="24"/>
        </w:rPr>
        <w:t xml:space="preserve">exposure for any one incident </w:t>
      </w:r>
      <w:r w:rsidRPr="00160E4E">
        <w:rPr>
          <w:rFonts w:eastAsia="Times New Roman" w:cstheme="minorHAnsi"/>
          <w:bCs/>
          <w:spacing w:val="-3"/>
          <w:sz w:val="24"/>
          <w:szCs w:val="24"/>
        </w:rPr>
        <w:t>to $1.5</w:t>
      </w:r>
      <w:r>
        <w:rPr>
          <w:rFonts w:eastAsia="Times New Roman" w:cstheme="minorHAnsi"/>
          <w:bCs/>
          <w:spacing w:val="-3"/>
          <w:sz w:val="24"/>
          <w:szCs w:val="24"/>
        </w:rPr>
        <w:t>.</w:t>
      </w:r>
    </w:p>
    <w:p w14:paraId="0A879DD0" w14:textId="77777777" w:rsidR="00DD1612" w:rsidRPr="00F54559" w:rsidRDefault="00DD1612" w:rsidP="00DD1612">
      <w:pPr>
        <w:tabs>
          <w:tab w:val="left" w:pos="720"/>
          <w:tab w:val="center" w:pos="5112"/>
        </w:tabs>
        <w:suppressAutoHyphens/>
        <w:rPr>
          <w:rFonts w:eastAsia="Times New Roman" w:cstheme="minorHAnsi"/>
          <w:bCs/>
          <w:spacing w:val="-3"/>
          <w:sz w:val="20"/>
          <w:szCs w:val="24"/>
        </w:rPr>
      </w:pPr>
    </w:p>
    <w:p w14:paraId="0FBDDA8E" w14:textId="40C911DC" w:rsidR="00DD1612" w:rsidRDefault="00DD1612" w:rsidP="00DD1612">
      <w:pPr>
        <w:rPr>
          <w:rFonts w:cstheme="minorHAnsi"/>
          <w:spacing w:val="-3"/>
          <w:sz w:val="24"/>
        </w:rPr>
      </w:pPr>
      <w:r w:rsidRPr="00F54559">
        <w:rPr>
          <w:rFonts w:cstheme="minorHAnsi"/>
          <w:spacing w:val="-3"/>
          <w:sz w:val="24"/>
          <w:szCs w:val="20"/>
        </w:rPr>
        <w:t xml:space="preserve">The System’s active employee and under age 65 retiree health plans are self-funded with an </w:t>
      </w:r>
      <w:r w:rsidRPr="00160E4E">
        <w:rPr>
          <w:rFonts w:cstheme="minorHAnsi"/>
          <w:spacing w:val="-3"/>
          <w:sz w:val="24"/>
          <w:szCs w:val="20"/>
        </w:rPr>
        <w:t xml:space="preserve">Administrative Services Only agreement </w:t>
      </w:r>
      <w:r w:rsidR="00541C5C">
        <w:rPr>
          <w:rFonts w:cstheme="minorHAnsi"/>
          <w:spacing w:val="-3"/>
          <w:sz w:val="24"/>
          <w:szCs w:val="20"/>
        </w:rPr>
        <w:t>with a commercial carrier. </w:t>
      </w:r>
      <w:r w:rsidRPr="00F54559">
        <w:rPr>
          <w:rFonts w:cstheme="minorHAnsi"/>
          <w:bCs/>
          <w:sz w:val="24"/>
        </w:rPr>
        <w:t>The System purchases stop-loss insurance which limits the exposure to $</w:t>
      </w:r>
      <w:r w:rsidRPr="00160E4E">
        <w:rPr>
          <w:rFonts w:cstheme="minorHAnsi"/>
          <w:bCs/>
          <w:sz w:val="24"/>
        </w:rPr>
        <w:t xml:space="preserve">1,000 </w:t>
      </w:r>
      <w:r w:rsidRPr="00F54559">
        <w:rPr>
          <w:rFonts w:cstheme="minorHAnsi"/>
          <w:bCs/>
          <w:sz w:val="24"/>
        </w:rPr>
        <w:t>per individual.</w:t>
      </w:r>
      <w:r>
        <w:rPr>
          <w:rFonts w:cstheme="minorHAnsi"/>
          <w:spacing w:val="-3"/>
          <w:sz w:val="24"/>
          <w:szCs w:val="20"/>
        </w:rPr>
        <w:t xml:space="preserve"> For</w:t>
      </w:r>
      <w:r w:rsidRPr="00F54559">
        <w:rPr>
          <w:rFonts w:cstheme="minorHAnsi"/>
          <w:spacing w:val="-3"/>
          <w:sz w:val="24"/>
          <w:szCs w:val="20"/>
        </w:rPr>
        <w:t xml:space="preserve"> retiree</w:t>
      </w:r>
      <w:r>
        <w:rPr>
          <w:rFonts w:cstheme="minorHAnsi"/>
          <w:spacing w:val="-3"/>
          <w:sz w:val="24"/>
          <w:szCs w:val="20"/>
        </w:rPr>
        <w:t>s who are Medicare eligible, effective for calendar year 2021, t</w:t>
      </w:r>
      <w:r w:rsidRPr="00F54559">
        <w:rPr>
          <w:rFonts w:cstheme="minorHAnsi"/>
          <w:spacing w:val="-3"/>
          <w:sz w:val="24"/>
          <w:szCs w:val="20"/>
        </w:rPr>
        <w:t>he System</w:t>
      </w:r>
      <w:r>
        <w:rPr>
          <w:rFonts w:cstheme="minorHAnsi"/>
          <w:spacing w:val="-3"/>
          <w:sz w:val="24"/>
          <w:szCs w:val="20"/>
        </w:rPr>
        <w:t xml:space="preserve"> began offering two health plan options. The legacy option </w:t>
      </w:r>
      <w:r w:rsidRPr="00F54559">
        <w:rPr>
          <w:rFonts w:cstheme="minorHAnsi"/>
          <w:spacing w:val="-3"/>
          <w:sz w:val="24"/>
          <w:szCs w:val="20"/>
        </w:rPr>
        <w:t>is a fully insured Medicare Advantage Private Fee for Service program with a commercial carrier.</w:t>
      </w:r>
      <w:r>
        <w:rPr>
          <w:rFonts w:cstheme="minorHAnsi"/>
          <w:spacing w:val="-3"/>
          <w:sz w:val="24"/>
          <w:szCs w:val="20"/>
        </w:rPr>
        <w:t xml:space="preserve"> The new option is a </w:t>
      </w:r>
      <w:r>
        <w:rPr>
          <w:sz w:val="24"/>
          <w:szCs w:val="24"/>
        </w:rPr>
        <w:t>Medicare Exchange program</w:t>
      </w:r>
      <w:r w:rsidRPr="009C0A89">
        <w:rPr>
          <w:sz w:val="24"/>
          <w:szCs w:val="24"/>
        </w:rPr>
        <w:t xml:space="preserve"> </w:t>
      </w:r>
      <w:r>
        <w:rPr>
          <w:sz w:val="24"/>
          <w:szCs w:val="24"/>
        </w:rPr>
        <w:t xml:space="preserve">including a </w:t>
      </w:r>
      <w:r w:rsidRPr="009C0A89">
        <w:rPr>
          <w:sz w:val="24"/>
          <w:szCs w:val="24"/>
        </w:rPr>
        <w:t xml:space="preserve">funded Health Reimbursement </w:t>
      </w:r>
      <w:r>
        <w:rPr>
          <w:sz w:val="24"/>
          <w:szCs w:val="24"/>
        </w:rPr>
        <w:t>Account (HRA)</w:t>
      </w:r>
      <w:r w:rsidRPr="009C0A89">
        <w:rPr>
          <w:sz w:val="24"/>
          <w:szCs w:val="24"/>
        </w:rPr>
        <w:t>.</w:t>
      </w:r>
      <w:r>
        <w:rPr>
          <w:sz w:val="24"/>
          <w:szCs w:val="24"/>
        </w:rPr>
        <w:t xml:space="preserve"> </w:t>
      </w:r>
      <w:r w:rsidRPr="00F54559">
        <w:rPr>
          <w:rFonts w:cstheme="minorHAnsi"/>
          <w:spacing w:val="4"/>
          <w:sz w:val="24"/>
        </w:rPr>
        <w:t xml:space="preserve">As of June 30, </w:t>
      </w:r>
      <w:r w:rsidR="002B782E" w:rsidRPr="00F54559">
        <w:rPr>
          <w:rFonts w:cstheme="minorHAnsi"/>
          <w:spacing w:val="4"/>
          <w:sz w:val="24"/>
        </w:rPr>
        <w:t>20</w:t>
      </w:r>
      <w:r w:rsidR="002B782E">
        <w:rPr>
          <w:rFonts w:cstheme="minorHAnsi"/>
          <w:spacing w:val="4"/>
          <w:sz w:val="24"/>
        </w:rPr>
        <w:t>23</w:t>
      </w:r>
      <w:r w:rsidR="002B782E" w:rsidRPr="00F54559">
        <w:rPr>
          <w:rFonts w:cstheme="minorHAnsi"/>
          <w:spacing w:val="4"/>
          <w:sz w:val="24"/>
        </w:rPr>
        <w:t xml:space="preserve"> </w:t>
      </w:r>
      <w:r w:rsidRPr="00F54559">
        <w:rPr>
          <w:rFonts w:cstheme="minorHAnsi"/>
          <w:spacing w:val="4"/>
          <w:sz w:val="24"/>
        </w:rPr>
        <w:t xml:space="preserve">and </w:t>
      </w:r>
      <w:r w:rsidR="002B782E" w:rsidRPr="00F54559">
        <w:rPr>
          <w:rFonts w:cstheme="minorHAnsi"/>
          <w:spacing w:val="4"/>
          <w:sz w:val="24"/>
        </w:rPr>
        <w:t>20</w:t>
      </w:r>
      <w:r w:rsidR="002B782E">
        <w:rPr>
          <w:rFonts w:cstheme="minorHAnsi"/>
          <w:spacing w:val="4"/>
          <w:sz w:val="24"/>
        </w:rPr>
        <w:t>22</w:t>
      </w:r>
      <w:r w:rsidRPr="00F54559">
        <w:rPr>
          <w:rFonts w:cstheme="minorHAnsi"/>
          <w:spacing w:val="4"/>
          <w:sz w:val="24"/>
        </w:rPr>
        <w:t>, the</w:t>
      </w:r>
      <w:r>
        <w:rPr>
          <w:rFonts w:cstheme="minorHAnsi"/>
          <w:sz w:val="24"/>
        </w:rPr>
        <w:t xml:space="preserve"> </w:t>
      </w:r>
      <w:r>
        <w:rPr>
          <w:rFonts w:cstheme="minorHAnsi"/>
          <w:spacing w:val="-3"/>
          <w:sz w:val="24"/>
          <w:szCs w:val="20"/>
        </w:rPr>
        <w:t>e</w:t>
      </w:r>
      <w:r w:rsidRPr="00F54559">
        <w:rPr>
          <w:rFonts w:cstheme="minorHAnsi"/>
          <w:spacing w:val="-3"/>
          <w:sz w:val="24"/>
          <w:szCs w:val="20"/>
        </w:rPr>
        <w:t>stimated liability for claims incurred but not reported is included in total health insurance accrued liabilities in the</w:t>
      </w:r>
      <w:r>
        <w:rPr>
          <w:rFonts w:cstheme="minorHAnsi"/>
          <w:spacing w:val="-3"/>
          <w:sz w:val="24"/>
          <w:szCs w:val="20"/>
        </w:rPr>
        <w:t xml:space="preserve"> accompanying Statements of Net Position </w:t>
      </w:r>
      <w:r w:rsidRPr="00F54559">
        <w:rPr>
          <w:rFonts w:cstheme="minorHAnsi"/>
          <w:spacing w:val="-3"/>
          <w:sz w:val="24"/>
          <w:szCs w:val="20"/>
        </w:rPr>
        <w:t>(see Note 7</w:t>
      </w:r>
      <w:r w:rsidR="00D2519B">
        <w:rPr>
          <w:rFonts w:cstheme="minorHAnsi"/>
          <w:spacing w:val="-3"/>
          <w:sz w:val="24"/>
        </w:rPr>
        <w:t>).</w:t>
      </w:r>
    </w:p>
    <w:p w14:paraId="01763096" w14:textId="4137CF00" w:rsidR="00DD1612" w:rsidRPr="00095F21" w:rsidRDefault="00DD1612" w:rsidP="00DD1612">
      <w:pPr>
        <w:rPr>
          <w:rFonts w:eastAsiaTheme="majorEastAsia" w:cstheme="minorHAnsi"/>
          <w:b/>
          <w:i/>
          <w:iCs/>
          <w:smallCaps/>
          <w:noProof/>
          <w:color w:val="000000" w:themeColor="text1"/>
          <w:sz w:val="26"/>
          <w:szCs w:val="26"/>
          <w:u w:color="5B9BD5"/>
        </w:rPr>
      </w:pPr>
      <w:r w:rsidRPr="00095F21">
        <w:rPr>
          <w:rFonts w:eastAsiaTheme="majorEastAsia" w:cstheme="minorHAnsi"/>
          <w:b/>
          <w:i/>
          <w:iCs/>
          <w:smallCaps/>
          <w:noProof/>
          <w:color w:val="000000" w:themeColor="text1"/>
          <w:sz w:val="26"/>
          <w:szCs w:val="26"/>
          <w:u w:color="5B9BD5"/>
        </w:rPr>
        <w:lastRenderedPageBreak/>
        <w:t>11. COMMITMENTS</w:t>
      </w:r>
      <w:r w:rsidR="00541C5C" w:rsidRPr="00095F21">
        <w:rPr>
          <w:rFonts w:eastAsiaTheme="majorEastAsia" w:cstheme="minorHAnsi"/>
          <w:b/>
          <w:i/>
          <w:iCs/>
          <w:smallCaps/>
          <w:noProof/>
          <w:color w:val="000000" w:themeColor="text1"/>
          <w:sz w:val="26"/>
          <w:szCs w:val="26"/>
          <w:u w:color="5B9BD5"/>
        </w:rPr>
        <w:t xml:space="preserve"> AND CONTINGENCIES</w:t>
      </w:r>
      <w:r w:rsidRPr="00095F21">
        <w:rPr>
          <w:rFonts w:eastAsiaTheme="majorEastAsia" w:cstheme="minorHAnsi"/>
          <w:b/>
          <w:i/>
          <w:iCs/>
          <w:smallCaps/>
          <w:noProof/>
          <w:color w:val="000000" w:themeColor="text1"/>
          <w:sz w:val="26"/>
          <w:szCs w:val="26"/>
          <w:u w:color="5B9BD5"/>
        </w:rPr>
        <w:t xml:space="preserve"> - CONTINUED</w:t>
      </w:r>
    </w:p>
    <w:p w14:paraId="2E32AA68" w14:textId="77777777" w:rsidR="00DD1612" w:rsidRDefault="00DD1612" w:rsidP="00DD1612">
      <w:pPr>
        <w:tabs>
          <w:tab w:val="left" w:pos="1080"/>
          <w:tab w:val="right" w:pos="4262"/>
          <w:tab w:val="right" w:pos="5220"/>
          <w:tab w:val="right" w:pos="6691"/>
          <w:tab w:val="right" w:pos="7621"/>
          <w:tab w:val="right" w:pos="9630"/>
        </w:tabs>
        <w:suppressAutoHyphens/>
        <w:spacing w:before="240" w:after="240"/>
        <w:ind w:left="1080" w:hanging="1080"/>
        <w:rPr>
          <w:rFonts w:eastAsia="Times New Roman" w:cstheme="minorHAnsi"/>
          <w:bCs/>
          <w:color w:val="000000"/>
          <w:spacing w:val="-3"/>
          <w:sz w:val="24"/>
          <w:szCs w:val="20"/>
        </w:rPr>
      </w:pPr>
      <w:r w:rsidRPr="00F54559">
        <w:rPr>
          <w:rFonts w:eastAsia="Times New Roman" w:cstheme="minorHAnsi"/>
          <w:bCs/>
          <w:color w:val="000000"/>
          <w:spacing w:val="-3"/>
          <w:sz w:val="24"/>
          <w:szCs w:val="20"/>
        </w:rPr>
        <w:t xml:space="preserve">The System’s health insurance liability </w:t>
      </w:r>
      <w:proofErr w:type="gramStart"/>
      <w:r w:rsidRPr="00F54559">
        <w:rPr>
          <w:rFonts w:eastAsia="Times New Roman" w:cstheme="minorHAnsi"/>
          <w:bCs/>
          <w:color w:val="000000"/>
          <w:spacing w:val="-3"/>
          <w:sz w:val="24"/>
          <w:szCs w:val="20"/>
        </w:rPr>
        <w:t>at</w:t>
      </w:r>
      <w:proofErr w:type="gramEnd"/>
      <w:r w:rsidRPr="00F54559">
        <w:rPr>
          <w:rFonts w:eastAsia="Times New Roman" w:cstheme="minorHAnsi"/>
          <w:bCs/>
          <w:color w:val="000000"/>
          <w:spacing w:val="-3"/>
          <w:sz w:val="24"/>
          <w:szCs w:val="20"/>
        </w:rPr>
        <w:t xml:space="preserve"> June 30 consists of the following:</w:t>
      </w:r>
      <w:r>
        <w:rPr>
          <w:rFonts w:eastAsia="Times New Roman" w:cstheme="minorHAnsi"/>
          <w:bCs/>
          <w:color w:val="000000"/>
          <w:spacing w:val="-3"/>
          <w:sz w:val="24"/>
          <w:szCs w:val="20"/>
        </w:rPr>
        <w:fldChar w:fldCharType="begin"/>
      </w:r>
      <w:r>
        <w:rPr>
          <w:rFonts w:eastAsia="Times New Roman" w:cstheme="minorHAnsi"/>
          <w:bCs/>
          <w:color w:val="000000"/>
          <w:spacing w:val="-3"/>
          <w:sz w:val="24"/>
          <w:szCs w:val="20"/>
        </w:rPr>
        <w:fldChar w:fldCharType="end"/>
      </w:r>
    </w:p>
    <w:tbl>
      <w:tblPr>
        <w:tblW w:w="5969" w:type="dxa"/>
        <w:jc w:val="center"/>
        <w:tblLook w:val="04A0" w:firstRow="1" w:lastRow="0" w:firstColumn="1" w:lastColumn="0" w:noHBand="0" w:noVBand="1"/>
      </w:tblPr>
      <w:tblGrid>
        <w:gridCol w:w="3780"/>
        <w:gridCol w:w="1080"/>
        <w:gridCol w:w="1109"/>
      </w:tblGrid>
      <w:tr w:rsidR="00DD1612" w:rsidRPr="00F451CF" w14:paraId="1BBBA393" w14:textId="77777777" w:rsidTr="00C029A1">
        <w:trPr>
          <w:trHeight w:val="300"/>
          <w:tblHeader/>
          <w:jc w:val="center"/>
        </w:trPr>
        <w:tc>
          <w:tcPr>
            <w:tcW w:w="3780" w:type="dxa"/>
            <w:tcBorders>
              <w:top w:val="nil"/>
              <w:left w:val="nil"/>
              <w:bottom w:val="single" w:sz="12" w:space="0" w:color="00688D"/>
              <w:right w:val="nil"/>
            </w:tcBorders>
            <w:shd w:val="clear" w:color="000000" w:fill="FFFFFF"/>
            <w:noWrap/>
            <w:vAlign w:val="bottom"/>
            <w:hideMark/>
          </w:tcPr>
          <w:p w14:paraId="68C02F4C" w14:textId="77777777" w:rsidR="00DD1612" w:rsidRPr="001A18A6" w:rsidRDefault="00DD1612" w:rsidP="00BD375F">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 </w:t>
            </w:r>
          </w:p>
        </w:tc>
        <w:tc>
          <w:tcPr>
            <w:tcW w:w="1080" w:type="dxa"/>
            <w:tcBorders>
              <w:top w:val="nil"/>
              <w:left w:val="nil"/>
              <w:bottom w:val="single" w:sz="12" w:space="0" w:color="00688D"/>
              <w:right w:val="nil"/>
            </w:tcBorders>
            <w:shd w:val="clear" w:color="000000" w:fill="FFFFFF"/>
            <w:noWrap/>
            <w:vAlign w:val="bottom"/>
            <w:hideMark/>
          </w:tcPr>
          <w:p w14:paraId="2FE361F2" w14:textId="08A0E518" w:rsidR="00DD1612" w:rsidRPr="001A18A6" w:rsidRDefault="00B966C1" w:rsidP="003977A2">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202</w:t>
            </w:r>
            <w:r>
              <w:rPr>
                <w:rFonts w:ascii="Calibri" w:eastAsia="Times New Roman" w:hAnsi="Calibri" w:cs="Calibri"/>
                <w:b/>
                <w:bCs/>
                <w:color w:val="0D0D0D" w:themeColor="text1" w:themeTint="F2"/>
              </w:rPr>
              <w:t>3</w:t>
            </w:r>
          </w:p>
        </w:tc>
        <w:tc>
          <w:tcPr>
            <w:tcW w:w="1109" w:type="dxa"/>
            <w:tcBorders>
              <w:top w:val="nil"/>
              <w:left w:val="nil"/>
              <w:bottom w:val="single" w:sz="12" w:space="0" w:color="00688D"/>
              <w:right w:val="nil"/>
            </w:tcBorders>
            <w:shd w:val="clear" w:color="auto" w:fill="F2F2F2" w:themeFill="background1" w:themeFillShade="F2"/>
            <w:noWrap/>
            <w:vAlign w:val="bottom"/>
            <w:hideMark/>
          </w:tcPr>
          <w:p w14:paraId="41314F4A" w14:textId="24E4D299" w:rsidR="00DD1612" w:rsidRPr="001A18A6" w:rsidRDefault="00B966C1">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w:t>
            </w:r>
            <w:r>
              <w:rPr>
                <w:rFonts w:ascii="Calibri" w:eastAsia="Times New Roman" w:hAnsi="Calibri" w:cs="Calibri"/>
                <w:b/>
                <w:bCs/>
                <w:color w:val="0D0D0D" w:themeColor="text1" w:themeTint="F2"/>
              </w:rPr>
              <w:t>22</w:t>
            </w:r>
          </w:p>
        </w:tc>
      </w:tr>
      <w:tr w:rsidR="00B966C1" w:rsidRPr="00F451CF" w14:paraId="61C2B8FE" w14:textId="77777777" w:rsidTr="0048737B">
        <w:trPr>
          <w:trHeight w:val="300"/>
          <w:jc w:val="center"/>
        </w:trPr>
        <w:tc>
          <w:tcPr>
            <w:tcW w:w="3780" w:type="dxa"/>
            <w:tcBorders>
              <w:top w:val="nil"/>
              <w:left w:val="nil"/>
              <w:bottom w:val="nil"/>
              <w:right w:val="nil"/>
            </w:tcBorders>
            <w:shd w:val="clear" w:color="000000" w:fill="FFFFFF"/>
            <w:noWrap/>
            <w:vAlign w:val="bottom"/>
            <w:hideMark/>
          </w:tcPr>
          <w:p w14:paraId="087F0224" w14:textId="77777777" w:rsidR="00B966C1" w:rsidRPr="001A18A6" w:rsidRDefault="00B966C1" w:rsidP="00B966C1">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Claims incurred but not reported</w:t>
            </w:r>
          </w:p>
        </w:tc>
        <w:tc>
          <w:tcPr>
            <w:tcW w:w="1080" w:type="dxa"/>
            <w:tcBorders>
              <w:top w:val="nil"/>
              <w:left w:val="nil"/>
              <w:bottom w:val="nil"/>
              <w:right w:val="nil"/>
            </w:tcBorders>
            <w:shd w:val="clear" w:color="000000" w:fill="FFFFFF"/>
            <w:noWrap/>
            <w:vAlign w:val="bottom"/>
            <w:hideMark/>
          </w:tcPr>
          <w:p w14:paraId="0B81DA5A" w14:textId="1DEF35C7" w:rsidR="00B966C1" w:rsidRPr="0048737B" w:rsidRDefault="00B966C1" w:rsidP="001C4EE9">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w:t>
            </w:r>
            <w:r w:rsidR="00D81B2A" w:rsidRPr="0048737B">
              <w:rPr>
                <w:rFonts w:ascii="Calibri" w:eastAsia="Times New Roman" w:hAnsi="Calibri" w:cs="Calibri"/>
                <w:color w:val="000000" w:themeColor="text1"/>
              </w:rPr>
              <w:t>5,</w:t>
            </w:r>
            <w:r w:rsidR="001C4EE9" w:rsidRPr="0048737B">
              <w:rPr>
                <w:rFonts w:ascii="Calibri" w:eastAsia="Times New Roman" w:hAnsi="Calibri" w:cs="Calibri"/>
                <w:color w:val="000000" w:themeColor="text1"/>
              </w:rPr>
              <w:t>81</w:t>
            </w:r>
            <w:r w:rsidR="001C4EE9">
              <w:rPr>
                <w:rFonts w:ascii="Calibri" w:eastAsia="Times New Roman" w:hAnsi="Calibri" w:cs="Calibri"/>
                <w:color w:val="000000" w:themeColor="text1"/>
              </w:rPr>
              <w:t>6</w:t>
            </w:r>
          </w:p>
        </w:tc>
        <w:tc>
          <w:tcPr>
            <w:tcW w:w="1109" w:type="dxa"/>
            <w:tcBorders>
              <w:top w:val="nil"/>
              <w:left w:val="nil"/>
              <w:bottom w:val="nil"/>
              <w:right w:val="nil"/>
            </w:tcBorders>
            <w:shd w:val="clear" w:color="auto" w:fill="F2F2F2" w:themeFill="background1" w:themeFillShade="F2"/>
            <w:noWrap/>
            <w:vAlign w:val="bottom"/>
            <w:hideMark/>
          </w:tcPr>
          <w:p w14:paraId="0FA255D0" w14:textId="69701244" w:rsidR="00B966C1" w:rsidRPr="001A18A6" w:rsidRDefault="00B966C1" w:rsidP="00B966C1">
            <w:pPr>
              <w:jc w:val="right"/>
              <w:rPr>
                <w:rFonts w:ascii="Calibri" w:eastAsia="Times New Roman" w:hAnsi="Calibri" w:cs="Calibri"/>
                <w:color w:val="0D0D0D" w:themeColor="text1" w:themeTint="F2"/>
              </w:rPr>
            </w:pPr>
            <w:r w:rsidRPr="00920485">
              <w:rPr>
                <w:rFonts w:ascii="Calibri" w:eastAsia="Times New Roman" w:hAnsi="Calibri" w:cs="Calibri"/>
              </w:rPr>
              <w:t>$</w:t>
            </w:r>
            <w:r>
              <w:rPr>
                <w:rFonts w:ascii="Calibri" w:eastAsia="Times New Roman" w:hAnsi="Calibri" w:cs="Calibri"/>
              </w:rPr>
              <w:t>5,418</w:t>
            </w:r>
          </w:p>
        </w:tc>
      </w:tr>
      <w:tr w:rsidR="00B966C1" w:rsidRPr="00F451CF" w14:paraId="52C8082D" w14:textId="77777777" w:rsidTr="0048737B">
        <w:trPr>
          <w:trHeight w:val="288"/>
          <w:jc w:val="center"/>
        </w:trPr>
        <w:tc>
          <w:tcPr>
            <w:tcW w:w="3780" w:type="dxa"/>
            <w:tcBorders>
              <w:top w:val="nil"/>
              <w:left w:val="nil"/>
              <w:bottom w:val="nil"/>
              <w:right w:val="nil"/>
            </w:tcBorders>
            <w:shd w:val="clear" w:color="000000" w:fill="FFFFFF"/>
            <w:noWrap/>
            <w:hideMark/>
          </w:tcPr>
          <w:p w14:paraId="063FDD77" w14:textId="77777777" w:rsidR="00B966C1" w:rsidRPr="001A18A6" w:rsidRDefault="00B966C1" w:rsidP="00B966C1">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Reported claims</w:t>
            </w:r>
          </w:p>
        </w:tc>
        <w:tc>
          <w:tcPr>
            <w:tcW w:w="1080" w:type="dxa"/>
            <w:tcBorders>
              <w:top w:val="nil"/>
              <w:left w:val="nil"/>
              <w:bottom w:val="nil"/>
              <w:right w:val="nil"/>
            </w:tcBorders>
            <w:shd w:val="clear" w:color="000000" w:fill="FFFFFF"/>
            <w:noWrap/>
            <w:hideMark/>
          </w:tcPr>
          <w:p w14:paraId="5B1FD500" w14:textId="541A65D3" w:rsidR="00B966C1" w:rsidRPr="0048737B" w:rsidRDefault="00D81B2A" w:rsidP="00B966C1">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826</w:t>
            </w:r>
          </w:p>
        </w:tc>
        <w:tc>
          <w:tcPr>
            <w:tcW w:w="1109" w:type="dxa"/>
            <w:tcBorders>
              <w:top w:val="nil"/>
              <w:left w:val="nil"/>
              <w:bottom w:val="nil"/>
              <w:right w:val="nil"/>
            </w:tcBorders>
            <w:shd w:val="clear" w:color="auto" w:fill="F2F2F2" w:themeFill="background1" w:themeFillShade="F2"/>
            <w:noWrap/>
            <w:hideMark/>
          </w:tcPr>
          <w:p w14:paraId="6F3B58BC" w14:textId="171EE27E" w:rsidR="00B966C1" w:rsidRPr="001A18A6" w:rsidRDefault="00B966C1" w:rsidP="00B966C1">
            <w:pPr>
              <w:jc w:val="right"/>
              <w:rPr>
                <w:rFonts w:ascii="Calibri" w:eastAsia="Times New Roman" w:hAnsi="Calibri" w:cs="Calibri"/>
                <w:color w:val="0D0D0D" w:themeColor="text1" w:themeTint="F2"/>
              </w:rPr>
            </w:pPr>
            <w:r>
              <w:rPr>
                <w:rFonts w:ascii="Calibri" w:eastAsia="Times New Roman" w:hAnsi="Calibri" w:cs="Calibri"/>
              </w:rPr>
              <w:t>964</w:t>
            </w:r>
          </w:p>
        </w:tc>
      </w:tr>
      <w:tr w:rsidR="00B966C1" w:rsidRPr="00F451CF" w14:paraId="4637E9FF" w14:textId="77777777" w:rsidTr="0048737B">
        <w:trPr>
          <w:trHeight w:val="300"/>
          <w:jc w:val="center"/>
        </w:trPr>
        <w:tc>
          <w:tcPr>
            <w:tcW w:w="3780" w:type="dxa"/>
            <w:tcBorders>
              <w:top w:val="single" w:sz="4" w:space="0" w:color="00688D"/>
              <w:left w:val="nil"/>
              <w:bottom w:val="double" w:sz="6" w:space="0" w:color="00688D"/>
              <w:right w:val="nil"/>
            </w:tcBorders>
            <w:shd w:val="clear" w:color="000000" w:fill="FFFFFF"/>
            <w:noWrap/>
            <w:vAlign w:val="bottom"/>
            <w:hideMark/>
          </w:tcPr>
          <w:p w14:paraId="5EEE8521" w14:textId="77777777" w:rsidR="00B966C1" w:rsidRPr="001A18A6" w:rsidRDefault="00B966C1" w:rsidP="00B966C1">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 xml:space="preserve">Total health insurance liability </w:t>
            </w:r>
            <w:r w:rsidRPr="001A18A6">
              <w:rPr>
                <w:rFonts w:ascii="Calibri" w:eastAsia="Times New Roman" w:hAnsi="Calibri" w:cs="Calibri"/>
                <w:i/>
                <w:iCs/>
                <w:color w:val="0D0D0D" w:themeColor="text1" w:themeTint="F2"/>
              </w:rPr>
              <w:t>(Note 7)</w:t>
            </w:r>
          </w:p>
        </w:tc>
        <w:tc>
          <w:tcPr>
            <w:tcW w:w="1080" w:type="dxa"/>
            <w:tcBorders>
              <w:top w:val="single" w:sz="4" w:space="0" w:color="00688D"/>
              <w:left w:val="nil"/>
              <w:bottom w:val="double" w:sz="6" w:space="0" w:color="00688D"/>
              <w:right w:val="nil"/>
            </w:tcBorders>
            <w:shd w:val="clear" w:color="000000" w:fill="FFFFFF"/>
            <w:noWrap/>
            <w:vAlign w:val="bottom"/>
            <w:hideMark/>
          </w:tcPr>
          <w:p w14:paraId="7F763A92" w14:textId="7CEED3E1" w:rsidR="00B966C1" w:rsidRPr="0048737B" w:rsidRDefault="00B966C1" w:rsidP="001C4EE9">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$6,</w:t>
            </w:r>
            <w:r w:rsidR="001C4EE9" w:rsidRPr="0048737B">
              <w:rPr>
                <w:rFonts w:ascii="Calibri" w:eastAsia="Times New Roman" w:hAnsi="Calibri" w:cs="Calibri"/>
                <w:color w:val="000000" w:themeColor="text1"/>
              </w:rPr>
              <w:t>64</w:t>
            </w:r>
            <w:r w:rsidR="001C4EE9">
              <w:rPr>
                <w:rFonts w:ascii="Calibri" w:eastAsia="Times New Roman" w:hAnsi="Calibri" w:cs="Calibri"/>
                <w:color w:val="000000" w:themeColor="text1"/>
              </w:rPr>
              <w:t>2</w:t>
            </w:r>
          </w:p>
        </w:tc>
        <w:tc>
          <w:tcPr>
            <w:tcW w:w="1109"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75B1EF58" w14:textId="70765A0C" w:rsidR="00B966C1" w:rsidRPr="001A18A6" w:rsidRDefault="00B966C1" w:rsidP="00B966C1">
            <w:pPr>
              <w:jc w:val="right"/>
              <w:rPr>
                <w:rFonts w:ascii="Calibri" w:eastAsia="Times New Roman" w:hAnsi="Calibri" w:cs="Calibri"/>
                <w:color w:val="0D0D0D" w:themeColor="text1" w:themeTint="F2"/>
              </w:rPr>
            </w:pPr>
            <w:r w:rsidRPr="00920485">
              <w:rPr>
                <w:rFonts w:ascii="Calibri" w:eastAsia="Times New Roman" w:hAnsi="Calibri" w:cs="Calibri"/>
              </w:rPr>
              <w:t>$</w:t>
            </w:r>
            <w:r w:rsidRPr="00B861F2">
              <w:rPr>
                <w:rFonts w:ascii="Calibri" w:eastAsia="Times New Roman" w:hAnsi="Calibri" w:cs="Calibri"/>
              </w:rPr>
              <w:t>6,382</w:t>
            </w:r>
          </w:p>
        </w:tc>
      </w:tr>
    </w:tbl>
    <w:p w14:paraId="6A18AC2F" w14:textId="77777777" w:rsidR="00DD1612" w:rsidRPr="00404A7A" w:rsidRDefault="00DD1612" w:rsidP="00DD1612">
      <w:pPr>
        <w:rPr>
          <w:rFonts w:eastAsiaTheme="majorEastAsia" w:cstheme="minorHAnsi"/>
          <w:iCs/>
          <w:smallCaps/>
          <w:noProof/>
          <w:color w:val="000000" w:themeColor="text1"/>
          <w:sz w:val="26"/>
          <w:szCs w:val="26"/>
          <w:u w:color="5B9BD5"/>
        </w:rPr>
      </w:pPr>
    </w:p>
    <w:p w14:paraId="4F926B07" w14:textId="66F0E90A" w:rsidR="00DD1612" w:rsidRDefault="00DD1612" w:rsidP="00DD1612">
      <w:pPr>
        <w:rPr>
          <w:rFonts w:cstheme="minorHAnsi"/>
          <w:spacing w:val="-3"/>
          <w:sz w:val="24"/>
          <w:szCs w:val="20"/>
        </w:rPr>
      </w:pPr>
      <w:r w:rsidRPr="00F54559">
        <w:rPr>
          <w:rFonts w:eastAsia="Times New Roman" w:cstheme="minorHAnsi"/>
          <w:bCs/>
          <w:color w:val="000000"/>
          <w:spacing w:val="-3"/>
          <w:sz w:val="24"/>
          <w:szCs w:val="24"/>
        </w:rPr>
        <w:t>Related to the System’s self-insured health plan, certain collective bargaining agreements with System employees provide for a health insurance ‘premium rebate’ in the event that the total aggregate premium amount for the applicable two-year period (the “calculation period”) exceeds, by a stated percentage, the total aggregate costs paid for claims and other</w:t>
      </w:r>
      <w:r w:rsidR="00541C5C">
        <w:rPr>
          <w:rFonts w:eastAsia="Times New Roman" w:cstheme="minorHAnsi"/>
          <w:bCs/>
          <w:color w:val="000000"/>
          <w:spacing w:val="-3"/>
          <w:sz w:val="24"/>
          <w:szCs w:val="24"/>
        </w:rPr>
        <w:t xml:space="preserve"> expenses for the same period. </w:t>
      </w:r>
      <w:r w:rsidRPr="00F54559">
        <w:rPr>
          <w:rFonts w:eastAsia="Times New Roman" w:cstheme="minorHAnsi"/>
          <w:bCs/>
          <w:color w:val="000000"/>
          <w:spacing w:val="-3"/>
          <w:sz w:val="24"/>
          <w:szCs w:val="24"/>
        </w:rPr>
        <w:t xml:space="preserve">Throughout each calculation period, the System receives periodic reports on how actual costs are trending in relation to the premiums; however, probability of a rebate cannot be determined </w:t>
      </w:r>
      <w:r>
        <w:rPr>
          <w:rFonts w:eastAsia="Times New Roman" w:cstheme="minorHAnsi"/>
          <w:bCs/>
          <w:color w:val="000000"/>
          <w:spacing w:val="-3"/>
          <w:sz w:val="24"/>
          <w:szCs w:val="24"/>
        </w:rPr>
        <w:t>until</w:t>
      </w:r>
      <w:r w:rsidRPr="00F54559">
        <w:rPr>
          <w:rFonts w:eastAsia="Times New Roman" w:cstheme="minorHAnsi"/>
          <w:bCs/>
          <w:color w:val="000000"/>
          <w:spacing w:val="-3"/>
          <w:sz w:val="24"/>
          <w:szCs w:val="24"/>
        </w:rPr>
        <w:t xml:space="preserve"> the end of the calculation period</w:t>
      </w:r>
      <w:r>
        <w:rPr>
          <w:rFonts w:eastAsia="Times New Roman" w:cstheme="minorHAnsi"/>
          <w:bCs/>
          <w:color w:val="000000"/>
          <w:spacing w:val="-3"/>
          <w:sz w:val="24"/>
          <w:szCs w:val="24"/>
        </w:rPr>
        <w:t xml:space="preserve">, which </w:t>
      </w:r>
      <w:r w:rsidR="00AC14F2">
        <w:rPr>
          <w:rFonts w:eastAsia="Times New Roman" w:cstheme="minorHAnsi"/>
          <w:bCs/>
          <w:color w:val="000000"/>
          <w:spacing w:val="-3"/>
          <w:sz w:val="24"/>
          <w:szCs w:val="24"/>
        </w:rPr>
        <w:t>wa</w:t>
      </w:r>
      <w:r>
        <w:rPr>
          <w:rFonts w:eastAsia="Times New Roman" w:cstheme="minorHAnsi"/>
          <w:bCs/>
          <w:color w:val="000000"/>
          <w:spacing w:val="-3"/>
          <w:sz w:val="24"/>
          <w:szCs w:val="24"/>
        </w:rPr>
        <w:t xml:space="preserve">s </w:t>
      </w:r>
      <w:r w:rsidRPr="00B861F2">
        <w:rPr>
          <w:rFonts w:eastAsia="Times New Roman" w:cstheme="minorHAnsi"/>
          <w:bCs/>
          <w:spacing w:val="-3"/>
          <w:sz w:val="24"/>
          <w:szCs w:val="24"/>
        </w:rPr>
        <w:t>December 31, 2022</w:t>
      </w:r>
      <w:r w:rsidR="00541C5C">
        <w:rPr>
          <w:rFonts w:eastAsia="Times New Roman" w:cstheme="minorHAnsi"/>
          <w:bCs/>
          <w:spacing w:val="-3"/>
          <w:sz w:val="24"/>
          <w:szCs w:val="24"/>
        </w:rPr>
        <w:t>.</w:t>
      </w:r>
      <w:r w:rsidRPr="005E1CE8">
        <w:rPr>
          <w:rFonts w:eastAsia="Times New Roman" w:cstheme="minorHAnsi"/>
          <w:bCs/>
          <w:spacing w:val="-3"/>
          <w:sz w:val="24"/>
          <w:szCs w:val="24"/>
        </w:rPr>
        <w:t xml:space="preserve"> As of June 30, </w:t>
      </w:r>
      <w:r w:rsidR="00AB04F4" w:rsidRPr="005E1CE8">
        <w:rPr>
          <w:rFonts w:eastAsia="Times New Roman" w:cstheme="minorHAnsi"/>
          <w:bCs/>
          <w:spacing w:val="-3"/>
          <w:sz w:val="24"/>
          <w:szCs w:val="24"/>
        </w:rPr>
        <w:t>202</w:t>
      </w:r>
      <w:r w:rsidR="00AB04F4">
        <w:rPr>
          <w:rFonts w:eastAsia="Times New Roman" w:cstheme="minorHAnsi"/>
          <w:bCs/>
          <w:spacing w:val="-3"/>
          <w:sz w:val="24"/>
          <w:szCs w:val="24"/>
        </w:rPr>
        <w:t>3</w:t>
      </w:r>
      <w:r w:rsidR="00AB04F4" w:rsidRPr="005E1CE8">
        <w:rPr>
          <w:rFonts w:eastAsia="Times New Roman" w:cstheme="minorHAnsi"/>
          <w:bCs/>
          <w:spacing w:val="-3"/>
          <w:sz w:val="24"/>
          <w:szCs w:val="24"/>
        </w:rPr>
        <w:t xml:space="preserve"> </w:t>
      </w:r>
      <w:r w:rsidRPr="005E1CE8">
        <w:rPr>
          <w:rFonts w:eastAsia="Times New Roman" w:cstheme="minorHAnsi"/>
          <w:bCs/>
          <w:spacing w:val="-3"/>
          <w:sz w:val="24"/>
          <w:szCs w:val="24"/>
        </w:rPr>
        <w:t xml:space="preserve">and </w:t>
      </w:r>
      <w:r w:rsidR="00AB04F4" w:rsidRPr="005E1CE8">
        <w:rPr>
          <w:rFonts w:eastAsia="Times New Roman" w:cstheme="minorHAnsi"/>
          <w:bCs/>
          <w:spacing w:val="-3"/>
          <w:sz w:val="24"/>
          <w:szCs w:val="24"/>
        </w:rPr>
        <w:t>202</w:t>
      </w:r>
      <w:r w:rsidR="00AB04F4">
        <w:rPr>
          <w:rFonts w:eastAsia="Times New Roman" w:cstheme="minorHAnsi"/>
          <w:bCs/>
          <w:spacing w:val="-3"/>
          <w:sz w:val="24"/>
          <w:szCs w:val="24"/>
        </w:rPr>
        <w:t>2</w:t>
      </w:r>
      <w:r w:rsidR="00AB04F4" w:rsidRPr="005E1CE8">
        <w:rPr>
          <w:rFonts w:eastAsia="Times New Roman" w:cstheme="minorHAnsi"/>
          <w:bCs/>
          <w:spacing w:val="-3"/>
          <w:sz w:val="24"/>
          <w:szCs w:val="24"/>
        </w:rPr>
        <w:t xml:space="preserve"> </w:t>
      </w:r>
      <w:r w:rsidRPr="005E1CE8">
        <w:rPr>
          <w:rFonts w:eastAsia="Times New Roman" w:cstheme="minorHAnsi"/>
          <w:bCs/>
          <w:spacing w:val="-3"/>
          <w:sz w:val="24"/>
          <w:szCs w:val="24"/>
        </w:rPr>
        <w:t>the estimated liability for the premium rebate of $</w:t>
      </w:r>
      <w:r w:rsidR="000600E7" w:rsidRPr="0048737B">
        <w:rPr>
          <w:rFonts w:eastAsia="Times New Roman" w:cstheme="minorHAnsi"/>
          <w:bCs/>
          <w:spacing w:val="-3"/>
          <w:sz w:val="24"/>
          <w:szCs w:val="24"/>
        </w:rPr>
        <w:t>1,321</w:t>
      </w:r>
      <w:r w:rsidR="000600E7" w:rsidRPr="004C0939">
        <w:rPr>
          <w:rFonts w:eastAsia="Times New Roman" w:cstheme="minorHAnsi"/>
          <w:bCs/>
          <w:spacing w:val="-3"/>
          <w:sz w:val="24"/>
          <w:szCs w:val="24"/>
        </w:rPr>
        <w:t xml:space="preserve"> </w:t>
      </w:r>
      <w:r w:rsidRPr="005E1CE8">
        <w:rPr>
          <w:rFonts w:eastAsia="Times New Roman" w:cstheme="minorHAnsi"/>
          <w:bCs/>
          <w:spacing w:val="-3"/>
          <w:sz w:val="24"/>
          <w:szCs w:val="24"/>
        </w:rPr>
        <w:t>and $</w:t>
      </w:r>
      <w:r w:rsidR="00AB04F4" w:rsidRPr="005E1CE8">
        <w:rPr>
          <w:rFonts w:eastAsia="Times New Roman" w:cstheme="minorHAnsi"/>
          <w:bCs/>
          <w:spacing w:val="-3"/>
          <w:sz w:val="24"/>
          <w:szCs w:val="24"/>
        </w:rPr>
        <w:t>0</w:t>
      </w:r>
      <w:r w:rsidRPr="005E1CE8">
        <w:rPr>
          <w:rFonts w:eastAsia="Times New Roman" w:cstheme="minorHAnsi"/>
          <w:bCs/>
          <w:spacing w:val="-3"/>
          <w:sz w:val="24"/>
          <w:szCs w:val="24"/>
        </w:rPr>
        <w:t xml:space="preserve">, respectively, </w:t>
      </w:r>
      <w:r>
        <w:rPr>
          <w:rFonts w:eastAsia="Times New Roman" w:cstheme="minorHAnsi"/>
          <w:bCs/>
          <w:spacing w:val="-3"/>
          <w:sz w:val="24"/>
          <w:szCs w:val="24"/>
        </w:rPr>
        <w:t>has been</w:t>
      </w:r>
      <w:r w:rsidRPr="000B34B4">
        <w:rPr>
          <w:rFonts w:eastAsia="Times New Roman" w:cstheme="minorHAnsi"/>
          <w:bCs/>
          <w:spacing w:val="-3"/>
          <w:sz w:val="24"/>
          <w:szCs w:val="24"/>
        </w:rPr>
        <w:t xml:space="preserve"> included</w:t>
      </w:r>
      <w:r>
        <w:rPr>
          <w:rFonts w:eastAsia="Times New Roman" w:cstheme="minorHAnsi"/>
          <w:bCs/>
          <w:spacing w:val="-3"/>
          <w:sz w:val="24"/>
          <w:szCs w:val="24"/>
        </w:rPr>
        <w:t xml:space="preserve"> </w:t>
      </w:r>
      <w:r w:rsidRPr="00F54559">
        <w:rPr>
          <w:rFonts w:cstheme="minorHAnsi"/>
          <w:spacing w:val="-3"/>
          <w:sz w:val="24"/>
          <w:szCs w:val="20"/>
        </w:rPr>
        <w:t>in the</w:t>
      </w:r>
      <w:r>
        <w:rPr>
          <w:rFonts w:cstheme="minorHAnsi"/>
          <w:spacing w:val="-3"/>
          <w:sz w:val="24"/>
          <w:szCs w:val="20"/>
        </w:rPr>
        <w:t xml:space="preserve"> accompanying Statements of Net Position </w:t>
      </w:r>
      <w:r>
        <w:rPr>
          <w:rFonts w:eastAsia="Times New Roman" w:cstheme="minorHAnsi"/>
          <w:bCs/>
          <w:spacing w:val="-3"/>
          <w:sz w:val="24"/>
          <w:szCs w:val="24"/>
        </w:rPr>
        <w:t>as a current liability</w:t>
      </w:r>
      <w:r>
        <w:rPr>
          <w:rFonts w:cstheme="minorHAnsi"/>
          <w:spacing w:val="-3"/>
          <w:sz w:val="24"/>
          <w:szCs w:val="20"/>
        </w:rPr>
        <w:t>.</w:t>
      </w:r>
    </w:p>
    <w:p w14:paraId="34BD5815" w14:textId="77777777" w:rsidR="00AD72AB" w:rsidRPr="00AD72AB" w:rsidRDefault="00AD72AB" w:rsidP="00AD72AB">
      <w:pPr>
        <w:spacing w:before="240" w:after="120"/>
        <w:rPr>
          <w:rFonts w:cstheme="minorHAnsi"/>
          <w:b/>
          <w:i/>
          <w:sz w:val="26"/>
          <w:u w:val="single" w:color="000000" w:themeColor="text1"/>
        </w:rPr>
      </w:pPr>
      <w:r>
        <w:rPr>
          <w:rFonts w:cstheme="minorHAnsi"/>
          <w:b/>
          <w:i/>
          <w:sz w:val="26"/>
          <w:u w:val="single" w:color="000000" w:themeColor="text1"/>
        </w:rPr>
        <w:t>c</w:t>
      </w:r>
      <w:r w:rsidRPr="00AD72AB">
        <w:rPr>
          <w:rFonts w:cstheme="minorHAnsi"/>
          <w:b/>
          <w:i/>
          <w:sz w:val="26"/>
          <w:u w:val="single" w:color="000000" w:themeColor="text1"/>
        </w:rPr>
        <w:t xml:space="preserve">. </w:t>
      </w:r>
      <w:r>
        <w:rPr>
          <w:rFonts w:cstheme="minorHAnsi"/>
          <w:b/>
          <w:i/>
          <w:sz w:val="26"/>
          <w:u w:val="single" w:color="000000" w:themeColor="text1"/>
        </w:rPr>
        <w:t>Litigation</w:t>
      </w:r>
    </w:p>
    <w:p w14:paraId="5EE8DAC5" w14:textId="790E11A3" w:rsidR="00AD72AB" w:rsidRPr="00AD72AB" w:rsidRDefault="00AD72AB" w:rsidP="00AD72AB">
      <w:pPr>
        <w:rPr>
          <w:rFonts w:cstheme="minorHAnsi"/>
          <w:spacing w:val="-3"/>
          <w:sz w:val="24"/>
          <w:szCs w:val="20"/>
        </w:rPr>
      </w:pPr>
      <w:r w:rsidRPr="00AD72AB">
        <w:rPr>
          <w:rFonts w:cstheme="minorHAnsi"/>
          <w:spacing w:val="-3"/>
          <w:sz w:val="24"/>
          <w:szCs w:val="20"/>
        </w:rPr>
        <w:t>The System has been named as defendant in several lawsuits in the normal course of business, the outcomes of which are uncertain. It is anticipated by System</w:t>
      </w:r>
      <w:r>
        <w:rPr>
          <w:rFonts w:cstheme="minorHAnsi"/>
          <w:spacing w:val="-3"/>
          <w:sz w:val="24"/>
          <w:szCs w:val="20"/>
        </w:rPr>
        <w:t xml:space="preserve"> management</w:t>
      </w:r>
      <w:r w:rsidRPr="00AD72AB">
        <w:rPr>
          <w:rFonts w:cstheme="minorHAnsi"/>
          <w:spacing w:val="-3"/>
          <w:sz w:val="24"/>
          <w:szCs w:val="20"/>
        </w:rPr>
        <w:t xml:space="preserve"> that an adverse decision on any or </w:t>
      </w:r>
      <w:proofErr w:type="gramStart"/>
      <w:r w:rsidRPr="00AD72AB">
        <w:rPr>
          <w:rFonts w:cstheme="minorHAnsi"/>
          <w:spacing w:val="-3"/>
          <w:sz w:val="24"/>
          <w:szCs w:val="20"/>
        </w:rPr>
        <w:t>all of</w:t>
      </w:r>
      <w:proofErr w:type="gramEnd"/>
      <w:r w:rsidRPr="00AD72AB">
        <w:rPr>
          <w:rFonts w:cstheme="minorHAnsi"/>
          <w:spacing w:val="-3"/>
          <w:sz w:val="24"/>
          <w:szCs w:val="20"/>
        </w:rPr>
        <w:t xml:space="preserve"> these suits would not have a material adverse effect on these financial statements.</w:t>
      </w:r>
    </w:p>
    <w:p w14:paraId="3F20D139" w14:textId="77777777" w:rsidR="00DD1612" w:rsidRPr="00F54559" w:rsidRDefault="00DD1612" w:rsidP="00DD1612">
      <w:pPr>
        <w:pStyle w:val="AFR2"/>
        <w:rPr>
          <w:rFonts w:cstheme="minorHAnsi"/>
          <w:sz w:val="26"/>
          <w:szCs w:val="26"/>
        </w:rPr>
      </w:pPr>
      <w:r w:rsidRPr="00F54559">
        <w:rPr>
          <w:rFonts w:cstheme="minorHAnsi"/>
          <w:sz w:val="26"/>
          <w:szCs w:val="26"/>
        </w:rPr>
        <w:t>12. PASS THROUGH GRANTS</w:t>
      </w:r>
    </w:p>
    <w:p w14:paraId="69073DD6" w14:textId="32D1BECE" w:rsidR="00AD72AB" w:rsidRDefault="00DD1612" w:rsidP="00DD1612">
      <w:pPr>
        <w:tabs>
          <w:tab w:val="left" w:pos="720"/>
          <w:tab w:val="left" w:pos="1022"/>
          <w:tab w:val="left" w:pos="1440"/>
          <w:tab w:val="right" w:pos="4262"/>
          <w:tab w:val="right" w:pos="5220"/>
          <w:tab w:val="right" w:pos="6691"/>
          <w:tab w:val="right" w:pos="7621"/>
          <w:tab w:val="right" w:pos="9187"/>
        </w:tabs>
        <w:suppressAutoHyphens/>
        <w:rPr>
          <w:rFonts w:cstheme="minorHAnsi"/>
          <w:spacing w:val="-3"/>
          <w:sz w:val="24"/>
        </w:rPr>
      </w:pPr>
      <w:r w:rsidRPr="00F54559">
        <w:rPr>
          <w:rFonts w:cstheme="minorHAnsi"/>
          <w:spacing w:val="-3"/>
          <w:sz w:val="24"/>
        </w:rPr>
        <w:t xml:space="preserve">During </w:t>
      </w:r>
      <w:r w:rsidR="00AB04F4" w:rsidRPr="00F54559">
        <w:rPr>
          <w:rFonts w:cstheme="minorHAnsi"/>
          <w:spacing w:val="-3"/>
          <w:sz w:val="24"/>
        </w:rPr>
        <w:t>FY</w:t>
      </w:r>
      <w:r w:rsidR="00AB04F4">
        <w:rPr>
          <w:rFonts w:cstheme="minorHAnsi"/>
          <w:spacing w:val="-3"/>
          <w:sz w:val="24"/>
        </w:rPr>
        <w:t>23</w:t>
      </w:r>
      <w:r w:rsidR="00AB04F4" w:rsidRPr="00F54559">
        <w:rPr>
          <w:rFonts w:cstheme="minorHAnsi"/>
          <w:spacing w:val="-3"/>
          <w:sz w:val="24"/>
        </w:rPr>
        <w:t xml:space="preserve"> </w:t>
      </w:r>
      <w:r w:rsidRPr="00F54559">
        <w:rPr>
          <w:rFonts w:cstheme="minorHAnsi"/>
          <w:spacing w:val="-3"/>
          <w:sz w:val="24"/>
        </w:rPr>
        <w:t xml:space="preserve">and </w:t>
      </w:r>
      <w:r w:rsidR="00AB04F4" w:rsidRPr="00F54559">
        <w:rPr>
          <w:rFonts w:cstheme="minorHAnsi"/>
          <w:spacing w:val="-3"/>
          <w:sz w:val="24"/>
        </w:rPr>
        <w:t>FY</w:t>
      </w:r>
      <w:r w:rsidR="00AB04F4">
        <w:rPr>
          <w:rFonts w:cstheme="minorHAnsi"/>
          <w:spacing w:val="-3"/>
          <w:sz w:val="24"/>
        </w:rPr>
        <w:t>22</w:t>
      </w:r>
      <w:r w:rsidRPr="00F54559">
        <w:rPr>
          <w:rFonts w:cstheme="minorHAnsi"/>
          <w:spacing w:val="-3"/>
          <w:sz w:val="24"/>
        </w:rPr>
        <w:t>, the System distributed $</w:t>
      </w:r>
      <w:r w:rsidR="00426030" w:rsidRPr="0048737B">
        <w:rPr>
          <w:rFonts w:cstheme="minorHAnsi"/>
          <w:spacing w:val="-3"/>
          <w:sz w:val="24"/>
        </w:rPr>
        <w:t>9</w:t>
      </w:r>
      <w:r w:rsidR="007D17BD">
        <w:rPr>
          <w:rFonts w:cstheme="minorHAnsi"/>
          <w:spacing w:val="-3"/>
          <w:sz w:val="24"/>
        </w:rPr>
        <w:t>2</w:t>
      </w:r>
      <w:r w:rsidR="00426030" w:rsidRPr="0048737B">
        <w:rPr>
          <w:rFonts w:cstheme="minorHAnsi"/>
          <w:spacing w:val="-3"/>
          <w:sz w:val="24"/>
        </w:rPr>
        <w:t>,110</w:t>
      </w:r>
      <w:r w:rsidRPr="004C0939">
        <w:rPr>
          <w:rFonts w:cstheme="minorHAnsi"/>
          <w:spacing w:val="-3"/>
          <w:sz w:val="24"/>
        </w:rPr>
        <w:t xml:space="preserve"> </w:t>
      </w:r>
      <w:r w:rsidRPr="00F54559">
        <w:rPr>
          <w:rFonts w:cstheme="minorHAnsi"/>
          <w:spacing w:val="-3"/>
          <w:sz w:val="24"/>
        </w:rPr>
        <w:t>and $</w:t>
      </w:r>
      <w:r w:rsidR="00AB04F4" w:rsidRPr="00A93FB3">
        <w:rPr>
          <w:rFonts w:cstheme="minorHAnsi"/>
          <w:spacing w:val="-3"/>
          <w:sz w:val="24"/>
        </w:rPr>
        <w:t>96,450</w:t>
      </w:r>
      <w:r w:rsidRPr="00F54559">
        <w:rPr>
          <w:rFonts w:cstheme="minorHAnsi"/>
          <w:spacing w:val="-3"/>
          <w:sz w:val="24"/>
        </w:rPr>
        <w:t>, respectively, for student loans through the U.S. Department of Education F</w:t>
      </w:r>
      <w:r w:rsidR="00541C5C">
        <w:rPr>
          <w:rFonts w:cstheme="minorHAnsi"/>
          <w:spacing w:val="-3"/>
          <w:sz w:val="24"/>
        </w:rPr>
        <w:t xml:space="preserve">ederal Direct Lending Program. </w:t>
      </w:r>
      <w:r w:rsidRPr="00F54559">
        <w:rPr>
          <w:rFonts w:cstheme="minorHAnsi"/>
          <w:spacing w:val="-3"/>
          <w:sz w:val="24"/>
        </w:rPr>
        <w:t>These distributions and related funding sources are not included as expenses and revenues or as cash disbursements and cash receipts in the accompanying financial statements.</w:t>
      </w:r>
    </w:p>
    <w:p w14:paraId="3391A799" w14:textId="77777777" w:rsidR="00AD72AB" w:rsidRDefault="00AD72AB">
      <w:pPr>
        <w:spacing w:after="160" w:line="259" w:lineRule="auto"/>
        <w:rPr>
          <w:rFonts w:cstheme="minorHAnsi"/>
          <w:spacing w:val="-3"/>
          <w:sz w:val="24"/>
        </w:rPr>
      </w:pPr>
      <w:r>
        <w:rPr>
          <w:rFonts w:cstheme="minorHAnsi"/>
          <w:spacing w:val="-3"/>
          <w:sz w:val="24"/>
        </w:rPr>
        <w:br w:type="page"/>
      </w:r>
    </w:p>
    <w:p w14:paraId="55DC3B8B" w14:textId="77777777" w:rsidR="00DD1612" w:rsidRPr="00F54559" w:rsidRDefault="00DD1612" w:rsidP="00DD1612">
      <w:pPr>
        <w:pStyle w:val="AFR2"/>
        <w:rPr>
          <w:rFonts w:cstheme="minorHAnsi"/>
          <w:sz w:val="26"/>
          <w:szCs w:val="26"/>
        </w:rPr>
      </w:pPr>
      <w:r w:rsidRPr="00F54559">
        <w:rPr>
          <w:rFonts w:cstheme="minorHAnsi"/>
          <w:sz w:val="26"/>
          <w:szCs w:val="26"/>
        </w:rPr>
        <w:lastRenderedPageBreak/>
        <w:t>13. PENSION PLANS</w:t>
      </w:r>
    </w:p>
    <w:p w14:paraId="7CE5268C" w14:textId="0015D69E" w:rsidR="00DD1612" w:rsidRPr="00F54559" w:rsidRDefault="00DD1612" w:rsidP="008E43A4">
      <w:pPr>
        <w:tabs>
          <w:tab w:val="left" w:pos="720"/>
          <w:tab w:val="left" w:pos="1440"/>
          <w:tab w:val="right" w:pos="4262"/>
          <w:tab w:val="right" w:pos="5220"/>
          <w:tab w:val="right" w:pos="6691"/>
          <w:tab w:val="right" w:pos="7621"/>
          <w:tab w:val="right" w:pos="9187"/>
        </w:tabs>
        <w:suppressAutoHyphens/>
        <w:spacing w:after="120"/>
      </w:pPr>
      <w:r w:rsidRPr="00F54559">
        <w:rPr>
          <w:rFonts w:cstheme="minorHAnsi"/>
          <w:bCs/>
          <w:spacing w:val="-3"/>
          <w:sz w:val="24"/>
        </w:rPr>
        <w:t>The System has several single-employer pension plans, each of which is d</w:t>
      </w:r>
      <w:r w:rsidR="00541C5C">
        <w:rPr>
          <w:rFonts w:cstheme="minorHAnsi"/>
          <w:bCs/>
          <w:spacing w:val="-3"/>
          <w:sz w:val="24"/>
        </w:rPr>
        <w:t xml:space="preserve">escribed in more detail below. </w:t>
      </w:r>
      <w:r w:rsidRPr="00F54559">
        <w:rPr>
          <w:rFonts w:cstheme="minorHAnsi"/>
          <w:bCs/>
          <w:spacing w:val="-3"/>
          <w:sz w:val="24"/>
        </w:rPr>
        <w:t>The System’s pension expense for each of these plans was as follows for the years ended June 30:</w:t>
      </w:r>
      <w:r>
        <w:rPr>
          <w:rFonts w:cstheme="minorHAnsi"/>
          <w:bCs/>
          <w:spacing w:val="-3"/>
          <w:sz w:val="24"/>
        </w:rPr>
        <w:t xml:space="preserve"> </w:t>
      </w:r>
      <w:r>
        <w:fldChar w:fldCharType="begin"/>
      </w:r>
      <w:r>
        <w:fldChar w:fldCharType="end"/>
      </w:r>
    </w:p>
    <w:tbl>
      <w:tblPr>
        <w:tblW w:w="6708" w:type="dxa"/>
        <w:jc w:val="center"/>
        <w:tblLook w:val="04A0" w:firstRow="1" w:lastRow="0" w:firstColumn="1" w:lastColumn="0" w:noHBand="0" w:noVBand="1"/>
      </w:tblPr>
      <w:tblGrid>
        <w:gridCol w:w="4049"/>
        <w:gridCol w:w="1441"/>
        <w:gridCol w:w="1218"/>
      </w:tblGrid>
      <w:tr w:rsidR="00DD1612" w:rsidRPr="002942E7" w14:paraId="497FA00E" w14:textId="77777777" w:rsidTr="001E59F7">
        <w:trPr>
          <w:trHeight w:val="324"/>
          <w:tblHeader/>
          <w:jc w:val="center"/>
        </w:trPr>
        <w:tc>
          <w:tcPr>
            <w:tcW w:w="4049" w:type="dxa"/>
            <w:tcBorders>
              <w:top w:val="nil"/>
              <w:left w:val="nil"/>
              <w:bottom w:val="single" w:sz="12" w:space="0" w:color="00688D"/>
              <w:right w:val="nil"/>
            </w:tcBorders>
            <w:shd w:val="clear" w:color="000000" w:fill="FFFFFF"/>
            <w:noWrap/>
            <w:vAlign w:val="bottom"/>
            <w:hideMark/>
          </w:tcPr>
          <w:p w14:paraId="7E04CE01" w14:textId="77777777" w:rsidR="00DD1612" w:rsidRPr="002942E7" w:rsidRDefault="00DD1612" w:rsidP="00BD375F">
            <w:pPr>
              <w:jc w:val="center"/>
              <w:rPr>
                <w:rFonts w:ascii="Calibri" w:eastAsia="Times New Roman" w:hAnsi="Calibri" w:cs="Calibri"/>
                <w:b/>
                <w:bCs/>
                <w:color w:val="0D0D0D"/>
              </w:rPr>
            </w:pPr>
            <w:r w:rsidRPr="002942E7">
              <w:rPr>
                <w:rFonts w:ascii="Calibri" w:eastAsia="Times New Roman" w:hAnsi="Calibri" w:cs="Calibri"/>
                <w:b/>
                <w:bCs/>
                <w:color w:val="0D0D0D"/>
              </w:rPr>
              <w:t> </w:t>
            </w:r>
          </w:p>
        </w:tc>
        <w:tc>
          <w:tcPr>
            <w:tcW w:w="1441" w:type="dxa"/>
            <w:tcBorders>
              <w:top w:val="nil"/>
              <w:left w:val="nil"/>
              <w:bottom w:val="single" w:sz="12" w:space="0" w:color="00688D"/>
              <w:right w:val="nil"/>
            </w:tcBorders>
            <w:shd w:val="clear" w:color="000000" w:fill="FFFFFF"/>
            <w:noWrap/>
            <w:vAlign w:val="bottom"/>
            <w:hideMark/>
          </w:tcPr>
          <w:p w14:paraId="195FF407" w14:textId="4672DDEE" w:rsidR="00DD1612" w:rsidRPr="002942E7" w:rsidRDefault="00DD1612" w:rsidP="000E3C0A">
            <w:pPr>
              <w:jc w:val="center"/>
              <w:rPr>
                <w:rFonts w:ascii="Calibri" w:eastAsia="Times New Roman" w:hAnsi="Calibri" w:cs="Calibri"/>
                <w:b/>
                <w:bCs/>
                <w:color w:val="0D0D0D"/>
              </w:rPr>
            </w:pPr>
            <w:r w:rsidRPr="002942E7">
              <w:rPr>
                <w:rFonts w:ascii="Calibri" w:eastAsia="Times New Roman" w:hAnsi="Calibri" w:cs="Calibri"/>
                <w:b/>
                <w:bCs/>
                <w:color w:val="0D0D0D"/>
              </w:rPr>
              <w:t>202</w:t>
            </w:r>
            <w:r w:rsidR="000E3C0A">
              <w:rPr>
                <w:rFonts w:ascii="Calibri" w:eastAsia="Times New Roman" w:hAnsi="Calibri" w:cs="Calibri"/>
                <w:b/>
                <w:bCs/>
                <w:color w:val="0D0D0D"/>
              </w:rPr>
              <w:t>3</w:t>
            </w:r>
          </w:p>
        </w:tc>
        <w:tc>
          <w:tcPr>
            <w:tcW w:w="1218" w:type="dxa"/>
            <w:tcBorders>
              <w:top w:val="nil"/>
              <w:left w:val="nil"/>
              <w:bottom w:val="single" w:sz="12" w:space="0" w:color="00688D"/>
              <w:right w:val="nil"/>
            </w:tcBorders>
            <w:shd w:val="clear" w:color="auto" w:fill="F2F2F2" w:themeFill="background1" w:themeFillShade="F2"/>
            <w:noWrap/>
            <w:vAlign w:val="bottom"/>
            <w:hideMark/>
          </w:tcPr>
          <w:p w14:paraId="1121672B" w14:textId="1294326D" w:rsidR="00DD1612" w:rsidRPr="002942E7" w:rsidRDefault="000E3C0A" w:rsidP="000E3C0A">
            <w:pPr>
              <w:jc w:val="center"/>
              <w:rPr>
                <w:rFonts w:ascii="Calibri" w:eastAsia="Times New Roman" w:hAnsi="Calibri" w:cs="Calibri"/>
                <w:b/>
                <w:bCs/>
                <w:color w:val="0D0D0D"/>
              </w:rPr>
            </w:pPr>
            <w:r>
              <w:rPr>
                <w:rFonts w:ascii="Calibri" w:eastAsia="Times New Roman" w:hAnsi="Calibri" w:cs="Calibri"/>
                <w:b/>
                <w:bCs/>
                <w:color w:val="0D0D0D"/>
              </w:rPr>
              <w:t>2022</w:t>
            </w:r>
          </w:p>
        </w:tc>
      </w:tr>
      <w:tr w:rsidR="00DD1612" w:rsidRPr="002942E7" w14:paraId="5FE633C7" w14:textId="77777777" w:rsidTr="001E59F7">
        <w:trPr>
          <w:trHeight w:val="324"/>
          <w:jc w:val="center"/>
        </w:trPr>
        <w:tc>
          <w:tcPr>
            <w:tcW w:w="4049" w:type="dxa"/>
            <w:tcBorders>
              <w:top w:val="nil"/>
              <w:left w:val="nil"/>
              <w:bottom w:val="nil"/>
              <w:right w:val="nil"/>
            </w:tcBorders>
            <w:shd w:val="clear" w:color="000000" w:fill="FFFFFF"/>
            <w:noWrap/>
            <w:vAlign w:val="bottom"/>
            <w:hideMark/>
          </w:tcPr>
          <w:p w14:paraId="402C2535"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Faculty and Professional Employees:</w:t>
            </w:r>
          </w:p>
        </w:tc>
        <w:tc>
          <w:tcPr>
            <w:tcW w:w="1441" w:type="dxa"/>
            <w:tcBorders>
              <w:top w:val="nil"/>
              <w:left w:val="nil"/>
              <w:bottom w:val="nil"/>
              <w:right w:val="nil"/>
            </w:tcBorders>
            <w:shd w:val="clear" w:color="000000" w:fill="FFFFFF"/>
            <w:noWrap/>
            <w:vAlign w:val="bottom"/>
            <w:hideMark/>
          </w:tcPr>
          <w:p w14:paraId="789C4036"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 </w:t>
            </w:r>
          </w:p>
        </w:tc>
        <w:tc>
          <w:tcPr>
            <w:tcW w:w="1218" w:type="dxa"/>
            <w:tcBorders>
              <w:top w:val="nil"/>
              <w:left w:val="nil"/>
              <w:bottom w:val="nil"/>
              <w:right w:val="nil"/>
            </w:tcBorders>
            <w:shd w:val="clear" w:color="auto" w:fill="F2F2F2" w:themeFill="background1" w:themeFillShade="F2"/>
            <w:noWrap/>
            <w:vAlign w:val="bottom"/>
            <w:hideMark/>
          </w:tcPr>
          <w:p w14:paraId="1D584F48"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 </w:t>
            </w:r>
          </w:p>
        </w:tc>
      </w:tr>
      <w:tr w:rsidR="001E59F7" w:rsidRPr="002942E7" w14:paraId="34768674" w14:textId="77777777" w:rsidTr="0048737B">
        <w:trPr>
          <w:trHeight w:val="312"/>
          <w:jc w:val="center"/>
        </w:trPr>
        <w:tc>
          <w:tcPr>
            <w:tcW w:w="4049" w:type="dxa"/>
            <w:tcBorders>
              <w:top w:val="nil"/>
              <w:left w:val="nil"/>
              <w:bottom w:val="nil"/>
              <w:right w:val="nil"/>
            </w:tcBorders>
            <w:shd w:val="clear" w:color="000000" w:fill="FFFFFF"/>
            <w:noWrap/>
            <w:vAlign w:val="bottom"/>
            <w:hideMark/>
          </w:tcPr>
          <w:p w14:paraId="1D5D4318" w14:textId="3B617252" w:rsidR="001E59F7" w:rsidRPr="002942E7" w:rsidRDefault="001E59F7">
            <w:pPr>
              <w:ind w:firstLineChars="100" w:firstLine="220"/>
              <w:rPr>
                <w:rFonts w:ascii="Calibri" w:eastAsia="Times New Roman" w:hAnsi="Calibri" w:cs="Calibri"/>
                <w:color w:val="0D0D0D"/>
              </w:rPr>
            </w:pPr>
            <w:r w:rsidRPr="002942E7">
              <w:rPr>
                <w:rFonts w:ascii="Calibri" w:eastAsia="Times New Roman" w:hAnsi="Calibri" w:cs="Calibri"/>
                <w:color w:val="0D0D0D"/>
              </w:rPr>
              <w:t>Contributory retirement plan</w:t>
            </w:r>
          </w:p>
        </w:tc>
        <w:tc>
          <w:tcPr>
            <w:tcW w:w="1441" w:type="dxa"/>
            <w:tcBorders>
              <w:top w:val="nil"/>
              <w:left w:val="nil"/>
              <w:bottom w:val="nil"/>
              <w:right w:val="nil"/>
            </w:tcBorders>
            <w:shd w:val="clear" w:color="auto" w:fill="auto"/>
            <w:noWrap/>
            <w:vAlign w:val="bottom"/>
            <w:hideMark/>
          </w:tcPr>
          <w:p w14:paraId="1DE3B57B" w14:textId="53036B55" w:rsidR="001E59F7" w:rsidRPr="0048737B" w:rsidRDefault="001E59F7" w:rsidP="004643EE">
            <w:pPr>
              <w:jc w:val="right"/>
              <w:rPr>
                <w:rFonts w:ascii="Calibri" w:eastAsia="Times New Roman" w:hAnsi="Calibri" w:cs="Calibri"/>
                <w:color w:val="FF0000"/>
              </w:rPr>
            </w:pPr>
            <w:r>
              <w:rPr>
                <w:rFonts w:ascii="Calibri" w:hAnsi="Calibri" w:cs="Calibri"/>
              </w:rPr>
              <w:t xml:space="preserve"> $   </w:t>
            </w:r>
            <w:r w:rsidR="007176B0">
              <w:rPr>
                <w:rFonts w:ascii="Calibri" w:hAnsi="Calibri" w:cs="Calibri"/>
              </w:rPr>
              <w:t>25,2</w:t>
            </w:r>
            <w:r w:rsidR="005045CE">
              <w:rPr>
                <w:rFonts w:ascii="Calibri" w:hAnsi="Calibri" w:cs="Calibri"/>
              </w:rPr>
              <w:t>6</w:t>
            </w:r>
            <w:r w:rsidR="007176B0">
              <w:rPr>
                <w:rFonts w:ascii="Calibri" w:hAnsi="Calibri" w:cs="Calibri"/>
              </w:rPr>
              <w:t>3</w:t>
            </w:r>
            <w:r w:rsidR="007F5985">
              <w:rPr>
                <w:rFonts w:ascii="Calibri" w:hAnsi="Calibri" w:cs="Calibri"/>
              </w:rPr>
              <w:t xml:space="preserve"> </w:t>
            </w:r>
          </w:p>
        </w:tc>
        <w:tc>
          <w:tcPr>
            <w:tcW w:w="1218" w:type="dxa"/>
            <w:tcBorders>
              <w:top w:val="nil"/>
              <w:left w:val="nil"/>
              <w:bottom w:val="nil"/>
              <w:right w:val="nil"/>
            </w:tcBorders>
            <w:shd w:val="clear" w:color="auto" w:fill="F2F2F2" w:themeFill="background1" w:themeFillShade="F2"/>
            <w:noWrap/>
            <w:vAlign w:val="bottom"/>
            <w:hideMark/>
          </w:tcPr>
          <w:p w14:paraId="43B5E748" w14:textId="31AEC5DC" w:rsidR="001E59F7" w:rsidRPr="00F16DEC" w:rsidRDefault="001E59F7" w:rsidP="001E59F7">
            <w:pPr>
              <w:jc w:val="right"/>
              <w:rPr>
                <w:rFonts w:ascii="Calibri" w:eastAsia="Times New Roman" w:hAnsi="Calibri" w:cs="Calibri"/>
              </w:rPr>
            </w:pPr>
            <w:r w:rsidRPr="00EC0ECA">
              <w:rPr>
                <w:rFonts w:ascii="Calibri" w:eastAsia="Times New Roman" w:hAnsi="Calibri" w:cs="Calibri"/>
              </w:rPr>
              <w:t xml:space="preserve">$  </w:t>
            </w:r>
            <w:r w:rsidRPr="00B861F2">
              <w:rPr>
                <w:rFonts w:ascii="Calibri" w:eastAsia="Times New Roman" w:hAnsi="Calibri" w:cs="Calibri"/>
              </w:rPr>
              <w:t>24,046</w:t>
            </w:r>
          </w:p>
        </w:tc>
      </w:tr>
      <w:tr w:rsidR="001E59F7" w:rsidRPr="002942E7" w14:paraId="7C67BDD0" w14:textId="77777777" w:rsidTr="001E59F7">
        <w:trPr>
          <w:trHeight w:val="312"/>
          <w:jc w:val="center"/>
        </w:trPr>
        <w:tc>
          <w:tcPr>
            <w:tcW w:w="4049" w:type="dxa"/>
            <w:tcBorders>
              <w:top w:val="nil"/>
              <w:left w:val="nil"/>
              <w:bottom w:val="nil"/>
              <w:right w:val="nil"/>
            </w:tcBorders>
            <w:shd w:val="clear" w:color="000000" w:fill="FFFFFF"/>
            <w:noWrap/>
            <w:vAlign w:val="bottom"/>
            <w:hideMark/>
          </w:tcPr>
          <w:p w14:paraId="4210ED0D" w14:textId="77777777" w:rsidR="001E59F7" w:rsidRPr="002942E7" w:rsidRDefault="001E59F7" w:rsidP="001E59F7">
            <w:pPr>
              <w:ind w:firstLineChars="100" w:firstLine="220"/>
              <w:rPr>
                <w:rFonts w:ascii="Calibri" w:eastAsia="Times New Roman" w:hAnsi="Calibri" w:cs="Calibri"/>
                <w:color w:val="0D0D0D"/>
              </w:rPr>
            </w:pPr>
            <w:r w:rsidRPr="002942E7">
              <w:rPr>
                <w:rFonts w:ascii="Calibri" w:eastAsia="Times New Roman" w:hAnsi="Calibri" w:cs="Calibri"/>
                <w:color w:val="0D0D0D"/>
              </w:rPr>
              <w:t>Incentive retirement plan</w:t>
            </w:r>
          </w:p>
        </w:tc>
        <w:tc>
          <w:tcPr>
            <w:tcW w:w="1441" w:type="dxa"/>
            <w:tcBorders>
              <w:top w:val="nil"/>
              <w:left w:val="nil"/>
              <w:bottom w:val="nil"/>
              <w:right w:val="nil"/>
            </w:tcBorders>
            <w:shd w:val="clear" w:color="000000" w:fill="FFFFFF"/>
            <w:noWrap/>
            <w:vAlign w:val="bottom"/>
            <w:hideMark/>
          </w:tcPr>
          <w:p w14:paraId="1E62EE8E" w14:textId="42D0715F" w:rsidR="001E59F7" w:rsidRPr="0048737B" w:rsidRDefault="001E59F7" w:rsidP="001E59F7">
            <w:pPr>
              <w:jc w:val="right"/>
              <w:rPr>
                <w:rFonts w:ascii="Calibri" w:eastAsia="Times New Roman" w:hAnsi="Calibri" w:cs="Calibri"/>
                <w:color w:val="FF0000"/>
              </w:rPr>
            </w:pPr>
            <w:r>
              <w:rPr>
                <w:rFonts w:ascii="Calibri" w:hAnsi="Calibri" w:cs="Calibri"/>
              </w:rPr>
              <w:t xml:space="preserve">        1,474 </w:t>
            </w:r>
          </w:p>
        </w:tc>
        <w:tc>
          <w:tcPr>
            <w:tcW w:w="1218" w:type="dxa"/>
            <w:tcBorders>
              <w:top w:val="nil"/>
              <w:left w:val="nil"/>
              <w:bottom w:val="nil"/>
              <w:right w:val="nil"/>
            </w:tcBorders>
            <w:shd w:val="clear" w:color="auto" w:fill="F2F2F2" w:themeFill="background1" w:themeFillShade="F2"/>
            <w:noWrap/>
            <w:vAlign w:val="bottom"/>
            <w:hideMark/>
          </w:tcPr>
          <w:p w14:paraId="54668777" w14:textId="54F0DA2E" w:rsidR="001E59F7" w:rsidRPr="00F16DEC" w:rsidRDefault="001E59F7" w:rsidP="001E59F7">
            <w:pPr>
              <w:jc w:val="right"/>
              <w:rPr>
                <w:rFonts w:ascii="Calibri" w:eastAsia="Times New Roman" w:hAnsi="Calibri" w:cs="Calibri"/>
              </w:rPr>
            </w:pPr>
            <w:r w:rsidRPr="00B861F2">
              <w:rPr>
                <w:rFonts w:ascii="Calibri" w:eastAsia="Times New Roman" w:hAnsi="Calibri" w:cs="Calibri"/>
              </w:rPr>
              <w:t>1,315</w:t>
            </w:r>
          </w:p>
        </w:tc>
      </w:tr>
      <w:tr w:rsidR="003510DA" w:rsidRPr="002942E7" w14:paraId="3915AB86" w14:textId="77777777" w:rsidTr="001E59F7">
        <w:trPr>
          <w:trHeight w:val="312"/>
          <w:jc w:val="center"/>
        </w:trPr>
        <w:tc>
          <w:tcPr>
            <w:tcW w:w="4049" w:type="dxa"/>
            <w:tcBorders>
              <w:top w:val="nil"/>
              <w:left w:val="nil"/>
              <w:bottom w:val="nil"/>
              <w:right w:val="nil"/>
            </w:tcBorders>
            <w:shd w:val="clear" w:color="000000" w:fill="FFFFFF"/>
            <w:noWrap/>
            <w:vAlign w:val="bottom"/>
          </w:tcPr>
          <w:p w14:paraId="780D1A64" w14:textId="7585FD13" w:rsidR="003510DA" w:rsidRPr="002942E7" w:rsidRDefault="003510DA" w:rsidP="001E59F7">
            <w:pPr>
              <w:ind w:firstLineChars="100" w:firstLine="220"/>
              <w:rPr>
                <w:rFonts w:ascii="Calibri" w:eastAsia="Times New Roman" w:hAnsi="Calibri" w:cs="Calibri"/>
                <w:color w:val="0D0D0D"/>
              </w:rPr>
            </w:pPr>
            <w:r>
              <w:rPr>
                <w:rFonts w:ascii="Calibri" w:eastAsia="Times New Roman" w:hAnsi="Calibri" w:cs="Calibri"/>
                <w:color w:val="0D0D0D"/>
              </w:rPr>
              <w:t>Early retirement incentive</w:t>
            </w:r>
          </w:p>
        </w:tc>
        <w:tc>
          <w:tcPr>
            <w:tcW w:w="1441" w:type="dxa"/>
            <w:tcBorders>
              <w:top w:val="nil"/>
              <w:left w:val="nil"/>
              <w:bottom w:val="nil"/>
              <w:right w:val="nil"/>
            </w:tcBorders>
            <w:shd w:val="clear" w:color="000000" w:fill="FFFFFF"/>
            <w:noWrap/>
            <w:vAlign w:val="bottom"/>
          </w:tcPr>
          <w:p w14:paraId="29BA64F1" w14:textId="532855BB" w:rsidR="003510DA" w:rsidRDefault="003510DA" w:rsidP="001E59F7">
            <w:pPr>
              <w:jc w:val="right"/>
              <w:rPr>
                <w:rFonts w:ascii="Calibri" w:hAnsi="Calibri" w:cs="Calibri"/>
              </w:rPr>
            </w:pPr>
            <w:r>
              <w:rPr>
                <w:rFonts w:ascii="Calibri" w:hAnsi="Calibri" w:cs="Calibri"/>
              </w:rPr>
              <w:t>2,505</w:t>
            </w:r>
          </w:p>
        </w:tc>
        <w:tc>
          <w:tcPr>
            <w:tcW w:w="1218" w:type="dxa"/>
            <w:tcBorders>
              <w:top w:val="nil"/>
              <w:left w:val="nil"/>
              <w:bottom w:val="nil"/>
              <w:right w:val="nil"/>
            </w:tcBorders>
            <w:shd w:val="clear" w:color="auto" w:fill="F2F2F2" w:themeFill="background1" w:themeFillShade="F2"/>
            <w:noWrap/>
            <w:vAlign w:val="bottom"/>
          </w:tcPr>
          <w:p w14:paraId="6EBF39B4" w14:textId="02C56C00" w:rsidR="003510DA" w:rsidRPr="00B861F2" w:rsidRDefault="003510DA" w:rsidP="001E59F7">
            <w:pPr>
              <w:jc w:val="right"/>
              <w:rPr>
                <w:rFonts w:ascii="Calibri" w:eastAsia="Times New Roman" w:hAnsi="Calibri" w:cs="Calibri"/>
              </w:rPr>
            </w:pPr>
            <w:r>
              <w:rPr>
                <w:rFonts w:ascii="Calibri" w:eastAsia="Times New Roman" w:hAnsi="Calibri" w:cs="Calibri"/>
              </w:rPr>
              <w:t>9,657</w:t>
            </w:r>
          </w:p>
        </w:tc>
      </w:tr>
      <w:tr w:rsidR="001E59F7" w:rsidRPr="00FD308A" w14:paraId="338A85D8" w14:textId="77777777" w:rsidTr="001830E8">
        <w:trPr>
          <w:trHeight w:val="423"/>
          <w:jc w:val="center"/>
        </w:trPr>
        <w:tc>
          <w:tcPr>
            <w:tcW w:w="4049" w:type="dxa"/>
            <w:tcBorders>
              <w:top w:val="nil"/>
              <w:left w:val="nil"/>
              <w:bottom w:val="nil"/>
              <w:right w:val="nil"/>
            </w:tcBorders>
            <w:shd w:val="clear" w:color="000000" w:fill="FFFFFF"/>
            <w:noWrap/>
            <w:vAlign w:val="bottom"/>
            <w:hideMark/>
          </w:tcPr>
          <w:p w14:paraId="32E9CFBF" w14:textId="77777777" w:rsidR="001E59F7" w:rsidRPr="002942E7" w:rsidRDefault="001E59F7" w:rsidP="001E59F7">
            <w:pPr>
              <w:rPr>
                <w:rFonts w:ascii="Calibri" w:eastAsia="Times New Roman" w:hAnsi="Calibri" w:cs="Calibri"/>
                <w:color w:val="0D0D0D"/>
              </w:rPr>
            </w:pPr>
            <w:r w:rsidRPr="002942E7">
              <w:rPr>
                <w:rFonts w:ascii="Calibri" w:eastAsia="Times New Roman" w:hAnsi="Calibri" w:cs="Calibri"/>
                <w:color w:val="0D0D0D"/>
              </w:rPr>
              <w:t>Hourly Employees:</w:t>
            </w:r>
          </w:p>
        </w:tc>
        <w:tc>
          <w:tcPr>
            <w:tcW w:w="1441" w:type="dxa"/>
            <w:tcBorders>
              <w:top w:val="nil"/>
              <w:left w:val="nil"/>
              <w:bottom w:val="nil"/>
              <w:right w:val="nil"/>
            </w:tcBorders>
            <w:shd w:val="clear" w:color="000000" w:fill="FFFFFF"/>
            <w:noWrap/>
            <w:vAlign w:val="bottom"/>
            <w:hideMark/>
          </w:tcPr>
          <w:p w14:paraId="4ED39D8A" w14:textId="38615056" w:rsidR="001E59F7" w:rsidRPr="0048737B" w:rsidRDefault="001E59F7" w:rsidP="001E59F7">
            <w:pPr>
              <w:jc w:val="right"/>
              <w:rPr>
                <w:rFonts w:ascii="Calibri" w:eastAsia="Times New Roman" w:hAnsi="Calibri" w:cs="Calibri"/>
                <w:color w:val="FF0000"/>
              </w:rPr>
            </w:pPr>
            <w:r w:rsidRPr="001830E8">
              <w:rPr>
                <w:rFonts w:ascii="Calibri" w:hAnsi="Calibri" w:cs="Calibri"/>
              </w:rPr>
              <w:t> </w:t>
            </w:r>
          </w:p>
        </w:tc>
        <w:tc>
          <w:tcPr>
            <w:tcW w:w="1218" w:type="dxa"/>
            <w:tcBorders>
              <w:top w:val="nil"/>
              <w:left w:val="nil"/>
              <w:bottom w:val="nil"/>
              <w:right w:val="nil"/>
            </w:tcBorders>
            <w:shd w:val="clear" w:color="auto" w:fill="F2F2F2" w:themeFill="background1" w:themeFillShade="F2"/>
            <w:noWrap/>
            <w:vAlign w:val="bottom"/>
            <w:hideMark/>
          </w:tcPr>
          <w:p w14:paraId="274F9818" w14:textId="4D8483EC" w:rsidR="001E59F7" w:rsidRPr="00F16DEC" w:rsidRDefault="001E59F7" w:rsidP="001E59F7">
            <w:pPr>
              <w:jc w:val="right"/>
              <w:rPr>
                <w:rFonts w:ascii="Calibri" w:eastAsia="Times New Roman" w:hAnsi="Calibri" w:cs="Calibri"/>
              </w:rPr>
            </w:pPr>
            <w:r w:rsidRPr="00EC0ECA">
              <w:rPr>
                <w:rFonts w:ascii="Calibri" w:eastAsia="Times New Roman" w:hAnsi="Calibri" w:cs="Calibri"/>
              </w:rPr>
              <w:t> </w:t>
            </w:r>
          </w:p>
        </w:tc>
      </w:tr>
      <w:tr w:rsidR="001E59F7" w:rsidRPr="002942E7" w14:paraId="50ACDBA3" w14:textId="77777777" w:rsidTr="0048737B">
        <w:trPr>
          <w:trHeight w:val="312"/>
          <w:jc w:val="center"/>
        </w:trPr>
        <w:tc>
          <w:tcPr>
            <w:tcW w:w="4049" w:type="dxa"/>
            <w:tcBorders>
              <w:top w:val="nil"/>
              <w:left w:val="nil"/>
              <w:bottom w:val="nil"/>
              <w:right w:val="nil"/>
            </w:tcBorders>
            <w:shd w:val="clear" w:color="000000" w:fill="FFFFFF"/>
            <w:noWrap/>
            <w:vAlign w:val="bottom"/>
            <w:hideMark/>
          </w:tcPr>
          <w:p w14:paraId="643D80FD" w14:textId="77777777" w:rsidR="001E59F7" w:rsidRPr="002942E7" w:rsidRDefault="001E59F7" w:rsidP="001E59F7">
            <w:pPr>
              <w:ind w:firstLineChars="100" w:firstLine="220"/>
              <w:rPr>
                <w:rFonts w:ascii="Calibri" w:eastAsia="Times New Roman" w:hAnsi="Calibri" w:cs="Calibri"/>
                <w:color w:val="0D0D0D"/>
              </w:rPr>
            </w:pPr>
            <w:r w:rsidRPr="002942E7">
              <w:rPr>
                <w:rFonts w:ascii="Calibri" w:eastAsia="Times New Roman" w:hAnsi="Calibri" w:cs="Calibri"/>
                <w:color w:val="0D0D0D"/>
              </w:rPr>
              <w:t>Basic retirement plan</w:t>
            </w:r>
          </w:p>
        </w:tc>
        <w:tc>
          <w:tcPr>
            <w:tcW w:w="1441" w:type="dxa"/>
            <w:tcBorders>
              <w:top w:val="nil"/>
              <w:left w:val="nil"/>
              <w:bottom w:val="nil"/>
              <w:right w:val="nil"/>
            </w:tcBorders>
            <w:shd w:val="clear" w:color="auto" w:fill="auto"/>
            <w:noWrap/>
            <w:vAlign w:val="bottom"/>
            <w:hideMark/>
          </w:tcPr>
          <w:p w14:paraId="268A5BBA" w14:textId="0C7F4E1C" w:rsidR="001E59F7" w:rsidRPr="0048737B" w:rsidRDefault="001E59F7" w:rsidP="001E59F7">
            <w:pPr>
              <w:jc w:val="right"/>
              <w:rPr>
                <w:rFonts w:ascii="Calibri" w:eastAsia="Times New Roman" w:hAnsi="Calibri" w:cs="Calibri"/>
                <w:color w:val="FF0000"/>
              </w:rPr>
            </w:pPr>
            <w:r>
              <w:rPr>
                <w:rFonts w:ascii="Calibri" w:hAnsi="Calibri" w:cs="Calibri"/>
              </w:rPr>
              <w:t xml:space="preserve">        3,578 </w:t>
            </w:r>
          </w:p>
        </w:tc>
        <w:tc>
          <w:tcPr>
            <w:tcW w:w="1218" w:type="dxa"/>
            <w:tcBorders>
              <w:top w:val="nil"/>
              <w:left w:val="nil"/>
              <w:bottom w:val="nil"/>
              <w:right w:val="nil"/>
            </w:tcBorders>
            <w:shd w:val="clear" w:color="auto" w:fill="F2F2F2" w:themeFill="background1" w:themeFillShade="F2"/>
            <w:noWrap/>
            <w:vAlign w:val="bottom"/>
            <w:hideMark/>
          </w:tcPr>
          <w:p w14:paraId="24EDC50A" w14:textId="26AC08EA" w:rsidR="001E59F7" w:rsidRPr="00F16DEC" w:rsidRDefault="001E59F7" w:rsidP="001E59F7">
            <w:pPr>
              <w:jc w:val="right"/>
              <w:rPr>
                <w:rFonts w:ascii="Calibri" w:eastAsia="Times New Roman" w:hAnsi="Calibri" w:cs="Calibri"/>
              </w:rPr>
            </w:pPr>
            <w:r w:rsidRPr="00B861F2">
              <w:rPr>
                <w:rFonts w:ascii="Calibri" w:eastAsia="Times New Roman" w:hAnsi="Calibri" w:cs="Calibri"/>
              </w:rPr>
              <w:t>3</w:t>
            </w:r>
            <w:r>
              <w:rPr>
                <w:rFonts w:ascii="Calibri" w:eastAsia="Times New Roman" w:hAnsi="Calibri" w:cs="Calibri"/>
              </w:rPr>
              <w:t>,</w:t>
            </w:r>
            <w:r w:rsidRPr="00B861F2">
              <w:rPr>
                <w:rFonts w:ascii="Calibri" w:eastAsia="Times New Roman" w:hAnsi="Calibri" w:cs="Calibri"/>
              </w:rPr>
              <w:t>353</w:t>
            </w:r>
          </w:p>
        </w:tc>
      </w:tr>
      <w:tr w:rsidR="001E59F7" w:rsidRPr="002942E7" w14:paraId="530FD76C" w14:textId="77777777" w:rsidTr="001E59F7">
        <w:trPr>
          <w:trHeight w:val="312"/>
          <w:jc w:val="center"/>
        </w:trPr>
        <w:tc>
          <w:tcPr>
            <w:tcW w:w="4049" w:type="dxa"/>
            <w:tcBorders>
              <w:top w:val="nil"/>
              <w:left w:val="nil"/>
              <w:bottom w:val="nil"/>
              <w:right w:val="nil"/>
            </w:tcBorders>
            <w:shd w:val="clear" w:color="000000" w:fill="FFFFFF"/>
            <w:noWrap/>
            <w:vAlign w:val="bottom"/>
            <w:hideMark/>
          </w:tcPr>
          <w:p w14:paraId="1272CF3D" w14:textId="5C9126DC" w:rsidR="001E59F7" w:rsidRPr="002942E7" w:rsidRDefault="001E59F7" w:rsidP="003B25E2">
            <w:pPr>
              <w:ind w:firstLineChars="100" w:firstLine="220"/>
              <w:rPr>
                <w:rFonts w:ascii="Calibri" w:eastAsia="Times New Roman" w:hAnsi="Calibri" w:cs="Calibri"/>
                <w:color w:val="0D0D0D"/>
              </w:rPr>
            </w:pPr>
            <w:r w:rsidRPr="002942E7">
              <w:rPr>
                <w:rFonts w:ascii="Calibri" w:eastAsia="Times New Roman" w:hAnsi="Calibri" w:cs="Calibri"/>
                <w:color w:val="0D0D0D"/>
              </w:rPr>
              <w:t>Defined benefit plan</w:t>
            </w:r>
          </w:p>
        </w:tc>
        <w:tc>
          <w:tcPr>
            <w:tcW w:w="1441" w:type="dxa"/>
            <w:tcBorders>
              <w:top w:val="nil"/>
              <w:left w:val="nil"/>
              <w:bottom w:val="nil"/>
              <w:right w:val="nil"/>
            </w:tcBorders>
            <w:shd w:val="clear" w:color="000000" w:fill="FFFFFF"/>
            <w:noWrap/>
            <w:vAlign w:val="bottom"/>
            <w:hideMark/>
          </w:tcPr>
          <w:p w14:paraId="59851486" w14:textId="315B3EE3" w:rsidR="001E59F7" w:rsidRPr="0048737B" w:rsidRDefault="001E59F7" w:rsidP="001E59F7">
            <w:pPr>
              <w:jc w:val="right"/>
              <w:rPr>
                <w:rFonts w:ascii="Calibri" w:eastAsia="Times New Roman" w:hAnsi="Calibri" w:cs="Calibri"/>
                <w:color w:val="FF0000"/>
              </w:rPr>
            </w:pPr>
            <w:r>
              <w:rPr>
                <w:rFonts w:ascii="Calibri" w:hAnsi="Calibri" w:cs="Calibri"/>
              </w:rPr>
              <w:t xml:space="preserve">            431 </w:t>
            </w:r>
          </w:p>
        </w:tc>
        <w:tc>
          <w:tcPr>
            <w:tcW w:w="1218" w:type="dxa"/>
            <w:tcBorders>
              <w:top w:val="nil"/>
              <w:left w:val="nil"/>
              <w:bottom w:val="nil"/>
              <w:right w:val="nil"/>
            </w:tcBorders>
            <w:shd w:val="clear" w:color="auto" w:fill="F2F2F2" w:themeFill="background1" w:themeFillShade="F2"/>
            <w:noWrap/>
            <w:vAlign w:val="bottom"/>
            <w:hideMark/>
          </w:tcPr>
          <w:p w14:paraId="61714FD0" w14:textId="204A4CEB" w:rsidR="001E59F7" w:rsidRPr="00F16DEC" w:rsidRDefault="001E59F7" w:rsidP="001E59F7">
            <w:pPr>
              <w:jc w:val="right"/>
              <w:rPr>
                <w:rFonts w:ascii="Calibri" w:eastAsia="Times New Roman" w:hAnsi="Calibri" w:cs="Calibri"/>
              </w:rPr>
            </w:pPr>
            <w:r w:rsidRPr="00B861F2">
              <w:rPr>
                <w:rFonts w:ascii="Calibri" w:eastAsia="Times New Roman" w:hAnsi="Calibri" w:cs="Calibri"/>
              </w:rPr>
              <w:t>1,014</w:t>
            </w:r>
          </w:p>
        </w:tc>
      </w:tr>
      <w:tr w:rsidR="000E3C0A" w:rsidRPr="002942E7" w14:paraId="63D7968D" w14:textId="77777777" w:rsidTr="001E59F7">
        <w:trPr>
          <w:trHeight w:val="390"/>
          <w:jc w:val="center"/>
        </w:trPr>
        <w:tc>
          <w:tcPr>
            <w:tcW w:w="4049" w:type="dxa"/>
            <w:tcBorders>
              <w:top w:val="single" w:sz="4" w:space="0" w:color="00688D"/>
              <w:left w:val="nil"/>
              <w:bottom w:val="double" w:sz="6" w:space="0" w:color="00688D"/>
              <w:right w:val="nil"/>
            </w:tcBorders>
            <w:shd w:val="clear" w:color="000000" w:fill="FFFFFF"/>
            <w:noWrap/>
            <w:vAlign w:val="bottom"/>
            <w:hideMark/>
          </w:tcPr>
          <w:p w14:paraId="21C8238D" w14:textId="33F0B738" w:rsidR="000E3C0A" w:rsidRPr="002942E7" w:rsidRDefault="000E3C0A" w:rsidP="002F4FE7">
            <w:pPr>
              <w:rPr>
                <w:rFonts w:ascii="Calibri" w:eastAsia="Times New Roman" w:hAnsi="Calibri" w:cs="Calibri"/>
                <w:color w:val="0D0D0D"/>
              </w:rPr>
            </w:pPr>
            <w:r w:rsidRPr="002942E7">
              <w:rPr>
                <w:rFonts w:ascii="Calibri" w:eastAsia="Times New Roman" w:hAnsi="Calibri" w:cs="Calibri"/>
                <w:color w:val="0D0D0D"/>
              </w:rPr>
              <w:t xml:space="preserve">Total pension expense </w:t>
            </w:r>
          </w:p>
        </w:tc>
        <w:tc>
          <w:tcPr>
            <w:tcW w:w="1441" w:type="dxa"/>
            <w:tcBorders>
              <w:top w:val="single" w:sz="4" w:space="0" w:color="00688D"/>
              <w:left w:val="nil"/>
              <w:bottom w:val="double" w:sz="6" w:space="0" w:color="00688D"/>
              <w:right w:val="nil"/>
            </w:tcBorders>
            <w:shd w:val="clear" w:color="000000" w:fill="FFFFFF"/>
            <w:noWrap/>
            <w:vAlign w:val="bottom"/>
            <w:hideMark/>
          </w:tcPr>
          <w:p w14:paraId="16089F7B" w14:textId="1EB1666D" w:rsidR="000E3C0A" w:rsidRPr="0048737B" w:rsidRDefault="001E59F7">
            <w:pPr>
              <w:jc w:val="right"/>
              <w:rPr>
                <w:rFonts w:ascii="Calibri" w:eastAsia="Times New Roman" w:hAnsi="Calibri" w:cs="Calibri"/>
                <w:color w:val="FF0000"/>
              </w:rPr>
            </w:pPr>
            <w:r w:rsidRPr="0048737B">
              <w:rPr>
                <w:rFonts w:ascii="Calibri" w:eastAsia="Times New Roman" w:hAnsi="Calibri" w:cs="Calibri"/>
              </w:rPr>
              <w:t xml:space="preserve">$  </w:t>
            </w:r>
            <w:r w:rsidR="007176B0">
              <w:rPr>
                <w:rFonts w:ascii="Calibri" w:eastAsia="Times New Roman" w:hAnsi="Calibri" w:cs="Calibri"/>
              </w:rPr>
              <w:t>3</w:t>
            </w:r>
            <w:r w:rsidR="003510DA">
              <w:rPr>
                <w:rFonts w:ascii="Calibri" w:eastAsia="Times New Roman" w:hAnsi="Calibri" w:cs="Calibri"/>
              </w:rPr>
              <w:t>3</w:t>
            </w:r>
            <w:r w:rsidR="007176B0">
              <w:rPr>
                <w:rFonts w:ascii="Calibri" w:eastAsia="Times New Roman" w:hAnsi="Calibri" w:cs="Calibri"/>
              </w:rPr>
              <w:t>,</w:t>
            </w:r>
            <w:r w:rsidR="003510DA">
              <w:rPr>
                <w:rFonts w:ascii="Calibri" w:eastAsia="Times New Roman" w:hAnsi="Calibri" w:cs="Calibri"/>
              </w:rPr>
              <w:t>251</w:t>
            </w:r>
          </w:p>
        </w:tc>
        <w:tc>
          <w:tcPr>
            <w:tcW w:w="1218"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63DB018E" w14:textId="0BE83EA7" w:rsidR="000E3C0A" w:rsidRPr="00F16DEC" w:rsidRDefault="000E3C0A">
            <w:pPr>
              <w:jc w:val="right"/>
              <w:rPr>
                <w:rFonts w:ascii="Calibri" w:eastAsia="Times New Roman" w:hAnsi="Calibri" w:cs="Calibri"/>
              </w:rPr>
            </w:pPr>
            <w:r w:rsidRPr="00EC0ECA">
              <w:rPr>
                <w:rFonts w:ascii="Calibri" w:eastAsia="Times New Roman" w:hAnsi="Calibri" w:cs="Calibri"/>
              </w:rPr>
              <w:t xml:space="preserve">$  </w:t>
            </w:r>
            <w:r w:rsidR="003510DA">
              <w:rPr>
                <w:rFonts w:ascii="Calibri" w:eastAsia="Times New Roman" w:hAnsi="Calibri" w:cs="Calibri"/>
              </w:rPr>
              <w:t>39</w:t>
            </w:r>
            <w:r w:rsidRPr="00B861F2">
              <w:rPr>
                <w:rFonts w:ascii="Calibri" w:eastAsia="Times New Roman" w:hAnsi="Calibri" w:cs="Calibri"/>
              </w:rPr>
              <w:t>,</w:t>
            </w:r>
            <w:r w:rsidR="003510DA">
              <w:rPr>
                <w:rFonts w:ascii="Calibri" w:eastAsia="Times New Roman" w:hAnsi="Calibri" w:cs="Calibri"/>
              </w:rPr>
              <w:t>385</w:t>
            </w:r>
          </w:p>
        </w:tc>
      </w:tr>
    </w:tbl>
    <w:p w14:paraId="2BDE578F" w14:textId="41E06CB2" w:rsidR="001A5F55" w:rsidRPr="001830E8" w:rsidRDefault="00C339DF" w:rsidP="001830E8">
      <w:pPr>
        <w:spacing w:line="259" w:lineRule="auto"/>
        <w:rPr>
          <w:rFonts w:cstheme="minorHAnsi"/>
          <w:sz w:val="18"/>
          <w:szCs w:val="18"/>
        </w:rPr>
      </w:pPr>
      <w:r>
        <w:rPr>
          <w:rFonts w:cstheme="minorHAnsi"/>
          <w:sz w:val="18"/>
          <w:szCs w:val="18"/>
        </w:rPr>
        <w:t xml:space="preserve">                                </w:t>
      </w:r>
    </w:p>
    <w:p w14:paraId="7B417A3F" w14:textId="77777777" w:rsidR="00DD1612" w:rsidRPr="00F54559" w:rsidRDefault="00DD1612" w:rsidP="00DD1612">
      <w:pPr>
        <w:pStyle w:val="AFR3"/>
        <w:rPr>
          <w:rFonts w:cstheme="minorHAnsi"/>
        </w:rPr>
      </w:pPr>
      <w:r>
        <w:rPr>
          <w:rFonts w:cstheme="minorHAnsi"/>
        </w:rPr>
        <w:t>13</w:t>
      </w:r>
      <w:r w:rsidRPr="00F54559">
        <w:rPr>
          <w:rFonts w:cstheme="minorHAnsi"/>
        </w:rPr>
        <w:t>a. Contributory Retirement Plan - Faculty and Professional Employees</w:t>
      </w:r>
    </w:p>
    <w:p w14:paraId="19FBBD06" w14:textId="67EA6CAC" w:rsidR="00DD1612" w:rsidRPr="00F54559" w:rsidRDefault="00DD1612" w:rsidP="00DD1612">
      <w:pPr>
        <w:tabs>
          <w:tab w:val="left" w:pos="720"/>
          <w:tab w:val="left" w:pos="1440"/>
          <w:tab w:val="right" w:pos="4262"/>
          <w:tab w:val="right" w:pos="5220"/>
          <w:tab w:val="right" w:pos="6691"/>
          <w:tab w:val="right" w:pos="7621"/>
          <w:tab w:val="right" w:pos="9187"/>
        </w:tabs>
        <w:suppressAutoHyphens/>
        <w:spacing w:before="240"/>
        <w:rPr>
          <w:rFonts w:eastAsia="Times New Roman" w:cstheme="minorHAnsi"/>
          <w:bCs/>
          <w:spacing w:val="-3"/>
          <w:sz w:val="24"/>
          <w:szCs w:val="24"/>
        </w:rPr>
      </w:pPr>
      <w:r w:rsidRPr="00F54559">
        <w:rPr>
          <w:rFonts w:eastAsia="Times New Roman" w:cstheme="minorHAnsi"/>
          <w:sz w:val="24"/>
          <w:szCs w:val="20"/>
        </w:rPr>
        <w:t>Eligible salaried employees participate in the University of Maine System Retirement Plan for Faculty and Professional Employees (Contributory Plan),</w:t>
      </w:r>
      <w:r w:rsidRPr="00F54559">
        <w:rPr>
          <w:rFonts w:eastAsia="Times New Roman" w:cstheme="minorHAnsi"/>
          <w:bCs/>
          <w:spacing w:val="-3"/>
          <w:sz w:val="24"/>
          <w:szCs w:val="24"/>
        </w:rPr>
        <w:t xml:space="preserve"> a defined contribution retirement plan administered by the Teachers Insurance and Annuity </w:t>
      </w:r>
      <w:r w:rsidR="00541C5C">
        <w:rPr>
          <w:rFonts w:eastAsia="Times New Roman" w:cstheme="minorHAnsi"/>
          <w:bCs/>
          <w:spacing w:val="-3"/>
          <w:sz w:val="24"/>
          <w:szCs w:val="24"/>
        </w:rPr>
        <w:t xml:space="preserve">Association of America (TIAA). </w:t>
      </w:r>
      <w:r w:rsidRPr="00F54559">
        <w:rPr>
          <w:rFonts w:eastAsia="Times New Roman" w:cstheme="minorHAnsi"/>
          <w:bCs/>
          <w:spacing w:val="-3"/>
          <w:sz w:val="24"/>
          <w:szCs w:val="24"/>
        </w:rPr>
        <w:t>The Board of Trustees and collective bargaining agreements establish benefit terms and mandatory employee and employer contribution rates.</w:t>
      </w:r>
    </w:p>
    <w:p w14:paraId="698F45A6"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4"/>
        </w:rPr>
      </w:pPr>
    </w:p>
    <w:p w14:paraId="386FF388" w14:textId="1D08CAB5" w:rsidR="00DD1612" w:rsidRPr="00F54559" w:rsidRDefault="00DD1612" w:rsidP="00DD1612">
      <w:pPr>
        <w:tabs>
          <w:tab w:val="left" w:pos="720"/>
          <w:tab w:val="left" w:pos="1440"/>
          <w:tab w:val="right" w:pos="4262"/>
          <w:tab w:val="right" w:pos="5220"/>
          <w:tab w:val="right" w:pos="6691"/>
          <w:tab w:val="right" w:pos="7621"/>
          <w:tab w:val="right" w:pos="9187"/>
        </w:tabs>
        <w:suppressAutoHyphens/>
        <w:rPr>
          <w:rFonts w:eastAsia="Times New Roman" w:cstheme="minorHAnsi"/>
          <w:bCs/>
          <w:spacing w:val="-3"/>
          <w:sz w:val="24"/>
          <w:szCs w:val="20"/>
        </w:rPr>
      </w:pPr>
      <w:r w:rsidRPr="00F54559">
        <w:rPr>
          <w:rFonts w:eastAsia="Times New Roman" w:cstheme="minorHAnsi"/>
          <w:sz w:val="24"/>
          <w:szCs w:val="20"/>
        </w:rPr>
        <w:t>All full-time employees are el</w:t>
      </w:r>
      <w:r w:rsidR="00541C5C">
        <w:rPr>
          <w:rFonts w:eastAsia="Times New Roman" w:cstheme="minorHAnsi"/>
          <w:sz w:val="24"/>
          <w:szCs w:val="20"/>
        </w:rPr>
        <w:t xml:space="preserve">igible once employment begins. </w:t>
      </w:r>
      <w:r w:rsidRPr="00F54559">
        <w:rPr>
          <w:rFonts w:eastAsia="Times New Roman" w:cstheme="minorHAnsi"/>
          <w:sz w:val="24"/>
          <w:szCs w:val="20"/>
        </w:rPr>
        <w:t>Part-time employees are eligible upon achieving the equivalent of five years of continuou</w:t>
      </w:r>
      <w:r w:rsidR="00541C5C">
        <w:rPr>
          <w:rFonts w:eastAsia="Times New Roman" w:cstheme="minorHAnsi"/>
          <w:sz w:val="24"/>
          <w:szCs w:val="20"/>
        </w:rPr>
        <w:t xml:space="preserve">s, full-time, regular service. </w:t>
      </w:r>
      <w:r w:rsidRPr="00F54559">
        <w:rPr>
          <w:rFonts w:eastAsia="Times New Roman" w:cstheme="minorHAnsi"/>
          <w:sz w:val="24"/>
          <w:szCs w:val="20"/>
        </w:rPr>
        <w:t xml:space="preserve">All eligible employees are required to participate when they reach thirty years of age. </w:t>
      </w:r>
      <w:r w:rsidRPr="00F54559">
        <w:rPr>
          <w:rFonts w:eastAsia="Times New Roman" w:cstheme="minorHAnsi"/>
          <w:bCs/>
          <w:spacing w:val="-3"/>
          <w:sz w:val="24"/>
          <w:szCs w:val="20"/>
        </w:rPr>
        <w:t>The System contributes an amount equal to 10% of each participant’s base salary and each participant contributes 4% of base salary. Participants may make additional voluntary contributions up to limits allowable b</w:t>
      </w:r>
      <w:r w:rsidR="00541C5C">
        <w:rPr>
          <w:rFonts w:eastAsia="Times New Roman" w:cstheme="minorHAnsi"/>
          <w:bCs/>
          <w:spacing w:val="-3"/>
          <w:sz w:val="24"/>
          <w:szCs w:val="20"/>
        </w:rPr>
        <w:t>y the Internal Revenue Service.</w:t>
      </w:r>
      <w:r w:rsidR="001F30B7">
        <w:rPr>
          <w:rFonts w:eastAsia="Times New Roman" w:cstheme="minorHAnsi"/>
          <w:bCs/>
          <w:spacing w:val="-3"/>
          <w:sz w:val="24"/>
          <w:szCs w:val="20"/>
        </w:rPr>
        <w:t xml:space="preserve"> </w:t>
      </w:r>
      <w:r w:rsidRPr="00F54559">
        <w:rPr>
          <w:rFonts w:eastAsia="Times New Roman" w:cstheme="minorHAnsi"/>
          <w:bCs/>
          <w:spacing w:val="-3"/>
          <w:sz w:val="24"/>
          <w:szCs w:val="20"/>
        </w:rPr>
        <w:t xml:space="preserve">The System </w:t>
      </w:r>
      <w:r>
        <w:rPr>
          <w:rFonts w:eastAsia="Times New Roman" w:cstheme="minorHAnsi"/>
          <w:bCs/>
          <w:spacing w:val="-3"/>
          <w:sz w:val="24"/>
          <w:szCs w:val="20"/>
        </w:rPr>
        <w:t>has</w:t>
      </w:r>
      <w:r w:rsidRPr="00F54559">
        <w:rPr>
          <w:rFonts w:eastAsia="Times New Roman" w:cstheme="minorHAnsi"/>
          <w:bCs/>
          <w:spacing w:val="-3"/>
          <w:sz w:val="24"/>
          <w:szCs w:val="20"/>
        </w:rPr>
        <w:t xml:space="preserve"> a five-year vesting schedule for the employer matching contribution for certain salaried employees hired on or after January 1, 2010. All participant contributions are fully and immediately vested.</w:t>
      </w:r>
    </w:p>
    <w:p w14:paraId="39DE7668"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0"/>
        </w:rPr>
      </w:pPr>
    </w:p>
    <w:p w14:paraId="267150FE"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eastAsia="Times New Roman" w:cstheme="minorHAnsi"/>
          <w:sz w:val="24"/>
          <w:szCs w:val="20"/>
        </w:rPr>
        <w:t xml:space="preserve">Effective June 1, 2014, TIAA became the sole record-keeper for the Contributory Retirement Plan. </w:t>
      </w:r>
      <w:r w:rsidRPr="00F54559">
        <w:rPr>
          <w:rFonts w:eastAsia="Times New Roman" w:cstheme="minorHAnsi"/>
          <w:bCs/>
          <w:sz w:val="24"/>
          <w:szCs w:val="20"/>
        </w:rPr>
        <w:t>Upon separation from the System, participants may withdraw up to 100% of their vested account balances or transfer funds to other investment alternatives subject to Internal Revenue Service limitations and the contractual provisions of the Contributory Plan.</w:t>
      </w:r>
    </w:p>
    <w:p w14:paraId="643CF89D" w14:textId="77777777" w:rsidR="00DD1612" w:rsidRPr="00F54559" w:rsidRDefault="00DD1612" w:rsidP="00DD1612">
      <w:pPr>
        <w:spacing w:line="259" w:lineRule="auto"/>
        <w:rPr>
          <w:rFonts w:cstheme="minorHAnsi"/>
        </w:rPr>
      </w:pPr>
    </w:p>
    <w:p w14:paraId="121A7ECC" w14:textId="4E36BBC8" w:rsidR="00AD72AB" w:rsidRDefault="00DD1612" w:rsidP="00DD1612">
      <w:pPr>
        <w:spacing w:after="160" w:line="259" w:lineRule="auto"/>
        <w:rPr>
          <w:rFonts w:cstheme="minorHAnsi"/>
          <w:sz w:val="24"/>
          <w:szCs w:val="24"/>
        </w:rPr>
      </w:pPr>
      <w:r w:rsidRPr="00EC75C7">
        <w:rPr>
          <w:rFonts w:cstheme="minorHAnsi"/>
          <w:sz w:val="24"/>
          <w:szCs w:val="24"/>
        </w:rPr>
        <w:t>Employee contributions made to the Contributory Plan were $</w:t>
      </w:r>
      <w:r w:rsidR="001E59F7" w:rsidRPr="00316B2A">
        <w:rPr>
          <w:rFonts w:cstheme="minorHAnsi"/>
          <w:sz w:val="24"/>
          <w:szCs w:val="24"/>
        </w:rPr>
        <w:t>10,158</w:t>
      </w:r>
      <w:r w:rsidRPr="001E59F7">
        <w:rPr>
          <w:rFonts w:cstheme="minorHAnsi"/>
          <w:sz w:val="24"/>
          <w:szCs w:val="24"/>
        </w:rPr>
        <w:t xml:space="preserve"> </w:t>
      </w:r>
      <w:r w:rsidRPr="00EC75C7">
        <w:rPr>
          <w:rFonts w:cstheme="minorHAnsi"/>
          <w:sz w:val="24"/>
          <w:szCs w:val="24"/>
        </w:rPr>
        <w:t xml:space="preserve">in </w:t>
      </w:r>
      <w:r w:rsidR="000E3C0A" w:rsidRPr="00EC75C7">
        <w:rPr>
          <w:rFonts w:cstheme="minorHAnsi"/>
          <w:sz w:val="24"/>
          <w:szCs w:val="24"/>
        </w:rPr>
        <w:t>FY2</w:t>
      </w:r>
      <w:r w:rsidR="000E3C0A">
        <w:rPr>
          <w:rFonts w:cstheme="minorHAnsi"/>
          <w:sz w:val="24"/>
          <w:szCs w:val="24"/>
        </w:rPr>
        <w:t>3</w:t>
      </w:r>
      <w:r w:rsidR="000E3C0A" w:rsidRPr="00EC75C7">
        <w:rPr>
          <w:rFonts w:cstheme="minorHAnsi"/>
          <w:sz w:val="24"/>
          <w:szCs w:val="24"/>
        </w:rPr>
        <w:t xml:space="preserve"> </w:t>
      </w:r>
      <w:r w:rsidRPr="00EC75C7">
        <w:rPr>
          <w:rFonts w:cstheme="minorHAnsi"/>
          <w:sz w:val="24"/>
          <w:szCs w:val="24"/>
        </w:rPr>
        <w:t>and $</w:t>
      </w:r>
      <w:r w:rsidR="000E3C0A" w:rsidRPr="00B861F2">
        <w:rPr>
          <w:rFonts w:cstheme="minorHAnsi"/>
          <w:sz w:val="24"/>
          <w:szCs w:val="24"/>
        </w:rPr>
        <w:t>9,618</w:t>
      </w:r>
      <w:r w:rsidR="000E3C0A" w:rsidRPr="00EC03B8">
        <w:rPr>
          <w:rFonts w:cstheme="minorHAnsi"/>
          <w:sz w:val="24"/>
          <w:szCs w:val="24"/>
        </w:rPr>
        <w:t xml:space="preserve"> </w:t>
      </w:r>
      <w:r w:rsidR="000E3C0A" w:rsidRPr="00EC75C7">
        <w:rPr>
          <w:rFonts w:cstheme="minorHAnsi"/>
          <w:sz w:val="24"/>
          <w:szCs w:val="24"/>
        </w:rPr>
        <w:t>in FY2</w:t>
      </w:r>
      <w:r w:rsidR="000E3C0A">
        <w:rPr>
          <w:rFonts w:cstheme="minorHAnsi"/>
          <w:sz w:val="24"/>
          <w:szCs w:val="24"/>
        </w:rPr>
        <w:t>2</w:t>
      </w:r>
      <w:r w:rsidRPr="00EC75C7">
        <w:rPr>
          <w:rFonts w:cstheme="minorHAnsi"/>
          <w:sz w:val="24"/>
          <w:szCs w:val="24"/>
        </w:rPr>
        <w:t>.</w:t>
      </w:r>
    </w:p>
    <w:p w14:paraId="24CEC83E" w14:textId="77777777" w:rsidR="00AD72AB" w:rsidRDefault="00AD72AB">
      <w:pPr>
        <w:spacing w:after="160" w:line="259" w:lineRule="auto"/>
        <w:rPr>
          <w:rFonts w:cstheme="minorHAnsi"/>
          <w:sz w:val="24"/>
          <w:szCs w:val="24"/>
        </w:rPr>
      </w:pPr>
      <w:r>
        <w:rPr>
          <w:rFonts w:cstheme="minorHAnsi"/>
          <w:sz w:val="24"/>
          <w:szCs w:val="24"/>
        </w:rPr>
        <w:br w:type="page"/>
      </w:r>
    </w:p>
    <w:p w14:paraId="1D7F10D5" w14:textId="6BEBA667" w:rsidR="00DD1612" w:rsidRPr="00F54559" w:rsidRDefault="00AD72AB" w:rsidP="0054109D">
      <w:pPr>
        <w:pStyle w:val="AFR3"/>
        <w:spacing w:after="240"/>
        <w:rPr>
          <w:rFonts w:cstheme="minorHAnsi"/>
        </w:rPr>
      </w:pPr>
      <w:r>
        <w:rPr>
          <w:rFonts w:cstheme="minorHAnsi"/>
        </w:rPr>
        <w:lastRenderedPageBreak/>
        <w:t>13</w:t>
      </w:r>
      <w:r w:rsidR="00DD1612" w:rsidRPr="00F54559">
        <w:rPr>
          <w:rFonts w:cstheme="minorHAnsi"/>
        </w:rPr>
        <w:t>b. Incentive Retirement Plan – Faculty and Professional Employees</w:t>
      </w:r>
    </w:p>
    <w:p w14:paraId="2EB5821D" w14:textId="77777777" w:rsidR="00DD1612" w:rsidRPr="00F54559" w:rsidRDefault="00DD1612" w:rsidP="00B04D7E">
      <w:pPr>
        <w:tabs>
          <w:tab w:val="left" w:pos="1858"/>
          <w:tab w:val="left" w:pos="2570"/>
          <w:tab w:val="left" w:pos="3283"/>
          <w:tab w:val="left" w:pos="3996"/>
          <w:tab w:val="left" w:pos="4709"/>
          <w:tab w:val="left" w:pos="5472"/>
        </w:tabs>
        <w:suppressAutoHyphens/>
        <w:spacing w:after="200"/>
        <w:rPr>
          <w:rFonts w:eastAsia="Times New Roman" w:cstheme="minorHAnsi"/>
          <w:spacing w:val="-3"/>
          <w:sz w:val="24"/>
          <w:szCs w:val="24"/>
        </w:rPr>
      </w:pPr>
      <w:r w:rsidRPr="00F54559">
        <w:rPr>
          <w:rFonts w:eastAsia="Times New Roman" w:cstheme="minorHAnsi"/>
          <w:b/>
          <w:sz w:val="26"/>
          <w:szCs w:val="26"/>
        </w:rPr>
        <w:t>Plan Description</w:t>
      </w:r>
      <w:r w:rsidRPr="00F54559">
        <w:rPr>
          <w:rFonts w:eastAsia="Times New Roman" w:cstheme="minorHAnsi"/>
          <w:spacing w:val="-3"/>
          <w:sz w:val="24"/>
          <w:szCs w:val="24"/>
        </w:rPr>
        <w:t xml:space="preserve"> </w:t>
      </w:r>
    </w:p>
    <w:p w14:paraId="044D57FF" w14:textId="7D15E745" w:rsidR="00DD1612" w:rsidRPr="00F54559" w:rsidRDefault="00DD1612" w:rsidP="00DD1612">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Plan Administration:</w:t>
      </w:r>
      <w:r w:rsidRPr="00F54559">
        <w:rPr>
          <w:rFonts w:eastAsia="Times New Roman" w:cstheme="minorHAnsi"/>
          <w:sz w:val="24"/>
          <w:szCs w:val="20"/>
        </w:rPr>
        <w:t xml:space="preserve"> </w:t>
      </w:r>
      <w:r w:rsidRPr="00F54559">
        <w:rPr>
          <w:rFonts w:eastAsia="Times New Roman" w:cstheme="minorHAnsi"/>
          <w:spacing w:val="-3"/>
          <w:sz w:val="24"/>
          <w:szCs w:val="24"/>
        </w:rPr>
        <w:t>The Incentive Retirement Plan is a single employer pl</w:t>
      </w:r>
      <w:r w:rsidR="00541C5C">
        <w:rPr>
          <w:rFonts w:eastAsia="Times New Roman" w:cstheme="minorHAnsi"/>
          <w:spacing w:val="-3"/>
          <w:sz w:val="24"/>
          <w:szCs w:val="24"/>
        </w:rPr>
        <w:t xml:space="preserve">an administered by the System. </w:t>
      </w:r>
      <w:r w:rsidRPr="00F54559">
        <w:rPr>
          <w:rFonts w:eastAsia="Times New Roman" w:cstheme="minorHAnsi"/>
          <w:spacing w:val="-3"/>
          <w:sz w:val="24"/>
          <w:szCs w:val="24"/>
        </w:rPr>
        <w:t>The Plan does not issue standalone financial statements.</w:t>
      </w:r>
    </w:p>
    <w:p w14:paraId="263593BA" w14:textId="77777777" w:rsidR="00DD1612" w:rsidRPr="00F54559" w:rsidRDefault="00DD1612" w:rsidP="00DD1612">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707101FC" w14:textId="77777777" w:rsidR="00DD1612" w:rsidRPr="00F54559" w:rsidRDefault="00DD1612" w:rsidP="00DD1612">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Benefits Provided:</w:t>
      </w:r>
      <w:r w:rsidRPr="00F54559">
        <w:rPr>
          <w:rFonts w:eastAsia="Times New Roman" w:cstheme="minorHAnsi"/>
          <w:sz w:val="24"/>
          <w:szCs w:val="20"/>
        </w:rPr>
        <w:t xml:space="preserve"> </w:t>
      </w:r>
      <w:r w:rsidRPr="00F54559">
        <w:rPr>
          <w:rFonts w:eastAsia="Times New Roman" w:cstheme="minorHAnsi"/>
          <w:spacing w:val="-3"/>
          <w:sz w:val="24"/>
          <w:szCs w:val="24"/>
        </w:rPr>
        <w:t xml:space="preserve">Represented faculty who were employed before July 1, </w:t>
      </w:r>
      <w:proofErr w:type="gramStart"/>
      <w:r w:rsidRPr="00F54559">
        <w:rPr>
          <w:rFonts w:eastAsia="Times New Roman" w:cstheme="minorHAnsi"/>
          <w:spacing w:val="-3"/>
          <w:sz w:val="24"/>
          <w:szCs w:val="24"/>
        </w:rPr>
        <w:t>1996</w:t>
      </w:r>
      <w:proofErr w:type="gramEnd"/>
      <w:r w:rsidRPr="00F54559">
        <w:rPr>
          <w:rFonts w:eastAsia="Times New Roman" w:cstheme="minorHAnsi"/>
          <w:spacing w:val="-3"/>
          <w:sz w:val="24"/>
          <w:szCs w:val="24"/>
        </w:rPr>
        <w:t xml:space="preserve"> and other professional employees who were employed before July 1, 2006 participate in the University of Maine System Incentive Retirement Plan (Incentive Plan), a defined benefit plan, which was established on July 1, 1975. The Board of Trustees has authority to establish and amend provisions under the Incentive Plan subject to collective bargaining.</w:t>
      </w:r>
    </w:p>
    <w:p w14:paraId="3A662253" w14:textId="77777777" w:rsidR="00DD1612" w:rsidRPr="00F54559" w:rsidRDefault="00DD1612" w:rsidP="00DD1612">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5138B354" w14:textId="25FA9AE4" w:rsidR="00DD1612" w:rsidRDefault="00DD1612" w:rsidP="0046346C">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Incentive Plan provides that eligible retiring employees with at least 10 years of continuous regular full-time equivalent service immediately prior to retirement will receive a benefit equivalent to 1½% times their completed years of service (up to a maximum of 27 years) times their final annual base salary. This amount is to be paid as a lump-sum contribution to the participant’s retirement account. Employees may elect to retire at any age on or after 55.</w:t>
      </w:r>
    </w:p>
    <w:p w14:paraId="1A14E912" w14:textId="77777777" w:rsidR="00AD72AB" w:rsidRDefault="00AD72AB" w:rsidP="0046346C">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39814CBE" w14:textId="77777777" w:rsidR="009724AC" w:rsidRPr="00F54559" w:rsidRDefault="009724AC" w:rsidP="009724AC">
      <w:pPr>
        <w:rPr>
          <w:rFonts w:eastAsia="Times New Roman" w:cstheme="minorHAnsi"/>
          <w:sz w:val="24"/>
        </w:rPr>
      </w:pPr>
      <w:r w:rsidRPr="00F54559">
        <w:rPr>
          <w:rFonts w:eastAsia="Times New Roman" w:cstheme="minorHAnsi"/>
          <w:b/>
          <w:i/>
          <w:spacing w:val="-2"/>
          <w:sz w:val="24"/>
        </w:rPr>
        <w:t xml:space="preserve">Plan Membership: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30, 20</w:t>
      </w:r>
      <w:r>
        <w:rPr>
          <w:rFonts w:eastAsia="Times New Roman" w:cstheme="minorHAnsi"/>
          <w:sz w:val="24"/>
        </w:rPr>
        <w:t>23</w:t>
      </w:r>
      <w:r w:rsidRPr="00F54559">
        <w:rPr>
          <w:rFonts w:eastAsia="Times New Roman" w:cstheme="minorHAnsi"/>
          <w:sz w:val="24"/>
        </w:rPr>
        <w:t xml:space="preserve"> and 20</w:t>
      </w:r>
      <w:r>
        <w:rPr>
          <w:rFonts w:eastAsia="Times New Roman" w:cstheme="minorHAnsi"/>
          <w:sz w:val="24"/>
        </w:rPr>
        <w:t>22</w:t>
      </w:r>
      <w:r w:rsidRPr="00F54559">
        <w:rPr>
          <w:rFonts w:eastAsia="Times New Roman" w:cstheme="minorHAnsi"/>
          <w:sz w:val="24"/>
        </w:rPr>
        <w:t>, active 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Pr>
          <w:rFonts w:eastAsia="Times New Roman" w:cstheme="minorHAnsi"/>
          <w:sz w:val="24"/>
        </w:rPr>
        <w:t>participants</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Pr>
          <w:rFonts w:eastAsia="Times New Roman" w:cstheme="minorHAnsi"/>
          <w:spacing w:val="-6"/>
          <w:sz w:val="24"/>
        </w:rPr>
        <w:t>608</w:t>
      </w:r>
      <w:r w:rsidRPr="00F54559">
        <w:rPr>
          <w:rFonts w:eastAsia="Times New Roman" w:cstheme="minorHAnsi"/>
          <w:spacing w:val="-6"/>
          <w:sz w:val="24"/>
        </w:rPr>
        <w:t xml:space="preserve"> and </w:t>
      </w:r>
      <w:r w:rsidRPr="006C7397">
        <w:rPr>
          <w:rFonts w:eastAsia="Times New Roman" w:cstheme="minorHAnsi"/>
          <w:spacing w:val="-6"/>
          <w:sz w:val="24"/>
        </w:rPr>
        <w:t>699</w:t>
      </w:r>
      <w:r w:rsidRPr="00F54559">
        <w:rPr>
          <w:rFonts w:eastAsia="Times New Roman" w:cstheme="minorHAnsi"/>
          <w:spacing w:val="-6"/>
          <w:sz w:val="24"/>
        </w:rPr>
        <w:t xml:space="preserve">, respectively. </w:t>
      </w:r>
    </w:p>
    <w:p w14:paraId="3D659792" w14:textId="77777777" w:rsidR="00DD1612" w:rsidRDefault="00DD1612" w:rsidP="00DD1612">
      <w:pPr>
        <w:spacing w:before="240" w:after="160"/>
        <w:rPr>
          <w:rFonts w:eastAsiaTheme="majorEastAsia" w:cstheme="minorHAnsi"/>
          <w:b/>
          <w:i/>
          <w:iCs/>
          <w:smallCaps/>
          <w:noProof/>
          <w:color w:val="000000" w:themeColor="text1"/>
          <w:sz w:val="26"/>
          <w:szCs w:val="26"/>
          <w:u w:color="5B9BD5"/>
        </w:rPr>
      </w:pPr>
      <w:r w:rsidRPr="00F54559">
        <w:rPr>
          <w:rFonts w:eastAsia="Franklin Gothic Book" w:cstheme="minorHAnsi"/>
          <w:b/>
          <w:i/>
          <w:sz w:val="24"/>
        </w:rPr>
        <w:t>Contributions:</w:t>
      </w:r>
      <w:r w:rsidRPr="00F54559">
        <w:rPr>
          <w:rFonts w:cstheme="minorHAnsi"/>
          <w:sz w:val="24"/>
        </w:rPr>
        <w:t xml:space="preserve"> The Incentive Plan is funded on a terminal funding basis - funded when costs become due and payable.</w:t>
      </w:r>
      <w:r w:rsidRPr="00F54559">
        <w:rPr>
          <w:rFonts w:cstheme="minorHAnsi"/>
          <w:w w:val="99"/>
          <w:sz w:val="24"/>
        </w:rPr>
        <w:t xml:space="preserve"> </w:t>
      </w:r>
      <w:r w:rsidRPr="00F54559">
        <w:rPr>
          <w:rFonts w:eastAsia="Times New Roman" w:cstheme="minorHAnsi"/>
          <w:sz w:val="24"/>
        </w:rPr>
        <w:t>Employees do not make contributions under the Incentive Plan.</w:t>
      </w:r>
    </w:p>
    <w:p w14:paraId="7D749EA4" w14:textId="77777777" w:rsidR="00DD1612" w:rsidRPr="00F54559" w:rsidRDefault="00DD1612" w:rsidP="00B04D7E">
      <w:pPr>
        <w:tabs>
          <w:tab w:val="left" w:pos="1858"/>
          <w:tab w:val="left" w:pos="2570"/>
          <w:tab w:val="left" w:pos="3283"/>
          <w:tab w:val="left" w:pos="3996"/>
          <w:tab w:val="left" w:pos="4709"/>
          <w:tab w:val="left" w:pos="5472"/>
        </w:tabs>
        <w:suppressAutoHyphens/>
        <w:spacing w:after="200"/>
        <w:rPr>
          <w:rFonts w:eastAsia="Times New Roman" w:cstheme="minorHAnsi"/>
          <w:b/>
          <w:sz w:val="26"/>
          <w:szCs w:val="26"/>
        </w:rPr>
      </w:pPr>
      <w:r w:rsidRPr="00F54559">
        <w:rPr>
          <w:rFonts w:eastAsia="Times New Roman" w:cstheme="minorHAnsi"/>
          <w:b/>
          <w:sz w:val="26"/>
          <w:szCs w:val="26"/>
        </w:rPr>
        <w:t>Net Pension Liability</w:t>
      </w:r>
    </w:p>
    <w:p w14:paraId="7DF6FB47" w14:textId="41EB746F" w:rsidR="00DD1612" w:rsidRPr="00F54559" w:rsidRDefault="00DD1612" w:rsidP="00DD1612">
      <w:pPr>
        <w:widowControl w:val="0"/>
        <w:rPr>
          <w:rFonts w:eastAsia="Franklin Gothic Book" w:cstheme="minorHAnsi"/>
          <w:spacing w:val="-1"/>
          <w:sz w:val="24"/>
        </w:rPr>
      </w:pPr>
      <w:r w:rsidRPr="00F54559">
        <w:rPr>
          <w:rFonts w:eastAsia="Times New Roman" w:cstheme="minorHAnsi"/>
          <w:sz w:val="24"/>
        </w:rPr>
        <w:t xml:space="preserve">The total pension liability related to the Incentive Plan at the measurement date of June 30, </w:t>
      </w:r>
      <w:r w:rsidR="006C6E2C" w:rsidRPr="00F54559">
        <w:rPr>
          <w:rFonts w:eastAsia="Times New Roman" w:cstheme="minorHAnsi"/>
          <w:sz w:val="24"/>
        </w:rPr>
        <w:t>20</w:t>
      </w:r>
      <w:r w:rsidR="006C6E2C">
        <w:rPr>
          <w:rFonts w:eastAsia="Times New Roman" w:cstheme="minorHAnsi"/>
          <w:sz w:val="24"/>
        </w:rPr>
        <w:t>23</w:t>
      </w:r>
      <w:r w:rsidR="006C6E2C" w:rsidRPr="00F54559">
        <w:rPr>
          <w:rFonts w:eastAsia="Times New Roman" w:cstheme="minorHAnsi"/>
          <w:sz w:val="24"/>
        </w:rPr>
        <w:t xml:space="preserve"> </w:t>
      </w:r>
      <w:r w:rsidRPr="00F54559">
        <w:rPr>
          <w:rFonts w:eastAsia="Times New Roman" w:cstheme="minorHAnsi"/>
          <w:sz w:val="24"/>
        </w:rPr>
        <w:t xml:space="preserve">and </w:t>
      </w:r>
      <w:r w:rsidR="006C6E2C" w:rsidRPr="00F54559">
        <w:rPr>
          <w:rFonts w:eastAsia="Times New Roman" w:cstheme="minorHAnsi"/>
          <w:sz w:val="24"/>
        </w:rPr>
        <w:t>20</w:t>
      </w:r>
      <w:r w:rsidR="006C6E2C">
        <w:rPr>
          <w:rFonts w:eastAsia="Times New Roman" w:cstheme="minorHAnsi"/>
          <w:sz w:val="24"/>
        </w:rPr>
        <w:t>22</w:t>
      </w:r>
      <w:r w:rsidR="006C6E2C" w:rsidRPr="00F54559">
        <w:rPr>
          <w:rFonts w:eastAsia="Times New Roman" w:cstheme="minorHAnsi"/>
          <w:sz w:val="24"/>
        </w:rPr>
        <w:t xml:space="preserve"> </w:t>
      </w:r>
      <w:r w:rsidRPr="00F54559">
        <w:rPr>
          <w:rFonts w:eastAsia="Times New Roman" w:cstheme="minorHAnsi"/>
          <w:sz w:val="24"/>
        </w:rPr>
        <w:t>was</w:t>
      </w:r>
      <w:r>
        <w:rPr>
          <w:rFonts w:eastAsia="Times New Roman" w:cstheme="minorHAnsi"/>
          <w:sz w:val="24"/>
        </w:rPr>
        <w:t xml:space="preserve"> $</w:t>
      </w:r>
      <w:r w:rsidR="006C6E2C">
        <w:rPr>
          <w:rFonts w:eastAsia="Times New Roman" w:cstheme="minorHAnsi"/>
          <w:sz w:val="24"/>
        </w:rPr>
        <w:t>17,206</w:t>
      </w:r>
      <w:r w:rsidRPr="00E96136">
        <w:rPr>
          <w:rFonts w:eastAsia="Times New Roman" w:cstheme="minorHAnsi"/>
          <w:sz w:val="24"/>
        </w:rPr>
        <w:t xml:space="preserve"> </w:t>
      </w:r>
      <w:r>
        <w:rPr>
          <w:rFonts w:eastAsia="Times New Roman" w:cstheme="minorHAnsi"/>
          <w:sz w:val="24"/>
        </w:rPr>
        <w:t xml:space="preserve">and </w:t>
      </w:r>
      <w:r w:rsidRPr="00F54559">
        <w:rPr>
          <w:rFonts w:eastAsia="Times New Roman" w:cstheme="minorHAnsi"/>
          <w:sz w:val="24"/>
        </w:rPr>
        <w:t>$</w:t>
      </w:r>
      <w:r w:rsidR="006C6E2C" w:rsidRPr="00A93FB3">
        <w:rPr>
          <w:rFonts w:eastAsia="Times New Roman" w:cstheme="minorHAnsi"/>
          <w:sz w:val="24"/>
        </w:rPr>
        <w:t>19,090</w:t>
      </w:r>
      <w:r w:rsidRPr="00F54559">
        <w:rPr>
          <w:rFonts w:eastAsia="Times New Roman" w:cstheme="minorHAnsi"/>
          <w:sz w:val="24"/>
        </w:rPr>
        <w:t>, respectively. The fiduciary net position as a percentage of the total pension liability was 0.0</w:t>
      </w:r>
      <w:r w:rsidR="00541C5C">
        <w:rPr>
          <w:rFonts w:eastAsia="Times New Roman" w:cstheme="minorHAnsi"/>
          <w:sz w:val="24"/>
        </w:rPr>
        <w:t xml:space="preserve">0% as this plan has no assets. </w:t>
      </w:r>
      <w:r w:rsidRPr="00F54559">
        <w:rPr>
          <w:rFonts w:eastAsia="Franklin Gothic Book" w:cstheme="minorHAnsi"/>
          <w:spacing w:val="-1"/>
          <w:sz w:val="24"/>
        </w:rPr>
        <w:t xml:space="preserve">The total pension liability as of June 30, </w:t>
      </w:r>
      <w:r w:rsidR="006C6E2C" w:rsidRPr="00F54559">
        <w:rPr>
          <w:rFonts w:eastAsia="Franklin Gothic Book" w:cstheme="minorHAnsi"/>
          <w:spacing w:val="-1"/>
          <w:sz w:val="24"/>
        </w:rPr>
        <w:t>20</w:t>
      </w:r>
      <w:r w:rsidR="006C6E2C">
        <w:rPr>
          <w:rFonts w:eastAsia="Franklin Gothic Book" w:cstheme="minorHAnsi"/>
          <w:spacing w:val="-1"/>
          <w:sz w:val="24"/>
        </w:rPr>
        <w:t>23</w:t>
      </w:r>
      <w:r w:rsidR="006C6E2C" w:rsidRPr="00F54559">
        <w:rPr>
          <w:rFonts w:eastAsia="Franklin Gothic Book" w:cstheme="minorHAnsi"/>
          <w:spacing w:val="-1"/>
          <w:sz w:val="24"/>
        </w:rPr>
        <w:t xml:space="preserve"> </w:t>
      </w:r>
      <w:r w:rsidRPr="00F54559">
        <w:rPr>
          <w:rFonts w:eastAsia="Franklin Gothic Book" w:cstheme="minorHAnsi"/>
          <w:spacing w:val="-1"/>
          <w:sz w:val="24"/>
        </w:rPr>
        <w:t xml:space="preserve">and </w:t>
      </w:r>
      <w:r w:rsidR="006C6E2C" w:rsidRPr="00F54559">
        <w:rPr>
          <w:rFonts w:eastAsia="Franklin Gothic Book" w:cstheme="minorHAnsi"/>
          <w:spacing w:val="-1"/>
          <w:sz w:val="24"/>
        </w:rPr>
        <w:t>20</w:t>
      </w:r>
      <w:r w:rsidR="006C6E2C">
        <w:rPr>
          <w:rFonts w:eastAsia="Franklin Gothic Book" w:cstheme="minorHAnsi"/>
          <w:spacing w:val="-1"/>
          <w:sz w:val="24"/>
        </w:rPr>
        <w:t>22</w:t>
      </w:r>
      <w:r w:rsidR="006C6E2C" w:rsidRPr="00F54559">
        <w:rPr>
          <w:rFonts w:eastAsia="Franklin Gothic Book" w:cstheme="minorHAnsi"/>
          <w:spacing w:val="-1"/>
          <w:sz w:val="24"/>
        </w:rPr>
        <w:t xml:space="preserve"> </w:t>
      </w:r>
      <w:r w:rsidRPr="00F54559">
        <w:rPr>
          <w:rFonts w:eastAsia="Franklin Gothic Book" w:cstheme="minorHAnsi"/>
          <w:spacing w:val="-1"/>
          <w:sz w:val="24"/>
        </w:rPr>
        <w:t xml:space="preserve">was determined by an actuarial valuation as of </w:t>
      </w:r>
      <w:r w:rsidR="006C6E2C">
        <w:rPr>
          <w:rFonts w:eastAsia="Franklin Gothic Book" w:cstheme="minorHAnsi"/>
          <w:spacing w:val="-1"/>
          <w:sz w:val="24"/>
        </w:rPr>
        <w:t xml:space="preserve">July 1, 2023 and </w:t>
      </w:r>
      <w:r w:rsidRPr="002F393E">
        <w:rPr>
          <w:rFonts w:eastAsia="Franklin Gothic Book" w:cstheme="minorHAnsi"/>
          <w:spacing w:val="-1"/>
          <w:sz w:val="24"/>
        </w:rPr>
        <w:t xml:space="preserve">July 1, 2021 </w:t>
      </w:r>
      <w:r w:rsidRPr="00363A68">
        <w:rPr>
          <w:rFonts w:eastAsia="Franklin Gothic Book" w:cstheme="minorHAnsi"/>
          <w:spacing w:val="-1"/>
          <w:sz w:val="24"/>
        </w:rPr>
        <w:t>rolled forward to the measurement date of June 30, 2022</w:t>
      </w:r>
      <w:r w:rsidRPr="002F393E">
        <w:rPr>
          <w:rFonts w:eastAsia="Franklin Gothic Book" w:cstheme="minorHAnsi"/>
          <w:spacing w:val="-1"/>
          <w:sz w:val="24"/>
        </w:rPr>
        <w:t xml:space="preserve">, respectively, using the following actuarial </w:t>
      </w:r>
      <w:r w:rsidRPr="00F54559">
        <w:rPr>
          <w:rFonts w:eastAsia="Franklin Gothic Book" w:cstheme="minorHAnsi"/>
          <w:spacing w:val="-1"/>
          <w:sz w:val="24"/>
        </w:rPr>
        <w:t>assumptions, applied to all periods included in the measurement:</w:t>
      </w:r>
    </w:p>
    <w:p w14:paraId="0712BCD2" w14:textId="77777777" w:rsidR="00DD1612" w:rsidRPr="00F54559" w:rsidRDefault="00DD1612" w:rsidP="00DD1612">
      <w:pPr>
        <w:widowControl w:val="0"/>
        <w:rPr>
          <w:rFonts w:eastAsia="Franklin Gothic Book" w:cstheme="minorHAnsi"/>
          <w:sz w:val="24"/>
        </w:rPr>
      </w:pPr>
    </w:p>
    <w:p w14:paraId="74E278A9" w14:textId="77777777" w:rsidR="00DD1612" w:rsidRPr="00C96CEF" w:rsidRDefault="00DD1612" w:rsidP="00DD1612">
      <w:pPr>
        <w:widowControl w:val="0"/>
        <w:rPr>
          <w:rFonts w:eastAsia="Franklin Gothic Book" w:cstheme="minorHAnsi"/>
          <w:sz w:val="6"/>
          <w:szCs w:val="6"/>
        </w:rPr>
      </w:pPr>
    </w:p>
    <w:p w14:paraId="2F3BEA53" w14:textId="77777777" w:rsidR="00DD1612" w:rsidRPr="006C7397" w:rsidRDefault="00DD1612" w:rsidP="00DD1612">
      <w:pPr>
        <w:widowControl w:val="0"/>
        <w:pBdr>
          <w:top w:val="single" w:sz="4" w:space="1" w:color="00688D"/>
        </w:pBdr>
        <w:tabs>
          <w:tab w:val="left" w:pos="2610"/>
        </w:tabs>
        <w:ind w:left="270" w:right="360"/>
        <w:rPr>
          <w:rFonts w:eastAsia="Franklin Gothic Book" w:cstheme="minorHAnsi"/>
          <w:color w:val="FF0000"/>
          <w:sz w:val="24"/>
          <w:szCs w:val="24"/>
        </w:rPr>
      </w:pPr>
      <w:r w:rsidRPr="00926FB3">
        <w:rPr>
          <w:rFonts w:eastAsia="Franklin Gothic Book" w:cstheme="minorHAnsi"/>
          <w:sz w:val="24"/>
          <w:szCs w:val="24"/>
        </w:rPr>
        <w:t>Actuarial cost method</w:t>
      </w:r>
      <w:r w:rsidRPr="00926FB3">
        <w:rPr>
          <w:rFonts w:eastAsia="Franklin Gothic Book" w:cstheme="minorHAnsi"/>
          <w:sz w:val="24"/>
          <w:szCs w:val="24"/>
        </w:rPr>
        <w:tab/>
      </w:r>
      <w:r w:rsidRPr="00B86B5A">
        <w:rPr>
          <w:rFonts w:eastAsia="Franklin Gothic Book" w:cstheme="minorHAnsi"/>
          <w:sz w:val="24"/>
          <w:szCs w:val="24"/>
        </w:rPr>
        <w:t>Entry age normal</w:t>
      </w:r>
    </w:p>
    <w:p w14:paraId="2899409B" w14:textId="77777777" w:rsidR="00DD1612" w:rsidRPr="00B86B5A" w:rsidRDefault="00DD1612" w:rsidP="00DD1612">
      <w:pPr>
        <w:widowControl w:val="0"/>
        <w:tabs>
          <w:tab w:val="left" w:pos="2610"/>
        </w:tabs>
        <w:ind w:left="270" w:right="360"/>
        <w:rPr>
          <w:rFonts w:eastAsia="Franklin Gothic Book" w:cstheme="minorHAnsi"/>
          <w:sz w:val="24"/>
          <w:szCs w:val="24"/>
        </w:rPr>
      </w:pPr>
      <w:r w:rsidRPr="00B86B5A">
        <w:rPr>
          <w:rFonts w:eastAsia="Franklin Gothic Book" w:cstheme="minorHAnsi"/>
          <w:sz w:val="24"/>
          <w:szCs w:val="24"/>
        </w:rPr>
        <w:t>Inflation</w:t>
      </w:r>
      <w:r w:rsidRPr="00B86B5A">
        <w:rPr>
          <w:rFonts w:eastAsia="Franklin Gothic Book" w:cstheme="minorHAnsi"/>
          <w:sz w:val="24"/>
          <w:szCs w:val="24"/>
        </w:rPr>
        <w:tab/>
        <w:t>Not explicitly assumed</w:t>
      </w:r>
    </w:p>
    <w:p w14:paraId="1A50349B" w14:textId="77777777" w:rsidR="00DD1612" w:rsidRPr="000F41A3" w:rsidRDefault="00DD1612" w:rsidP="00DD1612">
      <w:pPr>
        <w:widowControl w:val="0"/>
        <w:tabs>
          <w:tab w:val="left" w:pos="2610"/>
        </w:tabs>
        <w:ind w:left="270" w:right="360"/>
        <w:rPr>
          <w:rFonts w:eastAsia="Franklin Gothic Book" w:cstheme="minorHAnsi"/>
          <w:sz w:val="24"/>
          <w:szCs w:val="24"/>
        </w:rPr>
      </w:pPr>
      <w:r w:rsidRPr="00B86B5A">
        <w:rPr>
          <w:rFonts w:eastAsia="Franklin Gothic Book" w:cstheme="minorHAnsi"/>
          <w:sz w:val="24"/>
          <w:szCs w:val="24"/>
        </w:rPr>
        <w:t>Salary increases</w:t>
      </w:r>
      <w:r w:rsidRPr="00B86B5A">
        <w:rPr>
          <w:rFonts w:eastAsia="Franklin Gothic Book" w:cstheme="minorHAnsi"/>
          <w:sz w:val="24"/>
          <w:szCs w:val="24"/>
        </w:rPr>
        <w:tab/>
        <w:t>3.5% per year, including longevity</w:t>
      </w:r>
    </w:p>
    <w:p w14:paraId="11FEDDED" w14:textId="744DFB96" w:rsidR="00DD1612" w:rsidRPr="00A93FB3" w:rsidRDefault="00DD1612" w:rsidP="00DD1612">
      <w:pPr>
        <w:widowControl w:val="0"/>
        <w:tabs>
          <w:tab w:val="left" w:pos="2610"/>
        </w:tabs>
        <w:ind w:left="270" w:right="360"/>
        <w:rPr>
          <w:rFonts w:eastAsia="Franklin Gothic Book" w:cstheme="minorHAnsi"/>
          <w:sz w:val="24"/>
          <w:szCs w:val="24"/>
        </w:rPr>
      </w:pPr>
      <w:r w:rsidRPr="000F41A3">
        <w:rPr>
          <w:rFonts w:eastAsia="Franklin Gothic Book" w:cstheme="minorHAnsi"/>
          <w:sz w:val="24"/>
          <w:szCs w:val="24"/>
        </w:rPr>
        <w:t>Discount rate</w:t>
      </w:r>
      <w:r w:rsidRPr="000F41A3">
        <w:rPr>
          <w:rFonts w:eastAsia="Franklin Gothic Book" w:cstheme="minorHAnsi"/>
          <w:sz w:val="24"/>
          <w:szCs w:val="24"/>
        </w:rPr>
        <w:tab/>
      </w:r>
      <w:r w:rsidRPr="00A93FB3">
        <w:rPr>
          <w:rFonts w:eastAsia="Franklin Gothic Book" w:cstheme="minorHAnsi"/>
          <w:sz w:val="24"/>
          <w:szCs w:val="24"/>
        </w:rPr>
        <w:t>3.</w:t>
      </w:r>
      <w:r w:rsidR="006C6E2C">
        <w:rPr>
          <w:rFonts w:eastAsia="Franklin Gothic Book" w:cstheme="minorHAnsi"/>
          <w:sz w:val="24"/>
          <w:szCs w:val="24"/>
        </w:rPr>
        <w:t>65</w:t>
      </w:r>
      <w:r w:rsidRPr="00A93FB3">
        <w:rPr>
          <w:rFonts w:eastAsia="Franklin Gothic Book" w:cstheme="minorHAnsi"/>
          <w:sz w:val="24"/>
          <w:szCs w:val="24"/>
        </w:rPr>
        <w:t xml:space="preserve">% as of June 30, </w:t>
      </w:r>
      <w:r w:rsidR="006C6E2C" w:rsidRPr="00A93FB3">
        <w:rPr>
          <w:rFonts w:eastAsia="Franklin Gothic Book" w:cstheme="minorHAnsi"/>
          <w:sz w:val="24"/>
          <w:szCs w:val="24"/>
        </w:rPr>
        <w:t>202</w:t>
      </w:r>
      <w:r w:rsidR="006C6E2C">
        <w:rPr>
          <w:rFonts w:eastAsia="Franklin Gothic Book" w:cstheme="minorHAnsi"/>
          <w:sz w:val="24"/>
          <w:szCs w:val="24"/>
        </w:rPr>
        <w:t>3</w:t>
      </w:r>
    </w:p>
    <w:p w14:paraId="799488BD" w14:textId="6DD401F7" w:rsidR="00DD1612" w:rsidRPr="006C7397" w:rsidRDefault="00DD1612" w:rsidP="00DD1612">
      <w:pPr>
        <w:widowControl w:val="0"/>
        <w:tabs>
          <w:tab w:val="left" w:pos="2610"/>
        </w:tabs>
        <w:ind w:left="270" w:right="360"/>
        <w:rPr>
          <w:rFonts w:eastAsia="Franklin Gothic Book" w:cstheme="minorHAnsi"/>
          <w:color w:val="FF0000"/>
          <w:sz w:val="24"/>
          <w:szCs w:val="24"/>
        </w:rPr>
      </w:pPr>
      <w:r w:rsidRPr="00A93FB3">
        <w:rPr>
          <w:rFonts w:eastAsia="Franklin Gothic Book" w:cstheme="minorHAnsi"/>
          <w:sz w:val="24"/>
          <w:szCs w:val="24"/>
        </w:rPr>
        <w:tab/>
      </w:r>
      <w:r w:rsidR="006C6E2C" w:rsidRPr="00A93FB3">
        <w:rPr>
          <w:rFonts w:eastAsia="Franklin Gothic Book" w:cstheme="minorHAnsi"/>
          <w:sz w:val="24"/>
          <w:szCs w:val="24"/>
        </w:rPr>
        <w:t>3.54% as of June 30, 2022</w:t>
      </w:r>
    </w:p>
    <w:p w14:paraId="524EAAFA" w14:textId="6FDDEA99" w:rsidR="00DD1612" w:rsidRPr="006C7397" w:rsidRDefault="00DD1612" w:rsidP="00DD1612">
      <w:pPr>
        <w:widowControl w:val="0"/>
        <w:pBdr>
          <w:bottom w:val="single" w:sz="4" w:space="1" w:color="00688D"/>
        </w:pBdr>
        <w:tabs>
          <w:tab w:val="left" w:pos="2610"/>
        </w:tabs>
        <w:ind w:left="2610" w:right="360" w:hanging="2340"/>
        <w:rPr>
          <w:rFonts w:eastAsia="Franklin Gothic Book" w:cstheme="minorHAnsi"/>
          <w:color w:val="FF0000"/>
          <w:sz w:val="24"/>
          <w:szCs w:val="24"/>
        </w:rPr>
      </w:pPr>
      <w:r w:rsidRPr="00B86B5A">
        <w:rPr>
          <w:rFonts w:eastAsia="Franklin Gothic Book" w:cstheme="minorHAnsi"/>
          <w:sz w:val="24"/>
          <w:szCs w:val="24"/>
        </w:rPr>
        <w:t>Life expectancy</w:t>
      </w:r>
      <w:r w:rsidRPr="00B86B5A">
        <w:rPr>
          <w:rFonts w:eastAsia="Franklin Gothic Book" w:cstheme="minorHAnsi"/>
          <w:sz w:val="24"/>
          <w:szCs w:val="24"/>
        </w:rPr>
        <w:tab/>
      </w:r>
      <w:r w:rsidR="006C6E2C" w:rsidRPr="00A93FB3">
        <w:rPr>
          <w:rFonts w:eastAsia="Franklin Gothic Book" w:cstheme="minorHAnsi"/>
          <w:sz w:val="24"/>
          <w:szCs w:val="24"/>
        </w:rPr>
        <w:t>202</w:t>
      </w:r>
      <w:r w:rsidR="006C6E2C">
        <w:rPr>
          <w:rFonts w:eastAsia="Franklin Gothic Book" w:cstheme="minorHAnsi"/>
          <w:sz w:val="24"/>
          <w:szCs w:val="24"/>
        </w:rPr>
        <w:t>3</w:t>
      </w:r>
      <w:r w:rsidR="006C6E2C" w:rsidRPr="00A93FB3">
        <w:rPr>
          <w:rFonts w:eastAsia="Franklin Gothic Book" w:cstheme="minorHAnsi"/>
          <w:sz w:val="24"/>
          <w:szCs w:val="24"/>
        </w:rPr>
        <w:t xml:space="preserve"> </w:t>
      </w:r>
      <w:r w:rsidRPr="00A93FB3">
        <w:rPr>
          <w:rFonts w:eastAsia="Franklin Gothic Book" w:cstheme="minorHAnsi"/>
          <w:sz w:val="24"/>
          <w:szCs w:val="24"/>
        </w:rPr>
        <w:t xml:space="preserve">and </w:t>
      </w:r>
      <w:r w:rsidR="006C6E2C" w:rsidRPr="00B86B5A">
        <w:rPr>
          <w:rFonts w:eastAsia="Franklin Gothic Book" w:cstheme="minorHAnsi"/>
          <w:sz w:val="24"/>
          <w:szCs w:val="24"/>
        </w:rPr>
        <w:t>202</w:t>
      </w:r>
      <w:r w:rsidR="006C6E2C">
        <w:rPr>
          <w:rFonts w:eastAsia="Franklin Gothic Book" w:cstheme="minorHAnsi"/>
          <w:sz w:val="24"/>
          <w:szCs w:val="24"/>
        </w:rPr>
        <w:t>2</w:t>
      </w:r>
      <w:r w:rsidRPr="00B86B5A">
        <w:rPr>
          <w:rFonts w:eastAsia="Franklin Gothic Book" w:cstheme="minorHAnsi"/>
          <w:sz w:val="24"/>
          <w:szCs w:val="24"/>
        </w:rPr>
        <w:t>: Mortality rates were based on the Pub-2010 Mortality Table projected with Scale MP-</w:t>
      </w:r>
      <w:r w:rsidR="006C6E2C" w:rsidRPr="00B86B5A">
        <w:rPr>
          <w:rFonts w:eastAsia="Franklin Gothic Book" w:cstheme="minorHAnsi"/>
          <w:sz w:val="24"/>
          <w:szCs w:val="24"/>
        </w:rPr>
        <w:t>202</w:t>
      </w:r>
      <w:r w:rsidR="006C6E2C">
        <w:rPr>
          <w:rFonts w:eastAsia="Franklin Gothic Book" w:cstheme="minorHAnsi"/>
          <w:sz w:val="24"/>
          <w:szCs w:val="24"/>
        </w:rPr>
        <w:t xml:space="preserve">1 </w:t>
      </w:r>
      <w:r w:rsidR="00F927FE">
        <w:rPr>
          <w:rFonts w:eastAsia="Franklin Gothic Book" w:cstheme="minorHAnsi"/>
          <w:sz w:val="24"/>
          <w:szCs w:val="24"/>
        </w:rPr>
        <w:t xml:space="preserve">and Scale </w:t>
      </w:r>
      <w:r w:rsidR="006C6E2C">
        <w:rPr>
          <w:rFonts w:eastAsia="Franklin Gothic Book" w:cstheme="minorHAnsi"/>
          <w:sz w:val="24"/>
          <w:szCs w:val="24"/>
        </w:rPr>
        <w:t xml:space="preserve">MP2020, respectively. </w:t>
      </w:r>
    </w:p>
    <w:p w14:paraId="2F021D73" w14:textId="77777777" w:rsidR="00DD1612" w:rsidRPr="00C96CEF" w:rsidRDefault="00DD1612" w:rsidP="00DD1612">
      <w:pPr>
        <w:widowControl w:val="0"/>
        <w:pBdr>
          <w:bottom w:val="single" w:sz="4" w:space="1" w:color="00688D"/>
        </w:pBdr>
        <w:tabs>
          <w:tab w:val="left" w:pos="2610"/>
        </w:tabs>
        <w:ind w:left="2610" w:right="360" w:hanging="2340"/>
        <w:rPr>
          <w:rFonts w:eastAsia="Franklin Gothic Book" w:cstheme="minorHAnsi"/>
          <w:sz w:val="2"/>
          <w:szCs w:val="2"/>
        </w:rPr>
      </w:pPr>
    </w:p>
    <w:p w14:paraId="7E25815A" w14:textId="16CD0430" w:rsidR="00AD72AB" w:rsidRDefault="00DD1612" w:rsidP="000041DC">
      <w:pPr>
        <w:spacing w:before="120"/>
        <w:ind w:right="-7"/>
        <w:rPr>
          <w:rFonts w:eastAsia="Times New Roman" w:cstheme="minorHAnsi"/>
          <w:i/>
          <w:sz w:val="24"/>
        </w:rPr>
      </w:pPr>
      <w:r w:rsidRPr="00F54559">
        <w:rPr>
          <w:rFonts w:eastAsia="Franklin Gothic Book" w:cstheme="minorHAnsi"/>
          <w:b/>
          <w:i/>
          <w:sz w:val="24"/>
        </w:rPr>
        <w:t>Discount rate</w:t>
      </w:r>
      <w:r w:rsidRPr="00F54559">
        <w:rPr>
          <w:rFonts w:eastAsia="Times New Roman" w:cstheme="minorHAnsi"/>
          <w:b/>
          <w:sz w:val="24"/>
        </w:rPr>
        <w:t>:</w:t>
      </w:r>
      <w:r w:rsidRPr="00F54559">
        <w:rPr>
          <w:rFonts w:eastAsia="Times New Roman" w:cstheme="minorHAnsi"/>
          <w:sz w:val="24"/>
        </w:rPr>
        <w:t xml:space="preserve"> GASB Statement No. 73, </w:t>
      </w:r>
      <w:r w:rsidRPr="00F54559">
        <w:rPr>
          <w:rFonts w:eastAsia="Times New Roman" w:cstheme="minorHAnsi"/>
          <w:i/>
          <w:sz w:val="24"/>
        </w:rPr>
        <w:t xml:space="preserve">Accounting and Financial Reporting for Pensions and Related Assets That Are Not within the Scope of GASB Statement 68, and Amendments to </w:t>
      </w:r>
    </w:p>
    <w:p w14:paraId="24EEA5EF" w14:textId="77777777" w:rsidR="000041DC" w:rsidRPr="00AD72AB" w:rsidRDefault="000041DC" w:rsidP="000041DC">
      <w:pPr>
        <w:ind w:right="-7"/>
        <w:rPr>
          <w:rFonts w:cstheme="minorHAnsi"/>
          <w:b/>
          <w:i/>
          <w:sz w:val="26"/>
          <w:u w:val="single" w:color="000000" w:themeColor="text1"/>
        </w:rPr>
      </w:pPr>
      <w:r w:rsidRPr="00AD72AB">
        <w:rPr>
          <w:rFonts w:cstheme="minorHAnsi"/>
          <w:b/>
          <w:i/>
          <w:sz w:val="26"/>
          <w:u w:val="single" w:color="000000" w:themeColor="text1"/>
        </w:rPr>
        <w:lastRenderedPageBreak/>
        <w:t>13b. Incentive Retirement Plan – Faculty and Professional Employees - continued</w:t>
      </w:r>
    </w:p>
    <w:p w14:paraId="3747579B" w14:textId="77777777" w:rsidR="000041DC" w:rsidRPr="00B04D7E" w:rsidRDefault="000041DC" w:rsidP="00DD1612">
      <w:pPr>
        <w:ind w:right="-7"/>
        <w:rPr>
          <w:rFonts w:eastAsia="Times New Roman" w:cstheme="minorHAnsi"/>
          <w:i/>
          <w:sz w:val="18"/>
          <w:szCs w:val="18"/>
        </w:rPr>
      </w:pPr>
    </w:p>
    <w:p w14:paraId="06EE88D3" w14:textId="1235DC0B" w:rsidR="00DD1612" w:rsidRPr="00F54559" w:rsidRDefault="00DD1612" w:rsidP="00DD1612">
      <w:pPr>
        <w:ind w:right="-7"/>
        <w:rPr>
          <w:rFonts w:eastAsia="Times New Roman" w:cstheme="minorHAnsi"/>
          <w:sz w:val="24"/>
        </w:rPr>
      </w:pPr>
      <w:r w:rsidRPr="00F54559">
        <w:rPr>
          <w:rFonts w:eastAsia="Times New Roman" w:cstheme="minorHAnsi"/>
          <w:i/>
          <w:sz w:val="24"/>
        </w:rPr>
        <w:t xml:space="preserve">Certain Provisions of GASB Statements 67 and 68, </w:t>
      </w:r>
      <w:r w:rsidRPr="00F54559">
        <w:rPr>
          <w:rFonts w:eastAsia="Times New Roman" w:cstheme="minorHAnsi"/>
          <w:sz w:val="24"/>
        </w:rPr>
        <w:t>requires projected benefit payments be discounted to their actuarial present value using a tax-exempt, high-quality municipal bond rate.</w:t>
      </w:r>
    </w:p>
    <w:p w14:paraId="0803BE2E" w14:textId="77777777" w:rsidR="00DD1612" w:rsidRPr="00B04D7E" w:rsidRDefault="00DD1612" w:rsidP="00DD1612">
      <w:pPr>
        <w:tabs>
          <w:tab w:val="left" w:pos="6390"/>
        </w:tabs>
        <w:rPr>
          <w:rFonts w:cstheme="minorHAnsi"/>
          <w:sz w:val="18"/>
          <w:szCs w:val="18"/>
        </w:rPr>
      </w:pPr>
    </w:p>
    <w:p w14:paraId="12A38EAE" w14:textId="54E6EAD6" w:rsidR="00DD1612" w:rsidRPr="00F54559" w:rsidRDefault="00DD1612" w:rsidP="00DD1612">
      <w:pPr>
        <w:rPr>
          <w:rFonts w:cstheme="minorHAnsi"/>
          <w:sz w:val="24"/>
        </w:rPr>
      </w:pPr>
      <w:r w:rsidRPr="00F54559">
        <w:rPr>
          <w:rFonts w:eastAsia="Times New Roman" w:cstheme="minorHAnsi"/>
          <w:sz w:val="24"/>
        </w:rPr>
        <w:t xml:space="preserve">For the Incentive Plan, which does not hold assets, the total pension liability is based on the discount rate </w:t>
      </w:r>
      <w:r w:rsidRPr="00DB0727">
        <w:rPr>
          <w:rFonts w:eastAsia="Times New Roman" w:cstheme="minorHAnsi"/>
          <w:sz w:val="24"/>
        </w:rPr>
        <w:t xml:space="preserve">of </w:t>
      </w:r>
      <w:r w:rsidRPr="006C7397">
        <w:rPr>
          <w:rFonts w:eastAsia="Times New Roman" w:cstheme="minorHAnsi"/>
          <w:sz w:val="24"/>
        </w:rPr>
        <w:t>3.</w:t>
      </w:r>
      <w:r w:rsidR="00BD375F">
        <w:rPr>
          <w:rFonts w:eastAsia="Times New Roman" w:cstheme="minorHAnsi"/>
          <w:sz w:val="24"/>
        </w:rPr>
        <w:t>65</w:t>
      </w:r>
      <w:r w:rsidRPr="00F54559">
        <w:rPr>
          <w:rFonts w:eastAsia="Times New Roman" w:cstheme="minorHAnsi"/>
          <w:sz w:val="24"/>
        </w:rPr>
        <w:t xml:space="preserve">% and </w:t>
      </w:r>
      <w:r w:rsidR="00BD375F">
        <w:rPr>
          <w:rFonts w:eastAsia="Times New Roman" w:cstheme="minorHAnsi"/>
          <w:sz w:val="24"/>
        </w:rPr>
        <w:t>3.54</w:t>
      </w:r>
      <w:r w:rsidRPr="00F54559">
        <w:rPr>
          <w:rFonts w:eastAsia="Times New Roman" w:cstheme="minorHAnsi"/>
          <w:sz w:val="24"/>
        </w:rPr>
        <w:t>%</w:t>
      </w:r>
      <w:r>
        <w:rPr>
          <w:rFonts w:eastAsia="Times New Roman" w:cstheme="minorHAnsi"/>
          <w:sz w:val="24"/>
        </w:rPr>
        <w:t xml:space="preserve"> </w:t>
      </w:r>
      <w:r w:rsidRPr="00F54559">
        <w:rPr>
          <w:rFonts w:eastAsia="Times New Roman" w:cstheme="minorHAnsi"/>
          <w:sz w:val="24"/>
        </w:rPr>
        <w:t xml:space="preserve">as of June 30, </w:t>
      </w:r>
      <w:proofErr w:type="gramStart"/>
      <w:r w:rsidR="00BD375F" w:rsidRPr="00F54559">
        <w:rPr>
          <w:rFonts w:eastAsia="Times New Roman" w:cstheme="minorHAnsi"/>
          <w:sz w:val="24"/>
        </w:rPr>
        <w:t>20</w:t>
      </w:r>
      <w:r w:rsidR="00BD375F">
        <w:rPr>
          <w:rFonts w:eastAsia="Times New Roman" w:cstheme="minorHAnsi"/>
          <w:sz w:val="24"/>
        </w:rPr>
        <w:t>23</w:t>
      </w:r>
      <w:proofErr w:type="gramEnd"/>
      <w:r w:rsidR="00BD375F" w:rsidRPr="00F54559">
        <w:rPr>
          <w:rFonts w:eastAsia="Times New Roman" w:cstheme="minorHAnsi"/>
          <w:sz w:val="24"/>
        </w:rPr>
        <w:t xml:space="preserve"> </w:t>
      </w:r>
      <w:r w:rsidRPr="00F54559">
        <w:rPr>
          <w:rFonts w:eastAsia="Times New Roman" w:cstheme="minorHAnsi"/>
          <w:sz w:val="24"/>
        </w:rPr>
        <w:t xml:space="preserve">and </w:t>
      </w:r>
      <w:r w:rsidR="00BD375F" w:rsidRPr="00F54559">
        <w:rPr>
          <w:rFonts w:eastAsia="Times New Roman" w:cstheme="minorHAnsi"/>
          <w:sz w:val="24"/>
        </w:rPr>
        <w:t>20</w:t>
      </w:r>
      <w:r w:rsidR="00BD375F">
        <w:rPr>
          <w:rFonts w:eastAsia="Times New Roman" w:cstheme="minorHAnsi"/>
          <w:sz w:val="24"/>
        </w:rPr>
        <w:t>22</w:t>
      </w:r>
      <w:r w:rsidRPr="00F54559">
        <w:rPr>
          <w:rFonts w:eastAsia="Times New Roman" w:cstheme="minorHAnsi"/>
          <w:sz w:val="24"/>
        </w:rPr>
        <w:t xml:space="preserve">, respectively. The rates are based on the municipal bond rates as of the measurement dates. The municipal bond rates for </w:t>
      </w:r>
      <w:r w:rsidR="00BD375F" w:rsidRPr="00F54559">
        <w:rPr>
          <w:rFonts w:eastAsia="Times New Roman" w:cstheme="minorHAnsi"/>
          <w:sz w:val="24"/>
        </w:rPr>
        <w:t>20</w:t>
      </w:r>
      <w:r w:rsidR="00BD375F">
        <w:rPr>
          <w:rFonts w:eastAsia="Times New Roman" w:cstheme="minorHAnsi"/>
          <w:sz w:val="24"/>
        </w:rPr>
        <w:t>23</w:t>
      </w:r>
      <w:r w:rsidR="00BD375F" w:rsidRPr="00F54559">
        <w:rPr>
          <w:rFonts w:eastAsia="Times New Roman" w:cstheme="minorHAnsi"/>
          <w:sz w:val="24"/>
        </w:rPr>
        <w:t xml:space="preserve"> </w:t>
      </w:r>
      <w:r w:rsidRPr="00F54559">
        <w:rPr>
          <w:rFonts w:eastAsia="Times New Roman" w:cstheme="minorHAnsi"/>
          <w:sz w:val="24"/>
        </w:rPr>
        <w:t xml:space="preserve">and </w:t>
      </w:r>
      <w:r w:rsidR="00BD375F" w:rsidRPr="00F54559">
        <w:rPr>
          <w:rFonts w:eastAsia="Times New Roman" w:cstheme="minorHAnsi"/>
          <w:sz w:val="24"/>
        </w:rPr>
        <w:t>20</w:t>
      </w:r>
      <w:r w:rsidR="00BD375F">
        <w:rPr>
          <w:rFonts w:eastAsia="Times New Roman" w:cstheme="minorHAnsi"/>
          <w:sz w:val="24"/>
        </w:rPr>
        <w:t>22</w:t>
      </w:r>
      <w:r w:rsidR="00BD375F" w:rsidRPr="00F54559">
        <w:rPr>
          <w:rFonts w:eastAsia="Times New Roman" w:cstheme="minorHAnsi"/>
          <w:sz w:val="24"/>
        </w:rPr>
        <w:t xml:space="preserve"> </w:t>
      </w:r>
      <w:r w:rsidRPr="00F54559">
        <w:rPr>
          <w:rFonts w:eastAsia="Times New Roman" w:cstheme="minorHAnsi"/>
          <w:sz w:val="24"/>
        </w:rPr>
        <w:t xml:space="preserve">are based on the Bond Buyer 20-Bond General Obligation (GO) Index published for the weeks of </w:t>
      </w:r>
      <w:r>
        <w:rPr>
          <w:rFonts w:eastAsia="Times New Roman" w:cstheme="minorHAnsi"/>
          <w:sz w:val="24"/>
        </w:rPr>
        <w:t xml:space="preserve">June 30, </w:t>
      </w:r>
      <w:proofErr w:type="gramStart"/>
      <w:r w:rsidR="00BD375F" w:rsidRPr="00DB0727">
        <w:rPr>
          <w:rFonts w:eastAsia="Times New Roman" w:cstheme="minorHAnsi"/>
          <w:sz w:val="24"/>
        </w:rPr>
        <w:t>202</w:t>
      </w:r>
      <w:r w:rsidR="00BD375F">
        <w:rPr>
          <w:rFonts w:eastAsia="Times New Roman" w:cstheme="minorHAnsi"/>
          <w:sz w:val="24"/>
        </w:rPr>
        <w:t>3</w:t>
      </w:r>
      <w:proofErr w:type="gramEnd"/>
      <w:r w:rsidR="00BD375F" w:rsidRPr="00DB0727">
        <w:rPr>
          <w:rFonts w:eastAsia="Times New Roman" w:cstheme="minorHAnsi"/>
          <w:sz w:val="24"/>
        </w:rPr>
        <w:t xml:space="preserve"> </w:t>
      </w:r>
      <w:r>
        <w:rPr>
          <w:rFonts w:eastAsia="Times New Roman" w:cstheme="minorHAnsi"/>
          <w:sz w:val="24"/>
        </w:rPr>
        <w:t xml:space="preserve">and </w:t>
      </w:r>
      <w:r w:rsidRPr="00F54559">
        <w:rPr>
          <w:rFonts w:eastAsia="Times New Roman" w:cstheme="minorHAnsi"/>
          <w:sz w:val="24"/>
        </w:rPr>
        <w:t xml:space="preserve">June </w:t>
      </w:r>
      <w:r>
        <w:rPr>
          <w:rFonts w:eastAsia="Times New Roman" w:cstheme="minorHAnsi"/>
          <w:sz w:val="24"/>
        </w:rPr>
        <w:t xml:space="preserve">30, </w:t>
      </w:r>
      <w:r w:rsidR="00BD375F">
        <w:rPr>
          <w:rFonts w:eastAsia="Times New Roman" w:cstheme="minorHAnsi"/>
          <w:sz w:val="24"/>
        </w:rPr>
        <w:t>2022</w:t>
      </w:r>
      <w:r w:rsidRPr="00F54559">
        <w:rPr>
          <w:rFonts w:eastAsia="Times New Roman" w:cstheme="minorHAnsi"/>
          <w:sz w:val="24"/>
        </w:rPr>
        <w:t>, respectively.</w:t>
      </w:r>
    </w:p>
    <w:p w14:paraId="702949EE" w14:textId="77777777" w:rsidR="00AD72AB" w:rsidRPr="00B04D7E" w:rsidRDefault="00AD72AB" w:rsidP="00AD72AB">
      <w:pPr>
        <w:tabs>
          <w:tab w:val="left" w:pos="6390"/>
        </w:tabs>
        <w:ind w:right="-7"/>
        <w:rPr>
          <w:rFonts w:eastAsia="Franklin Gothic Book" w:cstheme="minorHAnsi"/>
          <w:b/>
          <w:i/>
          <w:spacing w:val="-1"/>
          <w:sz w:val="18"/>
          <w:szCs w:val="18"/>
        </w:rPr>
      </w:pPr>
    </w:p>
    <w:p w14:paraId="7DCFF890" w14:textId="2977B361" w:rsidR="00DD1612" w:rsidRPr="00F54559" w:rsidRDefault="00DD1612" w:rsidP="00B04D7E">
      <w:pPr>
        <w:tabs>
          <w:tab w:val="left" w:pos="6390"/>
        </w:tabs>
        <w:spacing w:after="180"/>
        <w:ind w:right="-7"/>
        <w:rPr>
          <w:rFonts w:eastAsia="Franklin Gothic Book" w:cstheme="minorHAnsi"/>
          <w:spacing w:val="1"/>
          <w:sz w:val="24"/>
        </w:rPr>
      </w:pPr>
      <w:r w:rsidRPr="00F54559">
        <w:rPr>
          <w:rFonts w:eastAsia="Franklin Gothic Book" w:cstheme="minorHAnsi"/>
          <w:b/>
          <w:i/>
          <w:spacing w:val="-1"/>
          <w:sz w:val="24"/>
        </w:rPr>
        <w:t>Sensitivity of 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 xml:space="preserve">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9"/>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1"/>
          <w:sz w:val="24"/>
        </w:rPr>
        <w:t xml:space="preserve"> table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2"/>
          <w:sz w:val="24"/>
        </w:rPr>
        <w:t xml:space="preserve"> </w:t>
      </w:r>
      <w:r w:rsidRPr="00F54559">
        <w:rPr>
          <w:rFonts w:eastAsia="Times New Roman" w:cstheme="minorHAnsi"/>
          <w:sz w:val="24"/>
        </w:rPr>
        <w:t>the</w:t>
      </w:r>
      <w:r w:rsidRPr="00F54559">
        <w:rPr>
          <w:rFonts w:eastAsia="Times New Roman" w:cstheme="minorHAnsi"/>
          <w:spacing w:val="10"/>
          <w:sz w:val="24"/>
        </w:rPr>
        <w:t xml:space="preserve"> </w:t>
      </w:r>
      <w:r w:rsidRPr="00F54559">
        <w:rPr>
          <w:rFonts w:eastAsia="Times New Roman" w:cstheme="minorHAnsi"/>
          <w:sz w:val="24"/>
        </w:rPr>
        <w:t>total</w:t>
      </w:r>
      <w:r w:rsidRPr="00F54559">
        <w:rPr>
          <w:rFonts w:eastAsia="Times New Roman" w:cstheme="minorHAnsi"/>
          <w:spacing w:val="11"/>
          <w:sz w:val="24"/>
        </w:rPr>
        <w:t xml:space="preserve">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1"/>
          <w:sz w:val="24"/>
        </w:rPr>
        <w:t xml:space="preserve"> </w:t>
      </w:r>
      <w:r w:rsidRPr="00F54559">
        <w:rPr>
          <w:rFonts w:eastAsia="Times New Roman" w:cstheme="minorHAnsi"/>
          <w:sz w:val="24"/>
        </w:rPr>
        <w:t>liability</w:t>
      </w:r>
      <w:r w:rsidRPr="00F54559">
        <w:rPr>
          <w:rFonts w:eastAsia="Times New Roman" w:cstheme="minorHAnsi"/>
          <w:spacing w:val="10"/>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13"/>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11"/>
          <w:sz w:val="24"/>
        </w:rPr>
        <w:t xml:space="preserve"> </w:t>
      </w:r>
      <w:r w:rsidRPr="00F54559">
        <w:rPr>
          <w:rFonts w:eastAsia="Times New Roman" w:cstheme="minorHAnsi"/>
          <w:sz w:val="24"/>
        </w:rPr>
        <w:t>the</w:t>
      </w:r>
      <w:r w:rsidRPr="00E431F9">
        <w:rPr>
          <w:rFonts w:eastAsia="Times New Roman" w:cstheme="minorHAnsi"/>
          <w:sz w:val="24"/>
        </w:rPr>
        <w:t xml:space="preserve"> respective current</w:t>
      </w:r>
      <w:r w:rsidRPr="00F54559">
        <w:rPr>
          <w:rFonts w:eastAsia="Times New Roman" w:cstheme="minorHAnsi"/>
          <w:spacing w:val="12"/>
          <w:sz w:val="24"/>
        </w:rPr>
        <w:t xml:space="preserve"> </w:t>
      </w:r>
      <w:r w:rsidRPr="00F54559">
        <w:rPr>
          <w:rFonts w:eastAsia="Times New Roman" w:cstheme="minorHAnsi"/>
          <w:sz w:val="24"/>
        </w:rPr>
        <w:t>discount</w:t>
      </w:r>
      <w:r w:rsidRPr="00F54559">
        <w:rPr>
          <w:rFonts w:eastAsia="Times New Roman" w:cstheme="minorHAnsi"/>
          <w:spacing w:val="1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3"/>
          <w:sz w:val="24"/>
        </w:rPr>
        <w:t xml:space="preserve"> </w:t>
      </w:r>
      <w:r w:rsidRPr="00F54559">
        <w:rPr>
          <w:rFonts w:eastAsia="Times New Roman" w:cstheme="minorHAnsi"/>
          <w:sz w:val="24"/>
        </w:rPr>
        <w:t>as</w:t>
      </w:r>
      <w:r w:rsidRPr="00F54559">
        <w:rPr>
          <w:rFonts w:eastAsia="Times New Roman" w:cstheme="minorHAnsi"/>
          <w:spacing w:val="12"/>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w:t>
      </w:r>
      <w:r w:rsidRPr="00F54559">
        <w:rPr>
          <w:rFonts w:eastAsia="Times New Roman" w:cstheme="minorHAnsi"/>
          <w:spacing w:val="12"/>
          <w:sz w:val="24"/>
        </w:rPr>
        <w:t xml:space="preserve"> </w:t>
      </w:r>
      <w:r w:rsidRPr="00F54559">
        <w:rPr>
          <w:rFonts w:eastAsia="Times New Roman" w:cstheme="minorHAnsi"/>
          <w:sz w:val="24"/>
        </w:rPr>
        <w:t>as</w:t>
      </w:r>
      <w:r w:rsidRPr="00F54559">
        <w:rPr>
          <w:rFonts w:eastAsia="Times New Roman" w:cstheme="minorHAnsi"/>
          <w:spacing w:val="1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8"/>
          <w:sz w:val="24"/>
        </w:rPr>
        <w:t xml:space="preserve"> </w:t>
      </w:r>
      <w:r w:rsidRPr="00F54559">
        <w:rPr>
          <w:rFonts w:eastAsia="Times New Roman" w:cstheme="minorHAnsi"/>
          <w:sz w:val="24"/>
        </w:rPr>
        <w:t>discount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8"/>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spacing w:val="5"/>
          <w:sz w:val="24"/>
        </w:rPr>
        <w:t xml:space="preserve"> </w:t>
      </w:r>
      <w:r w:rsidRPr="00F54559">
        <w:rPr>
          <w:rFonts w:eastAsia="Times New Roman" w:cstheme="minorHAnsi"/>
          <w:sz w:val="24"/>
        </w:rPr>
        <w:t>or</w:t>
      </w:r>
      <w:r w:rsidRPr="00F54559">
        <w:rPr>
          <w:rFonts w:eastAsia="Times New Roman" w:cstheme="minorHAnsi"/>
          <w:spacing w:val="-8"/>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Franklin Gothic Book" w:cstheme="minorHAnsi"/>
          <w:spacing w:val="1"/>
          <w:sz w:val="24"/>
        </w:rPr>
        <w:fldChar w:fldCharType="begin"/>
      </w:r>
      <w:r>
        <w:rPr>
          <w:rFonts w:eastAsia="Franklin Gothic Book" w:cstheme="minorHAnsi"/>
          <w:spacing w:val="1"/>
          <w:sz w:val="24"/>
        </w:rPr>
        <w:fldChar w:fldCharType="end"/>
      </w:r>
    </w:p>
    <w:tbl>
      <w:tblPr>
        <w:tblW w:w="9272" w:type="dxa"/>
        <w:jc w:val="center"/>
        <w:tblLayout w:type="fixed"/>
        <w:tblLook w:val="04A0" w:firstRow="1" w:lastRow="0" w:firstColumn="1" w:lastColumn="0" w:noHBand="0" w:noVBand="1"/>
      </w:tblPr>
      <w:tblGrid>
        <w:gridCol w:w="2164"/>
        <w:gridCol w:w="266"/>
        <w:gridCol w:w="939"/>
        <w:gridCol w:w="1214"/>
        <w:gridCol w:w="907"/>
        <w:gridCol w:w="270"/>
        <w:gridCol w:w="22"/>
        <w:gridCol w:w="214"/>
        <w:gridCol w:w="900"/>
        <w:gridCol w:w="18"/>
        <w:gridCol w:w="1096"/>
        <w:gridCol w:w="76"/>
        <w:gridCol w:w="948"/>
        <w:gridCol w:w="225"/>
        <w:gridCol w:w="13"/>
      </w:tblGrid>
      <w:tr w:rsidR="00DD1612" w:rsidRPr="002942E7" w14:paraId="0C014249" w14:textId="77777777" w:rsidTr="00B045CF">
        <w:trPr>
          <w:trHeight w:val="316"/>
          <w:tblHeader/>
          <w:jc w:val="center"/>
        </w:trPr>
        <w:tc>
          <w:tcPr>
            <w:tcW w:w="2164" w:type="dxa"/>
            <w:tcBorders>
              <w:top w:val="nil"/>
              <w:left w:val="nil"/>
              <w:bottom w:val="nil"/>
              <w:right w:val="nil"/>
            </w:tcBorders>
            <w:shd w:val="clear" w:color="auto" w:fill="auto"/>
            <w:noWrap/>
            <w:vAlign w:val="bottom"/>
            <w:hideMark/>
          </w:tcPr>
          <w:p w14:paraId="2E7F9E81" w14:textId="77777777" w:rsidR="00DD1612" w:rsidRPr="002942E7" w:rsidRDefault="00DD1612" w:rsidP="00BD375F">
            <w:pPr>
              <w:rPr>
                <w:rFonts w:ascii="Times New Roman" w:eastAsia="Times New Roman" w:hAnsi="Times New Roman" w:cs="Times New Roman"/>
                <w:sz w:val="24"/>
                <w:szCs w:val="24"/>
              </w:rPr>
            </w:pPr>
          </w:p>
        </w:tc>
        <w:tc>
          <w:tcPr>
            <w:tcW w:w="266" w:type="dxa"/>
            <w:tcBorders>
              <w:top w:val="nil"/>
              <w:left w:val="nil"/>
              <w:bottom w:val="single" w:sz="4" w:space="0" w:color="auto"/>
              <w:right w:val="nil"/>
            </w:tcBorders>
            <w:shd w:val="clear" w:color="auto" w:fill="auto"/>
            <w:noWrap/>
            <w:vAlign w:val="bottom"/>
            <w:hideMark/>
          </w:tcPr>
          <w:p w14:paraId="70F08DCE" w14:textId="77777777" w:rsidR="00DD1612" w:rsidRPr="002942E7" w:rsidRDefault="00DD1612" w:rsidP="00BD375F">
            <w:pPr>
              <w:jc w:val="center"/>
              <w:rPr>
                <w:rFonts w:ascii="Calibri" w:eastAsia="Times New Roman" w:hAnsi="Calibri" w:cs="Calibri"/>
                <w:b/>
                <w:bCs/>
                <w:color w:val="0D0D0D"/>
              </w:rPr>
            </w:pPr>
          </w:p>
        </w:tc>
        <w:tc>
          <w:tcPr>
            <w:tcW w:w="3060" w:type="dxa"/>
            <w:gridSpan w:val="3"/>
            <w:tcBorders>
              <w:top w:val="nil"/>
              <w:left w:val="nil"/>
              <w:bottom w:val="single" w:sz="4" w:space="0" w:color="auto"/>
              <w:right w:val="nil"/>
            </w:tcBorders>
            <w:shd w:val="clear" w:color="auto" w:fill="auto"/>
            <w:vAlign w:val="bottom"/>
          </w:tcPr>
          <w:p w14:paraId="577D1AF6" w14:textId="471EE228" w:rsidR="00DD1612" w:rsidRPr="002942E7" w:rsidRDefault="00DD1612" w:rsidP="00BD375F">
            <w:pPr>
              <w:jc w:val="center"/>
              <w:rPr>
                <w:rFonts w:ascii="Calibri" w:eastAsia="Times New Roman" w:hAnsi="Calibri" w:cs="Calibri"/>
                <w:b/>
                <w:bCs/>
                <w:color w:val="0D0D0D"/>
              </w:rPr>
            </w:pPr>
            <w:r w:rsidRPr="002942E7">
              <w:rPr>
                <w:rFonts w:ascii="Calibri" w:eastAsia="Times New Roman" w:hAnsi="Calibri" w:cs="Calibri"/>
                <w:b/>
                <w:bCs/>
                <w:color w:val="0D0D0D"/>
              </w:rPr>
              <w:t>June 30, 202</w:t>
            </w:r>
            <w:r w:rsidR="007A193F">
              <w:rPr>
                <w:rFonts w:ascii="Calibri" w:eastAsia="Times New Roman" w:hAnsi="Calibri" w:cs="Calibri"/>
                <w:b/>
                <w:bCs/>
                <w:color w:val="0D0D0D"/>
              </w:rPr>
              <w:t>3</w:t>
            </w:r>
          </w:p>
        </w:tc>
        <w:tc>
          <w:tcPr>
            <w:tcW w:w="270" w:type="dxa"/>
            <w:tcBorders>
              <w:top w:val="nil"/>
              <w:left w:val="nil"/>
              <w:bottom w:val="single" w:sz="4" w:space="0" w:color="auto"/>
              <w:right w:val="nil"/>
            </w:tcBorders>
            <w:shd w:val="clear" w:color="auto" w:fill="auto"/>
            <w:vAlign w:val="bottom"/>
          </w:tcPr>
          <w:p w14:paraId="75802468" w14:textId="77777777" w:rsidR="00DD1612" w:rsidRPr="002942E7" w:rsidRDefault="00DD1612" w:rsidP="00BD375F">
            <w:pPr>
              <w:jc w:val="center"/>
              <w:rPr>
                <w:rFonts w:ascii="Calibri" w:eastAsia="Times New Roman" w:hAnsi="Calibri" w:cs="Calibri"/>
                <w:b/>
                <w:bCs/>
                <w:color w:val="0D0D0D"/>
              </w:rPr>
            </w:pPr>
          </w:p>
        </w:tc>
        <w:tc>
          <w:tcPr>
            <w:tcW w:w="236" w:type="dxa"/>
            <w:gridSpan w:val="2"/>
            <w:tcBorders>
              <w:top w:val="nil"/>
              <w:left w:val="nil"/>
              <w:bottom w:val="single" w:sz="4" w:space="0" w:color="auto"/>
              <w:right w:val="nil"/>
            </w:tcBorders>
            <w:shd w:val="clear" w:color="auto" w:fill="F2F2F2" w:themeFill="background1" w:themeFillShade="F2"/>
            <w:noWrap/>
            <w:vAlign w:val="bottom"/>
            <w:hideMark/>
          </w:tcPr>
          <w:p w14:paraId="5001B034" w14:textId="77777777" w:rsidR="00DD1612" w:rsidRPr="002942E7" w:rsidRDefault="00DD1612" w:rsidP="00BD375F">
            <w:pPr>
              <w:jc w:val="center"/>
              <w:rPr>
                <w:rFonts w:ascii="Calibri" w:eastAsia="Times New Roman" w:hAnsi="Calibri" w:cs="Calibri"/>
                <w:b/>
                <w:bCs/>
                <w:color w:val="0D0D0D"/>
              </w:rPr>
            </w:pPr>
          </w:p>
        </w:tc>
        <w:tc>
          <w:tcPr>
            <w:tcW w:w="3038" w:type="dxa"/>
            <w:gridSpan w:val="5"/>
            <w:tcBorders>
              <w:top w:val="nil"/>
              <w:left w:val="nil"/>
              <w:bottom w:val="single" w:sz="4" w:space="0" w:color="auto"/>
              <w:right w:val="nil"/>
            </w:tcBorders>
            <w:shd w:val="clear" w:color="auto" w:fill="F2F2F2" w:themeFill="background1" w:themeFillShade="F2"/>
            <w:vAlign w:val="bottom"/>
          </w:tcPr>
          <w:p w14:paraId="6BD18FA2" w14:textId="4584A80D" w:rsidR="00DD1612" w:rsidRPr="002942E7" w:rsidRDefault="00DD1612" w:rsidP="00BD375F">
            <w:pPr>
              <w:jc w:val="center"/>
              <w:rPr>
                <w:rFonts w:ascii="Calibri" w:eastAsia="Times New Roman" w:hAnsi="Calibri" w:cs="Calibri"/>
                <w:b/>
                <w:bCs/>
                <w:color w:val="0D0D0D"/>
              </w:rPr>
            </w:pPr>
            <w:r w:rsidRPr="002942E7">
              <w:rPr>
                <w:rFonts w:ascii="Calibri" w:eastAsia="Times New Roman" w:hAnsi="Calibri" w:cs="Calibri"/>
                <w:b/>
                <w:bCs/>
                <w:color w:val="0D0D0D"/>
              </w:rPr>
              <w:t>June 30, 20</w:t>
            </w:r>
            <w:r>
              <w:rPr>
                <w:rFonts w:ascii="Calibri" w:eastAsia="Times New Roman" w:hAnsi="Calibri" w:cs="Calibri"/>
                <w:b/>
                <w:bCs/>
                <w:color w:val="0D0D0D"/>
              </w:rPr>
              <w:t>2</w:t>
            </w:r>
            <w:r w:rsidR="007A193F">
              <w:rPr>
                <w:rFonts w:ascii="Calibri" w:eastAsia="Times New Roman" w:hAnsi="Calibri" w:cs="Calibri"/>
                <w:b/>
                <w:bCs/>
                <w:color w:val="0D0D0D"/>
              </w:rPr>
              <w:t>2</w:t>
            </w:r>
          </w:p>
        </w:tc>
        <w:tc>
          <w:tcPr>
            <w:tcW w:w="238" w:type="dxa"/>
            <w:gridSpan w:val="2"/>
            <w:tcBorders>
              <w:top w:val="nil"/>
              <w:left w:val="nil"/>
              <w:bottom w:val="single" w:sz="4" w:space="0" w:color="auto"/>
              <w:right w:val="nil"/>
            </w:tcBorders>
            <w:shd w:val="clear" w:color="auto" w:fill="F2F2F2" w:themeFill="background1" w:themeFillShade="F2"/>
            <w:vAlign w:val="bottom"/>
          </w:tcPr>
          <w:p w14:paraId="61802466" w14:textId="77777777" w:rsidR="00DD1612" w:rsidRPr="002942E7" w:rsidRDefault="00DD1612" w:rsidP="00BD375F">
            <w:pPr>
              <w:jc w:val="center"/>
              <w:rPr>
                <w:rFonts w:ascii="Calibri" w:eastAsia="Times New Roman" w:hAnsi="Calibri" w:cs="Calibri"/>
                <w:b/>
                <w:bCs/>
                <w:color w:val="0D0D0D"/>
              </w:rPr>
            </w:pPr>
          </w:p>
        </w:tc>
      </w:tr>
      <w:tr w:rsidR="007A193F" w:rsidRPr="008C14BF" w14:paraId="472979D4" w14:textId="77777777" w:rsidTr="00B045CF">
        <w:trPr>
          <w:gridAfter w:val="1"/>
          <w:wAfter w:w="13" w:type="dxa"/>
          <w:trHeight w:val="854"/>
          <w:tblHeader/>
          <w:jc w:val="center"/>
        </w:trPr>
        <w:tc>
          <w:tcPr>
            <w:tcW w:w="2164" w:type="dxa"/>
            <w:tcBorders>
              <w:top w:val="nil"/>
              <w:left w:val="nil"/>
              <w:bottom w:val="nil"/>
              <w:right w:val="nil"/>
            </w:tcBorders>
            <w:shd w:val="clear" w:color="000000" w:fill="FFFFFF"/>
            <w:noWrap/>
            <w:vAlign w:val="bottom"/>
            <w:hideMark/>
          </w:tcPr>
          <w:p w14:paraId="2758AD35" w14:textId="77777777" w:rsidR="007A193F" w:rsidRPr="002942E7" w:rsidRDefault="007A193F" w:rsidP="007A193F">
            <w:pPr>
              <w:rPr>
                <w:rFonts w:ascii="Calibri" w:eastAsia="Times New Roman" w:hAnsi="Calibri" w:cs="Calibri"/>
                <w:b/>
                <w:bCs/>
                <w:color w:val="0D0D0D"/>
              </w:rPr>
            </w:pPr>
            <w:r w:rsidRPr="002942E7">
              <w:rPr>
                <w:rFonts w:ascii="Calibri" w:eastAsia="Times New Roman" w:hAnsi="Calibri" w:cs="Calibri"/>
                <w:b/>
                <w:bCs/>
                <w:color w:val="0D0D0D"/>
              </w:rPr>
              <w:t> </w:t>
            </w:r>
          </w:p>
        </w:tc>
        <w:tc>
          <w:tcPr>
            <w:tcW w:w="1205" w:type="dxa"/>
            <w:gridSpan w:val="2"/>
            <w:tcBorders>
              <w:top w:val="nil"/>
              <w:left w:val="nil"/>
              <w:bottom w:val="nil"/>
              <w:right w:val="nil"/>
            </w:tcBorders>
            <w:shd w:val="clear" w:color="000000" w:fill="FFFFFF"/>
            <w:vAlign w:val="bottom"/>
            <w:hideMark/>
          </w:tcPr>
          <w:p w14:paraId="0FF9970F" w14:textId="77777777" w:rsidR="007A193F" w:rsidRDefault="007A193F" w:rsidP="007A193F">
            <w:pPr>
              <w:jc w:val="center"/>
              <w:rPr>
                <w:rFonts w:ascii="Calibri" w:hAnsi="Calibri" w:cs="Calibri"/>
                <w:bCs/>
              </w:rPr>
            </w:pPr>
            <w:r w:rsidRPr="00806680">
              <w:rPr>
                <w:rFonts w:ascii="Calibri" w:hAnsi="Calibri" w:cs="Calibri"/>
                <w:bCs/>
              </w:rPr>
              <w:t>1%</w:t>
            </w:r>
          </w:p>
          <w:p w14:paraId="7524D4E4" w14:textId="77777777" w:rsidR="007A193F" w:rsidRPr="00806680" w:rsidRDefault="007A193F" w:rsidP="007A193F">
            <w:pPr>
              <w:jc w:val="center"/>
              <w:rPr>
                <w:rFonts w:ascii="Calibri" w:eastAsia="Times New Roman" w:hAnsi="Calibri" w:cs="Calibri"/>
                <w:bCs/>
                <w:color w:val="0D0D0D"/>
              </w:rPr>
            </w:pPr>
            <w:r w:rsidRPr="00806680">
              <w:rPr>
                <w:rFonts w:ascii="Calibri" w:hAnsi="Calibri" w:cs="Calibri"/>
                <w:bCs/>
              </w:rPr>
              <w:t>Decrease</w:t>
            </w:r>
          </w:p>
        </w:tc>
        <w:tc>
          <w:tcPr>
            <w:tcW w:w="1214" w:type="dxa"/>
            <w:tcBorders>
              <w:top w:val="nil"/>
              <w:left w:val="nil"/>
              <w:bottom w:val="nil"/>
              <w:right w:val="nil"/>
            </w:tcBorders>
            <w:shd w:val="clear" w:color="000000" w:fill="FFFFFF"/>
            <w:vAlign w:val="bottom"/>
            <w:hideMark/>
          </w:tcPr>
          <w:p w14:paraId="210822BF" w14:textId="77777777" w:rsidR="007A193F" w:rsidRPr="00806680" w:rsidRDefault="007A193F" w:rsidP="007A193F">
            <w:pPr>
              <w:jc w:val="center"/>
              <w:rPr>
                <w:rFonts w:ascii="Calibri" w:hAnsi="Calibri" w:cs="Calibri"/>
                <w:bCs/>
              </w:rPr>
            </w:pPr>
            <w:r w:rsidRPr="00806680">
              <w:rPr>
                <w:rFonts w:ascii="Calibri" w:hAnsi="Calibri" w:cs="Calibri"/>
                <w:bCs/>
              </w:rPr>
              <w:t xml:space="preserve">Current Discount </w:t>
            </w:r>
            <w:r w:rsidRPr="00806680">
              <w:rPr>
                <w:rFonts w:ascii="Calibri" w:hAnsi="Calibri" w:cs="Calibri"/>
                <w:bCs/>
              </w:rPr>
              <w:br/>
              <w:t>Rate</w:t>
            </w:r>
          </w:p>
        </w:tc>
        <w:tc>
          <w:tcPr>
            <w:tcW w:w="1199" w:type="dxa"/>
            <w:gridSpan w:val="3"/>
            <w:tcBorders>
              <w:top w:val="nil"/>
              <w:left w:val="nil"/>
              <w:bottom w:val="nil"/>
              <w:right w:val="nil"/>
            </w:tcBorders>
            <w:shd w:val="clear" w:color="000000" w:fill="FFFFFF"/>
            <w:vAlign w:val="bottom"/>
            <w:hideMark/>
          </w:tcPr>
          <w:p w14:paraId="5029ACDD" w14:textId="77777777" w:rsidR="007A193F" w:rsidRDefault="007A193F" w:rsidP="007A193F">
            <w:pPr>
              <w:jc w:val="center"/>
              <w:rPr>
                <w:rFonts w:ascii="Calibri" w:hAnsi="Calibri" w:cs="Calibri"/>
                <w:bCs/>
              </w:rPr>
            </w:pPr>
            <w:r w:rsidRPr="00806680">
              <w:rPr>
                <w:rFonts w:ascii="Calibri" w:hAnsi="Calibri" w:cs="Calibri"/>
                <w:bCs/>
              </w:rPr>
              <w:t xml:space="preserve">1% </w:t>
            </w:r>
          </w:p>
          <w:p w14:paraId="69D96BF4" w14:textId="77777777" w:rsidR="007A193F" w:rsidRPr="00806680" w:rsidRDefault="007A193F" w:rsidP="007A193F">
            <w:pPr>
              <w:jc w:val="center"/>
              <w:rPr>
                <w:rFonts w:ascii="Calibri" w:eastAsia="Times New Roman" w:hAnsi="Calibri" w:cs="Calibri"/>
                <w:bCs/>
                <w:color w:val="0D0D0D"/>
              </w:rPr>
            </w:pPr>
            <w:r w:rsidRPr="00806680">
              <w:rPr>
                <w:rFonts w:ascii="Calibri" w:hAnsi="Calibri" w:cs="Calibri"/>
                <w:bCs/>
              </w:rPr>
              <w:t>Increase</w:t>
            </w:r>
          </w:p>
        </w:tc>
        <w:tc>
          <w:tcPr>
            <w:tcW w:w="1114" w:type="dxa"/>
            <w:gridSpan w:val="2"/>
            <w:tcBorders>
              <w:top w:val="nil"/>
              <w:left w:val="nil"/>
              <w:bottom w:val="nil"/>
              <w:right w:val="nil"/>
            </w:tcBorders>
            <w:shd w:val="clear" w:color="auto" w:fill="F2F2F2" w:themeFill="background1" w:themeFillShade="F2"/>
            <w:vAlign w:val="bottom"/>
            <w:hideMark/>
          </w:tcPr>
          <w:p w14:paraId="0A4C42B7" w14:textId="77777777" w:rsidR="007A193F" w:rsidRDefault="007A193F" w:rsidP="007A193F">
            <w:pPr>
              <w:jc w:val="center"/>
              <w:rPr>
                <w:rFonts w:ascii="Calibri" w:hAnsi="Calibri" w:cs="Calibri"/>
                <w:bCs/>
              </w:rPr>
            </w:pPr>
            <w:r w:rsidRPr="00806680">
              <w:rPr>
                <w:rFonts w:ascii="Calibri" w:hAnsi="Calibri" w:cs="Calibri"/>
                <w:bCs/>
              </w:rPr>
              <w:t>1%</w:t>
            </w:r>
          </w:p>
          <w:p w14:paraId="550F6F64" w14:textId="61512DC0" w:rsidR="007A193F" w:rsidRPr="00806680" w:rsidRDefault="007A193F" w:rsidP="007A193F">
            <w:pPr>
              <w:jc w:val="center"/>
              <w:rPr>
                <w:rFonts w:ascii="Calibri" w:eastAsia="Times New Roman" w:hAnsi="Calibri" w:cs="Calibri"/>
                <w:bCs/>
                <w:color w:val="0D0D0D"/>
              </w:rPr>
            </w:pPr>
            <w:r w:rsidRPr="00806680">
              <w:rPr>
                <w:rFonts w:ascii="Calibri" w:hAnsi="Calibri" w:cs="Calibri"/>
                <w:bCs/>
              </w:rPr>
              <w:t>Decrease</w:t>
            </w:r>
          </w:p>
        </w:tc>
        <w:tc>
          <w:tcPr>
            <w:tcW w:w="1114" w:type="dxa"/>
            <w:gridSpan w:val="2"/>
            <w:tcBorders>
              <w:top w:val="nil"/>
              <w:left w:val="nil"/>
              <w:bottom w:val="nil"/>
              <w:right w:val="nil"/>
            </w:tcBorders>
            <w:shd w:val="clear" w:color="auto" w:fill="F2F2F2" w:themeFill="background1" w:themeFillShade="F2"/>
            <w:vAlign w:val="bottom"/>
            <w:hideMark/>
          </w:tcPr>
          <w:p w14:paraId="4C3143EB" w14:textId="2E169714" w:rsidR="007A193F" w:rsidRPr="00806680" w:rsidRDefault="007A193F" w:rsidP="007A193F">
            <w:pPr>
              <w:jc w:val="center"/>
              <w:rPr>
                <w:rFonts w:ascii="Calibri" w:eastAsia="Times New Roman" w:hAnsi="Calibri" w:cs="Calibri"/>
                <w:bCs/>
                <w:color w:val="0D0D0D"/>
              </w:rPr>
            </w:pPr>
            <w:r w:rsidRPr="00806680">
              <w:rPr>
                <w:rFonts w:ascii="Calibri" w:hAnsi="Calibri" w:cs="Calibri"/>
                <w:bCs/>
              </w:rPr>
              <w:t xml:space="preserve">Current Discount </w:t>
            </w:r>
            <w:r w:rsidRPr="00806680">
              <w:rPr>
                <w:rFonts w:ascii="Calibri" w:hAnsi="Calibri" w:cs="Calibri"/>
                <w:bCs/>
              </w:rPr>
              <w:br/>
              <w:t>Rate</w:t>
            </w:r>
          </w:p>
        </w:tc>
        <w:tc>
          <w:tcPr>
            <w:tcW w:w="1249" w:type="dxa"/>
            <w:gridSpan w:val="3"/>
            <w:tcBorders>
              <w:top w:val="nil"/>
              <w:left w:val="nil"/>
              <w:bottom w:val="nil"/>
              <w:right w:val="nil"/>
            </w:tcBorders>
            <w:shd w:val="clear" w:color="auto" w:fill="F2F2F2" w:themeFill="background1" w:themeFillShade="F2"/>
            <w:vAlign w:val="bottom"/>
            <w:hideMark/>
          </w:tcPr>
          <w:p w14:paraId="5C9F4247" w14:textId="77777777" w:rsidR="007A193F" w:rsidRDefault="007A193F" w:rsidP="007A193F">
            <w:pPr>
              <w:jc w:val="center"/>
              <w:rPr>
                <w:rFonts w:ascii="Calibri" w:hAnsi="Calibri" w:cs="Calibri"/>
                <w:bCs/>
              </w:rPr>
            </w:pPr>
            <w:r w:rsidRPr="00806680">
              <w:rPr>
                <w:rFonts w:ascii="Calibri" w:hAnsi="Calibri" w:cs="Calibri"/>
                <w:bCs/>
              </w:rPr>
              <w:t xml:space="preserve">1% </w:t>
            </w:r>
          </w:p>
          <w:p w14:paraId="4A19499A" w14:textId="58908666" w:rsidR="007A193F" w:rsidRPr="00806680" w:rsidRDefault="007A193F" w:rsidP="007A193F">
            <w:pPr>
              <w:jc w:val="center"/>
              <w:rPr>
                <w:rFonts w:ascii="Calibri" w:eastAsia="Times New Roman" w:hAnsi="Calibri" w:cs="Calibri"/>
                <w:bCs/>
                <w:color w:val="0D0D0D"/>
              </w:rPr>
            </w:pPr>
            <w:r w:rsidRPr="00806680">
              <w:rPr>
                <w:rFonts w:ascii="Calibri" w:hAnsi="Calibri" w:cs="Calibri"/>
                <w:bCs/>
              </w:rPr>
              <w:t>Increase</w:t>
            </w:r>
          </w:p>
        </w:tc>
      </w:tr>
      <w:tr w:rsidR="007A193F" w:rsidRPr="00806680" w14:paraId="58F2EDD4" w14:textId="77777777" w:rsidTr="00B045CF">
        <w:trPr>
          <w:gridAfter w:val="1"/>
          <w:wAfter w:w="13" w:type="dxa"/>
          <w:trHeight w:val="177"/>
          <w:tblHeader/>
          <w:jc w:val="center"/>
        </w:trPr>
        <w:tc>
          <w:tcPr>
            <w:tcW w:w="2164" w:type="dxa"/>
            <w:tcBorders>
              <w:top w:val="nil"/>
              <w:left w:val="nil"/>
              <w:bottom w:val="nil"/>
              <w:right w:val="nil"/>
            </w:tcBorders>
            <w:shd w:val="clear" w:color="000000" w:fill="FFFFFF"/>
            <w:noWrap/>
            <w:vAlign w:val="bottom"/>
          </w:tcPr>
          <w:p w14:paraId="1D338E8A" w14:textId="77777777" w:rsidR="007A193F" w:rsidRPr="002942E7" w:rsidRDefault="007A193F" w:rsidP="007A193F">
            <w:pPr>
              <w:rPr>
                <w:rFonts w:ascii="Calibri" w:eastAsia="Times New Roman" w:hAnsi="Calibri" w:cs="Calibri"/>
                <w:b/>
                <w:bCs/>
                <w:color w:val="0D0D0D"/>
              </w:rPr>
            </w:pPr>
          </w:p>
        </w:tc>
        <w:tc>
          <w:tcPr>
            <w:tcW w:w="1205" w:type="dxa"/>
            <w:gridSpan w:val="2"/>
            <w:tcBorders>
              <w:top w:val="nil"/>
              <w:left w:val="nil"/>
              <w:bottom w:val="nil"/>
              <w:right w:val="nil"/>
            </w:tcBorders>
            <w:shd w:val="clear" w:color="000000" w:fill="FFFFFF"/>
            <w:vAlign w:val="bottom"/>
          </w:tcPr>
          <w:p w14:paraId="5DEFF369" w14:textId="04187830" w:rsidR="007A193F" w:rsidRPr="001C6BA8" w:rsidRDefault="007A193F" w:rsidP="00E66875">
            <w:pPr>
              <w:jc w:val="center"/>
              <w:rPr>
                <w:rFonts w:ascii="Calibri" w:hAnsi="Calibri" w:cs="Calibri"/>
                <w:bCs/>
              </w:rPr>
            </w:pPr>
            <w:r w:rsidRPr="001C6BA8">
              <w:rPr>
                <w:rFonts w:ascii="Calibri" w:hAnsi="Calibri" w:cs="Calibri"/>
                <w:bCs/>
              </w:rPr>
              <w:t>(</w:t>
            </w:r>
            <w:r w:rsidRPr="006C7397">
              <w:rPr>
                <w:rFonts w:ascii="Calibri" w:hAnsi="Calibri" w:cs="Calibri"/>
                <w:bCs/>
              </w:rPr>
              <w:t>2.</w:t>
            </w:r>
            <w:r>
              <w:rPr>
                <w:rFonts w:ascii="Calibri" w:hAnsi="Calibri" w:cs="Calibri"/>
                <w:bCs/>
              </w:rPr>
              <w:t>65</w:t>
            </w:r>
            <w:r w:rsidRPr="006C7397">
              <w:rPr>
                <w:rFonts w:ascii="Calibri" w:hAnsi="Calibri" w:cs="Calibri"/>
                <w:bCs/>
              </w:rPr>
              <w:t>%)</w:t>
            </w:r>
          </w:p>
        </w:tc>
        <w:tc>
          <w:tcPr>
            <w:tcW w:w="1214" w:type="dxa"/>
            <w:tcBorders>
              <w:top w:val="nil"/>
              <w:left w:val="nil"/>
              <w:bottom w:val="nil"/>
              <w:right w:val="nil"/>
            </w:tcBorders>
            <w:shd w:val="clear" w:color="000000" w:fill="FFFFFF"/>
            <w:vAlign w:val="bottom"/>
          </w:tcPr>
          <w:p w14:paraId="5959F496" w14:textId="4A556F42" w:rsidR="007A193F" w:rsidRPr="001C6BA8" w:rsidRDefault="007A193F">
            <w:pPr>
              <w:jc w:val="center"/>
              <w:rPr>
                <w:rFonts w:ascii="Calibri" w:hAnsi="Calibri" w:cs="Calibri"/>
                <w:bCs/>
              </w:rPr>
            </w:pPr>
            <w:r w:rsidRPr="001C6BA8">
              <w:rPr>
                <w:rFonts w:ascii="Calibri" w:hAnsi="Calibri" w:cs="Calibri"/>
                <w:bCs/>
              </w:rPr>
              <w:t>(</w:t>
            </w:r>
            <w:r w:rsidRPr="006C7397">
              <w:rPr>
                <w:rFonts w:ascii="Calibri" w:hAnsi="Calibri" w:cs="Calibri"/>
                <w:bCs/>
              </w:rPr>
              <w:t>3.</w:t>
            </w:r>
            <w:r>
              <w:rPr>
                <w:rFonts w:ascii="Calibri" w:hAnsi="Calibri" w:cs="Calibri"/>
                <w:bCs/>
              </w:rPr>
              <w:t>65</w:t>
            </w:r>
            <w:r w:rsidRPr="006C7397">
              <w:rPr>
                <w:rFonts w:ascii="Calibri" w:hAnsi="Calibri" w:cs="Calibri"/>
                <w:bCs/>
              </w:rPr>
              <w:t>%)</w:t>
            </w:r>
          </w:p>
        </w:tc>
        <w:tc>
          <w:tcPr>
            <w:tcW w:w="1199" w:type="dxa"/>
            <w:gridSpan w:val="3"/>
            <w:tcBorders>
              <w:top w:val="nil"/>
              <w:left w:val="nil"/>
              <w:bottom w:val="nil"/>
              <w:right w:val="nil"/>
            </w:tcBorders>
            <w:shd w:val="clear" w:color="000000" w:fill="FFFFFF"/>
            <w:vAlign w:val="bottom"/>
          </w:tcPr>
          <w:p w14:paraId="6B08F87B" w14:textId="29183F1F" w:rsidR="007A193F" w:rsidRPr="001C6BA8" w:rsidRDefault="007A193F">
            <w:pPr>
              <w:jc w:val="center"/>
              <w:rPr>
                <w:rFonts w:ascii="Calibri" w:hAnsi="Calibri" w:cs="Calibri"/>
                <w:bCs/>
              </w:rPr>
            </w:pPr>
            <w:r w:rsidRPr="001C6BA8">
              <w:rPr>
                <w:rFonts w:ascii="Calibri" w:hAnsi="Calibri" w:cs="Calibri"/>
                <w:bCs/>
              </w:rPr>
              <w:t>(</w:t>
            </w:r>
            <w:r w:rsidRPr="006C7397">
              <w:rPr>
                <w:rFonts w:ascii="Calibri" w:hAnsi="Calibri" w:cs="Calibri"/>
                <w:bCs/>
              </w:rPr>
              <w:t>4.</w:t>
            </w:r>
            <w:r>
              <w:rPr>
                <w:rFonts w:ascii="Calibri" w:hAnsi="Calibri" w:cs="Calibri"/>
                <w:bCs/>
              </w:rPr>
              <w:t>65</w:t>
            </w:r>
            <w:r w:rsidRPr="001C6BA8">
              <w:rPr>
                <w:rFonts w:ascii="Calibri" w:hAnsi="Calibri" w:cs="Calibri"/>
                <w:bCs/>
              </w:rPr>
              <w:t>%)</w:t>
            </w:r>
          </w:p>
        </w:tc>
        <w:tc>
          <w:tcPr>
            <w:tcW w:w="1114" w:type="dxa"/>
            <w:gridSpan w:val="2"/>
            <w:tcBorders>
              <w:top w:val="nil"/>
              <w:left w:val="nil"/>
              <w:bottom w:val="nil"/>
              <w:right w:val="nil"/>
            </w:tcBorders>
            <w:shd w:val="clear" w:color="auto" w:fill="F2F2F2" w:themeFill="background1" w:themeFillShade="F2"/>
            <w:vAlign w:val="bottom"/>
          </w:tcPr>
          <w:p w14:paraId="5231664B" w14:textId="683CF574" w:rsidR="007A193F" w:rsidRPr="00806680" w:rsidRDefault="007A193F" w:rsidP="007A193F">
            <w:pPr>
              <w:jc w:val="center"/>
              <w:rPr>
                <w:rFonts w:ascii="Calibri" w:eastAsia="Times New Roman" w:hAnsi="Calibri" w:cs="Calibri"/>
                <w:bCs/>
                <w:color w:val="0D0D0D"/>
              </w:rPr>
            </w:pPr>
            <w:r w:rsidRPr="001C6BA8">
              <w:rPr>
                <w:rFonts w:ascii="Calibri" w:hAnsi="Calibri" w:cs="Calibri"/>
                <w:bCs/>
              </w:rPr>
              <w:t>(</w:t>
            </w:r>
            <w:r w:rsidRPr="006C7397">
              <w:rPr>
                <w:rFonts w:ascii="Calibri" w:hAnsi="Calibri" w:cs="Calibri"/>
                <w:bCs/>
              </w:rPr>
              <w:t>2.54%)</w:t>
            </w:r>
          </w:p>
        </w:tc>
        <w:tc>
          <w:tcPr>
            <w:tcW w:w="1114" w:type="dxa"/>
            <w:gridSpan w:val="2"/>
            <w:tcBorders>
              <w:top w:val="nil"/>
              <w:left w:val="nil"/>
              <w:bottom w:val="nil"/>
              <w:right w:val="nil"/>
            </w:tcBorders>
            <w:shd w:val="clear" w:color="auto" w:fill="F2F2F2" w:themeFill="background1" w:themeFillShade="F2"/>
            <w:vAlign w:val="bottom"/>
          </w:tcPr>
          <w:p w14:paraId="4C2E1C65" w14:textId="364E16DD" w:rsidR="007A193F" w:rsidRPr="00806680" w:rsidRDefault="007A193F" w:rsidP="007A193F">
            <w:pPr>
              <w:jc w:val="center"/>
              <w:rPr>
                <w:rFonts w:ascii="Calibri" w:eastAsia="Times New Roman" w:hAnsi="Calibri" w:cs="Calibri"/>
                <w:bCs/>
                <w:color w:val="0D0D0D"/>
              </w:rPr>
            </w:pPr>
            <w:r w:rsidRPr="001C6BA8">
              <w:rPr>
                <w:rFonts w:ascii="Calibri" w:hAnsi="Calibri" w:cs="Calibri"/>
                <w:bCs/>
              </w:rPr>
              <w:t>(</w:t>
            </w:r>
            <w:r w:rsidRPr="006C7397">
              <w:rPr>
                <w:rFonts w:ascii="Calibri" w:hAnsi="Calibri" w:cs="Calibri"/>
                <w:bCs/>
              </w:rPr>
              <w:t>3.54%)</w:t>
            </w:r>
          </w:p>
        </w:tc>
        <w:tc>
          <w:tcPr>
            <w:tcW w:w="1249" w:type="dxa"/>
            <w:gridSpan w:val="3"/>
            <w:tcBorders>
              <w:top w:val="nil"/>
              <w:left w:val="nil"/>
              <w:bottom w:val="nil"/>
              <w:right w:val="nil"/>
            </w:tcBorders>
            <w:shd w:val="clear" w:color="auto" w:fill="F2F2F2" w:themeFill="background1" w:themeFillShade="F2"/>
            <w:vAlign w:val="bottom"/>
          </w:tcPr>
          <w:p w14:paraId="20041DAB" w14:textId="3DB2AC12" w:rsidR="007A193F" w:rsidRPr="00806680" w:rsidRDefault="007A193F" w:rsidP="007A193F">
            <w:pPr>
              <w:jc w:val="center"/>
              <w:rPr>
                <w:rFonts w:ascii="Calibri" w:eastAsia="Times New Roman" w:hAnsi="Calibri" w:cs="Calibri"/>
                <w:bCs/>
                <w:color w:val="0D0D0D"/>
              </w:rPr>
            </w:pPr>
            <w:r w:rsidRPr="001C6BA8">
              <w:rPr>
                <w:rFonts w:ascii="Calibri" w:hAnsi="Calibri" w:cs="Calibri"/>
                <w:bCs/>
              </w:rPr>
              <w:t>(</w:t>
            </w:r>
            <w:r w:rsidRPr="006C7397">
              <w:rPr>
                <w:rFonts w:ascii="Calibri" w:hAnsi="Calibri" w:cs="Calibri"/>
                <w:bCs/>
              </w:rPr>
              <w:t>4.54</w:t>
            </w:r>
            <w:r w:rsidRPr="001C6BA8">
              <w:rPr>
                <w:rFonts w:ascii="Calibri" w:hAnsi="Calibri" w:cs="Calibri"/>
                <w:bCs/>
              </w:rPr>
              <w:t>%)</w:t>
            </w:r>
          </w:p>
        </w:tc>
      </w:tr>
      <w:tr w:rsidR="007A193F" w:rsidRPr="002942E7" w14:paraId="2CF6510E" w14:textId="77777777" w:rsidTr="00B045CF">
        <w:trPr>
          <w:gridAfter w:val="1"/>
          <w:wAfter w:w="13" w:type="dxa"/>
          <w:trHeight w:val="451"/>
          <w:jc w:val="center"/>
        </w:trPr>
        <w:tc>
          <w:tcPr>
            <w:tcW w:w="2164" w:type="dxa"/>
            <w:tcBorders>
              <w:top w:val="single" w:sz="12" w:space="0" w:color="00688D"/>
              <w:left w:val="nil"/>
              <w:bottom w:val="double" w:sz="6" w:space="0" w:color="00688D"/>
              <w:right w:val="nil"/>
            </w:tcBorders>
            <w:shd w:val="clear" w:color="000000" w:fill="FFFFFF"/>
            <w:noWrap/>
            <w:vAlign w:val="bottom"/>
            <w:hideMark/>
          </w:tcPr>
          <w:p w14:paraId="7A9ACD81" w14:textId="77777777" w:rsidR="007A193F" w:rsidRPr="002942E7" w:rsidRDefault="007A193F" w:rsidP="007A193F">
            <w:pPr>
              <w:rPr>
                <w:rFonts w:ascii="Calibri" w:eastAsia="Times New Roman" w:hAnsi="Calibri" w:cs="Calibri"/>
                <w:color w:val="0D0D0D"/>
              </w:rPr>
            </w:pPr>
            <w:r w:rsidRPr="002942E7">
              <w:rPr>
                <w:rFonts w:ascii="Calibri" w:eastAsia="Times New Roman" w:hAnsi="Calibri" w:cs="Calibri"/>
                <w:color w:val="0D0D0D"/>
              </w:rPr>
              <w:t xml:space="preserve">Total </w:t>
            </w:r>
            <w:r>
              <w:rPr>
                <w:rFonts w:ascii="Calibri" w:eastAsia="Times New Roman" w:hAnsi="Calibri" w:cs="Calibri"/>
                <w:color w:val="0D0D0D"/>
              </w:rPr>
              <w:t>p</w:t>
            </w:r>
            <w:r w:rsidRPr="002942E7">
              <w:rPr>
                <w:rFonts w:ascii="Calibri" w:eastAsia="Times New Roman" w:hAnsi="Calibri" w:cs="Calibri"/>
                <w:color w:val="0D0D0D"/>
              </w:rPr>
              <w:t xml:space="preserve">ension </w:t>
            </w:r>
            <w:r>
              <w:rPr>
                <w:rFonts w:ascii="Calibri" w:eastAsia="Times New Roman" w:hAnsi="Calibri" w:cs="Calibri"/>
                <w:color w:val="0D0D0D"/>
              </w:rPr>
              <w:t>l</w:t>
            </w:r>
            <w:r w:rsidRPr="002942E7">
              <w:rPr>
                <w:rFonts w:ascii="Calibri" w:eastAsia="Times New Roman" w:hAnsi="Calibri" w:cs="Calibri"/>
                <w:color w:val="0D0D0D"/>
              </w:rPr>
              <w:t>iability</w:t>
            </w:r>
          </w:p>
        </w:tc>
        <w:tc>
          <w:tcPr>
            <w:tcW w:w="1205" w:type="dxa"/>
            <w:gridSpan w:val="2"/>
            <w:tcBorders>
              <w:top w:val="single" w:sz="12" w:space="0" w:color="00688D"/>
              <w:left w:val="nil"/>
              <w:bottom w:val="double" w:sz="6" w:space="0" w:color="00688D"/>
              <w:right w:val="nil"/>
            </w:tcBorders>
            <w:shd w:val="clear" w:color="000000" w:fill="FFFFFF"/>
            <w:noWrap/>
            <w:vAlign w:val="bottom"/>
            <w:hideMark/>
          </w:tcPr>
          <w:p w14:paraId="1FCAD8DC" w14:textId="55E5E9F5" w:rsidR="007A193F" w:rsidRPr="006C7397" w:rsidRDefault="007A193F" w:rsidP="00E66875">
            <w:pPr>
              <w:ind w:firstLineChars="100" w:firstLine="220"/>
              <w:jc w:val="center"/>
              <w:rPr>
                <w:rFonts w:ascii="Calibri" w:eastAsia="Times New Roman" w:hAnsi="Calibri" w:cs="Calibri"/>
              </w:rPr>
            </w:pPr>
            <w:r w:rsidRPr="00263055">
              <w:rPr>
                <w:rFonts w:ascii="Calibri" w:hAnsi="Calibri" w:cs="Calibri"/>
              </w:rPr>
              <w:t>$</w:t>
            </w:r>
            <w:r>
              <w:rPr>
                <w:rFonts w:ascii="Calibri" w:hAnsi="Calibri" w:cs="Calibri"/>
              </w:rPr>
              <w:t>17,758</w:t>
            </w:r>
          </w:p>
        </w:tc>
        <w:tc>
          <w:tcPr>
            <w:tcW w:w="1214" w:type="dxa"/>
            <w:tcBorders>
              <w:top w:val="single" w:sz="12" w:space="0" w:color="00688D"/>
              <w:left w:val="nil"/>
              <w:bottom w:val="double" w:sz="6" w:space="0" w:color="00688D"/>
              <w:right w:val="nil"/>
            </w:tcBorders>
            <w:shd w:val="clear" w:color="000000" w:fill="FFFFFF"/>
            <w:noWrap/>
            <w:vAlign w:val="bottom"/>
            <w:hideMark/>
          </w:tcPr>
          <w:p w14:paraId="43EE214D" w14:textId="2C508084" w:rsidR="007A193F" w:rsidRPr="006C7397" w:rsidRDefault="007A193F">
            <w:pPr>
              <w:ind w:firstLineChars="100" w:firstLine="220"/>
              <w:jc w:val="center"/>
              <w:rPr>
                <w:rFonts w:ascii="Calibri" w:eastAsia="Times New Roman" w:hAnsi="Calibri" w:cs="Calibri"/>
              </w:rPr>
            </w:pPr>
            <w:r w:rsidRPr="00263055">
              <w:rPr>
                <w:rFonts w:ascii="Calibri" w:hAnsi="Calibri" w:cs="Calibri"/>
              </w:rPr>
              <w:t>$</w:t>
            </w:r>
            <w:r>
              <w:rPr>
                <w:rFonts w:ascii="Calibri" w:hAnsi="Calibri" w:cs="Calibri"/>
              </w:rPr>
              <w:t>17,206</w:t>
            </w:r>
          </w:p>
        </w:tc>
        <w:tc>
          <w:tcPr>
            <w:tcW w:w="1199" w:type="dxa"/>
            <w:gridSpan w:val="3"/>
            <w:tcBorders>
              <w:top w:val="single" w:sz="12" w:space="0" w:color="00688D"/>
              <w:left w:val="nil"/>
              <w:bottom w:val="double" w:sz="6" w:space="0" w:color="00688D"/>
              <w:right w:val="nil"/>
            </w:tcBorders>
            <w:shd w:val="clear" w:color="000000" w:fill="FFFFFF"/>
            <w:noWrap/>
            <w:vAlign w:val="bottom"/>
            <w:hideMark/>
          </w:tcPr>
          <w:p w14:paraId="2180555A" w14:textId="19BD8150" w:rsidR="007A193F" w:rsidRPr="006C7397" w:rsidRDefault="007A193F">
            <w:pPr>
              <w:ind w:firstLineChars="100" w:firstLine="220"/>
              <w:jc w:val="center"/>
              <w:rPr>
                <w:rFonts w:ascii="Calibri" w:eastAsia="Times New Roman" w:hAnsi="Calibri" w:cs="Calibri"/>
              </w:rPr>
            </w:pPr>
            <w:r w:rsidRPr="00263055">
              <w:rPr>
                <w:rFonts w:ascii="Calibri" w:hAnsi="Calibri" w:cs="Calibri"/>
              </w:rPr>
              <w:t>$</w:t>
            </w:r>
            <w:r>
              <w:rPr>
                <w:rFonts w:ascii="Calibri" w:hAnsi="Calibri" w:cs="Calibri"/>
              </w:rPr>
              <w:t>16,651</w:t>
            </w:r>
          </w:p>
        </w:tc>
        <w:tc>
          <w:tcPr>
            <w:tcW w:w="1132" w:type="dxa"/>
            <w:gridSpan w:val="3"/>
            <w:tcBorders>
              <w:top w:val="single" w:sz="12" w:space="0" w:color="00688D"/>
              <w:left w:val="nil"/>
              <w:bottom w:val="double" w:sz="6" w:space="0" w:color="00688D"/>
              <w:right w:val="nil"/>
            </w:tcBorders>
            <w:shd w:val="clear" w:color="auto" w:fill="F2F2F2" w:themeFill="background1" w:themeFillShade="F2"/>
            <w:noWrap/>
            <w:vAlign w:val="bottom"/>
            <w:hideMark/>
          </w:tcPr>
          <w:p w14:paraId="53571105" w14:textId="164573D3" w:rsidR="007A193F" w:rsidRPr="002942E7" w:rsidRDefault="007A193F" w:rsidP="007A193F">
            <w:pPr>
              <w:jc w:val="center"/>
              <w:rPr>
                <w:rFonts w:ascii="Calibri" w:eastAsia="Times New Roman" w:hAnsi="Calibri" w:cs="Calibri"/>
                <w:color w:val="0D0D0D"/>
              </w:rPr>
            </w:pPr>
            <w:r w:rsidRPr="00263055">
              <w:rPr>
                <w:rFonts w:ascii="Calibri" w:hAnsi="Calibri" w:cs="Calibri"/>
              </w:rPr>
              <w:t>$</w:t>
            </w:r>
            <w:r w:rsidRPr="006C7397">
              <w:rPr>
                <w:rFonts w:ascii="Calibri" w:hAnsi="Calibri" w:cs="Calibri"/>
              </w:rPr>
              <w:t>19,667</w:t>
            </w:r>
          </w:p>
        </w:tc>
        <w:tc>
          <w:tcPr>
            <w:tcW w:w="1172" w:type="dxa"/>
            <w:gridSpan w:val="2"/>
            <w:tcBorders>
              <w:top w:val="single" w:sz="12" w:space="0" w:color="00688D"/>
              <w:left w:val="nil"/>
              <w:bottom w:val="double" w:sz="6" w:space="0" w:color="00688D"/>
              <w:right w:val="nil"/>
            </w:tcBorders>
            <w:shd w:val="clear" w:color="auto" w:fill="F2F2F2" w:themeFill="background1" w:themeFillShade="F2"/>
            <w:noWrap/>
            <w:vAlign w:val="bottom"/>
            <w:hideMark/>
          </w:tcPr>
          <w:p w14:paraId="4E34D6EA" w14:textId="54DFF345" w:rsidR="007A193F" w:rsidRPr="002942E7" w:rsidRDefault="007A193F" w:rsidP="007A193F">
            <w:pPr>
              <w:ind w:firstLineChars="100" w:firstLine="220"/>
              <w:jc w:val="center"/>
              <w:rPr>
                <w:rFonts w:ascii="Calibri" w:eastAsia="Times New Roman" w:hAnsi="Calibri" w:cs="Calibri"/>
                <w:color w:val="0D0D0D"/>
              </w:rPr>
            </w:pPr>
            <w:r w:rsidRPr="00263055">
              <w:rPr>
                <w:rFonts w:ascii="Calibri" w:hAnsi="Calibri" w:cs="Calibri"/>
              </w:rPr>
              <w:t>$</w:t>
            </w:r>
            <w:r w:rsidRPr="006C7397">
              <w:rPr>
                <w:rFonts w:ascii="Calibri" w:hAnsi="Calibri" w:cs="Calibri"/>
              </w:rPr>
              <w:t>19,090</w:t>
            </w:r>
          </w:p>
        </w:tc>
        <w:tc>
          <w:tcPr>
            <w:tcW w:w="1173" w:type="dxa"/>
            <w:gridSpan w:val="2"/>
            <w:tcBorders>
              <w:top w:val="single" w:sz="12" w:space="0" w:color="00688D"/>
              <w:left w:val="nil"/>
              <w:bottom w:val="double" w:sz="6" w:space="0" w:color="00688D"/>
              <w:right w:val="nil"/>
            </w:tcBorders>
            <w:shd w:val="clear" w:color="auto" w:fill="F2F2F2" w:themeFill="background1" w:themeFillShade="F2"/>
            <w:noWrap/>
            <w:vAlign w:val="bottom"/>
            <w:hideMark/>
          </w:tcPr>
          <w:p w14:paraId="5C25B0A3" w14:textId="39256850" w:rsidR="007A193F" w:rsidRPr="002942E7" w:rsidRDefault="007A193F" w:rsidP="007A193F">
            <w:pPr>
              <w:ind w:firstLineChars="100" w:firstLine="220"/>
              <w:jc w:val="center"/>
              <w:rPr>
                <w:rFonts w:ascii="Calibri" w:eastAsia="Times New Roman" w:hAnsi="Calibri" w:cs="Calibri"/>
                <w:color w:val="0D0D0D"/>
              </w:rPr>
            </w:pPr>
            <w:r w:rsidRPr="00263055">
              <w:rPr>
                <w:rFonts w:ascii="Calibri" w:hAnsi="Calibri" w:cs="Calibri"/>
              </w:rPr>
              <w:t>$</w:t>
            </w:r>
            <w:r w:rsidRPr="006C7397">
              <w:rPr>
                <w:rFonts w:ascii="Calibri" w:hAnsi="Calibri" w:cs="Calibri"/>
              </w:rPr>
              <w:t>18,510</w:t>
            </w:r>
          </w:p>
        </w:tc>
      </w:tr>
    </w:tbl>
    <w:p w14:paraId="009058E3" w14:textId="77777777" w:rsidR="00DD1612" w:rsidRPr="00B04D7E" w:rsidRDefault="00DD1612" w:rsidP="00DD1612">
      <w:pPr>
        <w:tabs>
          <w:tab w:val="left" w:pos="6390"/>
        </w:tabs>
        <w:rPr>
          <w:rFonts w:cstheme="minorHAnsi"/>
          <w:bCs/>
          <w:iCs/>
          <w:sz w:val="18"/>
          <w:szCs w:val="18"/>
        </w:rPr>
      </w:pPr>
    </w:p>
    <w:p w14:paraId="3CAEA4ED" w14:textId="77777777" w:rsidR="00DD1612" w:rsidRPr="00F54559" w:rsidRDefault="00DD1612" w:rsidP="00B04D7E">
      <w:pPr>
        <w:widowControl w:val="0"/>
        <w:spacing w:after="180"/>
        <w:rPr>
          <w:rFonts w:cstheme="minorHAnsi"/>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Total</w:t>
      </w:r>
      <w:r w:rsidRPr="00F54559">
        <w:rPr>
          <w:rFonts w:eastAsia="Franklin Gothic Book" w:cstheme="minorHAnsi"/>
          <w:sz w:val="24"/>
        </w:rPr>
        <w:t xml:space="preserve">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Incentive Retirement Plan</w:t>
      </w:r>
      <w:r w:rsidRPr="00F54559">
        <w:rPr>
          <w:rFonts w:eastAsia="Franklin Gothic Book" w:cstheme="minorHAnsi"/>
          <w:sz w:val="24"/>
        </w:rPr>
        <w:t>:</w:t>
      </w:r>
      <w:r>
        <w:rPr>
          <w:rFonts w:cstheme="minorHAnsi"/>
        </w:rPr>
        <w:fldChar w:fldCharType="begin"/>
      </w:r>
      <w:r>
        <w:rPr>
          <w:rFonts w:cstheme="minorHAnsi"/>
        </w:rPr>
        <w:fldChar w:fldCharType="end"/>
      </w:r>
    </w:p>
    <w:tbl>
      <w:tblPr>
        <w:tblW w:w="9360" w:type="dxa"/>
        <w:jc w:val="center"/>
        <w:tblLook w:val="04A0" w:firstRow="1" w:lastRow="0" w:firstColumn="1" w:lastColumn="0" w:noHBand="0" w:noVBand="1"/>
      </w:tblPr>
      <w:tblGrid>
        <w:gridCol w:w="6393"/>
        <w:gridCol w:w="1437"/>
        <w:gridCol w:w="1530"/>
      </w:tblGrid>
      <w:tr w:rsidR="00DD1612" w:rsidRPr="002942E7" w14:paraId="1C15877C" w14:textId="77777777" w:rsidTr="00B045CF">
        <w:trPr>
          <w:trHeight w:val="324"/>
          <w:tblHeader/>
          <w:jc w:val="center"/>
        </w:trPr>
        <w:tc>
          <w:tcPr>
            <w:tcW w:w="6393" w:type="dxa"/>
            <w:tcBorders>
              <w:top w:val="nil"/>
              <w:left w:val="nil"/>
              <w:bottom w:val="single" w:sz="12" w:space="0" w:color="00688D"/>
              <w:right w:val="nil"/>
            </w:tcBorders>
            <w:shd w:val="clear" w:color="000000" w:fill="FFFFFF"/>
            <w:noWrap/>
            <w:vAlign w:val="bottom"/>
            <w:hideMark/>
          </w:tcPr>
          <w:p w14:paraId="12F9F53D" w14:textId="77777777" w:rsidR="00DD1612" w:rsidRPr="002942E7" w:rsidRDefault="00DD1612" w:rsidP="00BD375F">
            <w:pPr>
              <w:rPr>
                <w:rFonts w:ascii="Calibri" w:eastAsia="Times New Roman" w:hAnsi="Calibri" w:cs="Calibri"/>
                <w:b/>
                <w:bCs/>
                <w:color w:val="0D0D0D"/>
              </w:rPr>
            </w:pPr>
            <w:r w:rsidRPr="002942E7">
              <w:rPr>
                <w:rFonts w:ascii="Calibri" w:eastAsia="Times New Roman" w:hAnsi="Calibri" w:cs="Calibri"/>
                <w:b/>
                <w:bCs/>
                <w:color w:val="0D0D0D"/>
              </w:rPr>
              <w:t>Fiscal Year Ended June 30</w:t>
            </w:r>
          </w:p>
        </w:tc>
        <w:tc>
          <w:tcPr>
            <w:tcW w:w="1437" w:type="dxa"/>
            <w:tcBorders>
              <w:top w:val="nil"/>
              <w:left w:val="nil"/>
              <w:bottom w:val="single" w:sz="12" w:space="0" w:color="00688D"/>
              <w:right w:val="nil"/>
            </w:tcBorders>
            <w:shd w:val="clear" w:color="000000" w:fill="FFFFFF"/>
            <w:noWrap/>
            <w:vAlign w:val="bottom"/>
            <w:hideMark/>
          </w:tcPr>
          <w:p w14:paraId="1A41DBA3" w14:textId="03C40DDD" w:rsidR="00DD1612" w:rsidRPr="002942E7" w:rsidRDefault="00082185" w:rsidP="00E66875">
            <w:pPr>
              <w:jc w:val="center"/>
              <w:rPr>
                <w:rFonts w:ascii="Calibri" w:eastAsia="Times New Roman" w:hAnsi="Calibri" w:cs="Calibri"/>
                <w:b/>
                <w:bCs/>
                <w:color w:val="0D0D0D"/>
              </w:rPr>
            </w:pPr>
            <w:r w:rsidRPr="002942E7">
              <w:rPr>
                <w:rFonts w:ascii="Calibri" w:eastAsia="Times New Roman" w:hAnsi="Calibri" w:cs="Calibri"/>
                <w:b/>
                <w:bCs/>
                <w:color w:val="0D0D0D"/>
              </w:rPr>
              <w:t>202</w:t>
            </w:r>
            <w:r>
              <w:rPr>
                <w:rFonts w:ascii="Calibri" w:eastAsia="Times New Roman" w:hAnsi="Calibri" w:cs="Calibri"/>
                <w:b/>
                <w:bCs/>
                <w:color w:val="0D0D0D"/>
              </w:rPr>
              <w:t>3</w:t>
            </w:r>
          </w:p>
        </w:tc>
        <w:tc>
          <w:tcPr>
            <w:tcW w:w="1530" w:type="dxa"/>
            <w:tcBorders>
              <w:top w:val="nil"/>
              <w:left w:val="nil"/>
              <w:bottom w:val="single" w:sz="12" w:space="0" w:color="00688D"/>
              <w:right w:val="nil"/>
            </w:tcBorders>
            <w:shd w:val="clear" w:color="auto" w:fill="F2F2F2" w:themeFill="background1" w:themeFillShade="F2"/>
            <w:noWrap/>
            <w:vAlign w:val="bottom"/>
            <w:hideMark/>
          </w:tcPr>
          <w:p w14:paraId="6B93B1B6" w14:textId="7BE17949" w:rsidR="00DD1612" w:rsidRPr="002942E7" w:rsidRDefault="00082185">
            <w:pPr>
              <w:jc w:val="center"/>
              <w:rPr>
                <w:rFonts w:ascii="Calibri" w:eastAsia="Times New Roman" w:hAnsi="Calibri" w:cs="Calibri"/>
                <w:b/>
                <w:bCs/>
                <w:color w:val="0D0D0D"/>
              </w:rPr>
            </w:pPr>
            <w:r w:rsidRPr="002942E7">
              <w:rPr>
                <w:rFonts w:ascii="Calibri" w:eastAsia="Times New Roman" w:hAnsi="Calibri" w:cs="Calibri"/>
                <w:b/>
                <w:bCs/>
                <w:color w:val="0D0D0D"/>
              </w:rPr>
              <w:t>20</w:t>
            </w:r>
            <w:r>
              <w:rPr>
                <w:rFonts w:ascii="Calibri" w:eastAsia="Times New Roman" w:hAnsi="Calibri" w:cs="Calibri"/>
                <w:b/>
                <w:bCs/>
                <w:color w:val="0D0D0D"/>
              </w:rPr>
              <w:t>22</w:t>
            </w:r>
          </w:p>
        </w:tc>
      </w:tr>
      <w:tr w:rsidR="00DD1612" w:rsidRPr="002942E7" w14:paraId="6B7F0202" w14:textId="77777777" w:rsidTr="00B045CF">
        <w:trPr>
          <w:trHeight w:val="360"/>
          <w:jc w:val="center"/>
        </w:trPr>
        <w:tc>
          <w:tcPr>
            <w:tcW w:w="6393" w:type="dxa"/>
            <w:tcBorders>
              <w:top w:val="nil"/>
              <w:left w:val="nil"/>
              <w:bottom w:val="nil"/>
              <w:right w:val="nil"/>
            </w:tcBorders>
            <w:shd w:val="clear" w:color="000000" w:fill="FFFFFF"/>
            <w:noWrap/>
            <w:vAlign w:val="bottom"/>
            <w:hideMark/>
          </w:tcPr>
          <w:p w14:paraId="00FB56F9"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 xml:space="preserve">Total pension liability – beginning </w:t>
            </w:r>
          </w:p>
        </w:tc>
        <w:tc>
          <w:tcPr>
            <w:tcW w:w="1437" w:type="dxa"/>
            <w:tcBorders>
              <w:top w:val="nil"/>
              <w:left w:val="nil"/>
              <w:bottom w:val="nil"/>
              <w:right w:val="nil"/>
            </w:tcBorders>
            <w:shd w:val="clear" w:color="000000" w:fill="FFFFFF"/>
            <w:noWrap/>
            <w:vAlign w:val="bottom"/>
            <w:hideMark/>
          </w:tcPr>
          <w:p w14:paraId="45444767" w14:textId="3A1BE1AE" w:rsidR="00DD1612" w:rsidRPr="006C7397" w:rsidRDefault="00DD1612" w:rsidP="00E66875">
            <w:pPr>
              <w:jc w:val="right"/>
              <w:rPr>
                <w:rFonts w:ascii="Calibri" w:eastAsia="Times New Roman" w:hAnsi="Calibri" w:cs="Calibri"/>
              </w:rPr>
            </w:pPr>
            <w:r w:rsidRPr="00AD75A2">
              <w:rPr>
                <w:rFonts w:ascii="Calibri" w:hAnsi="Calibri" w:cs="Calibri"/>
              </w:rPr>
              <w:t xml:space="preserve"> $ </w:t>
            </w:r>
            <w:r w:rsidR="00082185">
              <w:rPr>
                <w:rFonts w:ascii="Calibri" w:hAnsi="Calibri" w:cs="Calibri"/>
              </w:rPr>
              <w:t>19,090</w:t>
            </w:r>
            <w:r w:rsidRPr="00AD75A2">
              <w:rPr>
                <w:rFonts w:ascii="Calibri" w:hAnsi="Calibri" w:cs="Calibri"/>
              </w:rPr>
              <w:t xml:space="preserve"> </w:t>
            </w:r>
          </w:p>
        </w:tc>
        <w:tc>
          <w:tcPr>
            <w:tcW w:w="1530" w:type="dxa"/>
            <w:tcBorders>
              <w:top w:val="nil"/>
              <w:left w:val="nil"/>
              <w:bottom w:val="nil"/>
              <w:right w:val="nil"/>
            </w:tcBorders>
            <w:shd w:val="clear" w:color="auto" w:fill="F2F2F2" w:themeFill="background1" w:themeFillShade="F2"/>
            <w:noWrap/>
            <w:vAlign w:val="bottom"/>
            <w:hideMark/>
          </w:tcPr>
          <w:p w14:paraId="6774160E" w14:textId="7A1306A6" w:rsidR="00DD1612" w:rsidRPr="0048737B" w:rsidRDefault="00DD1612" w:rsidP="00E66875">
            <w:pPr>
              <w:jc w:val="right"/>
              <w:rPr>
                <w:rFonts w:ascii="Calibri" w:hAnsi="Calibri" w:cs="Calibri"/>
              </w:rPr>
            </w:pPr>
            <w:r>
              <w:rPr>
                <w:rFonts w:ascii="Calibri" w:hAnsi="Calibri" w:cs="Calibri"/>
              </w:rPr>
              <w:t xml:space="preserve"> $ 21,</w:t>
            </w:r>
            <w:r w:rsidR="003C2425">
              <w:rPr>
                <w:rFonts w:ascii="Calibri" w:hAnsi="Calibri" w:cs="Calibri"/>
              </w:rPr>
              <w:t xml:space="preserve">208 </w:t>
            </w:r>
          </w:p>
        </w:tc>
      </w:tr>
      <w:tr w:rsidR="00DD1612" w:rsidRPr="002942E7" w14:paraId="05D31619" w14:textId="77777777" w:rsidTr="00B045CF">
        <w:trPr>
          <w:trHeight w:val="312"/>
          <w:jc w:val="center"/>
        </w:trPr>
        <w:tc>
          <w:tcPr>
            <w:tcW w:w="6393" w:type="dxa"/>
            <w:tcBorders>
              <w:top w:val="nil"/>
              <w:left w:val="nil"/>
              <w:bottom w:val="nil"/>
              <w:right w:val="nil"/>
            </w:tcBorders>
            <w:shd w:val="clear" w:color="000000" w:fill="FFFFFF"/>
            <w:noWrap/>
            <w:vAlign w:val="bottom"/>
            <w:hideMark/>
          </w:tcPr>
          <w:p w14:paraId="027CE84A"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Changes for the year:</w:t>
            </w:r>
          </w:p>
        </w:tc>
        <w:tc>
          <w:tcPr>
            <w:tcW w:w="1437" w:type="dxa"/>
            <w:tcBorders>
              <w:top w:val="nil"/>
              <w:left w:val="nil"/>
              <w:bottom w:val="nil"/>
              <w:right w:val="nil"/>
            </w:tcBorders>
            <w:shd w:val="clear" w:color="000000" w:fill="FFFFFF"/>
            <w:noWrap/>
            <w:vAlign w:val="bottom"/>
            <w:hideMark/>
          </w:tcPr>
          <w:p w14:paraId="0CE7FF2E" w14:textId="77777777" w:rsidR="00DD1612" w:rsidRPr="006C7397" w:rsidRDefault="00DD1612" w:rsidP="00BD375F">
            <w:pPr>
              <w:jc w:val="right"/>
              <w:rPr>
                <w:rFonts w:ascii="Calibri" w:eastAsia="Times New Roman" w:hAnsi="Calibri" w:cs="Calibri"/>
              </w:rPr>
            </w:pPr>
            <w:r w:rsidRPr="006C7397">
              <w:rPr>
                <w:rFonts w:ascii="Calibri" w:hAnsi="Calibri" w:cs="Calibri"/>
              </w:rPr>
              <w:t> </w:t>
            </w:r>
          </w:p>
        </w:tc>
        <w:tc>
          <w:tcPr>
            <w:tcW w:w="1530" w:type="dxa"/>
            <w:tcBorders>
              <w:top w:val="nil"/>
              <w:left w:val="nil"/>
              <w:bottom w:val="nil"/>
              <w:right w:val="nil"/>
            </w:tcBorders>
            <w:shd w:val="clear" w:color="auto" w:fill="F2F2F2" w:themeFill="background1" w:themeFillShade="F2"/>
            <w:noWrap/>
            <w:vAlign w:val="bottom"/>
            <w:hideMark/>
          </w:tcPr>
          <w:p w14:paraId="3B354634" w14:textId="77777777" w:rsidR="00DD1612" w:rsidRPr="0048737B" w:rsidRDefault="00DD1612" w:rsidP="00BD375F">
            <w:pPr>
              <w:jc w:val="right"/>
              <w:rPr>
                <w:rFonts w:ascii="Calibri" w:hAnsi="Calibri" w:cs="Calibri"/>
              </w:rPr>
            </w:pPr>
            <w:r w:rsidRPr="00873829">
              <w:rPr>
                <w:rFonts w:ascii="Calibri" w:hAnsi="Calibri" w:cs="Calibri"/>
              </w:rPr>
              <w:t> </w:t>
            </w:r>
          </w:p>
        </w:tc>
      </w:tr>
      <w:tr w:rsidR="00082185" w:rsidRPr="002942E7" w14:paraId="6344F8F9" w14:textId="77777777" w:rsidTr="00B045CF">
        <w:trPr>
          <w:trHeight w:val="312"/>
          <w:jc w:val="center"/>
        </w:trPr>
        <w:tc>
          <w:tcPr>
            <w:tcW w:w="6393" w:type="dxa"/>
            <w:tcBorders>
              <w:top w:val="nil"/>
              <w:left w:val="nil"/>
              <w:bottom w:val="nil"/>
              <w:right w:val="nil"/>
            </w:tcBorders>
            <w:shd w:val="clear" w:color="000000" w:fill="FFFFFF"/>
            <w:vAlign w:val="bottom"/>
            <w:hideMark/>
          </w:tcPr>
          <w:p w14:paraId="0E035FC7"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Service cost</w:t>
            </w:r>
          </w:p>
        </w:tc>
        <w:tc>
          <w:tcPr>
            <w:tcW w:w="1437" w:type="dxa"/>
            <w:tcBorders>
              <w:top w:val="nil"/>
              <w:left w:val="nil"/>
              <w:bottom w:val="nil"/>
              <w:right w:val="nil"/>
            </w:tcBorders>
            <w:shd w:val="clear" w:color="000000" w:fill="FFFFFF"/>
            <w:noWrap/>
            <w:hideMark/>
          </w:tcPr>
          <w:p w14:paraId="327E0C97" w14:textId="394ECC8E" w:rsidR="00082185" w:rsidRPr="006C7397" w:rsidRDefault="00082185" w:rsidP="00082185">
            <w:pPr>
              <w:jc w:val="right"/>
              <w:rPr>
                <w:rFonts w:ascii="Calibri" w:eastAsia="Times New Roman" w:hAnsi="Calibri" w:cs="Calibri"/>
              </w:rPr>
            </w:pPr>
            <w:r w:rsidRPr="00144CCA">
              <w:t xml:space="preserve"> 503 </w:t>
            </w:r>
          </w:p>
        </w:tc>
        <w:tc>
          <w:tcPr>
            <w:tcW w:w="1530" w:type="dxa"/>
            <w:tcBorders>
              <w:top w:val="nil"/>
              <w:left w:val="nil"/>
              <w:bottom w:val="nil"/>
              <w:right w:val="nil"/>
            </w:tcBorders>
            <w:shd w:val="clear" w:color="auto" w:fill="F2F2F2" w:themeFill="background1" w:themeFillShade="F2"/>
            <w:noWrap/>
            <w:vAlign w:val="bottom"/>
            <w:hideMark/>
          </w:tcPr>
          <w:p w14:paraId="28B5D8A5" w14:textId="5120090F" w:rsidR="00082185" w:rsidRPr="0048737B" w:rsidRDefault="00082185" w:rsidP="00E66875">
            <w:pPr>
              <w:jc w:val="right"/>
              <w:rPr>
                <w:rFonts w:ascii="Calibri" w:hAnsi="Calibri" w:cs="Calibri"/>
              </w:rPr>
            </w:pPr>
            <w:r>
              <w:rPr>
                <w:rFonts w:ascii="Calibri" w:hAnsi="Calibri" w:cs="Calibri"/>
              </w:rPr>
              <w:t xml:space="preserve">         616 </w:t>
            </w:r>
          </w:p>
        </w:tc>
      </w:tr>
      <w:tr w:rsidR="00082185" w:rsidRPr="002942E7" w14:paraId="10BD3B5D" w14:textId="77777777" w:rsidTr="00B045CF">
        <w:trPr>
          <w:trHeight w:val="312"/>
          <w:jc w:val="center"/>
        </w:trPr>
        <w:tc>
          <w:tcPr>
            <w:tcW w:w="6393" w:type="dxa"/>
            <w:tcBorders>
              <w:top w:val="nil"/>
              <w:left w:val="nil"/>
              <w:bottom w:val="nil"/>
              <w:right w:val="nil"/>
            </w:tcBorders>
            <w:shd w:val="clear" w:color="000000" w:fill="FFFFFF"/>
            <w:vAlign w:val="bottom"/>
            <w:hideMark/>
          </w:tcPr>
          <w:p w14:paraId="681049C9"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Interest</w:t>
            </w:r>
          </w:p>
        </w:tc>
        <w:tc>
          <w:tcPr>
            <w:tcW w:w="1437" w:type="dxa"/>
            <w:tcBorders>
              <w:top w:val="nil"/>
              <w:left w:val="nil"/>
              <w:bottom w:val="nil"/>
              <w:right w:val="nil"/>
            </w:tcBorders>
            <w:shd w:val="clear" w:color="000000" w:fill="FFFFFF"/>
            <w:noWrap/>
            <w:hideMark/>
          </w:tcPr>
          <w:p w14:paraId="53EBA259" w14:textId="61E93EF5" w:rsidR="00082185" w:rsidRPr="006C7397" w:rsidRDefault="00082185" w:rsidP="00082185">
            <w:pPr>
              <w:jc w:val="right"/>
              <w:rPr>
                <w:rFonts w:ascii="Calibri" w:eastAsia="Times New Roman" w:hAnsi="Calibri" w:cs="Calibri"/>
              </w:rPr>
            </w:pPr>
            <w:r w:rsidRPr="00144CCA">
              <w:t xml:space="preserve"> 645 </w:t>
            </w:r>
          </w:p>
        </w:tc>
        <w:tc>
          <w:tcPr>
            <w:tcW w:w="1530" w:type="dxa"/>
            <w:tcBorders>
              <w:top w:val="nil"/>
              <w:left w:val="nil"/>
              <w:bottom w:val="nil"/>
              <w:right w:val="nil"/>
            </w:tcBorders>
            <w:shd w:val="clear" w:color="auto" w:fill="F2F2F2" w:themeFill="background1" w:themeFillShade="F2"/>
            <w:noWrap/>
            <w:vAlign w:val="bottom"/>
            <w:hideMark/>
          </w:tcPr>
          <w:p w14:paraId="11C0139D" w14:textId="02490FBB" w:rsidR="00082185" w:rsidRPr="0048737B" w:rsidRDefault="00082185" w:rsidP="00E66875">
            <w:pPr>
              <w:jc w:val="right"/>
              <w:rPr>
                <w:rFonts w:ascii="Calibri" w:hAnsi="Calibri" w:cs="Calibri"/>
              </w:rPr>
            </w:pPr>
            <w:r>
              <w:rPr>
                <w:rFonts w:ascii="Calibri" w:hAnsi="Calibri" w:cs="Calibri"/>
              </w:rPr>
              <w:t xml:space="preserve">         446 </w:t>
            </w:r>
          </w:p>
        </w:tc>
      </w:tr>
      <w:tr w:rsidR="00082185" w:rsidRPr="002942E7" w14:paraId="0BDA9DF4" w14:textId="77777777" w:rsidTr="00B045CF">
        <w:trPr>
          <w:trHeight w:val="315"/>
          <w:jc w:val="center"/>
        </w:trPr>
        <w:tc>
          <w:tcPr>
            <w:tcW w:w="6393" w:type="dxa"/>
            <w:tcBorders>
              <w:top w:val="nil"/>
              <w:left w:val="nil"/>
              <w:bottom w:val="nil"/>
              <w:right w:val="nil"/>
            </w:tcBorders>
            <w:shd w:val="clear" w:color="000000" w:fill="FFFFFF"/>
            <w:noWrap/>
            <w:vAlign w:val="bottom"/>
            <w:hideMark/>
          </w:tcPr>
          <w:p w14:paraId="469B23A5"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 xml:space="preserve">Differences between expected and actual experience </w:t>
            </w:r>
          </w:p>
        </w:tc>
        <w:tc>
          <w:tcPr>
            <w:tcW w:w="1437" w:type="dxa"/>
            <w:tcBorders>
              <w:top w:val="nil"/>
              <w:left w:val="nil"/>
              <w:bottom w:val="nil"/>
              <w:right w:val="nil"/>
            </w:tcBorders>
            <w:shd w:val="clear" w:color="000000" w:fill="FFFFFF"/>
            <w:noWrap/>
            <w:hideMark/>
          </w:tcPr>
          <w:p w14:paraId="48B34802" w14:textId="756B45EF" w:rsidR="00082185" w:rsidRPr="006C7397" w:rsidRDefault="00082185" w:rsidP="00082185">
            <w:pPr>
              <w:jc w:val="right"/>
              <w:rPr>
                <w:rFonts w:ascii="Calibri" w:eastAsia="Times New Roman" w:hAnsi="Calibri" w:cs="Calibri"/>
              </w:rPr>
            </w:pPr>
            <w:r w:rsidRPr="00144CCA">
              <w:t xml:space="preserve"> (216)</w:t>
            </w:r>
          </w:p>
        </w:tc>
        <w:tc>
          <w:tcPr>
            <w:tcW w:w="1530" w:type="dxa"/>
            <w:tcBorders>
              <w:top w:val="nil"/>
              <w:left w:val="nil"/>
              <w:bottom w:val="nil"/>
              <w:right w:val="nil"/>
            </w:tcBorders>
            <w:shd w:val="clear" w:color="auto" w:fill="F2F2F2" w:themeFill="background1" w:themeFillShade="F2"/>
            <w:noWrap/>
            <w:vAlign w:val="bottom"/>
            <w:hideMark/>
          </w:tcPr>
          <w:p w14:paraId="20DE511E" w14:textId="53E58CE3" w:rsidR="00082185" w:rsidRPr="0048737B" w:rsidRDefault="00082185" w:rsidP="00E66875">
            <w:pPr>
              <w:jc w:val="right"/>
              <w:rPr>
                <w:rFonts w:ascii="Calibri" w:hAnsi="Calibri" w:cs="Calibri"/>
              </w:rPr>
            </w:pPr>
            <w:r>
              <w:rPr>
                <w:rFonts w:ascii="Calibri" w:hAnsi="Calibri" w:cs="Calibri"/>
              </w:rPr>
              <w:t xml:space="preserve">       </w:t>
            </w:r>
            <w:r w:rsidRPr="00AD75A2">
              <w:rPr>
                <w:rFonts w:ascii="Calibri" w:hAnsi="Calibri" w:cs="Calibri"/>
              </w:rPr>
              <w:t xml:space="preserve">         </w:t>
            </w:r>
            <w:r w:rsidRPr="006C7397">
              <w:rPr>
                <w:rFonts w:ascii="Calibri" w:hAnsi="Calibri" w:cs="Calibri"/>
              </w:rPr>
              <w:t>-</w:t>
            </w:r>
          </w:p>
        </w:tc>
      </w:tr>
      <w:tr w:rsidR="00082185" w:rsidRPr="002942E7" w14:paraId="6200100F" w14:textId="77777777" w:rsidTr="00B045CF">
        <w:trPr>
          <w:trHeight w:val="312"/>
          <w:jc w:val="center"/>
        </w:trPr>
        <w:tc>
          <w:tcPr>
            <w:tcW w:w="6393" w:type="dxa"/>
            <w:tcBorders>
              <w:top w:val="nil"/>
              <w:left w:val="nil"/>
              <w:bottom w:val="nil"/>
              <w:right w:val="nil"/>
            </w:tcBorders>
            <w:shd w:val="clear" w:color="000000" w:fill="FFFFFF"/>
            <w:noWrap/>
            <w:vAlign w:val="bottom"/>
            <w:hideMark/>
          </w:tcPr>
          <w:p w14:paraId="5CEA5A01"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Changes of assumptions and other inputs</w:t>
            </w:r>
          </w:p>
        </w:tc>
        <w:tc>
          <w:tcPr>
            <w:tcW w:w="1437" w:type="dxa"/>
            <w:tcBorders>
              <w:top w:val="nil"/>
              <w:left w:val="nil"/>
              <w:bottom w:val="nil"/>
              <w:right w:val="nil"/>
            </w:tcBorders>
            <w:shd w:val="clear" w:color="000000" w:fill="FFFFFF"/>
            <w:noWrap/>
            <w:hideMark/>
          </w:tcPr>
          <w:p w14:paraId="258BB354" w14:textId="14C44244" w:rsidR="00082185" w:rsidRPr="006C7397" w:rsidRDefault="00082185" w:rsidP="00082185">
            <w:pPr>
              <w:jc w:val="right"/>
              <w:rPr>
                <w:rFonts w:ascii="Calibri" w:eastAsia="Times New Roman" w:hAnsi="Calibri" w:cs="Calibri"/>
              </w:rPr>
            </w:pPr>
            <w:r w:rsidRPr="00144CCA">
              <w:t xml:space="preserve"> (59)</w:t>
            </w:r>
          </w:p>
        </w:tc>
        <w:tc>
          <w:tcPr>
            <w:tcW w:w="1530" w:type="dxa"/>
            <w:tcBorders>
              <w:top w:val="nil"/>
              <w:left w:val="nil"/>
              <w:bottom w:val="nil"/>
              <w:right w:val="nil"/>
            </w:tcBorders>
            <w:shd w:val="clear" w:color="auto" w:fill="F2F2F2" w:themeFill="background1" w:themeFillShade="F2"/>
            <w:noWrap/>
            <w:vAlign w:val="bottom"/>
            <w:hideMark/>
          </w:tcPr>
          <w:p w14:paraId="7B6B649F" w14:textId="2F39E668" w:rsidR="00082185" w:rsidRPr="0048737B" w:rsidRDefault="00082185" w:rsidP="00E66875">
            <w:pPr>
              <w:jc w:val="right"/>
              <w:rPr>
                <w:rFonts w:ascii="Calibri" w:hAnsi="Calibri" w:cs="Calibri"/>
              </w:rPr>
            </w:pPr>
            <w:r>
              <w:rPr>
                <w:rFonts w:ascii="Calibri" w:hAnsi="Calibri" w:cs="Calibri"/>
              </w:rPr>
              <w:t xml:space="preserve">        (792) </w:t>
            </w:r>
          </w:p>
        </w:tc>
      </w:tr>
      <w:tr w:rsidR="00082185" w:rsidRPr="002942E7" w14:paraId="127CF1A5" w14:textId="77777777" w:rsidTr="00B045CF">
        <w:trPr>
          <w:trHeight w:val="312"/>
          <w:jc w:val="center"/>
        </w:trPr>
        <w:tc>
          <w:tcPr>
            <w:tcW w:w="6393" w:type="dxa"/>
            <w:tcBorders>
              <w:top w:val="nil"/>
              <w:left w:val="nil"/>
              <w:bottom w:val="nil"/>
              <w:right w:val="nil"/>
            </w:tcBorders>
            <w:shd w:val="clear" w:color="000000" w:fill="FFFFFF"/>
            <w:vAlign w:val="bottom"/>
            <w:hideMark/>
          </w:tcPr>
          <w:p w14:paraId="377509A8"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hideMark/>
          </w:tcPr>
          <w:p w14:paraId="200055B0" w14:textId="0972C3E9" w:rsidR="00082185" w:rsidRPr="006C7397" w:rsidRDefault="00082185" w:rsidP="00082185">
            <w:pPr>
              <w:jc w:val="right"/>
              <w:rPr>
                <w:rFonts w:ascii="Calibri" w:eastAsia="Times New Roman" w:hAnsi="Calibri" w:cs="Calibri"/>
              </w:rPr>
            </w:pPr>
            <w:r w:rsidRPr="00144CCA">
              <w:t xml:space="preserve"> (2,757)</w:t>
            </w:r>
          </w:p>
        </w:tc>
        <w:tc>
          <w:tcPr>
            <w:tcW w:w="1530" w:type="dxa"/>
            <w:tcBorders>
              <w:top w:val="nil"/>
              <w:left w:val="nil"/>
              <w:bottom w:val="nil"/>
              <w:right w:val="nil"/>
            </w:tcBorders>
            <w:shd w:val="clear" w:color="auto" w:fill="F2F2F2" w:themeFill="background1" w:themeFillShade="F2"/>
            <w:noWrap/>
            <w:vAlign w:val="bottom"/>
            <w:hideMark/>
          </w:tcPr>
          <w:p w14:paraId="47E40ABE" w14:textId="7D7DF51E" w:rsidR="00082185" w:rsidRPr="0048737B" w:rsidRDefault="00082185" w:rsidP="00E66875">
            <w:pPr>
              <w:jc w:val="right"/>
              <w:rPr>
                <w:rFonts w:ascii="Calibri" w:hAnsi="Calibri" w:cs="Calibri"/>
              </w:rPr>
            </w:pPr>
            <w:r>
              <w:rPr>
                <w:rFonts w:ascii="Calibri" w:hAnsi="Calibri" w:cs="Calibri"/>
              </w:rPr>
              <w:t xml:space="preserve">     (2,388)</w:t>
            </w:r>
          </w:p>
        </w:tc>
      </w:tr>
      <w:tr w:rsidR="00DD1612" w:rsidRPr="002942E7" w14:paraId="23F8F542" w14:textId="77777777" w:rsidTr="00B04D7E">
        <w:trPr>
          <w:trHeight w:val="224"/>
          <w:jc w:val="center"/>
        </w:trPr>
        <w:tc>
          <w:tcPr>
            <w:tcW w:w="6393" w:type="dxa"/>
            <w:tcBorders>
              <w:top w:val="single" w:sz="4" w:space="0" w:color="00688D"/>
              <w:left w:val="nil"/>
              <w:bottom w:val="single" w:sz="4" w:space="0" w:color="00688D"/>
              <w:right w:val="nil"/>
            </w:tcBorders>
            <w:shd w:val="clear" w:color="000000" w:fill="FFFFFF"/>
            <w:noWrap/>
            <w:vAlign w:val="bottom"/>
            <w:hideMark/>
          </w:tcPr>
          <w:p w14:paraId="5E4EF984"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Total pension liability – ending (a)</w:t>
            </w:r>
          </w:p>
        </w:tc>
        <w:tc>
          <w:tcPr>
            <w:tcW w:w="1437" w:type="dxa"/>
            <w:tcBorders>
              <w:top w:val="single" w:sz="4" w:space="0" w:color="00688D"/>
              <w:left w:val="nil"/>
              <w:bottom w:val="single" w:sz="4" w:space="0" w:color="00688D"/>
              <w:right w:val="nil"/>
            </w:tcBorders>
            <w:shd w:val="clear" w:color="000000" w:fill="FFFFFF"/>
            <w:noWrap/>
            <w:vAlign w:val="bottom"/>
            <w:hideMark/>
          </w:tcPr>
          <w:p w14:paraId="16C72E19" w14:textId="37F1C5C2" w:rsidR="00DD1612" w:rsidRPr="006C7397" w:rsidRDefault="00082185" w:rsidP="00BD375F">
            <w:pPr>
              <w:jc w:val="right"/>
              <w:rPr>
                <w:rFonts w:ascii="Calibri" w:eastAsia="Times New Roman" w:hAnsi="Calibri" w:cs="Calibri"/>
              </w:rPr>
            </w:pPr>
            <w:r w:rsidRPr="00082185">
              <w:rPr>
                <w:rFonts w:ascii="Calibri" w:hAnsi="Calibri" w:cs="Calibri"/>
              </w:rPr>
              <w:t>17,206</w:t>
            </w:r>
          </w:p>
        </w:tc>
        <w:tc>
          <w:tcPr>
            <w:tcW w:w="1530" w:type="dxa"/>
            <w:tcBorders>
              <w:top w:val="single" w:sz="4" w:space="0" w:color="00688D"/>
              <w:left w:val="nil"/>
              <w:bottom w:val="single" w:sz="4" w:space="0" w:color="00688D"/>
              <w:right w:val="nil"/>
            </w:tcBorders>
            <w:shd w:val="clear" w:color="auto" w:fill="F2F2F2" w:themeFill="background1" w:themeFillShade="F2"/>
            <w:noWrap/>
            <w:vAlign w:val="bottom"/>
            <w:hideMark/>
          </w:tcPr>
          <w:p w14:paraId="72403332" w14:textId="06C014EA" w:rsidR="00DD1612" w:rsidRPr="0048737B" w:rsidRDefault="00DD1612" w:rsidP="00E66875">
            <w:pPr>
              <w:jc w:val="right"/>
              <w:rPr>
                <w:rFonts w:ascii="Calibri" w:hAnsi="Calibri" w:cs="Calibri"/>
              </w:rPr>
            </w:pPr>
            <w:r>
              <w:rPr>
                <w:rFonts w:ascii="Calibri" w:hAnsi="Calibri" w:cs="Calibri"/>
              </w:rPr>
              <w:t xml:space="preserve">    </w:t>
            </w:r>
            <w:r w:rsidR="003C2425">
              <w:rPr>
                <w:rFonts w:ascii="Calibri" w:hAnsi="Calibri" w:cs="Calibri"/>
              </w:rPr>
              <w:t>19,090</w:t>
            </w:r>
            <w:r>
              <w:rPr>
                <w:rFonts w:ascii="Calibri" w:hAnsi="Calibri" w:cs="Calibri"/>
              </w:rPr>
              <w:t xml:space="preserve"> </w:t>
            </w:r>
          </w:p>
        </w:tc>
      </w:tr>
      <w:tr w:rsidR="00DD1612" w:rsidRPr="002942E7" w14:paraId="4975A21B" w14:textId="77777777" w:rsidTr="00B04D7E">
        <w:trPr>
          <w:trHeight w:val="251"/>
          <w:jc w:val="center"/>
        </w:trPr>
        <w:tc>
          <w:tcPr>
            <w:tcW w:w="6393" w:type="dxa"/>
            <w:tcBorders>
              <w:top w:val="nil"/>
              <w:left w:val="nil"/>
              <w:bottom w:val="nil"/>
              <w:right w:val="nil"/>
            </w:tcBorders>
            <w:shd w:val="clear" w:color="000000" w:fill="FFFFFF"/>
            <w:noWrap/>
            <w:vAlign w:val="bottom"/>
            <w:hideMark/>
          </w:tcPr>
          <w:p w14:paraId="20E5B4A1"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 xml:space="preserve">Fiduciary net position – beginning </w:t>
            </w:r>
          </w:p>
        </w:tc>
        <w:tc>
          <w:tcPr>
            <w:tcW w:w="1437" w:type="dxa"/>
            <w:tcBorders>
              <w:top w:val="nil"/>
              <w:left w:val="nil"/>
              <w:bottom w:val="nil"/>
              <w:right w:val="nil"/>
            </w:tcBorders>
            <w:shd w:val="clear" w:color="000000" w:fill="FFFFFF"/>
            <w:noWrap/>
            <w:vAlign w:val="bottom"/>
            <w:hideMark/>
          </w:tcPr>
          <w:p w14:paraId="274F3B30" w14:textId="77777777" w:rsidR="00DD1612" w:rsidRPr="006C7397" w:rsidRDefault="00DD1612" w:rsidP="00BD375F">
            <w:pPr>
              <w:jc w:val="right"/>
              <w:rPr>
                <w:rFonts w:ascii="Calibri" w:eastAsia="Times New Roman" w:hAnsi="Calibri" w:cs="Calibri"/>
              </w:rPr>
            </w:pPr>
            <w:r w:rsidRPr="00AD75A2">
              <w:rPr>
                <w:rFonts w:ascii="Calibri" w:hAnsi="Calibri" w:cs="Calibri"/>
              </w:rPr>
              <w:t xml:space="preserve">               - </w:t>
            </w:r>
          </w:p>
        </w:tc>
        <w:tc>
          <w:tcPr>
            <w:tcW w:w="1530" w:type="dxa"/>
            <w:tcBorders>
              <w:top w:val="nil"/>
              <w:left w:val="nil"/>
              <w:bottom w:val="nil"/>
              <w:right w:val="nil"/>
            </w:tcBorders>
            <w:shd w:val="clear" w:color="auto" w:fill="F2F2F2" w:themeFill="background1" w:themeFillShade="F2"/>
            <w:noWrap/>
            <w:vAlign w:val="bottom"/>
            <w:hideMark/>
          </w:tcPr>
          <w:p w14:paraId="259E6AD8" w14:textId="77777777" w:rsidR="00DD1612" w:rsidRPr="0048737B" w:rsidRDefault="00DD1612" w:rsidP="00BD375F">
            <w:pPr>
              <w:jc w:val="right"/>
              <w:rPr>
                <w:rFonts w:ascii="Calibri" w:hAnsi="Calibri" w:cs="Calibri"/>
              </w:rPr>
            </w:pPr>
            <w:r>
              <w:rPr>
                <w:rFonts w:ascii="Calibri" w:hAnsi="Calibri" w:cs="Calibri"/>
              </w:rPr>
              <w:t xml:space="preserve">               - </w:t>
            </w:r>
          </w:p>
        </w:tc>
      </w:tr>
      <w:tr w:rsidR="00082185" w:rsidRPr="002942E7" w14:paraId="73D77601" w14:textId="77777777" w:rsidTr="00B045CF">
        <w:trPr>
          <w:trHeight w:val="312"/>
          <w:jc w:val="center"/>
        </w:trPr>
        <w:tc>
          <w:tcPr>
            <w:tcW w:w="6393" w:type="dxa"/>
            <w:tcBorders>
              <w:top w:val="nil"/>
              <w:left w:val="nil"/>
              <w:bottom w:val="nil"/>
              <w:right w:val="nil"/>
            </w:tcBorders>
            <w:shd w:val="clear" w:color="000000" w:fill="FFFFFF"/>
            <w:vAlign w:val="bottom"/>
            <w:hideMark/>
          </w:tcPr>
          <w:p w14:paraId="40D8C425"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Contributions – employer</w:t>
            </w:r>
          </w:p>
        </w:tc>
        <w:tc>
          <w:tcPr>
            <w:tcW w:w="1437" w:type="dxa"/>
            <w:tcBorders>
              <w:top w:val="nil"/>
              <w:left w:val="nil"/>
              <w:bottom w:val="nil"/>
              <w:right w:val="nil"/>
            </w:tcBorders>
            <w:shd w:val="clear" w:color="000000" w:fill="FFFFFF"/>
            <w:noWrap/>
            <w:vAlign w:val="bottom"/>
            <w:hideMark/>
          </w:tcPr>
          <w:p w14:paraId="56E98D37" w14:textId="46120C5A" w:rsidR="00082185" w:rsidRPr="006C7397" w:rsidRDefault="00082185" w:rsidP="00082185">
            <w:pPr>
              <w:jc w:val="right"/>
              <w:rPr>
                <w:rFonts w:ascii="Calibri" w:eastAsia="Times New Roman" w:hAnsi="Calibri" w:cs="Calibri"/>
              </w:rPr>
            </w:pPr>
            <w:r>
              <w:rPr>
                <w:rFonts w:ascii="Calibri" w:hAnsi="Calibri" w:cs="Calibri"/>
              </w:rPr>
              <w:t xml:space="preserve">      2,757 </w:t>
            </w:r>
          </w:p>
        </w:tc>
        <w:tc>
          <w:tcPr>
            <w:tcW w:w="1530" w:type="dxa"/>
            <w:tcBorders>
              <w:top w:val="nil"/>
              <w:left w:val="nil"/>
              <w:bottom w:val="nil"/>
              <w:right w:val="nil"/>
            </w:tcBorders>
            <w:shd w:val="clear" w:color="auto" w:fill="F2F2F2" w:themeFill="background1" w:themeFillShade="F2"/>
            <w:noWrap/>
            <w:vAlign w:val="bottom"/>
            <w:hideMark/>
          </w:tcPr>
          <w:p w14:paraId="58DB65A6" w14:textId="5751831D" w:rsidR="00082185" w:rsidRPr="0048737B" w:rsidRDefault="00082185" w:rsidP="00E66875">
            <w:pPr>
              <w:jc w:val="right"/>
              <w:rPr>
                <w:rFonts w:ascii="Calibri" w:hAnsi="Calibri" w:cs="Calibri"/>
              </w:rPr>
            </w:pPr>
            <w:r>
              <w:rPr>
                <w:rFonts w:ascii="Calibri" w:hAnsi="Calibri" w:cs="Calibri"/>
              </w:rPr>
              <w:t xml:space="preserve">      2,388 </w:t>
            </w:r>
          </w:p>
        </w:tc>
      </w:tr>
      <w:tr w:rsidR="00082185" w:rsidRPr="002942E7" w14:paraId="7DCF1172" w14:textId="77777777" w:rsidTr="00B045CF">
        <w:trPr>
          <w:trHeight w:val="312"/>
          <w:jc w:val="center"/>
        </w:trPr>
        <w:tc>
          <w:tcPr>
            <w:tcW w:w="6393" w:type="dxa"/>
            <w:tcBorders>
              <w:top w:val="nil"/>
              <w:left w:val="nil"/>
              <w:bottom w:val="nil"/>
              <w:right w:val="nil"/>
            </w:tcBorders>
            <w:shd w:val="clear" w:color="000000" w:fill="FFFFFF"/>
            <w:vAlign w:val="bottom"/>
            <w:hideMark/>
          </w:tcPr>
          <w:p w14:paraId="2BD7095D" w14:textId="77777777" w:rsidR="00082185" w:rsidRPr="002942E7" w:rsidRDefault="00082185" w:rsidP="00082185">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738EF825" w14:textId="6130D99B" w:rsidR="00082185" w:rsidRPr="006C7397" w:rsidRDefault="00082185" w:rsidP="00082185">
            <w:pPr>
              <w:jc w:val="right"/>
              <w:rPr>
                <w:rFonts w:ascii="Calibri" w:eastAsia="Times New Roman" w:hAnsi="Calibri" w:cs="Calibri"/>
              </w:rPr>
            </w:pPr>
            <w:r>
              <w:rPr>
                <w:rFonts w:ascii="Calibri" w:hAnsi="Calibri" w:cs="Calibri"/>
              </w:rPr>
              <w:t xml:space="preserve">     (2,757)</w:t>
            </w:r>
          </w:p>
        </w:tc>
        <w:tc>
          <w:tcPr>
            <w:tcW w:w="1530" w:type="dxa"/>
            <w:tcBorders>
              <w:top w:val="nil"/>
              <w:left w:val="nil"/>
              <w:bottom w:val="nil"/>
              <w:right w:val="nil"/>
            </w:tcBorders>
            <w:shd w:val="clear" w:color="auto" w:fill="F2F2F2" w:themeFill="background1" w:themeFillShade="F2"/>
            <w:noWrap/>
            <w:vAlign w:val="bottom"/>
            <w:hideMark/>
          </w:tcPr>
          <w:p w14:paraId="4ED28898" w14:textId="537EEE3C" w:rsidR="00082185" w:rsidRPr="0048737B" w:rsidRDefault="00082185" w:rsidP="00E66875">
            <w:pPr>
              <w:jc w:val="right"/>
              <w:rPr>
                <w:rFonts w:ascii="Calibri" w:hAnsi="Calibri" w:cs="Calibri"/>
              </w:rPr>
            </w:pPr>
            <w:r>
              <w:rPr>
                <w:rFonts w:ascii="Calibri" w:hAnsi="Calibri" w:cs="Calibri"/>
              </w:rPr>
              <w:t xml:space="preserve">     (2,388)</w:t>
            </w:r>
          </w:p>
        </w:tc>
      </w:tr>
      <w:tr w:rsidR="00DD1612" w:rsidRPr="002942E7" w14:paraId="774ACA0D" w14:textId="77777777" w:rsidTr="00B04D7E">
        <w:trPr>
          <w:trHeight w:val="188"/>
          <w:jc w:val="center"/>
        </w:trPr>
        <w:tc>
          <w:tcPr>
            <w:tcW w:w="6393" w:type="dxa"/>
            <w:tcBorders>
              <w:top w:val="single" w:sz="4" w:space="0" w:color="00688D"/>
              <w:left w:val="nil"/>
              <w:bottom w:val="single" w:sz="4" w:space="0" w:color="00688D"/>
              <w:right w:val="nil"/>
            </w:tcBorders>
            <w:shd w:val="clear" w:color="000000" w:fill="FFFFFF"/>
            <w:noWrap/>
            <w:vAlign w:val="bottom"/>
            <w:hideMark/>
          </w:tcPr>
          <w:p w14:paraId="0BDD47A4"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Fiduciary net position – ending (b)</w:t>
            </w:r>
          </w:p>
        </w:tc>
        <w:tc>
          <w:tcPr>
            <w:tcW w:w="1437" w:type="dxa"/>
            <w:tcBorders>
              <w:top w:val="single" w:sz="4" w:space="0" w:color="00688D"/>
              <w:left w:val="nil"/>
              <w:bottom w:val="single" w:sz="4" w:space="0" w:color="00688D"/>
              <w:right w:val="nil"/>
            </w:tcBorders>
            <w:shd w:val="clear" w:color="000000" w:fill="FFFFFF"/>
            <w:noWrap/>
            <w:vAlign w:val="bottom"/>
            <w:hideMark/>
          </w:tcPr>
          <w:p w14:paraId="4312108E" w14:textId="77777777" w:rsidR="00DD1612" w:rsidRPr="006C7397" w:rsidRDefault="00DD1612" w:rsidP="00BD375F">
            <w:pPr>
              <w:jc w:val="right"/>
              <w:rPr>
                <w:rFonts w:ascii="Calibri" w:eastAsia="Times New Roman" w:hAnsi="Calibri" w:cs="Calibri"/>
              </w:rPr>
            </w:pPr>
            <w:r w:rsidRPr="00AD75A2">
              <w:rPr>
                <w:rFonts w:ascii="Calibri" w:hAnsi="Calibri" w:cs="Calibri"/>
              </w:rPr>
              <w:t xml:space="preserve">               - </w:t>
            </w:r>
          </w:p>
        </w:tc>
        <w:tc>
          <w:tcPr>
            <w:tcW w:w="1530" w:type="dxa"/>
            <w:tcBorders>
              <w:top w:val="single" w:sz="4" w:space="0" w:color="00688D"/>
              <w:left w:val="nil"/>
              <w:bottom w:val="single" w:sz="4" w:space="0" w:color="00688D"/>
              <w:right w:val="nil"/>
            </w:tcBorders>
            <w:shd w:val="clear" w:color="auto" w:fill="F2F2F2" w:themeFill="background1" w:themeFillShade="F2"/>
            <w:noWrap/>
            <w:vAlign w:val="bottom"/>
            <w:hideMark/>
          </w:tcPr>
          <w:p w14:paraId="2711F759" w14:textId="77777777" w:rsidR="00DD1612" w:rsidRPr="0048737B" w:rsidRDefault="00DD1612" w:rsidP="00BD375F">
            <w:pPr>
              <w:jc w:val="right"/>
              <w:rPr>
                <w:rFonts w:ascii="Calibri" w:hAnsi="Calibri" w:cs="Calibri"/>
              </w:rPr>
            </w:pPr>
            <w:r>
              <w:rPr>
                <w:rFonts w:ascii="Calibri" w:hAnsi="Calibri" w:cs="Calibri"/>
              </w:rPr>
              <w:t xml:space="preserve">               - </w:t>
            </w:r>
          </w:p>
        </w:tc>
      </w:tr>
      <w:tr w:rsidR="00DD1612" w:rsidRPr="002942E7" w14:paraId="52E92886" w14:textId="77777777" w:rsidTr="00B04D7E">
        <w:trPr>
          <w:trHeight w:val="233"/>
          <w:jc w:val="center"/>
        </w:trPr>
        <w:tc>
          <w:tcPr>
            <w:tcW w:w="6393" w:type="dxa"/>
            <w:tcBorders>
              <w:top w:val="nil"/>
              <w:left w:val="nil"/>
              <w:bottom w:val="double" w:sz="6" w:space="0" w:color="00688D"/>
              <w:right w:val="nil"/>
            </w:tcBorders>
            <w:shd w:val="clear" w:color="000000" w:fill="FFFFFF"/>
            <w:noWrap/>
            <w:vAlign w:val="bottom"/>
            <w:hideMark/>
          </w:tcPr>
          <w:p w14:paraId="0B3641D2" w14:textId="77777777" w:rsidR="00DD1612" w:rsidRPr="002942E7" w:rsidRDefault="00DD1612" w:rsidP="00BD375F">
            <w:pPr>
              <w:rPr>
                <w:rFonts w:ascii="Calibri" w:eastAsia="Times New Roman" w:hAnsi="Calibri" w:cs="Calibri"/>
                <w:color w:val="0D0D0D"/>
              </w:rPr>
            </w:pPr>
            <w:r w:rsidRPr="002942E7">
              <w:rPr>
                <w:rFonts w:ascii="Calibri" w:eastAsia="Times New Roman" w:hAnsi="Calibri" w:cs="Calibri"/>
                <w:color w:val="0D0D0D"/>
              </w:rPr>
              <w:t>Net pension liability – ending (a)-(b)</w:t>
            </w:r>
          </w:p>
        </w:tc>
        <w:tc>
          <w:tcPr>
            <w:tcW w:w="1437" w:type="dxa"/>
            <w:tcBorders>
              <w:top w:val="nil"/>
              <w:left w:val="nil"/>
              <w:bottom w:val="double" w:sz="6" w:space="0" w:color="00688D"/>
              <w:right w:val="nil"/>
            </w:tcBorders>
            <w:shd w:val="clear" w:color="000000" w:fill="FFFFFF"/>
            <w:noWrap/>
            <w:vAlign w:val="bottom"/>
            <w:hideMark/>
          </w:tcPr>
          <w:p w14:paraId="3B87DAC0" w14:textId="053D4E3C" w:rsidR="00DD1612" w:rsidRPr="006C7397" w:rsidRDefault="00DD1612" w:rsidP="00E66875">
            <w:pPr>
              <w:jc w:val="right"/>
              <w:rPr>
                <w:rFonts w:ascii="Calibri" w:eastAsia="Times New Roman" w:hAnsi="Calibri" w:cs="Calibri"/>
              </w:rPr>
            </w:pPr>
            <w:r w:rsidRPr="00AD75A2">
              <w:rPr>
                <w:rFonts w:ascii="Calibri" w:hAnsi="Calibri" w:cs="Calibri"/>
              </w:rPr>
              <w:t xml:space="preserve"> $ </w:t>
            </w:r>
            <w:r w:rsidR="00082185" w:rsidRPr="006C7397">
              <w:rPr>
                <w:rFonts w:ascii="Calibri" w:hAnsi="Calibri" w:cs="Calibri"/>
              </w:rPr>
              <w:t>1</w:t>
            </w:r>
            <w:r w:rsidR="00082185">
              <w:rPr>
                <w:rFonts w:ascii="Calibri" w:hAnsi="Calibri" w:cs="Calibri"/>
              </w:rPr>
              <w:t>7</w:t>
            </w:r>
            <w:r w:rsidRPr="006C7397">
              <w:rPr>
                <w:rFonts w:ascii="Calibri" w:hAnsi="Calibri" w:cs="Calibri"/>
              </w:rPr>
              <w:t>,</w:t>
            </w:r>
            <w:r w:rsidR="00082185">
              <w:rPr>
                <w:rFonts w:ascii="Calibri" w:hAnsi="Calibri" w:cs="Calibri"/>
              </w:rPr>
              <w:t>206</w:t>
            </w:r>
            <w:r w:rsidR="00082185" w:rsidRPr="00AD75A2">
              <w:rPr>
                <w:rFonts w:ascii="Calibri" w:hAnsi="Calibri" w:cs="Calibri"/>
              </w:rPr>
              <w:t xml:space="preserve"> </w:t>
            </w:r>
          </w:p>
        </w:tc>
        <w:tc>
          <w:tcPr>
            <w:tcW w:w="1530" w:type="dxa"/>
            <w:tcBorders>
              <w:top w:val="nil"/>
              <w:left w:val="nil"/>
              <w:bottom w:val="double" w:sz="6" w:space="0" w:color="00688D"/>
              <w:right w:val="nil"/>
            </w:tcBorders>
            <w:shd w:val="clear" w:color="auto" w:fill="F2F2F2" w:themeFill="background1" w:themeFillShade="F2"/>
            <w:noWrap/>
            <w:vAlign w:val="bottom"/>
            <w:hideMark/>
          </w:tcPr>
          <w:p w14:paraId="65DFB9D6" w14:textId="6BF469CA" w:rsidR="00DD1612" w:rsidRPr="0048737B" w:rsidRDefault="00082185" w:rsidP="0048737B">
            <w:pPr>
              <w:jc w:val="right"/>
              <w:rPr>
                <w:rFonts w:ascii="Calibri" w:hAnsi="Calibri" w:cs="Calibri"/>
              </w:rPr>
            </w:pPr>
            <w:r>
              <w:rPr>
                <w:rFonts w:ascii="Calibri" w:hAnsi="Calibri" w:cs="Calibri"/>
              </w:rPr>
              <w:t xml:space="preserve">       </w:t>
            </w:r>
            <w:r w:rsidR="00DD1612">
              <w:rPr>
                <w:rFonts w:ascii="Calibri" w:hAnsi="Calibri" w:cs="Calibri"/>
              </w:rPr>
              <w:t xml:space="preserve"> $ </w:t>
            </w:r>
            <w:r w:rsidR="003C2425">
              <w:rPr>
                <w:rFonts w:ascii="Calibri" w:hAnsi="Calibri" w:cs="Calibri"/>
              </w:rPr>
              <w:t>19,090</w:t>
            </w:r>
            <w:r w:rsidR="00DD1612">
              <w:rPr>
                <w:rFonts w:ascii="Calibri" w:hAnsi="Calibri" w:cs="Calibri"/>
              </w:rPr>
              <w:t xml:space="preserve"> </w:t>
            </w:r>
          </w:p>
        </w:tc>
      </w:tr>
      <w:tr w:rsidR="00DD1612" w:rsidRPr="002942E7" w14:paraId="307D089B" w14:textId="77777777" w:rsidTr="00B04D7E">
        <w:trPr>
          <w:trHeight w:val="270"/>
          <w:jc w:val="center"/>
        </w:trPr>
        <w:tc>
          <w:tcPr>
            <w:tcW w:w="6393" w:type="dxa"/>
            <w:tcBorders>
              <w:top w:val="nil"/>
              <w:left w:val="nil"/>
              <w:bottom w:val="nil"/>
              <w:right w:val="nil"/>
            </w:tcBorders>
            <w:shd w:val="clear" w:color="000000" w:fill="FFFFFF"/>
            <w:noWrap/>
            <w:vAlign w:val="bottom"/>
            <w:hideMark/>
          </w:tcPr>
          <w:p w14:paraId="55C47817" w14:textId="03630B20" w:rsidR="00DD1612" w:rsidRPr="002942E7" w:rsidRDefault="000041DC" w:rsidP="00BD375F">
            <w:pPr>
              <w:rPr>
                <w:rFonts w:ascii="Calibri" w:eastAsia="Times New Roman" w:hAnsi="Calibri" w:cs="Calibri"/>
                <w:color w:val="0D0D0D"/>
              </w:rPr>
            </w:pPr>
            <w:r>
              <w:rPr>
                <w:rFonts w:ascii="Calibri" w:eastAsia="Times New Roman" w:hAnsi="Calibri" w:cs="Calibri"/>
                <w:color w:val="0D0D0D"/>
              </w:rPr>
              <w:t>F</w:t>
            </w:r>
            <w:r w:rsidR="00DD1612" w:rsidRPr="002942E7">
              <w:rPr>
                <w:rFonts w:ascii="Calibri" w:eastAsia="Times New Roman" w:hAnsi="Calibri" w:cs="Calibri"/>
                <w:color w:val="0D0D0D"/>
              </w:rPr>
              <w:t>iduciary net position as a percentage of the total pension liability</w:t>
            </w:r>
          </w:p>
        </w:tc>
        <w:tc>
          <w:tcPr>
            <w:tcW w:w="1437" w:type="dxa"/>
            <w:tcBorders>
              <w:top w:val="nil"/>
              <w:left w:val="nil"/>
              <w:bottom w:val="nil"/>
              <w:right w:val="nil"/>
            </w:tcBorders>
            <w:shd w:val="clear" w:color="000000" w:fill="FFFFFF"/>
            <w:noWrap/>
            <w:vAlign w:val="bottom"/>
            <w:hideMark/>
          </w:tcPr>
          <w:p w14:paraId="6D3FFB45" w14:textId="77777777" w:rsidR="00DD1612" w:rsidRPr="006C7397" w:rsidRDefault="00DD1612" w:rsidP="00BD375F">
            <w:pPr>
              <w:jc w:val="right"/>
              <w:rPr>
                <w:rFonts w:ascii="Calibri" w:eastAsia="Times New Roman" w:hAnsi="Calibri" w:cs="Calibri"/>
              </w:rPr>
            </w:pPr>
            <w:r w:rsidRPr="00AD75A2">
              <w:rPr>
                <w:rFonts w:ascii="Calibri" w:hAnsi="Calibri" w:cs="Calibri"/>
              </w:rPr>
              <w:t>0.00%</w:t>
            </w:r>
          </w:p>
        </w:tc>
        <w:tc>
          <w:tcPr>
            <w:tcW w:w="1530" w:type="dxa"/>
            <w:tcBorders>
              <w:top w:val="nil"/>
              <w:left w:val="nil"/>
              <w:bottom w:val="nil"/>
              <w:right w:val="nil"/>
            </w:tcBorders>
            <w:shd w:val="clear" w:color="auto" w:fill="F2F2F2" w:themeFill="background1" w:themeFillShade="F2"/>
            <w:noWrap/>
            <w:vAlign w:val="bottom"/>
            <w:hideMark/>
          </w:tcPr>
          <w:p w14:paraId="4A977C01" w14:textId="77777777" w:rsidR="00DD1612" w:rsidRPr="0048737B" w:rsidRDefault="00DD1612" w:rsidP="00BD375F">
            <w:pPr>
              <w:jc w:val="right"/>
              <w:rPr>
                <w:rFonts w:ascii="Calibri" w:hAnsi="Calibri" w:cs="Calibri"/>
              </w:rPr>
            </w:pPr>
            <w:r>
              <w:rPr>
                <w:rFonts w:ascii="Calibri" w:hAnsi="Calibri" w:cs="Calibri"/>
              </w:rPr>
              <w:t>0.00%</w:t>
            </w:r>
          </w:p>
        </w:tc>
      </w:tr>
      <w:tr w:rsidR="00082185" w:rsidRPr="002942E7" w14:paraId="48ABCF70" w14:textId="77777777" w:rsidTr="00B045CF">
        <w:trPr>
          <w:trHeight w:val="312"/>
          <w:jc w:val="center"/>
        </w:trPr>
        <w:tc>
          <w:tcPr>
            <w:tcW w:w="6393" w:type="dxa"/>
            <w:tcBorders>
              <w:top w:val="nil"/>
              <w:left w:val="nil"/>
              <w:bottom w:val="nil"/>
              <w:right w:val="nil"/>
            </w:tcBorders>
            <w:shd w:val="clear" w:color="000000" w:fill="FFFFFF"/>
            <w:noWrap/>
            <w:vAlign w:val="bottom"/>
            <w:hideMark/>
          </w:tcPr>
          <w:p w14:paraId="47BFFEC5" w14:textId="77777777" w:rsidR="00082185" w:rsidRPr="002942E7" w:rsidRDefault="00082185" w:rsidP="00082185">
            <w:pPr>
              <w:rPr>
                <w:rFonts w:ascii="Calibri" w:eastAsia="Times New Roman" w:hAnsi="Calibri" w:cs="Calibri"/>
                <w:color w:val="0D0D0D"/>
              </w:rPr>
            </w:pPr>
            <w:r w:rsidRPr="002942E7">
              <w:rPr>
                <w:rFonts w:ascii="Calibri" w:eastAsia="Times New Roman" w:hAnsi="Calibri" w:cs="Calibri"/>
                <w:color w:val="0D0D0D"/>
              </w:rPr>
              <w:t>Covered payroll</w:t>
            </w:r>
          </w:p>
        </w:tc>
        <w:tc>
          <w:tcPr>
            <w:tcW w:w="1437" w:type="dxa"/>
            <w:tcBorders>
              <w:top w:val="nil"/>
              <w:left w:val="nil"/>
              <w:bottom w:val="nil"/>
              <w:right w:val="nil"/>
            </w:tcBorders>
            <w:shd w:val="clear" w:color="000000" w:fill="FFFFFF"/>
            <w:noWrap/>
            <w:vAlign w:val="bottom"/>
            <w:hideMark/>
          </w:tcPr>
          <w:p w14:paraId="2B9DAAF4" w14:textId="39F5BFD0" w:rsidR="00082185" w:rsidRPr="006C7397" w:rsidRDefault="00082185" w:rsidP="00082185">
            <w:pPr>
              <w:jc w:val="right"/>
              <w:rPr>
                <w:rFonts w:ascii="Calibri" w:eastAsia="Times New Roman" w:hAnsi="Calibri" w:cs="Calibri"/>
              </w:rPr>
            </w:pPr>
            <w:r>
              <w:rPr>
                <w:rFonts w:ascii="Calibri" w:hAnsi="Calibri" w:cs="Calibri"/>
              </w:rPr>
              <w:t xml:space="preserve"> $ 51,931 </w:t>
            </w:r>
          </w:p>
        </w:tc>
        <w:tc>
          <w:tcPr>
            <w:tcW w:w="1530" w:type="dxa"/>
            <w:tcBorders>
              <w:top w:val="nil"/>
              <w:left w:val="nil"/>
              <w:bottom w:val="nil"/>
              <w:right w:val="nil"/>
            </w:tcBorders>
            <w:shd w:val="clear" w:color="auto" w:fill="F2F2F2" w:themeFill="background1" w:themeFillShade="F2"/>
            <w:noWrap/>
            <w:vAlign w:val="bottom"/>
            <w:hideMark/>
          </w:tcPr>
          <w:p w14:paraId="5AB40EE2" w14:textId="2CED9D9E" w:rsidR="00082185" w:rsidRPr="0048737B" w:rsidRDefault="00082185" w:rsidP="00082185">
            <w:pPr>
              <w:jc w:val="right"/>
              <w:rPr>
                <w:rFonts w:ascii="Calibri" w:hAnsi="Calibri" w:cs="Calibri"/>
              </w:rPr>
            </w:pPr>
            <w:r w:rsidRPr="00AD75A2">
              <w:rPr>
                <w:rFonts w:ascii="Calibri" w:hAnsi="Calibri" w:cs="Calibri"/>
              </w:rPr>
              <w:t xml:space="preserve"> $ </w:t>
            </w:r>
            <w:r w:rsidRPr="006C7397">
              <w:rPr>
                <w:rFonts w:ascii="Calibri" w:hAnsi="Calibri" w:cs="Calibri"/>
              </w:rPr>
              <w:t>59,119</w:t>
            </w:r>
            <w:r w:rsidRPr="00AD75A2">
              <w:rPr>
                <w:rFonts w:ascii="Calibri" w:hAnsi="Calibri" w:cs="Calibri"/>
              </w:rPr>
              <w:t xml:space="preserve"> </w:t>
            </w:r>
          </w:p>
        </w:tc>
      </w:tr>
      <w:tr w:rsidR="00082185" w:rsidRPr="002942E7" w14:paraId="67A451D5" w14:textId="77777777" w:rsidTr="00B045CF">
        <w:trPr>
          <w:trHeight w:val="312"/>
          <w:jc w:val="center"/>
        </w:trPr>
        <w:tc>
          <w:tcPr>
            <w:tcW w:w="6393" w:type="dxa"/>
            <w:tcBorders>
              <w:top w:val="nil"/>
              <w:left w:val="nil"/>
              <w:bottom w:val="nil"/>
              <w:right w:val="nil"/>
            </w:tcBorders>
            <w:shd w:val="clear" w:color="000000" w:fill="FFFFFF"/>
            <w:noWrap/>
            <w:vAlign w:val="bottom"/>
            <w:hideMark/>
          </w:tcPr>
          <w:p w14:paraId="0241E5A4" w14:textId="77777777" w:rsidR="00082185" w:rsidRPr="002942E7" w:rsidRDefault="00082185" w:rsidP="00082185">
            <w:pPr>
              <w:rPr>
                <w:rFonts w:ascii="Calibri" w:eastAsia="Times New Roman" w:hAnsi="Calibri" w:cs="Calibri"/>
                <w:color w:val="0D0D0D"/>
              </w:rPr>
            </w:pPr>
            <w:r w:rsidRPr="002942E7">
              <w:rPr>
                <w:rFonts w:ascii="Calibri" w:eastAsia="Times New Roman" w:hAnsi="Calibri" w:cs="Calibri"/>
                <w:color w:val="0D0D0D"/>
              </w:rPr>
              <w:t>Net pension liability as a percentage of covered payroll</w:t>
            </w:r>
          </w:p>
        </w:tc>
        <w:tc>
          <w:tcPr>
            <w:tcW w:w="1437" w:type="dxa"/>
            <w:tcBorders>
              <w:top w:val="nil"/>
              <w:left w:val="nil"/>
              <w:bottom w:val="nil"/>
              <w:right w:val="nil"/>
            </w:tcBorders>
            <w:shd w:val="clear" w:color="000000" w:fill="FFFFFF"/>
            <w:noWrap/>
            <w:vAlign w:val="bottom"/>
            <w:hideMark/>
          </w:tcPr>
          <w:p w14:paraId="351371E9" w14:textId="412E77D1" w:rsidR="00082185" w:rsidRPr="006C7397" w:rsidRDefault="00082185" w:rsidP="00082185">
            <w:pPr>
              <w:jc w:val="right"/>
              <w:rPr>
                <w:rFonts w:ascii="Calibri" w:eastAsia="Times New Roman" w:hAnsi="Calibri" w:cs="Calibri"/>
              </w:rPr>
            </w:pPr>
            <w:r>
              <w:rPr>
                <w:rFonts w:ascii="Calibri" w:hAnsi="Calibri" w:cs="Calibri"/>
              </w:rPr>
              <w:t>33.13%</w:t>
            </w:r>
          </w:p>
        </w:tc>
        <w:tc>
          <w:tcPr>
            <w:tcW w:w="1530" w:type="dxa"/>
            <w:tcBorders>
              <w:top w:val="nil"/>
              <w:left w:val="nil"/>
              <w:bottom w:val="nil"/>
              <w:right w:val="nil"/>
            </w:tcBorders>
            <w:shd w:val="clear" w:color="auto" w:fill="F2F2F2" w:themeFill="background1" w:themeFillShade="F2"/>
            <w:noWrap/>
            <w:vAlign w:val="bottom"/>
            <w:hideMark/>
          </w:tcPr>
          <w:p w14:paraId="4605CD5D" w14:textId="42BD4899" w:rsidR="00082185" w:rsidRPr="0048737B" w:rsidRDefault="00082185" w:rsidP="00082185">
            <w:pPr>
              <w:jc w:val="right"/>
              <w:rPr>
                <w:rFonts w:ascii="Calibri" w:hAnsi="Calibri" w:cs="Calibri"/>
              </w:rPr>
            </w:pPr>
            <w:r w:rsidRPr="006C7397">
              <w:rPr>
                <w:rFonts w:ascii="Calibri" w:hAnsi="Calibri" w:cs="Calibri"/>
              </w:rPr>
              <w:t>32.29</w:t>
            </w:r>
            <w:r w:rsidRPr="00AD75A2">
              <w:rPr>
                <w:rFonts w:ascii="Calibri" w:hAnsi="Calibri" w:cs="Calibri"/>
              </w:rPr>
              <w:t>%</w:t>
            </w:r>
          </w:p>
        </w:tc>
      </w:tr>
      <w:tr w:rsidR="00082185" w:rsidRPr="002942E7" w14:paraId="39C7DB3B" w14:textId="77777777" w:rsidTr="00B045CF">
        <w:trPr>
          <w:trHeight w:val="312"/>
          <w:jc w:val="center"/>
        </w:trPr>
        <w:tc>
          <w:tcPr>
            <w:tcW w:w="6393" w:type="dxa"/>
            <w:tcBorders>
              <w:top w:val="nil"/>
              <w:left w:val="nil"/>
              <w:bottom w:val="nil"/>
              <w:right w:val="nil"/>
            </w:tcBorders>
            <w:shd w:val="clear" w:color="000000" w:fill="FFFFFF"/>
            <w:noWrap/>
            <w:vAlign w:val="bottom"/>
            <w:hideMark/>
          </w:tcPr>
          <w:p w14:paraId="25E44B8C" w14:textId="77777777" w:rsidR="00082185" w:rsidRPr="002942E7" w:rsidRDefault="00082185" w:rsidP="00082185">
            <w:pPr>
              <w:rPr>
                <w:rFonts w:ascii="Calibri" w:eastAsia="Times New Roman" w:hAnsi="Calibri" w:cs="Calibri"/>
                <w:color w:val="0D0D0D"/>
              </w:rPr>
            </w:pPr>
            <w:r w:rsidRPr="002942E7">
              <w:rPr>
                <w:rFonts w:ascii="Calibri" w:eastAsia="Times New Roman" w:hAnsi="Calibri" w:cs="Calibri"/>
                <w:color w:val="0D0D0D"/>
              </w:rPr>
              <w:t>Contributions as a percentage of covered payroll</w:t>
            </w:r>
          </w:p>
        </w:tc>
        <w:tc>
          <w:tcPr>
            <w:tcW w:w="1437" w:type="dxa"/>
            <w:tcBorders>
              <w:top w:val="nil"/>
              <w:left w:val="nil"/>
              <w:bottom w:val="nil"/>
              <w:right w:val="nil"/>
            </w:tcBorders>
            <w:shd w:val="clear" w:color="000000" w:fill="FFFFFF"/>
            <w:noWrap/>
            <w:vAlign w:val="bottom"/>
            <w:hideMark/>
          </w:tcPr>
          <w:p w14:paraId="4232F44E" w14:textId="44DFF0BE" w:rsidR="00082185" w:rsidRPr="006C7397" w:rsidRDefault="00082185" w:rsidP="00082185">
            <w:pPr>
              <w:jc w:val="right"/>
              <w:rPr>
                <w:rFonts w:ascii="Calibri" w:eastAsia="Times New Roman" w:hAnsi="Calibri" w:cs="Calibri"/>
              </w:rPr>
            </w:pPr>
            <w:r>
              <w:rPr>
                <w:rFonts w:ascii="Calibri" w:hAnsi="Calibri" w:cs="Calibri"/>
              </w:rPr>
              <w:t>5.31%</w:t>
            </w:r>
          </w:p>
        </w:tc>
        <w:tc>
          <w:tcPr>
            <w:tcW w:w="1530" w:type="dxa"/>
            <w:tcBorders>
              <w:top w:val="nil"/>
              <w:left w:val="nil"/>
              <w:bottom w:val="nil"/>
              <w:right w:val="nil"/>
            </w:tcBorders>
            <w:shd w:val="clear" w:color="auto" w:fill="F2F2F2" w:themeFill="background1" w:themeFillShade="F2"/>
            <w:noWrap/>
            <w:vAlign w:val="bottom"/>
            <w:hideMark/>
          </w:tcPr>
          <w:p w14:paraId="37D321E3" w14:textId="34753B56" w:rsidR="00082185" w:rsidRPr="0048737B" w:rsidRDefault="00082185" w:rsidP="00082185">
            <w:pPr>
              <w:jc w:val="right"/>
              <w:rPr>
                <w:rFonts w:ascii="Calibri" w:hAnsi="Calibri" w:cs="Calibri"/>
              </w:rPr>
            </w:pPr>
            <w:r w:rsidRPr="006C7397">
              <w:rPr>
                <w:rFonts w:ascii="Calibri" w:hAnsi="Calibri" w:cs="Calibri"/>
              </w:rPr>
              <w:t>4.04</w:t>
            </w:r>
            <w:r w:rsidRPr="00AD75A2">
              <w:rPr>
                <w:rFonts w:ascii="Calibri" w:hAnsi="Calibri" w:cs="Calibri"/>
              </w:rPr>
              <w:t>%</w:t>
            </w:r>
          </w:p>
        </w:tc>
      </w:tr>
    </w:tbl>
    <w:p w14:paraId="3D3E8AF8" w14:textId="77777777" w:rsidR="00DD1612" w:rsidRPr="00F54559" w:rsidRDefault="00DD1612" w:rsidP="00DD1612">
      <w:pPr>
        <w:pStyle w:val="AFR3"/>
        <w:spacing w:after="240"/>
        <w:rPr>
          <w:rFonts w:cstheme="minorHAnsi"/>
        </w:rPr>
      </w:pPr>
      <w:r>
        <w:rPr>
          <w:rFonts w:cstheme="minorHAnsi"/>
        </w:rPr>
        <w:lastRenderedPageBreak/>
        <w:t>13</w:t>
      </w:r>
      <w:r w:rsidRPr="00F54559">
        <w:rPr>
          <w:rFonts w:cstheme="minorHAnsi"/>
        </w:rPr>
        <w:t>c. Basic Retirement Plan - Classified Employees</w:t>
      </w:r>
    </w:p>
    <w:p w14:paraId="23660F4E" w14:textId="47E1ECBE" w:rsidR="00DD1612" w:rsidRPr="00F54559" w:rsidRDefault="00DD1612" w:rsidP="00DD1612">
      <w:pPr>
        <w:rPr>
          <w:rFonts w:eastAsia="Times New Roman" w:cstheme="minorHAnsi"/>
          <w:bCs/>
          <w:sz w:val="24"/>
          <w:szCs w:val="24"/>
        </w:rPr>
      </w:pPr>
      <w:r w:rsidRPr="00F54559">
        <w:rPr>
          <w:rFonts w:eastAsia="Times New Roman" w:cstheme="minorHAnsi"/>
          <w:sz w:val="24"/>
          <w:szCs w:val="20"/>
        </w:rPr>
        <w:t xml:space="preserve">The Basic Retirement Plan (Basic Plan) is a single employer defined contribution plan (DC Plan) administered by the System and does not issue standalone financial statements. This DC Plan </w:t>
      </w:r>
      <w:r w:rsidRPr="00F54559">
        <w:rPr>
          <w:rFonts w:eastAsia="Times New Roman" w:cstheme="minorHAnsi"/>
          <w:bCs/>
          <w:sz w:val="24"/>
          <w:szCs w:val="24"/>
        </w:rPr>
        <w:t xml:space="preserve">was created on July 1, </w:t>
      </w:r>
      <w:proofErr w:type="gramStart"/>
      <w:r w:rsidRPr="00F54559">
        <w:rPr>
          <w:rFonts w:eastAsia="Times New Roman" w:cstheme="minorHAnsi"/>
          <w:bCs/>
          <w:sz w:val="24"/>
          <w:szCs w:val="24"/>
        </w:rPr>
        <w:t>1998</w:t>
      </w:r>
      <w:proofErr w:type="gramEnd"/>
      <w:r w:rsidRPr="00F54559">
        <w:rPr>
          <w:rFonts w:eastAsia="Times New Roman" w:cstheme="minorHAnsi"/>
          <w:bCs/>
          <w:sz w:val="24"/>
          <w:szCs w:val="24"/>
        </w:rPr>
        <w:t xml:space="preserve"> in accordance with Section 403(b) of the Internal Revenue Code. Classified employees hired July 1, 1998 or later participate in this DC Plan.</w:t>
      </w:r>
    </w:p>
    <w:p w14:paraId="1D65FA8E" w14:textId="77777777" w:rsidR="00DD1612" w:rsidRPr="008E43A4" w:rsidRDefault="00DD1612" w:rsidP="00DD1612">
      <w:pPr>
        <w:rPr>
          <w:rFonts w:eastAsia="Times New Roman" w:cstheme="minorHAnsi"/>
          <w:color w:val="222222"/>
          <w:shd w:val="clear" w:color="auto" w:fill="FFFFFF"/>
        </w:rPr>
      </w:pPr>
    </w:p>
    <w:p w14:paraId="6C49DD8B" w14:textId="40CB70D7" w:rsidR="00DD1612" w:rsidRPr="00F54559" w:rsidRDefault="00DD1612" w:rsidP="00DD1612">
      <w:pPr>
        <w:rPr>
          <w:rFonts w:eastAsia="Times New Roman" w:cstheme="minorHAnsi"/>
          <w:bCs/>
          <w:sz w:val="24"/>
          <w:szCs w:val="24"/>
        </w:rPr>
      </w:pPr>
      <w:r w:rsidRPr="00F54559">
        <w:rPr>
          <w:rFonts w:eastAsia="Times New Roman" w:cstheme="minorHAnsi"/>
          <w:color w:val="222222"/>
          <w:sz w:val="24"/>
          <w:shd w:val="clear" w:color="auto" w:fill="FFFFFF"/>
        </w:rPr>
        <w:t xml:space="preserve">Eligible employees who were hired before July 1, </w:t>
      </w:r>
      <w:proofErr w:type="gramStart"/>
      <w:r w:rsidRPr="00F54559">
        <w:rPr>
          <w:rFonts w:eastAsia="Times New Roman" w:cstheme="minorHAnsi"/>
          <w:color w:val="222222"/>
          <w:sz w:val="24"/>
          <w:shd w:val="clear" w:color="auto" w:fill="FFFFFF"/>
        </w:rPr>
        <w:t>1998</w:t>
      </w:r>
      <w:proofErr w:type="gramEnd"/>
      <w:r w:rsidRPr="00F54559">
        <w:rPr>
          <w:rFonts w:eastAsia="Times New Roman" w:cstheme="minorHAnsi"/>
          <w:color w:val="222222"/>
          <w:sz w:val="24"/>
          <w:shd w:val="clear" w:color="auto" w:fill="FFFFFF"/>
        </w:rPr>
        <w:t xml:space="preserve"> could elect to roll over to the DC Plan the value of their accrued benefit in the Defined Benefit Retirement Plan for Classified Staff (DB Plan), as described further be</w:t>
      </w:r>
      <w:r w:rsidR="00541C5C">
        <w:rPr>
          <w:rFonts w:eastAsia="Times New Roman" w:cstheme="minorHAnsi"/>
          <w:color w:val="222222"/>
          <w:sz w:val="24"/>
          <w:shd w:val="clear" w:color="auto" w:fill="FFFFFF"/>
        </w:rPr>
        <w:t xml:space="preserve">low, or remain in the DB Plan. </w:t>
      </w:r>
      <w:r w:rsidRPr="00F54559">
        <w:rPr>
          <w:rFonts w:eastAsia="Times New Roman" w:cstheme="minorHAnsi"/>
          <w:color w:val="222222"/>
          <w:sz w:val="24"/>
          <w:shd w:val="clear" w:color="auto" w:fill="FFFFFF"/>
        </w:rPr>
        <w:t>Eligible employees that remained in the DB Plan and were age 50 and over on June 30, 1998 would continue to accrue additional benefits while the value of the benefit for those under age 50 would remain static. The majority of those under age 50 chose to roll over the value of their accrued benefit to the DC Plan.</w:t>
      </w:r>
    </w:p>
    <w:p w14:paraId="68C51408" w14:textId="77777777" w:rsidR="00DD1612" w:rsidRPr="008E43A4" w:rsidRDefault="00DD1612" w:rsidP="00DD1612">
      <w:pPr>
        <w:tabs>
          <w:tab w:val="left" w:pos="1858"/>
          <w:tab w:val="left" w:pos="2570"/>
          <w:tab w:val="left" w:pos="3283"/>
          <w:tab w:val="left" w:pos="3996"/>
          <w:tab w:val="left" w:pos="4709"/>
          <w:tab w:val="left" w:pos="5472"/>
        </w:tabs>
        <w:rPr>
          <w:rFonts w:eastAsia="Times New Roman" w:cstheme="minorHAnsi"/>
          <w:spacing w:val="-3"/>
        </w:rPr>
      </w:pPr>
    </w:p>
    <w:p w14:paraId="6B9E5E88" w14:textId="77777777" w:rsidR="00DD1612" w:rsidRPr="00F54559" w:rsidRDefault="00DD1612" w:rsidP="00DD1612">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Full-time employees are eligible to participate in the DC Plan once employment begins. Part-time employees are eligible once they achieve the equivalent of five years of continuous, full-time regular service. Since June 1, 2014, all contributions have been directed to TIAA as the sole record-keeper.</w:t>
      </w:r>
    </w:p>
    <w:p w14:paraId="359D6943" w14:textId="77777777" w:rsidR="00DD1612" w:rsidRPr="008E43A4" w:rsidRDefault="00DD1612" w:rsidP="00DD1612">
      <w:pPr>
        <w:tabs>
          <w:tab w:val="left" w:pos="1858"/>
          <w:tab w:val="left" w:pos="2570"/>
          <w:tab w:val="left" w:pos="3283"/>
          <w:tab w:val="left" w:pos="3996"/>
          <w:tab w:val="left" w:pos="4709"/>
          <w:tab w:val="left" w:pos="5472"/>
        </w:tabs>
        <w:rPr>
          <w:rFonts w:eastAsia="Times New Roman" w:cstheme="minorHAnsi"/>
          <w:spacing w:val="-3"/>
        </w:rPr>
      </w:pPr>
    </w:p>
    <w:p w14:paraId="72DC11DE" w14:textId="77777777" w:rsidR="00DD1612" w:rsidRPr="00F54559" w:rsidRDefault="00DD1612" w:rsidP="00DD1612">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Employees hired prior to July 1, 1998 and who have more than five years of completed service may voluntarily contribute up to 4% of base pay to the DC Plan and receive a 100% match from the System. Employees hired July 1, 1998 or later are required to contribute 1%. Employee contributions to the DC Plan of up to 4% of base pay are matched 100% by the System. In addition, employees who have four or more years of completed service and do not participate in the DB Plan, receive System contributions equal to 6% of their base pay, for a total maximum employer contribution of 10%.</w:t>
      </w:r>
    </w:p>
    <w:p w14:paraId="7FA66C61" w14:textId="77777777" w:rsidR="00DD1612" w:rsidRPr="008E43A4" w:rsidRDefault="00DD1612" w:rsidP="00DD1612">
      <w:pPr>
        <w:tabs>
          <w:tab w:val="left" w:pos="1858"/>
          <w:tab w:val="left" w:pos="2570"/>
          <w:tab w:val="left" w:pos="3283"/>
          <w:tab w:val="left" w:pos="3996"/>
          <w:tab w:val="left" w:pos="4709"/>
          <w:tab w:val="left" w:pos="5472"/>
        </w:tabs>
        <w:ind w:left="180"/>
        <w:rPr>
          <w:rFonts w:eastAsia="Times New Roman" w:cstheme="minorHAnsi"/>
          <w:spacing w:val="-3"/>
        </w:rPr>
      </w:pPr>
    </w:p>
    <w:p w14:paraId="2E98B376" w14:textId="77777777" w:rsidR="00DD1612" w:rsidRPr="00F54559" w:rsidRDefault="00DD1612" w:rsidP="00DD1612">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bCs/>
          <w:color w:val="000000"/>
          <w:spacing w:val="-3"/>
          <w:sz w:val="24"/>
          <w:szCs w:val="24"/>
        </w:rPr>
        <w:t xml:space="preserve">Employees hired before January 1, </w:t>
      </w:r>
      <w:proofErr w:type="gramStart"/>
      <w:r w:rsidRPr="00F54559">
        <w:rPr>
          <w:rFonts w:eastAsia="Times New Roman" w:cstheme="minorHAnsi"/>
          <w:bCs/>
          <w:color w:val="000000"/>
          <w:spacing w:val="-3"/>
          <w:sz w:val="24"/>
          <w:szCs w:val="24"/>
        </w:rPr>
        <w:t>2010</w:t>
      </w:r>
      <w:proofErr w:type="gramEnd"/>
      <w:r w:rsidRPr="00F54559">
        <w:rPr>
          <w:rFonts w:eastAsia="Times New Roman" w:cstheme="minorHAnsi"/>
          <w:bCs/>
          <w:color w:val="000000"/>
          <w:spacing w:val="-3"/>
          <w:sz w:val="24"/>
          <w:szCs w:val="24"/>
        </w:rPr>
        <w:t xml:space="preserve"> were </w:t>
      </w:r>
      <w:r w:rsidRPr="00F54559">
        <w:rPr>
          <w:rFonts w:eastAsia="Times New Roman" w:cstheme="minorHAnsi"/>
          <w:bCs/>
          <w:spacing w:val="-3"/>
          <w:sz w:val="24"/>
          <w:szCs w:val="24"/>
        </w:rPr>
        <w:t>fully and immediately vested in the employer matching contribution.</w:t>
      </w:r>
      <w:r>
        <w:rPr>
          <w:rFonts w:eastAsia="Times New Roman" w:cstheme="minorHAnsi"/>
          <w:bCs/>
          <w:spacing w:val="-3"/>
          <w:sz w:val="24"/>
          <w:szCs w:val="24"/>
        </w:rPr>
        <w:t xml:space="preserve"> </w:t>
      </w:r>
      <w:r w:rsidRPr="00F54559">
        <w:rPr>
          <w:rFonts w:eastAsia="Times New Roman" w:cstheme="minorHAnsi"/>
          <w:bCs/>
          <w:color w:val="000000"/>
          <w:spacing w:val="-3"/>
          <w:sz w:val="24"/>
          <w:szCs w:val="24"/>
        </w:rPr>
        <w:t xml:space="preserve">The System implemented </w:t>
      </w:r>
      <w:r w:rsidRPr="00F54559">
        <w:rPr>
          <w:rFonts w:eastAsia="Times New Roman" w:cstheme="minorHAnsi"/>
          <w:bCs/>
          <w:spacing w:val="-3"/>
          <w:sz w:val="24"/>
          <w:szCs w:val="24"/>
        </w:rPr>
        <w:t xml:space="preserve">a four-year vesting </w:t>
      </w:r>
      <w:r w:rsidRPr="00F54559">
        <w:rPr>
          <w:rFonts w:eastAsia="Times New Roman" w:cstheme="minorHAnsi"/>
          <w:bCs/>
          <w:color w:val="000000"/>
          <w:spacing w:val="-3"/>
          <w:sz w:val="24"/>
          <w:szCs w:val="24"/>
        </w:rPr>
        <w:t xml:space="preserve">schedule for the employer matching contribution for classified employees hired on or after January 1, 2010 and, on January 1, 2013, implemented a five-year vesting schedule for employer matching contributions. </w:t>
      </w:r>
      <w:r w:rsidRPr="00F54559">
        <w:rPr>
          <w:rFonts w:eastAsia="Times New Roman" w:cstheme="minorHAnsi"/>
          <w:bCs/>
          <w:spacing w:val="-3"/>
          <w:sz w:val="24"/>
          <w:szCs w:val="24"/>
        </w:rPr>
        <w:t>All participant contributions are fully and immediately vested.</w:t>
      </w:r>
    </w:p>
    <w:p w14:paraId="332970D6" w14:textId="77777777" w:rsidR="00DD1612" w:rsidRPr="008E43A4" w:rsidRDefault="00DD1612" w:rsidP="00DD1612">
      <w:pPr>
        <w:tabs>
          <w:tab w:val="left" w:pos="1858"/>
          <w:tab w:val="left" w:pos="2570"/>
          <w:tab w:val="left" w:pos="3283"/>
          <w:tab w:val="left" w:pos="3996"/>
          <w:tab w:val="left" w:pos="4709"/>
          <w:tab w:val="left" w:pos="5472"/>
        </w:tabs>
        <w:ind w:left="180"/>
        <w:rPr>
          <w:rFonts w:eastAsia="Times New Roman" w:cstheme="minorHAnsi"/>
          <w:spacing w:val="-3"/>
        </w:rPr>
      </w:pPr>
    </w:p>
    <w:p w14:paraId="57DA99B5" w14:textId="77777777" w:rsidR="00DD1612" w:rsidRPr="00F54559" w:rsidRDefault="00DD1612" w:rsidP="00DD1612">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Upon separation from the System, participants may withdraw up to 100% of their vested account balances or transfer funds to other investment alternatives subject to Internal Revenue Service limitations and the contractual provisions of the Basic Plan.</w:t>
      </w:r>
    </w:p>
    <w:p w14:paraId="78479808" w14:textId="77777777" w:rsidR="00DD1612" w:rsidRPr="00F54559" w:rsidRDefault="00DD1612" w:rsidP="00DD1612">
      <w:pPr>
        <w:spacing w:line="259" w:lineRule="auto"/>
        <w:rPr>
          <w:rFonts w:cstheme="minorHAnsi"/>
        </w:rPr>
      </w:pPr>
    </w:p>
    <w:p w14:paraId="6DA05E98" w14:textId="1F10E5D2" w:rsidR="00DD1612" w:rsidRDefault="00DD1612" w:rsidP="0054109D">
      <w:pPr>
        <w:spacing w:after="240" w:line="259" w:lineRule="auto"/>
        <w:rPr>
          <w:rFonts w:cstheme="minorHAnsi"/>
          <w:b/>
          <w:i/>
          <w:sz w:val="26"/>
          <w:u w:val="single" w:color="000000" w:themeColor="text1"/>
        </w:rPr>
      </w:pPr>
      <w:r w:rsidRPr="00F54559">
        <w:rPr>
          <w:rFonts w:cstheme="minorHAnsi"/>
          <w:sz w:val="24"/>
          <w:szCs w:val="24"/>
        </w:rPr>
        <w:t>Employee contributions made to the Basic Plan were $</w:t>
      </w:r>
      <w:r w:rsidR="00AD1DE1">
        <w:rPr>
          <w:rFonts w:cstheme="minorHAnsi"/>
          <w:sz w:val="24"/>
          <w:szCs w:val="24"/>
        </w:rPr>
        <w:t>1,</w:t>
      </w:r>
      <w:r w:rsidR="001E59F7" w:rsidRPr="0048737B">
        <w:rPr>
          <w:rFonts w:cstheme="minorHAnsi"/>
          <w:sz w:val="24"/>
          <w:szCs w:val="24"/>
        </w:rPr>
        <w:t>563</w:t>
      </w:r>
      <w:r w:rsidR="001E59F7" w:rsidRPr="001E59F7">
        <w:rPr>
          <w:rFonts w:cstheme="minorHAnsi"/>
          <w:sz w:val="24"/>
          <w:szCs w:val="24"/>
        </w:rPr>
        <w:t xml:space="preserve"> </w:t>
      </w:r>
      <w:r w:rsidRPr="00F54559">
        <w:rPr>
          <w:rFonts w:cstheme="minorHAnsi"/>
          <w:sz w:val="24"/>
          <w:szCs w:val="24"/>
        </w:rPr>
        <w:t xml:space="preserve">in </w:t>
      </w:r>
      <w:r w:rsidR="000E3C0A" w:rsidRPr="00F54559">
        <w:rPr>
          <w:rFonts w:cstheme="minorHAnsi"/>
          <w:sz w:val="24"/>
          <w:szCs w:val="24"/>
        </w:rPr>
        <w:t>FY</w:t>
      </w:r>
      <w:r w:rsidR="000E3C0A">
        <w:rPr>
          <w:rFonts w:cstheme="minorHAnsi"/>
          <w:sz w:val="24"/>
          <w:szCs w:val="24"/>
        </w:rPr>
        <w:t>23</w:t>
      </w:r>
      <w:r w:rsidR="000E3C0A" w:rsidRPr="00F54559">
        <w:rPr>
          <w:rFonts w:cstheme="minorHAnsi"/>
          <w:sz w:val="24"/>
          <w:szCs w:val="24"/>
        </w:rPr>
        <w:t xml:space="preserve"> </w:t>
      </w:r>
      <w:r w:rsidRPr="00F54559">
        <w:rPr>
          <w:rFonts w:cstheme="minorHAnsi"/>
          <w:sz w:val="24"/>
          <w:szCs w:val="24"/>
        </w:rPr>
        <w:t>and $</w:t>
      </w:r>
      <w:r w:rsidR="000E3C0A" w:rsidRPr="00A93FB3">
        <w:rPr>
          <w:rFonts w:cstheme="minorHAnsi"/>
          <w:sz w:val="24"/>
          <w:szCs w:val="24"/>
        </w:rPr>
        <w:t>1,422</w:t>
      </w:r>
      <w:r w:rsidR="000E3C0A" w:rsidRPr="00EC03B8">
        <w:rPr>
          <w:rFonts w:cstheme="minorHAnsi"/>
          <w:sz w:val="24"/>
          <w:szCs w:val="24"/>
        </w:rPr>
        <w:t xml:space="preserve"> </w:t>
      </w:r>
      <w:r w:rsidR="000E3C0A" w:rsidRPr="00F54559">
        <w:rPr>
          <w:rFonts w:cstheme="minorHAnsi"/>
          <w:sz w:val="24"/>
          <w:szCs w:val="24"/>
        </w:rPr>
        <w:t>in FY</w:t>
      </w:r>
      <w:r w:rsidR="000E3C0A">
        <w:rPr>
          <w:rFonts w:cstheme="minorHAnsi"/>
          <w:sz w:val="24"/>
          <w:szCs w:val="24"/>
        </w:rPr>
        <w:t>22</w:t>
      </w:r>
      <w:r w:rsidRPr="00F54559">
        <w:rPr>
          <w:rFonts w:cstheme="minorHAnsi"/>
          <w:sz w:val="24"/>
          <w:szCs w:val="24"/>
        </w:rPr>
        <w:t>.</w:t>
      </w:r>
    </w:p>
    <w:p w14:paraId="5FBC6FF8" w14:textId="77777777" w:rsidR="00B04D7E" w:rsidRDefault="00B04D7E">
      <w:pPr>
        <w:spacing w:after="160" w:line="259" w:lineRule="auto"/>
        <w:rPr>
          <w:rFonts w:cstheme="minorHAnsi"/>
          <w:b/>
          <w:i/>
          <w:sz w:val="26"/>
          <w:u w:val="single" w:color="000000" w:themeColor="text1"/>
        </w:rPr>
      </w:pPr>
      <w:r>
        <w:rPr>
          <w:rFonts w:cstheme="minorHAnsi"/>
        </w:rPr>
        <w:br w:type="page"/>
      </w:r>
    </w:p>
    <w:p w14:paraId="3C59D871" w14:textId="7BB4BCD0" w:rsidR="00DD1612" w:rsidRPr="00F54559" w:rsidRDefault="00DD1612" w:rsidP="00DD1612">
      <w:pPr>
        <w:pStyle w:val="AFR3"/>
        <w:spacing w:before="0" w:after="240"/>
        <w:rPr>
          <w:rFonts w:cstheme="minorHAnsi"/>
        </w:rPr>
      </w:pPr>
      <w:r>
        <w:rPr>
          <w:rFonts w:cstheme="minorHAnsi"/>
        </w:rPr>
        <w:lastRenderedPageBreak/>
        <w:t>13</w:t>
      </w:r>
      <w:r w:rsidRPr="00F54559">
        <w:rPr>
          <w:rFonts w:cstheme="minorHAnsi"/>
        </w:rPr>
        <w:t>d. Defined Benefit Plan – Classified Employees</w:t>
      </w:r>
    </w:p>
    <w:p w14:paraId="5DD13E31" w14:textId="77777777" w:rsidR="00DD1612" w:rsidRPr="00F54559" w:rsidRDefault="00DD1612" w:rsidP="008E43A4">
      <w:pPr>
        <w:tabs>
          <w:tab w:val="left" w:pos="720"/>
          <w:tab w:val="left" w:pos="1440"/>
          <w:tab w:val="right" w:pos="4262"/>
          <w:tab w:val="right" w:pos="5220"/>
          <w:tab w:val="right" w:pos="6691"/>
          <w:tab w:val="right" w:pos="7621"/>
          <w:tab w:val="right" w:pos="9187"/>
        </w:tabs>
        <w:suppressAutoHyphens/>
        <w:spacing w:before="120" w:after="240"/>
        <w:rPr>
          <w:rFonts w:eastAsia="Times New Roman" w:cstheme="minorHAnsi"/>
          <w:b/>
          <w:sz w:val="26"/>
          <w:szCs w:val="26"/>
        </w:rPr>
      </w:pPr>
      <w:r w:rsidRPr="00F54559">
        <w:rPr>
          <w:rFonts w:eastAsia="Times New Roman" w:cstheme="minorHAnsi"/>
          <w:b/>
          <w:sz w:val="26"/>
          <w:szCs w:val="26"/>
        </w:rPr>
        <w:t>Plan Description</w:t>
      </w:r>
    </w:p>
    <w:p w14:paraId="3F4BC128" w14:textId="55BD4621" w:rsidR="00DD1612" w:rsidRPr="00F54559" w:rsidRDefault="00DD1612" w:rsidP="00DD1612">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F54559">
        <w:rPr>
          <w:rFonts w:eastAsia="Times New Roman" w:cstheme="minorHAnsi"/>
          <w:b/>
          <w:i/>
          <w:spacing w:val="-1"/>
          <w:sz w:val="24"/>
        </w:rPr>
        <w:t>Plan Administration:</w:t>
      </w:r>
      <w:r w:rsidRPr="00F54559">
        <w:rPr>
          <w:rFonts w:eastAsia="Times New Roman" w:cstheme="minorHAnsi"/>
          <w:color w:val="000000"/>
          <w:spacing w:val="-3"/>
          <w:sz w:val="24"/>
          <w:szCs w:val="24"/>
        </w:rPr>
        <w:t xml:space="preserve"> </w:t>
      </w:r>
      <w:r w:rsidRPr="00F54559">
        <w:rPr>
          <w:rFonts w:eastAsia="Times New Roman" w:cstheme="minorHAnsi"/>
          <w:sz w:val="24"/>
          <w:szCs w:val="20"/>
        </w:rPr>
        <w:t>The Defined Benefit Plan (the Plan) is a single employer pl</w:t>
      </w:r>
      <w:r w:rsidR="00541C5C">
        <w:rPr>
          <w:rFonts w:eastAsia="Times New Roman" w:cstheme="minorHAnsi"/>
          <w:sz w:val="24"/>
          <w:szCs w:val="20"/>
        </w:rPr>
        <w:t xml:space="preserve">an administered by the System. </w:t>
      </w:r>
      <w:r w:rsidRPr="00F54559">
        <w:rPr>
          <w:rFonts w:eastAsia="Times New Roman" w:cstheme="minorHAnsi"/>
          <w:sz w:val="24"/>
          <w:szCs w:val="20"/>
        </w:rPr>
        <w:t xml:space="preserve">The Plan does not issue standalone financial statements. </w:t>
      </w:r>
      <w:r w:rsidRPr="00F54559">
        <w:rPr>
          <w:rFonts w:eastAsia="Times New Roman" w:cstheme="minorHAnsi"/>
          <w:sz w:val="24"/>
          <w:szCs w:val="24"/>
        </w:rPr>
        <w:t>The Plan is maintained for eligible classified employees who chose not to join the Basic Plan.</w:t>
      </w:r>
    </w:p>
    <w:p w14:paraId="583DEFD3" w14:textId="77777777" w:rsidR="00DD1612" w:rsidRPr="00F54559" w:rsidRDefault="00DD1612" w:rsidP="00DD1612">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p>
    <w:p w14:paraId="5B2658C1" w14:textId="77777777" w:rsidR="00DD1612" w:rsidRPr="00F54559" w:rsidRDefault="00DD1612" w:rsidP="008E43A4">
      <w:pPr>
        <w:tabs>
          <w:tab w:val="left" w:pos="1022"/>
          <w:tab w:val="left" w:pos="1858"/>
          <w:tab w:val="left" w:pos="2570"/>
          <w:tab w:val="left" w:pos="3283"/>
          <w:tab w:val="left" w:pos="3996"/>
          <w:tab w:val="left" w:pos="4709"/>
          <w:tab w:val="left" w:pos="5472"/>
        </w:tabs>
        <w:suppressAutoHyphens/>
        <w:spacing w:after="240"/>
        <w:rPr>
          <w:rFonts w:eastAsia="Times New Roman" w:cstheme="minorHAnsi"/>
          <w:sz w:val="24"/>
          <w:szCs w:val="24"/>
        </w:rPr>
      </w:pPr>
      <w:r w:rsidRPr="00F54559">
        <w:rPr>
          <w:rFonts w:eastAsia="Times New Roman" w:cstheme="minorHAnsi"/>
          <w:color w:val="000000"/>
          <w:spacing w:val="-3"/>
          <w:sz w:val="24"/>
          <w:szCs w:val="24"/>
        </w:rPr>
        <w:t>The System’s Board of Trustees has authority to establish or amend provisions of all classified employee plans, including contribution requirements, subject to collective bargaining agreements.</w:t>
      </w:r>
    </w:p>
    <w:p w14:paraId="6927BB8D"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r w:rsidRPr="00F54559">
        <w:rPr>
          <w:rFonts w:eastAsia="Times New Roman" w:cstheme="minorHAnsi"/>
          <w:b/>
          <w:i/>
          <w:spacing w:val="-1"/>
          <w:sz w:val="24"/>
        </w:rPr>
        <w:t>Benefits Provided:</w:t>
      </w:r>
      <w:r w:rsidRPr="00F54559">
        <w:rPr>
          <w:rFonts w:eastAsia="Times New Roman" w:cstheme="minorHAnsi"/>
          <w:sz w:val="24"/>
          <w:szCs w:val="20"/>
        </w:rPr>
        <w:t xml:space="preserve"> Participants are eligible for normal retirement benefits upon attaining age 65 and retirement. The monthly retirement benefit is based on a formula specified by policy in collective bargaining agreements. Eligible employees receive the sum of:</w:t>
      </w:r>
    </w:p>
    <w:p w14:paraId="34530F74" w14:textId="77777777" w:rsidR="00DD1612" w:rsidRPr="00F54559" w:rsidRDefault="00DD1612" w:rsidP="00DD1612">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p>
    <w:p w14:paraId="718498F3" w14:textId="77777777" w:rsidR="00DD1612" w:rsidRPr="00F54559" w:rsidRDefault="00DD1612" w:rsidP="00DD1612">
      <w:pPr>
        <w:numPr>
          <w:ilvl w:val="0"/>
          <w:numId w:val="9"/>
        </w:numPr>
        <w:tabs>
          <w:tab w:val="left" w:pos="720"/>
          <w:tab w:val="left" w:pos="1440"/>
          <w:tab w:val="right" w:pos="4262"/>
          <w:tab w:val="right" w:pos="5220"/>
          <w:tab w:val="right" w:pos="6691"/>
          <w:tab w:val="right" w:pos="7621"/>
          <w:tab w:val="right" w:pos="9187"/>
        </w:tabs>
        <w:suppressAutoHyphens/>
        <w:spacing w:after="120"/>
        <w:ind w:left="720" w:hanging="450"/>
        <w:rPr>
          <w:rFonts w:eastAsia="Times New Roman" w:cstheme="minorHAnsi"/>
          <w:sz w:val="24"/>
          <w:szCs w:val="20"/>
        </w:rPr>
      </w:pPr>
      <w:r w:rsidRPr="00F54559">
        <w:rPr>
          <w:rFonts w:eastAsia="Times New Roman" w:cstheme="minorHAnsi"/>
          <w:sz w:val="24"/>
          <w:szCs w:val="20"/>
        </w:rPr>
        <w:t xml:space="preserve">1.25% or 1.50% (based on years of service) of the participant’s average annual compensation times credited service (up to a maximum of 30 years); plus </w:t>
      </w:r>
    </w:p>
    <w:p w14:paraId="06EC8AE2" w14:textId="77777777" w:rsidR="00DD1612" w:rsidRPr="00F54559" w:rsidRDefault="00DD1612" w:rsidP="00DD1612">
      <w:pPr>
        <w:numPr>
          <w:ilvl w:val="0"/>
          <w:numId w:val="9"/>
        </w:numPr>
        <w:tabs>
          <w:tab w:val="left" w:pos="720"/>
          <w:tab w:val="left" w:pos="1440"/>
          <w:tab w:val="right" w:pos="4262"/>
          <w:tab w:val="right" w:pos="5220"/>
          <w:tab w:val="right" w:pos="6691"/>
          <w:tab w:val="right" w:pos="7621"/>
          <w:tab w:val="right" w:pos="9187"/>
        </w:tabs>
        <w:suppressAutoHyphens/>
        <w:ind w:left="720" w:hanging="450"/>
        <w:rPr>
          <w:rFonts w:eastAsia="Times New Roman" w:cstheme="minorHAnsi"/>
          <w:sz w:val="24"/>
          <w:szCs w:val="20"/>
        </w:rPr>
      </w:pPr>
      <w:r w:rsidRPr="00F54559">
        <w:rPr>
          <w:rFonts w:eastAsia="Times New Roman" w:cstheme="minorHAnsi"/>
          <w:sz w:val="24"/>
          <w:szCs w:val="20"/>
        </w:rPr>
        <w:t>1.25% or 1.50% (based on years of service) of the participant’s unused sick leave.</w:t>
      </w:r>
    </w:p>
    <w:p w14:paraId="3B98A318" w14:textId="77777777" w:rsidR="00DD1612" w:rsidRPr="00F54559" w:rsidRDefault="00DD1612" w:rsidP="00DD1612">
      <w:pPr>
        <w:tabs>
          <w:tab w:val="left" w:pos="720"/>
          <w:tab w:val="left" w:pos="1022"/>
          <w:tab w:val="left" w:pos="1440"/>
          <w:tab w:val="right" w:pos="4262"/>
          <w:tab w:val="right" w:pos="5220"/>
          <w:tab w:val="right" w:pos="6691"/>
          <w:tab w:val="right" w:pos="7621"/>
          <w:tab w:val="right" w:pos="9187"/>
        </w:tabs>
        <w:suppressAutoHyphens/>
        <w:ind w:left="180"/>
        <w:rPr>
          <w:rFonts w:cstheme="minorHAnsi"/>
          <w:bCs/>
          <w:spacing w:val="-3"/>
        </w:rPr>
      </w:pPr>
    </w:p>
    <w:p w14:paraId="69B5A2E3" w14:textId="195B96B2" w:rsidR="00DD1612" w:rsidRPr="00404A7A" w:rsidRDefault="00DD1612" w:rsidP="00DD1612">
      <w:pPr>
        <w:pStyle w:val="AFR3"/>
        <w:spacing w:before="0" w:after="0"/>
        <w:rPr>
          <w:bCs/>
          <w:iCs/>
          <w:sz w:val="24"/>
          <w:szCs w:val="20"/>
        </w:rPr>
      </w:pPr>
      <w:r w:rsidRPr="009014A7">
        <w:rPr>
          <w:rFonts w:eastAsia="Times New Roman" w:cstheme="minorHAnsi"/>
          <w:b w:val="0"/>
          <w:bCs/>
          <w:i w:val="0"/>
          <w:sz w:val="24"/>
          <w:szCs w:val="24"/>
          <w:u w:val="none"/>
        </w:rPr>
        <w:t xml:space="preserve">Participants are eligible for early retirement benefits upon the attainment of age 55 and completion of five years of continuous service. The benefit is computed in accordance with the normal retirement age </w:t>
      </w:r>
      <w:proofErr w:type="gramStart"/>
      <w:r w:rsidRPr="009014A7">
        <w:rPr>
          <w:rFonts w:eastAsia="Times New Roman" w:cstheme="minorHAnsi"/>
          <w:b w:val="0"/>
          <w:bCs/>
          <w:i w:val="0"/>
          <w:sz w:val="24"/>
          <w:szCs w:val="24"/>
          <w:u w:val="none"/>
        </w:rPr>
        <w:t>benefit, but</w:t>
      </w:r>
      <w:proofErr w:type="gramEnd"/>
      <w:r w:rsidRPr="009014A7">
        <w:rPr>
          <w:rFonts w:eastAsia="Times New Roman" w:cstheme="minorHAnsi"/>
          <w:b w:val="0"/>
          <w:bCs/>
          <w:i w:val="0"/>
          <w:sz w:val="24"/>
          <w:szCs w:val="24"/>
          <w:u w:val="none"/>
        </w:rPr>
        <w:t xml:space="preserve"> is reduced by an actuarial factor because benefits will be paid over a longer period of time. No reduction is made if an employee retires after attaining 62 </w:t>
      </w:r>
      <w:r w:rsidRPr="00404A7A">
        <w:rPr>
          <w:b w:val="0"/>
          <w:bCs/>
          <w:i w:val="0"/>
          <w:iCs/>
          <w:sz w:val="24"/>
          <w:szCs w:val="20"/>
          <w:u w:val="none"/>
        </w:rPr>
        <w:t>years of age wi</w:t>
      </w:r>
      <w:r w:rsidR="00541C5C">
        <w:rPr>
          <w:b w:val="0"/>
          <w:bCs/>
          <w:i w:val="0"/>
          <w:iCs/>
          <w:sz w:val="24"/>
          <w:szCs w:val="20"/>
          <w:u w:val="none"/>
        </w:rPr>
        <w:t>th 25 or more years of service.</w:t>
      </w:r>
      <w:r w:rsidRPr="00404A7A">
        <w:rPr>
          <w:b w:val="0"/>
          <w:bCs/>
          <w:i w:val="0"/>
          <w:iCs/>
          <w:sz w:val="24"/>
          <w:szCs w:val="20"/>
          <w:u w:val="none"/>
        </w:rPr>
        <w:t xml:space="preserve"> Participants are also eligible for disability and death benefits.</w:t>
      </w:r>
    </w:p>
    <w:p w14:paraId="7836D021" w14:textId="77777777" w:rsidR="00DD1612" w:rsidRPr="00F54559" w:rsidRDefault="00DD1612" w:rsidP="00DD1612">
      <w:pPr>
        <w:tabs>
          <w:tab w:val="left" w:pos="1858"/>
          <w:tab w:val="left" w:pos="2570"/>
          <w:tab w:val="left" w:pos="3283"/>
          <w:tab w:val="left" w:pos="3996"/>
          <w:tab w:val="left" w:pos="4709"/>
          <w:tab w:val="left" w:pos="5472"/>
        </w:tabs>
        <w:suppressAutoHyphens/>
        <w:ind w:left="180"/>
        <w:rPr>
          <w:rFonts w:eastAsia="Times New Roman" w:cstheme="minorHAnsi"/>
          <w:bCs/>
        </w:rPr>
      </w:pPr>
    </w:p>
    <w:p w14:paraId="69DB70E1" w14:textId="77777777" w:rsidR="00DD1612" w:rsidRPr="00F54559" w:rsidRDefault="00DD1612" w:rsidP="008E43A4">
      <w:pPr>
        <w:tabs>
          <w:tab w:val="left" w:pos="1022"/>
          <w:tab w:val="left" w:pos="1858"/>
          <w:tab w:val="left" w:pos="2570"/>
          <w:tab w:val="left" w:pos="3283"/>
          <w:tab w:val="left" w:pos="3996"/>
          <w:tab w:val="left" w:pos="4709"/>
          <w:tab w:val="left" w:pos="5472"/>
        </w:tabs>
        <w:suppressAutoHyphens/>
        <w:spacing w:after="240"/>
        <w:rPr>
          <w:rFonts w:eastAsia="Times New Roman" w:cstheme="minorHAnsi"/>
          <w:sz w:val="24"/>
          <w:szCs w:val="24"/>
        </w:rPr>
      </w:pPr>
      <w:r w:rsidRPr="00F54559">
        <w:rPr>
          <w:rFonts w:eastAsia="Times New Roman" w:cstheme="minorHAnsi"/>
          <w:sz w:val="24"/>
          <w:szCs w:val="24"/>
        </w:rPr>
        <w:t>Employees who participate in the Plan may also participate in the Optional Retirement Savings Plan (ORSP). The ORSP is a voluntary, employee-funded defined contribution plan. Employees may contribute up to 4% of their base pay and receive a 100% match from the System. The ORSP is administered by TIAA.</w:t>
      </w:r>
    </w:p>
    <w:p w14:paraId="22866159" w14:textId="77777777" w:rsidR="00DD1612" w:rsidRDefault="00DD1612" w:rsidP="00DD1612">
      <w:pPr>
        <w:rPr>
          <w:rFonts w:eastAsia="Times New Roman"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4"/>
          <w:sz w:val="24"/>
        </w:rPr>
        <w:t xml:space="preserve"> </w:t>
      </w:r>
      <w:r w:rsidRPr="00F54559">
        <w:rPr>
          <w:rFonts w:eastAsia="Times New Roman" w:cstheme="minorHAnsi"/>
          <w:sz w:val="24"/>
        </w:rPr>
        <w:t>is</w:t>
      </w:r>
      <w:r w:rsidRPr="00F54559">
        <w:rPr>
          <w:rFonts w:eastAsia="Times New Roman" w:cstheme="minorHAnsi"/>
          <w:spacing w:val="-4"/>
          <w:sz w:val="24"/>
        </w:rPr>
        <w:t xml:space="preserve"> </w:t>
      </w:r>
      <w:r w:rsidRPr="00F54559">
        <w:rPr>
          <w:rFonts w:eastAsia="Times New Roman" w:cstheme="minorHAnsi"/>
          <w:sz w:val="24"/>
        </w:rPr>
        <w:t>cl</w:t>
      </w:r>
      <w:r w:rsidRPr="00F54559">
        <w:rPr>
          <w:rFonts w:eastAsia="Times New Roman" w:cstheme="minorHAnsi"/>
          <w:spacing w:val="-1"/>
          <w:sz w:val="24"/>
        </w:rPr>
        <w:t>o</w:t>
      </w:r>
      <w:r w:rsidRPr="00F54559">
        <w:rPr>
          <w:rFonts w:eastAsia="Times New Roman" w:cstheme="minorHAnsi"/>
          <w:spacing w:val="1"/>
          <w:sz w:val="24"/>
        </w:rPr>
        <w:t>s</w:t>
      </w:r>
      <w:r w:rsidRPr="00F54559">
        <w:rPr>
          <w:rFonts w:eastAsia="Times New Roman" w:cstheme="minorHAnsi"/>
          <w:sz w:val="24"/>
        </w:rPr>
        <w:t>ed</w:t>
      </w:r>
      <w:r w:rsidRPr="00F54559">
        <w:rPr>
          <w:rFonts w:eastAsia="Times New Roman" w:cstheme="minorHAnsi"/>
          <w:spacing w:val="-4"/>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new</w:t>
      </w:r>
      <w:r w:rsidRPr="00F54559">
        <w:rPr>
          <w:rFonts w:eastAsia="Times New Roman" w:cstheme="minorHAnsi"/>
          <w:spacing w:val="-5"/>
          <w:sz w:val="24"/>
        </w:rPr>
        <w:t xml:space="preserve"> </w:t>
      </w:r>
      <w:r w:rsidRPr="00F54559">
        <w:rPr>
          <w:rFonts w:eastAsia="Times New Roman" w:cstheme="minorHAnsi"/>
          <w:sz w:val="24"/>
        </w:rPr>
        <w:t>entrant</w:t>
      </w:r>
      <w:r w:rsidRPr="00F54559">
        <w:rPr>
          <w:rFonts w:eastAsia="Times New Roman" w:cstheme="minorHAnsi"/>
          <w:spacing w:val="1"/>
          <w:sz w:val="24"/>
        </w:rPr>
        <w:t>s</w:t>
      </w:r>
      <w:r w:rsidRPr="00F54559">
        <w:rPr>
          <w:rFonts w:eastAsia="Times New Roman" w:cstheme="minorHAnsi"/>
          <w:sz w:val="24"/>
        </w:rPr>
        <w:t xml:space="preserve">.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p>
    <w:p w14:paraId="1851659B" w14:textId="77777777" w:rsidR="00DD1612" w:rsidRPr="006E44D1" w:rsidRDefault="00DD1612" w:rsidP="00DD1612">
      <w:pPr>
        <w:rPr>
          <w:rFonts w:ascii="Calibri" w:eastAsia="Times New Roman" w:hAnsi="Calibri" w:cs="Calibri"/>
          <w:b/>
          <w:bCs/>
          <w:color w:val="0D0D0D"/>
          <w:szCs w:val="24"/>
        </w:rPr>
      </w:pPr>
      <w:r w:rsidRPr="006E44D1">
        <w:rPr>
          <w:rFonts w:ascii="Calibri" w:eastAsia="Times New Roman" w:hAnsi="Calibri" w:cs="Calibri"/>
          <w:b/>
          <w:bCs/>
          <w:color w:val="0D0D0D"/>
          <w:szCs w:val="24"/>
        </w:rPr>
        <w:fldChar w:fldCharType="begin"/>
      </w:r>
      <w:r w:rsidRPr="006E44D1">
        <w:rPr>
          <w:rFonts w:ascii="Calibri" w:eastAsia="Times New Roman" w:hAnsi="Calibri" w:cs="Calibri"/>
          <w:b/>
          <w:bCs/>
          <w:color w:val="0D0D0D"/>
          <w:szCs w:val="24"/>
        </w:rPr>
        <w:fldChar w:fldCharType="end"/>
      </w:r>
    </w:p>
    <w:tbl>
      <w:tblPr>
        <w:tblW w:w="9062" w:type="dxa"/>
        <w:tblLayout w:type="fixed"/>
        <w:tblLook w:val="04A0" w:firstRow="1" w:lastRow="0" w:firstColumn="1" w:lastColumn="0" w:noHBand="0" w:noVBand="1"/>
      </w:tblPr>
      <w:tblGrid>
        <w:gridCol w:w="7290"/>
        <w:gridCol w:w="886"/>
        <w:gridCol w:w="886"/>
      </w:tblGrid>
      <w:tr w:rsidR="00DD1612" w:rsidRPr="001656E9" w14:paraId="7BC62B59" w14:textId="77777777" w:rsidTr="00B045CF">
        <w:trPr>
          <w:trHeight w:val="261"/>
          <w:tblHeader/>
        </w:trPr>
        <w:tc>
          <w:tcPr>
            <w:tcW w:w="7290" w:type="dxa"/>
            <w:tcBorders>
              <w:top w:val="nil"/>
              <w:left w:val="nil"/>
              <w:bottom w:val="single" w:sz="12" w:space="0" w:color="00688D"/>
              <w:right w:val="nil"/>
            </w:tcBorders>
            <w:shd w:val="clear" w:color="000000" w:fill="FFFFFF"/>
            <w:noWrap/>
            <w:vAlign w:val="bottom"/>
            <w:hideMark/>
          </w:tcPr>
          <w:p w14:paraId="05B3AFB9" w14:textId="77777777" w:rsidR="00DD1612" w:rsidRPr="001A18A6" w:rsidRDefault="00DD1612" w:rsidP="00BD375F">
            <w:pPr>
              <w:rPr>
                <w:rFonts w:ascii="Calibri" w:eastAsia="Times New Roman" w:hAnsi="Calibri" w:cs="Calibri"/>
                <w:b/>
                <w:bCs/>
                <w:color w:val="0D0D0D"/>
                <w:szCs w:val="24"/>
              </w:rPr>
            </w:pPr>
            <w:r w:rsidRPr="001A18A6">
              <w:rPr>
                <w:rFonts w:ascii="Calibri" w:eastAsia="Times New Roman" w:hAnsi="Calibri" w:cs="Calibri"/>
                <w:b/>
                <w:bCs/>
                <w:color w:val="0D0D0D"/>
                <w:szCs w:val="24"/>
              </w:rPr>
              <w:t> </w:t>
            </w:r>
          </w:p>
        </w:tc>
        <w:tc>
          <w:tcPr>
            <w:tcW w:w="886" w:type="dxa"/>
            <w:tcBorders>
              <w:top w:val="nil"/>
              <w:left w:val="nil"/>
              <w:bottom w:val="single" w:sz="12" w:space="0" w:color="00688D"/>
              <w:right w:val="nil"/>
            </w:tcBorders>
            <w:shd w:val="clear" w:color="000000" w:fill="FFFFFF"/>
            <w:noWrap/>
            <w:vAlign w:val="bottom"/>
            <w:hideMark/>
          </w:tcPr>
          <w:p w14:paraId="5968F976" w14:textId="139D39B4" w:rsidR="00DD1612" w:rsidRPr="001A18A6" w:rsidRDefault="006A5B72" w:rsidP="00C029A1">
            <w:pPr>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w:t>
            </w:r>
            <w:r>
              <w:rPr>
                <w:rFonts w:ascii="Calibri" w:eastAsia="Times New Roman" w:hAnsi="Calibri" w:cs="Calibri"/>
                <w:b/>
                <w:bCs/>
                <w:color w:val="0D0D0D"/>
                <w:szCs w:val="24"/>
              </w:rPr>
              <w:t>3</w:t>
            </w:r>
          </w:p>
        </w:tc>
        <w:tc>
          <w:tcPr>
            <w:tcW w:w="886" w:type="dxa"/>
            <w:tcBorders>
              <w:top w:val="nil"/>
              <w:left w:val="nil"/>
              <w:bottom w:val="single" w:sz="12" w:space="0" w:color="00688D"/>
              <w:right w:val="nil"/>
            </w:tcBorders>
            <w:shd w:val="clear" w:color="auto" w:fill="F2F2F2" w:themeFill="background1" w:themeFillShade="F2"/>
            <w:vAlign w:val="bottom"/>
          </w:tcPr>
          <w:p w14:paraId="2B3718FB" w14:textId="2A33A583" w:rsidR="00DD1612" w:rsidRPr="001A18A6" w:rsidRDefault="006A5B72" w:rsidP="00C029A1">
            <w:pPr>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w:t>
            </w:r>
            <w:r>
              <w:rPr>
                <w:rFonts w:ascii="Calibri" w:eastAsia="Times New Roman" w:hAnsi="Calibri" w:cs="Calibri"/>
                <w:b/>
                <w:bCs/>
                <w:color w:val="0D0D0D"/>
                <w:szCs w:val="24"/>
              </w:rPr>
              <w:t>2</w:t>
            </w:r>
          </w:p>
        </w:tc>
      </w:tr>
      <w:tr w:rsidR="006A5B72" w:rsidRPr="001656E9" w14:paraId="074C2D5B" w14:textId="77777777" w:rsidTr="00B045CF">
        <w:trPr>
          <w:trHeight w:val="324"/>
        </w:trPr>
        <w:tc>
          <w:tcPr>
            <w:tcW w:w="7290" w:type="dxa"/>
            <w:tcBorders>
              <w:top w:val="nil"/>
              <w:left w:val="nil"/>
              <w:bottom w:val="nil"/>
              <w:right w:val="nil"/>
            </w:tcBorders>
            <w:shd w:val="clear" w:color="000000" w:fill="FFFFFF"/>
            <w:noWrap/>
            <w:vAlign w:val="bottom"/>
            <w:hideMark/>
          </w:tcPr>
          <w:p w14:paraId="7C79F12F" w14:textId="77777777" w:rsidR="006A5B72" w:rsidRPr="001A18A6" w:rsidRDefault="006A5B72" w:rsidP="006A5B72">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or beneficiaries currently receiving benefits</w:t>
            </w:r>
          </w:p>
        </w:tc>
        <w:tc>
          <w:tcPr>
            <w:tcW w:w="886" w:type="dxa"/>
            <w:tcBorders>
              <w:top w:val="nil"/>
              <w:left w:val="nil"/>
              <w:bottom w:val="nil"/>
              <w:right w:val="nil"/>
            </w:tcBorders>
            <w:shd w:val="clear" w:color="000000" w:fill="FFFFFF"/>
            <w:noWrap/>
            <w:vAlign w:val="bottom"/>
            <w:hideMark/>
          </w:tcPr>
          <w:p w14:paraId="6D26A204" w14:textId="5EAA8ECD" w:rsidR="006A5B72" w:rsidRPr="00A93FB3" w:rsidRDefault="006A5B72" w:rsidP="006A5B72">
            <w:pPr>
              <w:jc w:val="right"/>
              <w:rPr>
                <w:rFonts w:ascii="Calibri" w:eastAsia="Times New Roman" w:hAnsi="Calibri" w:cs="Calibri"/>
                <w:szCs w:val="24"/>
              </w:rPr>
            </w:pPr>
            <w:r>
              <w:rPr>
                <w:rFonts w:ascii="Calibri" w:eastAsia="Times New Roman" w:hAnsi="Calibri" w:cs="Calibri"/>
                <w:szCs w:val="24"/>
              </w:rPr>
              <w:t>637</w:t>
            </w:r>
          </w:p>
        </w:tc>
        <w:tc>
          <w:tcPr>
            <w:tcW w:w="886" w:type="dxa"/>
            <w:tcBorders>
              <w:top w:val="nil"/>
              <w:left w:val="nil"/>
              <w:bottom w:val="nil"/>
              <w:right w:val="nil"/>
            </w:tcBorders>
            <w:shd w:val="clear" w:color="auto" w:fill="F2F2F2" w:themeFill="background1" w:themeFillShade="F2"/>
            <w:vAlign w:val="bottom"/>
          </w:tcPr>
          <w:p w14:paraId="7E225CB9" w14:textId="1AD0018A" w:rsidR="006A5B72" w:rsidRPr="001A18A6" w:rsidRDefault="006A5B72" w:rsidP="006A5B72">
            <w:pPr>
              <w:jc w:val="right"/>
              <w:rPr>
                <w:rFonts w:ascii="Calibri" w:eastAsia="Times New Roman" w:hAnsi="Calibri" w:cs="Calibri"/>
                <w:color w:val="0D0D0D"/>
                <w:szCs w:val="24"/>
              </w:rPr>
            </w:pPr>
            <w:r w:rsidRPr="00A93FB3">
              <w:rPr>
                <w:rFonts w:ascii="Calibri" w:eastAsia="Times New Roman" w:hAnsi="Calibri" w:cs="Calibri"/>
                <w:szCs w:val="24"/>
              </w:rPr>
              <w:t>669</w:t>
            </w:r>
          </w:p>
        </w:tc>
      </w:tr>
      <w:tr w:rsidR="006A5B72" w:rsidRPr="001656E9" w14:paraId="341195BD" w14:textId="77777777" w:rsidTr="00B045CF">
        <w:trPr>
          <w:trHeight w:val="312"/>
        </w:trPr>
        <w:tc>
          <w:tcPr>
            <w:tcW w:w="7290" w:type="dxa"/>
            <w:tcBorders>
              <w:top w:val="nil"/>
              <w:left w:val="nil"/>
              <w:bottom w:val="nil"/>
              <w:right w:val="nil"/>
            </w:tcBorders>
            <w:shd w:val="clear" w:color="000000" w:fill="FFFFFF"/>
            <w:noWrap/>
            <w:vAlign w:val="bottom"/>
            <w:hideMark/>
          </w:tcPr>
          <w:p w14:paraId="1074B130" w14:textId="77777777" w:rsidR="006A5B72" w:rsidRPr="001A18A6" w:rsidRDefault="006A5B72" w:rsidP="006A5B72">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entitled to but not yet receiving benefits</w:t>
            </w:r>
          </w:p>
        </w:tc>
        <w:tc>
          <w:tcPr>
            <w:tcW w:w="886" w:type="dxa"/>
            <w:tcBorders>
              <w:top w:val="nil"/>
              <w:left w:val="nil"/>
              <w:bottom w:val="nil"/>
              <w:right w:val="nil"/>
            </w:tcBorders>
            <w:shd w:val="clear" w:color="000000" w:fill="FFFFFF"/>
            <w:noWrap/>
            <w:vAlign w:val="bottom"/>
            <w:hideMark/>
          </w:tcPr>
          <w:p w14:paraId="67BE2998" w14:textId="03B521D5" w:rsidR="006A5B72" w:rsidRPr="00A93FB3" w:rsidRDefault="006A5B72" w:rsidP="006A5B72">
            <w:pPr>
              <w:jc w:val="right"/>
              <w:rPr>
                <w:rFonts w:ascii="Calibri" w:eastAsia="Times New Roman" w:hAnsi="Calibri" w:cs="Calibri"/>
                <w:szCs w:val="24"/>
              </w:rPr>
            </w:pPr>
            <w:r>
              <w:rPr>
                <w:rFonts w:ascii="Calibri" w:eastAsia="Times New Roman" w:hAnsi="Calibri" w:cs="Calibri"/>
                <w:szCs w:val="24"/>
              </w:rPr>
              <w:t>178</w:t>
            </w:r>
          </w:p>
        </w:tc>
        <w:tc>
          <w:tcPr>
            <w:tcW w:w="886" w:type="dxa"/>
            <w:tcBorders>
              <w:top w:val="nil"/>
              <w:left w:val="nil"/>
              <w:bottom w:val="nil"/>
              <w:right w:val="nil"/>
            </w:tcBorders>
            <w:shd w:val="clear" w:color="auto" w:fill="F2F2F2" w:themeFill="background1" w:themeFillShade="F2"/>
            <w:vAlign w:val="bottom"/>
          </w:tcPr>
          <w:p w14:paraId="054E9E0A" w14:textId="1FC859B7" w:rsidR="006A5B72" w:rsidRPr="001A18A6" w:rsidRDefault="006A5B72" w:rsidP="006A5B72">
            <w:pPr>
              <w:jc w:val="right"/>
              <w:rPr>
                <w:rFonts w:ascii="Calibri" w:eastAsia="Times New Roman" w:hAnsi="Calibri" w:cs="Calibri"/>
                <w:color w:val="0D0D0D"/>
                <w:szCs w:val="24"/>
              </w:rPr>
            </w:pPr>
            <w:r w:rsidRPr="00A93FB3">
              <w:rPr>
                <w:rFonts w:ascii="Calibri" w:eastAsia="Times New Roman" w:hAnsi="Calibri" w:cs="Calibri"/>
                <w:szCs w:val="24"/>
              </w:rPr>
              <w:t>187</w:t>
            </w:r>
          </w:p>
        </w:tc>
      </w:tr>
      <w:tr w:rsidR="006A5B72" w:rsidRPr="001656E9" w14:paraId="5E86B6F3" w14:textId="77777777" w:rsidTr="00B045CF">
        <w:trPr>
          <w:trHeight w:val="312"/>
        </w:trPr>
        <w:tc>
          <w:tcPr>
            <w:tcW w:w="7290" w:type="dxa"/>
            <w:tcBorders>
              <w:top w:val="nil"/>
              <w:left w:val="nil"/>
              <w:bottom w:val="nil"/>
              <w:right w:val="nil"/>
            </w:tcBorders>
            <w:shd w:val="clear" w:color="000000" w:fill="FFFFFF"/>
            <w:noWrap/>
            <w:vAlign w:val="bottom"/>
            <w:hideMark/>
          </w:tcPr>
          <w:p w14:paraId="21AA3EAA" w14:textId="77777777" w:rsidR="006A5B72" w:rsidRPr="001A18A6" w:rsidRDefault="006A5B72" w:rsidP="006A5B72">
            <w:pPr>
              <w:rPr>
                <w:rFonts w:ascii="Calibri" w:eastAsia="Times New Roman" w:hAnsi="Calibri" w:cs="Calibri"/>
                <w:color w:val="0D0D0D"/>
                <w:szCs w:val="24"/>
              </w:rPr>
            </w:pPr>
            <w:r w:rsidRPr="001A18A6">
              <w:rPr>
                <w:rFonts w:ascii="Calibri" w:eastAsia="Times New Roman" w:hAnsi="Calibri" w:cs="Calibri"/>
                <w:color w:val="0D0D0D"/>
                <w:szCs w:val="24"/>
              </w:rPr>
              <w:t>Active plan participants</w:t>
            </w:r>
          </w:p>
        </w:tc>
        <w:tc>
          <w:tcPr>
            <w:tcW w:w="886" w:type="dxa"/>
            <w:tcBorders>
              <w:top w:val="nil"/>
              <w:left w:val="nil"/>
              <w:bottom w:val="nil"/>
              <w:right w:val="nil"/>
            </w:tcBorders>
            <w:shd w:val="clear" w:color="000000" w:fill="FFFFFF"/>
            <w:noWrap/>
            <w:vAlign w:val="bottom"/>
            <w:hideMark/>
          </w:tcPr>
          <w:p w14:paraId="1B32D2C8" w14:textId="77777777" w:rsidR="006A5B72" w:rsidRPr="00A93FB3" w:rsidRDefault="006A5B72" w:rsidP="006A5B72">
            <w:pPr>
              <w:jc w:val="right"/>
              <w:rPr>
                <w:rFonts w:ascii="Calibri" w:eastAsia="Times New Roman" w:hAnsi="Calibri" w:cs="Calibri"/>
                <w:szCs w:val="24"/>
              </w:rPr>
            </w:pPr>
            <w:r w:rsidRPr="00A93FB3">
              <w:rPr>
                <w:rFonts w:ascii="Calibri" w:eastAsia="Times New Roman" w:hAnsi="Calibri" w:cs="Calibri"/>
                <w:szCs w:val="24"/>
              </w:rPr>
              <w:t>1</w:t>
            </w:r>
          </w:p>
        </w:tc>
        <w:tc>
          <w:tcPr>
            <w:tcW w:w="886" w:type="dxa"/>
            <w:tcBorders>
              <w:top w:val="nil"/>
              <w:left w:val="nil"/>
              <w:bottom w:val="nil"/>
              <w:right w:val="nil"/>
            </w:tcBorders>
            <w:shd w:val="clear" w:color="auto" w:fill="F2F2F2" w:themeFill="background1" w:themeFillShade="F2"/>
            <w:vAlign w:val="bottom"/>
          </w:tcPr>
          <w:p w14:paraId="07CD0007" w14:textId="351317D2" w:rsidR="006A5B72" w:rsidRPr="001A18A6" w:rsidRDefault="006A5B72" w:rsidP="006A5B72">
            <w:pPr>
              <w:jc w:val="right"/>
              <w:rPr>
                <w:rFonts w:ascii="Calibri" w:eastAsia="Times New Roman" w:hAnsi="Calibri" w:cs="Calibri"/>
                <w:color w:val="0D0D0D"/>
                <w:szCs w:val="24"/>
              </w:rPr>
            </w:pPr>
            <w:r w:rsidRPr="00A93FB3">
              <w:rPr>
                <w:rFonts w:ascii="Calibri" w:eastAsia="Times New Roman" w:hAnsi="Calibri" w:cs="Calibri"/>
                <w:szCs w:val="24"/>
              </w:rPr>
              <w:t>1</w:t>
            </w:r>
          </w:p>
        </w:tc>
      </w:tr>
      <w:tr w:rsidR="006A5B72" w:rsidRPr="001656E9" w14:paraId="5CB34A21" w14:textId="77777777" w:rsidTr="00B045CF">
        <w:trPr>
          <w:trHeight w:val="324"/>
        </w:trPr>
        <w:tc>
          <w:tcPr>
            <w:tcW w:w="7290" w:type="dxa"/>
            <w:tcBorders>
              <w:top w:val="single" w:sz="4" w:space="0" w:color="00688D"/>
              <w:left w:val="nil"/>
              <w:bottom w:val="double" w:sz="6" w:space="0" w:color="00688D"/>
              <w:right w:val="nil"/>
            </w:tcBorders>
            <w:shd w:val="clear" w:color="000000" w:fill="FFFFFF"/>
            <w:noWrap/>
            <w:vAlign w:val="bottom"/>
            <w:hideMark/>
          </w:tcPr>
          <w:p w14:paraId="71258122" w14:textId="77777777" w:rsidR="006A5B72" w:rsidRPr="001A18A6" w:rsidRDefault="006A5B72" w:rsidP="006A5B72">
            <w:pPr>
              <w:rPr>
                <w:rFonts w:ascii="Calibri" w:eastAsia="Times New Roman" w:hAnsi="Calibri" w:cs="Calibri"/>
                <w:color w:val="0D0D0D"/>
                <w:szCs w:val="24"/>
              </w:rPr>
            </w:pPr>
            <w:r w:rsidRPr="001A18A6">
              <w:rPr>
                <w:rFonts w:ascii="Calibri" w:eastAsia="Times New Roman" w:hAnsi="Calibri" w:cs="Calibri"/>
                <w:color w:val="0D0D0D"/>
                <w:szCs w:val="24"/>
              </w:rPr>
              <w:t>Total plan participants</w:t>
            </w:r>
          </w:p>
        </w:tc>
        <w:tc>
          <w:tcPr>
            <w:tcW w:w="886" w:type="dxa"/>
            <w:tcBorders>
              <w:top w:val="single" w:sz="4" w:space="0" w:color="00688D"/>
              <w:left w:val="nil"/>
              <w:bottom w:val="double" w:sz="6" w:space="0" w:color="00688D"/>
              <w:right w:val="nil"/>
            </w:tcBorders>
            <w:shd w:val="clear" w:color="000000" w:fill="FFFFFF"/>
            <w:noWrap/>
            <w:vAlign w:val="bottom"/>
            <w:hideMark/>
          </w:tcPr>
          <w:p w14:paraId="46D7F507" w14:textId="61F324C8" w:rsidR="006A5B72" w:rsidRPr="00A93FB3" w:rsidRDefault="006A5B72" w:rsidP="006A5B72">
            <w:pPr>
              <w:jc w:val="right"/>
              <w:rPr>
                <w:rFonts w:ascii="Calibri" w:eastAsia="Times New Roman" w:hAnsi="Calibri" w:cs="Calibri"/>
                <w:szCs w:val="24"/>
              </w:rPr>
            </w:pPr>
            <w:r>
              <w:rPr>
                <w:rFonts w:ascii="Calibri" w:eastAsia="Times New Roman" w:hAnsi="Calibri" w:cs="Calibri"/>
                <w:szCs w:val="24"/>
              </w:rPr>
              <w:t>816</w:t>
            </w:r>
          </w:p>
        </w:tc>
        <w:tc>
          <w:tcPr>
            <w:tcW w:w="886" w:type="dxa"/>
            <w:tcBorders>
              <w:top w:val="single" w:sz="4" w:space="0" w:color="00688D"/>
              <w:left w:val="nil"/>
              <w:bottom w:val="double" w:sz="6" w:space="0" w:color="00688D"/>
              <w:right w:val="nil"/>
            </w:tcBorders>
            <w:shd w:val="clear" w:color="auto" w:fill="F2F2F2" w:themeFill="background1" w:themeFillShade="F2"/>
            <w:vAlign w:val="bottom"/>
          </w:tcPr>
          <w:p w14:paraId="65DFFB29" w14:textId="2C12C6EE" w:rsidR="006A5B72" w:rsidRPr="001A18A6" w:rsidRDefault="006A5B72" w:rsidP="006A5B72">
            <w:pPr>
              <w:jc w:val="right"/>
              <w:rPr>
                <w:rFonts w:ascii="Calibri" w:eastAsia="Times New Roman" w:hAnsi="Calibri" w:cs="Calibri"/>
                <w:color w:val="0D0D0D"/>
                <w:szCs w:val="24"/>
              </w:rPr>
            </w:pPr>
            <w:r w:rsidRPr="00A93FB3">
              <w:rPr>
                <w:rFonts w:ascii="Calibri" w:eastAsia="Times New Roman" w:hAnsi="Calibri" w:cs="Calibri"/>
                <w:szCs w:val="24"/>
              </w:rPr>
              <w:t>857</w:t>
            </w:r>
          </w:p>
        </w:tc>
      </w:tr>
    </w:tbl>
    <w:p w14:paraId="6CA791DA" w14:textId="77777777" w:rsidR="008E43A4" w:rsidRDefault="00DD1612" w:rsidP="00DD1612">
      <w:pPr>
        <w:spacing w:before="240" w:after="200"/>
        <w:ind w:right="-7"/>
        <w:rPr>
          <w:rFonts w:eastAsia="Times New Roman" w:cstheme="minorHAnsi"/>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w:t>
      </w:r>
      <w:r w:rsidRPr="00F54559">
        <w:rPr>
          <w:rFonts w:eastAsia="Times New Roman" w:cstheme="minorHAnsi"/>
          <w:spacing w:val="2"/>
          <w:sz w:val="24"/>
        </w:rPr>
        <w:t xml:space="preserve"> </w:t>
      </w:r>
      <w:r w:rsidRPr="00F54559">
        <w:rPr>
          <w:rFonts w:eastAsia="Times New Roman" w:cstheme="minorHAnsi"/>
          <w:sz w:val="24"/>
        </w:rPr>
        <w:t>ado</w:t>
      </w:r>
      <w:r w:rsidRPr="00F54559">
        <w:rPr>
          <w:rFonts w:eastAsia="Times New Roman" w:cstheme="minorHAnsi"/>
          <w:spacing w:val="-2"/>
          <w:sz w:val="24"/>
        </w:rPr>
        <w:t>p</w:t>
      </w:r>
      <w:r w:rsidRPr="00F54559">
        <w:rPr>
          <w:rFonts w:eastAsia="Times New Roman" w:cstheme="minorHAnsi"/>
          <w:sz w:val="24"/>
        </w:rPr>
        <w:t>ted</w:t>
      </w:r>
      <w:r w:rsidRPr="00F54559">
        <w:rPr>
          <w:rFonts w:eastAsia="Times New Roman" w:cstheme="minorHAnsi"/>
          <w:spacing w:val="4"/>
          <w:sz w:val="24"/>
        </w:rPr>
        <w:t xml:space="preserve"> </w:t>
      </w:r>
      <w:r w:rsidRPr="00F54559">
        <w:rPr>
          <w:rFonts w:eastAsia="Times New Roman" w:cstheme="minorHAnsi"/>
          <w:sz w:val="24"/>
        </w:rPr>
        <w:t>a</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4"/>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1"/>
          <w:sz w:val="24"/>
        </w:rPr>
        <w:t xml:space="preserve"> </w:t>
      </w:r>
      <w:r w:rsidRPr="00F54559">
        <w:rPr>
          <w:rFonts w:eastAsia="Times New Roman" w:cstheme="minorHAnsi"/>
          <w:sz w:val="24"/>
        </w:rPr>
        <w:t>for</w:t>
      </w:r>
      <w:r w:rsidRPr="00F54559">
        <w:rPr>
          <w:rFonts w:eastAsia="Times New Roman" w:cstheme="minorHAnsi"/>
          <w:spacing w:val="2"/>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2"/>
          <w:sz w:val="24"/>
        </w:rPr>
        <w:t xml:space="preserve"> </w:t>
      </w:r>
      <w:r w:rsidRPr="00F54559">
        <w:rPr>
          <w:rFonts w:eastAsia="Times New Roman" w:cstheme="minorHAnsi"/>
          <w:spacing w:val="-1"/>
          <w:sz w:val="24"/>
        </w:rPr>
        <w:t>o</w:t>
      </w:r>
      <w:r w:rsidRPr="00F54559">
        <w:rPr>
          <w:rFonts w:eastAsia="Times New Roman" w:cstheme="minorHAnsi"/>
          <w:sz w:val="24"/>
        </w:rPr>
        <w:t>n</w:t>
      </w:r>
      <w:r w:rsidRPr="00F54559">
        <w:rPr>
          <w:rFonts w:eastAsia="Times New Roman" w:cstheme="minorHAnsi"/>
          <w:spacing w:val="1"/>
          <w:sz w:val="24"/>
        </w:rPr>
        <w:t xml:space="preserve"> </w:t>
      </w:r>
      <w:r w:rsidRPr="00F54559">
        <w:rPr>
          <w:rFonts w:eastAsia="Times New Roman" w:cstheme="minorHAnsi"/>
          <w:sz w:val="24"/>
        </w:rPr>
        <w:t>F</w:t>
      </w:r>
      <w:r w:rsidRPr="00F54559">
        <w:rPr>
          <w:rFonts w:eastAsia="Times New Roman" w:cstheme="minorHAnsi"/>
          <w:spacing w:val="-1"/>
          <w:sz w:val="24"/>
        </w:rPr>
        <w:t>e</w:t>
      </w:r>
      <w:r w:rsidRPr="00F54559">
        <w:rPr>
          <w:rFonts w:eastAsia="Times New Roman" w:cstheme="minorHAnsi"/>
          <w:sz w:val="24"/>
        </w:rPr>
        <w:t>b</w:t>
      </w:r>
      <w:r w:rsidRPr="00F54559">
        <w:rPr>
          <w:rFonts w:eastAsia="Times New Roman" w:cstheme="minorHAnsi"/>
          <w:spacing w:val="-1"/>
          <w:sz w:val="24"/>
        </w:rPr>
        <w:t>r</w:t>
      </w:r>
      <w:r w:rsidRPr="00F54559">
        <w:rPr>
          <w:rFonts w:eastAsia="Times New Roman" w:cstheme="minorHAnsi"/>
          <w:sz w:val="24"/>
        </w:rPr>
        <w:t>ua</w:t>
      </w:r>
      <w:r w:rsidRPr="00F54559">
        <w:rPr>
          <w:rFonts w:eastAsia="Times New Roman" w:cstheme="minorHAnsi"/>
          <w:spacing w:val="-1"/>
          <w:sz w:val="24"/>
        </w:rPr>
        <w:t>r</w:t>
      </w:r>
      <w:r w:rsidRPr="00F54559">
        <w:rPr>
          <w:rFonts w:eastAsia="Times New Roman" w:cstheme="minorHAnsi"/>
          <w:sz w:val="24"/>
        </w:rPr>
        <w:t>y</w:t>
      </w:r>
      <w:r w:rsidRPr="00F54559">
        <w:rPr>
          <w:rFonts w:eastAsia="Times New Roman" w:cstheme="minorHAnsi"/>
          <w:spacing w:val="3"/>
          <w:sz w:val="24"/>
        </w:rPr>
        <w:t xml:space="preserve"> </w:t>
      </w:r>
      <w:r w:rsidRPr="00F54559">
        <w:rPr>
          <w:rFonts w:eastAsia="Times New Roman" w:cstheme="minorHAnsi"/>
          <w:sz w:val="24"/>
        </w:rPr>
        <w:t>27,</w:t>
      </w:r>
      <w:r w:rsidRPr="00F54559">
        <w:rPr>
          <w:rFonts w:eastAsia="Times New Roman" w:cstheme="minorHAnsi"/>
          <w:spacing w:val="1"/>
          <w:sz w:val="24"/>
        </w:rPr>
        <w:t xml:space="preserve"> </w:t>
      </w:r>
      <w:r w:rsidRPr="00F54559">
        <w:rPr>
          <w:rFonts w:eastAsia="Times New Roman" w:cstheme="minorHAnsi"/>
          <w:sz w:val="24"/>
        </w:rPr>
        <w:t xml:space="preserve">2014.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1"/>
          <w:sz w:val="24"/>
        </w:rPr>
        <w:t xml:space="preserve"> </w:t>
      </w:r>
      <w:r w:rsidRPr="00F54559">
        <w:rPr>
          <w:rFonts w:eastAsia="Times New Roman" w:cstheme="minorHAnsi"/>
          <w:spacing w:val="-1"/>
          <w:sz w:val="24"/>
        </w:rPr>
        <w:t>System’s</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2"/>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3"/>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ws</w:t>
      </w:r>
      <w:r w:rsidRPr="00F54559">
        <w:rPr>
          <w:rFonts w:eastAsia="Times New Roman" w:cstheme="minorHAnsi"/>
          <w:spacing w:val="2"/>
          <w:sz w:val="24"/>
        </w:rPr>
        <w:t xml:space="preserve"> </w:t>
      </w:r>
      <w:r w:rsidRPr="00F54559">
        <w:rPr>
          <w:rFonts w:eastAsia="Times New Roman" w:cstheme="minorHAnsi"/>
          <w:sz w:val="24"/>
        </w:rPr>
        <w:t>a</w:t>
      </w:r>
      <w:r w:rsidRPr="00F54559">
        <w:rPr>
          <w:rFonts w:eastAsia="Times New Roman" w:cstheme="minorHAnsi"/>
          <w:w w:val="9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5"/>
          <w:sz w:val="24"/>
        </w:rPr>
        <w:t xml:space="preserve"> </w:t>
      </w:r>
      <w:r w:rsidRPr="00F54559">
        <w:rPr>
          <w:rFonts w:eastAsia="Times New Roman" w:cstheme="minorHAnsi"/>
          <w:spacing w:val="1"/>
          <w:sz w:val="24"/>
        </w:rPr>
        <w:t>s</w:t>
      </w:r>
      <w:r w:rsidRPr="00F54559">
        <w:rPr>
          <w:rFonts w:eastAsia="Times New Roman" w:cstheme="minorHAnsi"/>
          <w:sz w:val="24"/>
        </w:rPr>
        <w:t>chedule,</w:t>
      </w:r>
      <w:r w:rsidRPr="00F54559">
        <w:rPr>
          <w:rFonts w:eastAsia="Times New Roman" w:cstheme="minorHAnsi"/>
          <w:spacing w:val="13"/>
          <w:sz w:val="24"/>
        </w:rPr>
        <w:t xml:space="preserve"> </w:t>
      </w:r>
      <w:r w:rsidRPr="00F54559">
        <w:rPr>
          <w:rFonts w:eastAsia="Times New Roman" w:cstheme="minorHAnsi"/>
          <w:spacing w:val="1"/>
          <w:sz w:val="24"/>
        </w:rPr>
        <w:t>s</w:t>
      </w:r>
      <w:r w:rsidRPr="00F54559">
        <w:rPr>
          <w:rFonts w:eastAsia="Times New Roman" w:cstheme="minorHAnsi"/>
          <w:sz w:val="24"/>
        </w:rPr>
        <w:t>uch</w:t>
      </w:r>
      <w:r w:rsidRPr="00F54559">
        <w:rPr>
          <w:rFonts w:eastAsia="Times New Roman" w:cstheme="minorHAnsi"/>
          <w:spacing w:val="15"/>
          <w:sz w:val="24"/>
        </w:rPr>
        <w:t xml:space="preserve"> </w:t>
      </w:r>
      <w:r w:rsidRPr="00F54559">
        <w:rPr>
          <w:rFonts w:eastAsia="Times New Roman" w:cstheme="minorHAnsi"/>
          <w:sz w:val="24"/>
        </w:rPr>
        <w:t>that</w:t>
      </w:r>
      <w:r w:rsidRPr="00F54559">
        <w:rPr>
          <w:rFonts w:eastAsia="Times New Roman" w:cstheme="minorHAnsi"/>
          <w:spacing w:val="13"/>
          <w:sz w:val="24"/>
        </w:rPr>
        <w:t xml:space="preserve"> </w:t>
      </w:r>
      <w:r w:rsidRPr="00F54559">
        <w:rPr>
          <w:rFonts w:eastAsia="Times New Roman" w:cstheme="minorHAnsi"/>
          <w:sz w:val="24"/>
        </w:rPr>
        <w:t>a</w:t>
      </w:r>
      <w:r w:rsidRPr="00F54559">
        <w:rPr>
          <w:rFonts w:eastAsia="Times New Roman" w:cstheme="minorHAnsi"/>
          <w:spacing w:val="14"/>
          <w:sz w:val="24"/>
        </w:rPr>
        <w:t xml:space="preserve"> </w:t>
      </w:r>
      <w:r w:rsidRPr="00F54559">
        <w:rPr>
          <w:rFonts w:eastAsia="Times New Roman" w:cstheme="minorHAnsi"/>
          <w:sz w:val="24"/>
        </w:rPr>
        <w:t>l</w:t>
      </w:r>
      <w:r w:rsidRPr="00F54559">
        <w:rPr>
          <w:rFonts w:eastAsia="Times New Roman" w:cstheme="minorHAnsi"/>
          <w:spacing w:val="-1"/>
          <w:sz w:val="24"/>
        </w:rPr>
        <w:t>ev</w:t>
      </w:r>
      <w:r w:rsidRPr="00F54559">
        <w:rPr>
          <w:rFonts w:eastAsia="Times New Roman" w:cstheme="minorHAnsi"/>
          <w:sz w:val="24"/>
        </w:rPr>
        <w:t>el</w:t>
      </w:r>
      <w:r w:rsidRPr="00F54559">
        <w:rPr>
          <w:rFonts w:eastAsia="Times New Roman" w:cstheme="minorHAnsi"/>
          <w:spacing w:val="11"/>
          <w:sz w:val="24"/>
        </w:rPr>
        <w:t xml:space="preserve"> </w:t>
      </w:r>
      <w:r w:rsidRPr="00F54559">
        <w:rPr>
          <w:rFonts w:eastAsia="Times New Roman" w:cstheme="minorHAnsi"/>
          <w:sz w:val="24"/>
        </w:rPr>
        <w:t>annual</w:t>
      </w:r>
      <w:r w:rsidRPr="00F54559">
        <w:rPr>
          <w:rFonts w:eastAsia="Times New Roman" w:cstheme="minorHAnsi"/>
          <w:spacing w:val="14"/>
          <w:sz w:val="24"/>
        </w:rPr>
        <w:t xml:space="preserve"> </w:t>
      </w:r>
      <w:r w:rsidRPr="00F54559">
        <w:rPr>
          <w:rFonts w:eastAsia="Times New Roman" w:cstheme="minorHAnsi"/>
          <w:sz w:val="24"/>
        </w:rPr>
        <w:t>do</w:t>
      </w:r>
      <w:r w:rsidRPr="00F54559">
        <w:rPr>
          <w:rFonts w:eastAsia="Times New Roman" w:cstheme="minorHAnsi"/>
          <w:spacing w:val="-1"/>
          <w:sz w:val="24"/>
        </w:rPr>
        <w:t>l</w:t>
      </w:r>
      <w:r w:rsidRPr="00F54559">
        <w:rPr>
          <w:rFonts w:eastAsia="Times New Roman" w:cstheme="minorHAnsi"/>
          <w:sz w:val="24"/>
        </w:rPr>
        <w:t>lar</w:t>
      </w:r>
      <w:r w:rsidRPr="00F54559">
        <w:rPr>
          <w:rFonts w:eastAsia="Times New Roman" w:cstheme="minorHAnsi"/>
          <w:spacing w:val="11"/>
          <w:sz w:val="24"/>
        </w:rPr>
        <w:t xml:space="preserve"> </w:t>
      </w:r>
      <w:r w:rsidRPr="00F54559">
        <w:rPr>
          <w:rFonts w:eastAsia="Times New Roman" w:cstheme="minorHAnsi"/>
          <w:sz w:val="24"/>
        </w:rPr>
        <w:t>a</w:t>
      </w:r>
      <w:r w:rsidRPr="00F54559">
        <w:rPr>
          <w:rFonts w:eastAsia="Times New Roman" w:cstheme="minorHAnsi"/>
          <w:spacing w:val="1"/>
          <w:sz w:val="24"/>
        </w:rPr>
        <w:t>m</w:t>
      </w:r>
      <w:r w:rsidRPr="00F54559">
        <w:rPr>
          <w:rFonts w:eastAsia="Times New Roman" w:cstheme="minorHAnsi"/>
          <w:sz w:val="24"/>
        </w:rPr>
        <w:t>ount</w:t>
      </w:r>
      <w:r w:rsidRPr="00F54559">
        <w:rPr>
          <w:rFonts w:eastAsia="Times New Roman" w:cstheme="minorHAnsi"/>
          <w:spacing w:val="15"/>
          <w:sz w:val="24"/>
        </w:rPr>
        <w:t xml:space="preserve"> </w:t>
      </w:r>
      <w:r w:rsidRPr="00F54559">
        <w:rPr>
          <w:rFonts w:eastAsia="Times New Roman" w:cstheme="minorHAnsi"/>
          <w:sz w:val="24"/>
        </w:rPr>
        <w:t>will</w:t>
      </w:r>
      <w:r w:rsidRPr="00F54559">
        <w:rPr>
          <w:rFonts w:eastAsia="Times New Roman" w:cstheme="minorHAnsi"/>
          <w:spacing w:val="12"/>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ibuted</w:t>
      </w:r>
      <w:r w:rsidRPr="00F54559">
        <w:rPr>
          <w:rFonts w:eastAsia="Times New Roman" w:cstheme="minorHAnsi"/>
          <w:spacing w:val="13"/>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14"/>
          <w:sz w:val="24"/>
        </w:rPr>
        <w:t xml:space="preserve"> </w:t>
      </w:r>
      <w:r w:rsidRPr="00F54559">
        <w:rPr>
          <w:rFonts w:eastAsia="Times New Roman" w:cstheme="minorHAnsi"/>
          <w:sz w:val="24"/>
        </w:rPr>
        <w:t>the</w:t>
      </w:r>
      <w:r w:rsidRPr="00F54559">
        <w:rPr>
          <w:rFonts w:eastAsia="Times New Roman" w:cstheme="minorHAnsi"/>
          <w:spacing w:val="12"/>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w w:val="99"/>
          <w:sz w:val="24"/>
        </w:rPr>
        <w:t xml:space="preserve"> </w:t>
      </w:r>
      <w:r w:rsidRPr="00F54559">
        <w:rPr>
          <w:rFonts w:eastAsia="Times New Roman" w:cstheme="minorHAnsi"/>
          <w:sz w:val="24"/>
        </w:rPr>
        <w:t>indefinite</w:t>
      </w:r>
      <w:r w:rsidRPr="00F54559">
        <w:rPr>
          <w:rFonts w:eastAsia="Times New Roman" w:cstheme="minorHAnsi"/>
          <w:spacing w:val="-1"/>
          <w:sz w:val="24"/>
        </w:rPr>
        <w:t>ly</w:t>
      </w:r>
      <w:r w:rsidRPr="00F54559">
        <w:rPr>
          <w:rFonts w:eastAsia="Times New Roman" w:cstheme="minorHAnsi"/>
          <w:sz w:val="24"/>
        </w:rPr>
        <w:t>,</w:t>
      </w:r>
      <w:r w:rsidRPr="00F54559">
        <w:rPr>
          <w:rFonts w:eastAsia="Times New Roman" w:cstheme="minorHAnsi"/>
          <w:spacing w:val="-6"/>
          <w:sz w:val="24"/>
        </w:rPr>
        <w:t xml:space="preserve"> </w:t>
      </w:r>
      <w:r w:rsidRPr="00F54559">
        <w:rPr>
          <w:rFonts w:eastAsia="Times New Roman" w:cstheme="minorHAnsi"/>
          <w:sz w:val="24"/>
        </w:rPr>
        <w:t>while</w:t>
      </w:r>
      <w:r w:rsidRPr="00F54559">
        <w:rPr>
          <w:rFonts w:eastAsia="Times New Roman" w:cstheme="minorHAnsi"/>
          <w:spacing w:val="-7"/>
          <w:sz w:val="24"/>
        </w:rPr>
        <w:t xml:space="preserve"> </w:t>
      </w:r>
      <w:r w:rsidRPr="00F54559">
        <w:rPr>
          <w:rFonts w:eastAsia="Times New Roman" w:cstheme="minorHAnsi"/>
          <w:sz w:val="24"/>
        </w:rPr>
        <w:t>ne</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P</w:t>
      </w:r>
      <w:r w:rsidRPr="00F54559">
        <w:rPr>
          <w:rFonts w:eastAsia="Times New Roman" w:cstheme="minorHAnsi"/>
          <w:sz w:val="24"/>
        </w:rPr>
        <w:t>lan's</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1"/>
          <w:sz w:val="24"/>
        </w:rPr>
        <w:t>ss</w:t>
      </w:r>
      <w:r w:rsidRPr="00F54559">
        <w:rPr>
          <w:rFonts w:eastAsia="Times New Roman" w:cstheme="minorHAnsi"/>
          <w:sz w:val="24"/>
        </w:rPr>
        <w:t>ets</w:t>
      </w:r>
      <w:r w:rsidRPr="00F54559">
        <w:rPr>
          <w:rFonts w:eastAsia="Times New Roman" w:cstheme="minorHAnsi"/>
          <w:spacing w:val="-5"/>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be</w:t>
      </w:r>
      <w:r w:rsidRPr="00F54559">
        <w:rPr>
          <w:rFonts w:eastAsia="Times New Roman" w:cstheme="minorHAnsi"/>
          <w:spacing w:val="-7"/>
          <w:sz w:val="24"/>
        </w:rPr>
        <w:t xml:space="preserve"> </w:t>
      </w:r>
      <w:r w:rsidRPr="00F54559">
        <w:rPr>
          <w:rFonts w:eastAsia="Times New Roman" w:cstheme="minorHAnsi"/>
          <w:sz w:val="24"/>
        </w:rPr>
        <w:t>de</w:t>
      </w:r>
      <w:r w:rsidRPr="00F54559">
        <w:rPr>
          <w:rFonts w:eastAsia="Times New Roman" w:cstheme="minorHAnsi"/>
          <w:spacing w:val="-2"/>
          <w:sz w:val="24"/>
        </w:rPr>
        <w:t>p</w:t>
      </w:r>
      <w:r w:rsidRPr="00F54559">
        <w:rPr>
          <w:rFonts w:eastAsia="Times New Roman" w:cstheme="minorHAnsi"/>
          <w:sz w:val="24"/>
        </w:rPr>
        <w:t>l</w:t>
      </w:r>
      <w:r w:rsidRPr="00F54559">
        <w:rPr>
          <w:rFonts w:eastAsia="Times New Roman" w:cstheme="minorHAnsi"/>
          <w:spacing w:val="-1"/>
          <w:sz w:val="24"/>
        </w:rPr>
        <w:t>e</w:t>
      </w:r>
      <w:r w:rsidRPr="00F54559">
        <w:rPr>
          <w:rFonts w:eastAsia="Times New Roman" w:cstheme="minorHAnsi"/>
          <w:sz w:val="24"/>
        </w:rPr>
        <w:t xml:space="preserve">ted. The actuarially determined annual projected contribution to the Plan is </w:t>
      </w:r>
    </w:p>
    <w:p w14:paraId="2B370437" w14:textId="77777777" w:rsidR="008E43A4" w:rsidRPr="009014A7" w:rsidRDefault="008E43A4" w:rsidP="008E43A4">
      <w:pPr>
        <w:spacing w:before="240" w:after="240"/>
        <w:ind w:right="-7"/>
        <w:rPr>
          <w:rFonts w:cstheme="minorHAnsi"/>
          <w:b/>
          <w:i/>
          <w:sz w:val="26"/>
          <w:u w:val="single" w:color="000000" w:themeColor="text1"/>
        </w:rPr>
      </w:pPr>
      <w:r>
        <w:rPr>
          <w:rFonts w:cstheme="minorHAnsi"/>
          <w:b/>
          <w:i/>
          <w:sz w:val="26"/>
          <w:u w:val="single" w:color="000000" w:themeColor="text1"/>
        </w:rPr>
        <w:lastRenderedPageBreak/>
        <w:t>13</w:t>
      </w:r>
      <w:r w:rsidRPr="00F54559">
        <w:rPr>
          <w:rFonts w:cstheme="minorHAnsi"/>
          <w:b/>
          <w:i/>
          <w:sz w:val="26"/>
          <w:u w:val="single" w:color="000000" w:themeColor="text1"/>
        </w:rPr>
        <w:t>d. Defined Benefit Plan – Classified Employees – continued</w:t>
      </w:r>
    </w:p>
    <w:p w14:paraId="0556BD20" w14:textId="6C0CFF75" w:rsidR="00DD1612" w:rsidRPr="00F54559" w:rsidRDefault="00DD1612" w:rsidP="00DD1612">
      <w:pPr>
        <w:spacing w:before="240" w:after="200"/>
        <w:ind w:right="-7"/>
        <w:rPr>
          <w:rFonts w:eastAsia="Times New Roman" w:cstheme="minorHAnsi"/>
          <w:sz w:val="24"/>
        </w:rPr>
      </w:pPr>
      <w:r w:rsidRPr="00C029A1">
        <w:rPr>
          <w:rFonts w:eastAsia="Times New Roman" w:cstheme="minorHAnsi"/>
          <w:sz w:val="24"/>
        </w:rPr>
        <w:t>$</w:t>
      </w:r>
      <w:r w:rsidR="00F7507F" w:rsidRPr="0048737B">
        <w:rPr>
          <w:rFonts w:eastAsia="Times New Roman" w:cstheme="minorHAnsi"/>
          <w:sz w:val="24"/>
        </w:rPr>
        <w:t>880</w:t>
      </w:r>
      <w:r w:rsidR="00F7507F" w:rsidRPr="00C029A1">
        <w:rPr>
          <w:rFonts w:eastAsia="Times New Roman" w:cstheme="minorHAnsi"/>
          <w:sz w:val="24"/>
        </w:rPr>
        <w:t xml:space="preserve"> </w:t>
      </w:r>
      <w:r w:rsidRPr="006B2241">
        <w:rPr>
          <w:rFonts w:eastAsia="Times New Roman" w:cstheme="minorHAnsi"/>
          <w:sz w:val="24"/>
        </w:rPr>
        <w:t xml:space="preserve">through and including </w:t>
      </w:r>
      <w:r w:rsidR="00F7507F" w:rsidRPr="006B2241">
        <w:rPr>
          <w:rFonts w:eastAsia="Times New Roman" w:cstheme="minorHAnsi"/>
          <w:sz w:val="24"/>
        </w:rPr>
        <w:t>FY5</w:t>
      </w:r>
      <w:r w:rsidR="00F7507F">
        <w:rPr>
          <w:rFonts w:eastAsia="Times New Roman" w:cstheme="minorHAnsi"/>
          <w:sz w:val="24"/>
        </w:rPr>
        <w:t>3</w:t>
      </w:r>
      <w:r w:rsidRPr="00F54559">
        <w:rPr>
          <w:rFonts w:eastAsia="Times New Roman" w:cstheme="minorHAnsi"/>
          <w:sz w:val="24"/>
        </w:rPr>
        <w:t>, at which point the projected fiduciary net position is estimated to be sufficient to meet annual benefit payments</w:t>
      </w:r>
      <w:r>
        <w:rPr>
          <w:rFonts w:eastAsia="Times New Roman" w:cstheme="minorHAnsi"/>
          <w:sz w:val="24"/>
        </w:rPr>
        <w:t xml:space="preserve">. The </w:t>
      </w:r>
      <w:r w:rsidRPr="00F54559">
        <w:rPr>
          <w:rFonts w:eastAsia="Times New Roman" w:cstheme="minorHAnsi"/>
          <w:spacing w:val="-1"/>
          <w:sz w:val="24"/>
        </w:rPr>
        <w:t>r</w:t>
      </w:r>
      <w:r w:rsidRPr="00F54559">
        <w:rPr>
          <w:rFonts w:eastAsia="Times New Roman" w:cstheme="minorHAnsi"/>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3"/>
          <w:sz w:val="24"/>
        </w:rPr>
        <w:t xml:space="preserve"> </w:t>
      </w:r>
      <w:r>
        <w:rPr>
          <w:rFonts w:eastAsia="Times New Roman" w:cstheme="minorHAnsi"/>
          <w:spacing w:val="-3"/>
          <w:sz w:val="24"/>
        </w:rPr>
        <w:t xml:space="preserve">employer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
          <w:sz w:val="24"/>
        </w:rPr>
        <w:t xml:space="preserve"> </w:t>
      </w:r>
      <w:r w:rsidRPr="00F54559">
        <w:rPr>
          <w:rFonts w:eastAsia="Times New Roman" w:cstheme="minorHAnsi"/>
          <w:sz w:val="24"/>
        </w:rPr>
        <w:t>will</w:t>
      </w:r>
      <w:r w:rsidRPr="00F54559">
        <w:rPr>
          <w:rFonts w:eastAsia="Times New Roman" w:cstheme="minorHAnsi"/>
          <w:spacing w:val="-5"/>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3"/>
          <w:sz w:val="24"/>
        </w:rPr>
        <w:t xml:space="preserve"> </w:t>
      </w:r>
      <w:r w:rsidRPr="00F54559">
        <w:rPr>
          <w:rFonts w:eastAsia="Times New Roman" w:cstheme="minorHAnsi"/>
          <w:spacing w:val="-1"/>
          <w:sz w:val="24"/>
        </w:rPr>
        <w:t>r</w:t>
      </w:r>
      <w:r w:rsidRPr="00F54559">
        <w:rPr>
          <w:rFonts w:eastAsia="Times New Roman" w:cstheme="minorHAnsi"/>
          <w:sz w:val="24"/>
        </w:rPr>
        <w:t>e-dete</w:t>
      </w:r>
      <w:r w:rsidRPr="00F54559">
        <w:rPr>
          <w:rFonts w:eastAsia="Times New Roman" w:cstheme="minorHAnsi"/>
          <w:spacing w:val="-1"/>
          <w:sz w:val="24"/>
        </w:rPr>
        <w:t>r</w:t>
      </w:r>
      <w:r w:rsidRPr="00F54559">
        <w:rPr>
          <w:rFonts w:eastAsia="Times New Roman" w:cstheme="minorHAnsi"/>
          <w:sz w:val="24"/>
        </w:rPr>
        <w:t>mined with</w:t>
      </w:r>
      <w:r w:rsidRPr="00F54559">
        <w:rPr>
          <w:rFonts w:eastAsia="Times New Roman" w:cstheme="minorHAnsi"/>
          <w:spacing w:val="-3"/>
          <w:sz w:val="24"/>
        </w:rPr>
        <w:t xml:space="preserve"> </w:t>
      </w:r>
      <w:r w:rsidRPr="00F54559">
        <w:rPr>
          <w:rFonts w:eastAsia="Times New Roman" w:cstheme="minorHAnsi"/>
          <w:sz w:val="24"/>
        </w:rPr>
        <w:t>each actua</w:t>
      </w:r>
      <w:r w:rsidRPr="00F54559">
        <w:rPr>
          <w:rFonts w:eastAsia="Times New Roman" w:cstheme="minorHAnsi"/>
          <w:spacing w:val="-1"/>
          <w:sz w:val="24"/>
        </w:rPr>
        <w:t>r</w:t>
      </w:r>
      <w:r w:rsidRPr="00F54559">
        <w:rPr>
          <w:rFonts w:eastAsia="Times New Roman" w:cstheme="minorHAnsi"/>
          <w:sz w:val="24"/>
        </w:rPr>
        <w:t>ial</w:t>
      </w:r>
      <w:r w:rsidRPr="00F54559">
        <w:rPr>
          <w:rFonts w:eastAsia="Times New Roman" w:cstheme="minorHAnsi"/>
          <w:spacing w:val="-3"/>
          <w:sz w:val="24"/>
        </w:rPr>
        <w:t xml:space="preserve"> </w:t>
      </w:r>
      <w:r w:rsidRPr="00F54559">
        <w:rPr>
          <w:rFonts w:eastAsia="Times New Roman" w:cstheme="minorHAnsi"/>
          <w:spacing w:val="-1"/>
          <w:sz w:val="24"/>
        </w:rPr>
        <w:t>v</w:t>
      </w:r>
      <w:r w:rsidRPr="00F54559">
        <w:rPr>
          <w:rFonts w:eastAsia="Times New Roman" w:cstheme="minorHAnsi"/>
          <w:sz w:val="24"/>
        </w:rPr>
        <w:t>alua</w:t>
      </w:r>
      <w:r w:rsidRPr="00F54559">
        <w:rPr>
          <w:rFonts w:eastAsia="Times New Roman" w:cstheme="minorHAnsi"/>
          <w:spacing w:val="1"/>
          <w:sz w:val="24"/>
        </w:rPr>
        <w:t>t</w:t>
      </w:r>
      <w:r w:rsidRPr="00F54559">
        <w:rPr>
          <w:rFonts w:eastAsia="Times New Roman" w:cstheme="minorHAnsi"/>
          <w:sz w:val="24"/>
        </w:rPr>
        <w:t>ion</w:t>
      </w:r>
      <w:r w:rsidRPr="00F54559">
        <w:rPr>
          <w:rFonts w:eastAsia="Times New Roman" w:cstheme="minorHAnsi"/>
          <w:spacing w:val="-1"/>
          <w:sz w:val="24"/>
        </w:rPr>
        <w:t xml:space="preserve"> </w:t>
      </w:r>
      <w:r w:rsidRPr="00F54559">
        <w:rPr>
          <w:rFonts w:eastAsia="Times New Roman" w:cstheme="minorHAnsi"/>
          <w:sz w:val="24"/>
        </w:rPr>
        <w:t>as</w:t>
      </w:r>
      <w:r w:rsidRPr="00F54559">
        <w:rPr>
          <w:rFonts w:eastAsia="Times New Roman" w:cstheme="minorHAnsi"/>
          <w:spacing w:val="-2"/>
          <w:sz w:val="24"/>
        </w:rPr>
        <w:t xml:space="preserve"> </w:t>
      </w:r>
      <w:r w:rsidRPr="00F54559">
        <w:rPr>
          <w:rFonts w:eastAsia="Times New Roman" w:cstheme="minorHAnsi"/>
          <w:sz w:val="24"/>
        </w:rPr>
        <w:t>ma</w:t>
      </w:r>
      <w:r w:rsidRPr="00F54559">
        <w:rPr>
          <w:rFonts w:eastAsia="Times New Roman" w:cstheme="minorHAnsi"/>
          <w:spacing w:val="-1"/>
          <w:sz w:val="24"/>
        </w:rPr>
        <w:t>r</w:t>
      </w:r>
      <w:r w:rsidRPr="00F54559">
        <w:rPr>
          <w:rFonts w:eastAsia="Times New Roman" w:cstheme="minorHAnsi"/>
          <w:sz w:val="24"/>
        </w:rPr>
        <w:t>ket</w:t>
      </w:r>
      <w:r w:rsidRPr="00F54559">
        <w:rPr>
          <w:rFonts w:eastAsia="Times New Roman" w:cstheme="minorHAnsi"/>
          <w:w w:val="99"/>
          <w:sz w:val="24"/>
        </w:rPr>
        <w:t xml:space="preserve"> </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fo</w:t>
      </w:r>
      <w:r w:rsidRPr="00F54559">
        <w:rPr>
          <w:rFonts w:eastAsia="Times New Roman" w:cstheme="minorHAnsi"/>
          <w:spacing w:val="-1"/>
          <w:sz w:val="24"/>
        </w:rPr>
        <w:t>r</w:t>
      </w:r>
      <w:r w:rsidRPr="00F54559">
        <w:rPr>
          <w:rFonts w:eastAsia="Times New Roman" w:cstheme="minorHAnsi"/>
          <w:sz w:val="24"/>
        </w:rPr>
        <w:t>mance</w:t>
      </w:r>
      <w:r w:rsidRPr="00F54559">
        <w:rPr>
          <w:rFonts w:eastAsia="Times New Roman" w:cstheme="minorHAnsi"/>
          <w:spacing w:val="-7"/>
          <w:sz w:val="24"/>
        </w:rPr>
        <w:t xml:space="preserve"> </w:t>
      </w:r>
      <w:r w:rsidRPr="00F54559">
        <w:rPr>
          <w:rFonts w:eastAsia="Times New Roman" w:cstheme="minorHAnsi"/>
          <w:sz w:val="24"/>
        </w:rPr>
        <w:t>and</w:t>
      </w:r>
      <w:r w:rsidRPr="00F54559">
        <w:rPr>
          <w:rFonts w:eastAsia="Times New Roman" w:cstheme="minorHAnsi"/>
          <w:spacing w:val="-6"/>
          <w:sz w:val="24"/>
        </w:rPr>
        <w:t xml:space="preserve"> </w:t>
      </w:r>
      <w:r w:rsidRPr="00F54559">
        <w:rPr>
          <w:rFonts w:eastAsia="Times New Roman" w:cstheme="minorHAnsi"/>
          <w:sz w:val="24"/>
        </w:rPr>
        <w:t>other</w:t>
      </w:r>
      <w:r w:rsidRPr="00F54559">
        <w:rPr>
          <w:rFonts w:eastAsia="Times New Roman" w:cstheme="minorHAnsi"/>
          <w:spacing w:val="-7"/>
          <w:sz w:val="24"/>
        </w:rPr>
        <w:t xml:space="preserve"> </w:t>
      </w:r>
      <w:r w:rsidRPr="00F54559">
        <w:rPr>
          <w:rFonts w:eastAsia="Times New Roman" w:cstheme="minorHAnsi"/>
          <w:sz w:val="24"/>
        </w:rPr>
        <w:t>fa</w:t>
      </w:r>
      <w:r w:rsidRPr="00F54559">
        <w:rPr>
          <w:rFonts w:eastAsia="Times New Roman" w:cstheme="minorHAnsi"/>
          <w:spacing w:val="1"/>
          <w:sz w:val="24"/>
        </w:rPr>
        <w:t>c</w:t>
      </w:r>
      <w:r w:rsidRPr="00F54559">
        <w:rPr>
          <w:rFonts w:eastAsia="Times New Roman" w:cstheme="minorHAnsi"/>
          <w:sz w:val="24"/>
        </w:rPr>
        <w:t>to</w:t>
      </w:r>
      <w:r w:rsidRPr="00F54559">
        <w:rPr>
          <w:rFonts w:eastAsia="Times New Roman" w:cstheme="minorHAnsi"/>
          <w:spacing w:val="-2"/>
          <w:sz w:val="24"/>
        </w:rPr>
        <w:t>r</w:t>
      </w:r>
      <w:r w:rsidRPr="00F54559">
        <w:rPr>
          <w:rFonts w:eastAsia="Times New Roman" w:cstheme="minorHAnsi"/>
          <w:sz w:val="24"/>
        </w:rPr>
        <w:t>s</w:t>
      </w:r>
      <w:r w:rsidRPr="00F54559">
        <w:rPr>
          <w:rFonts w:eastAsia="Times New Roman" w:cstheme="minorHAnsi"/>
          <w:spacing w:val="-5"/>
          <w:sz w:val="24"/>
        </w:rPr>
        <w:t xml:space="preserve"> </w:t>
      </w:r>
      <w:r w:rsidRPr="00F54559">
        <w:rPr>
          <w:rFonts w:eastAsia="Times New Roman" w:cstheme="minorHAnsi"/>
          <w:sz w:val="24"/>
        </w:rPr>
        <w:t>will</w:t>
      </w:r>
      <w:r w:rsidRPr="00F54559">
        <w:rPr>
          <w:rFonts w:eastAsia="Times New Roman" w:cstheme="minorHAnsi"/>
          <w:spacing w:val="-7"/>
          <w:sz w:val="24"/>
        </w:rPr>
        <w:t xml:space="preserve"> </w:t>
      </w:r>
      <w:r w:rsidRPr="00F54559">
        <w:rPr>
          <w:rFonts w:eastAsia="Times New Roman" w:cstheme="minorHAnsi"/>
          <w:sz w:val="24"/>
        </w:rPr>
        <w:t>im</w:t>
      </w:r>
      <w:r w:rsidRPr="00F54559">
        <w:rPr>
          <w:rFonts w:eastAsia="Times New Roman" w:cstheme="minorHAnsi"/>
          <w:spacing w:val="-1"/>
          <w:sz w:val="24"/>
        </w:rPr>
        <w:t>p</w:t>
      </w:r>
      <w:r w:rsidRPr="00F54559">
        <w:rPr>
          <w:rFonts w:eastAsia="Times New Roman" w:cstheme="minorHAnsi"/>
          <w:sz w:val="24"/>
        </w:rPr>
        <w:t>act</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z w:val="24"/>
        </w:rPr>
        <w:t>r</w:t>
      </w:r>
      <w:r w:rsidRPr="00F54559">
        <w:rPr>
          <w:rFonts w:eastAsia="Times New Roman" w:cstheme="minorHAnsi"/>
          <w:spacing w:val="-1"/>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6"/>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Pr>
          <w:rFonts w:eastAsia="Times New Roman" w:cstheme="minorHAnsi"/>
          <w:sz w:val="24"/>
        </w:rPr>
        <w:t xml:space="preserve"> amount</w:t>
      </w:r>
      <w:r w:rsidRPr="00F54559">
        <w:rPr>
          <w:rFonts w:eastAsia="Times New Roman" w:cstheme="minorHAnsi"/>
          <w:sz w:val="24"/>
        </w:rPr>
        <w:t>. Funding</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5"/>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4"/>
          <w:sz w:val="24"/>
        </w:rPr>
        <w:t xml:space="preserve"> </w:t>
      </w:r>
      <w:r w:rsidRPr="00F54559">
        <w:rPr>
          <w:rFonts w:eastAsia="Times New Roman" w:cstheme="minorHAnsi"/>
          <w:sz w:val="24"/>
        </w:rPr>
        <w:t>o</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4"/>
          <w:sz w:val="24"/>
        </w:rPr>
        <w:t xml:space="preserve"> </w:t>
      </w:r>
      <w:r w:rsidRPr="00F54559">
        <w:rPr>
          <w:rFonts w:eastAsia="Times New Roman" w:cstheme="minorHAnsi"/>
          <w:sz w:val="24"/>
        </w:rPr>
        <w:t>the</w:t>
      </w:r>
      <w:r w:rsidRPr="00F54559">
        <w:rPr>
          <w:rFonts w:eastAsia="Times New Roman" w:cstheme="minorHAnsi"/>
          <w:spacing w:val="4"/>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s</w:t>
      </w:r>
      <w:r w:rsidRPr="00F54559">
        <w:rPr>
          <w:rFonts w:eastAsia="Times New Roman" w:cstheme="minorHAnsi"/>
          <w:spacing w:val="3"/>
          <w:sz w:val="24"/>
        </w:rPr>
        <w:t xml:space="preserve"> </w:t>
      </w:r>
      <w:r w:rsidRPr="00F54559">
        <w:rPr>
          <w:rFonts w:eastAsia="Times New Roman" w:cstheme="minorHAnsi"/>
          <w:spacing w:val="-1"/>
          <w:sz w:val="24"/>
        </w:rPr>
        <w:t>the System</w:t>
      </w:r>
      <w:r w:rsidRPr="00F54559">
        <w:rPr>
          <w:rFonts w:eastAsia="Times New Roman" w:cstheme="minorHAnsi"/>
          <w:spacing w:val="4"/>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2"/>
          <w:sz w:val="24"/>
        </w:rPr>
        <w:t xml:space="preserve"> minimize</w:t>
      </w:r>
      <w:r w:rsidRPr="00F54559">
        <w:rPr>
          <w:rFonts w:eastAsia="Times New Roman" w:cstheme="minorHAnsi"/>
          <w:spacing w:val="3"/>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w w:val="99"/>
          <w:sz w:val="24"/>
        </w:rPr>
        <w:t xml:space="preserve"> </w:t>
      </w:r>
      <w:r w:rsidRPr="00F54559">
        <w:rPr>
          <w:rFonts w:eastAsia="Times New Roman" w:cstheme="minorHAnsi"/>
          <w:spacing w:val="-1"/>
          <w:sz w:val="24"/>
        </w:rPr>
        <w:t>v</w:t>
      </w:r>
      <w:r w:rsidRPr="00F54559">
        <w:rPr>
          <w:rFonts w:eastAsia="Times New Roman" w:cstheme="minorHAnsi"/>
          <w:sz w:val="24"/>
        </w:rPr>
        <w:t>o</w:t>
      </w:r>
      <w:r w:rsidRPr="00F54559">
        <w:rPr>
          <w:rFonts w:eastAsia="Times New Roman" w:cstheme="minorHAnsi"/>
          <w:spacing w:val="-1"/>
          <w:sz w:val="24"/>
        </w:rPr>
        <w:t>l</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ilit</w:t>
      </w:r>
      <w:r w:rsidRPr="00F54559">
        <w:rPr>
          <w:rFonts w:eastAsia="Times New Roman" w:cstheme="minorHAnsi"/>
          <w:spacing w:val="-1"/>
          <w:sz w:val="24"/>
        </w:rPr>
        <w:t>y</w:t>
      </w:r>
      <w:r w:rsidRPr="00F54559">
        <w:rPr>
          <w:rFonts w:eastAsia="Times New Roman" w:cstheme="minorHAnsi"/>
          <w:sz w:val="24"/>
        </w:rPr>
        <w:t>.</w:t>
      </w:r>
    </w:p>
    <w:p w14:paraId="6BA2221B" w14:textId="77777777" w:rsidR="00DD1612" w:rsidRPr="00F54559" w:rsidRDefault="00DD1612" w:rsidP="00DD1612">
      <w:pPr>
        <w:ind w:right="-7"/>
        <w:rPr>
          <w:rFonts w:eastAsia="Times New Roman" w:cstheme="minorHAnsi"/>
          <w:sz w:val="24"/>
        </w:rPr>
      </w:pPr>
      <w:r w:rsidRPr="00F54559">
        <w:rPr>
          <w:rFonts w:eastAsia="Times New Roman" w:cstheme="minorHAnsi"/>
          <w:spacing w:val="-2"/>
          <w:sz w:val="24"/>
        </w:rPr>
        <w:t>E</w:t>
      </w:r>
      <w:r w:rsidRPr="00F54559">
        <w:rPr>
          <w:rFonts w:eastAsia="Times New Roman" w:cstheme="minorHAnsi"/>
          <w:sz w:val="24"/>
        </w:rPr>
        <w:t>m</w:t>
      </w:r>
      <w:r w:rsidRPr="00F54559">
        <w:rPr>
          <w:rFonts w:eastAsia="Times New Roman" w:cstheme="minorHAnsi"/>
          <w:spacing w:val="-1"/>
          <w:sz w:val="24"/>
        </w:rPr>
        <w:t>p</w:t>
      </w:r>
      <w:r w:rsidRPr="00F54559">
        <w:rPr>
          <w:rFonts w:eastAsia="Times New Roman" w:cstheme="minorHAnsi"/>
          <w:sz w:val="24"/>
        </w:rPr>
        <w:t>l</w:t>
      </w:r>
      <w:r w:rsidRPr="00F54559">
        <w:rPr>
          <w:rFonts w:eastAsia="Times New Roman" w:cstheme="minorHAnsi"/>
          <w:spacing w:val="-1"/>
          <w:sz w:val="24"/>
        </w:rPr>
        <w:t>oy</w:t>
      </w:r>
      <w:r w:rsidRPr="00F54559">
        <w:rPr>
          <w:rFonts w:eastAsia="Times New Roman" w:cstheme="minorHAnsi"/>
          <w:sz w:val="24"/>
        </w:rPr>
        <w:t>e</w:t>
      </w:r>
      <w:r w:rsidRPr="00F54559">
        <w:rPr>
          <w:rFonts w:eastAsia="Times New Roman" w:cstheme="minorHAnsi"/>
          <w:spacing w:val="-1"/>
          <w:sz w:val="24"/>
        </w:rPr>
        <w:t>e</w:t>
      </w:r>
      <w:r w:rsidRPr="00F54559">
        <w:rPr>
          <w:rFonts w:eastAsia="Times New Roman" w:cstheme="minorHAnsi"/>
          <w:sz w:val="24"/>
        </w:rPr>
        <w:t>s</w:t>
      </w:r>
      <w:r w:rsidRPr="00F54559">
        <w:rPr>
          <w:rFonts w:eastAsia="Times New Roman" w:cstheme="minorHAnsi"/>
          <w:spacing w:val="-6"/>
          <w:sz w:val="24"/>
        </w:rPr>
        <w:t xml:space="preserve"> </w:t>
      </w:r>
      <w:r w:rsidRPr="00F54559">
        <w:rPr>
          <w:rFonts w:eastAsia="Times New Roman" w:cstheme="minorHAnsi"/>
          <w:sz w:val="24"/>
        </w:rPr>
        <w:t>do</w:t>
      </w:r>
      <w:r w:rsidRPr="00F54559">
        <w:rPr>
          <w:rFonts w:eastAsia="Times New Roman" w:cstheme="minorHAnsi"/>
          <w:spacing w:val="-7"/>
          <w:sz w:val="24"/>
        </w:rPr>
        <w:t xml:space="preserve"> </w:t>
      </w:r>
      <w:r w:rsidRPr="00F54559">
        <w:rPr>
          <w:rFonts w:eastAsia="Times New Roman" w:cstheme="minorHAnsi"/>
          <w:sz w:val="24"/>
        </w:rPr>
        <w:t>not</w:t>
      </w:r>
      <w:r w:rsidRPr="00F54559">
        <w:rPr>
          <w:rFonts w:eastAsia="Times New Roman" w:cstheme="minorHAnsi"/>
          <w:spacing w:val="-5"/>
          <w:sz w:val="24"/>
        </w:rPr>
        <w:t xml:space="preserve"> </w:t>
      </w:r>
      <w:r w:rsidRPr="00F54559">
        <w:rPr>
          <w:rFonts w:eastAsia="Times New Roman" w:cstheme="minorHAnsi"/>
          <w:sz w:val="24"/>
        </w:rPr>
        <w:t>ma</w:t>
      </w:r>
      <w:r w:rsidRPr="00F54559">
        <w:rPr>
          <w:rFonts w:eastAsia="Times New Roman" w:cstheme="minorHAnsi"/>
          <w:spacing w:val="1"/>
          <w:sz w:val="24"/>
        </w:rPr>
        <w:t>k</w:t>
      </w:r>
      <w:r w:rsidRPr="00F54559">
        <w:rPr>
          <w:rFonts w:eastAsia="Times New Roman" w:cstheme="minorHAnsi"/>
          <w:sz w:val="24"/>
        </w:rPr>
        <w:t>e</w:t>
      </w:r>
      <w:r w:rsidRPr="00F54559">
        <w:rPr>
          <w:rFonts w:eastAsia="Times New Roman" w:cstheme="minorHAnsi"/>
          <w:spacing w:val="-8"/>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ibutions</w:t>
      </w:r>
      <w:r w:rsidRPr="00F54559">
        <w:rPr>
          <w:rFonts w:eastAsia="Times New Roman" w:cstheme="minorHAnsi"/>
          <w:spacing w:val="-6"/>
          <w:sz w:val="24"/>
        </w:rPr>
        <w:t xml:space="preserve"> </w:t>
      </w:r>
      <w:r w:rsidRPr="00F54559">
        <w:rPr>
          <w:rFonts w:eastAsia="Times New Roman" w:cstheme="minorHAnsi"/>
          <w:sz w:val="24"/>
        </w:rPr>
        <w:t>under</w:t>
      </w:r>
      <w:r w:rsidRPr="00F54559">
        <w:rPr>
          <w:rFonts w:eastAsia="Times New Roman" w:cstheme="minorHAnsi"/>
          <w:spacing w:val="-8"/>
          <w:sz w:val="24"/>
        </w:rPr>
        <w:t xml:space="preserve"> </w:t>
      </w:r>
      <w:r w:rsidRPr="00F54559">
        <w:rPr>
          <w:rFonts w:eastAsia="Times New Roman" w:cstheme="minorHAnsi"/>
          <w:sz w:val="24"/>
        </w:rPr>
        <w:t>th</w:t>
      </w:r>
      <w:r>
        <w:rPr>
          <w:rFonts w:eastAsia="Times New Roman" w:cstheme="minorHAnsi"/>
          <w:sz w:val="24"/>
        </w:rPr>
        <w:t>is</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lan.</w:t>
      </w:r>
    </w:p>
    <w:p w14:paraId="46034977" w14:textId="77777777" w:rsidR="00DD1612" w:rsidRPr="00F54559" w:rsidRDefault="00DD1612" w:rsidP="00DD1612">
      <w:pPr>
        <w:ind w:left="180" w:right="-7"/>
        <w:rPr>
          <w:rFonts w:eastAsia="Times New Roman" w:cstheme="minorHAnsi"/>
        </w:rPr>
      </w:pPr>
    </w:p>
    <w:p w14:paraId="07262430" w14:textId="77777777" w:rsidR="00DD1612" w:rsidRPr="00F54559" w:rsidRDefault="00DD1612" w:rsidP="00DD1612">
      <w:pPr>
        <w:ind w:right="-7"/>
        <w:rPr>
          <w:rFonts w:eastAsia="Times New Roman" w:cstheme="minorHAnsi"/>
          <w:b/>
          <w:sz w:val="26"/>
          <w:szCs w:val="26"/>
        </w:rPr>
      </w:pPr>
      <w:r w:rsidRPr="00F54559">
        <w:rPr>
          <w:rFonts w:eastAsia="Times New Roman" w:cstheme="minorHAnsi"/>
          <w:b/>
          <w:sz w:val="26"/>
          <w:szCs w:val="26"/>
        </w:rPr>
        <w:t>Plan Investments</w:t>
      </w:r>
    </w:p>
    <w:p w14:paraId="5D4703A0" w14:textId="77777777" w:rsidR="00DD1612" w:rsidRPr="00F54559" w:rsidRDefault="00DD1612" w:rsidP="00DD1612">
      <w:pPr>
        <w:ind w:left="180" w:right="-7"/>
        <w:rPr>
          <w:rFonts w:eastAsia="Times New Roman" w:cstheme="minorHAnsi"/>
        </w:rPr>
      </w:pPr>
    </w:p>
    <w:p w14:paraId="08630831" w14:textId="71966535" w:rsidR="00DD1612" w:rsidRDefault="00DD1612" w:rsidP="00DD1612">
      <w:pPr>
        <w:ind w:right="-7"/>
        <w:rPr>
          <w:rFonts w:eastAsia="Times New Roman" w:cstheme="minorHAnsi"/>
          <w:spacing w:val="-1"/>
          <w:sz w:val="24"/>
        </w:rPr>
      </w:pPr>
      <w:r w:rsidRPr="00F54559">
        <w:rPr>
          <w:rFonts w:eastAsia="Times New Roman" w:cstheme="minorHAnsi"/>
          <w:b/>
          <w:i/>
          <w:spacing w:val="-1"/>
          <w:sz w:val="24"/>
        </w:rPr>
        <w:t>Me</w:t>
      </w:r>
      <w:r w:rsidR="00541C5C">
        <w:rPr>
          <w:rFonts w:eastAsia="Times New Roman" w:cstheme="minorHAnsi"/>
          <w:b/>
          <w:i/>
          <w:spacing w:val="-1"/>
          <w:sz w:val="24"/>
        </w:rPr>
        <w:t>thod Used to Value Investments:</w:t>
      </w:r>
      <w:r w:rsidRPr="00F54559">
        <w:rPr>
          <w:rFonts w:eastAsia="Times New Roman" w:cstheme="minorHAnsi"/>
          <w:b/>
          <w:i/>
          <w:spacing w:val="-1"/>
          <w:sz w:val="24"/>
        </w:rPr>
        <w:t xml:space="preserve"> </w:t>
      </w:r>
      <w:r w:rsidRPr="00F54559">
        <w:rPr>
          <w:rFonts w:eastAsia="Times New Roman" w:cstheme="minorHAnsi"/>
          <w:spacing w:val="-1"/>
          <w:sz w:val="24"/>
        </w:rPr>
        <w:t>Investmen</w:t>
      </w:r>
      <w:r w:rsidR="00541C5C">
        <w:rPr>
          <w:rFonts w:eastAsia="Times New Roman" w:cstheme="minorHAnsi"/>
          <w:spacing w:val="-1"/>
          <w:sz w:val="24"/>
        </w:rPr>
        <w:t xml:space="preserve">ts are reported at fair value. </w:t>
      </w:r>
      <w:r w:rsidRPr="00F54559">
        <w:rPr>
          <w:rFonts w:eastAsia="Times New Roman" w:cstheme="minorHAnsi"/>
          <w:spacing w:val="-1"/>
          <w:sz w:val="24"/>
        </w:rPr>
        <w:t>See Note 3 for information related to the fair value measurement, interest rate risk, and foreign currency risk associated with the Plan’s investments.</w:t>
      </w:r>
    </w:p>
    <w:p w14:paraId="5A3DE4F7" w14:textId="77777777" w:rsidR="00DD1612" w:rsidRPr="009014A7" w:rsidRDefault="00DD1612" w:rsidP="00DD1612">
      <w:pPr>
        <w:ind w:right="-7"/>
        <w:rPr>
          <w:rFonts w:eastAsia="Times New Roman" w:cstheme="minorHAnsi"/>
          <w:spacing w:val="-1"/>
          <w:sz w:val="24"/>
        </w:rPr>
      </w:pPr>
    </w:p>
    <w:p w14:paraId="1385B52B" w14:textId="3D05FA25" w:rsidR="00DD1612" w:rsidRPr="00F54559" w:rsidRDefault="00DD1612" w:rsidP="00DD1612">
      <w:pPr>
        <w:spacing w:after="240"/>
        <w:ind w:right="-7"/>
        <w:rPr>
          <w:rFonts w:eastAsia="Times New Roman" w:cstheme="minorHAnsi"/>
          <w:spacing w:val="-1"/>
          <w:sz w:val="24"/>
        </w:rPr>
      </w:pPr>
      <w:r w:rsidRPr="00F54559">
        <w:rPr>
          <w:rFonts w:eastAsia="Times New Roman" w:cstheme="minorHAnsi"/>
          <w:b/>
          <w:i/>
          <w:spacing w:val="-1"/>
          <w:sz w:val="24"/>
        </w:rPr>
        <w:t xml:space="preserve">Investment Policy: </w:t>
      </w:r>
      <w:r w:rsidRPr="00F54559">
        <w:rPr>
          <w:rFonts w:eastAsia="Times New Roman" w:cstheme="minorHAnsi"/>
          <w:spacing w:val="-1"/>
          <w:sz w:val="24"/>
        </w:rPr>
        <w:t>The Plan’s investments are diversified both by asset c</w:t>
      </w:r>
      <w:r w:rsidR="00541C5C">
        <w:rPr>
          <w:rFonts w:eastAsia="Times New Roman" w:cstheme="minorHAnsi"/>
          <w:spacing w:val="-1"/>
          <w:sz w:val="24"/>
        </w:rPr>
        <w:t xml:space="preserve">lass and within asset classes. </w:t>
      </w:r>
      <w:r w:rsidRPr="00F54559">
        <w:rPr>
          <w:rFonts w:eastAsia="Times New Roman" w:cstheme="minorHAnsi"/>
          <w:spacing w:val="-1"/>
          <w:sz w:val="24"/>
        </w:rPr>
        <w:t xml:space="preserve">To have a reasonable probability of consistently achieving the Plan’s return objectives, the following asset allocation policy ranges were </w:t>
      </w:r>
      <w:r>
        <w:rPr>
          <w:rFonts w:eastAsia="Times New Roman" w:cstheme="minorHAnsi"/>
          <w:spacing w:val="-1"/>
          <w:sz w:val="24"/>
        </w:rPr>
        <w:t xml:space="preserve">in </w:t>
      </w:r>
      <w:r w:rsidRPr="00F54559">
        <w:rPr>
          <w:rFonts w:eastAsia="Times New Roman" w:cstheme="minorHAnsi"/>
          <w:spacing w:val="-1"/>
          <w:sz w:val="24"/>
        </w:rPr>
        <w:t xml:space="preserve">effect as of June 20, </w:t>
      </w:r>
      <w:r w:rsidR="00C71650" w:rsidRPr="00F54559">
        <w:rPr>
          <w:rFonts w:eastAsia="Times New Roman" w:cstheme="minorHAnsi"/>
          <w:spacing w:val="-1"/>
          <w:sz w:val="24"/>
        </w:rPr>
        <w:t>20</w:t>
      </w:r>
      <w:r w:rsidR="00C71650">
        <w:rPr>
          <w:rFonts w:eastAsia="Times New Roman" w:cstheme="minorHAnsi"/>
          <w:spacing w:val="-1"/>
          <w:sz w:val="24"/>
        </w:rPr>
        <w:t>23</w:t>
      </w:r>
      <w:r w:rsidR="00C71650" w:rsidRPr="00F54559">
        <w:rPr>
          <w:rFonts w:eastAsia="Times New Roman" w:cstheme="minorHAnsi"/>
          <w:spacing w:val="-1"/>
          <w:sz w:val="24"/>
        </w:rPr>
        <w:t xml:space="preserve"> </w:t>
      </w:r>
      <w:r w:rsidRPr="00F54559">
        <w:rPr>
          <w:rFonts w:eastAsia="Times New Roman" w:cstheme="minorHAnsi"/>
          <w:spacing w:val="-1"/>
          <w:sz w:val="24"/>
        </w:rPr>
        <w:t xml:space="preserve">and </w:t>
      </w:r>
      <w:r w:rsidR="00C71650" w:rsidRPr="00F54559">
        <w:rPr>
          <w:rFonts w:eastAsia="Times New Roman" w:cstheme="minorHAnsi"/>
          <w:spacing w:val="-1"/>
          <w:sz w:val="24"/>
        </w:rPr>
        <w:t>20</w:t>
      </w:r>
      <w:r w:rsidR="00C71650">
        <w:rPr>
          <w:rFonts w:eastAsia="Times New Roman" w:cstheme="minorHAnsi"/>
          <w:spacing w:val="-1"/>
          <w:sz w:val="24"/>
        </w:rPr>
        <w:t>22</w:t>
      </w:r>
      <w:r w:rsidRPr="00F54559">
        <w:rPr>
          <w:rFonts w:eastAsia="Times New Roman" w:cstheme="minorHAnsi"/>
          <w:spacing w:val="-1"/>
          <w:sz w:val="24"/>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2790"/>
        <w:gridCol w:w="1350"/>
        <w:gridCol w:w="1350"/>
        <w:gridCol w:w="1350"/>
      </w:tblGrid>
      <w:tr w:rsidR="00DD1612" w:rsidRPr="00A454B4" w14:paraId="74F11CC0" w14:textId="77777777" w:rsidTr="00B045CF">
        <w:trPr>
          <w:trHeight w:val="234"/>
          <w:tblHeader/>
          <w:jc w:val="center"/>
        </w:trPr>
        <w:tc>
          <w:tcPr>
            <w:tcW w:w="2790" w:type="dxa"/>
          </w:tcPr>
          <w:p w14:paraId="0B83F982" w14:textId="77777777" w:rsidR="00DD1612" w:rsidRPr="001A18A6" w:rsidRDefault="00DD1612" w:rsidP="00BD375F">
            <w:pPr>
              <w:pStyle w:val="Heading4"/>
              <w:pBdr>
                <w:bottom w:val="none" w:sz="0" w:space="0" w:color="auto"/>
              </w:pBdr>
              <w:spacing w:after="0"/>
              <w:rPr>
                <w:rFonts w:cstheme="minorHAnsi"/>
                <w:i w:val="0"/>
                <w:sz w:val="22"/>
              </w:rPr>
            </w:pPr>
          </w:p>
        </w:tc>
        <w:tc>
          <w:tcPr>
            <w:tcW w:w="1350" w:type="dxa"/>
            <w:shd w:val="clear" w:color="auto" w:fill="auto"/>
          </w:tcPr>
          <w:p w14:paraId="61079D42" w14:textId="6D269C74" w:rsidR="00DD1612" w:rsidRPr="001A18A6" w:rsidRDefault="005D099A" w:rsidP="00C029A1">
            <w:pPr>
              <w:pStyle w:val="Heading4"/>
              <w:pBdr>
                <w:bottom w:val="none" w:sz="0" w:space="0" w:color="auto"/>
              </w:pBdr>
              <w:spacing w:after="0"/>
              <w:jc w:val="center"/>
              <w:rPr>
                <w:rFonts w:cstheme="minorHAnsi"/>
                <w:b/>
                <w:i w:val="0"/>
                <w:sz w:val="22"/>
              </w:rPr>
            </w:pPr>
            <w:r w:rsidRPr="001A18A6">
              <w:rPr>
                <w:rFonts w:cstheme="minorHAnsi"/>
                <w:b/>
                <w:i w:val="0"/>
                <w:sz w:val="22"/>
              </w:rPr>
              <w:t>202</w:t>
            </w:r>
            <w:r>
              <w:rPr>
                <w:rFonts w:cstheme="minorHAnsi"/>
                <w:b/>
                <w:i w:val="0"/>
                <w:sz w:val="22"/>
              </w:rPr>
              <w:t>3</w:t>
            </w:r>
          </w:p>
        </w:tc>
        <w:tc>
          <w:tcPr>
            <w:tcW w:w="1350" w:type="dxa"/>
          </w:tcPr>
          <w:p w14:paraId="7C28CD2E" w14:textId="77777777" w:rsidR="00DD1612" w:rsidRPr="001A18A6" w:rsidRDefault="00DD1612" w:rsidP="00BD375F">
            <w:pPr>
              <w:pStyle w:val="Heading4"/>
              <w:pBdr>
                <w:bottom w:val="none" w:sz="0" w:space="0" w:color="auto"/>
              </w:pBdr>
              <w:spacing w:after="0"/>
              <w:jc w:val="center"/>
              <w:rPr>
                <w:rFonts w:cstheme="minorHAnsi"/>
                <w:b/>
                <w:i w:val="0"/>
                <w:sz w:val="22"/>
              </w:rPr>
            </w:pPr>
          </w:p>
        </w:tc>
        <w:tc>
          <w:tcPr>
            <w:tcW w:w="1350" w:type="dxa"/>
            <w:shd w:val="clear" w:color="auto" w:fill="F2F2F2" w:themeFill="background1" w:themeFillShade="F2"/>
          </w:tcPr>
          <w:p w14:paraId="4454669B" w14:textId="682215F1" w:rsidR="00DD1612" w:rsidRPr="001A18A6" w:rsidRDefault="005D099A" w:rsidP="00C029A1">
            <w:pPr>
              <w:pStyle w:val="Heading4"/>
              <w:pBdr>
                <w:bottom w:val="none" w:sz="0" w:space="0" w:color="auto"/>
              </w:pBdr>
              <w:spacing w:after="0"/>
              <w:jc w:val="center"/>
              <w:rPr>
                <w:rFonts w:cstheme="minorHAnsi"/>
                <w:b/>
                <w:i w:val="0"/>
                <w:sz w:val="22"/>
              </w:rPr>
            </w:pPr>
            <w:r w:rsidRPr="001A18A6">
              <w:rPr>
                <w:rFonts w:cstheme="minorHAnsi"/>
                <w:b/>
                <w:i w:val="0"/>
                <w:sz w:val="22"/>
              </w:rPr>
              <w:t>20</w:t>
            </w:r>
            <w:r>
              <w:rPr>
                <w:rFonts w:cstheme="minorHAnsi"/>
                <w:b/>
                <w:i w:val="0"/>
                <w:sz w:val="22"/>
              </w:rPr>
              <w:t>22</w:t>
            </w:r>
          </w:p>
        </w:tc>
      </w:tr>
      <w:tr w:rsidR="00DD1612" w:rsidRPr="00A454B4" w14:paraId="3B564954" w14:textId="77777777" w:rsidTr="00B045CF">
        <w:trPr>
          <w:jc w:val="center"/>
        </w:trPr>
        <w:tc>
          <w:tcPr>
            <w:tcW w:w="2790" w:type="dxa"/>
          </w:tcPr>
          <w:p w14:paraId="60E8E6C9" w14:textId="77777777" w:rsidR="00DD1612" w:rsidRPr="001A18A6" w:rsidRDefault="00DD1612" w:rsidP="00BD375F">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Equity securities</w:t>
            </w:r>
          </w:p>
        </w:tc>
        <w:tc>
          <w:tcPr>
            <w:tcW w:w="1350" w:type="dxa"/>
            <w:shd w:val="clear" w:color="auto" w:fill="auto"/>
          </w:tcPr>
          <w:p w14:paraId="61EAA2BB" w14:textId="77777777" w:rsidR="00DD1612" w:rsidRPr="0048737B"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48737B">
              <w:rPr>
                <w:rFonts w:eastAsia="Times New Roman" w:cstheme="minorHAnsi"/>
                <w:bCs/>
                <w:color w:val="000000" w:themeColor="text1"/>
                <w:spacing w:val="-3"/>
                <w:szCs w:val="20"/>
              </w:rPr>
              <w:t>25-45%</w:t>
            </w:r>
          </w:p>
        </w:tc>
        <w:tc>
          <w:tcPr>
            <w:tcW w:w="1350" w:type="dxa"/>
          </w:tcPr>
          <w:p w14:paraId="0171C77D" w14:textId="77777777" w:rsidR="00DD1612" w:rsidRPr="001A18A6" w:rsidRDefault="00DD1612" w:rsidP="00BD375F">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F2F2F2" w:themeFill="background1" w:themeFillShade="F2"/>
          </w:tcPr>
          <w:p w14:paraId="04FEBAF0" w14:textId="77777777" w:rsidR="00DD1612" w:rsidRPr="001A18A6"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25-45%</w:t>
            </w:r>
          </w:p>
        </w:tc>
      </w:tr>
      <w:tr w:rsidR="00DD1612" w:rsidRPr="00A454B4" w14:paraId="23DEF031" w14:textId="77777777" w:rsidTr="00B045CF">
        <w:trPr>
          <w:jc w:val="center"/>
        </w:trPr>
        <w:tc>
          <w:tcPr>
            <w:tcW w:w="2790" w:type="dxa"/>
          </w:tcPr>
          <w:p w14:paraId="7847ED11" w14:textId="77777777" w:rsidR="00DD1612" w:rsidRPr="001A18A6" w:rsidRDefault="00DD1612" w:rsidP="00BD375F">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Fixed income securities</w:t>
            </w:r>
          </w:p>
        </w:tc>
        <w:tc>
          <w:tcPr>
            <w:tcW w:w="1350" w:type="dxa"/>
            <w:shd w:val="clear" w:color="auto" w:fill="auto"/>
          </w:tcPr>
          <w:p w14:paraId="7A5EA60D" w14:textId="39DB8DBB" w:rsidR="00DD1612" w:rsidRPr="0048737B"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48737B">
              <w:rPr>
                <w:rFonts w:eastAsia="Times New Roman" w:cstheme="minorHAnsi"/>
                <w:bCs/>
                <w:color w:val="000000" w:themeColor="text1"/>
                <w:spacing w:val="-3"/>
                <w:szCs w:val="20"/>
              </w:rPr>
              <w:t>3</w:t>
            </w:r>
            <w:r w:rsidR="00FC37B3" w:rsidRPr="0048737B">
              <w:rPr>
                <w:rFonts w:eastAsia="Times New Roman" w:cstheme="minorHAnsi"/>
                <w:bCs/>
                <w:color w:val="000000" w:themeColor="text1"/>
                <w:spacing w:val="-3"/>
                <w:szCs w:val="20"/>
              </w:rPr>
              <w:t>8</w:t>
            </w:r>
            <w:r w:rsidRPr="0048737B">
              <w:rPr>
                <w:rFonts w:eastAsia="Times New Roman" w:cstheme="minorHAnsi"/>
                <w:bCs/>
                <w:color w:val="000000" w:themeColor="text1"/>
                <w:spacing w:val="-3"/>
                <w:szCs w:val="20"/>
              </w:rPr>
              <w:t>-</w:t>
            </w:r>
            <w:r w:rsidR="00FC37B3" w:rsidRPr="0048737B">
              <w:rPr>
                <w:rFonts w:eastAsia="Times New Roman" w:cstheme="minorHAnsi"/>
                <w:bCs/>
                <w:color w:val="000000" w:themeColor="text1"/>
                <w:spacing w:val="-3"/>
                <w:szCs w:val="20"/>
              </w:rPr>
              <w:t>58</w:t>
            </w:r>
            <w:r w:rsidRPr="0048737B">
              <w:rPr>
                <w:rFonts w:eastAsia="Times New Roman" w:cstheme="minorHAnsi"/>
                <w:bCs/>
                <w:color w:val="000000" w:themeColor="text1"/>
                <w:spacing w:val="-3"/>
                <w:szCs w:val="20"/>
              </w:rPr>
              <w:t>%</w:t>
            </w:r>
          </w:p>
        </w:tc>
        <w:tc>
          <w:tcPr>
            <w:tcW w:w="1350" w:type="dxa"/>
          </w:tcPr>
          <w:p w14:paraId="1C152AC0" w14:textId="77777777" w:rsidR="00DD1612" w:rsidRPr="001A18A6" w:rsidRDefault="00DD1612" w:rsidP="00BD375F">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F2F2F2" w:themeFill="background1" w:themeFillShade="F2"/>
          </w:tcPr>
          <w:p w14:paraId="7315BC1F" w14:textId="77777777" w:rsidR="00DD1612" w:rsidRPr="001A18A6"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35-55%</w:t>
            </w:r>
          </w:p>
        </w:tc>
      </w:tr>
      <w:tr w:rsidR="00DD1612" w:rsidRPr="00A454B4" w14:paraId="606E2180" w14:textId="77777777" w:rsidTr="00B045CF">
        <w:trPr>
          <w:jc w:val="center"/>
        </w:trPr>
        <w:tc>
          <w:tcPr>
            <w:tcW w:w="2790" w:type="dxa"/>
          </w:tcPr>
          <w:p w14:paraId="3AB15640" w14:textId="77777777" w:rsidR="00DD1612" w:rsidRPr="001A18A6" w:rsidRDefault="00DD1612" w:rsidP="00BD375F">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Other</w:t>
            </w:r>
          </w:p>
        </w:tc>
        <w:tc>
          <w:tcPr>
            <w:tcW w:w="1350" w:type="dxa"/>
            <w:shd w:val="clear" w:color="auto" w:fill="auto"/>
          </w:tcPr>
          <w:p w14:paraId="4046B5E8" w14:textId="6541C97C" w:rsidR="00DD1612" w:rsidRPr="0048737B" w:rsidRDefault="00FC37B3"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48737B">
              <w:rPr>
                <w:rFonts w:eastAsia="Times New Roman" w:cstheme="minorHAnsi"/>
                <w:bCs/>
                <w:color w:val="000000" w:themeColor="text1"/>
                <w:spacing w:val="-3"/>
                <w:szCs w:val="20"/>
              </w:rPr>
              <w:t>10</w:t>
            </w:r>
            <w:r w:rsidR="003E72E3">
              <w:rPr>
                <w:rFonts w:eastAsia="Times New Roman" w:cstheme="minorHAnsi"/>
                <w:bCs/>
                <w:color w:val="000000" w:themeColor="text1"/>
                <w:spacing w:val="-3"/>
                <w:szCs w:val="20"/>
              </w:rPr>
              <w:t>-</w:t>
            </w:r>
            <w:r w:rsidRPr="0048737B">
              <w:rPr>
                <w:rFonts w:eastAsia="Times New Roman" w:cstheme="minorHAnsi"/>
                <w:bCs/>
                <w:color w:val="000000" w:themeColor="text1"/>
                <w:spacing w:val="-3"/>
                <w:szCs w:val="20"/>
              </w:rPr>
              <w:t>20</w:t>
            </w:r>
            <w:r w:rsidR="00DD1612" w:rsidRPr="0048737B">
              <w:rPr>
                <w:rFonts w:eastAsia="Times New Roman" w:cstheme="minorHAnsi"/>
                <w:bCs/>
                <w:color w:val="000000" w:themeColor="text1"/>
                <w:spacing w:val="-3"/>
                <w:szCs w:val="20"/>
              </w:rPr>
              <w:t>%</w:t>
            </w:r>
          </w:p>
        </w:tc>
        <w:tc>
          <w:tcPr>
            <w:tcW w:w="1350" w:type="dxa"/>
          </w:tcPr>
          <w:p w14:paraId="73BD6B41" w14:textId="77777777" w:rsidR="00DD1612" w:rsidRPr="001A18A6" w:rsidRDefault="00DD1612" w:rsidP="00BD375F">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F2F2F2" w:themeFill="background1" w:themeFillShade="F2"/>
          </w:tcPr>
          <w:p w14:paraId="44C8A4FC" w14:textId="77777777" w:rsidR="00DD1612" w:rsidRPr="001A18A6"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15-35%</w:t>
            </w:r>
          </w:p>
        </w:tc>
      </w:tr>
      <w:tr w:rsidR="00DD1612" w:rsidRPr="00A454B4" w14:paraId="3D856362" w14:textId="77777777" w:rsidTr="00B045CF">
        <w:trPr>
          <w:jc w:val="center"/>
        </w:trPr>
        <w:tc>
          <w:tcPr>
            <w:tcW w:w="2790" w:type="dxa"/>
          </w:tcPr>
          <w:p w14:paraId="7C08100D" w14:textId="77777777" w:rsidR="00DD1612" w:rsidRPr="001A18A6" w:rsidRDefault="00DD1612" w:rsidP="00BD375F">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Cash</w:t>
            </w:r>
          </w:p>
        </w:tc>
        <w:tc>
          <w:tcPr>
            <w:tcW w:w="1350" w:type="dxa"/>
            <w:shd w:val="clear" w:color="auto" w:fill="auto"/>
          </w:tcPr>
          <w:p w14:paraId="5C5CB9C8" w14:textId="77777777" w:rsidR="00DD1612" w:rsidRPr="0048737B"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48737B">
              <w:rPr>
                <w:rFonts w:eastAsia="Times New Roman" w:cstheme="minorHAnsi"/>
                <w:bCs/>
                <w:color w:val="000000" w:themeColor="text1"/>
                <w:spacing w:val="-3"/>
                <w:szCs w:val="20"/>
              </w:rPr>
              <w:t>0-10%</w:t>
            </w:r>
          </w:p>
        </w:tc>
        <w:tc>
          <w:tcPr>
            <w:tcW w:w="1350" w:type="dxa"/>
          </w:tcPr>
          <w:p w14:paraId="6C501F9F" w14:textId="77777777" w:rsidR="00DD1612" w:rsidRPr="001A18A6" w:rsidRDefault="00DD1612" w:rsidP="00BD375F">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F2F2F2" w:themeFill="background1" w:themeFillShade="F2"/>
          </w:tcPr>
          <w:p w14:paraId="58D9FB2A" w14:textId="77777777" w:rsidR="00DD1612" w:rsidRPr="001A18A6" w:rsidRDefault="00DD1612" w:rsidP="00BD375F">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0-10%</w:t>
            </w:r>
          </w:p>
        </w:tc>
      </w:tr>
    </w:tbl>
    <w:p w14:paraId="41427A5F" w14:textId="3C48ED8C" w:rsidR="00DD1612" w:rsidRPr="00F453D3" w:rsidRDefault="00DD1612" w:rsidP="008E43A4">
      <w:pPr>
        <w:spacing w:before="240" w:after="240"/>
        <w:ind w:right="-7"/>
        <w:rPr>
          <w:rFonts w:eastAsia="Times New Roman" w:cstheme="minorHAnsi"/>
          <w:spacing w:val="-1"/>
          <w:sz w:val="24"/>
        </w:rPr>
      </w:pPr>
      <w:r w:rsidRPr="00F54559">
        <w:rPr>
          <w:rFonts w:eastAsia="Times New Roman" w:cstheme="minorHAnsi"/>
          <w:b/>
          <w:i/>
          <w:spacing w:val="-1"/>
          <w:sz w:val="24"/>
        </w:rPr>
        <w:t xml:space="preserve">Rate of Return: </w:t>
      </w:r>
      <w:r w:rsidRPr="00F54559">
        <w:rPr>
          <w:rFonts w:eastAsia="Times New Roman" w:cstheme="minorHAnsi"/>
          <w:spacing w:val="-1"/>
          <w:sz w:val="24"/>
        </w:rPr>
        <w:t xml:space="preserve">For the years ended June 30, </w:t>
      </w:r>
      <w:r w:rsidR="00477100" w:rsidRPr="00F54559">
        <w:rPr>
          <w:rFonts w:eastAsia="Times New Roman" w:cstheme="minorHAnsi"/>
          <w:spacing w:val="-1"/>
          <w:sz w:val="24"/>
        </w:rPr>
        <w:t>20</w:t>
      </w:r>
      <w:r w:rsidR="00477100">
        <w:rPr>
          <w:rFonts w:eastAsia="Times New Roman" w:cstheme="minorHAnsi"/>
          <w:spacing w:val="-1"/>
          <w:sz w:val="24"/>
        </w:rPr>
        <w:t>23</w:t>
      </w:r>
      <w:r w:rsidR="00477100" w:rsidRPr="00F54559">
        <w:rPr>
          <w:rFonts w:eastAsia="Times New Roman" w:cstheme="minorHAnsi"/>
          <w:spacing w:val="-1"/>
          <w:sz w:val="24"/>
        </w:rPr>
        <w:t xml:space="preserve"> </w:t>
      </w:r>
      <w:r w:rsidRPr="00F54559">
        <w:rPr>
          <w:rFonts w:eastAsia="Times New Roman" w:cstheme="minorHAnsi"/>
          <w:spacing w:val="-1"/>
          <w:sz w:val="24"/>
        </w:rPr>
        <w:t xml:space="preserve">and </w:t>
      </w:r>
      <w:r w:rsidR="00477100" w:rsidRPr="00F54559">
        <w:rPr>
          <w:rFonts w:eastAsia="Times New Roman" w:cstheme="minorHAnsi"/>
          <w:spacing w:val="-1"/>
          <w:sz w:val="24"/>
        </w:rPr>
        <w:t>20</w:t>
      </w:r>
      <w:r w:rsidR="00477100">
        <w:rPr>
          <w:rFonts w:eastAsia="Times New Roman" w:cstheme="minorHAnsi"/>
          <w:spacing w:val="-1"/>
          <w:sz w:val="24"/>
        </w:rPr>
        <w:t>22</w:t>
      </w:r>
      <w:r w:rsidRPr="00F54559">
        <w:rPr>
          <w:rFonts w:eastAsia="Times New Roman" w:cstheme="minorHAnsi"/>
          <w:spacing w:val="-1"/>
          <w:sz w:val="24"/>
        </w:rPr>
        <w:t xml:space="preserve">, the annual money-weighted rate of return, net of investment expenses, was </w:t>
      </w:r>
      <w:r w:rsidR="00FD52DB" w:rsidRPr="00316B2A">
        <w:rPr>
          <w:rFonts w:eastAsia="Times New Roman" w:cstheme="minorHAnsi"/>
          <w:spacing w:val="-1"/>
          <w:sz w:val="24"/>
        </w:rPr>
        <w:t>6.53</w:t>
      </w:r>
      <w:r w:rsidRPr="00F54559">
        <w:rPr>
          <w:rFonts w:eastAsia="Times New Roman" w:cstheme="minorHAnsi"/>
          <w:spacing w:val="-1"/>
          <w:sz w:val="24"/>
        </w:rPr>
        <w:t xml:space="preserve">% and </w:t>
      </w:r>
      <w:r w:rsidR="00477100">
        <w:rPr>
          <w:rFonts w:eastAsia="Times New Roman" w:cstheme="minorHAnsi"/>
          <w:spacing w:val="-1"/>
          <w:sz w:val="24"/>
        </w:rPr>
        <w:t>-7.21</w:t>
      </w:r>
      <w:r w:rsidR="00477100" w:rsidRPr="00F54559">
        <w:rPr>
          <w:rFonts w:eastAsia="Times New Roman" w:cstheme="minorHAnsi"/>
          <w:spacing w:val="-1"/>
          <w:sz w:val="24"/>
        </w:rPr>
        <w:t>%</w:t>
      </w:r>
      <w:r w:rsidRPr="00F54559">
        <w:rPr>
          <w:rFonts w:eastAsia="Times New Roman" w:cstheme="minorHAnsi"/>
          <w:spacing w:val="-1"/>
          <w:sz w:val="24"/>
        </w:rPr>
        <w:t>, respectively.</w:t>
      </w:r>
    </w:p>
    <w:p w14:paraId="2E5D6B33" w14:textId="77777777" w:rsidR="00DD1612" w:rsidRPr="00F54559" w:rsidRDefault="00DD1612" w:rsidP="00DD1612">
      <w:pPr>
        <w:ind w:right="-7"/>
        <w:rPr>
          <w:rFonts w:eastAsia="Times New Roman" w:cstheme="minorHAnsi"/>
          <w:sz w:val="24"/>
        </w:rPr>
      </w:pPr>
      <w:r w:rsidRPr="00F54559">
        <w:rPr>
          <w:rFonts w:eastAsia="Times New Roman" w:cstheme="minorHAnsi"/>
          <w:b/>
          <w:sz w:val="26"/>
          <w:szCs w:val="26"/>
        </w:rPr>
        <w:t>Net Pension Liability</w:t>
      </w:r>
    </w:p>
    <w:p w14:paraId="50E65174" w14:textId="77777777" w:rsidR="00DD1612" w:rsidRPr="00F54559" w:rsidRDefault="00DD1612" w:rsidP="00DD1612">
      <w:pPr>
        <w:spacing w:before="120" w:after="240"/>
        <w:rPr>
          <w:rFonts w:eastAsia="Times New Roman" w:cstheme="minorHAnsi"/>
          <w:sz w:val="24"/>
        </w:rPr>
      </w:pPr>
      <w:r w:rsidRPr="00F54559">
        <w:rPr>
          <w:rFonts w:eastAsia="Times New Roman" w:cstheme="minorHAnsi"/>
          <w:sz w:val="24"/>
        </w:rPr>
        <w:t>The components of the net pension liability at the measurement date of June 30 were as follows:</w:t>
      </w:r>
      <w:r>
        <w:rPr>
          <w:rFonts w:eastAsia="Times New Roman" w:cstheme="minorHAnsi"/>
          <w:sz w:val="24"/>
        </w:rPr>
        <w:fldChar w:fldCharType="begin"/>
      </w:r>
      <w:r>
        <w:rPr>
          <w:rFonts w:eastAsia="Times New Roman" w:cstheme="minorHAnsi"/>
          <w:sz w:val="24"/>
        </w:rPr>
        <w:fldChar w:fldCharType="end"/>
      </w:r>
    </w:p>
    <w:tbl>
      <w:tblPr>
        <w:tblW w:w="8352" w:type="dxa"/>
        <w:jc w:val="center"/>
        <w:tblLook w:val="04A0" w:firstRow="1" w:lastRow="0" w:firstColumn="1" w:lastColumn="0" w:noHBand="0" w:noVBand="1"/>
      </w:tblPr>
      <w:tblGrid>
        <w:gridCol w:w="6244"/>
        <w:gridCol w:w="1044"/>
        <w:gridCol w:w="1064"/>
      </w:tblGrid>
      <w:tr w:rsidR="00DD1612" w:rsidRPr="006539B7" w14:paraId="68D196D8" w14:textId="77777777" w:rsidTr="0048737B">
        <w:trPr>
          <w:trHeight w:val="324"/>
          <w:tblHeader/>
          <w:jc w:val="center"/>
        </w:trPr>
        <w:tc>
          <w:tcPr>
            <w:tcW w:w="6244" w:type="dxa"/>
            <w:tcBorders>
              <w:top w:val="nil"/>
              <w:left w:val="nil"/>
              <w:bottom w:val="single" w:sz="12" w:space="0" w:color="00688D"/>
              <w:right w:val="nil"/>
            </w:tcBorders>
            <w:shd w:val="clear" w:color="000000" w:fill="FFFFFF"/>
            <w:noWrap/>
            <w:vAlign w:val="bottom"/>
            <w:hideMark/>
          </w:tcPr>
          <w:p w14:paraId="2ECFA562" w14:textId="77777777" w:rsidR="00DD1612" w:rsidRPr="006539B7" w:rsidRDefault="00DD1612" w:rsidP="00BD375F">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044" w:type="dxa"/>
            <w:tcBorders>
              <w:top w:val="nil"/>
              <w:left w:val="nil"/>
              <w:bottom w:val="single" w:sz="12" w:space="0" w:color="00688D"/>
              <w:right w:val="nil"/>
            </w:tcBorders>
            <w:shd w:val="clear" w:color="000000" w:fill="FFFFFF"/>
            <w:noWrap/>
            <w:vAlign w:val="bottom"/>
            <w:hideMark/>
          </w:tcPr>
          <w:p w14:paraId="6F087D0F" w14:textId="2C3C8E27" w:rsidR="00DD1612" w:rsidRPr="006539B7" w:rsidRDefault="00C71650" w:rsidP="0048737B">
            <w:pPr>
              <w:jc w:val="right"/>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3</w:t>
            </w:r>
          </w:p>
        </w:tc>
        <w:tc>
          <w:tcPr>
            <w:tcW w:w="1064" w:type="dxa"/>
            <w:tcBorders>
              <w:top w:val="nil"/>
              <w:left w:val="nil"/>
              <w:bottom w:val="single" w:sz="12" w:space="0" w:color="00688D"/>
              <w:right w:val="nil"/>
            </w:tcBorders>
            <w:shd w:val="clear" w:color="auto" w:fill="F2F2F2" w:themeFill="background1" w:themeFillShade="F2"/>
            <w:noWrap/>
            <w:vAlign w:val="bottom"/>
            <w:hideMark/>
          </w:tcPr>
          <w:p w14:paraId="33B2AE33" w14:textId="65205A05" w:rsidR="00DD1612" w:rsidRPr="006539B7" w:rsidRDefault="00C71650" w:rsidP="00C029A1">
            <w:pPr>
              <w:jc w:val="center"/>
              <w:rPr>
                <w:rFonts w:ascii="Calibri" w:eastAsia="Times New Roman" w:hAnsi="Calibri" w:cs="Calibri"/>
                <w:b/>
                <w:bCs/>
                <w:color w:val="0D0D0D"/>
              </w:rPr>
            </w:pPr>
            <w:r w:rsidRPr="006539B7">
              <w:rPr>
                <w:rFonts w:ascii="Calibri" w:eastAsia="Times New Roman" w:hAnsi="Calibri" w:cs="Calibri"/>
                <w:b/>
                <w:bCs/>
                <w:color w:val="0D0D0D"/>
              </w:rPr>
              <w:t>20</w:t>
            </w:r>
            <w:r>
              <w:rPr>
                <w:rFonts w:ascii="Calibri" w:eastAsia="Times New Roman" w:hAnsi="Calibri" w:cs="Calibri"/>
                <w:b/>
                <w:bCs/>
                <w:color w:val="0D0D0D"/>
              </w:rPr>
              <w:t>22</w:t>
            </w:r>
          </w:p>
        </w:tc>
      </w:tr>
      <w:tr w:rsidR="00C71650" w:rsidRPr="006539B7" w14:paraId="6A4EEA0E" w14:textId="77777777" w:rsidTr="00B045CF">
        <w:trPr>
          <w:trHeight w:val="324"/>
          <w:jc w:val="center"/>
        </w:trPr>
        <w:tc>
          <w:tcPr>
            <w:tcW w:w="6244" w:type="dxa"/>
            <w:tcBorders>
              <w:top w:val="nil"/>
              <w:left w:val="nil"/>
              <w:bottom w:val="nil"/>
              <w:right w:val="nil"/>
            </w:tcBorders>
            <w:shd w:val="clear" w:color="000000" w:fill="FFFFFF"/>
            <w:noWrap/>
            <w:vAlign w:val="bottom"/>
            <w:hideMark/>
          </w:tcPr>
          <w:p w14:paraId="4B94BEC6" w14:textId="77777777" w:rsidR="00C71650" w:rsidRPr="006539B7" w:rsidRDefault="00C71650" w:rsidP="00C71650">
            <w:pPr>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044" w:type="dxa"/>
            <w:tcBorders>
              <w:top w:val="nil"/>
              <w:left w:val="nil"/>
              <w:bottom w:val="nil"/>
              <w:right w:val="nil"/>
            </w:tcBorders>
            <w:shd w:val="clear" w:color="000000" w:fill="FFFFFF"/>
            <w:noWrap/>
            <w:vAlign w:val="bottom"/>
            <w:hideMark/>
          </w:tcPr>
          <w:p w14:paraId="246797C2" w14:textId="0CD2395A" w:rsidR="00C71650" w:rsidRPr="00A93FB3" w:rsidRDefault="00C71650" w:rsidP="00C029A1">
            <w:pPr>
              <w:jc w:val="right"/>
              <w:rPr>
                <w:rFonts w:ascii="Calibri" w:eastAsia="Times New Roman" w:hAnsi="Calibri" w:cs="Calibri"/>
              </w:rPr>
            </w:pPr>
            <w:r w:rsidRPr="00A93FB3">
              <w:rPr>
                <w:rFonts w:ascii="Calibri" w:eastAsia="Times New Roman" w:hAnsi="Calibri" w:cs="Calibri"/>
              </w:rPr>
              <w:t xml:space="preserve">$  </w:t>
            </w:r>
            <w:r>
              <w:rPr>
                <w:rFonts w:ascii="Calibri" w:eastAsia="Times New Roman" w:hAnsi="Calibri" w:cs="Calibri"/>
              </w:rPr>
              <w:t>29,698</w:t>
            </w:r>
          </w:p>
        </w:tc>
        <w:tc>
          <w:tcPr>
            <w:tcW w:w="1064" w:type="dxa"/>
            <w:tcBorders>
              <w:top w:val="nil"/>
              <w:left w:val="nil"/>
              <w:bottom w:val="nil"/>
              <w:right w:val="nil"/>
            </w:tcBorders>
            <w:shd w:val="clear" w:color="auto" w:fill="F2F2F2" w:themeFill="background1" w:themeFillShade="F2"/>
            <w:noWrap/>
            <w:vAlign w:val="bottom"/>
            <w:hideMark/>
          </w:tcPr>
          <w:p w14:paraId="3535C18C" w14:textId="2F44117C" w:rsidR="00C71650" w:rsidRPr="006539B7" w:rsidRDefault="00C71650" w:rsidP="0048737B">
            <w:pPr>
              <w:ind w:left="-409"/>
              <w:jc w:val="right"/>
              <w:rPr>
                <w:rFonts w:ascii="Calibri" w:eastAsia="Times New Roman" w:hAnsi="Calibri" w:cs="Calibri"/>
                <w:color w:val="0D0D0D"/>
              </w:rPr>
            </w:pPr>
            <w:r w:rsidRPr="00A93FB3">
              <w:rPr>
                <w:rFonts w:ascii="Calibri" w:eastAsia="Times New Roman" w:hAnsi="Calibri" w:cs="Calibri"/>
              </w:rPr>
              <w:t>$  32,044</w:t>
            </w:r>
          </w:p>
        </w:tc>
      </w:tr>
      <w:tr w:rsidR="00C71650" w:rsidRPr="006539B7" w14:paraId="61D3B724" w14:textId="77777777" w:rsidTr="00B045CF">
        <w:trPr>
          <w:trHeight w:val="312"/>
          <w:jc w:val="center"/>
        </w:trPr>
        <w:tc>
          <w:tcPr>
            <w:tcW w:w="6244" w:type="dxa"/>
            <w:tcBorders>
              <w:top w:val="nil"/>
              <w:left w:val="nil"/>
              <w:bottom w:val="nil"/>
              <w:right w:val="nil"/>
            </w:tcBorders>
            <w:shd w:val="clear" w:color="000000" w:fill="FFFFFF"/>
            <w:noWrap/>
            <w:vAlign w:val="bottom"/>
            <w:hideMark/>
          </w:tcPr>
          <w:p w14:paraId="7075FEE3" w14:textId="77777777" w:rsidR="00C71650" w:rsidRPr="006539B7" w:rsidRDefault="00C71650" w:rsidP="00C71650">
            <w:pPr>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044" w:type="dxa"/>
            <w:tcBorders>
              <w:top w:val="nil"/>
              <w:left w:val="nil"/>
              <w:bottom w:val="nil"/>
              <w:right w:val="nil"/>
            </w:tcBorders>
            <w:shd w:val="clear" w:color="000000" w:fill="FFFFFF"/>
            <w:noWrap/>
            <w:vAlign w:val="bottom"/>
            <w:hideMark/>
          </w:tcPr>
          <w:p w14:paraId="79C04891" w14:textId="021DFFED" w:rsidR="00C71650" w:rsidRPr="00A93FB3" w:rsidRDefault="00C71650" w:rsidP="00C029A1">
            <w:pPr>
              <w:jc w:val="right"/>
              <w:rPr>
                <w:rFonts w:ascii="Calibri" w:eastAsia="Times New Roman" w:hAnsi="Calibri" w:cs="Calibri"/>
              </w:rPr>
            </w:pPr>
            <w:r w:rsidRPr="00A93FB3">
              <w:rPr>
                <w:rFonts w:ascii="Calibri" w:eastAsia="Times New Roman" w:hAnsi="Calibri" w:cs="Calibri"/>
              </w:rPr>
              <w:t>(</w:t>
            </w:r>
            <w:r>
              <w:rPr>
                <w:rFonts w:ascii="Calibri" w:eastAsia="Times New Roman" w:hAnsi="Calibri" w:cs="Calibri"/>
              </w:rPr>
              <w:t>18</w:t>
            </w:r>
            <w:r w:rsidR="00EF5707">
              <w:rPr>
                <w:rFonts w:ascii="Calibri" w:eastAsia="Times New Roman" w:hAnsi="Calibri" w:cs="Calibri"/>
              </w:rPr>
              <w:t>,</w:t>
            </w:r>
            <w:r>
              <w:rPr>
                <w:rFonts w:ascii="Calibri" w:eastAsia="Times New Roman" w:hAnsi="Calibri" w:cs="Calibri"/>
              </w:rPr>
              <w:t>987</w:t>
            </w:r>
            <w:r w:rsidRPr="00A93FB3">
              <w:rPr>
                <w:rFonts w:ascii="Calibri" w:eastAsia="Times New Roman" w:hAnsi="Calibri" w:cs="Calibri"/>
              </w:rPr>
              <w:t>)</w:t>
            </w:r>
          </w:p>
        </w:tc>
        <w:tc>
          <w:tcPr>
            <w:tcW w:w="1064" w:type="dxa"/>
            <w:tcBorders>
              <w:top w:val="nil"/>
              <w:left w:val="nil"/>
              <w:bottom w:val="nil"/>
              <w:right w:val="nil"/>
            </w:tcBorders>
            <w:shd w:val="clear" w:color="auto" w:fill="F2F2F2" w:themeFill="background1" w:themeFillShade="F2"/>
            <w:noWrap/>
            <w:vAlign w:val="bottom"/>
            <w:hideMark/>
          </w:tcPr>
          <w:p w14:paraId="60ACD77D" w14:textId="2F92FA66" w:rsidR="00C71650" w:rsidRPr="006539B7" w:rsidRDefault="00C71650" w:rsidP="0048737B">
            <w:pPr>
              <w:ind w:left="-409"/>
              <w:jc w:val="right"/>
              <w:rPr>
                <w:rFonts w:ascii="Calibri" w:eastAsia="Times New Roman" w:hAnsi="Calibri" w:cs="Calibri"/>
                <w:color w:val="0D0D0D"/>
              </w:rPr>
            </w:pPr>
            <w:r w:rsidRPr="00A93FB3">
              <w:rPr>
                <w:rFonts w:ascii="Calibri" w:eastAsia="Times New Roman" w:hAnsi="Calibri" w:cs="Calibri"/>
              </w:rPr>
              <w:t>(20,392)</w:t>
            </w:r>
          </w:p>
        </w:tc>
      </w:tr>
      <w:tr w:rsidR="00C71650" w:rsidRPr="006539B7" w14:paraId="33DE58E6" w14:textId="77777777" w:rsidTr="00B045CF">
        <w:trPr>
          <w:trHeight w:val="360"/>
          <w:jc w:val="center"/>
        </w:trPr>
        <w:tc>
          <w:tcPr>
            <w:tcW w:w="6244" w:type="dxa"/>
            <w:tcBorders>
              <w:top w:val="single" w:sz="4" w:space="0" w:color="00688D"/>
              <w:left w:val="nil"/>
              <w:bottom w:val="double" w:sz="6" w:space="0" w:color="00688D"/>
              <w:right w:val="nil"/>
            </w:tcBorders>
            <w:shd w:val="clear" w:color="000000" w:fill="FFFFFF"/>
            <w:noWrap/>
            <w:vAlign w:val="bottom"/>
            <w:hideMark/>
          </w:tcPr>
          <w:p w14:paraId="1225CD07" w14:textId="77777777" w:rsidR="00C71650" w:rsidRPr="006539B7" w:rsidRDefault="00C71650" w:rsidP="00C71650">
            <w:pPr>
              <w:rPr>
                <w:rFonts w:ascii="Calibri" w:eastAsia="Times New Roman" w:hAnsi="Calibri" w:cs="Calibri"/>
                <w:color w:val="0D0D0D"/>
              </w:rPr>
            </w:pPr>
            <w:r w:rsidRPr="006539B7">
              <w:rPr>
                <w:rFonts w:ascii="Calibri" w:eastAsia="Times New Roman" w:hAnsi="Calibri" w:cs="Calibri"/>
                <w:color w:val="0D0D0D"/>
              </w:rPr>
              <w:t>Net pension liability</w:t>
            </w:r>
          </w:p>
        </w:tc>
        <w:tc>
          <w:tcPr>
            <w:tcW w:w="1044" w:type="dxa"/>
            <w:tcBorders>
              <w:top w:val="single" w:sz="4" w:space="0" w:color="00688D"/>
              <w:left w:val="nil"/>
              <w:bottom w:val="double" w:sz="6" w:space="0" w:color="00688D"/>
              <w:right w:val="nil"/>
            </w:tcBorders>
            <w:shd w:val="clear" w:color="000000" w:fill="FFFFFF"/>
            <w:noWrap/>
            <w:vAlign w:val="bottom"/>
            <w:hideMark/>
          </w:tcPr>
          <w:p w14:paraId="4F373D10" w14:textId="262A703C" w:rsidR="00C71650" w:rsidRPr="00A93FB3" w:rsidRDefault="00C71650" w:rsidP="00EC1896">
            <w:pPr>
              <w:jc w:val="right"/>
              <w:rPr>
                <w:rFonts w:ascii="Calibri" w:eastAsia="Times New Roman" w:hAnsi="Calibri" w:cs="Calibri"/>
              </w:rPr>
            </w:pPr>
            <w:r w:rsidRPr="00A93FB3">
              <w:rPr>
                <w:rFonts w:ascii="Calibri" w:eastAsia="Times New Roman" w:hAnsi="Calibri" w:cs="Calibri"/>
              </w:rPr>
              <w:t>$  1</w:t>
            </w:r>
            <w:r>
              <w:rPr>
                <w:rFonts w:ascii="Calibri" w:eastAsia="Times New Roman" w:hAnsi="Calibri" w:cs="Calibri"/>
              </w:rPr>
              <w:t>0</w:t>
            </w:r>
            <w:r w:rsidR="00477203">
              <w:rPr>
                <w:rFonts w:ascii="Calibri" w:eastAsia="Times New Roman" w:hAnsi="Calibri" w:cs="Calibri"/>
              </w:rPr>
              <w:t>,</w:t>
            </w:r>
            <w:r>
              <w:rPr>
                <w:rFonts w:ascii="Calibri" w:eastAsia="Times New Roman" w:hAnsi="Calibri" w:cs="Calibri"/>
              </w:rPr>
              <w:t>711</w:t>
            </w:r>
          </w:p>
        </w:tc>
        <w:tc>
          <w:tcPr>
            <w:tcW w:w="1064"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152E7F82" w14:textId="7F2E2BCA" w:rsidR="00C71650" w:rsidRPr="006539B7" w:rsidRDefault="00C71650" w:rsidP="0048737B">
            <w:pPr>
              <w:ind w:left="-409"/>
              <w:jc w:val="right"/>
              <w:rPr>
                <w:rFonts w:ascii="Calibri" w:eastAsia="Times New Roman" w:hAnsi="Calibri" w:cs="Calibri"/>
                <w:color w:val="0D0D0D"/>
              </w:rPr>
            </w:pPr>
            <w:r w:rsidRPr="00A93FB3">
              <w:rPr>
                <w:rFonts w:ascii="Calibri" w:eastAsia="Times New Roman" w:hAnsi="Calibri" w:cs="Calibri"/>
              </w:rPr>
              <w:t>$  11,652</w:t>
            </w:r>
          </w:p>
        </w:tc>
      </w:tr>
      <w:tr w:rsidR="00C71650" w:rsidRPr="006539B7" w14:paraId="588811F2" w14:textId="77777777" w:rsidTr="00B045CF">
        <w:trPr>
          <w:trHeight w:val="540"/>
          <w:jc w:val="center"/>
        </w:trPr>
        <w:tc>
          <w:tcPr>
            <w:tcW w:w="6244" w:type="dxa"/>
            <w:tcBorders>
              <w:top w:val="nil"/>
              <w:left w:val="nil"/>
              <w:bottom w:val="single" w:sz="8" w:space="0" w:color="00688D"/>
              <w:right w:val="nil"/>
            </w:tcBorders>
            <w:shd w:val="clear" w:color="000000" w:fill="FFFFFF"/>
            <w:vAlign w:val="bottom"/>
            <w:hideMark/>
          </w:tcPr>
          <w:p w14:paraId="74052BA5" w14:textId="77777777" w:rsidR="00C71650" w:rsidRPr="006539B7" w:rsidRDefault="00C71650" w:rsidP="00C71650">
            <w:pPr>
              <w:rPr>
                <w:rFonts w:ascii="Calibri" w:eastAsia="Times New Roman" w:hAnsi="Calibri" w:cs="Calibri"/>
                <w:color w:val="0D0D0D"/>
              </w:rPr>
            </w:pPr>
            <w:r w:rsidRPr="006539B7">
              <w:rPr>
                <w:rFonts w:ascii="Calibri" w:eastAsia="Times New Roman" w:hAnsi="Calibri" w:cs="Calibri"/>
                <w:color w:val="0D0D0D"/>
              </w:rPr>
              <w:t>Fiduciary net position as a percentage of the total pension liability</w:t>
            </w:r>
          </w:p>
        </w:tc>
        <w:tc>
          <w:tcPr>
            <w:tcW w:w="1044" w:type="dxa"/>
            <w:tcBorders>
              <w:top w:val="nil"/>
              <w:left w:val="nil"/>
              <w:bottom w:val="single" w:sz="8" w:space="0" w:color="00688D"/>
              <w:right w:val="nil"/>
            </w:tcBorders>
            <w:shd w:val="clear" w:color="000000" w:fill="FFFFFF"/>
            <w:noWrap/>
            <w:vAlign w:val="bottom"/>
            <w:hideMark/>
          </w:tcPr>
          <w:p w14:paraId="05684CB6" w14:textId="146940AD" w:rsidR="00C71650" w:rsidRPr="00A93FB3" w:rsidRDefault="00C71650" w:rsidP="00C029A1">
            <w:pPr>
              <w:jc w:val="right"/>
              <w:rPr>
                <w:rFonts w:ascii="Calibri" w:eastAsia="Times New Roman" w:hAnsi="Calibri" w:cs="Calibri"/>
              </w:rPr>
            </w:pPr>
            <w:r w:rsidRPr="00A93FB3">
              <w:rPr>
                <w:rFonts w:ascii="Calibri" w:eastAsia="Times New Roman" w:hAnsi="Calibri" w:cs="Calibri"/>
              </w:rPr>
              <w:t>63.</w:t>
            </w:r>
            <w:r>
              <w:rPr>
                <w:rFonts w:ascii="Calibri" w:eastAsia="Times New Roman" w:hAnsi="Calibri" w:cs="Calibri"/>
              </w:rPr>
              <w:t>9</w:t>
            </w:r>
            <w:r w:rsidRPr="00A93FB3">
              <w:rPr>
                <w:rFonts w:ascii="Calibri" w:eastAsia="Times New Roman" w:hAnsi="Calibri" w:cs="Calibri"/>
              </w:rPr>
              <w:t>%</w:t>
            </w:r>
          </w:p>
        </w:tc>
        <w:tc>
          <w:tcPr>
            <w:tcW w:w="1064" w:type="dxa"/>
            <w:tcBorders>
              <w:top w:val="nil"/>
              <w:left w:val="nil"/>
              <w:bottom w:val="single" w:sz="8" w:space="0" w:color="00688D"/>
              <w:right w:val="nil"/>
            </w:tcBorders>
            <w:shd w:val="clear" w:color="auto" w:fill="F2F2F2" w:themeFill="background1" w:themeFillShade="F2"/>
            <w:noWrap/>
            <w:vAlign w:val="bottom"/>
            <w:hideMark/>
          </w:tcPr>
          <w:p w14:paraId="0D5387A9" w14:textId="143E0B6D" w:rsidR="00C71650" w:rsidRPr="006539B7" w:rsidRDefault="00C71650" w:rsidP="0048737B">
            <w:pPr>
              <w:ind w:left="-409"/>
              <w:jc w:val="right"/>
              <w:rPr>
                <w:rFonts w:ascii="Calibri" w:eastAsia="Times New Roman" w:hAnsi="Calibri" w:cs="Calibri"/>
                <w:color w:val="0D0D0D"/>
              </w:rPr>
            </w:pPr>
            <w:r w:rsidRPr="00A93FB3">
              <w:rPr>
                <w:rFonts w:ascii="Calibri" w:eastAsia="Times New Roman" w:hAnsi="Calibri" w:cs="Calibri"/>
              </w:rPr>
              <w:t>63.6%</w:t>
            </w:r>
          </w:p>
        </w:tc>
      </w:tr>
    </w:tbl>
    <w:p w14:paraId="7725498D" w14:textId="77777777" w:rsidR="00DD1612" w:rsidRDefault="00DD1612" w:rsidP="00DD1612">
      <w:pPr>
        <w:widowControl w:val="0"/>
        <w:spacing w:before="240" w:after="160"/>
        <w:rPr>
          <w:rFonts w:eastAsia="Times New Roman" w:cstheme="minorHAnsi"/>
          <w:bCs/>
          <w:iCs/>
          <w:spacing w:val="-1"/>
          <w:sz w:val="18"/>
          <w:szCs w:val="16"/>
        </w:rPr>
      </w:pPr>
      <w:r w:rsidRPr="00F54559">
        <w:rPr>
          <w:rFonts w:eastAsia="Franklin Gothic Book" w:cstheme="minorHAnsi"/>
          <w:spacing w:val="-1"/>
          <w:sz w:val="24"/>
        </w:rPr>
        <w:t>For purposes of determining fiduciary net position, benefits are recorded when paid.</w:t>
      </w:r>
      <w:r>
        <w:rPr>
          <w:rFonts w:eastAsia="Times New Roman" w:cstheme="minorHAnsi"/>
          <w:bCs/>
          <w:iCs/>
          <w:spacing w:val="-1"/>
          <w:sz w:val="18"/>
          <w:szCs w:val="16"/>
        </w:rPr>
        <w:br w:type="page"/>
      </w:r>
    </w:p>
    <w:p w14:paraId="6C83A1DA" w14:textId="77777777" w:rsidR="00DD1612" w:rsidRPr="00C95891" w:rsidRDefault="00DD1612" w:rsidP="00DD1612">
      <w:pPr>
        <w:widowControl w:val="0"/>
        <w:rPr>
          <w:rFonts w:eastAsia="Times New Roman" w:cstheme="minorHAnsi"/>
          <w:bCs/>
          <w:iCs/>
          <w:spacing w:val="-1"/>
          <w:sz w:val="18"/>
          <w:szCs w:val="16"/>
        </w:rPr>
      </w:pPr>
      <w:r w:rsidRPr="00F54559">
        <w:rPr>
          <w:rFonts w:cstheme="minorHAnsi"/>
          <w:b/>
          <w:i/>
          <w:sz w:val="26"/>
          <w:u w:val="single" w:color="000000" w:themeColor="text1"/>
        </w:rPr>
        <w:lastRenderedPageBreak/>
        <w:t>13d. Defined Benefit Plan – Classified Employees – continued</w:t>
      </w:r>
    </w:p>
    <w:p w14:paraId="10E51D50" w14:textId="57279F4B" w:rsidR="00DD1612" w:rsidRPr="009014A7" w:rsidRDefault="00DD1612" w:rsidP="00DD1612">
      <w:pPr>
        <w:spacing w:before="240" w:after="160"/>
        <w:ind w:right="-7"/>
        <w:rPr>
          <w:rFonts w:eastAsia="Franklin Gothic Book" w:cstheme="minorHAnsi"/>
          <w:spacing w:val="-1"/>
          <w:sz w:val="20"/>
          <w:szCs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The total pension liability as of June 30, </w:t>
      </w:r>
      <w:r w:rsidR="002A6E89" w:rsidRPr="00F54559">
        <w:rPr>
          <w:rFonts w:eastAsia="Franklin Gothic Book" w:cstheme="minorHAnsi"/>
          <w:spacing w:val="-1"/>
          <w:sz w:val="24"/>
        </w:rPr>
        <w:t>20</w:t>
      </w:r>
      <w:r w:rsidR="002A6E89">
        <w:rPr>
          <w:rFonts w:eastAsia="Franklin Gothic Book" w:cstheme="minorHAnsi"/>
          <w:spacing w:val="-1"/>
          <w:sz w:val="24"/>
        </w:rPr>
        <w:t>23</w:t>
      </w:r>
      <w:r w:rsidR="002A6E89" w:rsidRPr="00F54559">
        <w:rPr>
          <w:rFonts w:eastAsia="Franklin Gothic Book" w:cstheme="minorHAnsi"/>
          <w:spacing w:val="-1"/>
          <w:sz w:val="24"/>
        </w:rPr>
        <w:t xml:space="preserve"> </w:t>
      </w:r>
      <w:r w:rsidRPr="00F54559">
        <w:rPr>
          <w:rFonts w:eastAsia="Franklin Gothic Book" w:cstheme="minorHAnsi"/>
          <w:spacing w:val="-1"/>
          <w:sz w:val="24"/>
        </w:rPr>
        <w:t xml:space="preserve">and </w:t>
      </w:r>
      <w:r w:rsidR="002A6E89" w:rsidRPr="00F54559">
        <w:rPr>
          <w:rFonts w:eastAsia="Franklin Gothic Book" w:cstheme="minorHAnsi"/>
          <w:spacing w:val="-1"/>
          <w:sz w:val="24"/>
        </w:rPr>
        <w:t>20</w:t>
      </w:r>
      <w:r w:rsidR="002A6E89">
        <w:rPr>
          <w:rFonts w:eastAsia="Franklin Gothic Book" w:cstheme="minorHAnsi"/>
          <w:spacing w:val="-1"/>
          <w:sz w:val="24"/>
        </w:rPr>
        <w:t>22</w:t>
      </w:r>
      <w:r w:rsidR="002A6E89" w:rsidRPr="00F54559">
        <w:rPr>
          <w:rFonts w:eastAsia="Franklin Gothic Book" w:cstheme="minorHAnsi"/>
          <w:spacing w:val="-1"/>
          <w:sz w:val="24"/>
        </w:rPr>
        <w:t xml:space="preserve"> </w:t>
      </w:r>
      <w:r w:rsidRPr="00F54559">
        <w:rPr>
          <w:rFonts w:eastAsia="Franklin Gothic Book" w:cstheme="minorHAnsi"/>
          <w:spacing w:val="-1"/>
          <w:sz w:val="24"/>
        </w:rPr>
        <w:t xml:space="preserve">was determined by an actuarial valuation as of </w:t>
      </w:r>
      <w:r w:rsidR="002A6E89">
        <w:rPr>
          <w:rFonts w:eastAsia="Franklin Gothic Book" w:cstheme="minorHAnsi"/>
          <w:spacing w:val="-1"/>
          <w:sz w:val="24"/>
        </w:rPr>
        <w:t xml:space="preserve">July 1, 2023 and as of </w:t>
      </w:r>
      <w:r w:rsidRPr="002F393E">
        <w:rPr>
          <w:rFonts w:eastAsia="Franklin Gothic Book" w:cstheme="minorHAnsi"/>
          <w:spacing w:val="-1"/>
          <w:sz w:val="24"/>
        </w:rPr>
        <w:t xml:space="preserve">July 1, 2021 </w:t>
      </w:r>
      <w:r w:rsidRPr="003959B0">
        <w:rPr>
          <w:rFonts w:eastAsia="Franklin Gothic Book" w:cstheme="minorHAnsi"/>
          <w:spacing w:val="-1"/>
          <w:sz w:val="24"/>
        </w:rPr>
        <w:t>rolled forward to the measurement date of June 30, 2022</w:t>
      </w:r>
      <w:r w:rsidRPr="002F393E">
        <w:rPr>
          <w:rFonts w:eastAsia="Franklin Gothic Book" w:cstheme="minorHAnsi"/>
          <w:spacing w:val="-1"/>
          <w:sz w:val="24"/>
        </w:rPr>
        <w:t>,</w:t>
      </w:r>
      <w:r>
        <w:rPr>
          <w:rFonts w:eastAsia="Franklin Gothic Book" w:cstheme="minorHAnsi"/>
          <w:spacing w:val="-1"/>
          <w:sz w:val="24"/>
        </w:rPr>
        <w:t xml:space="preserve"> </w:t>
      </w:r>
      <w:r w:rsidRPr="002F393E">
        <w:rPr>
          <w:rFonts w:eastAsia="Franklin Gothic Book" w:cstheme="minorHAnsi"/>
          <w:spacing w:val="-1"/>
          <w:sz w:val="24"/>
        </w:rPr>
        <w:t xml:space="preserve">respectively, using the following actuarial </w:t>
      </w:r>
      <w:r w:rsidRPr="00F54559">
        <w:rPr>
          <w:rFonts w:eastAsia="Franklin Gothic Book" w:cstheme="minorHAnsi"/>
          <w:spacing w:val="-1"/>
          <w:sz w:val="24"/>
        </w:rPr>
        <w:t>assumptions, applied to all periods included in the measurement</w:t>
      </w:r>
      <w:r w:rsidR="00311908">
        <w:rPr>
          <w:rFonts w:eastAsia="Franklin Gothic Book" w:cstheme="minorHAnsi"/>
          <w:spacing w:val="-1"/>
          <w:sz w:val="24"/>
        </w:rPr>
        <w:t>.</w:t>
      </w:r>
    </w:p>
    <w:p w14:paraId="40A235F1" w14:textId="77777777" w:rsidR="00DD1612" w:rsidRPr="0040387A" w:rsidRDefault="00DD1612" w:rsidP="00DD1612">
      <w:pPr>
        <w:widowControl w:val="0"/>
        <w:pBdr>
          <w:top w:val="single" w:sz="4" w:space="1" w:color="00688D"/>
        </w:pBdr>
        <w:tabs>
          <w:tab w:val="left" w:pos="3510"/>
        </w:tabs>
        <w:ind w:left="540" w:right="360"/>
        <w:rPr>
          <w:rFonts w:eastAsia="Franklin Gothic Book" w:cstheme="minorHAnsi"/>
          <w:sz w:val="24"/>
          <w:szCs w:val="24"/>
        </w:rPr>
      </w:pPr>
      <w:r w:rsidRPr="0040387A">
        <w:rPr>
          <w:rFonts w:eastAsia="Franklin Gothic Book" w:cstheme="minorHAnsi"/>
          <w:sz w:val="24"/>
          <w:szCs w:val="24"/>
        </w:rPr>
        <w:t>Actuarial cost method</w:t>
      </w:r>
      <w:r w:rsidRPr="0040387A">
        <w:rPr>
          <w:rFonts w:eastAsia="Franklin Gothic Book" w:cstheme="minorHAnsi"/>
          <w:sz w:val="24"/>
          <w:szCs w:val="24"/>
        </w:rPr>
        <w:tab/>
        <w:t>Entry age normal</w:t>
      </w:r>
    </w:p>
    <w:p w14:paraId="29FC3B04" w14:textId="77777777" w:rsidR="00DD1612" w:rsidRPr="0040387A" w:rsidRDefault="00DD1612" w:rsidP="00DD1612">
      <w:pPr>
        <w:widowControl w:val="0"/>
        <w:pBdr>
          <w:top w:val="single" w:sz="4" w:space="1" w:color="00688D"/>
        </w:pBdr>
        <w:tabs>
          <w:tab w:val="left" w:pos="3510"/>
        </w:tabs>
        <w:ind w:left="2160" w:right="360" w:hanging="1620"/>
        <w:rPr>
          <w:rFonts w:eastAsia="Franklin Gothic Book" w:cstheme="minorHAnsi"/>
          <w:sz w:val="24"/>
          <w:szCs w:val="24"/>
        </w:rPr>
      </w:pPr>
      <w:r w:rsidRPr="0040387A">
        <w:rPr>
          <w:rFonts w:eastAsia="Franklin Gothic Book" w:cstheme="minorHAnsi"/>
          <w:sz w:val="24"/>
          <w:szCs w:val="24"/>
        </w:rPr>
        <w:t>Actuarial asset method</w:t>
      </w:r>
      <w:r w:rsidRPr="0040387A">
        <w:rPr>
          <w:rFonts w:eastAsia="Franklin Gothic Book" w:cstheme="minorHAnsi"/>
          <w:sz w:val="24"/>
          <w:szCs w:val="24"/>
        </w:rPr>
        <w:tab/>
      </w:r>
      <w:proofErr w:type="gramStart"/>
      <w:r w:rsidRPr="0040387A">
        <w:rPr>
          <w:rFonts w:eastAsia="Franklin Gothic Book" w:cstheme="minorHAnsi"/>
          <w:sz w:val="24"/>
          <w:szCs w:val="24"/>
        </w:rPr>
        <w:t>The</w:t>
      </w:r>
      <w:proofErr w:type="gramEnd"/>
      <w:r w:rsidRPr="0040387A">
        <w:rPr>
          <w:rFonts w:eastAsia="Franklin Gothic Book" w:cstheme="minorHAnsi"/>
          <w:sz w:val="24"/>
          <w:szCs w:val="24"/>
        </w:rPr>
        <w:t xml:space="preserve"> actuarial value of assets is the market value of </w:t>
      </w:r>
      <w:r w:rsidRPr="0040387A">
        <w:rPr>
          <w:rFonts w:eastAsia="Franklin Gothic Book" w:cstheme="minorHAnsi"/>
          <w:sz w:val="24"/>
          <w:szCs w:val="24"/>
        </w:rPr>
        <w:tab/>
        <w:t>assets</w:t>
      </w:r>
    </w:p>
    <w:p w14:paraId="4C70C179" w14:textId="24C79B0A" w:rsidR="00DD1612" w:rsidRPr="0040387A" w:rsidRDefault="00DD1612" w:rsidP="0048737B">
      <w:pPr>
        <w:widowControl w:val="0"/>
        <w:tabs>
          <w:tab w:val="left" w:pos="3510"/>
        </w:tabs>
        <w:ind w:left="3510" w:right="360" w:hanging="2970"/>
        <w:rPr>
          <w:rFonts w:eastAsia="Franklin Gothic Book" w:cstheme="minorHAnsi"/>
          <w:sz w:val="24"/>
          <w:szCs w:val="24"/>
        </w:rPr>
      </w:pPr>
      <w:r w:rsidRPr="0040387A">
        <w:rPr>
          <w:rFonts w:eastAsia="Franklin Gothic Book" w:cstheme="minorHAnsi"/>
          <w:sz w:val="24"/>
          <w:szCs w:val="24"/>
        </w:rPr>
        <w:t>Inflation</w:t>
      </w:r>
      <w:r w:rsidRPr="0040387A">
        <w:rPr>
          <w:rFonts w:eastAsia="Franklin Gothic Book" w:cstheme="minorHAnsi"/>
          <w:sz w:val="24"/>
          <w:szCs w:val="24"/>
        </w:rPr>
        <w:tab/>
      </w:r>
      <w:r w:rsidR="00CB0A00">
        <w:rPr>
          <w:rFonts w:eastAsia="Franklin Gothic Book" w:cstheme="minorHAnsi"/>
          <w:sz w:val="24"/>
          <w:szCs w:val="24"/>
        </w:rPr>
        <w:t>2.7%</w:t>
      </w:r>
      <w:r w:rsidR="00874534">
        <w:rPr>
          <w:rFonts w:eastAsia="Franklin Gothic Book" w:cstheme="minorHAnsi"/>
          <w:sz w:val="24"/>
          <w:szCs w:val="24"/>
        </w:rPr>
        <w:t xml:space="preserve"> and</w:t>
      </w:r>
      <w:r w:rsidR="00CB0A00">
        <w:rPr>
          <w:rFonts w:eastAsia="Franklin Gothic Book" w:cstheme="minorHAnsi"/>
          <w:sz w:val="24"/>
          <w:szCs w:val="24"/>
        </w:rPr>
        <w:t xml:space="preserve"> </w:t>
      </w:r>
      <w:r w:rsidRPr="0040387A">
        <w:rPr>
          <w:rFonts w:eastAsia="Franklin Gothic Book" w:cstheme="minorHAnsi"/>
          <w:sz w:val="24"/>
          <w:szCs w:val="24"/>
        </w:rPr>
        <w:t xml:space="preserve">2.5% as of June 30, </w:t>
      </w:r>
      <w:r w:rsidR="00CB0A00" w:rsidRPr="0040387A">
        <w:rPr>
          <w:rFonts w:eastAsia="Franklin Gothic Book" w:cstheme="minorHAnsi"/>
          <w:sz w:val="24"/>
          <w:szCs w:val="24"/>
        </w:rPr>
        <w:t>202</w:t>
      </w:r>
      <w:r w:rsidR="00CB0A00">
        <w:rPr>
          <w:rFonts w:eastAsia="Franklin Gothic Book" w:cstheme="minorHAnsi"/>
          <w:sz w:val="24"/>
          <w:szCs w:val="24"/>
        </w:rPr>
        <w:t>3</w:t>
      </w:r>
      <w:r w:rsidR="00CB0A00" w:rsidRPr="00A93FB3">
        <w:rPr>
          <w:rFonts w:eastAsia="Franklin Gothic Book" w:cstheme="minorHAnsi"/>
          <w:sz w:val="24"/>
          <w:szCs w:val="24"/>
        </w:rPr>
        <w:t xml:space="preserve"> </w:t>
      </w:r>
      <w:r w:rsidRPr="00A93FB3">
        <w:rPr>
          <w:rFonts w:eastAsia="Franklin Gothic Book" w:cstheme="minorHAnsi"/>
          <w:sz w:val="24"/>
          <w:szCs w:val="24"/>
        </w:rPr>
        <w:t xml:space="preserve">and </w:t>
      </w:r>
      <w:r w:rsidR="00CB0A00" w:rsidRPr="00A93FB3">
        <w:rPr>
          <w:rFonts w:eastAsia="Franklin Gothic Book" w:cstheme="minorHAnsi"/>
          <w:sz w:val="24"/>
          <w:szCs w:val="24"/>
        </w:rPr>
        <w:t>202</w:t>
      </w:r>
      <w:r w:rsidR="00CB0A00">
        <w:rPr>
          <w:rFonts w:eastAsia="Franklin Gothic Book" w:cstheme="minorHAnsi"/>
          <w:sz w:val="24"/>
          <w:szCs w:val="24"/>
        </w:rPr>
        <w:t>2 respectively</w:t>
      </w:r>
      <w:r w:rsidRPr="0040387A">
        <w:rPr>
          <w:rFonts w:eastAsia="Franklin Gothic Book" w:cstheme="minorHAnsi"/>
          <w:sz w:val="24"/>
          <w:szCs w:val="24"/>
        </w:rPr>
        <w:tab/>
      </w:r>
    </w:p>
    <w:p w14:paraId="1CBB2191" w14:textId="77777777" w:rsidR="00DD1612" w:rsidRPr="0040387A" w:rsidRDefault="00DD1612" w:rsidP="00DD1612">
      <w:pPr>
        <w:widowControl w:val="0"/>
        <w:tabs>
          <w:tab w:val="left" w:pos="3510"/>
        </w:tabs>
        <w:ind w:left="540" w:right="360"/>
        <w:rPr>
          <w:rFonts w:eastAsia="Franklin Gothic Book" w:cstheme="minorHAnsi"/>
          <w:sz w:val="24"/>
          <w:szCs w:val="24"/>
        </w:rPr>
      </w:pPr>
      <w:r w:rsidRPr="0040387A">
        <w:rPr>
          <w:rFonts w:eastAsia="Franklin Gothic Book" w:cstheme="minorHAnsi"/>
          <w:sz w:val="24"/>
          <w:szCs w:val="24"/>
        </w:rPr>
        <w:t>Salary increases</w:t>
      </w:r>
      <w:r w:rsidRPr="0040387A">
        <w:rPr>
          <w:rFonts w:eastAsia="Franklin Gothic Book" w:cstheme="minorHAnsi"/>
          <w:sz w:val="24"/>
          <w:szCs w:val="24"/>
        </w:rPr>
        <w:tab/>
        <w:t>3.5% for all years</w:t>
      </w:r>
    </w:p>
    <w:p w14:paraId="52036CA6" w14:textId="77777777" w:rsidR="00DD1612" w:rsidRPr="0040387A" w:rsidRDefault="00DD1612" w:rsidP="00DD1612">
      <w:pPr>
        <w:widowControl w:val="0"/>
        <w:tabs>
          <w:tab w:val="left" w:pos="3510"/>
        </w:tabs>
        <w:ind w:left="540" w:right="360"/>
        <w:rPr>
          <w:rFonts w:eastAsia="Franklin Gothic Book" w:cstheme="minorHAnsi"/>
          <w:sz w:val="24"/>
          <w:szCs w:val="24"/>
        </w:rPr>
      </w:pPr>
      <w:r w:rsidRPr="0040387A">
        <w:rPr>
          <w:rFonts w:eastAsia="Franklin Gothic Book" w:cstheme="minorHAnsi"/>
          <w:sz w:val="24"/>
          <w:szCs w:val="24"/>
        </w:rPr>
        <w:t>Investment rate of return</w:t>
      </w:r>
      <w:r w:rsidRPr="0040387A">
        <w:rPr>
          <w:rFonts w:eastAsia="Franklin Gothic Book" w:cstheme="minorHAnsi"/>
          <w:sz w:val="24"/>
          <w:szCs w:val="24"/>
        </w:rPr>
        <w:tab/>
        <w:t>6.25% net of investment expenses, including inflation</w:t>
      </w:r>
    </w:p>
    <w:p w14:paraId="686C0640" w14:textId="57DB0F09" w:rsidR="00DD1612" w:rsidRPr="0040387A" w:rsidRDefault="00DD1612" w:rsidP="00DD1612">
      <w:pPr>
        <w:widowControl w:val="0"/>
        <w:pBdr>
          <w:bottom w:val="single" w:sz="4" w:space="1" w:color="00688D"/>
        </w:pBdr>
        <w:tabs>
          <w:tab w:val="left" w:pos="3510"/>
        </w:tabs>
        <w:ind w:left="3516" w:right="360" w:hanging="2976"/>
        <w:rPr>
          <w:rFonts w:eastAsia="Franklin Gothic Book" w:cstheme="minorHAnsi"/>
          <w:sz w:val="24"/>
          <w:szCs w:val="24"/>
        </w:rPr>
      </w:pPr>
      <w:r w:rsidRPr="0040387A">
        <w:rPr>
          <w:rFonts w:eastAsia="Franklin Gothic Book" w:cstheme="minorHAnsi"/>
          <w:sz w:val="24"/>
          <w:szCs w:val="24"/>
        </w:rPr>
        <w:t>Life expectancy</w:t>
      </w:r>
      <w:r w:rsidRPr="0040387A">
        <w:rPr>
          <w:rFonts w:eastAsia="Franklin Gothic Book" w:cstheme="minorHAnsi"/>
          <w:sz w:val="24"/>
          <w:szCs w:val="24"/>
        </w:rPr>
        <w:tab/>
      </w:r>
      <w:r w:rsidR="00CB0A00" w:rsidRPr="00A93FB3">
        <w:rPr>
          <w:rFonts w:eastAsia="Franklin Gothic Book" w:cstheme="minorHAnsi"/>
          <w:sz w:val="24"/>
          <w:szCs w:val="24"/>
        </w:rPr>
        <w:t>202</w:t>
      </w:r>
      <w:r w:rsidR="00CB0A00">
        <w:rPr>
          <w:rFonts w:eastAsia="Franklin Gothic Book" w:cstheme="minorHAnsi"/>
          <w:sz w:val="24"/>
          <w:szCs w:val="24"/>
        </w:rPr>
        <w:t>3</w:t>
      </w:r>
      <w:r w:rsidR="00CB0A00" w:rsidRPr="00A93FB3">
        <w:rPr>
          <w:rFonts w:eastAsia="Franklin Gothic Book" w:cstheme="minorHAnsi"/>
          <w:sz w:val="24"/>
          <w:szCs w:val="24"/>
        </w:rPr>
        <w:t xml:space="preserve"> and </w:t>
      </w:r>
      <w:r w:rsidR="00CB0A00" w:rsidRPr="00B86B5A">
        <w:rPr>
          <w:rFonts w:eastAsia="Franklin Gothic Book" w:cstheme="minorHAnsi"/>
          <w:sz w:val="24"/>
          <w:szCs w:val="24"/>
        </w:rPr>
        <w:t>202</w:t>
      </w:r>
      <w:r w:rsidR="00CB0A00">
        <w:rPr>
          <w:rFonts w:eastAsia="Franklin Gothic Book" w:cstheme="minorHAnsi"/>
          <w:sz w:val="24"/>
          <w:szCs w:val="24"/>
        </w:rPr>
        <w:t>2</w:t>
      </w:r>
      <w:r w:rsidR="00CB0A00" w:rsidRPr="00B86B5A">
        <w:rPr>
          <w:rFonts w:eastAsia="Franklin Gothic Book" w:cstheme="minorHAnsi"/>
          <w:sz w:val="24"/>
          <w:szCs w:val="24"/>
        </w:rPr>
        <w:t xml:space="preserve">: </w:t>
      </w:r>
      <w:r w:rsidR="00CB0A00" w:rsidRPr="0040387A">
        <w:rPr>
          <w:rFonts w:eastAsia="Franklin Gothic Book" w:cstheme="minorHAnsi"/>
          <w:sz w:val="24"/>
          <w:szCs w:val="24"/>
        </w:rPr>
        <w:t>Pre-retirement and post-retirement mortality</w:t>
      </w:r>
      <w:r w:rsidR="00CB0A00" w:rsidRPr="00B86B5A">
        <w:rPr>
          <w:rFonts w:eastAsia="Franklin Gothic Book" w:cstheme="minorHAnsi"/>
          <w:sz w:val="24"/>
          <w:szCs w:val="24"/>
        </w:rPr>
        <w:t xml:space="preserve"> rates were based on the Pub-2010 Mortality Table projected with Scale MP-202</w:t>
      </w:r>
      <w:r w:rsidR="003E72E3">
        <w:rPr>
          <w:rFonts w:eastAsia="Franklin Gothic Book" w:cstheme="minorHAnsi"/>
          <w:sz w:val="24"/>
          <w:szCs w:val="24"/>
        </w:rPr>
        <w:t xml:space="preserve">1 and Scale </w:t>
      </w:r>
      <w:r w:rsidR="00CB0A00">
        <w:rPr>
          <w:rFonts w:eastAsia="Franklin Gothic Book" w:cstheme="minorHAnsi"/>
          <w:sz w:val="24"/>
          <w:szCs w:val="24"/>
        </w:rPr>
        <w:t xml:space="preserve">MP2020, respectively. </w:t>
      </w:r>
      <w:r w:rsidRPr="0040387A">
        <w:rPr>
          <w:rFonts w:eastAsia="Franklin Gothic Book" w:cstheme="minorHAnsi"/>
          <w:spacing w:val="-1"/>
          <w:sz w:val="24"/>
          <w:szCs w:val="24"/>
        </w:rPr>
        <w:t xml:space="preserve">For disabled lives, the mortality rates were based on the Pub-2010 amount-weighted Disabled Mortality Table with </w:t>
      </w:r>
      <w:r w:rsidR="00CB0A00" w:rsidRPr="00B86B5A">
        <w:rPr>
          <w:rFonts w:eastAsia="Franklin Gothic Book" w:cstheme="minorHAnsi"/>
          <w:sz w:val="24"/>
          <w:szCs w:val="24"/>
        </w:rPr>
        <w:t>Scale MP-202</w:t>
      </w:r>
      <w:r w:rsidR="00CB0A00">
        <w:rPr>
          <w:rFonts w:eastAsia="Franklin Gothic Book" w:cstheme="minorHAnsi"/>
          <w:sz w:val="24"/>
          <w:szCs w:val="24"/>
        </w:rPr>
        <w:t>1 and Scale MP2020, respectively.</w:t>
      </w:r>
    </w:p>
    <w:p w14:paraId="1338BF50" w14:textId="77777777" w:rsidR="00DD1612" w:rsidRDefault="00DD1612" w:rsidP="00DD1612">
      <w:pPr>
        <w:widowControl w:val="0"/>
        <w:spacing w:before="120" w:after="160"/>
        <w:ind w:right="-7"/>
        <w:rPr>
          <w:rFonts w:eastAsia="Franklin Gothic Book" w:cstheme="minorHAnsi"/>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the P</w:t>
      </w:r>
      <w:r w:rsidRPr="00F54559">
        <w:rPr>
          <w:rFonts w:eastAsia="Franklin Gothic Book" w:cstheme="minorHAnsi"/>
          <w:sz w:val="24"/>
        </w:rPr>
        <w:t>lan’s</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34"/>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p</w:t>
      </w:r>
      <w:r w:rsidRPr="00F54559">
        <w:rPr>
          <w:rFonts w:eastAsia="Franklin Gothic Book" w:cstheme="minorHAnsi"/>
          <w:sz w:val="24"/>
        </w:rPr>
        <w:t>ension</w:t>
      </w:r>
      <w:r w:rsidRPr="00F54559">
        <w:rPr>
          <w:rFonts w:eastAsia="Franklin Gothic Book" w:cstheme="minorHAnsi"/>
          <w:spacing w:val="-5"/>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b/>
          <w:i/>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p w14:paraId="03100F6C" w14:textId="4AB15CA0" w:rsidR="00DD1612" w:rsidRDefault="00DD1612" w:rsidP="00B64C2B">
      <w:pPr>
        <w:spacing w:after="240" w:line="259" w:lineRule="auto"/>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00311908">
        <w:rPr>
          <w:rFonts w:eastAsia="Franklin Gothic Book" w:cstheme="minorHAnsi"/>
          <w:spacing w:val="-1"/>
          <w:sz w:val="24"/>
        </w:rPr>
        <w:t>.</w:t>
      </w:r>
    </w:p>
    <w:tbl>
      <w:tblPr>
        <w:tblW w:w="8208" w:type="dxa"/>
        <w:jc w:val="center"/>
        <w:tblLook w:val="04A0" w:firstRow="1" w:lastRow="0" w:firstColumn="1" w:lastColumn="0" w:noHBand="0" w:noVBand="1"/>
      </w:tblPr>
      <w:tblGrid>
        <w:gridCol w:w="2550"/>
        <w:gridCol w:w="1244"/>
        <w:gridCol w:w="1585"/>
        <w:gridCol w:w="1244"/>
        <w:gridCol w:w="1585"/>
      </w:tblGrid>
      <w:tr w:rsidR="00DD1612" w:rsidRPr="006539B7" w14:paraId="41CD7D3D" w14:textId="77777777" w:rsidTr="00B045CF">
        <w:trPr>
          <w:trHeight w:val="189"/>
          <w:tblHeader/>
          <w:jc w:val="center"/>
        </w:trPr>
        <w:tc>
          <w:tcPr>
            <w:tcW w:w="2550" w:type="dxa"/>
            <w:tcBorders>
              <w:top w:val="nil"/>
              <w:left w:val="nil"/>
              <w:bottom w:val="nil"/>
              <w:right w:val="nil"/>
            </w:tcBorders>
            <w:shd w:val="clear" w:color="000000" w:fill="FFFFFF"/>
            <w:noWrap/>
            <w:vAlign w:val="bottom"/>
            <w:hideMark/>
          </w:tcPr>
          <w:p w14:paraId="30B6063E" w14:textId="1C4162A5" w:rsidR="00DD1612" w:rsidRPr="006539B7" w:rsidRDefault="00DD1612" w:rsidP="00BD375F">
            <w:pPr>
              <w:rPr>
                <w:rFonts w:ascii="Calibri" w:eastAsia="Times New Roman" w:hAnsi="Calibri" w:cs="Calibri"/>
                <w:b/>
                <w:bCs/>
                <w:color w:val="0D0D0D"/>
              </w:rPr>
            </w:pPr>
            <w:r>
              <w:rPr>
                <w:rFonts w:eastAsia="Franklin Gothic Book" w:cstheme="minorHAnsi"/>
                <w:sz w:val="24"/>
              </w:rPr>
              <w:fldChar w:fldCharType="begin"/>
            </w:r>
            <w:r>
              <w:rPr>
                <w:rFonts w:eastAsia="Franklin Gothic Book" w:cstheme="minorHAnsi"/>
                <w:sz w:val="24"/>
              </w:rPr>
              <w:fldChar w:fldCharType="end"/>
            </w:r>
            <w:r w:rsidRPr="006539B7">
              <w:rPr>
                <w:rFonts w:ascii="Calibri" w:eastAsia="Times New Roman" w:hAnsi="Calibri" w:cs="Calibri"/>
                <w:b/>
                <w:bCs/>
                <w:color w:val="0D0D0D"/>
              </w:rPr>
              <w:t> </w:t>
            </w:r>
          </w:p>
        </w:tc>
        <w:tc>
          <w:tcPr>
            <w:tcW w:w="1244" w:type="dxa"/>
            <w:tcBorders>
              <w:top w:val="nil"/>
              <w:left w:val="nil"/>
              <w:bottom w:val="single" w:sz="12" w:space="0" w:color="00688D"/>
              <w:right w:val="nil"/>
            </w:tcBorders>
            <w:shd w:val="clear" w:color="000000" w:fill="FFFFFF"/>
            <w:vAlign w:val="bottom"/>
            <w:hideMark/>
          </w:tcPr>
          <w:p w14:paraId="521A4925" w14:textId="77777777" w:rsidR="00DD1612" w:rsidRPr="006539B7" w:rsidRDefault="00DD1612" w:rsidP="00BD375F">
            <w:pPr>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000000" w:fill="FFFFFF"/>
            <w:vAlign w:val="bottom"/>
          </w:tcPr>
          <w:p w14:paraId="5574FB5D" w14:textId="3E655DC0" w:rsidR="00DD1612" w:rsidRPr="006539B7" w:rsidRDefault="00271052" w:rsidP="00C029A1">
            <w:pPr>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3</w:t>
            </w:r>
          </w:p>
        </w:tc>
        <w:tc>
          <w:tcPr>
            <w:tcW w:w="1244" w:type="dxa"/>
            <w:tcBorders>
              <w:top w:val="nil"/>
              <w:left w:val="nil"/>
              <w:bottom w:val="single" w:sz="12" w:space="0" w:color="00688D"/>
              <w:right w:val="nil"/>
            </w:tcBorders>
            <w:shd w:val="clear" w:color="auto" w:fill="F2F2F2" w:themeFill="background1" w:themeFillShade="F2"/>
            <w:vAlign w:val="bottom"/>
            <w:hideMark/>
          </w:tcPr>
          <w:p w14:paraId="03DC0059" w14:textId="77777777" w:rsidR="00DD1612" w:rsidRPr="006539B7" w:rsidRDefault="00DD1612" w:rsidP="00BD375F">
            <w:pPr>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auto" w:fill="F2F2F2" w:themeFill="background1" w:themeFillShade="F2"/>
            <w:vAlign w:val="bottom"/>
          </w:tcPr>
          <w:p w14:paraId="2A05F67A" w14:textId="5E92C397" w:rsidR="00DD1612" w:rsidRPr="006539B7" w:rsidRDefault="00271052" w:rsidP="00C029A1">
            <w:pPr>
              <w:rPr>
                <w:rFonts w:ascii="Calibri" w:eastAsia="Times New Roman" w:hAnsi="Calibri" w:cs="Calibri"/>
                <w:b/>
                <w:bCs/>
                <w:color w:val="0D0D0D"/>
              </w:rPr>
            </w:pPr>
            <w:r>
              <w:rPr>
                <w:rFonts w:ascii="Calibri" w:eastAsia="Times New Roman" w:hAnsi="Calibri" w:cs="Calibri"/>
                <w:b/>
                <w:bCs/>
                <w:color w:val="0D0D0D"/>
              </w:rPr>
              <w:t>2022</w:t>
            </w:r>
          </w:p>
        </w:tc>
      </w:tr>
      <w:tr w:rsidR="00DD1612" w:rsidRPr="006539B7" w14:paraId="509A92CF" w14:textId="77777777" w:rsidTr="00B045CF">
        <w:trPr>
          <w:trHeight w:val="924"/>
          <w:tblHeader/>
          <w:jc w:val="center"/>
        </w:trPr>
        <w:tc>
          <w:tcPr>
            <w:tcW w:w="2550" w:type="dxa"/>
            <w:tcBorders>
              <w:top w:val="nil"/>
              <w:left w:val="nil"/>
              <w:bottom w:val="single" w:sz="12" w:space="0" w:color="00688D"/>
              <w:right w:val="nil"/>
            </w:tcBorders>
            <w:shd w:val="clear" w:color="000000" w:fill="FFFFFF"/>
            <w:noWrap/>
            <w:vAlign w:val="bottom"/>
            <w:hideMark/>
          </w:tcPr>
          <w:p w14:paraId="034A5B9D" w14:textId="77777777" w:rsidR="00DD1612" w:rsidRPr="006539B7" w:rsidRDefault="00DD1612" w:rsidP="00BD375F">
            <w:pPr>
              <w:rPr>
                <w:rFonts w:ascii="Calibri" w:eastAsia="Times New Roman" w:hAnsi="Calibri" w:cs="Calibri"/>
                <w:b/>
                <w:bCs/>
                <w:color w:val="0D0D0D"/>
              </w:rPr>
            </w:pPr>
            <w:r w:rsidRPr="006539B7">
              <w:rPr>
                <w:rFonts w:ascii="Calibri" w:eastAsia="Times New Roman" w:hAnsi="Calibri" w:cs="Calibri"/>
                <w:b/>
                <w:bCs/>
                <w:color w:val="0D0D0D"/>
              </w:rPr>
              <w:t>Asset Class</w:t>
            </w:r>
          </w:p>
        </w:tc>
        <w:tc>
          <w:tcPr>
            <w:tcW w:w="1244" w:type="dxa"/>
            <w:tcBorders>
              <w:top w:val="nil"/>
              <w:left w:val="nil"/>
              <w:bottom w:val="single" w:sz="12" w:space="0" w:color="00688D"/>
              <w:right w:val="nil"/>
            </w:tcBorders>
            <w:shd w:val="clear" w:color="000000" w:fill="FFFFFF"/>
            <w:vAlign w:val="bottom"/>
            <w:hideMark/>
          </w:tcPr>
          <w:p w14:paraId="56A95054" w14:textId="77777777" w:rsidR="00DD1612" w:rsidRPr="006539B7" w:rsidRDefault="00DD1612" w:rsidP="00BD375F">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000000" w:fill="FFFFFF"/>
            <w:vAlign w:val="bottom"/>
            <w:hideMark/>
          </w:tcPr>
          <w:p w14:paraId="387B8C7F" w14:textId="77777777" w:rsidR="00DD1612" w:rsidRPr="006539B7" w:rsidRDefault="00DD1612" w:rsidP="00BD375F">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c>
          <w:tcPr>
            <w:tcW w:w="1244" w:type="dxa"/>
            <w:tcBorders>
              <w:top w:val="nil"/>
              <w:left w:val="nil"/>
              <w:bottom w:val="single" w:sz="12" w:space="0" w:color="00688D"/>
              <w:right w:val="nil"/>
            </w:tcBorders>
            <w:shd w:val="clear" w:color="auto" w:fill="F2F2F2" w:themeFill="background1" w:themeFillShade="F2"/>
            <w:vAlign w:val="bottom"/>
            <w:hideMark/>
          </w:tcPr>
          <w:p w14:paraId="76C9B6C8" w14:textId="77777777" w:rsidR="00DD1612" w:rsidRPr="006539B7" w:rsidRDefault="00DD1612" w:rsidP="00BD375F">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auto" w:fill="F2F2F2" w:themeFill="background1" w:themeFillShade="F2"/>
            <w:vAlign w:val="bottom"/>
            <w:hideMark/>
          </w:tcPr>
          <w:p w14:paraId="3375FDE9" w14:textId="77777777" w:rsidR="00DD1612" w:rsidRPr="006539B7" w:rsidRDefault="00DD1612" w:rsidP="00BD375F">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r>
      <w:tr w:rsidR="001E2A54" w:rsidRPr="006539B7" w14:paraId="0076623F" w14:textId="77777777" w:rsidTr="00B045CF">
        <w:trPr>
          <w:trHeight w:val="468"/>
          <w:jc w:val="center"/>
        </w:trPr>
        <w:tc>
          <w:tcPr>
            <w:tcW w:w="2550" w:type="dxa"/>
            <w:tcBorders>
              <w:top w:val="nil"/>
              <w:left w:val="nil"/>
              <w:bottom w:val="nil"/>
              <w:right w:val="nil"/>
            </w:tcBorders>
            <w:shd w:val="clear" w:color="000000" w:fill="FFFFFF"/>
            <w:noWrap/>
            <w:vAlign w:val="bottom"/>
            <w:hideMark/>
          </w:tcPr>
          <w:p w14:paraId="54FEEDC2"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Global Equity</w:t>
            </w:r>
          </w:p>
        </w:tc>
        <w:tc>
          <w:tcPr>
            <w:tcW w:w="1244" w:type="dxa"/>
            <w:tcBorders>
              <w:top w:val="nil"/>
              <w:left w:val="nil"/>
              <w:bottom w:val="nil"/>
              <w:right w:val="nil"/>
            </w:tcBorders>
            <w:shd w:val="clear" w:color="000000" w:fill="FFFFFF"/>
            <w:noWrap/>
            <w:vAlign w:val="bottom"/>
            <w:hideMark/>
          </w:tcPr>
          <w:p w14:paraId="52F40E28" w14:textId="50BABBCC" w:rsidR="001E2A54" w:rsidRPr="00A93FB3" w:rsidRDefault="001E2A54" w:rsidP="001E2A54">
            <w:pPr>
              <w:jc w:val="center"/>
              <w:rPr>
                <w:rFonts w:ascii="Calibri" w:eastAsia="Times New Roman" w:hAnsi="Calibri" w:cs="Calibri"/>
              </w:rPr>
            </w:pPr>
            <w:r>
              <w:rPr>
                <w:rFonts w:ascii="Calibri" w:hAnsi="Calibri"/>
              </w:rPr>
              <w:t>30%</w:t>
            </w:r>
          </w:p>
        </w:tc>
        <w:tc>
          <w:tcPr>
            <w:tcW w:w="1585" w:type="dxa"/>
            <w:tcBorders>
              <w:top w:val="nil"/>
              <w:left w:val="nil"/>
              <w:bottom w:val="nil"/>
              <w:right w:val="nil"/>
            </w:tcBorders>
            <w:shd w:val="clear" w:color="000000" w:fill="FFFFFF"/>
            <w:noWrap/>
            <w:vAlign w:val="bottom"/>
            <w:hideMark/>
          </w:tcPr>
          <w:p w14:paraId="77CFF6D6" w14:textId="02A256D3" w:rsidR="001E2A54" w:rsidRPr="00A93FB3" w:rsidRDefault="001E2A54" w:rsidP="001E2A54">
            <w:pPr>
              <w:jc w:val="center"/>
              <w:rPr>
                <w:rFonts w:ascii="Calibri" w:eastAsia="Times New Roman" w:hAnsi="Calibri" w:cs="Calibri"/>
              </w:rPr>
            </w:pPr>
            <w:r>
              <w:rPr>
                <w:rFonts w:ascii="Calibri" w:hAnsi="Calibri"/>
              </w:rPr>
              <w:t>4.70%</w:t>
            </w:r>
          </w:p>
        </w:tc>
        <w:tc>
          <w:tcPr>
            <w:tcW w:w="1244" w:type="dxa"/>
            <w:tcBorders>
              <w:top w:val="nil"/>
              <w:left w:val="nil"/>
              <w:bottom w:val="nil"/>
              <w:right w:val="nil"/>
            </w:tcBorders>
            <w:shd w:val="clear" w:color="auto" w:fill="F2F2F2" w:themeFill="background1" w:themeFillShade="F2"/>
            <w:noWrap/>
            <w:vAlign w:val="bottom"/>
            <w:hideMark/>
          </w:tcPr>
          <w:p w14:paraId="003D5593" w14:textId="7EB35C34"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30%</w:t>
            </w:r>
          </w:p>
        </w:tc>
        <w:tc>
          <w:tcPr>
            <w:tcW w:w="1585" w:type="dxa"/>
            <w:tcBorders>
              <w:top w:val="nil"/>
              <w:left w:val="nil"/>
              <w:bottom w:val="nil"/>
              <w:right w:val="nil"/>
            </w:tcBorders>
            <w:shd w:val="clear" w:color="auto" w:fill="F2F2F2" w:themeFill="background1" w:themeFillShade="F2"/>
            <w:noWrap/>
            <w:vAlign w:val="bottom"/>
            <w:hideMark/>
          </w:tcPr>
          <w:p w14:paraId="4C08962F" w14:textId="14B16946"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5.20%</w:t>
            </w:r>
          </w:p>
        </w:tc>
      </w:tr>
      <w:tr w:rsidR="001E2A54" w:rsidRPr="006539B7" w14:paraId="34E90CA3"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58A3AC3B"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Emerging Market Equity</w:t>
            </w:r>
          </w:p>
        </w:tc>
        <w:tc>
          <w:tcPr>
            <w:tcW w:w="1244" w:type="dxa"/>
            <w:tcBorders>
              <w:top w:val="nil"/>
              <w:left w:val="nil"/>
              <w:bottom w:val="nil"/>
              <w:right w:val="nil"/>
            </w:tcBorders>
            <w:shd w:val="clear" w:color="000000" w:fill="FFFFFF"/>
            <w:noWrap/>
            <w:vAlign w:val="bottom"/>
            <w:hideMark/>
          </w:tcPr>
          <w:p w14:paraId="1A1326C2" w14:textId="2477B741" w:rsidR="001E2A54" w:rsidRPr="00A93FB3" w:rsidRDefault="001E2A54" w:rsidP="001E2A54">
            <w:pPr>
              <w:jc w:val="center"/>
              <w:rPr>
                <w:rFonts w:ascii="Calibri" w:eastAsia="Times New Roman" w:hAnsi="Calibri" w:cs="Calibri"/>
              </w:rPr>
            </w:pPr>
            <w:r>
              <w:rPr>
                <w:rFonts w:ascii="Calibri" w:hAnsi="Calibri"/>
              </w:rPr>
              <w:t>3%</w:t>
            </w:r>
          </w:p>
        </w:tc>
        <w:tc>
          <w:tcPr>
            <w:tcW w:w="1585" w:type="dxa"/>
            <w:tcBorders>
              <w:top w:val="nil"/>
              <w:left w:val="nil"/>
              <w:bottom w:val="nil"/>
              <w:right w:val="nil"/>
            </w:tcBorders>
            <w:shd w:val="clear" w:color="000000" w:fill="FFFFFF"/>
            <w:noWrap/>
            <w:vAlign w:val="bottom"/>
            <w:hideMark/>
          </w:tcPr>
          <w:p w14:paraId="6BC29ED1" w14:textId="727F2E82" w:rsidR="001E2A54" w:rsidRPr="00A93FB3" w:rsidRDefault="001E2A54" w:rsidP="001E2A54">
            <w:pPr>
              <w:jc w:val="center"/>
              <w:rPr>
                <w:rFonts w:ascii="Calibri" w:eastAsia="Times New Roman" w:hAnsi="Calibri" w:cs="Calibri"/>
              </w:rPr>
            </w:pPr>
            <w:r>
              <w:rPr>
                <w:rFonts w:ascii="Calibri" w:hAnsi="Calibri"/>
              </w:rPr>
              <w:t>6.60%</w:t>
            </w:r>
          </w:p>
        </w:tc>
        <w:tc>
          <w:tcPr>
            <w:tcW w:w="1244" w:type="dxa"/>
            <w:tcBorders>
              <w:top w:val="nil"/>
              <w:left w:val="nil"/>
              <w:bottom w:val="nil"/>
              <w:right w:val="nil"/>
            </w:tcBorders>
            <w:shd w:val="clear" w:color="auto" w:fill="F2F2F2" w:themeFill="background1" w:themeFillShade="F2"/>
            <w:noWrap/>
            <w:vAlign w:val="bottom"/>
            <w:hideMark/>
          </w:tcPr>
          <w:p w14:paraId="24539690" w14:textId="74117D08"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3%</w:t>
            </w:r>
          </w:p>
        </w:tc>
        <w:tc>
          <w:tcPr>
            <w:tcW w:w="1585" w:type="dxa"/>
            <w:tcBorders>
              <w:top w:val="nil"/>
              <w:left w:val="nil"/>
              <w:bottom w:val="nil"/>
              <w:right w:val="nil"/>
            </w:tcBorders>
            <w:shd w:val="clear" w:color="auto" w:fill="F2F2F2" w:themeFill="background1" w:themeFillShade="F2"/>
            <w:noWrap/>
            <w:vAlign w:val="bottom"/>
            <w:hideMark/>
          </w:tcPr>
          <w:p w14:paraId="35C3D5AD" w14:textId="6AE7EA0E"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7.10%</w:t>
            </w:r>
          </w:p>
        </w:tc>
      </w:tr>
      <w:tr w:rsidR="001E2A54" w:rsidRPr="006539B7" w14:paraId="1503F0AD"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6B96AB4B"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Fixed Income</w:t>
            </w:r>
          </w:p>
        </w:tc>
        <w:tc>
          <w:tcPr>
            <w:tcW w:w="1244" w:type="dxa"/>
            <w:tcBorders>
              <w:top w:val="nil"/>
              <w:left w:val="nil"/>
              <w:bottom w:val="nil"/>
              <w:right w:val="nil"/>
            </w:tcBorders>
            <w:shd w:val="clear" w:color="000000" w:fill="FFFFFF"/>
            <w:noWrap/>
            <w:vAlign w:val="bottom"/>
            <w:hideMark/>
          </w:tcPr>
          <w:p w14:paraId="0E365389" w14:textId="2E6632C0" w:rsidR="001E2A54" w:rsidRPr="00A93FB3" w:rsidRDefault="001E2A54" w:rsidP="001E2A54">
            <w:pPr>
              <w:jc w:val="center"/>
              <w:rPr>
                <w:rFonts w:ascii="Calibri" w:eastAsia="Times New Roman" w:hAnsi="Calibri" w:cs="Calibri"/>
              </w:rPr>
            </w:pPr>
            <w:r>
              <w:rPr>
                <w:rFonts w:ascii="Calibri" w:hAnsi="Calibri"/>
              </w:rPr>
              <w:t>48%</w:t>
            </w:r>
          </w:p>
        </w:tc>
        <w:tc>
          <w:tcPr>
            <w:tcW w:w="1585" w:type="dxa"/>
            <w:tcBorders>
              <w:top w:val="nil"/>
              <w:left w:val="nil"/>
              <w:bottom w:val="nil"/>
              <w:right w:val="nil"/>
            </w:tcBorders>
            <w:shd w:val="clear" w:color="000000" w:fill="FFFFFF"/>
            <w:noWrap/>
            <w:vAlign w:val="bottom"/>
            <w:hideMark/>
          </w:tcPr>
          <w:p w14:paraId="552F68D7" w14:textId="339DFEA0" w:rsidR="001E2A54" w:rsidRPr="00A93FB3" w:rsidRDefault="001E2A54" w:rsidP="001E2A54">
            <w:pPr>
              <w:jc w:val="center"/>
              <w:rPr>
                <w:rFonts w:ascii="Calibri" w:eastAsia="Times New Roman" w:hAnsi="Calibri" w:cs="Calibri"/>
              </w:rPr>
            </w:pPr>
            <w:r>
              <w:rPr>
                <w:rFonts w:ascii="Calibri" w:hAnsi="Calibri"/>
              </w:rPr>
              <w:t>2.21%</w:t>
            </w:r>
          </w:p>
        </w:tc>
        <w:tc>
          <w:tcPr>
            <w:tcW w:w="1244" w:type="dxa"/>
            <w:tcBorders>
              <w:top w:val="nil"/>
              <w:left w:val="nil"/>
              <w:bottom w:val="nil"/>
              <w:right w:val="nil"/>
            </w:tcBorders>
            <w:shd w:val="clear" w:color="auto" w:fill="F2F2F2" w:themeFill="background1" w:themeFillShade="F2"/>
            <w:noWrap/>
            <w:vAlign w:val="bottom"/>
            <w:hideMark/>
          </w:tcPr>
          <w:p w14:paraId="16D5D12E" w14:textId="315108CE"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43%</w:t>
            </w:r>
          </w:p>
        </w:tc>
        <w:tc>
          <w:tcPr>
            <w:tcW w:w="1585" w:type="dxa"/>
            <w:tcBorders>
              <w:top w:val="nil"/>
              <w:left w:val="nil"/>
              <w:bottom w:val="nil"/>
              <w:right w:val="nil"/>
            </w:tcBorders>
            <w:shd w:val="clear" w:color="auto" w:fill="F2F2F2" w:themeFill="background1" w:themeFillShade="F2"/>
            <w:noWrap/>
            <w:vAlign w:val="bottom"/>
            <w:hideMark/>
          </w:tcPr>
          <w:p w14:paraId="23C699B8" w14:textId="7E6F5AD8"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1.82%</w:t>
            </w:r>
          </w:p>
        </w:tc>
      </w:tr>
      <w:tr w:rsidR="001E2A54" w:rsidRPr="006539B7" w14:paraId="2B19FF5A"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5334E59A"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Global Asset Allocation</w:t>
            </w:r>
          </w:p>
        </w:tc>
        <w:tc>
          <w:tcPr>
            <w:tcW w:w="1244" w:type="dxa"/>
            <w:tcBorders>
              <w:top w:val="nil"/>
              <w:left w:val="nil"/>
              <w:bottom w:val="nil"/>
              <w:right w:val="nil"/>
            </w:tcBorders>
            <w:shd w:val="clear" w:color="000000" w:fill="FFFFFF"/>
            <w:noWrap/>
            <w:vAlign w:val="bottom"/>
            <w:hideMark/>
          </w:tcPr>
          <w:p w14:paraId="2F592D19" w14:textId="60B04AC6" w:rsidR="001E2A54" w:rsidRPr="00A93FB3" w:rsidRDefault="001E2A54" w:rsidP="001E2A54">
            <w:pPr>
              <w:jc w:val="center"/>
              <w:rPr>
                <w:rFonts w:ascii="Calibri" w:eastAsia="Times New Roman" w:hAnsi="Calibri" w:cs="Calibri"/>
              </w:rPr>
            </w:pPr>
            <w:r>
              <w:rPr>
                <w:rFonts w:ascii="Calibri" w:hAnsi="Calibri"/>
              </w:rPr>
              <w:t>8%</w:t>
            </w:r>
          </w:p>
        </w:tc>
        <w:tc>
          <w:tcPr>
            <w:tcW w:w="1585" w:type="dxa"/>
            <w:tcBorders>
              <w:top w:val="nil"/>
              <w:left w:val="nil"/>
              <w:bottom w:val="nil"/>
              <w:right w:val="nil"/>
            </w:tcBorders>
            <w:shd w:val="clear" w:color="000000" w:fill="FFFFFF"/>
            <w:noWrap/>
            <w:vAlign w:val="bottom"/>
            <w:hideMark/>
          </w:tcPr>
          <w:p w14:paraId="0B23DDFE" w14:textId="340DFA28" w:rsidR="001E2A54" w:rsidRPr="00A93FB3" w:rsidRDefault="001E2A54" w:rsidP="001E2A54">
            <w:pPr>
              <w:jc w:val="center"/>
              <w:rPr>
                <w:rFonts w:ascii="Calibri" w:eastAsia="Times New Roman" w:hAnsi="Calibri" w:cs="Calibri"/>
              </w:rPr>
            </w:pPr>
            <w:r>
              <w:rPr>
                <w:rFonts w:ascii="Calibri" w:hAnsi="Calibri"/>
              </w:rPr>
              <w:t>3.50%</w:t>
            </w:r>
          </w:p>
        </w:tc>
        <w:tc>
          <w:tcPr>
            <w:tcW w:w="1244" w:type="dxa"/>
            <w:tcBorders>
              <w:top w:val="nil"/>
              <w:left w:val="nil"/>
              <w:bottom w:val="nil"/>
              <w:right w:val="nil"/>
            </w:tcBorders>
            <w:shd w:val="clear" w:color="auto" w:fill="F2F2F2" w:themeFill="background1" w:themeFillShade="F2"/>
            <w:noWrap/>
            <w:vAlign w:val="bottom"/>
            <w:hideMark/>
          </w:tcPr>
          <w:p w14:paraId="7A081ECE" w14:textId="7DE9EFFB"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8%</w:t>
            </w:r>
          </w:p>
        </w:tc>
        <w:tc>
          <w:tcPr>
            <w:tcW w:w="1585" w:type="dxa"/>
            <w:tcBorders>
              <w:top w:val="nil"/>
              <w:left w:val="nil"/>
              <w:bottom w:val="nil"/>
              <w:right w:val="nil"/>
            </w:tcBorders>
            <w:shd w:val="clear" w:color="auto" w:fill="F2F2F2" w:themeFill="background1" w:themeFillShade="F2"/>
            <w:noWrap/>
            <w:vAlign w:val="bottom"/>
            <w:hideMark/>
          </w:tcPr>
          <w:p w14:paraId="2492B442" w14:textId="71C15E18"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3.60%</w:t>
            </w:r>
          </w:p>
        </w:tc>
      </w:tr>
      <w:tr w:rsidR="001E2A54" w:rsidRPr="006539B7" w14:paraId="1125DE9C"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1F65DC17"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Real Estate</w:t>
            </w:r>
          </w:p>
        </w:tc>
        <w:tc>
          <w:tcPr>
            <w:tcW w:w="1244" w:type="dxa"/>
            <w:tcBorders>
              <w:top w:val="nil"/>
              <w:left w:val="nil"/>
              <w:bottom w:val="nil"/>
              <w:right w:val="nil"/>
            </w:tcBorders>
            <w:shd w:val="clear" w:color="000000" w:fill="FFFFFF"/>
            <w:noWrap/>
            <w:vAlign w:val="bottom"/>
            <w:hideMark/>
          </w:tcPr>
          <w:p w14:paraId="21B92145" w14:textId="3962BBE4" w:rsidR="001E2A54" w:rsidRPr="00A93FB3" w:rsidRDefault="001E2A54" w:rsidP="001E2A54">
            <w:pPr>
              <w:jc w:val="center"/>
              <w:rPr>
                <w:rFonts w:ascii="Calibri" w:eastAsia="Times New Roman" w:hAnsi="Calibri" w:cs="Calibri"/>
              </w:rPr>
            </w:pPr>
            <w:r>
              <w:rPr>
                <w:rFonts w:ascii="Calibri" w:hAnsi="Calibri"/>
              </w:rPr>
              <w:t>3%</w:t>
            </w:r>
          </w:p>
        </w:tc>
        <w:tc>
          <w:tcPr>
            <w:tcW w:w="1585" w:type="dxa"/>
            <w:tcBorders>
              <w:top w:val="nil"/>
              <w:left w:val="nil"/>
              <w:bottom w:val="nil"/>
              <w:right w:val="nil"/>
            </w:tcBorders>
            <w:shd w:val="clear" w:color="000000" w:fill="FFFFFF"/>
            <w:noWrap/>
            <w:vAlign w:val="bottom"/>
            <w:hideMark/>
          </w:tcPr>
          <w:p w14:paraId="563E0F69" w14:textId="0ADA292A" w:rsidR="001E2A54" w:rsidRPr="00A93FB3" w:rsidRDefault="001E2A54" w:rsidP="001E2A54">
            <w:pPr>
              <w:jc w:val="center"/>
              <w:rPr>
                <w:rFonts w:ascii="Calibri" w:eastAsia="Times New Roman" w:hAnsi="Calibri" w:cs="Calibri"/>
              </w:rPr>
            </w:pPr>
            <w:r>
              <w:rPr>
                <w:rFonts w:ascii="Calibri" w:hAnsi="Calibri"/>
              </w:rPr>
              <w:t>3.10%</w:t>
            </w:r>
          </w:p>
        </w:tc>
        <w:tc>
          <w:tcPr>
            <w:tcW w:w="1244" w:type="dxa"/>
            <w:tcBorders>
              <w:top w:val="nil"/>
              <w:left w:val="nil"/>
              <w:bottom w:val="nil"/>
              <w:right w:val="nil"/>
            </w:tcBorders>
            <w:shd w:val="clear" w:color="auto" w:fill="F2F2F2" w:themeFill="background1" w:themeFillShade="F2"/>
            <w:noWrap/>
            <w:vAlign w:val="bottom"/>
            <w:hideMark/>
          </w:tcPr>
          <w:p w14:paraId="25E20397" w14:textId="1A540EC8"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8%</w:t>
            </w:r>
          </w:p>
        </w:tc>
        <w:tc>
          <w:tcPr>
            <w:tcW w:w="1585" w:type="dxa"/>
            <w:tcBorders>
              <w:top w:val="nil"/>
              <w:left w:val="nil"/>
              <w:bottom w:val="nil"/>
              <w:right w:val="nil"/>
            </w:tcBorders>
            <w:shd w:val="clear" w:color="auto" w:fill="F2F2F2" w:themeFill="background1" w:themeFillShade="F2"/>
            <w:noWrap/>
            <w:vAlign w:val="bottom"/>
            <w:hideMark/>
          </w:tcPr>
          <w:p w14:paraId="6AB08687" w14:textId="4DFC3ADB"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2.70%</w:t>
            </w:r>
          </w:p>
        </w:tc>
      </w:tr>
      <w:tr w:rsidR="001E2A54" w:rsidRPr="006539B7" w14:paraId="458EB9AB"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74D9B9EC"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Alternative Investments</w:t>
            </w:r>
          </w:p>
        </w:tc>
        <w:tc>
          <w:tcPr>
            <w:tcW w:w="1244" w:type="dxa"/>
            <w:tcBorders>
              <w:top w:val="nil"/>
              <w:left w:val="nil"/>
              <w:bottom w:val="nil"/>
              <w:right w:val="nil"/>
            </w:tcBorders>
            <w:shd w:val="clear" w:color="000000" w:fill="FFFFFF"/>
            <w:noWrap/>
            <w:vAlign w:val="bottom"/>
            <w:hideMark/>
          </w:tcPr>
          <w:p w14:paraId="5FBE75DD" w14:textId="29E9E42B" w:rsidR="001E2A54" w:rsidRPr="00A93FB3" w:rsidRDefault="001E2A54" w:rsidP="001E2A54">
            <w:pPr>
              <w:jc w:val="center"/>
              <w:rPr>
                <w:rFonts w:ascii="Calibri" w:eastAsia="Times New Roman" w:hAnsi="Calibri" w:cs="Calibri"/>
              </w:rPr>
            </w:pPr>
            <w:r>
              <w:rPr>
                <w:rFonts w:ascii="Calibri" w:hAnsi="Calibri"/>
              </w:rPr>
              <w:t>5%</w:t>
            </w:r>
          </w:p>
        </w:tc>
        <w:tc>
          <w:tcPr>
            <w:tcW w:w="1585" w:type="dxa"/>
            <w:tcBorders>
              <w:top w:val="nil"/>
              <w:left w:val="nil"/>
              <w:bottom w:val="nil"/>
              <w:right w:val="nil"/>
            </w:tcBorders>
            <w:shd w:val="clear" w:color="000000" w:fill="FFFFFF"/>
            <w:noWrap/>
            <w:vAlign w:val="bottom"/>
            <w:hideMark/>
          </w:tcPr>
          <w:p w14:paraId="28BC851D" w14:textId="21B38CE0" w:rsidR="001E2A54" w:rsidRPr="00A93FB3" w:rsidRDefault="001E2A54" w:rsidP="001E2A54">
            <w:pPr>
              <w:jc w:val="center"/>
              <w:rPr>
                <w:rFonts w:ascii="Calibri" w:eastAsia="Times New Roman" w:hAnsi="Calibri" w:cs="Calibri"/>
              </w:rPr>
            </w:pPr>
            <w:r>
              <w:rPr>
                <w:rFonts w:ascii="Calibri" w:hAnsi="Calibri"/>
              </w:rPr>
              <w:t>3.40%</w:t>
            </w:r>
          </w:p>
        </w:tc>
        <w:tc>
          <w:tcPr>
            <w:tcW w:w="1244" w:type="dxa"/>
            <w:tcBorders>
              <w:top w:val="nil"/>
              <w:left w:val="nil"/>
              <w:bottom w:val="nil"/>
              <w:right w:val="nil"/>
            </w:tcBorders>
            <w:shd w:val="clear" w:color="auto" w:fill="F2F2F2" w:themeFill="background1" w:themeFillShade="F2"/>
            <w:noWrap/>
            <w:vAlign w:val="bottom"/>
            <w:hideMark/>
          </w:tcPr>
          <w:p w14:paraId="634B7D9A" w14:textId="33594F4B"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5%</w:t>
            </w:r>
          </w:p>
        </w:tc>
        <w:tc>
          <w:tcPr>
            <w:tcW w:w="1585" w:type="dxa"/>
            <w:tcBorders>
              <w:top w:val="nil"/>
              <w:left w:val="nil"/>
              <w:bottom w:val="nil"/>
              <w:right w:val="nil"/>
            </w:tcBorders>
            <w:shd w:val="clear" w:color="auto" w:fill="F2F2F2" w:themeFill="background1" w:themeFillShade="F2"/>
            <w:noWrap/>
            <w:vAlign w:val="bottom"/>
            <w:hideMark/>
          </w:tcPr>
          <w:p w14:paraId="621E7581" w14:textId="7AACC137"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3.80%</w:t>
            </w:r>
          </w:p>
        </w:tc>
      </w:tr>
      <w:tr w:rsidR="001E2A54" w:rsidRPr="006539B7" w14:paraId="0FD04572" w14:textId="77777777" w:rsidTr="00B045CF">
        <w:trPr>
          <w:trHeight w:val="288"/>
          <w:jc w:val="center"/>
        </w:trPr>
        <w:tc>
          <w:tcPr>
            <w:tcW w:w="2550" w:type="dxa"/>
            <w:tcBorders>
              <w:top w:val="nil"/>
              <w:left w:val="nil"/>
              <w:bottom w:val="nil"/>
              <w:right w:val="nil"/>
            </w:tcBorders>
            <w:shd w:val="clear" w:color="000000" w:fill="FFFFFF"/>
            <w:noWrap/>
            <w:vAlign w:val="center"/>
            <w:hideMark/>
          </w:tcPr>
          <w:p w14:paraId="0F75ACDE" w14:textId="77777777" w:rsidR="001E2A54" w:rsidRPr="006539B7" w:rsidRDefault="001E2A54" w:rsidP="001E2A54">
            <w:pPr>
              <w:rPr>
                <w:rFonts w:ascii="Calibri" w:eastAsia="Times New Roman" w:hAnsi="Calibri" w:cs="Calibri"/>
                <w:color w:val="0D0D0D"/>
              </w:rPr>
            </w:pPr>
            <w:r w:rsidRPr="006539B7">
              <w:rPr>
                <w:rFonts w:ascii="Calibri" w:eastAsia="Times New Roman" w:hAnsi="Calibri" w:cs="Calibri"/>
                <w:color w:val="0D0D0D"/>
              </w:rPr>
              <w:t>Cash</w:t>
            </w:r>
          </w:p>
        </w:tc>
        <w:tc>
          <w:tcPr>
            <w:tcW w:w="1244" w:type="dxa"/>
            <w:tcBorders>
              <w:top w:val="nil"/>
              <w:left w:val="nil"/>
              <w:bottom w:val="nil"/>
              <w:right w:val="nil"/>
            </w:tcBorders>
            <w:shd w:val="clear" w:color="000000" w:fill="FFFFFF"/>
            <w:noWrap/>
            <w:vAlign w:val="bottom"/>
            <w:hideMark/>
          </w:tcPr>
          <w:p w14:paraId="307568A9" w14:textId="5F621569" w:rsidR="001E2A54" w:rsidRPr="00A93FB3" w:rsidRDefault="001E2A54" w:rsidP="001E2A54">
            <w:pPr>
              <w:jc w:val="center"/>
              <w:rPr>
                <w:rFonts w:ascii="Calibri" w:eastAsia="Times New Roman" w:hAnsi="Calibri" w:cs="Calibri"/>
              </w:rPr>
            </w:pPr>
            <w:r>
              <w:rPr>
                <w:rFonts w:ascii="Calibri" w:hAnsi="Calibri"/>
              </w:rPr>
              <w:t>3%</w:t>
            </w:r>
          </w:p>
        </w:tc>
        <w:tc>
          <w:tcPr>
            <w:tcW w:w="1585" w:type="dxa"/>
            <w:tcBorders>
              <w:top w:val="nil"/>
              <w:left w:val="nil"/>
              <w:bottom w:val="nil"/>
              <w:right w:val="nil"/>
            </w:tcBorders>
            <w:shd w:val="clear" w:color="000000" w:fill="FFFFFF"/>
            <w:noWrap/>
            <w:vAlign w:val="bottom"/>
            <w:hideMark/>
          </w:tcPr>
          <w:p w14:paraId="233CF516" w14:textId="4F127F22" w:rsidR="001E2A54" w:rsidRPr="00A93FB3" w:rsidRDefault="001E2A54" w:rsidP="001E2A54">
            <w:pPr>
              <w:jc w:val="center"/>
              <w:rPr>
                <w:rFonts w:ascii="Calibri" w:eastAsia="Times New Roman" w:hAnsi="Calibri" w:cs="Calibri"/>
              </w:rPr>
            </w:pPr>
            <w:r>
              <w:rPr>
                <w:rFonts w:ascii="Calibri" w:hAnsi="Calibri"/>
              </w:rPr>
              <w:t>0.70%</w:t>
            </w:r>
          </w:p>
        </w:tc>
        <w:tc>
          <w:tcPr>
            <w:tcW w:w="1244" w:type="dxa"/>
            <w:tcBorders>
              <w:top w:val="nil"/>
              <w:left w:val="nil"/>
              <w:bottom w:val="nil"/>
              <w:right w:val="nil"/>
            </w:tcBorders>
            <w:shd w:val="clear" w:color="auto" w:fill="F2F2F2" w:themeFill="background1" w:themeFillShade="F2"/>
            <w:noWrap/>
            <w:vAlign w:val="bottom"/>
            <w:hideMark/>
          </w:tcPr>
          <w:p w14:paraId="749310B9" w14:textId="2D2CEB5B"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3%</w:t>
            </w:r>
          </w:p>
        </w:tc>
        <w:tc>
          <w:tcPr>
            <w:tcW w:w="1585" w:type="dxa"/>
            <w:tcBorders>
              <w:top w:val="nil"/>
              <w:left w:val="nil"/>
              <w:bottom w:val="nil"/>
              <w:right w:val="nil"/>
            </w:tcBorders>
            <w:shd w:val="clear" w:color="auto" w:fill="F2F2F2" w:themeFill="background1" w:themeFillShade="F2"/>
            <w:noWrap/>
            <w:vAlign w:val="bottom"/>
            <w:hideMark/>
          </w:tcPr>
          <w:p w14:paraId="48F59134" w14:textId="6ECF9BE1" w:rsidR="001E2A54" w:rsidRPr="006539B7" w:rsidRDefault="001E2A54" w:rsidP="001E2A54">
            <w:pPr>
              <w:jc w:val="center"/>
              <w:rPr>
                <w:rFonts w:ascii="Calibri" w:eastAsia="Times New Roman" w:hAnsi="Calibri" w:cs="Calibri"/>
                <w:color w:val="0D0D0D"/>
              </w:rPr>
            </w:pPr>
            <w:r w:rsidRPr="00A93FB3">
              <w:rPr>
                <w:rFonts w:ascii="Calibri" w:eastAsia="Times New Roman" w:hAnsi="Calibri" w:cs="Calibri"/>
              </w:rPr>
              <w:t>0.40%</w:t>
            </w:r>
          </w:p>
        </w:tc>
      </w:tr>
      <w:tr w:rsidR="00DD1612" w:rsidRPr="006539B7" w14:paraId="1A6EDA2E" w14:textId="77777777" w:rsidTr="00B045CF">
        <w:trPr>
          <w:trHeight w:val="300"/>
          <w:jc w:val="center"/>
        </w:trPr>
        <w:tc>
          <w:tcPr>
            <w:tcW w:w="2550" w:type="dxa"/>
            <w:tcBorders>
              <w:top w:val="single" w:sz="4" w:space="0" w:color="00688D"/>
              <w:left w:val="nil"/>
              <w:bottom w:val="double" w:sz="6" w:space="0" w:color="00688D"/>
              <w:right w:val="nil"/>
            </w:tcBorders>
            <w:shd w:val="clear" w:color="000000" w:fill="FFFFFF"/>
            <w:noWrap/>
            <w:vAlign w:val="bottom"/>
            <w:hideMark/>
          </w:tcPr>
          <w:p w14:paraId="4404D9D1" w14:textId="0D76C6D1" w:rsidR="00DD1612" w:rsidRPr="006539B7" w:rsidRDefault="00DD1612" w:rsidP="00BD375F">
            <w:pPr>
              <w:rPr>
                <w:rFonts w:ascii="Calibri" w:eastAsia="Times New Roman" w:hAnsi="Calibri" w:cs="Calibri"/>
                <w:color w:val="0D0D0D"/>
              </w:rPr>
            </w:pPr>
            <w:r w:rsidRPr="006539B7">
              <w:rPr>
                <w:rFonts w:ascii="Calibri" w:eastAsia="Times New Roman" w:hAnsi="Calibri" w:cs="Calibri"/>
                <w:color w:val="0D0D0D"/>
              </w:rPr>
              <w:t>Total</w:t>
            </w:r>
          </w:p>
        </w:tc>
        <w:tc>
          <w:tcPr>
            <w:tcW w:w="1244" w:type="dxa"/>
            <w:tcBorders>
              <w:top w:val="single" w:sz="4" w:space="0" w:color="00688D"/>
              <w:left w:val="nil"/>
              <w:bottom w:val="double" w:sz="6" w:space="0" w:color="00688D"/>
              <w:right w:val="nil"/>
            </w:tcBorders>
            <w:shd w:val="clear" w:color="000000" w:fill="FFFFFF"/>
            <w:noWrap/>
            <w:vAlign w:val="bottom"/>
            <w:hideMark/>
          </w:tcPr>
          <w:p w14:paraId="0924F1A2" w14:textId="77777777" w:rsidR="00DD1612" w:rsidRPr="00A93FB3" w:rsidRDefault="00DD1612" w:rsidP="00BD375F">
            <w:pPr>
              <w:jc w:val="center"/>
              <w:rPr>
                <w:rFonts w:ascii="Calibri" w:eastAsia="Times New Roman" w:hAnsi="Calibri" w:cs="Calibri"/>
              </w:rPr>
            </w:pPr>
            <w:r w:rsidRPr="00A93FB3">
              <w:rPr>
                <w:rFonts w:ascii="Calibri" w:eastAsia="Times New Roman" w:hAnsi="Calibri" w:cs="Calibri"/>
              </w:rPr>
              <w:t>100%</w:t>
            </w:r>
          </w:p>
        </w:tc>
        <w:tc>
          <w:tcPr>
            <w:tcW w:w="1585" w:type="dxa"/>
            <w:tcBorders>
              <w:top w:val="nil"/>
              <w:left w:val="nil"/>
              <w:bottom w:val="nil"/>
              <w:right w:val="nil"/>
            </w:tcBorders>
            <w:shd w:val="clear" w:color="000000" w:fill="FFFFFF"/>
            <w:noWrap/>
            <w:vAlign w:val="bottom"/>
            <w:hideMark/>
          </w:tcPr>
          <w:p w14:paraId="69568AFF" w14:textId="77777777" w:rsidR="00DD1612" w:rsidRPr="00A93FB3" w:rsidRDefault="00DD1612" w:rsidP="00BD375F">
            <w:pPr>
              <w:jc w:val="center"/>
              <w:rPr>
                <w:rFonts w:ascii="Calibri" w:eastAsia="Times New Roman" w:hAnsi="Calibri" w:cs="Calibri"/>
              </w:rPr>
            </w:pPr>
            <w:r w:rsidRPr="00A93FB3">
              <w:rPr>
                <w:rFonts w:ascii="Calibri" w:eastAsia="Times New Roman" w:hAnsi="Calibri" w:cs="Calibri"/>
              </w:rPr>
              <w:t> </w:t>
            </w:r>
          </w:p>
        </w:tc>
        <w:tc>
          <w:tcPr>
            <w:tcW w:w="1244"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81F4CDA" w14:textId="77777777" w:rsidR="00DD1612" w:rsidRPr="006539B7" w:rsidRDefault="00DD1612" w:rsidP="00BD375F">
            <w:pPr>
              <w:jc w:val="center"/>
              <w:rPr>
                <w:rFonts w:ascii="Calibri" w:eastAsia="Times New Roman" w:hAnsi="Calibri" w:cs="Calibri"/>
                <w:color w:val="0D0D0D"/>
              </w:rPr>
            </w:pPr>
            <w:r w:rsidRPr="006539B7">
              <w:rPr>
                <w:rFonts w:ascii="Calibri" w:eastAsia="Times New Roman" w:hAnsi="Calibri" w:cs="Calibri"/>
                <w:color w:val="0D0D0D"/>
              </w:rPr>
              <w:t>100.%</w:t>
            </w:r>
          </w:p>
        </w:tc>
        <w:tc>
          <w:tcPr>
            <w:tcW w:w="1585" w:type="dxa"/>
            <w:tcBorders>
              <w:top w:val="nil"/>
              <w:left w:val="nil"/>
              <w:bottom w:val="nil"/>
              <w:right w:val="nil"/>
            </w:tcBorders>
            <w:shd w:val="clear" w:color="auto" w:fill="F2F2F2" w:themeFill="background1" w:themeFillShade="F2"/>
            <w:noWrap/>
            <w:vAlign w:val="bottom"/>
            <w:hideMark/>
          </w:tcPr>
          <w:p w14:paraId="23D41679" w14:textId="77777777" w:rsidR="00DD1612" w:rsidRPr="006539B7" w:rsidRDefault="00DD1612" w:rsidP="00BD375F">
            <w:pPr>
              <w:jc w:val="center"/>
              <w:rPr>
                <w:rFonts w:ascii="Calibri" w:eastAsia="Times New Roman" w:hAnsi="Calibri" w:cs="Calibri"/>
                <w:color w:val="0D0D0D"/>
              </w:rPr>
            </w:pPr>
            <w:r w:rsidRPr="006539B7">
              <w:rPr>
                <w:rFonts w:ascii="Calibri" w:eastAsia="Times New Roman" w:hAnsi="Calibri" w:cs="Calibri"/>
                <w:color w:val="0D0D0D"/>
              </w:rPr>
              <w:t> </w:t>
            </w:r>
          </w:p>
        </w:tc>
      </w:tr>
    </w:tbl>
    <w:p w14:paraId="1883BC30" w14:textId="77777777" w:rsidR="00DD1612" w:rsidRDefault="00DD1612" w:rsidP="00DD1612">
      <w:pPr>
        <w:spacing w:after="160" w:line="259" w:lineRule="auto"/>
        <w:rPr>
          <w:rFonts w:eastAsia="Times New Roman" w:cstheme="minorHAnsi"/>
          <w:b/>
          <w:i/>
          <w:spacing w:val="-1"/>
          <w:sz w:val="24"/>
        </w:rPr>
      </w:pPr>
      <w:r w:rsidRPr="00F54559">
        <w:rPr>
          <w:rFonts w:cstheme="minorHAnsi"/>
          <w:b/>
          <w:i/>
          <w:sz w:val="26"/>
          <w:u w:val="single" w:color="000000" w:themeColor="text1"/>
        </w:rPr>
        <w:lastRenderedPageBreak/>
        <w:t>13d. Defined Benefit Plan – Classified Employees - continued</w:t>
      </w:r>
    </w:p>
    <w:p w14:paraId="10D74705" w14:textId="41FA55E4" w:rsidR="00DD1612" w:rsidRPr="00F54559" w:rsidRDefault="00DD1612" w:rsidP="00DD1612">
      <w:pPr>
        <w:spacing w:before="240"/>
        <w:ind w:right="-7"/>
        <w:rPr>
          <w:rFonts w:eastAsia="Times New Roman" w:cstheme="minorHAnsi"/>
          <w:spacing w:val="-1"/>
          <w:sz w:val="24"/>
        </w:rPr>
      </w:pPr>
      <w:r w:rsidRPr="00F54559">
        <w:rPr>
          <w:rFonts w:eastAsia="Times New Roman" w:cstheme="minorHAnsi"/>
          <w:b/>
          <w:i/>
          <w:spacing w:val="-1"/>
          <w:sz w:val="24"/>
        </w:rPr>
        <w:t>Discount Rate</w:t>
      </w:r>
      <w:r w:rsidRPr="00F54559">
        <w:rPr>
          <w:rFonts w:eastAsia="Times New Roman" w:cstheme="minorHAnsi"/>
          <w:b/>
          <w:spacing w:val="-1"/>
          <w:sz w:val="24"/>
        </w:rPr>
        <w:t>:</w:t>
      </w:r>
      <w:r w:rsidR="003E72E3">
        <w:rPr>
          <w:rFonts w:eastAsia="Times New Roman" w:cstheme="minorHAnsi"/>
          <w:spacing w:val="-1"/>
          <w:sz w:val="24"/>
        </w:rPr>
        <w:t xml:space="preserve"> </w:t>
      </w:r>
      <w:r w:rsidRPr="00F54559">
        <w:rPr>
          <w:rFonts w:eastAsia="Times New Roman" w:cstheme="minorHAnsi"/>
          <w:spacing w:val="-1"/>
          <w:sz w:val="24"/>
        </w:rPr>
        <w:t xml:space="preserve">GASB Statement No. 68, </w:t>
      </w:r>
      <w:r w:rsidRPr="00F54559">
        <w:rPr>
          <w:rFonts w:eastAsia="Times New Roman" w:cstheme="minorHAnsi"/>
          <w:i/>
          <w:spacing w:val="-1"/>
          <w:sz w:val="24"/>
        </w:rPr>
        <w:t>Accounting and Financial Reporting for Pensions,</w:t>
      </w:r>
      <w:r w:rsidRPr="00F54559">
        <w:rPr>
          <w:rFonts w:eastAsia="Times New Roman" w:cstheme="minorHAnsi"/>
          <w:spacing w:val="-1"/>
          <w:sz w:val="24"/>
        </w:rPr>
        <w:t xml:space="preserve"> requires that projected benefit payments be discounted to their actuarial present value using the single rate that reflects (1) a long-term expected rate of return on pension plan investments to the extent that the pension plan's assets are sufficient to pay benefits and pension plan assets are expected to be invested using a strategy to achieve that return and (2) a tax-exempt, high-quality municipal bond rate to the extent that the conditions for use of the long-term expected rate of return are not met.</w:t>
      </w:r>
    </w:p>
    <w:p w14:paraId="2DCC4C88" w14:textId="77777777" w:rsidR="00DD1612" w:rsidRPr="00F54559" w:rsidRDefault="00DD1612" w:rsidP="00DD1612">
      <w:pPr>
        <w:rPr>
          <w:rFonts w:eastAsia="Times New Roman" w:cstheme="minorHAnsi"/>
          <w:spacing w:val="-1"/>
          <w:sz w:val="24"/>
        </w:rPr>
      </w:pPr>
    </w:p>
    <w:p w14:paraId="11A0BC59" w14:textId="184082FC" w:rsidR="00DD1612" w:rsidRPr="00F54559" w:rsidRDefault="00DD1612" w:rsidP="008E43A4">
      <w:pPr>
        <w:spacing w:after="240" w:line="259" w:lineRule="auto"/>
        <w:rPr>
          <w:rFonts w:eastAsia="Franklin Gothic Book" w:cstheme="minorHAnsi"/>
          <w:b/>
          <w:i/>
          <w:spacing w:val="-2"/>
          <w:sz w:val="24"/>
        </w:rPr>
      </w:pPr>
      <w:r w:rsidRPr="00F54559">
        <w:rPr>
          <w:rFonts w:eastAsia="Times New Roman" w:cstheme="minorHAnsi"/>
          <w:spacing w:val="-1"/>
          <w:sz w:val="24"/>
        </w:rPr>
        <w:t xml:space="preserve">For the Plan, the discount rate used to measure the total pension liability at June 30, </w:t>
      </w:r>
      <w:r w:rsidR="002A6E89" w:rsidRPr="00F54559">
        <w:rPr>
          <w:rFonts w:eastAsia="Times New Roman" w:cstheme="minorHAnsi"/>
          <w:spacing w:val="-1"/>
          <w:sz w:val="24"/>
        </w:rPr>
        <w:t>20</w:t>
      </w:r>
      <w:r w:rsidR="002A6E89">
        <w:rPr>
          <w:rFonts w:eastAsia="Times New Roman" w:cstheme="minorHAnsi"/>
          <w:spacing w:val="-1"/>
          <w:sz w:val="24"/>
        </w:rPr>
        <w:t>23</w:t>
      </w:r>
      <w:r w:rsidR="002A6E89" w:rsidRPr="00F54559">
        <w:rPr>
          <w:rFonts w:eastAsia="Times New Roman" w:cstheme="minorHAnsi"/>
          <w:spacing w:val="-1"/>
          <w:sz w:val="24"/>
        </w:rPr>
        <w:t xml:space="preserve"> </w:t>
      </w:r>
      <w:r w:rsidRPr="00F54559">
        <w:rPr>
          <w:rFonts w:eastAsia="Times New Roman" w:cstheme="minorHAnsi"/>
          <w:spacing w:val="-1"/>
          <w:sz w:val="24"/>
        </w:rPr>
        <w:t xml:space="preserve">and </w:t>
      </w:r>
      <w:r w:rsidR="002A6E89" w:rsidRPr="00F54559">
        <w:rPr>
          <w:rFonts w:eastAsia="Times New Roman" w:cstheme="minorHAnsi"/>
          <w:spacing w:val="-1"/>
          <w:sz w:val="24"/>
        </w:rPr>
        <w:t>20</w:t>
      </w:r>
      <w:r w:rsidR="002A6E89">
        <w:rPr>
          <w:rFonts w:eastAsia="Times New Roman" w:cstheme="minorHAnsi"/>
          <w:spacing w:val="-1"/>
          <w:sz w:val="24"/>
        </w:rPr>
        <w:t>22</w:t>
      </w:r>
      <w:r w:rsidR="002A6E89" w:rsidRPr="00F54559">
        <w:rPr>
          <w:rFonts w:eastAsia="Times New Roman" w:cstheme="minorHAnsi"/>
          <w:spacing w:val="-1"/>
          <w:sz w:val="24"/>
        </w:rPr>
        <w:t xml:space="preserve"> </w:t>
      </w:r>
      <w:r w:rsidRPr="00E37F3C">
        <w:rPr>
          <w:rFonts w:eastAsia="Times New Roman" w:cstheme="minorHAnsi"/>
          <w:spacing w:val="-1"/>
          <w:sz w:val="24"/>
        </w:rPr>
        <w:t xml:space="preserve">was </w:t>
      </w:r>
      <w:r w:rsidRPr="00C029A1">
        <w:rPr>
          <w:rFonts w:eastAsia="Times New Roman" w:cstheme="minorHAnsi"/>
          <w:spacing w:val="-1"/>
          <w:sz w:val="24"/>
        </w:rPr>
        <w:t>6.25</w:t>
      </w:r>
      <w:r w:rsidRPr="0066125B">
        <w:rPr>
          <w:rFonts w:eastAsia="Times New Roman" w:cstheme="minorHAnsi"/>
          <w:spacing w:val="-1"/>
          <w:sz w:val="24"/>
        </w:rPr>
        <w:t>%.</w:t>
      </w:r>
      <w:r w:rsidRPr="00F54559">
        <w:rPr>
          <w:rFonts w:eastAsia="Times New Roman" w:cstheme="minorHAnsi"/>
          <w:spacing w:val="-1"/>
          <w:sz w:val="24"/>
        </w:rPr>
        <w:t xml:space="preserve"> The projection of cash flows used to determine the discount rate assumed that contributions from the System will be made in accordance with the Plan’s funding policy adopted on February 27, 2014. Based on those assumptions, the Plan's fiduciary net position was projected to be available to make all projected benefit payments of current plan participants. </w:t>
      </w:r>
      <w:r w:rsidRPr="000D3ACF">
        <w:rPr>
          <w:rFonts w:eastAsia="Times New Roman" w:cstheme="minorHAnsi"/>
          <w:spacing w:val="-1"/>
          <w:sz w:val="24"/>
          <w:szCs w:val="24"/>
        </w:rPr>
        <w:t xml:space="preserve">Therefore, the </w:t>
      </w:r>
      <w:r w:rsidRPr="000D3ACF">
        <w:rPr>
          <w:rFonts w:cstheme="minorHAnsi"/>
          <w:sz w:val="24"/>
          <w:szCs w:val="24"/>
        </w:rPr>
        <w:t>long-term expected rate of return on pension plan investments was applied to all periods of projected benefit payments to determine the Total Pension Liability.</w:t>
      </w:r>
    </w:p>
    <w:p w14:paraId="5E666BFC" w14:textId="42B8153A" w:rsidR="00DD1612" w:rsidRPr="00F54559" w:rsidRDefault="00DD1612" w:rsidP="00DD1612">
      <w:pPr>
        <w:spacing w:after="240" w:line="259" w:lineRule="auto"/>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w:t>
      </w:r>
      <w:r>
        <w:rPr>
          <w:rFonts w:eastAsia="Times New Roman" w:cstheme="minorHAnsi"/>
          <w:spacing w:val="-1"/>
          <w:sz w:val="24"/>
        </w:rPr>
        <w:t xml:space="preserve"> </w:t>
      </w:r>
      <w:r w:rsidRPr="005C3E71">
        <w:rPr>
          <w:rFonts w:eastAsia="Times New Roman" w:cstheme="minorHAnsi"/>
          <w:sz w:val="24"/>
        </w:rPr>
        <w:t>calcula</w:t>
      </w:r>
      <w:r w:rsidRPr="005C3E71">
        <w:rPr>
          <w:rFonts w:eastAsia="Times New Roman" w:cstheme="minorHAnsi"/>
          <w:spacing w:val="1"/>
          <w:sz w:val="24"/>
        </w:rPr>
        <w:t>t</w:t>
      </w:r>
      <w:r w:rsidRPr="005C3E71">
        <w:rPr>
          <w:rFonts w:eastAsia="Times New Roman" w:cstheme="minorHAnsi"/>
          <w:sz w:val="24"/>
        </w:rPr>
        <w:t>ed</w:t>
      </w:r>
      <w:r w:rsidRPr="005C3E71">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
          <w:sz w:val="24"/>
        </w:rPr>
        <w:t xml:space="preserve"> </w:t>
      </w:r>
      <w:r w:rsidRPr="00F54559">
        <w:rPr>
          <w:rFonts w:eastAsia="Times New Roman" w:cstheme="minorHAnsi"/>
          <w:spacing w:val="-1"/>
          <w:sz w:val="24"/>
        </w:rPr>
        <w:t>o</w:t>
      </w:r>
      <w:r w:rsidRPr="00F54559">
        <w:rPr>
          <w:rFonts w:eastAsia="Times New Roman" w:cstheme="minorHAnsi"/>
          <w:sz w:val="24"/>
        </w:rPr>
        <w:t xml:space="preserve">f </w:t>
      </w:r>
      <w:r w:rsidRPr="000C4239">
        <w:rPr>
          <w:rFonts w:eastAsia="Times New Roman" w:cstheme="minorHAnsi"/>
          <w:sz w:val="24"/>
        </w:rPr>
        <w:t>6.25</w:t>
      </w:r>
      <w:r w:rsidRPr="00F54559">
        <w:rPr>
          <w:rFonts w:eastAsia="Times New Roman" w:cstheme="minorHAnsi"/>
          <w:sz w:val="24"/>
        </w:rPr>
        <w:t>%,</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Times New Roman" w:cstheme="minorHAnsi"/>
          <w:sz w:val="24"/>
        </w:rPr>
        <w:fldChar w:fldCharType="begin"/>
      </w:r>
      <w:r>
        <w:rPr>
          <w:rFonts w:eastAsia="Times New Roman" w:cstheme="minorHAnsi"/>
          <w:sz w:val="24"/>
        </w:rPr>
        <w:fldChar w:fldCharType="end"/>
      </w:r>
    </w:p>
    <w:tbl>
      <w:tblPr>
        <w:tblW w:w="9459" w:type="dxa"/>
        <w:jc w:val="center"/>
        <w:tblLayout w:type="fixed"/>
        <w:tblLook w:val="04A0" w:firstRow="1" w:lastRow="0" w:firstColumn="1" w:lastColumn="0" w:noHBand="0" w:noVBand="1"/>
      </w:tblPr>
      <w:tblGrid>
        <w:gridCol w:w="2154"/>
        <w:gridCol w:w="338"/>
        <w:gridCol w:w="748"/>
        <w:gridCol w:w="1260"/>
        <w:gridCol w:w="813"/>
        <w:gridCol w:w="450"/>
        <w:gridCol w:w="6"/>
        <w:gridCol w:w="1187"/>
        <w:gridCol w:w="1350"/>
        <w:gridCol w:w="1147"/>
        <w:gridCol w:w="6"/>
      </w:tblGrid>
      <w:tr w:rsidR="006D343C" w:rsidRPr="006539B7" w14:paraId="362E233B" w14:textId="77777777" w:rsidTr="00B045CF">
        <w:trPr>
          <w:cantSplit/>
          <w:trHeight w:val="244"/>
          <w:tblHeader/>
          <w:jc w:val="center"/>
        </w:trPr>
        <w:tc>
          <w:tcPr>
            <w:tcW w:w="2154" w:type="dxa"/>
            <w:tcBorders>
              <w:top w:val="nil"/>
              <w:left w:val="nil"/>
              <w:bottom w:val="nil"/>
              <w:right w:val="nil"/>
            </w:tcBorders>
            <w:shd w:val="clear" w:color="000000" w:fill="FFFFFF"/>
            <w:noWrap/>
            <w:vAlign w:val="bottom"/>
            <w:hideMark/>
          </w:tcPr>
          <w:p w14:paraId="1A499198" w14:textId="75C2BF7F" w:rsidR="006D343C" w:rsidRPr="006539B7" w:rsidRDefault="006D343C" w:rsidP="0048737B">
            <w:pPr>
              <w:ind w:right="-119"/>
              <w:rPr>
                <w:rFonts w:ascii="Calibri" w:eastAsia="Times New Roman" w:hAnsi="Calibri" w:cs="Calibri"/>
                <w:b/>
                <w:bCs/>
                <w:color w:val="0D0D0D"/>
              </w:rPr>
            </w:pPr>
            <w:r w:rsidRPr="006539B7">
              <w:rPr>
                <w:rFonts w:ascii="Calibri" w:eastAsia="Times New Roman" w:hAnsi="Calibri" w:cs="Calibri"/>
                <w:b/>
                <w:bCs/>
                <w:color w:val="0D0D0D"/>
              </w:rPr>
              <w:t> </w:t>
            </w:r>
          </w:p>
        </w:tc>
        <w:tc>
          <w:tcPr>
            <w:tcW w:w="338" w:type="dxa"/>
            <w:tcBorders>
              <w:top w:val="nil"/>
              <w:left w:val="nil"/>
              <w:bottom w:val="single" w:sz="4" w:space="0" w:color="auto"/>
              <w:right w:val="nil"/>
            </w:tcBorders>
            <w:shd w:val="clear" w:color="000000" w:fill="FFFFFF"/>
            <w:vAlign w:val="bottom"/>
            <w:hideMark/>
          </w:tcPr>
          <w:p w14:paraId="13632F0A" w14:textId="77777777" w:rsidR="006D343C" w:rsidRPr="006539B7" w:rsidRDefault="006D343C" w:rsidP="0048737B">
            <w:pPr>
              <w:ind w:right="-119"/>
              <w:jc w:val="center"/>
              <w:rPr>
                <w:rFonts w:ascii="Calibri" w:eastAsia="Times New Roman" w:hAnsi="Calibri" w:cs="Calibri"/>
                <w:b/>
                <w:bCs/>
                <w:color w:val="0D0D0D"/>
              </w:rPr>
            </w:pPr>
          </w:p>
        </w:tc>
        <w:tc>
          <w:tcPr>
            <w:tcW w:w="2821" w:type="dxa"/>
            <w:gridSpan w:val="3"/>
            <w:tcBorders>
              <w:top w:val="nil"/>
              <w:left w:val="nil"/>
              <w:bottom w:val="single" w:sz="4" w:space="0" w:color="auto"/>
              <w:right w:val="nil"/>
            </w:tcBorders>
            <w:shd w:val="clear" w:color="000000" w:fill="FFFFFF"/>
            <w:vAlign w:val="bottom"/>
          </w:tcPr>
          <w:p w14:paraId="5F105CA9" w14:textId="61405EC6" w:rsidR="006D343C" w:rsidRPr="006539B7" w:rsidRDefault="006D343C" w:rsidP="0048737B">
            <w:pPr>
              <w:ind w:right="-119"/>
              <w:jc w:val="center"/>
              <w:rPr>
                <w:rFonts w:ascii="Calibri" w:eastAsia="Times New Roman" w:hAnsi="Calibri" w:cs="Calibri"/>
                <w:b/>
                <w:bCs/>
                <w:color w:val="0D0D0D"/>
              </w:rPr>
            </w:pPr>
            <w:r w:rsidRPr="006539B7">
              <w:rPr>
                <w:rFonts w:ascii="Calibri" w:eastAsia="Times New Roman" w:hAnsi="Calibri" w:cs="Calibri"/>
                <w:b/>
                <w:bCs/>
                <w:color w:val="0D0D0D"/>
              </w:rPr>
              <w:t>June 30, 202</w:t>
            </w:r>
            <w:r>
              <w:rPr>
                <w:rFonts w:ascii="Calibri" w:eastAsia="Times New Roman" w:hAnsi="Calibri" w:cs="Calibri"/>
                <w:b/>
                <w:bCs/>
                <w:color w:val="0D0D0D"/>
              </w:rPr>
              <w:t>3</w:t>
            </w:r>
          </w:p>
        </w:tc>
        <w:tc>
          <w:tcPr>
            <w:tcW w:w="456" w:type="dxa"/>
            <w:gridSpan w:val="2"/>
            <w:tcBorders>
              <w:top w:val="nil"/>
              <w:left w:val="nil"/>
              <w:bottom w:val="single" w:sz="4" w:space="0" w:color="auto"/>
              <w:right w:val="nil"/>
            </w:tcBorders>
            <w:shd w:val="clear" w:color="000000" w:fill="FFFFFF"/>
            <w:vAlign w:val="bottom"/>
          </w:tcPr>
          <w:p w14:paraId="11BFAAEB" w14:textId="77777777" w:rsidR="006D343C" w:rsidRPr="006539B7" w:rsidRDefault="006D343C" w:rsidP="0048737B">
            <w:pPr>
              <w:ind w:right="-119"/>
              <w:jc w:val="center"/>
              <w:rPr>
                <w:rFonts w:ascii="Calibri" w:eastAsia="Times New Roman" w:hAnsi="Calibri" w:cs="Calibri"/>
                <w:b/>
                <w:bCs/>
                <w:color w:val="0D0D0D"/>
              </w:rPr>
            </w:pPr>
          </w:p>
        </w:tc>
        <w:tc>
          <w:tcPr>
            <w:tcW w:w="3690" w:type="dxa"/>
            <w:gridSpan w:val="4"/>
            <w:tcBorders>
              <w:top w:val="nil"/>
              <w:left w:val="nil"/>
              <w:bottom w:val="single" w:sz="4" w:space="0" w:color="auto"/>
              <w:right w:val="nil"/>
            </w:tcBorders>
            <w:shd w:val="clear" w:color="auto" w:fill="F2F2F2" w:themeFill="background1" w:themeFillShade="F2"/>
            <w:vAlign w:val="bottom"/>
          </w:tcPr>
          <w:p w14:paraId="6212C72E" w14:textId="2832DE58" w:rsidR="006D343C" w:rsidRPr="006539B7" w:rsidRDefault="006D343C" w:rsidP="0048737B">
            <w:pPr>
              <w:ind w:right="-119"/>
              <w:jc w:val="center"/>
              <w:rPr>
                <w:rFonts w:ascii="Calibri" w:eastAsia="Times New Roman" w:hAnsi="Calibri" w:cs="Calibri"/>
                <w:b/>
                <w:bCs/>
                <w:color w:val="0D0D0D"/>
              </w:rPr>
            </w:pPr>
            <w:r w:rsidRPr="006539B7">
              <w:rPr>
                <w:rFonts w:ascii="Calibri" w:eastAsia="Times New Roman" w:hAnsi="Calibri" w:cs="Calibri"/>
                <w:b/>
                <w:bCs/>
                <w:color w:val="0D0D0D"/>
              </w:rPr>
              <w:t>June 30, 20</w:t>
            </w:r>
            <w:r>
              <w:rPr>
                <w:rFonts w:ascii="Calibri" w:eastAsia="Times New Roman" w:hAnsi="Calibri" w:cs="Calibri"/>
                <w:b/>
                <w:bCs/>
                <w:color w:val="0D0D0D"/>
              </w:rPr>
              <w:t>22</w:t>
            </w:r>
          </w:p>
        </w:tc>
      </w:tr>
      <w:tr w:rsidR="00F369D0" w:rsidRPr="006539B7" w14:paraId="21D49E1F" w14:textId="77777777" w:rsidTr="00B045CF">
        <w:trPr>
          <w:gridAfter w:val="1"/>
          <w:wAfter w:w="6" w:type="dxa"/>
          <w:cantSplit/>
          <w:trHeight w:val="680"/>
          <w:tblHeader/>
          <w:jc w:val="center"/>
        </w:trPr>
        <w:tc>
          <w:tcPr>
            <w:tcW w:w="2154" w:type="dxa"/>
            <w:tcBorders>
              <w:top w:val="nil"/>
              <w:left w:val="nil"/>
              <w:bottom w:val="nil"/>
              <w:right w:val="nil"/>
            </w:tcBorders>
            <w:shd w:val="clear" w:color="000000" w:fill="FFFFFF"/>
            <w:noWrap/>
            <w:vAlign w:val="bottom"/>
            <w:hideMark/>
          </w:tcPr>
          <w:p w14:paraId="230A5BB0" w14:textId="77777777" w:rsidR="00DD1612" w:rsidRPr="006539B7" w:rsidRDefault="00DD1612" w:rsidP="0048737B">
            <w:pPr>
              <w:ind w:right="-119"/>
              <w:rPr>
                <w:rFonts w:ascii="Calibri" w:eastAsia="Times New Roman" w:hAnsi="Calibri" w:cs="Calibri"/>
                <w:b/>
                <w:bCs/>
                <w:color w:val="0D0D0D"/>
              </w:rPr>
            </w:pPr>
            <w:r w:rsidRPr="006539B7">
              <w:rPr>
                <w:rFonts w:ascii="Calibri" w:eastAsia="Times New Roman" w:hAnsi="Calibri" w:cs="Calibri"/>
                <w:b/>
                <w:bCs/>
                <w:color w:val="0D0D0D"/>
              </w:rPr>
              <w:t> </w:t>
            </w:r>
          </w:p>
        </w:tc>
        <w:tc>
          <w:tcPr>
            <w:tcW w:w="1086" w:type="dxa"/>
            <w:gridSpan w:val="2"/>
            <w:tcBorders>
              <w:top w:val="nil"/>
              <w:left w:val="nil"/>
              <w:bottom w:val="single" w:sz="4" w:space="0" w:color="auto"/>
              <w:right w:val="nil"/>
            </w:tcBorders>
            <w:shd w:val="clear" w:color="000000" w:fill="FFFFFF"/>
            <w:vAlign w:val="bottom"/>
            <w:hideMark/>
          </w:tcPr>
          <w:p w14:paraId="5F6C2CD4"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54009C34"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Decrease</w:t>
            </w:r>
            <w:r w:rsidRPr="00B77D08">
              <w:rPr>
                <w:rFonts w:ascii="Calibri" w:eastAsia="Times New Roman" w:hAnsi="Calibri" w:cs="Calibri"/>
                <w:bCs/>
                <w:color w:val="0D0D0D"/>
              </w:rPr>
              <w:br/>
              <w:t>(5.25%)</w:t>
            </w:r>
          </w:p>
        </w:tc>
        <w:tc>
          <w:tcPr>
            <w:tcW w:w="1260" w:type="dxa"/>
            <w:tcBorders>
              <w:top w:val="nil"/>
              <w:left w:val="nil"/>
              <w:bottom w:val="single" w:sz="4" w:space="0" w:color="auto"/>
              <w:right w:val="nil"/>
            </w:tcBorders>
            <w:shd w:val="clear" w:color="000000" w:fill="FFFFFF"/>
            <w:vAlign w:val="bottom"/>
            <w:hideMark/>
          </w:tcPr>
          <w:p w14:paraId="367552E7"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 xml:space="preserve">Rate </w:t>
            </w:r>
          </w:p>
          <w:p w14:paraId="4DFA43DB"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(6.25%)</w:t>
            </w:r>
          </w:p>
        </w:tc>
        <w:tc>
          <w:tcPr>
            <w:tcW w:w="1263" w:type="dxa"/>
            <w:gridSpan w:val="2"/>
            <w:tcBorders>
              <w:top w:val="nil"/>
              <w:left w:val="nil"/>
              <w:bottom w:val="single" w:sz="4" w:space="0" w:color="auto"/>
              <w:right w:val="nil"/>
            </w:tcBorders>
            <w:shd w:val="clear" w:color="000000" w:fill="FFFFFF"/>
            <w:vAlign w:val="bottom"/>
            <w:hideMark/>
          </w:tcPr>
          <w:p w14:paraId="1509FD88"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3B4FFD22"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Increase</w:t>
            </w:r>
            <w:r w:rsidRPr="00B77D08">
              <w:rPr>
                <w:rFonts w:ascii="Calibri" w:eastAsia="Times New Roman" w:hAnsi="Calibri" w:cs="Calibri"/>
                <w:bCs/>
                <w:color w:val="0D0D0D"/>
              </w:rPr>
              <w:br/>
              <w:t>(7.25%)</w:t>
            </w:r>
          </w:p>
        </w:tc>
        <w:tc>
          <w:tcPr>
            <w:tcW w:w="1193" w:type="dxa"/>
            <w:gridSpan w:val="2"/>
            <w:tcBorders>
              <w:top w:val="nil"/>
              <w:left w:val="nil"/>
              <w:bottom w:val="single" w:sz="4" w:space="0" w:color="auto"/>
              <w:right w:val="nil"/>
            </w:tcBorders>
            <w:shd w:val="clear" w:color="auto" w:fill="F2F2F2" w:themeFill="background1" w:themeFillShade="F2"/>
            <w:vAlign w:val="bottom"/>
            <w:hideMark/>
          </w:tcPr>
          <w:p w14:paraId="06AEDA12"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7CF09A69"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Decrease</w:t>
            </w:r>
            <w:r w:rsidRPr="00B77D08">
              <w:rPr>
                <w:rFonts w:ascii="Calibri" w:eastAsia="Times New Roman" w:hAnsi="Calibri" w:cs="Calibri"/>
                <w:bCs/>
                <w:color w:val="0D0D0D"/>
              </w:rPr>
              <w:br/>
              <w:t>(5.25%)</w:t>
            </w:r>
          </w:p>
        </w:tc>
        <w:tc>
          <w:tcPr>
            <w:tcW w:w="1350" w:type="dxa"/>
            <w:tcBorders>
              <w:top w:val="nil"/>
              <w:left w:val="nil"/>
              <w:bottom w:val="single" w:sz="4" w:space="0" w:color="auto"/>
              <w:right w:val="nil"/>
            </w:tcBorders>
            <w:shd w:val="clear" w:color="auto" w:fill="F2F2F2" w:themeFill="background1" w:themeFillShade="F2"/>
            <w:vAlign w:val="bottom"/>
            <w:hideMark/>
          </w:tcPr>
          <w:p w14:paraId="35609EFD"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 xml:space="preserve">Rate </w:t>
            </w:r>
          </w:p>
          <w:p w14:paraId="56C018AA"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(6.25%)</w:t>
            </w:r>
          </w:p>
        </w:tc>
        <w:tc>
          <w:tcPr>
            <w:tcW w:w="1147" w:type="dxa"/>
            <w:tcBorders>
              <w:top w:val="nil"/>
              <w:left w:val="nil"/>
              <w:bottom w:val="single" w:sz="4" w:space="0" w:color="auto"/>
              <w:right w:val="nil"/>
            </w:tcBorders>
            <w:shd w:val="clear" w:color="auto" w:fill="F2F2F2" w:themeFill="background1" w:themeFillShade="F2"/>
            <w:vAlign w:val="bottom"/>
            <w:hideMark/>
          </w:tcPr>
          <w:p w14:paraId="227F19E9" w14:textId="77777777" w:rsidR="00DD1612"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0111C58F" w14:textId="77777777" w:rsidR="00DD1612" w:rsidRPr="00B77D08" w:rsidRDefault="00DD1612" w:rsidP="0048737B">
            <w:pPr>
              <w:ind w:right="-119"/>
              <w:jc w:val="center"/>
              <w:rPr>
                <w:rFonts w:ascii="Calibri" w:eastAsia="Times New Roman" w:hAnsi="Calibri" w:cs="Calibri"/>
                <w:bCs/>
                <w:color w:val="0D0D0D"/>
              </w:rPr>
            </w:pPr>
            <w:r w:rsidRPr="00B77D08">
              <w:rPr>
                <w:rFonts w:ascii="Calibri" w:eastAsia="Times New Roman" w:hAnsi="Calibri" w:cs="Calibri"/>
                <w:bCs/>
                <w:color w:val="0D0D0D"/>
              </w:rPr>
              <w:t>Increase</w:t>
            </w:r>
            <w:r w:rsidRPr="00B77D08">
              <w:rPr>
                <w:rFonts w:ascii="Calibri" w:eastAsia="Times New Roman" w:hAnsi="Calibri" w:cs="Calibri"/>
                <w:bCs/>
                <w:color w:val="0D0D0D"/>
              </w:rPr>
              <w:br/>
              <w:t>(7.25%)</w:t>
            </w:r>
          </w:p>
        </w:tc>
      </w:tr>
      <w:tr w:rsidR="006D343C" w:rsidRPr="006539B7" w14:paraId="13ADE04C" w14:textId="77777777" w:rsidTr="00B045CF">
        <w:trPr>
          <w:gridAfter w:val="1"/>
          <w:wAfter w:w="6" w:type="dxa"/>
          <w:cantSplit/>
          <w:trHeight w:val="311"/>
          <w:jc w:val="center"/>
        </w:trPr>
        <w:tc>
          <w:tcPr>
            <w:tcW w:w="2154" w:type="dxa"/>
            <w:tcBorders>
              <w:left w:val="nil"/>
              <w:bottom w:val="nil"/>
              <w:right w:val="nil"/>
            </w:tcBorders>
            <w:shd w:val="clear" w:color="000000" w:fill="FFFFFF"/>
            <w:noWrap/>
            <w:vAlign w:val="bottom"/>
            <w:hideMark/>
          </w:tcPr>
          <w:p w14:paraId="74C2D451" w14:textId="77777777" w:rsidR="00AF0E67" w:rsidRPr="006539B7" w:rsidRDefault="00AF0E67" w:rsidP="0048737B">
            <w:pPr>
              <w:ind w:right="-119"/>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086" w:type="dxa"/>
            <w:gridSpan w:val="2"/>
            <w:tcBorders>
              <w:top w:val="single" w:sz="4" w:space="0" w:color="auto"/>
              <w:left w:val="nil"/>
              <w:bottom w:val="nil"/>
              <w:right w:val="nil"/>
            </w:tcBorders>
            <w:shd w:val="clear" w:color="000000" w:fill="FFFFFF"/>
            <w:vAlign w:val="bottom"/>
            <w:hideMark/>
          </w:tcPr>
          <w:p w14:paraId="71581096" w14:textId="68923E41" w:rsidR="00AF0E67" w:rsidRPr="00C029A1" w:rsidRDefault="00F3360B" w:rsidP="0048737B">
            <w:pPr>
              <w:ind w:right="-119"/>
              <w:jc w:val="right"/>
              <w:rPr>
                <w:rFonts w:ascii="Calibri" w:eastAsia="Times New Roman" w:hAnsi="Calibri" w:cs="Calibri"/>
              </w:rPr>
            </w:pPr>
            <w:r>
              <w:rPr>
                <w:rFonts w:ascii="Calibri" w:eastAsia="Times New Roman" w:hAnsi="Calibri" w:cs="Calibri"/>
              </w:rPr>
              <w:t>$</w:t>
            </w:r>
            <w:r w:rsidR="007574F4">
              <w:rPr>
                <w:rFonts w:ascii="Calibri" w:eastAsia="Times New Roman" w:hAnsi="Calibri" w:cs="Calibri"/>
              </w:rPr>
              <w:t xml:space="preserve"> 31,678</w:t>
            </w:r>
          </w:p>
        </w:tc>
        <w:tc>
          <w:tcPr>
            <w:tcW w:w="1260" w:type="dxa"/>
            <w:tcBorders>
              <w:top w:val="single" w:sz="4" w:space="0" w:color="auto"/>
              <w:left w:val="nil"/>
              <w:bottom w:val="nil"/>
              <w:right w:val="nil"/>
            </w:tcBorders>
            <w:shd w:val="clear" w:color="000000" w:fill="FFFFFF"/>
            <w:vAlign w:val="bottom"/>
            <w:hideMark/>
          </w:tcPr>
          <w:p w14:paraId="5A8134F7" w14:textId="3C04EEF3" w:rsidR="00AF0E67" w:rsidRPr="00C029A1" w:rsidRDefault="00AF0E67" w:rsidP="0048737B">
            <w:pPr>
              <w:ind w:right="-119"/>
              <w:jc w:val="right"/>
              <w:rPr>
                <w:rFonts w:ascii="Calibri" w:eastAsia="Times New Roman" w:hAnsi="Calibri" w:cs="Calibri"/>
              </w:rPr>
            </w:pPr>
            <w:r w:rsidRPr="00C029A1">
              <w:rPr>
                <w:rFonts w:ascii="Calibri" w:hAnsi="Calibri" w:cs="Calibri"/>
              </w:rPr>
              <w:t xml:space="preserve"> $ 29,698</w:t>
            </w:r>
          </w:p>
        </w:tc>
        <w:tc>
          <w:tcPr>
            <w:tcW w:w="1263" w:type="dxa"/>
            <w:gridSpan w:val="2"/>
            <w:tcBorders>
              <w:top w:val="single" w:sz="4" w:space="0" w:color="auto"/>
              <w:left w:val="nil"/>
              <w:bottom w:val="nil"/>
              <w:right w:val="nil"/>
            </w:tcBorders>
            <w:shd w:val="clear" w:color="000000" w:fill="FFFFFF"/>
            <w:vAlign w:val="bottom"/>
            <w:hideMark/>
          </w:tcPr>
          <w:p w14:paraId="29D9C5EB" w14:textId="36440158" w:rsidR="00AF0E67" w:rsidRPr="00C029A1" w:rsidRDefault="005A7674" w:rsidP="0048737B">
            <w:pPr>
              <w:ind w:right="-119"/>
              <w:jc w:val="right"/>
              <w:rPr>
                <w:rFonts w:ascii="Calibri" w:eastAsia="Times New Roman" w:hAnsi="Calibri" w:cs="Calibri"/>
              </w:rPr>
            </w:pPr>
            <w:r w:rsidRPr="00316B2A">
              <w:rPr>
                <w:rFonts w:ascii="Calibri" w:hAnsi="Calibri" w:cs="Calibri"/>
              </w:rPr>
              <w:t xml:space="preserve"> $ 27,944</w:t>
            </w:r>
          </w:p>
        </w:tc>
        <w:tc>
          <w:tcPr>
            <w:tcW w:w="1193" w:type="dxa"/>
            <w:gridSpan w:val="2"/>
            <w:tcBorders>
              <w:top w:val="single" w:sz="4" w:space="0" w:color="auto"/>
              <w:left w:val="nil"/>
              <w:bottom w:val="nil"/>
              <w:right w:val="nil"/>
            </w:tcBorders>
            <w:shd w:val="clear" w:color="auto" w:fill="F2F2F2" w:themeFill="background1" w:themeFillShade="F2"/>
            <w:vAlign w:val="bottom"/>
            <w:hideMark/>
          </w:tcPr>
          <w:p w14:paraId="228A8836" w14:textId="6BF9C32E" w:rsidR="00AF0E67" w:rsidRPr="006539B7" w:rsidRDefault="00AF0E67" w:rsidP="0048737B">
            <w:pPr>
              <w:ind w:right="-119"/>
              <w:jc w:val="right"/>
              <w:rPr>
                <w:rFonts w:ascii="Calibri" w:eastAsia="Times New Roman" w:hAnsi="Calibri" w:cs="Calibri"/>
                <w:color w:val="0D0D0D"/>
              </w:rPr>
            </w:pPr>
            <w:r w:rsidRPr="00A93FB3">
              <w:rPr>
                <w:rFonts w:ascii="Calibri" w:eastAsia="Times New Roman" w:hAnsi="Calibri" w:cs="Calibri"/>
              </w:rPr>
              <w:t>$ 34,202</w:t>
            </w:r>
          </w:p>
        </w:tc>
        <w:tc>
          <w:tcPr>
            <w:tcW w:w="1350" w:type="dxa"/>
            <w:tcBorders>
              <w:top w:val="single" w:sz="4" w:space="0" w:color="auto"/>
              <w:left w:val="nil"/>
              <w:bottom w:val="nil"/>
              <w:right w:val="nil"/>
            </w:tcBorders>
            <w:shd w:val="clear" w:color="auto" w:fill="F2F2F2" w:themeFill="background1" w:themeFillShade="F2"/>
            <w:vAlign w:val="bottom"/>
            <w:hideMark/>
          </w:tcPr>
          <w:p w14:paraId="3798502A" w14:textId="6CAEFCF2" w:rsidR="00AF0E67" w:rsidRPr="006539B7" w:rsidRDefault="00AF0E67" w:rsidP="0048737B">
            <w:pPr>
              <w:ind w:right="-119"/>
              <w:jc w:val="right"/>
              <w:rPr>
                <w:rFonts w:ascii="Calibri" w:eastAsia="Times New Roman" w:hAnsi="Calibri" w:cs="Calibri"/>
                <w:color w:val="0D0D0D"/>
              </w:rPr>
            </w:pPr>
            <w:r w:rsidRPr="00A93FB3">
              <w:rPr>
                <w:rFonts w:ascii="Calibri" w:eastAsia="Times New Roman" w:hAnsi="Calibri" w:cs="Calibri"/>
              </w:rPr>
              <w:t>$ 32,044</w:t>
            </w:r>
          </w:p>
        </w:tc>
        <w:tc>
          <w:tcPr>
            <w:tcW w:w="1147" w:type="dxa"/>
            <w:tcBorders>
              <w:top w:val="single" w:sz="4" w:space="0" w:color="auto"/>
              <w:left w:val="nil"/>
              <w:bottom w:val="nil"/>
              <w:right w:val="nil"/>
            </w:tcBorders>
            <w:shd w:val="clear" w:color="auto" w:fill="F2F2F2" w:themeFill="background1" w:themeFillShade="F2"/>
            <w:vAlign w:val="bottom"/>
            <w:hideMark/>
          </w:tcPr>
          <w:p w14:paraId="69483F36" w14:textId="4322F7B8" w:rsidR="00AF0E67" w:rsidRPr="006539B7" w:rsidRDefault="00AF0E67" w:rsidP="0048737B">
            <w:pPr>
              <w:ind w:right="-119"/>
              <w:jc w:val="right"/>
              <w:rPr>
                <w:rFonts w:ascii="Calibri" w:eastAsia="Times New Roman" w:hAnsi="Calibri" w:cs="Calibri"/>
                <w:color w:val="0D0D0D"/>
              </w:rPr>
            </w:pPr>
            <w:r w:rsidRPr="00A93FB3">
              <w:rPr>
                <w:rFonts w:ascii="Calibri" w:eastAsia="Times New Roman" w:hAnsi="Calibri" w:cs="Calibri"/>
              </w:rPr>
              <w:t>$ 30,134</w:t>
            </w:r>
          </w:p>
        </w:tc>
      </w:tr>
      <w:tr w:rsidR="006D343C" w:rsidRPr="006539B7" w14:paraId="74717094" w14:textId="77777777" w:rsidTr="00B045CF">
        <w:trPr>
          <w:gridAfter w:val="1"/>
          <w:wAfter w:w="6" w:type="dxa"/>
          <w:cantSplit/>
          <w:trHeight w:val="360"/>
          <w:jc w:val="center"/>
        </w:trPr>
        <w:tc>
          <w:tcPr>
            <w:tcW w:w="2154" w:type="dxa"/>
            <w:tcBorders>
              <w:top w:val="nil"/>
              <w:left w:val="nil"/>
              <w:bottom w:val="nil"/>
              <w:right w:val="nil"/>
            </w:tcBorders>
            <w:shd w:val="clear" w:color="000000" w:fill="FFFFFF"/>
            <w:noWrap/>
            <w:vAlign w:val="bottom"/>
            <w:hideMark/>
          </w:tcPr>
          <w:p w14:paraId="108289BF" w14:textId="77777777" w:rsidR="00AF0E67" w:rsidRPr="006539B7" w:rsidRDefault="00AF0E67" w:rsidP="0048737B">
            <w:pPr>
              <w:ind w:right="-119"/>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086" w:type="dxa"/>
            <w:gridSpan w:val="2"/>
            <w:tcBorders>
              <w:top w:val="nil"/>
              <w:left w:val="nil"/>
              <w:bottom w:val="nil"/>
              <w:right w:val="nil"/>
            </w:tcBorders>
            <w:shd w:val="clear" w:color="000000" w:fill="FFFFFF"/>
            <w:vAlign w:val="bottom"/>
            <w:hideMark/>
          </w:tcPr>
          <w:p w14:paraId="7AEB1875" w14:textId="7ED65F71" w:rsidR="00AF0E67" w:rsidRPr="00A93FB3" w:rsidRDefault="0070440B" w:rsidP="0048737B">
            <w:pPr>
              <w:ind w:right="-119"/>
              <w:rPr>
                <w:rFonts w:ascii="Calibri" w:eastAsia="Times New Roman" w:hAnsi="Calibri" w:cs="Calibri"/>
              </w:rPr>
            </w:pPr>
            <w:r>
              <w:rPr>
                <w:rFonts w:ascii="Calibri" w:hAnsi="Calibri" w:cs="Calibri"/>
              </w:rPr>
              <w:t xml:space="preserve">      </w:t>
            </w:r>
            <w:r w:rsidR="00F369D0">
              <w:rPr>
                <w:rFonts w:ascii="Calibri" w:hAnsi="Calibri" w:cs="Calibri"/>
              </w:rPr>
              <w:t xml:space="preserve"> </w:t>
            </w:r>
            <w:r w:rsidR="00AF0E67">
              <w:rPr>
                <w:rFonts w:ascii="Calibri" w:hAnsi="Calibri" w:cs="Calibri"/>
              </w:rPr>
              <w:t>18,987</w:t>
            </w:r>
          </w:p>
        </w:tc>
        <w:tc>
          <w:tcPr>
            <w:tcW w:w="1260" w:type="dxa"/>
            <w:tcBorders>
              <w:top w:val="nil"/>
              <w:left w:val="nil"/>
              <w:bottom w:val="nil"/>
              <w:right w:val="nil"/>
            </w:tcBorders>
            <w:shd w:val="clear" w:color="000000" w:fill="FFFFFF"/>
            <w:vAlign w:val="bottom"/>
            <w:hideMark/>
          </w:tcPr>
          <w:p w14:paraId="281649ED" w14:textId="30AAC4AB" w:rsidR="00AF0E67" w:rsidRPr="00A93FB3" w:rsidRDefault="0070440B" w:rsidP="0048737B">
            <w:pPr>
              <w:ind w:right="-119"/>
              <w:jc w:val="right"/>
              <w:rPr>
                <w:rFonts w:ascii="Calibri" w:eastAsia="Times New Roman" w:hAnsi="Calibri" w:cs="Calibri"/>
              </w:rPr>
            </w:pPr>
            <w:r>
              <w:rPr>
                <w:rFonts w:ascii="Calibri" w:hAnsi="Calibri" w:cs="Calibri"/>
              </w:rPr>
              <w:t xml:space="preserve">      </w:t>
            </w:r>
            <w:r w:rsidR="00AF0E67">
              <w:rPr>
                <w:rFonts w:ascii="Calibri" w:hAnsi="Calibri" w:cs="Calibri"/>
              </w:rPr>
              <w:t>18,987</w:t>
            </w:r>
          </w:p>
        </w:tc>
        <w:tc>
          <w:tcPr>
            <w:tcW w:w="1263" w:type="dxa"/>
            <w:gridSpan w:val="2"/>
            <w:tcBorders>
              <w:top w:val="nil"/>
              <w:left w:val="nil"/>
              <w:bottom w:val="nil"/>
              <w:right w:val="nil"/>
            </w:tcBorders>
            <w:shd w:val="clear" w:color="000000" w:fill="FFFFFF"/>
            <w:vAlign w:val="bottom"/>
            <w:hideMark/>
          </w:tcPr>
          <w:p w14:paraId="7A1EC1AA" w14:textId="62ED3765" w:rsidR="00AF0E67" w:rsidRPr="00A93FB3" w:rsidRDefault="0070440B" w:rsidP="0048737B">
            <w:pPr>
              <w:ind w:right="-119"/>
              <w:jc w:val="right"/>
              <w:rPr>
                <w:rFonts w:ascii="Calibri" w:eastAsia="Times New Roman" w:hAnsi="Calibri" w:cs="Calibri"/>
              </w:rPr>
            </w:pPr>
            <w:r>
              <w:rPr>
                <w:rFonts w:ascii="Calibri" w:hAnsi="Calibri" w:cs="Calibri"/>
              </w:rPr>
              <w:t xml:space="preserve">      </w:t>
            </w:r>
            <w:r w:rsidR="00AF0E67">
              <w:rPr>
                <w:rFonts w:ascii="Calibri" w:hAnsi="Calibri" w:cs="Calibri"/>
              </w:rPr>
              <w:t>18,987</w:t>
            </w:r>
          </w:p>
        </w:tc>
        <w:tc>
          <w:tcPr>
            <w:tcW w:w="1193" w:type="dxa"/>
            <w:gridSpan w:val="2"/>
            <w:tcBorders>
              <w:top w:val="nil"/>
              <w:left w:val="nil"/>
              <w:bottom w:val="nil"/>
              <w:right w:val="nil"/>
            </w:tcBorders>
            <w:shd w:val="clear" w:color="auto" w:fill="F2F2F2" w:themeFill="background1" w:themeFillShade="F2"/>
            <w:vAlign w:val="bottom"/>
            <w:hideMark/>
          </w:tcPr>
          <w:p w14:paraId="08F89C49" w14:textId="51B1F4BB" w:rsidR="00AF0E67" w:rsidRPr="006539B7" w:rsidRDefault="00AF0E67" w:rsidP="0048737B">
            <w:pPr>
              <w:ind w:right="-119"/>
              <w:jc w:val="right"/>
              <w:rPr>
                <w:rFonts w:ascii="Calibri" w:eastAsia="Times New Roman" w:hAnsi="Calibri" w:cs="Calibri"/>
                <w:color w:val="0D0D0D"/>
              </w:rPr>
            </w:pPr>
            <w:r>
              <w:rPr>
                <w:rFonts w:ascii="Calibri" w:eastAsia="Times New Roman" w:hAnsi="Calibri" w:cs="Calibri"/>
                <w:color w:val="0D0D0D"/>
              </w:rPr>
              <w:t>20,392</w:t>
            </w:r>
          </w:p>
        </w:tc>
        <w:tc>
          <w:tcPr>
            <w:tcW w:w="1350" w:type="dxa"/>
            <w:tcBorders>
              <w:top w:val="nil"/>
              <w:left w:val="nil"/>
              <w:bottom w:val="nil"/>
              <w:right w:val="nil"/>
            </w:tcBorders>
            <w:shd w:val="clear" w:color="auto" w:fill="F2F2F2" w:themeFill="background1" w:themeFillShade="F2"/>
            <w:vAlign w:val="bottom"/>
            <w:hideMark/>
          </w:tcPr>
          <w:p w14:paraId="44904402" w14:textId="07D7B393" w:rsidR="00AF0E67" w:rsidRPr="006539B7" w:rsidRDefault="00AF0E67" w:rsidP="0048737B">
            <w:pPr>
              <w:ind w:right="-119"/>
              <w:jc w:val="right"/>
              <w:rPr>
                <w:rFonts w:ascii="Calibri" w:eastAsia="Times New Roman" w:hAnsi="Calibri" w:cs="Calibri"/>
                <w:color w:val="0D0D0D"/>
              </w:rPr>
            </w:pPr>
            <w:r>
              <w:rPr>
                <w:rFonts w:ascii="Calibri" w:eastAsia="Times New Roman" w:hAnsi="Calibri" w:cs="Calibri"/>
                <w:color w:val="0D0D0D"/>
              </w:rPr>
              <w:t>20,392</w:t>
            </w:r>
          </w:p>
        </w:tc>
        <w:tc>
          <w:tcPr>
            <w:tcW w:w="1147" w:type="dxa"/>
            <w:tcBorders>
              <w:top w:val="nil"/>
              <w:left w:val="nil"/>
              <w:bottom w:val="nil"/>
              <w:right w:val="nil"/>
            </w:tcBorders>
            <w:shd w:val="clear" w:color="auto" w:fill="F2F2F2" w:themeFill="background1" w:themeFillShade="F2"/>
            <w:vAlign w:val="bottom"/>
            <w:hideMark/>
          </w:tcPr>
          <w:p w14:paraId="6D8DD000" w14:textId="38F45F06" w:rsidR="00AF0E67" w:rsidRPr="006539B7" w:rsidRDefault="00AF0E67" w:rsidP="0048737B">
            <w:pPr>
              <w:ind w:right="-119"/>
              <w:jc w:val="right"/>
              <w:rPr>
                <w:rFonts w:ascii="Calibri" w:eastAsia="Times New Roman" w:hAnsi="Calibri" w:cs="Calibri"/>
                <w:color w:val="0D0D0D"/>
              </w:rPr>
            </w:pPr>
            <w:r>
              <w:rPr>
                <w:rFonts w:ascii="Calibri" w:eastAsia="Times New Roman" w:hAnsi="Calibri" w:cs="Calibri"/>
                <w:color w:val="0D0D0D"/>
              </w:rPr>
              <w:t>20,392</w:t>
            </w:r>
          </w:p>
        </w:tc>
      </w:tr>
      <w:tr w:rsidR="006D343C" w:rsidRPr="006539B7" w14:paraId="063AD365" w14:textId="77777777" w:rsidTr="00B045CF">
        <w:trPr>
          <w:gridAfter w:val="1"/>
          <w:wAfter w:w="6" w:type="dxa"/>
          <w:cantSplit/>
          <w:trHeight w:val="244"/>
          <w:jc w:val="center"/>
        </w:trPr>
        <w:tc>
          <w:tcPr>
            <w:tcW w:w="2154" w:type="dxa"/>
            <w:tcBorders>
              <w:top w:val="single" w:sz="12" w:space="0" w:color="00688D"/>
              <w:left w:val="nil"/>
              <w:bottom w:val="single" w:sz="8" w:space="0" w:color="00688D"/>
              <w:right w:val="nil"/>
            </w:tcBorders>
            <w:shd w:val="clear" w:color="000000" w:fill="FFFFFF"/>
            <w:noWrap/>
            <w:vAlign w:val="bottom"/>
            <w:hideMark/>
          </w:tcPr>
          <w:p w14:paraId="3EF8E337" w14:textId="6EB1588B" w:rsidR="00AF0E67" w:rsidRPr="006539B7" w:rsidRDefault="00627B3F" w:rsidP="0048737B">
            <w:pPr>
              <w:ind w:right="-119"/>
              <w:rPr>
                <w:rFonts w:ascii="Calibri" w:eastAsia="Times New Roman" w:hAnsi="Calibri" w:cs="Calibri"/>
                <w:color w:val="0D0D0D"/>
              </w:rPr>
            </w:pPr>
            <w:r>
              <w:rPr>
                <w:rFonts w:ascii="Calibri" w:eastAsia="Times New Roman" w:hAnsi="Calibri" w:cs="Calibri"/>
                <w:color w:val="0D0D0D"/>
              </w:rPr>
              <w:t>Net p</w:t>
            </w:r>
            <w:r w:rsidR="0070440B">
              <w:rPr>
                <w:rFonts w:ascii="Calibri" w:eastAsia="Times New Roman" w:hAnsi="Calibri" w:cs="Calibri"/>
                <w:color w:val="0D0D0D"/>
              </w:rPr>
              <w:t>e</w:t>
            </w:r>
            <w:r w:rsidR="00AF0E67" w:rsidRPr="006539B7">
              <w:rPr>
                <w:rFonts w:ascii="Calibri" w:eastAsia="Times New Roman" w:hAnsi="Calibri" w:cs="Calibri"/>
                <w:color w:val="0D0D0D"/>
              </w:rPr>
              <w:t>nsion liability</w:t>
            </w:r>
          </w:p>
        </w:tc>
        <w:tc>
          <w:tcPr>
            <w:tcW w:w="1086" w:type="dxa"/>
            <w:gridSpan w:val="2"/>
            <w:tcBorders>
              <w:top w:val="single" w:sz="12" w:space="0" w:color="00688D"/>
              <w:left w:val="nil"/>
              <w:bottom w:val="single" w:sz="8" w:space="0" w:color="00688D"/>
              <w:right w:val="nil"/>
            </w:tcBorders>
            <w:shd w:val="clear" w:color="000000" w:fill="FFFFFF"/>
            <w:noWrap/>
            <w:vAlign w:val="bottom"/>
            <w:hideMark/>
          </w:tcPr>
          <w:p w14:paraId="6D317BC9" w14:textId="45BFE91A" w:rsidR="00AF0E67" w:rsidRPr="00A93FB3" w:rsidRDefault="005A7674" w:rsidP="0048737B">
            <w:pPr>
              <w:ind w:right="-119"/>
              <w:jc w:val="right"/>
              <w:rPr>
                <w:rFonts w:ascii="Calibri" w:eastAsia="Times New Roman" w:hAnsi="Calibri" w:cs="Calibri"/>
              </w:rPr>
            </w:pPr>
            <w:r>
              <w:rPr>
                <w:rFonts w:ascii="Calibri" w:hAnsi="Calibri" w:cs="Calibri"/>
                <w:color w:val="0D0D0D"/>
              </w:rPr>
              <w:t xml:space="preserve"> $</w:t>
            </w:r>
            <w:r w:rsidR="00AF0E67">
              <w:rPr>
                <w:rFonts w:ascii="Calibri" w:hAnsi="Calibri" w:cs="Calibri"/>
                <w:color w:val="0D0D0D"/>
              </w:rPr>
              <w:t xml:space="preserve"> </w:t>
            </w:r>
            <w:r w:rsidR="00AB55A3">
              <w:rPr>
                <w:rFonts w:ascii="Calibri" w:hAnsi="Calibri" w:cs="Calibri"/>
                <w:color w:val="0D0D0D"/>
              </w:rPr>
              <w:t>12</w:t>
            </w:r>
            <w:r w:rsidR="00AF0E67">
              <w:rPr>
                <w:rFonts w:ascii="Calibri" w:hAnsi="Calibri" w:cs="Calibri"/>
                <w:color w:val="0D0D0D"/>
              </w:rPr>
              <w:t>,</w:t>
            </w:r>
            <w:r w:rsidR="0088180F">
              <w:rPr>
                <w:rFonts w:ascii="Calibri" w:hAnsi="Calibri" w:cs="Calibri"/>
                <w:color w:val="0D0D0D"/>
              </w:rPr>
              <w:t>691</w:t>
            </w:r>
          </w:p>
        </w:tc>
        <w:tc>
          <w:tcPr>
            <w:tcW w:w="1260" w:type="dxa"/>
            <w:tcBorders>
              <w:top w:val="single" w:sz="12" w:space="0" w:color="00688D"/>
              <w:left w:val="nil"/>
              <w:bottom w:val="single" w:sz="8" w:space="0" w:color="00688D"/>
              <w:right w:val="nil"/>
            </w:tcBorders>
            <w:shd w:val="clear" w:color="000000" w:fill="FFFFFF"/>
            <w:noWrap/>
            <w:vAlign w:val="bottom"/>
            <w:hideMark/>
          </w:tcPr>
          <w:p w14:paraId="1E66C0D0" w14:textId="33DC4513" w:rsidR="00AF0E67" w:rsidRPr="00A93FB3" w:rsidRDefault="00AF0E67" w:rsidP="0048737B">
            <w:pPr>
              <w:ind w:right="-119"/>
              <w:jc w:val="right"/>
              <w:rPr>
                <w:rFonts w:ascii="Calibri" w:eastAsia="Times New Roman" w:hAnsi="Calibri" w:cs="Calibri"/>
              </w:rPr>
            </w:pPr>
            <w:r>
              <w:rPr>
                <w:rFonts w:ascii="Calibri" w:hAnsi="Calibri" w:cs="Calibri"/>
                <w:color w:val="0D0D0D"/>
              </w:rPr>
              <w:t xml:space="preserve"> </w:t>
            </w:r>
            <w:r w:rsidR="005A7674">
              <w:rPr>
                <w:rFonts w:ascii="Calibri" w:hAnsi="Calibri" w:cs="Calibri"/>
                <w:color w:val="0D0D0D"/>
              </w:rPr>
              <w:t xml:space="preserve">$ </w:t>
            </w:r>
            <w:r>
              <w:rPr>
                <w:rFonts w:ascii="Calibri" w:hAnsi="Calibri" w:cs="Calibri"/>
                <w:color w:val="0D0D0D"/>
              </w:rPr>
              <w:t>10,711</w:t>
            </w:r>
          </w:p>
        </w:tc>
        <w:tc>
          <w:tcPr>
            <w:tcW w:w="1263" w:type="dxa"/>
            <w:gridSpan w:val="2"/>
            <w:tcBorders>
              <w:top w:val="single" w:sz="12" w:space="0" w:color="00688D"/>
              <w:left w:val="nil"/>
              <w:bottom w:val="single" w:sz="8" w:space="0" w:color="00688D"/>
              <w:right w:val="nil"/>
            </w:tcBorders>
            <w:shd w:val="clear" w:color="000000" w:fill="FFFFFF"/>
            <w:noWrap/>
            <w:vAlign w:val="bottom"/>
            <w:hideMark/>
          </w:tcPr>
          <w:p w14:paraId="66FFA987" w14:textId="6A9B2171" w:rsidR="00AF0E67" w:rsidRPr="00A93FB3" w:rsidRDefault="005A7674" w:rsidP="0048737B">
            <w:pPr>
              <w:ind w:right="-119"/>
              <w:jc w:val="right"/>
              <w:rPr>
                <w:rFonts w:ascii="Calibri" w:eastAsia="Times New Roman" w:hAnsi="Calibri" w:cs="Calibri"/>
              </w:rPr>
            </w:pPr>
            <w:r>
              <w:rPr>
                <w:rFonts w:ascii="Calibri" w:hAnsi="Calibri" w:cs="Calibri"/>
                <w:color w:val="0D0D0D"/>
              </w:rPr>
              <w:t xml:space="preserve"> $</w:t>
            </w:r>
            <w:r w:rsidR="00AB55A3">
              <w:rPr>
                <w:rFonts w:ascii="Calibri" w:hAnsi="Calibri" w:cs="Calibri"/>
                <w:color w:val="0D0D0D"/>
              </w:rPr>
              <w:t xml:space="preserve"> </w:t>
            </w:r>
            <w:r>
              <w:rPr>
                <w:rFonts w:ascii="Calibri" w:hAnsi="Calibri" w:cs="Calibri"/>
                <w:color w:val="0D0D0D"/>
              </w:rPr>
              <w:t xml:space="preserve"> </w:t>
            </w:r>
            <w:r w:rsidR="00AB55A3">
              <w:rPr>
                <w:rFonts w:ascii="Calibri" w:hAnsi="Calibri" w:cs="Calibri"/>
                <w:color w:val="0D0D0D"/>
              </w:rPr>
              <w:t xml:space="preserve"> 8,957</w:t>
            </w:r>
          </w:p>
        </w:tc>
        <w:tc>
          <w:tcPr>
            <w:tcW w:w="1193" w:type="dxa"/>
            <w:gridSpan w:val="2"/>
            <w:tcBorders>
              <w:top w:val="single" w:sz="12" w:space="0" w:color="00688D"/>
              <w:left w:val="nil"/>
              <w:bottom w:val="single" w:sz="8" w:space="0" w:color="00688D"/>
              <w:right w:val="nil"/>
            </w:tcBorders>
            <w:shd w:val="clear" w:color="auto" w:fill="F2F2F2" w:themeFill="background1" w:themeFillShade="F2"/>
            <w:noWrap/>
            <w:vAlign w:val="bottom"/>
            <w:hideMark/>
          </w:tcPr>
          <w:p w14:paraId="79178232" w14:textId="03D0136B" w:rsidR="00AF0E67" w:rsidRPr="006539B7" w:rsidRDefault="00AF0E67" w:rsidP="0048737B">
            <w:pPr>
              <w:ind w:right="-119"/>
              <w:jc w:val="right"/>
              <w:rPr>
                <w:rFonts w:ascii="Calibri" w:eastAsia="Times New Roman" w:hAnsi="Calibri" w:cs="Calibri"/>
                <w:color w:val="0D0D0D"/>
              </w:rPr>
            </w:pPr>
            <w:r w:rsidRPr="00A93FB3">
              <w:rPr>
                <w:rFonts w:ascii="Calibri" w:eastAsia="Times New Roman" w:hAnsi="Calibri" w:cs="Calibri"/>
              </w:rPr>
              <w:t>$ 13,810</w:t>
            </w:r>
          </w:p>
        </w:tc>
        <w:tc>
          <w:tcPr>
            <w:tcW w:w="1350" w:type="dxa"/>
            <w:tcBorders>
              <w:top w:val="single" w:sz="12" w:space="0" w:color="00688D"/>
              <w:left w:val="nil"/>
              <w:bottom w:val="single" w:sz="8" w:space="0" w:color="00688D"/>
              <w:right w:val="nil"/>
            </w:tcBorders>
            <w:shd w:val="clear" w:color="auto" w:fill="F2F2F2" w:themeFill="background1" w:themeFillShade="F2"/>
            <w:noWrap/>
            <w:vAlign w:val="bottom"/>
            <w:hideMark/>
          </w:tcPr>
          <w:p w14:paraId="15EAB66C" w14:textId="4B5E023F" w:rsidR="00AF0E67" w:rsidRPr="006539B7" w:rsidRDefault="00AF0E67" w:rsidP="0048737B">
            <w:pPr>
              <w:ind w:right="-119"/>
              <w:jc w:val="right"/>
              <w:rPr>
                <w:rFonts w:ascii="Calibri" w:eastAsia="Times New Roman" w:hAnsi="Calibri" w:cs="Calibri"/>
                <w:color w:val="0D0D0D"/>
              </w:rPr>
            </w:pPr>
            <w:r w:rsidRPr="00A93FB3">
              <w:rPr>
                <w:rFonts w:ascii="Calibri" w:eastAsia="Times New Roman" w:hAnsi="Calibri" w:cs="Calibri"/>
              </w:rPr>
              <w:t>$ 11,652</w:t>
            </w:r>
          </w:p>
        </w:tc>
        <w:tc>
          <w:tcPr>
            <w:tcW w:w="1147" w:type="dxa"/>
            <w:tcBorders>
              <w:top w:val="single" w:sz="12" w:space="0" w:color="00688D"/>
              <w:left w:val="nil"/>
              <w:bottom w:val="single" w:sz="8" w:space="0" w:color="00688D"/>
              <w:right w:val="nil"/>
            </w:tcBorders>
            <w:shd w:val="clear" w:color="auto" w:fill="F2F2F2" w:themeFill="background1" w:themeFillShade="F2"/>
            <w:noWrap/>
            <w:vAlign w:val="bottom"/>
            <w:hideMark/>
          </w:tcPr>
          <w:p w14:paraId="68650341" w14:textId="50900B32" w:rsidR="00AF0E67" w:rsidRPr="006539B7" w:rsidRDefault="005A7674" w:rsidP="0048737B">
            <w:pPr>
              <w:ind w:right="-119"/>
              <w:jc w:val="right"/>
              <w:rPr>
                <w:rFonts w:ascii="Calibri" w:eastAsia="Times New Roman" w:hAnsi="Calibri" w:cs="Calibri"/>
                <w:color w:val="0D0D0D"/>
              </w:rPr>
            </w:pPr>
            <w:r>
              <w:rPr>
                <w:rFonts w:ascii="Calibri" w:eastAsia="Times New Roman" w:hAnsi="Calibri" w:cs="Calibri"/>
              </w:rPr>
              <w:t xml:space="preserve">$ </w:t>
            </w:r>
            <w:r w:rsidR="00AF0E67" w:rsidRPr="00A93FB3">
              <w:rPr>
                <w:rFonts w:ascii="Calibri" w:eastAsia="Times New Roman" w:hAnsi="Calibri" w:cs="Calibri"/>
              </w:rPr>
              <w:t xml:space="preserve">  </w:t>
            </w:r>
            <w:r>
              <w:rPr>
                <w:rFonts w:ascii="Calibri" w:eastAsia="Times New Roman" w:hAnsi="Calibri" w:cs="Calibri"/>
              </w:rPr>
              <w:t xml:space="preserve"> </w:t>
            </w:r>
            <w:r w:rsidR="00AF0E67" w:rsidRPr="00A93FB3">
              <w:rPr>
                <w:rFonts w:ascii="Calibri" w:eastAsia="Times New Roman" w:hAnsi="Calibri" w:cs="Calibri"/>
              </w:rPr>
              <w:t>9,742</w:t>
            </w:r>
          </w:p>
        </w:tc>
      </w:tr>
    </w:tbl>
    <w:p w14:paraId="19CC8A0F" w14:textId="77777777" w:rsidR="00DD1612" w:rsidRPr="0048737B" w:rsidRDefault="00DD1612" w:rsidP="00DD1612">
      <w:pPr>
        <w:spacing w:after="160" w:line="259" w:lineRule="auto"/>
        <w:rPr>
          <w:rFonts w:cstheme="minorHAnsi"/>
          <w:sz w:val="26"/>
        </w:rPr>
      </w:pPr>
      <w:r>
        <w:rPr>
          <w:rFonts w:cstheme="minorHAnsi"/>
          <w:b/>
          <w:i/>
          <w:sz w:val="26"/>
          <w:u w:val="single" w:color="000000" w:themeColor="text1"/>
        </w:rPr>
        <w:br w:type="page"/>
      </w:r>
    </w:p>
    <w:p w14:paraId="56D9160C" w14:textId="77777777" w:rsidR="00DD1612" w:rsidRPr="00F54559" w:rsidRDefault="00DD1612" w:rsidP="00DD1612">
      <w:pPr>
        <w:spacing w:before="240" w:after="120" w:line="259" w:lineRule="auto"/>
        <w:rPr>
          <w:rFonts w:cstheme="minorHAnsi"/>
          <w:b/>
          <w:i/>
          <w:sz w:val="26"/>
          <w:u w:val="single" w:color="000000" w:themeColor="text1"/>
        </w:rPr>
      </w:pPr>
      <w:r w:rsidRPr="00F54559">
        <w:rPr>
          <w:rFonts w:cstheme="minorHAnsi"/>
          <w:b/>
          <w:i/>
          <w:sz w:val="26"/>
          <w:u w:val="single" w:color="000000" w:themeColor="text1"/>
        </w:rPr>
        <w:lastRenderedPageBreak/>
        <w:t>13d. Defined Benefit Plan – Classified Employees - continued</w:t>
      </w:r>
      <w:r w:rsidRPr="00F54559" w:rsidDel="00C6783E">
        <w:rPr>
          <w:rFonts w:cstheme="minorHAnsi"/>
          <w:b/>
          <w:i/>
          <w:sz w:val="26"/>
          <w:u w:val="single" w:color="000000" w:themeColor="text1"/>
        </w:rPr>
        <w:t xml:space="preserve"> </w:t>
      </w:r>
    </w:p>
    <w:p w14:paraId="612FB7D4" w14:textId="77777777" w:rsidR="00DD1612" w:rsidRDefault="00DD1612" w:rsidP="00DD1612">
      <w:pPr>
        <w:widowControl w:val="0"/>
        <w:spacing w:before="240" w:after="240"/>
        <w:rPr>
          <w:rFonts w:cstheme="minorHAnsi"/>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N</w:t>
      </w:r>
      <w:r w:rsidRPr="00F54559">
        <w:rPr>
          <w:rFonts w:eastAsia="Franklin Gothic Book" w:cstheme="minorHAnsi"/>
          <w:spacing w:val="1"/>
          <w:sz w:val="24"/>
        </w:rPr>
        <w:t>e</w:t>
      </w:r>
      <w:r w:rsidRPr="00F54559">
        <w:rPr>
          <w:rFonts w:eastAsia="Franklin Gothic Book" w:cstheme="minorHAnsi"/>
          <w:sz w:val="24"/>
        </w:rPr>
        <w:t xml:space="preserve">t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Defined Benefit Pension Plan</w:t>
      </w:r>
      <w:r w:rsidRPr="00F54559">
        <w:rPr>
          <w:rFonts w:eastAsia="Franklin Gothic Book" w:cstheme="minorHAnsi"/>
          <w:sz w:val="24"/>
        </w:rPr>
        <w:t>:</w:t>
      </w:r>
      <w:r>
        <w:rPr>
          <w:rFonts w:cstheme="minorHAnsi"/>
        </w:rPr>
        <w:fldChar w:fldCharType="begin"/>
      </w:r>
      <w:r>
        <w:rPr>
          <w:rFonts w:cstheme="minorHAnsi"/>
        </w:rPr>
        <w:fldChar w:fldCharType="end"/>
      </w:r>
    </w:p>
    <w:tbl>
      <w:tblPr>
        <w:tblW w:w="9090" w:type="dxa"/>
        <w:jc w:val="center"/>
        <w:tblLayout w:type="fixed"/>
        <w:tblLook w:val="04A0" w:firstRow="1" w:lastRow="0" w:firstColumn="1" w:lastColumn="0" w:noHBand="0" w:noVBand="1"/>
      </w:tblPr>
      <w:tblGrid>
        <w:gridCol w:w="6123"/>
        <w:gridCol w:w="1437"/>
        <w:gridCol w:w="1530"/>
      </w:tblGrid>
      <w:tr w:rsidR="00DD1612" w:rsidRPr="00875AA0" w14:paraId="53C92BE2" w14:textId="77777777" w:rsidTr="00B045CF">
        <w:trPr>
          <w:trHeight w:val="324"/>
          <w:tblHeader/>
          <w:jc w:val="center"/>
        </w:trPr>
        <w:tc>
          <w:tcPr>
            <w:tcW w:w="6123" w:type="dxa"/>
            <w:tcBorders>
              <w:top w:val="nil"/>
              <w:left w:val="nil"/>
              <w:bottom w:val="single" w:sz="12" w:space="0" w:color="00688D"/>
              <w:right w:val="nil"/>
            </w:tcBorders>
            <w:shd w:val="clear" w:color="000000" w:fill="FFFFFF"/>
            <w:vAlign w:val="bottom"/>
            <w:hideMark/>
          </w:tcPr>
          <w:p w14:paraId="7EAC2850" w14:textId="77777777" w:rsidR="00DD1612" w:rsidRPr="00875AA0" w:rsidRDefault="00DD1612" w:rsidP="00BD375F">
            <w:pPr>
              <w:rPr>
                <w:rFonts w:ascii="Calibri" w:eastAsia="Times New Roman" w:hAnsi="Calibri" w:cs="Calibri"/>
                <w:b/>
                <w:bCs/>
                <w:color w:val="0D0D0D"/>
              </w:rPr>
            </w:pPr>
            <w:r w:rsidRPr="00875AA0">
              <w:rPr>
                <w:rFonts w:ascii="Calibri" w:eastAsia="Times New Roman" w:hAnsi="Calibri" w:cs="Calibri"/>
                <w:b/>
                <w:bCs/>
                <w:color w:val="0D0D0D"/>
              </w:rPr>
              <w:t>Fiscal Year Ended June 30</w:t>
            </w:r>
          </w:p>
        </w:tc>
        <w:tc>
          <w:tcPr>
            <w:tcW w:w="1437" w:type="dxa"/>
            <w:tcBorders>
              <w:top w:val="nil"/>
              <w:left w:val="nil"/>
              <w:bottom w:val="single" w:sz="12" w:space="0" w:color="00688D"/>
              <w:right w:val="nil"/>
            </w:tcBorders>
            <w:shd w:val="clear" w:color="000000" w:fill="FFFFFF"/>
            <w:noWrap/>
            <w:vAlign w:val="bottom"/>
            <w:hideMark/>
          </w:tcPr>
          <w:p w14:paraId="2D937F46" w14:textId="5DFE921D" w:rsidR="00DD1612" w:rsidRPr="00875AA0" w:rsidRDefault="00DD1612" w:rsidP="00BD375F">
            <w:pPr>
              <w:jc w:val="center"/>
              <w:rPr>
                <w:rFonts w:ascii="Calibri" w:eastAsia="Times New Roman" w:hAnsi="Calibri" w:cs="Calibri"/>
                <w:b/>
                <w:bCs/>
                <w:color w:val="0D0D0D"/>
              </w:rPr>
            </w:pPr>
            <w:r w:rsidRPr="00875AA0">
              <w:rPr>
                <w:rFonts w:ascii="Calibri" w:eastAsia="Times New Roman" w:hAnsi="Calibri" w:cs="Calibri"/>
                <w:b/>
                <w:bCs/>
                <w:color w:val="0D0D0D"/>
              </w:rPr>
              <w:t>202</w:t>
            </w:r>
            <w:r w:rsidR="00B87820">
              <w:rPr>
                <w:rFonts w:ascii="Calibri" w:eastAsia="Times New Roman" w:hAnsi="Calibri" w:cs="Calibri"/>
                <w:b/>
                <w:bCs/>
                <w:color w:val="0D0D0D"/>
              </w:rPr>
              <w:t>3</w:t>
            </w:r>
          </w:p>
        </w:tc>
        <w:tc>
          <w:tcPr>
            <w:tcW w:w="1530" w:type="dxa"/>
            <w:tcBorders>
              <w:top w:val="nil"/>
              <w:left w:val="nil"/>
              <w:bottom w:val="single" w:sz="12" w:space="0" w:color="00688D"/>
              <w:right w:val="nil"/>
            </w:tcBorders>
            <w:shd w:val="clear" w:color="auto" w:fill="F2F2F2" w:themeFill="background1" w:themeFillShade="F2"/>
            <w:noWrap/>
            <w:vAlign w:val="bottom"/>
          </w:tcPr>
          <w:p w14:paraId="0E865DCD" w14:textId="719C10FD" w:rsidR="00DD1612" w:rsidRPr="00875AA0" w:rsidRDefault="00DD1612" w:rsidP="00BD375F">
            <w:pPr>
              <w:jc w:val="center"/>
              <w:rPr>
                <w:rFonts w:ascii="Calibri" w:eastAsia="Times New Roman" w:hAnsi="Calibri" w:cs="Calibri"/>
                <w:b/>
                <w:bCs/>
                <w:color w:val="0D0D0D"/>
              </w:rPr>
            </w:pPr>
            <w:r>
              <w:rPr>
                <w:rFonts w:ascii="Calibri" w:eastAsia="Times New Roman" w:hAnsi="Calibri" w:cs="Calibri"/>
                <w:b/>
                <w:bCs/>
                <w:color w:val="0D0D0D"/>
              </w:rPr>
              <w:t>202</w:t>
            </w:r>
            <w:r w:rsidR="00B87820">
              <w:rPr>
                <w:rFonts w:ascii="Calibri" w:eastAsia="Times New Roman" w:hAnsi="Calibri" w:cs="Calibri"/>
                <w:b/>
                <w:bCs/>
                <w:color w:val="0D0D0D"/>
              </w:rPr>
              <w:t>2</w:t>
            </w:r>
          </w:p>
        </w:tc>
      </w:tr>
      <w:tr w:rsidR="00B87820" w:rsidRPr="00875AA0" w14:paraId="39C08270" w14:textId="77777777" w:rsidTr="00B045CF">
        <w:trPr>
          <w:trHeight w:val="123"/>
          <w:jc w:val="center"/>
        </w:trPr>
        <w:tc>
          <w:tcPr>
            <w:tcW w:w="6123" w:type="dxa"/>
            <w:tcBorders>
              <w:top w:val="nil"/>
              <w:left w:val="nil"/>
              <w:bottom w:val="nil"/>
              <w:right w:val="nil"/>
            </w:tcBorders>
            <w:shd w:val="clear" w:color="000000" w:fill="FFFFFF"/>
            <w:vAlign w:val="bottom"/>
            <w:hideMark/>
          </w:tcPr>
          <w:p w14:paraId="67A54F98" w14:textId="77777777" w:rsidR="00B87820" w:rsidRPr="00875AA0" w:rsidRDefault="00B87820" w:rsidP="00B87820">
            <w:pPr>
              <w:spacing w:before="120"/>
              <w:rPr>
                <w:rFonts w:ascii="Calibri" w:eastAsia="Times New Roman" w:hAnsi="Calibri" w:cs="Calibri"/>
                <w:color w:val="0D0D0D"/>
              </w:rPr>
            </w:pPr>
            <w:r w:rsidRPr="00875AA0">
              <w:rPr>
                <w:rFonts w:ascii="Calibri" w:eastAsia="Times New Roman" w:hAnsi="Calibri" w:cs="Calibri"/>
                <w:color w:val="0D0D0D"/>
              </w:rPr>
              <w:t xml:space="preserve">Total pension liability – beginning </w:t>
            </w:r>
          </w:p>
        </w:tc>
        <w:tc>
          <w:tcPr>
            <w:tcW w:w="1437" w:type="dxa"/>
            <w:tcBorders>
              <w:top w:val="nil"/>
              <w:left w:val="nil"/>
              <w:bottom w:val="nil"/>
              <w:right w:val="nil"/>
            </w:tcBorders>
            <w:shd w:val="clear" w:color="000000" w:fill="FFFFFF"/>
            <w:noWrap/>
            <w:vAlign w:val="bottom"/>
            <w:hideMark/>
          </w:tcPr>
          <w:p w14:paraId="4BEB79E5" w14:textId="6C799F9B" w:rsidR="00B87820" w:rsidRPr="00A93FB3" w:rsidRDefault="00B87820" w:rsidP="00B87820">
            <w:pPr>
              <w:spacing w:before="120"/>
              <w:ind w:firstLineChars="100" w:firstLine="220"/>
              <w:jc w:val="right"/>
              <w:rPr>
                <w:rFonts w:ascii="Calibri" w:eastAsia="Times New Roman" w:hAnsi="Calibri" w:cs="Calibri"/>
              </w:rPr>
            </w:pPr>
            <w:r>
              <w:rPr>
                <w:rFonts w:ascii="Calibri" w:hAnsi="Calibri"/>
                <w:color w:val="0D0D0D"/>
              </w:rPr>
              <w:t xml:space="preserve"> $    32,044 </w:t>
            </w:r>
          </w:p>
        </w:tc>
        <w:tc>
          <w:tcPr>
            <w:tcW w:w="1530" w:type="dxa"/>
            <w:tcBorders>
              <w:top w:val="nil"/>
              <w:left w:val="nil"/>
              <w:bottom w:val="nil"/>
              <w:right w:val="nil"/>
            </w:tcBorders>
            <w:shd w:val="clear" w:color="auto" w:fill="F2F2F2" w:themeFill="background1" w:themeFillShade="F2"/>
            <w:noWrap/>
            <w:vAlign w:val="bottom"/>
          </w:tcPr>
          <w:p w14:paraId="23B033D0" w14:textId="03D11A3B" w:rsidR="00B87820" w:rsidRPr="00875AA0" w:rsidRDefault="00B87820" w:rsidP="00B87820">
            <w:pPr>
              <w:spacing w:before="120"/>
              <w:jc w:val="right"/>
              <w:rPr>
                <w:rFonts w:ascii="Calibri" w:eastAsia="Times New Roman" w:hAnsi="Calibri" w:cs="Calibri"/>
                <w:color w:val="0D0D0D"/>
              </w:rPr>
            </w:pPr>
            <w:r>
              <w:rPr>
                <w:rFonts w:ascii="Calibri" w:hAnsi="Calibri"/>
                <w:color w:val="0D0D0D"/>
              </w:rPr>
              <w:t xml:space="preserve"> $    33,840 </w:t>
            </w:r>
          </w:p>
        </w:tc>
      </w:tr>
      <w:tr w:rsidR="00B87820" w:rsidRPr="00875AA0" w14:paraId="35D47BB6" w14:textId="77777777" w:rsidTr="00B045CF">
        <w:trPr>
          <w:trHeight w:val="99"/>
          <w:jc w:val="center"/>
        </w:trPr>
        <w:tc>
          <w:tcPr>
            <w:tcW w:w="6123" w:type="dxa"/>
            <w:tcBorders>
              <w:top w:val="nil"/>
              <w:left w:val="nil"/>
              <w:bottom w:val="nil"/>
              <w:right w:val="nil"/>
            </w:tcBorders>
            <w:shd w:val="clear" w:color="000000" w:fill="FFFFFF"/>
            <w:vAlign w:val="bottom"/>
            <w:hideMark/>
          </w:tcPr>
          <w:p w14:paraId="2958CE4B"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Changes for the year:</w:t>
            </w:r>
          </w:p>
        </w:tc>
        <w:tc>
          <w:tcPr>
            <w:tcW w:w="1437" w:type="dxa"/>
            <w:tcBorders>
              <w:top w:val="nil"/>
              <w:left w:val="nil"/>
              <w:bottom w:val="nil"/>
              <w:right w:val="nil"/>
            </w:tcBorders>
            <w:shd w:val="clear" w:color="000000" w:fill="FFFFFF"/>
            <w:noWrap/>
            <w:vAlign w:val="bottom"/>
            <w:hideMark/>
          </w:tcPr>
          <w:p w14:paraId="4EEED149" w14:textId="36AECFEE"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w:t>
            </w:r>
          </w:p>
        </w:tc>
        <w:tc>
          <w:tcPr>
            <w:tcW w:w="1530" w:type="dxa"/>
            <w:tcBorders>
              <w:top w:val="nil"/>
              <w:left w:val="nil"/>
              <w:bottom w:val="nil"/>
              <w:right w:val="nil"/>
            </w:tcBorders>
            <w:shd w:val="clear" w:color="auto" w:fill="F2F2F2" w:themeFill="background1" w:themeFillShade="F2"/>
            <w:noWrap/>
            <w:vAlign w:val="bottom"/>
          </w:tcPr>
          <w:p w14:paraId="3ADFC6A5" w14:textId="2BBB12E0" w:rsidR="00B87820" w:rsidRPr="00875AA0" w:rsidRDefault="00B87820" w:rsidP="00B87820">
            <w:pPr>
              <w:jc w:val="right"/>
              <w:rPr>
                <w:rFonts w:ascii="Calibri" w:eastAsia="Times New Roman" w:hAnsi="Calibri" w:cs="Calibri"/>
                <w:color w:val="0D0D0D"/>
              </w:rPr>
            </w:pPr>
            <w:r>
              <w:rPr>
                <w:rFonts w:ascii="Calibri" w:hAnsi="Calibri"/>
                <w:color w:val="0D0D0D"/>
              </w:rPr>
              <w:t> </w:t>
            </w:r>
          </w:p>
        </w:tc>
      </w:tr>
      <w:tr w:rsidR="00B87820" w:rsidRPr="00875AA0" w14:paraId="57259617" w14:textId="77777777" w:rsidTr="00B045CF">
        <w:trPr>
          <w:trHeight w:val="99"/>
          <w:jc w:val="center"/>
        </w:trPr>
        <w:tc>
          <w:tcPr>
            <w:tcW w:w="6123" w:type="dxa"/>
            <w:tcBorders>
              <w:top w:val="nil"/>
              <w:left w:val="nil"/>
              <w:bottom w:val="nil"/>
              <w:right w:val="nil"/>
            </w:tcBorders>
            <w:shd w:val="clear" w:color="000000" w:fill="FFFFFF"/>
            <w:vAlign w:val="bottom"/>
            <w:hideMark/>
          </w:tcPr>
          <w:p w14:paraId="339AD1CE"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Service cost</w:t>
            </w:r>
          </w:p>
        </w:tc>
        <w:tc>
          <w:tcPr>
            <w:tcW w:w="1437" w:type="dxa"/>
            <w:tcBorders>
              <w:top w:val="nil"/>
              <w:left w:val="nil"/>
              <w:bottom w:val="nil"/>
              <w:right w:val="nil"/>
            </w:tcBorders>
            <w:shd w:val="clear" w:color="000000" w:fill="FFFFFF"/>
            <w:noWrap/>
            <w:vAlign w:val="bottom"/>
            <w:hideMark/>
          </w:tcPr>
          <w:p w14:paraId="556F99C3" w14:textId="694295AB"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1 </w:t>
            </w:r>
          </w:p>
        </w:tc>
        <w:tc>
          <w:tcPr>
            <w:tcW w:w="1530" w:type="dxa"/>
            <w:tcBorders>
              <w:top w:val="nil"/>
              <w:left w:val="nil"/>
              <w:bottom w:val="nil"/>
              <w:right w:val="nil"/>
            </w:tcBorders>
            <w:shd w:val="clear" w:color="auto" w:fill="F2F2F2" w:themeFill="background1" w:themeFillShade="F2"/>
            <w:noWrap/>
            <w:vAlign w:val="bottom"/>
          </w:tcPr>
          <w:p w14:paraId="356AA415" w14:textId="434F5894"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1 </w:t>
            </w:r>
          </w:p>
        </w:tc>
      </w:tr>
      <w:tr w:rsidR="00B87820" w:rsidRPr="00875AA0" w14:paraId="37546DA8" w14:textId="77777777" w:rsidTr="00B045CF">
        <w:trPr>
          <w:trHeight w:val="60"/>
          <w:jc w:val="center"/>
        </w:trPr>
        <w:tc>
          <w:tcPr>
            <w:tcW w:w="6123" w:type="dxa"/>
            <w:tcBorders>
              <w:top w:val="nil"/>
              <w:left w:val="nil"/>
              <w:bottom w:val="nil"/>
              <w:right w:val="nil"/>
            </w:tcBorders>
            <w:shd w:val="clear" w:color="000000" w:fill="FFFFFF"/>
            <w:vAlign w:val="bottom"/>
            <w:hideMark/>
          </w:tcPr>
          <w:p w14:paraId="57FBCFBD"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Interest</w:t>
            </w:r>
          </w:p>
        </w:tc>
        <w:tc>
          <w:tcPr>
            <w:tcW w:w="1437" w:type="dxa"/>
            <w:tcBorders>
              <w:top w:val="nil"/>
              <w:left w:val="nil"/>
              <w:bottom w:val="nil"/>
              <w:right w:val="nil"/>
            </w:tcBorders>
            <w:shd w:val="clear" w:color="000000" w:fill="FFFFFF"/>
            <w:noWrap/>
            <w:vAlign w:val="bottom"/>
            <w:hideMark/>
          </w:tcPr>
          <w:p w14:paraId="725D6843" w14:textId="5289BAA0"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1,891 </w:t>
            </w:r>
          </w:p>
        </w:tc>
        <w:tc>
          <w:tcPr>
            <w:tcW w:w="1530" w:type="dxa"/>
            <w:tcBorders>
              <w:top w:val="nil"/>
              <w:left w:val="nil"/>
              <w:bottom w:val="nil"/>
              <w:right w:val="nil"/>
            </w:tcBorders>
            <w:shd w:val="clear" w:color="auto" w:fill="F2F2F2" w:themeFill="background1" w:themeFillShade="F2"/>
            <w:noWrap/>
            <w:vAlign w:val="bottom"/>
          </w:tcPr>
          <w:p w14:paraId="0475D40B" w14:textId="133A3496"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1,996 </w:t>
            </w:r>
          </w:p>
        </w:tc>
      </w:tr>
      <w:tr w:rsidR="00B87820" w:rsidRPr="00875AA0" w14:paraId="19260530" w14:textId="77777777" w:rsidTr="00B045CF">
        <w:trPr>
          <w:trHeight w:val="108"/>
          <w:jc w:val="center"/>
        </w:trPr>
        <w:tc>
          <w:tcPr>
            <w:tcW w:w="6123" w:type="dxa"/>
            <w:tcBorders>
              <w:top w:val="nil"/>
              <w:left w:val="nil"/>
              <w:bottom w:val="nil"/>
              <w:right w:val="nil"/>
            </w:tcBorders>
            <w:shd w:val="clear" w:color="000000" w:fill="FFFFFF"/>
            <w:noWrap/>
            <w:vAlign w:val="bottom"/>
            <w:hideMark/>
          </w:tcPr>
          <w:p w14:paraId="3CFFA0B2"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Differences between expected and actual experience </w:t>
            </w:r>
          </w:p>
        </w:tc>
        <w:tc>
          <w:tcPr>
            <w:tcW w:w="1437" w:type="dxa"/>
            <w:tcBorders>
              <w:top w:val="nil"/>
              <w:left w:val="nil"/>
              <w:bottom w:val="nil"/>
              <w:right w:val="nil"/>
            </w:tcBorders>
            <w:shd w:val="clear" w:color="000000" w:fill="FFFFFF"/>
            <w:noWrap/>
            <w:vAlign w:val="bottom"/>
            <w:hideMark/>
          </w:tcPr>
          <w:p w14:paraId="35C49E43" w14:textId="1E013473" w:rsidR="00B87820" w:rsidRPr="00A93FB3" w:rsidRDefault="00B87820" w:rsidP="0048737B">
            <w:pPr>
              <w:rPr>
                <w:rFonts w:ascii="Calibri" w:eastAsia="Times New Roman" w:hAnsi="Calibri" w:cs="Calibri"/>
              </w:rPr>
            </w:pPr>
            <w:r>
              <w:rPr>
                <w:rFonts w:ascii="Calibri" w:hAnsi="Calibri"/>
                <w:color w:val="0D0D0D"/>
              </w:rPr>
              <w:t xml:space="preserve">              (748)</w:t>
            </w:r>
          </w:p>
        </w:tc>
        <w:tc>
          <w:tcPr>
            <w:tcW w:w="1530" w:type="dxa"/>
            <w:tcBorders>
              <w:top w:val="nil"/>
              <w:left w:val="nil"/>
              <w:bottom w:val="nil"/>
              <w:right w:val="nil"/>
            </w:tcBorders>
            <w:shd w:val="clear" w:color="auto" w:fill="F2F2F2" w:themeFill="background1" w:themeFillShade="F2"/>
            <w:noWrap/>
            <w:vAlign w:val="bottom"/>
          </w:tcPr>
          <w:p w14:paraId="52F842C3" w14:textId="7F9BB741"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 </w:t>
            </w:r>
          </w:p>
        </w:tc>
      </w:tr>
      <w:tr w:rsidR="00B87820" w:rsidRPr="00875AA0" w14:paraId="1D6A89DB" w14:textId="77777777" w:rsidTr="00B045CF">
        <w:trPr>
          <w:trHeight w:val="60"/>
          <w:jc w:val="center"/>
        </w:trPr>
        <w:tc>
          <w:tcPr>
            <w:tcW w:w="6123" w:type="dxa"/>
            <w:tcBorders>
              <w:top w:val="nil"/>
              <w:left w:val="nil"/>
              <w:bottom w:val="nil"/>
              <w:right w:val="nil"/>
            </w:tcBorders>
            <w:shd w:val="clear" w:color="000000" w:fill="FFFFFF"/>
            <w:noWrap/>
            <w:vAlign w:val="bottom"/>
            <w:hideMark/>
          </w:tcPr>
          <w:p w14:paraId="62A1CDD0"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Changes of assumptions</w:t>
            </w:r>
          </w:p>
        </w:tc>
        <w:tc>
          <w:tcPr>
            <w:tcW w:w="1437" w:type="dxa"/>
            <w:tcBorders>
              <w:top w:val="nil"/>
              <w:left w:val="nil"/>
              <w:bottom w:val="nil"/>
              <w:right w:val="nil"/>
            </w:tcBorders>
            <w:shd w:val="clear" w:color="000000" w:fill="FFFFFF"/>
            <w:noWrap/>
            <w:vAlign w:val="bottom"/>
            <w:hideMark/>
          </w:tcPr>
          <w:p w14:paraId="74619A6C" w14:textId="21DDFE69"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95 </w:t>
            </w:r>
          </w:p>
        </w:tc>
        <w:tc>
          <w:tcPr>
            <w:tcW w:w="1530" w:type="dxa"/>
            <w:tcBorders>
              <w:top w:val="nil"/>
              <w:left w:val="nil"/>
              <w:bottom w:val="nil"/>
              <w:right w:val="nil"/>
            </w:tcBorders>
            <w:shd w:val="clear" w:color="auto" w:fill="F2F2F2" w:themeFill="background1" w:themeFillShade="F2"/>
            <w:noWrap/>
            <w:vAlign w:val="bottom"/>
          </w:tcPr>
          <w:p w14:paraId="5F6E16B8" w14:textId="390683F1"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 </w:t>
            </w:r>
          </w:p>
        </w:tc>
      </w:tr>
      <w:tr w:rsidR="00B87820" w:rsidRPr="00875AA0" w14:paraId="4FDFCA12" w14:textId="77777777" w:rsidTr="00B045CF">
        <w:trPr>
          <w:trHeight w:val="108"/>
          <w:jc w:val="center"/>
        </w:trPr>
        <w:tc>
          <w:tcPr>
            <w:tcW w:w="6123" w:type="dxa"/>
            <w:tcBorders>
              <w:top w:val="nil"/>
              <w:left w:val="nil"/>
              <w:bottom w:val="nil"/>
              <w:right w:val="nil"/>
            </w:tcBorders>
            <w:shd w:val="clear" w:color="000000" w:fill="FFFFFF"/>
            <w:vAlign w:val="bottom"/>
            <w:hideMark/>
          </w:tcPr>
          <w:p w14:paraId="1B375773"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352295CB" w14:textId="24722EA7"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(3,585)</w:t>
            </w:r>
          </w:p>
        </w:tc>
        <w:tc>
          <w:tcPr>
            <w:tcW w:w="1530" w:type="dxa"/>
            <w:tcBorders>
              <w:top w:val="nil"/>
              <w:left w:val="nil"/>
              <w:bottom w:val="nil"/>
              <w:right w:val="nil"/>
            </w:tcBorders>
            <w:shd w:val="clear" w:color="auto" w:fill="F2F2F2" w:themeFill="background1" w:themeFillShade="F2"/>
            <w:noWrap/>
            <w:vAlign w:val="bottom"/>
          </w:tcPr>
          <w:p w14:paraId="0AD95D5F" w14:textId="2195E975"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(3,793)</w:t>
            </w:r>
          </w:p>
        </w:tc>
      </w:tr>
      <w:tr w:rsidR="00B87820" w:rsidRPr="00875AA0" w14:paraId="16C7F062" w14:textId="77777777" w:rsidTr="00B045CF">
        <w:trPr>
          <w:trHeight w:val="50"/>
          <w:jc w:val="center"/>
        </w:trPr>
        <w:tc>
          <w:tcPr>
            <w:tcW w:w="6123" w:type="dxa"/>
            <w:tcBorders>
              <w:top w:val="single" w:sz="4" w:space="0" w:color="00688D"/>
              <w:left w:val="nil"/>
              <w:bottom w:val="single" w:sz="4" w:space="0" w:color="00688D"/>
              <w:right w:val="nil"/>
            </w:tcBorders>
            <w:shd w:val="clear" w:color="000000" w:fill="FFFFFF"/>
            <w:vAlign w:val="bottom"/>
            <w:hideMark/>
          </w:tcPr>
          <w:p w14:paraId="5757F618"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Total pension liability – ending (a)</w:t>
            </w:r>
          </w:p>
        </w:tc>
        <w:tc>
          <w:tcPr>
            <w:tcW w:w="1437" w:type="dxa"/>
            <w:tcBorders>
              <w:top w:val="single" w:sz="4" w:space="0" w:color="00688D"/>
              <w:left w:val="nil"/>
              <w:bottom w:val="single" w:sz="4" w:space="0" w:color="00688D"/>
              <w:right w:val="nil"/>
            </w:tcBorders>
            <w:shd w:val="clear" w:color="000000" w:fill="FFFFFF"/>
            <w:noWrap/>
            <w:vAlign w:val="bottom"/>
            <w:hideMark/>
          </w:tcPr>
          <w:p w14:paraId="6488E396" w14:textId="7A0A4FE8"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29,698 </w:t>
            </w:r>
          </w:p>
        </w:tc>
        <w:tc>
          <w:tcPr>
            <w:tcW w:w="1530" w:type="dxa"/>
            <w:tcBorders>
              <w:top w:val="single" w:sz="4" w:space="0" w:color="00688D"/>
              <w:left w:val="nil"/>
              <w:bottom w:val="single" w:sz="4" w:space="0" w:color="00688D"/>
              <w:right w:val="nil"/>
            </w:tcBorders>
            <w:shd w:val="clear" w:color="auto" w:fill="F2F2F2" w:themeFill="background1" w:themeFillShade="F2"/>
            <w:noWrap/>
            <w:vAlign w:val="bottom"/>
          </w:tcPr>
          <w:p w14:paraId="728FEEC5" w14:textId="5DD19CB6"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32,044 </w:t>
            </w:r>
          </w:p>
        </w:tc>
      </w:tr>
      <w:tr w:rsidR="00B87820" w:rsidRPr="00875AA0" w14:paraId="16D18DA6" w14:textId="77777777" w:rsidTr="00B045CF">
        <w:trPr>
          <w:trHeight w:val="107"/>
          <w:jc w:val="center"/>
        </w:trPr>
        <w:tc>
          <w:tcPr>
            <w:tcW w:w="6123" w:type="dxa"/>
            <w:tcBorders>
              <w:top w:val="nil"/>
              <w:left w:val="nil"/>
              <w:bottom w:val="nil"/>
              <w:right w:val="nil"/>
            </w:tcBorders>
            <w:shd w:val="clear" w:color="000000" w:fill="FFFFFF"/>
            <w:vAlign w:val="bottom"/>
            <w:hideMark/>
          </w:tcPr>
          <w:p w14:paraId="0F5D99F9" w14:textId="77777777" w:rsidR="00B87820" w:rsidRPr="00875AA0" w:rsidRDefault="00B87820" w:rsidP="00B87820">
            <w:pPr>
              <w:spacing w:before="120"/>
              <w:rPr>
                <w:rFonts w:ascii="Calibri" w:eastAsia="Times New Roman" w:hAnsi="Calibri" w:cs="Calibri"/>
                <w:color w:val="0D0D0D"/>
              </w:rPr>
            </w:pPr>
            <w:r w:rsidRPr="00875AA0">
              <w:rPr>
                <w:rFonts w:ascii="Calibri" w:eastAsia="Times New Roman" w:hAnsi="Calibri" w:cs="Calibri"/>
                <w:color w:val="0D0D0D"/>
              </w:rPr>
              <w:t xml:space="preserve">Fiduciary net position – beginning </w:t>
            </w:r>
          </w:p>
        </w:tc>
        <w:tc>
          <w:tcPr>
            <w:tcW w:w="1437" w:type="dxa"/>
            <w:tcBorders>
              <w:top w:val="nil"/>
              <w:left w:val="nil"/>
              <w:bottom w:val="nil"/>
              <w:right w:val="nil"/>
            </w:tcBorders>
            <w:shd w:val="clear" w:color="000000" w:fill="FFFFFF"/>
            <w:noWrap/>
            <w:vAlign w:val="bottom"/>
            <w:hideMark/>
          </w:tcPr>
          <w:p w14:paraId="14E8AC0B" w14:textId="77812E01" w:rsidR="00B87820" w:rsidRPr="00A93FB3" w:rsidRDefault="00B87820" w:rsidP="00B87820">
            <w:pPr>
              <w:spacing w:before="120"/>
              <w:ind w:firstLineChars="100" w:firstLine="220"/>
              <w:jc w:val="right"/>
              <w:rPr>
                <w:rFonts w:ascii="Calibri" w:eastAsia="Times New Roman" w:hAnsi="Calibri" w:cs="Calibri"/>
              </w:rPr>
            </w:pPr>
            <w:r>
              <w:rPr>
                <w:rFonts w:ascii="Calibri" w:hAnsi="Calibri"/>
                <w:color w:val="0D0D0D"/>
              </w:rPr>
              <w:t xml:space="preserve">       20,392 </w:t>
            </w:r>
          </w:p>
        </w:tc>
        <w:tc>
          <w:tcPr>
            <w:tcW w:w="1530" w:type="dxa"/>
            <w:tcBorders>
              <w:top w:val="nil"/>
              <w:left w:val="nil"/>
              <w:bottom w:val="nil"/>
              <w:right w:val="nil"/>
            </w:tcBorders>
            <w:shd w:val="clear" w:color="auto" w:fill="F2F2F2" w:themeFill="background1" w:themeFillShade="F2"/>
            <w:noWrap/>
            <w:vAlign w:val="bottom"/>
          </w:tcPr>
          <w:p w14:paraId="3D1CD985" w14:textId="7E29C5BE" w:rsidR="00B87820" w:rsidRPr="00875AA0" w:rsidRDefault="00B87820" w:rsidP="00B87820">
            <w:pPr>
              <w:spacing w:before="120"/>
              <w:jc w:val="right"/>
              <w:rPr>
                <w:rFonts w:ascii="Calibri" w:eastAsia="Times New Roman" w:hAnsi="Calibri" w:cs="Calibri"/>
                <w:color w:val="0D0D0D"/>
              </w:rPr>
            </w:pPr>
            <w:r>
              <w:rPr>
                <w:rFonts w:ascii="Calibri" w:hAnsi="Calibri"/>
                <w:color w:val="0D0D0D"/>
              </w:rPr>
              <w:t xml:space="preserve">       25,291 </w:t>
            </w:r>
          </w:p>
        </w:tc>
      </w:tr>
      <w:tr w:rsidR="00B87820" w:rsidRPr="00875AA0" w14:paraId="34A29D5C" w14:textId="77777777" w:rsidTr="00B045CF">
        <w:trPr>
          <w:trHeight w:val="72"/>
          <w:jc w:val="center"/>
        </w:trPr>
        <w:tc>
          <w:tcPr>
            <w:tcW w:w="6123" w:type="dxa"/>
            <w:tcBorders>
              <w:top w:val="nil"/>
              <w:left w:val="nil"/>
              <w:bottom w:val="nil"/>
              <w:right w:val="nil"/>
            </w:tcBorders>
            <w:shd w:val="clear" w:color="000000" w:fill="FFFFFF"/>
            <w:vAlign w:val="bottom"/>
            <w:hideMark/>
          </w:tcPr>
          <w:p w14:paraId="0033D3FA"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Contributions – employer</w:t>
            </w:r>
          </w:p>
        </w:tc>
        <w:tc>
          <w:tcPr>
            <w:tcW w:w="1437" w:type="dxa"/>
            <w:tcBorders>
              <w:top w:val="nil"/>
              <w:left w:val="nil"/>
              <w:bottom w:val="nil"/>
              <w:right w:val="nil"/>
            </w:tcBorders>
            <w:shd w:val="clear" w:color="000000" w:fill="FFFFFF"/>
            <w:noWrap/>
            <w:vAlign w:val="bottom"/>
            <w:hideMark/>
          </w:tcPr>
          <w:p w14:paraId="5F57D9E9" w14:textId="162DF87F"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948 </w:t>
            </w:r>
          </w:p>
        </w:tc>
        <w:tc>
          <w:tcPr>
            <w:tcW w:w="1530" w:type="dxa"/>
            <w:tcBorders>
              <w:top w:val="nil"/>
              <w:left w:val="nil"/>
              <w:bottom w:val="nil"/>
              <w:right w:val="nil"/>
            </w:tcBorders>
            <w:shd w:val="clear" w:color="auto" w:fill="F2F2F2" w:themeFill="background1" w:themeFillShade="F2"/>
            <w:noWrap/>
            <w:vAlign w:val="bottom"/>
          </w:tcPr>
          <w:p w14:paraId="484FB369" w14:textId="2502819B"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672 </w:t>
            </w:r>
          </w:p>
        </w:tc>
      </w:tr>
      <w:tr w:rsidR="00B87820" w:rsidRPr="00875AA0" w14:paraId="64E4115A" w14:textId="77777777" w:rsidTr="00B045CF">
        <w:trPr>
          <w:trHeight w:val="60"/>
          <w:jc w:val="center"/>
        </w:trPr>
        <w:tc>
          <w:tcPr>
            <w:tcW w:w="6123" w:type="dxa"/>
            <w:tcBorders>
              <w:top w:val="nil"/>
              <w:left w:val="nil"/>
              <w:bottom w:val="nil"/>
              <w:right w:val="nil"/>
            </w:tcBorders>
            <w:shd w:val="clear" w:color="000000" w:fill="FFFFFF"/>
            <w:vAlign w:val="bottom"/>
            <w:hideMark/>
          </w:tcPr>
          <w:p w14:paraId="5D7BA092"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Net investment income</w:t>
            </w:r>
          </w:p>
        </w:tc>
        <w:tc>
          <w:tcPr>
            <w:tcW w:w="1437" w:type="dxa"/>
            <w:tcBorders>
              <w:top w:val="nil"/>
              <w:left w:val="nil"/>
              <w:bottom w:val="nil"/>
              <w:right w:val="nil"/>
            </w:tcBorders>
            <w:shd w:val="clear" w:color="000000" w:fill="FFFFFF"/>
            <w:noWrap/>
            <w:vAlign w:val="bottom"/>
            <w:hideMark/>
          </w:tcPr>
          <w:p w14:paraId="6ACBEC2F" w14:textId="7F264E42"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1,241 </w:t>
            </w:r>
          </w:p>
        </w:tc>
        <w:tc>
          <w:tcPr>
            <w:tcW w:w="1530" w:type="dxa"/>
            <w:tcBorders>
              <w:top w:val="nil"/>
              <w:left w:val="nil"/>
              <w:bottom w:val="nil"/>
              <w:right w:val="nil"/>
            </w:tcBorders>
            <w:shd w:val="clear" w:color="auto" w:fill="F2F2F2" w:themeFill="background1" w:themeFillShade="F2"/>
            <w:noWrap/>
            <w:vAlign w:val="bottom"/>
          </w:tcPr>
          <w:p w14:paraId="2C30BD8A" w14:textId="4B6D6A07"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(1,760)</w:t>
            </w:r>
          </w:p>
        </w:tc>
      </w:tr>
      <w:tr w:rsidR="00B87820" w:rsidRPr="00875AA0" w14:paraId="54D17344" w14:textId="77777777" w:rsidTr="00B045CF">
        <w:trPr>
          <w:trHeight w:val="60"/>
          <w:jc w:val="center"/>
        </w:trPr>
        <w:tc>
          <w:tcPr>
            <w:tcW w:w="6123" w:type="dxa"/>
            <w:tcBorders>
              <w:top w:val="nil"/>
              <w:left w:val="nil"/>
              <w:bottom w:val="nil"/>
              <w:right w:val="nil"/>
            </w:tcBorders>
            <w:shd w:val="clear" w:color="000000" w:fill="FFFFFF"/>
            <w:vAlign w:val="bottom"/>
            <w:hideMark/>
          </w:tcPr>
          <w:p w14:paraId="1C7A88B5"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23DB4785" w14:textId="356404EC"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(3,585)</w:t>
            </w:r>
          </w:p>
        </w:tc>
        <w:tc>
          <w:tcPr>
            <w:tcW w:w="1530" w:type="dxa"/>
            <w:tcBorders>
              <w:top w:val="nil"/>
              <w:left w:val="nil"/>
              <w:bottom w:val="nil"/>
              <w:right w:val="nil"/>
            </w:tcBorders>
            <w:shd w:val="clear" w:color="auto" w:fill="F2F2F2" w:themeFill="background1" w:themeFillShade="F2"/>
            <w:noWrap/>
            <w:vAlign w:val="bottom"/>
          </w:tcPr>
          <w:p w14:paraId="2E5382E6" w14:textId="72415B6A"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(3,793)</w:t>
            </w:r>
          </w:p>
        </w:tc>
      </w:tr>
      <w:tr w:rsidR="00B87820" w:rsidRPr="00875AA0" w14:paraId="6F4DF157" w14:textId="77777777" w:rsidTr="00B045CF">
        <w:trPr>
          <w:trHeight w:val="60"/>
          <w:jc w:val="center"/>
        </w:trPr>
        <w:tc>
          <w:tcPr>
            <w:tcW w:w="6123" w:type="dxa"/>
            <w:tcBorders>
              <w:top w:val="nil"/>
              <w:left w:val="nil"/>
              <w:bottom w:val="nil"/>
              <w:right w:val="nil"/>
            </w:tcBorders>
            <w:shd w:val="clear" w:color="000000" w:fill="FFFFFF"/>
            <w:noWrap/>
            <w:vAlign w:val="bottom"/>
            <w:hideMark/>
          </w:tcPr>
          <w:p w14:paraId="023FDD03" w14:textId="77777777" w:rsidR="00B87820" w:rsidRPr="00875AA0" w:rsidRDefault="00B87820" w:rsidP="00B87820">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Administrative expenses </w:t>
            </w:r>
          </w:p>
        </w:tc>
        <w:tc>
          <w:tcPr>
            <w:tcW w:w="1437" w:type="dxa"/>
            <w:tcBorders>
              <w:top w:val="nil"/>
              <w:left w:val="nil"/>
              <w:bottom w:val="nil"/>
              <w:right w:val="nil"/>
            </w:tcBorders>
            <w:shd w:val="clear" w:color="000000" w:fill="FFFFFF"/>
            <w:noWrap/>
            <w:vAlign w:val="bottom"/>
            <w:hideMark/>
          </w:tcPr>
          <w:p w14:paraId="670E5F61" w14:textId="0DC3DCD8"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(9)</w:t>
            </w:r>
          </w:p>
        </w:tc>
        <w:tc>
          <w:tcPr>
            <w:tcW w:w="1530" w:type="dxa"/>
            <w:tcBorders>
              <w:top w:val="nil"/>
              <w:left w:val="nil"/>
              <w:bottom w:val="nil"/>
              <w:right w:val="nil"/>
            </w:tcBorders>
            <w:shd w:val="clear" w:color="auto" w:fill="F2F2F2" w:themeFill="background1" w:themeFillShade="F2"/>
            <w:noWrap/>
            <w:vAlign w:val="bottom"/>
          </w:tcPr>
          <w:p w14:paraId="2D6DFB49" w14:textId="0BCC3D34"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(18)</w:t>
            </w:r>
          </w:p>
        </w:tc>
      </w:tr>
      <w:tr w:rsidR="00B87820" w:rsidRPr="00875AA0" w14:paraId="00DD4C38" w14:textId="77777777" w:rsidTr="00B045CF">
        <w:trPr>
          <w:trHeight w:val="71"/>
          <w:jc w:val="center"/>
        </w:trPr>
        <w:tc>
          <w:tcPr>
            <w:tcW w:w="6123" w:type="dxa"/>
            <w:tcBorders>
              <w:top w:val="single" w:sz="4" w:space="0" w:color="00688D"/>
              <w:left w:val="nil"/>
              <w:bottom w:val="single" w:sz="4" w:space="0" w:color="00688D"/>
              <w:right w:val="nil"/>
            </w:tcBorders>
            <w:shd w:val="clear" w:color="000000" w:fill="FFFFFF"/>
            <w:vAlign w:val="bottom"/>
            <w:hideMark/>
          </w:tcPr>
          <w:p w14:paraId="1C307DEF"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Fiduciary net position – ending (b)</w:t>
            </w:r>
          </w:p>
        </w:tc>
        <w:tc>
          <w:tcPr>
            <w:tcW w:w="1437" w:type="dxa"/>
            <w:tcBorders>
              <w:top w:val="single" w:sz="4" w:space="0" w:color="00688D"/>
              <w:left w:val="nil"/>
              <w:bottom w:val="single" w:sz="4" w:space="0" w:color="00688D"/>
              <w:right w:val="nil"/>
            </w:tcBorders>
            <w:shd w:val="clear" w:color="000000" w:fill="FFFFFF"/>
            <w:noWrap/>
            <w:vAlign w:val="bottom"/>
            <w:hideMark/>
          </w:tcPr>
          <w:p w14:paraId="0B5BFFE3" w14:textId="1E105D4F"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18,987 </w:t>
            </w:r>
          </w:p>
        </w:tc>
        <w:tc>
          <w:tcPr>
            <w:tcW w:w="1530" w:type="dxa"/>
            <w:tcBorders>
              <w:top w:val="single" w:sz="4" w:space="0" w:color="00688D"/>
              <w:left w:val="nil"/>
              <w:bottom w:val="single" w:sz="4" w:space="0" w:color="00688D"/>
              <w:right w:val="nil"/>
            </w:tcBorders>
            <w:shd w:val="clear" w:color="auto" w:fill="F2F2F2" w:themeFill="background1" w:themeFillShade="F2"/>
            <w:noWrap/>
            <w:vAlign w:val="bottom"/>
          </w:tcPr>
          <w:p w14:paraId="63745492" w14:textId="1FD7BF3E"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20,392 </w:t>
            </w:r>
          </w:p>
        </w:tc>
      </w:tr>
      <w:tr w:rsidR="00B87820" w:rsidRPr="00875AA0" w14:paraId="5B6EB748" w14:textId="77777777" w:rsidTr="00B045CF">
        <w:trPr>
          <w:trHeight w:val="50"/>
          <w:jc w:val="center"/>
        </w:trPr>
        <w:tc>
          <w:tcPr>
            <w:tcW w:w="6123" w:type="dxa"/>
            <w:tcBorders>
              <w:top w:val="nil"/>
              <w:left w:val="nil"/>
              <w:bottom w:val="double" w:sz="6" w:space="0" w:color="00688D"/>
              <w:right w:val="nil"/>
            </w:tcBorders>
            <w:shd w:val="clear" w:color="000000" w:fill="FFFFFF"/>
            <w:vAlign w:val="bottom"/>
            <w:hideMark/>
          </w:tcPr>
          <w:p w14:paraId="44C1B864" w14:textId="77777777" w:rsidR="00B87820" w:rsidRPr="00875AA0" w:rsidRDefault="00B87820" w:rsidP="00B87820">
            <w:pPr>
              <w:spacing w:before="120"/>
              <w:rPr>
                <w:rFonts w:ascii="Calibri" w:eastAsia="Times New Roman" w:hAnsi="Calibri" w:cs="Calibri"/>
                <w:color w:val="0D0D0D"/>
              </w:rPr>
            </w:pPr>
            <w:r w:rsidRPr="00875AA0">
              <w:rPr>
                <w:rFonts w:ascii="Calibri" w:eastAsia="Times New Roman" w:hAnsi="Calibri" w:cs="Calibri"/>
                <w:color w:val="0D0D0D"/>
              </w:rPr>
              <w:t>Net pension liability – ending (a)-(b)</w:t>
            </w:r>
          </w:p>
        </w:tc>
        <w:tc>
          <w:tcPr>
            <w:tcW w:w="1437" w:type="dxa"/>
            <w:tcBorders>
              <w:top w:val="nil"/>
              <w:left w:val="nil"/>
              <w:bottom w:val="double" w:sz="6" w:space="0" w:color="00688D"/>
              <w:right w:val="nil"/>
            </w:tcBorders>
            <w:shd w:val="clear" w:color="000000" w:fill="FFFFFF"/>
            <w:noWrap/>
            <w:vAlign w:val="bottom"/>
            <w:hideMark/>
          </w:tcPr>
          <w:p w14:paraId="56CBA912" w14:textId="7EC3EC3E" w:rsidR="00B87820" w:rsidRPr="00A93FB3" w:rsidRDefault="00B87820" w:rsidP="00B87820">
            <w:pPr>
              <w:spacing w:before="120"/>
              <w:ind w:firstLineChars="100" w:firstLine="220"/>
              <w:jc w:val="right"/>
              <w:rPr>
                <w:rFonts w:ascii="Calibri" w:eastAsia="Times New Roman" w:hAnsi="Calibri" w:cs="Calibri"/>
              </w:rPr>
            </w:pPr>
            <w:r>
              <w:rPr>
                <w:rFonts w:ascii="Calibri" w:hAnsi="Calibri"/>
                <w:color w:val="0D0D0D"/>
              </w:rPr>
              <w:t xml:space="preserve"> $    10,711 </w:t>
            </w:r>
          </w:p>
        </w:tc>
        <w:tc>
          <w:tcPr>
            <w:tcW w:w="1530" w:type="dxa"/>
            <w:tcBorders>
              <w:top w:val="nil"/>
              <w:left w:val="nil"/>
              <w:bottom w:val="double" w:sz="6" w:space="0" w:color="00688D"/>
              <w:right w:val="nil"/>
            </w:tcBorders>
            <w:shd w:val="clear" w:color="auto" w:fill="F2F2F2" w:themeFill="background1" w:themeFillShade="F2"/>
            <w:noWrap/>
            <w:vAlign w:val="bottom"/>
          </w:tcPr>
          <w:p w14:paraId="5E220D8D" w14:textId="406FCBBA" w:rsidR="00B87820" w:rsidRPr="00875AA0" w:rsidRDefault="00B87820" w:rsidP="00B87820">
            <w:pPr>
              <w:spacing w:before="120"/>
              <w:jc w:val="right"/>
              <w:rPr>
                <w:rFonts w:ascii="Calibri" w:eastAsia="Times New Roman" w:hAnsi="Calibri" w:cs="Calibri"/>
                <w:color w:val="0D0D0D"/>
              </w:rPr>
            </w:pPr>
            <w:r>
              <w:rPr>
                <w:rFonts w:ascii="Calibri" w:hAnsi="Calibri"/>
                <w:color w:val="0D0D0D"/>
              </w:rPr>
              <w:t xml:space="preserve"> $    11,652 </w:t>
            </w:r>
          </w:p>
        </w:tc>
      </w:tr>
      <w:tr w:rsidR="00B87820" w:rsidRPr="00875AA0" w14:paraId="772BECA0" w14:textId="77777777" w:rsidTr="00B045CF">
        <w:trPr>
          <w:trHeight w:val="25"/>
          <w:jc w:val="center"/>
        </w:trPr>
        <w:tc>
          <w:tcPr>
            <w:tcW w:w="6123" w:type="dxa"/>
            <w:tcBorders>
              <w:top w:val="nil"/>
              <w:left w:val="nil"/>
              <w:bottom w:val="nil"/>
              <w:right w:val="nil"/>
            </w:tcBorders>
            <w:shd w:val="clear" w:color="000000" w:fill="FFFFFF"/>
            <w:noWrap/>
            <w:vAlign w:val="bottom"/>
            <w:hideMark/>
          </w:tcPr>
          <w:p w14:paraId="417A35EC" w14:textId="77777777" w:rsidR="00B87820" w:rsidRPr="00875AA0" w:rsidRDefault="00B87820" w:rsidP="00B87820">
            <w:pPr>
              <w:spacing w:before="120"/>
              <w:rPr>
                <w:rFonts w:ascii="Calibri" w:eastAsia="Times New Roman" w:hAnsi="Calibri" w:cs="Calibri"/>
                <w:color w:val="0D0D0D"/>
              </w:rPr>
            </w:pPr>
            <w:r w:rsidRPr="00875AA0">
              <w:rPr>
                <w:rFonts w:ascii="Calibri" w:eastAsia="Times New Roman" w:hAnsi="Calibri" w:cs="Calibri"/>
                <w:color w:val="0D0D0D"/>
              </w:rPr>
              <w:t>Plan fiduciary net position as a percentage of the total pension liability</w:t>
            </w:r>
          </w:p>
        </w:tc>
        <w:tc>
          <w:tcPr>
            <w:tcW w:w="1437" w:type="dxa"/>
            <w:tcBorders>
              <w:top w:val="nil"/>
              <w:left w:val="nil"/>
              <w:bottom w:val="nil"/>
              <w:right w:val="nil"/>
            </w:tcBorders>
            <w:shd w:val="clear" w:color="000000" w:fill="FFFFFF"/>
            <w:noWrap/>
            <w:vAlign w:val="bottom"/>
            <w:hideMark/>
          </w:tcPr>
          <w:p w14:paraId="087386BD" w14:textId="73EE7F49" w:rsidR="00B87820" w:rsidRPr="00A93FB3" w:rsidRDefault="00B87820" w:rsidP="00B87820">
            <w:pPr>
              <w:spacing w:before="120"/>
              <w:ind w:firstLineChars="100" w:firstLine="220"/>
              <w:jc w:val="right"/>
              <w:rPr>
                <w:rFonts w:ascii="Calibri" w:eastAsia="Times New Roman" w:hAnsi="Calibri" w:cs="Calibri"/>
              </w:rPr>
            </w:pPr>
            <w:r>
              <w:rPr>
                <w:rFonts w:ascii="Calibri" w:hAnsi="Calibri"/>
                <w:color w:val="0D0D0D"/>
              </w:rPr>
              <w:t>63.93%</w:t>
            </w:r>
          </w:p>
        </w:tc>
        <w:tc>
          <w:tcPr>
            <w:tcW w:w="1530" w:type="dxa"/>
            <w:tcBorders>
              <w:top w:val="nil"/>
              <w:left w:val="nil"/>
              <w:bottom w:val="nil"/>
              <w:right w:val="nil"/>
            </w:tcBorders>
            <w:shd w:val="clear" w:color="auto" w:fill="F2F2F2" w:themeFill="background1" w:themeFillShade="F2"/>
            <w:noWrap/>
            <w:vAlign w:val="bottom"/>
          </w:tcPr>
          <w:p w14:paraId="5304B8A1" w14:textId="1EBCACE5" w:rsidR="00B87820" w:rsidRPr="00875AA0" w:rsidRDefault="00B87820" w:rsidP="00B87820">
            <w:pPr>
              <w:spacing w:before="120"/>
              <w:jc w:val="right"/>
              <w:rPr>
                <w:rFonts w:ascii="Calibri" w:eastAsia="Times New Roman" w:hAnsi="Calibri" w:cs="Calibri"/>
                <w:color w:val="0D0D0D"/>
              </w:rPr>
            </w:pPr>
            <w:r>
              <w:rPr>
                <w:rFonts w:ascii="Calibri" w:hAnsi="Calibri"/>
                <w:color w:val="0D0D0D"/>
              </w:rPr>
              <w:t>63.64%</w:t>
            </w:r>
          </w:p>
        </w:tc>
      </w:tr>
      <w:tr w:rsidR="00B87820" w:rsidRPr="00875AA0" w14:paraId="660B658E" w14:textId="77777777" w:rsidTr="00B045CF">
        <w:trPr>
          <w:trHeight w:val="171"/>
          <w:jc w:val="center"/>
        </w:trPr>
        <w:tc>
          <w:tcPr>
            <w:tcW w:w="6123" w:type="dxa"/>
            <w:tcBorders>
              <w:top w:val="nil"/>
              <w:left w:val="nil"/>
              <w:bottom w:val="nil"/>
              <w:right w:val="nil"/>
            </w:tcBorders>
            <w:shd w:val="clear" w:color="000000" w:fill="FFFFFF"/>
            <w:noWrap/>
            <w:vAlign w:val="bottom"/>
            <w:hideMark/>
          </w:tcPr>
          <w:p w14:paraId="6B21A4CB"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Covered payroll</w:t>
            </w:r>
          </w:p>
        </w:tc>
        <w:tc>
          <w:tcPr>
            <w:tcW w:w="1437" w:type="dxa"/>
            <w:tcBorders>
              <w:top w:val="nil"/>
              <w:left w:val="nil"/>
              <w:bottom w:val="nil"/>
              <w:right w:val="nil"/>
            </w:tcBorders>
            <w:shd w:val="clear" w:color="000000" w:fill="FFFFFF"/>
            <w:noWrap/>
            <w:vAlign w:val="bottom"/>
            <w:hideMark/>
          </w:tcPr>
          <w:p w14:paraId="04BBE487" w14:textId="68DC18DE"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            59 </w:t>
            </w:r>
          </w:p>
        </w:tc>
        <w:tc>
          <w:tcPr>
            <w:tcW w:w="1530" w:type="dxa"/>
            <w:tcBorders>
              <w:top w:val="nil"/>
              <w:left w:val="nil"/>
              <w:bottom w:val="nil"/>
              <w:right w:val="nil"/>
            </w:tcBorders>
            <w:shd w:val="clear" w:color="auto" w:fill="F2F2F2" w:themeFill="background1" w:themeFillShade="F2"/>
            <w:noWrap/>
            <w:vAlign w:val="bottom"/>
          </w:tcPr>
          <w:p w14:paraId="373ACE5C" w14:textId="4F40B326" w:rsidR="00B87820" w:rsidRPr="00875AA0" w:rsidRDefault="00B87820" w:rsidP="00B87820">
            <w:pPr>
              <w:jc w:val="right"/>
              <w:rPr>
                <w:rFonts w:ascii="Calibri" w:eastAsia="Times New Roman" w:hAnsi="Calibri" w:cs="Calibri"/>
                <w:color w:val="0D0D0D"/>
              </w:rPr>
            </w:pPr>
            <w:r>
              <w:rPr>
                <w:rFonts w:ascii="Calibri" w:hAnsi="Calibri"/>
                <w:color w:val="0D0D0D"/>
              </w:rPr>
              <w:t xml:space="preserve"> $           48 </w:t>
            </w:r>
          </w:p>
        </w:tc>
      </w:tr>
      <w:tr w:rsidR="00B87820" w:rsidRPr="00875AA0" w14:paraId="501F016D" w14:textId="77777777" w:rsidTr="00B045CF">
        <w:trPr>
          <w:trHeight w:val="90"/>
          <w:jc w:val="center"/>
        </w:trPr>
        <w:tc>
          <w:tcPr>
            <w:tcW w:w="6123" w:type="dxa"/>
            <w:tcBorders>
              <w:top w:val="nil"/>
              <w:left w:val="nil"/>
              <w:bottom w:val="nil"/>
              <w:right w:val="nil"/>
            </w:tcBorders>
            <w:shd w:val="clear" w:color="000000" w:fill="FFFFFF"/>
            <w:noWrap/>
            <w:vAlign w:val="bottom"/>
            <w:hideMark/>
          </w:tcPr>
          <w:p w14:paraId="5E43D306"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Net pension liability as a percentage of covered payroll</w:t>
            </w:r>
          </w:p>
        </w:tc>
        <w:tc>
          <w:tcPr>
            <w:tcW w:w="1437" w:type="dxa"/>
            <w:tcBorders>
              <w:top w:val="nil"/>
              <w:left w:val="nil"/>
              <w:bottom w:val="nil"/>
              <w:right w:val="nil"/>
            </w:tcBorders>
            <w:shd w:val="clear" w:color="000000" w:fill="FFFFFF"/>
            <w:noWrap/>
            <w:vAlign w:val="bottom"/>
            <w:hideMark/>
          </w:tcPr>
          <w:p w14:paraId="6B03703C" w14:textId="406048F2"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18283.28%</w:t>
            </w:r>
          </w:p>
        </w:tc>
        <w:tc>
          <w:tcPr>
            <w:tcW w:w="1530" w:type="dxa"/>
            <w:tcBorders>
              <w:top w:val="nil"/>
              <w:left w:val="nil"/>
              <w:bottom w:val="nil"/>
              <w:right w:val="nil"/>
            </w:tcBorders>
            <w:shd w:val="clear" w:color="auto" w:fill="F2F2F2" w:themeFill="background1" w:themeFillShade="F2"/>
            <w:noWrap/>
            <w:vAlign w:val="bottom"/>
          </w:tcPr>
          <w:p w14:paraId="7DF58C94" w14:textId="1C7633D7" w:rsidR="00B87820" w:rsidRPr="00875AA0" w:rsidRDefault="00B87820" w:rsidP="00B87820">
            <w:pPr>
              <w:jc w:val="right"/>
              <w:rPr>
                <w:rFonts w:ascii="Calibri" w:eastAsia="Times New Roman" w:hAnsi="Calibri" w:cs="Calibri"/>
                <w:color w:val="0D0D0D"/>
              </w:rPr>
            </w:pPr>
            <w:r>
              <w:rPr>
                <w:rFonts w:ascii="Calibri" w:hAnsi="Calibri"/>
                <w:color w:val="0D0D0D"/>
              </w:rPr>
              <w:t>24138.26%</w:t>
            </w:r>
          </w:p>
        </w:tc>
      </w:tr>
      <w:tr w:rsidR="00B87820" w:rsidRPr="00875AA0" w14:paraId="115AA24F" w14:textId="77777777" w:rsidTr="00B045CF">
        <w:trPr>
          <w:trHeight w:val="90"/>
          <w:jc w:val="center"/>
        </w:trPr>
        <w:tc>
          <w:tcPr>
            <w:tcW w:w="6123" w:type="dxa"/>
            <w:tcBorders>
              <w:top w:val="nil"/>
              <w:left w:val="nil"/>
              <w:bottom w:val="nil"/>
              <w:right w:val="nil"/>
            </w:tcBorders>
            <w:shd w:val="clear" w:color="000000" w:fill="FFFFFF"/>
            <w:vAlign w:val="bottom"/>
            <w:hideMark/>
          </w:tcPr>
          <w:p w14:paraId="50868F95"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Contributions as a percentage of covered payroll</w:t>
            </w:r>
          </w:p>
        </w:tc>
        <w:tc>
          <w:tcPr>
            <w:tcW w:w="1437" w:type="dxa"/>
            <w:tcBorders>
              <w:top w:val="nil"/>
              <w:left w:val="nil"/>
              <w:bottom w:val="nil"/>
              <w:right w:val="nil"/>
            </w:tcBorders>
            <w:shd w:val="clear" w:color="000000" w:fill="FFFFFF"/>
            <w:noWrap/>
            <w:vAlign w:val="bottom"/>
            <w:hideMark/>
          </w:tcPr>
          <w:p w14:paraId="553F30ED" w14:textId="0D9D524F"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1618.13%</w:t>
            </w:r>
          </w:p>
        </w:tc>
        <w:tc>
          <w:tcPr>
            <w:tcW w:w="1530" w:type="dxa"/>
            <w:tcBorders>
              <w:top w:val="nil"/>
              <w:left w:val="nil"/>
              <w:bottom w:val="nil"/>
              <w:right w:val="nil"/>
            </w:tcBorders>
            <w:shd w:val="clear" w:color="auto" w:fill="F2F2F2" w:themeFill="background1" w:themeFillShade="F2"/>
            <w:noWrap/>
            <w:vAlign w:val="bottom"/>
          </w:tcPr>
          <w:p w14:paraId="7444E037" w14:textId="1A7DF939" w:rsidR="00B87820" w:rsidRPr="00875AA0" w:rsidRDefault="00B87820" w:rsidP="00B87820">
            <w:pPr>
              <w:jc w:val="right"/>
              <w:rPr>
                <w:rFonts w:ascii="Calibri" w:eastAsia="Times New Roman" w:hAnsi="Calibri" w:cs="Calibri"/>
                <w:color w:val="0D0D0D"/>
              </w:rPr>
            </w:pPr>
            <w:r>
              <w:rPr>
                <w:rFonts w:ascii="Calibri" w:hAnsi="Calibri"/>
                <w:color w:val="0D0D0D"/>
              </w:rPr>
              <w:t>1392.86%</w:t>
            </w:r>
          </w:p>
        </w:tc>
      </w:tr>
      <w:tr w:rsidR="00B87820" w:rsidRPr="00875AA0" w14:paraId="797B41D7" w14:textId="77777777" w:rsidTr="00B045CF">
        <w:trPr>
          <w:trHeight w:val="90"/>
          <w:jc w:val="center"/>
        </w:trPr>
        <w:tc>
          <w:tcPr>
            <w:tcW w:w="6123" w:type="dxa"/>
            <w:tcBorders>
              <w:top w:val="nil"/>
              <w:left w:val="nil"/>
              <w:bottom w:val="nil"/>
              <w:right w:val="nil"/>
            </w:tcBorders>
            <w:shd w:val="clear" w:color="000000" w:fill="FFFFFF"/>
            <w:noWrap/>
            <w:vAlign w:val="bottom"/>
            <w:hideMark/>
          </w:tcPr>
          <w:p w14:paraId="5D115BC8" w14:textId="77777777" w:rsidR="00B87820" w:rsidRPr="00875AA0" w:rsidRDefault="00B87820" w:rsidP="00B87820">
            <w:pPr>
              <w:rPr>
                <w:rFonts w:ascii="Calibri" w:eastAsia="Times New Roman" w:hAnsi="Calibri" w:cs="Calibri"/>
                <w:color w:val="0D0D0D"/>
              </w:rPr>
            </w:pPr>
            <w:r w:rsidRPr="00875AA0">
              <w:rPr>
                <w:rFonts w:ascii="Calibri" w:eastAsia="Times New Roman" w:hAnsi="Calibri" w:cs="Calibri"/>
                <w:color w:val="0D0D0D"/>
              </w:rPr>
              <w:t>Plan assets measured at fair value</w:t>
            </w:r>
          </w:p>
        </w:tc>
        <w:tc>
          <w:tcPr>
            <w:tcW w:w="1437" w:type="dxa"/>
            <w:tcBorders>
              <w:top w:val="nil"/>
              <w:left w:val="nil"/>
              <w:bottom w:val="nil"/>
              <w:right w:val="nil"/>
            </w:tcBorders>
            <w:shd w:val="clear" w:color="000000" w:fill="FFFFFF"/>
            <w:noWrap/>
            <w:vAlign w:val="bottom"/>
            <w:hideMark/>
          </w:tcPr>
          <w:p w14:paraId="7DFAF280" w14:textId="418B2654" w:rsidR="00B87820" w:rsidRPr="00A93FB3" w:rsidRDefault="00B87820" w:rsidP="00B87820">
            <w:pPr>
              <w:ind w:firstLineChars="100" w:firstLine="220"/>
              <w:jc w:val="right"/>
              <w:rPr>
                <w:rFonts w:ascii="Calibri" w:eastAsia="Times New Roman" w:hAnsi="Calibri" w:cs="Calibri"/>
              </w:rPr>
            </w:pPr>
            <w:r>
              <w:rPr>
                <w:rFonts w:ascii="Calibri" w:hAnsi="Calibri"/>
                <w:color w:val="0D0D0D"/>
              </w:rPr>
              <w:t xml:space="preserve"> $    18,987 </w:t>
            </w:r>
          </w:p>
        </w:tc>
        <w:tc>
          <w:tcPr>
            <w:tcW w:w="1530" w:type="dxa"/>
            <w:tcBorders>
              <w:top w:val="nil"/>
              <w:left w:val="nil"/>
              <w:bottom w:val="nil"/>
              <w:right w:val="nil"/>
            </w:tcBorders>
            <w:shd w:val="clear" w:color="auto" w:fill="F2F2F2" w:themeFill="background1" w:themeFillShade="F2"/>
            <w:noWrap/>
            <w:vAlign w:val="bottom"/>
          </w:tcPr>
          <w:p w14:paraId="1F361974" w14:textId="48A88747" w:rsidR="00B87820" w:rsidRPr="00875AA0" w:rsidRDefault="00B87820" w:rsidP="00EC1896">
            <w:pPr>
              <w:ind w:firstLineChars="100" w:firstLine="220"/>
              <w:jc w:val="right"/>
              <w:rPr>
                <w:rFonts w:ascii="Calibri" w:eastAsia="Times New Roman" w:hAnsi="Calibri" w:cs="Calibri"/>
                <w:color w:val="0D0D0D"/>
              </w:rPr>
            </w:pPr>
            <w:r>
              <w:rPr>
                <w:rFonts w:ascii="Calibri" w:hAnsi="Calibri"/>
                <w:color w:val="0D0D0D"/>
              </w:rPr>
              <w:t xml:space="preserve"> $ </w:t>
            </w:r>
            <w:r w:rsidR="00F82A37">
              <w:rPr>
                <w:rFonts w:ascii="Calibri" w:hAnsi="Calibri"/>
                <w:color w:val="0D0D0D"/>
              </w:rPr>
              <w:t>20</w:t>
            </w:r>
            <w:r>
              <w:rPr>
                <w:rFonts w:ascii="Calibri" w:hAnsi="Calibri"/>
                <w:color w:val="0D0D0D"/>
              </w:rPr>
              <w:t>,</w:t>
            </w:r>
            <w:r w:rsidR="00F82A37">
              <w:rPr>
                <w:rFonts w:ascii="Calibri" w:hAnsi="Calibri"/>
                <w:color w:val="0D0D0D"/>
              </w:rPr>
              <w:t>392</w:t>
            </w:r>
            <w:r>
              <w:rPr>
                <w:rFonts w:ascii="Calibri" w:hAnsi="Calibri"/>
                <w:color w:val="0D0D0D"/>
              </w:rPr>
              <w:t xml:space="preserve"> </w:t>
            </w:r>
          </w:p>
        </w:tc>
      </w:tr>
    </w:tbl>
    <w:p w14:paraId="0899D8FC" w14:textId="2BFEC7CC" w:rsidR="00DD1612" w:rsidRPr="00F54559" w:rsidRDefault="00B01D20" w:rsidP="00DD1612">
      <w:pPr>
        <w:pStyle w:val="AFR3"/>
        <w:spacing w:after="160"/>
        <w:rPr>
          <w:rFonts w:cstheme="minorHAnsi"/>
        </w:rPr>
      </w:pPr>
      <w:r>
        <w:rPr>
          <w:rFonts w:cstheme="minorHAnsi"/>
        </w:rPr>
        <w:t>13</w:t>
      </w:r>
      <w:r w:rsidR="00DD1612" w:rsidRPr="00F54559">
        <w:rPr>
          <w:rFonts w:cstheme="minorHAnsi"/>
        </w:rPr>
        <w:t>e. Funding of Basic and Defined Benefit Plans – Classified Employees</w:t>
      </w:r>
    </w:p>
    <w:p w14:paraId="1125E30A" w14:textId="310BF13C" w:rsidR="00DD1612" w:rsidRDefault="00DD1612" w:rsidP="00DD1612">
      <w:pPr>
        <w:tabs>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eastAsia="Times New Roman" w:cstheme="minorHAnsi"/>
          <w:bCs/>
          <w:spacing w:val="-3"/>
          <w:sz w:val="24"/>
        </w:rPr>
        <w:t>While the Basic Plan and Defined Benefit Plan are administratively separate, they are both part of the Retirement Plan for Classified Employees and are cov</w:t>
      </w:r>
      <w:r w:rsidR="003E72E3">
        <w:rPr>
          <w:rFonts w:eastAsia="Times New Roman" w:cstheme="minorHAnsi"/>
          <w:bCs/>
          <w:spacing w:val="-3"/>
          <w:sz w:val="24"/>
        </w:rPr>
        <w:t>ered by the same plan document.</w:t>
      </w:r>
      <w:r w:rsidRPr="00F54559">
        <w:rPr>
          <w:rFonts w:eastAsia="Times New Roman" w:cstheme="minorHAnsi"/>
          <w:bCs/>
          <w:spacing w:val="-3"/>
          <w:sz w:val="24"/>
        </w:rPr>
        <w:t xml:space="preserve"> In accordance with Section 414(k) of the Internal Revenue Code, the System may elect to fund employer contributions to the Basic Plan and ORSP from any excess assets in the Defined Benefit Plan, subject to certain limitations</w:t>
      </w:r>
      <w:r w:rsidRPr="00F54559">
        <w:rPr>
          <w:rFonts w:eastAsia="Times New Roman" w:cstheme="minorHAnsi"/>
          <w:bCs/>
          <w:spacing w:val="-3"/>
          <w:sz w:val="24"/>
          <w:szCs w:val="24"/>
        </w:rPr>
        <w:t>.</w:t>
      </w:r>
    </w:p>
    <w:p w14:paraId="75839F8A" w14:textId="471D19EF" w:rsidR="00DD1612" w:rsidRDefault="00B01D20" w:rsidP="00DD1612">
      <w:pPr>
        <w:pStyle w:val="AFR3"/>
        <w:spacing w:after="160"/>
        <w:rPr>
          <w:rFonts w:cstheme="minorHAnsi"/>
        </w:rPr>
      </w:pPr>
      <w:r>
        <w:rPr>
          <w:rFonts w:cstheme="minorHAnsi"/>
        </w:rPr>
        <w:t>13</w:t>
      </w:r>
      <w:r w:rsidR="00DD1612">
        <w:rPr>
          <w:rFonts w:cstheme="minorHAnsi"/>
        </w:rPr>
        <w:t>f</w:t>
      </w:r>
      <w:r w:rsidR="00DD1612" w:rsidRPr="00F54559">
        <w:rPr>
          <w:rFonts w:cstheme="minorHAnsi"/>
        </w:rPr>
        <w:t xml:space="preserve">. </w:t>
      </w:r>
      <w:r w:rsidR="00D31EB9">
        <w:rPr>
          <w:rFonts w:cstheme="minorHAnsi"/>
        </w:rPr>
        <w:t>Special Retirement Incentive Plan</w:t>
      </w:r>
    </w:p>
    <w:p w14:paraId="05DB9A3B" w14:textId="58676C96" w:rsidR="00B53AA8" w:rsidRDefault="00B53AA8" w:rsidP="00DD1612">
      <w:pPr>
        <w:pStyle w:val="AFR3"/>
        <w:spacing w:after="160"/>
        <w:rPr>
          <w:rFonts w:eastAsia="Times New Roman" w:cstheme="minorHAnsi"/>
          <w:b w:val="0"/>
          <w:i w:val="0"/>
          <w:spacing w:val="-3"/>
          <w:sz w:val="24"/>
          <w:szCs w:val="24"/>
          <w:u w:val="none"/>
        </w:rPr>
      </w:pPr>
      <w:r w:rsidRPr="00265EC2">
        <w:rPr>
          <w:rFonts w:cstheme="minorHAnsi"/>
          <w:b w:val="0"/>
          <w:i w:val="0"/>
          <w:sz w:val="24"/>
          <w:szCs w:val="24"/>
          <w:u w:val="none"/>
        </w:rPr>
        <w:t>In FY2</w:t>
      </w:r>
      <w:r>
        <w:rPr>
          <w:rFonts w:cstheme="minorHAnsi"/>
          <w:b w:val="0"/>
          <w:i w:val="0"/>
          <w:sz w:val="24"/>
          <w:szCs w:val="24"/>
          <w:u w:val="none"/>
        </w:rPr>
        <w:t xml:space="preserve">3, the System offered a second phase of </w:t>
      </w:r>
      <w:r w:rsidR="001C5BB7">
        <w:rPr>
          <w:rFonts w:cstheme="minorHAnsi"/>
          <w:b w:val="0"/>
          <w:i w:val="0"/>
          <w:sz w:val="24"/>
          <w:szCs w:val="24"/>
          <w:u w:val="none"/>
        </w:rPr>
        <w:t xml:space="preserve">special </w:t>
      </w:r>
      <w:r>
        <w:rPr>
          <w:rFonts w:cstheme="minorHAnsi"/>
          <w:b w:val="0"/>
          <w:i w:val="0"/>
          <w:sz w:val="24"/>
          <w:szCs w:val="24"/>
          <w:u w:val="none"/>
        </w:rPr>
        <w:t>retirement incentives to eligible faculty who made the election to retire during FY24. Eligibility was based on the member attaining the age of 62 and having 10 or more years of consecutive service at the time of retirement; or age 60 or older and having 20 or more years of service. The incentives are</w:t>
      </w:r>
      <w:r w:rsidRPr="00265EC2">
        <w:rPr>
          <w:rFonts w:eastAsia="Times New Roman" w:cstheme="minorHAnsi"/>
          <w:b w:val="0"/>
          <w:i w:val="0"/>
          <w:spacing w:val="-3"/>
          <w:sz w:val="24"/>
          <w:szCs w:val="24"/>
          <w:u w:val="none"/>
        </w:rPr>
        <w:t xml:space="preserve"> </w:t>
      </w:r>
      <w:r>
        <w:rPr>
          <w:rFonts w:eastAsia="Times New Roman" w:cstheme="minorHAnsi"/>
          <w:b w:val="0"/>
          <w:i w:val="0"/>
          <w:spacing w:val="-3"/>
          <w:sz w:val="24"/>
          <w:szCs w:val="24"/>
          <w:u w:val="none"/>
        </w:rPr>
        <w:t xml:space="preserve">equal to 50% of the employee’s annual salary and is </w:t>
      </w:r>
      <w:r w:rsidRPr="00265EC2">
        <w:rPr>
          <w:rFonts w:eastAsia="Times New Roman" w:cstheme="minorHAnsi"/>
          <w:b w:val="0"/>
          <w:i w:val="0"/>
          <w:spacing w:val="-3"/>
          <w:sz w:val="24"/>
          <w:szCs w:val="24"/>
          <w:u w:val="none"/>
        </w:rPr>
        <w:t>to be paid as a lump-sum contribution to the p</w:t>
      </w:r>
      <w:r>
        <w:rPr>
          <w:rFonts w:eastAsia="Times New Roman" w:cstheme="minorHAnsi"/>
          <w:b w:val="0"/>
          <w:i w:val="0"/>
          <w:spacing w:val="-3"/>
          <w:sz w:val="24"/>
          <w:szCs w:val="24"/>
          <w:u w:val="none"/>
        </w:rPr>
        <w:t>articipant’s retirement account in FY24</w:t>
      </w:r>
      <w:r w:rsidR="00BE0ADA">
        <w:rPr>
          <w:rFonts w:eastAsia="Times New Roman" w:cstheme="minorHAnsi"/>
          <w:b w:val="0"/>
          <w:i w:val="0"/>
          <w:spacing w:val="-3"/>
          <w:sz w:val="24"/>
          <w:szCs w:val="24"/>
          <w:u w:val="none"/>
        </w:rPr>
        <w:t>, subject to IRS limits,</w:t>
      </w:r>
      <w:r>
        <w:rPr>
          <w:rFonts w:eastAsia="Times New Roman" w:cstheme="minorHAnsi"/>
          <w:b w:val="0"/>
          <w:i w:val="0"/>
          <w:spacing w:val="-3"/>
          <w:sz w:val="24"/>
          <w:szCs w:val="24"/>
          <w:u w:val="none"/>
        </w:rPr>
        <w:t xml:space="preserve"> unless the retirement date is deferred upon request of the System’s administrators.</w:t>
      </w:r>
    </w:p>
    <w:p w14:paraId="0C2B40BD" w14:textId="755CA58D" w:rsidR="006B1FF2" w:rsidRDefault="006B1FF2" w:rsidP="006B1FF2">
      <w:pPr>
        <w:pStyle w:val="AFR3"/>
        <w:spacing w:after="160"/>
        <w:rPr>
          <w:rFonts w:eastAsia="Times New Roman" w:cstheme="minorHAnsi"/>
          <w:b w:val="0"/>
          <w:i w:val="0"/>
          <w:spacing w:val="-3"/>
          <w:sz w:val="24"/>
          <w:szCs w:val="24"/>
          <w:u w:val="none"/>
        </w:rPr>
      </w:pPr>
      <w:r>
        <w:rPr>
          <w:rFonts w:cstheme="minorHAnsi"/>
        </w:rPr>
        <w:lastRenderedPageBreak/>
        <w:t>13f</w:t>
      </w:r>
      <w:r w:rsidRPr="00F54559">
        <w:rPr>
          <w:rFonts w:cstheme="minorHAnsi"/>
        </w:rPr>
        <w:t xml:space="preserve">. </w:t>
      </w:r>
      <w:r w:rsidR="001C5BB7">
        <w:rPr>
          <w:rFonts w:cstheme="minorHAnsi"/>
        </w:rPr>
        <w:t xml:space="preserve">Special Retirement Incentive Plan </w:t>
      </w:r>
      <w:r>
        <w:rPr>
          <w:rFonts w:cstheme="minorHAnsi"/>
        </w:rPr>
        <w:t>- continued</w:t>
      </w:r>
    </w:p>
    <w:p w14:paraId="558C7814" w14:textId="3FD9E0D7" w:rsidR="00DD1612" w:rsidRDefault="00DD1612" w:rsidP="00DD1612">
      <w:pPr>
        <w:pStyle w:val="AFR3"/>
        <w:spacing w:after="160"/>
        <w:rPr>
          <w:rFonts w:eastAsia="Times New Roman" w:cstheme="minorHAnsi"/>
          <w:b w:val="0"/>
          <w:i w:val="0"/>
          <w:spacing w:val="-3"/>
          <w:sz w:val="24"/>
          <w:szCs w:val="24"/>
          <w:u w:val="none"/>
        </w:rPr>
      </w:pPr>
      <w:r w:rsidRPr="00265EC2">
        <w:rPr>
          <w:rFonts w:cstheme="minorHAnsi"/>
          <w:b w:val="0"/>
          <w:i w:val="0"/>
          <w:sz w:val="24"/>
          <w:szCs w:val="24"/>
          <w:u w:val="none"/>
        </w:rPr>
        <w:t>In FY22</w:t>
      </w:r>
      <w:r>
        <w:rPr>
          <w:rFonts w:cstheme="minorHAnsi"/>
          <w:b w:val="0"/>
          <w:i w:val="0"/>
          <w:sz w:val="24"/>
          <w:szCs w:val="24"/>
          <w:u w:val="none"/>
        </w:rPr>
        <w:t xml:space="preserve">, the System offered </w:t>
      </w:r>
      <w:r w:rsidR="001C5BB7">
        <w:rPr>
          <w:rFonts w:cstheme="minorHAnsi"/>
          <w:b w:val="0"/>
          <w:i w:val="0"/>
          <w:sz w:val="24"/>
          <w:szCs w:val="24"/>
          <w:u w:val="none"/>
        </w:rPr>
        <w:t xml:space="preserve">special </w:t>
      </w:r>
      <w:r>
        <w:rPr>
          <w:rFonts w:cstheme="minorHAnsi"/>
          <w:b w:val="0"/>
          <w:i w:val="0"/>
          <w:sz w:val="24"/>
          <w:szCs w:val="24"/>
          <w:u w:val="none"/>
        </w:rPr>
        <w:t>retirement incentives to eligible faculty members who made the election to retire during FY23. Eligibility was based on the member attaining the age of 62 and having 10 or more years of consecutive service at the time of retirement; or age 60 or older and having 20 or more years of service. The incentives are</w:t>
      </w:r>
      <w:r w:rsidRPr="00265EC2">
        <w:rPr>
          <w:rFonts w:eastAsia="Times New Roman" w:cstheme="minorHAnsi"/>
          <w:b w:val="0"/>
          <w:i w:val="0"/>
          <w:spacing w:val="-3"/>
          <w:sz w:val="24"/>
          <w:szCs w:val="24"/>
          <w:u w:val="none"/>
        </w:rPr>
        <w:t xml:space="preserve"> </w:t>
      </w:r>
      <w:r>
        <w:rPr>
          <w:rFonts w:eastAsia="Times New Roman" w:cstheme="minorHAnsi"/>
          <w:b w:val="0"/>
          <w:i w:val="0"/>
          <w:spacing w:val="-3"/>
          <w:sz w:val="24"/>
          <w:szCs w:val="24"/>
          <w:u w:val="none"/>
        </w:rPr>
        <w:t xml:space="preserve">equal to 100% of the employee’s annual salary and is </w:t>
      </w:r>
      <w:r w:rsidRPr="00265EC2">
        <w:rPr>
          <w:rFonts w:eastAsia="Times New Roman" w:cstheme="minorHAnsi"/>
          <w:b w:val="0"/>
          <w:i w:val="0"/>
          <w:spacing w:val="-3"/>
          <w:sz w:val="24"/>
          <w:szCs w:val="24"/>
          <w:u w:val="none"/>
        </w:rPr>
        <w:t>to be paid as a lump-sum contribution to the p</w:t>
      </w:r>
      <w:r>
        <w:rPr>
          <w:rFonts w:eastAsia="Times New Roman" w:cstheme="minorHAnsi"/>
          <w:b w:val="0"/>
          <w:i w:val="0"/>
          <w:spacing w:val="-3"/>
          <w:sz w:val="24"/>
          <w:szCs w:val="24"/>
          <w:u w:val="none"/>
        </w:rPr>
        <w:t>articipant’s retirement account in FY23</w:t>
      </w:r>
      <w:r w:rsidR="00942DB8">
        <w:rPr>
          <w:rFonts w:eastAsia="Times New Roman" w:cstheme="minorHAnsi"/>
          <w:b w:val="0"/>
          <w:i w:val="0"/>
          <w:spacing w:val="-3"/>
          <w:sz w:val="24"/>
          <w:szCs w:val="24"/>
          <w:u w:val="none"/>
        </w:rPr>
        <w:t>, subject to IRS limits,</w:t>
      </w:r>
      <w:r>
        <w:rPr>
          <w:rFonts w:eastAsia="Times New Roman" w:cstheme="minorHAnsi"/>
          <w:b w:val="0"/>
          <w:i w:val="0"/>
          <w:spacing w:val="-3"/>
          <w:sz w:val="24"/>
          <w:szCs w:val="24"/>
          <w:u w:val="none"/>
        </w:rPr>
        <w:t xml:space="preserve"> unless the retirement date is deferred upon request of the System’s administrators. </w:t>
      </w:r>
    </w:p>
    <w:p w14:paraId="5E10F0AD" w14:textId="036835B5" w:rsidR="00215C2B" w:rsidRPr="00265EC2" w:rsidRDefault="00215C2B" w:rsidP="00DD1612">
      <w:pPr>
        <w:pStyle w:val="AFR3"/>
        <w:spacing w:after="160"/>
        <w:rPr>
          <w:rFonts w:cstheme="minorHAnsi"/>
          <w:b w:val="0"/>
          <w:i w:val="0"/>
          <w:sz w:val="24"/>
          <w:szCs w:val="24"/>
          <w:u w:val="none"/>
        </w:rPr>
      </w:pPr>
      <w:r w:rsidRPr="00CC6E29">
        <w:rPr>
          <w:rFonts w:eastAsia="Times New Roman" w:cstheme="minorHAnsi"/>
          <w:b w:val="0"/>
          <w:i w:val="0"/>
          <w:spacing w:val="-3"/>
          <w:sz w:val="24"/>
          <w:szCs w:val="24"/>
          <w:u w:val="none"/>
        </w:rPr>
        <w:t xml:space="preserve">The System’s </w:t>
      </w:r>
      <w:r w:rsidR="001C5BB7">
        <w:rPr>
          <w:rFonts w:eastAsia="Times New Roman" w:cstheme="minorHAnsi"/>
          <w:b w:val="0"/>
          <w:i w:val="0"/>
          <w:spacing w:val="-3"/>
          <w:sz w:val="24"/>
          <w:szCs w:val="24"/>
          <w:u w:val="none"/>
        </w:rPr>
        <w:t xml:space="preserve">special </w:t>
      </w:r>
      <w:r>
        <w:rPr>
          <w:rFonts w:eastAsia="Times New Roman" w:cstheme="minorHAnsi"/>
          <w:b w:val="0"/>
          <w:i w:val="0"/>
          <w:spacing w:val="-3"/>
          <w:sz w:val="24"/>
          <w:szCs w:val="24"/>
          <w:u w:val="none"/>
        </w:rPr>
        <w:t xml:space="preserve">retirement </w:t>
      </w:r>
      <w:r w:rsidR="00A176C0">
        <w:rPr>
          <w:rFonts w:eastAsia="Times New Roman" w:cstheme="minorHAnsi"/>
          <w:b w:val="0"/>
          <w:i w:val="0"/>
          <w:spacing w:val="-3"/>
          <w:sz w:val="24"/>
          <w:szCs w:val="24"/>
          <w:u w:val="none"/>
        </w:rPr>
        <w:t xml:space="preserve">incentive </w:t>
      </w:r>
      <w:r w:rsidR="00AC3E03">
        <w:rPr>
          <w:rFonts w:eastAsia="Times New Roman" w:cstheme="minorHAnsi"/>
          <w:b w:val="0"/>
          <w:i w:val="0"/>
          <w:spacing w:val="-3"/>
          <w:sz w:val="24"/>
          <w:szCs w:val="24"/>
          <w:u w:val="none"/>
        </w:rPr>
        <w:t xml:space="preserve">expense </w:t>
      </w:r>
      <w:r w:rsidR="002D059D">
        <w:rPr>
          <w:rFonts w:eastAsia="Times New Roman" w:cstheme="minorHAnsi"/>
          <w:b w:val="0"/>
          <w:i w:val="0"/>
          <w:spacing w:val="-3"/>
          <w:sz w:val="24"/>
          <w:szCs w:val="24"/>
          <w:u w:val="none"/>
        </w:rPr>
        <w:t>for FY23 and FY22</w:t>
      </w:r>
      <w:r w:rsidR="00AC3E03">
        <w:rPr>
          <w:rFonts w:eastAsia="Times New Roman" w:cstheme="minorHAnsi"/>
          <w:b w:val="0"/>
          <w:i w:val="0"/>
          <w:spacing w:val="-3"/>
          <w:sz w:val="24"/>
          <w:szCs w:val="24"/>
          <w:u w:val="none"/>
        </w:rPr>
        <w:t xml:space="preserve"> was $2,505 and $9,657</w:t>
      </w:r>
      <w:r w:rsidR="002D059D">
        <w:rPr>
          <w:rFonts w:eastAsia="Times New Roman" w:cstheme="minorHAnsi"/>
          <w:b w:val="0"/>
          <w:i w:val="0"/>
          <w:spacing w:val="-3"/>
          <w:sz w:val="24"/>
          <w:szCs w:val="24"/>
          <w:u w:val="none"/>
        </w:rPr>
        <w:t>,</w:t>
      </w:r>
      <w:r w:rsidR="00AC3E03">
        <w:rPr>
          <w:rFonts w:eastAsia="Times New Roman" w:cstheme="minorHAnsi"/>
          <w:b w:val="0"/>
          <w:i w:val="0"/>
          <w:spacing w:val="-3"/>
          <w:sz w:val="24"/>
          <w:szCs w:val="24"/>
          <w:u w:val="none"/>
        </w:rPr>
        <w:t xml:space="preserve"> respectively</w:t>
      </w:r>
      <w:r w:rsidR="002D059D">
        <w:rPr>
          <w:rFonts w:eastAsia="Times New Roman" w:cstheme="minorHAnsi"/>
          <w:b w:val="0"/>
          <w:i w:val="0"/>
          <w:spacing w:val="-3"/>
          <w:sz w:val="24"/>
          <w:szCs w:val="24"/>
          <w:u w:val="none"/>
        </w:rPr>
        <w:t>,</w:t>
      </w:r>
      <w:r w:rsidR="00AC3E03">
        <w:rPr>
          <w:rFonts w:eastAsia="Times New Roman" w:cstheme="minorHAnsi"/>
          <w:b w:val="0"/>
          <w:i w:val="0"/>
          <w:spacing w:val="-3"/>
          <w:sz w:val="24"/>
          <w:szCs w:val="24"/>
          <w:u w:val="none"/>
        </w:rPr>
        <w:t xml:space="preserve"> and is included in pension expense.  The related </w:t>
      </w:r>
      <w:r w:rsidRPr="00CC6E29">
        <w:rPr>
          <w:rFonts w:eastAsia="Times New Roman" w:cstheme="minorHAnsi"/>
          <w:b w:val="0"/>
          <w:i w:val="0"/>
          <w:spacing w:val="-3"/>
          <w:sz w:val="24"/>
          <w:szCs w:val="24"/>
          <w:u w:val="none"/>
        </w:rPr>
        <w:t xml:space="preserve">liability at June 30, 2023 and 2022 </w:t>
      </w:r>
      <w:r>
        <w:rPr>
          <w:rFonts w:eastAsia="Times New Roman" w:cstheme="minorHAnsi"/>
          <w:b w:val="0"/>
          <w:i w:val="0"/>
          <w:spacing w:val="-3"/>
          <w:sz w:val="24"/>
          <w:szCs w:val="24"/>
          <w:u w:val="none"/>
        </w:rPr>
        <w:t>was</w:t>
      </w:r>
      <w:r w:rsidRPr="00CC6E29">
        <w:rPr>
          <w:rFonts w:eastAsia="Times New Roman" w:cstheme="minorHAnsi"/>
          <w:b w:val="0"/>
          <w:i w:val="0"/>
          <w:spacing w:val="-3"/>
          <w:sz w:val="24"/>
          <w:szCs w:val="24"/>
          <w:u w:val="none"/>
        </w:rPr>
        <w:t xml:space="preserve"> $</w:t>
      </w:r>
      <w:r>
        <w:rPr>
          <w:rFonts w:eastAsia="Times New Roman" w:cstheme="minorHAnsi"/>
          <w:b w:val="0"/>
          <w:i w:val="0"/>
          <w:spacing w:val="-3"/>
          <w:sz w:val="24"/>
          <w:szCs w:val="24"/>
          <w:u w:val="none"/>
        </w:rPr>
        <w:t>5,448</w:t>
      </w:r>
      <w:r w:rsidRPr="00CC6E29">
        <w:rPr>
          <w:rFonts w:eastAsia="Times New Roman" w:cstheme="minorHAnsi"/>
          <w:b w:val="0"/>
          <w:i w:val="0"/>
          <w:spacing w:val="-3"/>
          <w:sz w:val="24"/>
          <w:szCs w:val="24"/>
          <w:u w:val="none"/>
        </w:rPr>
        <w:t xml:space="preserve"> and $</w:t>
      </w:r>
      <w:r>
        <w:rPr>
          <w:rFonts w:eastAsia="Times New Roman" w:cstheme="minorHAnsi"/>
          <w:b w:val="0"/>
          <w:i w:val="0"/>
          <w:spacing w:val="-3"/>
          <w:sz w:val="24"/>
          <w:szCs w:val="24"/>
          <w:u w:val="none"/>
        </w:rPr>
        <w:t>9,657</w:t>
      </w:r>
      <w:r w:rsidRPr="00CC6E29">
        <w:rPr>
          <w:rFonts w:eastAsia="Times New Roman" w:cstheme="minorHAnsi"/>
          <w:b w:val="0"/>
          <w:i w:val="0"/>
          <w:spacing w:val="-3"/>
          <w:sz w:val="24"/>
          <w:szCs w:val="24"/>
          <w:u w:val="none"/>
        </w:rPr>
        <w:t xml:space="preserve">, </w:t>
      </w:r>
      <w:r w:rsidR="002D059D" w:rsidRPr="00CC6E29">
        <w:rPr>
          <w:rFonts w:eastAsia="Times New Roman" w:cstheme="minorHAnsi"/>
          <w:b w:val="0"/>
          <w:i w:val="0"/>
          <w:spacing w:val="-3"/>
          <w:sz w:val="24"/>
          <w:szCs w:val="24"/>
          <w:u w:val="none"/>
        </w:rPr>
        <w:t>respectively</w:t>
      </w:r>
      <w:r w:rsidR="002D059D">
        <w:rPr>
          <w:rFonts w:eastAsia="Times New Roman" w:cstheme="minorHAnsi"/>
          <w:b w:val="0"/>
          <w:i w:val="0"/>
          <w:spacing w:val="-3"/>
          <w:sz w:val="24"/>
          <w:szCs w:val="24"/>
          <w:u w:val="none"/>
        </w:rPr>
        <w:t xml:space="preserve">, </w:t>
      </w:r>
      <w:r>
        <w:rPr>
          <w:rFonts w:eastAsia="Times New Roman" w:cstheme="minorHAnsi"/>
          <w:b w:val="0"/>
          <w:i w:val="0"/>
          <w:spacing w:val="-3"/>
          <w:sz w:val="24"/>
          <w:szCs w:val="24"/>
          <w:u w:val="none"/>
        </w:rPr>
        <w:t>and</w:t>
      </w:r>
      <w:r w:rsidRPr="00CC6E29">
        <w:rPr>
          <w:rFonts w:eastAsia="Times New Roman" w:cstheme="minorHAnsi"/>
          <w:b w:val="0"/>
          <w:i w:val="0"/>
          <w:spacing w:val="-3"/>
          <w:sz w:val="24"/>
          <w:szCs w:val="24"/>
          <w:u w:val="none"/>
        </w:rPr>
        <w:t xml:space="preserve"> is included in accrued liabilities in the accompan</w:t>
      </w:r>
      <w:r>
        <w:rPr>
          <w:rFonts w:eastAsia="Times New Roman" w:cstheme="minorHAnsi"/>
          <w:b w:val="0"/>
          <w:i w:val="0"/>
          <w:spacing w:val="-3"/>
          <w:sz w:val="24"/>
          <w:szCs w:val="24"/>
          <w:u w:val="none"/>
        </w:rPr>
        <w:t>ying Statements of Net Position.</w:t>
      </w:r>
    </w:p>
    <w:p w14:paraId="08E7765A" w14:textId="77777777" w:rsidR="00DD1612" w:rsidRPr="00F54559" w:rsidRDefault="00DD1612" w:rsidP="00DD1612">
      <w:pPr>
        <w:pStyle w:val="AFR2"/>
        <w:rPr>
          <w:rFonts w:cstheme="minorHAnsi"/>
          <w:sz w:val="26"/>
          <w:szCs w:val="26"/>
        </w:rPr>
      </w:pPr>
      <w:r w:rsidRPr="00F54559">
        <w:rPr>
          <w:rFonts w:cstheme="minorHAnsi"/>
          <w:sz w:val="26"/>
          <w:szCs w:val="26"/>
        </w:rPr>
        <w:t>14. POSTEMPLOYMENT HEALTH PLAN</w:t>
      </w:r>
    </w:p>
    <w:p w14:paraId="32B4216E" w14:textId="77777777" w:rsidR="00DD1612" w:rsidRPr="00F54559" w:rsidRDefault="00DD1612" w:rsidP="00DD1612">
      <w:pPr>
        <w:tabs>
          <w:tab w:val="left" w:pos="900"/>
          <w:tab w:val="left" w:pos="10260"/>
        </w:tabs>
        <w:spacing w:after="160"/>
        <w:rPr>
          <w:rFonts w:cstheme="minorHAnsi"/>
          <w:sz w:val="24"/>
        </w:rPr>
      </w:pPr>
      <w:r w:rsidRPr="00F54559">
        <w:rPr>
          <w:rFonts w:eastAsia="Times New Roman" w:cstheme="minorHAnsi"/>
          <w:b/>
          <w:sz w:val="26"/>
          <w:szCs w:val="26"/>
        </w:rPr>
        <w:t>Plan Description</w:t>
      </w:r>
    </w:p>
    <w:p w14:paraId="43733E6B" w14:textId="78F04166" w:rsidR="00DD1612" w:rsidRPr="00F54559" w:rsidRDefault="00DD1612" w:rsidP="00DD1612">
      <w:pPr>
        <w:tabs>
          <w:tab w:val="left" w:pos="900"/>
          <w:tab w:val="left" w:pos="10260"/>
        </w:tabs>
        <w:rPr>
          <w:rFonts w:cstheme="minorHAnsi"/>
          <w:sz w:val="24"/>
        </w:rPr>
      </w:pPr>
      <w:r w:rsidRPr="00F54559">
        <w:rPr>
          <w:rFonts w:eastAsia="Franklin Gothic Book" w:cstheme="minorHAnsi"/>
          <w:b/>
          <w:i/>
          <w:sz w:val="24"/>
        </w:rPr>
        <w:t>Plan Administration:</w:t>
      </w:r>
      <w:r w:rsidRPr="00F54559">
        <w:rPr>
          <w:rFonts w:cstheme="minorHAnsi"/>
          <w:sz w:val="24"/>
        </w:rPr>
        <w:t xml:space="preserve"> The Other Postemployment Benefits (OPEB) Health Plan (“OPEB Plan”) is a defined benefit, single employer plan, administered by the System. The OPEB Plan does not produce s</w:t>
      </w:r>
      <w:r w:rsidR="003E72E3">
        <w:rPr>
          <w:rFonts w:cstheme="minorHAnsi"/>
          <w:sz w:val="24"/>
        </w:rPr>
        <w:t>tandalone financial statements.</w:t>
      </w:r>
      <w:r w:rsidRPr="00F54559">
        <w:rPr>
          <w:rFonts w:cstheme="minorHAnsi"/>
          <w:sz w:val="24"/>
        </w:rPr>
        <w:t xml:space="preserve"> Within certain limits, the Board of Trustees has authority to establish and amend provisions under the Plan for retirees. This authority is subject to collective bargaining agreements for active employees.</w:t>
      </w:r>
    </w:p>
    <w:p w14:paraId="372E7752" w14:textId="77777777" w:rsidR="00DD1612" w:rsidRPr="00F54559" w:rsidRDefault="00DD1612" w:rsidP="00DD1612">
      <w:pPr>
        <w:spacing w:line="259" w:lineRule="auto"/>
        <w:rPr>
          <w:rFonts w:eastAsiaTheme="majorEastAsia" w:cstheme="minorHAnsi"/>
          <w:i/>
          <w:iCs/>
          <w:smallCaps/>
          <w:noProof/>
          <w:color w:val="000000" w:themeColor="text1"/>
          <w:szCs w:val="26"/>
          <w:u w:color="5B9BD5"/>
        </w:rPr>
      </w:pPr>
    </w:p>
    <w:p w14:paraId="0CA46693" w14:textId="0717B564" w:rsidR="00DD1612" w:rsidRPr="00F54559" w:rsidRDefault="00DD1612" w:rsidP="00DD1612">
      <w:pPr>
        <w:tabs>
          <w:tab w:val="left" w:pos="900"/>
          <w:tab w:val="left" w:pos="10260"/>
        </w:tabs>
        <w:rPr>
          <w:rFonts w:cstheme="minorHAnsi"/>
          <w:sz w:val="24"/>
          <w:szCs w:val="24"/>
        </w:rPr>
      </w:pPr>
      <w:r w:rsidRPr="00F54559">
        <w:rPr>
          <w:rFonts w:eastAsia="Franklin Gothic Book" w:cstheme="minorHAnsi"/>
          <w:b/>
          <w:i/>
          <w:sz w:val="24"/>
        </w:rPr>
        <w:t>Plan Benefits:</w:t>
      </w:r>
      <w:r w:rsidR="003E72E3">
        <w:rPr>
          <w:rFonts w:cstheme="minorHAnsi"/>
          <w:sz w:val="24"/>
        </w:rPr>
        <w:t xml:space="preserve"> </w:t>
      </w:r>
      <w:r w:rsidRPr="00F54559">
        <w:rPr>
          <w:rFonts w:cstheme="minorHAnsi"/>
          <w:sz w:val="24"/>
        </w:rPr>
        <w:t xml:space="preserve">System retirees at or above the normal retirement age of 65 with at least ten years of continuous full-time regular university service immediately prior to retirement, and who are in the System health plan upon retirement, are eligible for </w:t>
      </w:r>
      <w:r>
        <w:rPr>
          <w:rFonts w:cstheme="minorHAnsi"/>
          <w:sz w:val="24"/>
        </w:rPr>
        <w:t xml:space="preserve">post-retirement </w:t>
      </w:r>
      <w:r w:rsidRPr="00F54559">
        <w:rPr>
          <w:rFonts w:cstheme="minorHAnsi"/>
          <w:sz w:val="24"/>
        </w:rPr>
        <w:t xml:space="preserve">health coverage. This coverage is also extended to </w:t>
      </w:r>
      <w:r w:rsidRPr="00F54559">
        <w:rPr>
          <w:rFonts w:cstheme="minorHAnsi"/>
          <w:sz w:val="24"/>
          <w:szCs w:val="24"/>
        </w:rPr>
        <w:t xml:space="preserve">those former </w:t>
      </w:r>
      <w:r>
        <w:rPr>
          <w:rFonts w:cstheme="minorHAnsi"/>
          <w:sz w:val="24"/>
          <w:szCs w:val="24"/>
        </w:rPr>
        <w:t xml:space="preserve">eligible </w:t>
      </w:r>
      <w:r w:rsidRPr="00F54559">
        <w:rPr>
          <w:rFonts w:cstheme="minorHAnsi"/>
          <w:sz w:val="24"/>
          <w:szCs w:val="24"/>
        </w:rPr>
        <w:t xml:space="preserve">employees </w:t>
      </w:r>
      <w:r>
        <w:rPr>
          <w:rFonts w:cstheme="minorHAnsi"/>
          <w:sz w:val="24"/>
          <w:szCs w:val="24"/>
        </w:rPr>
        <w:t xml:space="preserve">who </w:t>
      </w:r>
      <w:r w:rsidRPr="00F54559">
        <w:rPr>
          <w:rFonts w:cstheme="minorHAnsi"/>
          <w:sz w:val="24"/>
          <w:szCs w:val="24"/>
        </w:rPr>
        <w:t>receiv</w:t>
      </w:r>
      <w:r>
        <w:rPr>
          <w:rFonts w:cstheme="minorHAnsi"/>
          <w:sz w:val="24"/>
          <w:szCs w:val="24"/>
        </w:rPr>
        <w:t>e</w:t>
      </w:r>
      <w:r w:rsidRPr="00F54559">
        <w:rPr>
          <w:rFonts w:cstheme="minorHAnsi"/>
          <w:sz w:val="24"/>
          <w:szCs w:val="24"/>
        </w:rPr>
        <w:t xml:space="preserve"> benefits under the System’s long-term disability (LTD) insurance and to widows/widowers of university employees and retirees. Employees who retire on or after April 1, 2008 and former employees receiving LTD benefits will have a one-time election to cease coverage under the System health plan and later reenroll for coverage provided continuous coverage is documented.</w:t>
      </w:r>
    </w:p>
    <w:p w14:paraId="19FFCA74" w14:textId="77777777" w:rsidR="00DD1612" w:rsidRPr="00F54559" w:rsidRDefault="00DD1612" w:rsidP="00DD1612">
      <w:pPr>
        <w:tabs>
          <w:tab w:val="left" w:pos="900"/>
          <w:tab w:val="left" w:pos="10260"/>
        </w:tabs>
        <w:rPr>
          <w:rFonts w:cstheme="minorHAnsi"/>
          <w:sz w:val="24"/>
          <w:szCs w:val="24"/>
        </w:rPr>
      </w:pPr>
    </w:p>
    <w:p w14:paraId="270C9813" w14:textId="51D88894" w:rsidR="00116215" w:rsidRDefault="00DD1612" w:rsidP="00CA6E6A">
      <w:pPr>
        <w:tabs>
          <w:tab w:val="left" w:pos="900"/>
          <w:tab w:val="left" w:pos="10260"/>
        </w:tabs>
        <w:spacing w:after="240"/>
        <w:rPr>
          <w:rFonts w:cstheme="minorHAnsi"/>
          <w:sz w:val="24"/>
          <w:szCs w:val="24"/>
        </w:rPr>
      </w:pPr>
      <w:r w:rsidRPr="00F54559">
        <w:rPr>
          <w:rFonts w:cstheme="minorHAnsi"/>
          <w:sz w:val="24"/>
          <w:szCs w:val="24"/>
        </w:rPr>
        <w:t>The System</w:t>
      </w:r>
      <w:r>
        <w:rPr>
          <w:rFonts w:cstheme="minorHAnsi"/>
          <w:sz w:val="24"/>
          <w:szCs w:val="24"/>
        </w:rPr>
        <w:t xml:space="preserve"> Medicare eligible retiree health plan options include a Medicare Exchange program with an HRA and a group health plan which </w:t>
      </w:r>
      <w:r w:rsidRPr="00F54559">
        <w:rPr>
          <w:rFonts w:cstheme="minorHAnsi"/>
          <w:sz w:val="24"/>
          <w:szCs w:val="24"/>
        </w:rPr>
        <w:t>subsidizes the cost of insurance for eligible persons who are retired from the System and have reached age 65</w:t>
      </w:r>
      <w:r>
        <w:rPr>
          <w:rFonts w:cstheme="minorHAnsi"/>
          <w:sz w:val="24"/>
          <w:szCs w:val="24"/>
        </w:rPr>
        <w:t xml:space="preserve">, who are under age 65 and are part of a special retirement incentive program, </w:t>
      </w:r>
      <w:r w:rsidRPr="00F54559">
        <w:rPr>
          <w:rFonts w:cstheme="minorHAnsi"/>
          <w:sz w:val="24"/>
          <w:szCs w:val="24"/>
        </w:rPr>
        <w:t>and</w:t>
      </w:r>
      <w:r>
        <w:rPr>
          <w:rFonts w:cstheme="minorHAnsi"/>
          <w:sz w:val="24"/>
          <w:szCs w:val="24"/>
        </w:rPr>
        <w:t xml:space="preserve"> who are </w:t>
      </w:r>
      <w:r w:rsidRPr="00F54559">
        <w:rPr>
          <w:rFonts w:cstheme="minorHAnsi"/>
          <w:sz w:val="24"/>
          <w:szCs w:val="24"/>
        </w:rPr>
        <w:t>former employees</w:t>
      </w:r>
      <w:r>
        <w:rPr>
          <w:rFonts w:cstheme="minorHAnsi"/>
          <w:sz w:val="24"/>
          <w:szCs w:val="24"/>
        </w:rPr>
        <w:t xml:space="preserve"> and </w:t>
      </w:r>
      <w:r w:rsidRPr="00F54559">
        <w:rPr>
          <w:rFonts w:cstheme="minorHAnsi"/>
          <w:sz w:val="24"/>
          <w:szCs w:val="24"/>
        </w:rPr>
        <w:t xml:space="preserve">approved for LTD benefits regardless of age or </w:t>
      </w:r>
      <w:r>
        <w:rPr>
          <w:rFonts w:cstheme="minorHAnsi"/>
          <w:sz w:val="24"/>
          <w:szCs w:val="24"/>
        </w:rPr>
        <w:t xml:space="preserve">years of </w:t>
      </w:r>
      <w:r w:rsidRPr="00F54559">
        <w:rPr>
          <w:rFonts w:cstheme="minorHAnsi"/>
          <w:sz w:val="24"/>
          <w:szCs w:val="24"/>
        </w:rPr>
        <w:t>service</w:t>
      </w:r>
      <w:r>
        <w:rPr>
          <w:rFonts w:cstheme="minorHAnsi"/>
          <w:sz w:val="24"/>
          <w:szCs w:val="24"/>
        </w:rPr>
        <w:t xml:space="preserve">. The level of subsidy may vary depending on plan selected, retirement incentive programs, retirement date and years of service. The System also provides a subsidy for eligible spouses and dependents. </w:t>
      </w:r>
      <w:r w:rsidRPr="00F54559">
        <w:rPr>
          <w:rFonts w:cstheme="minorHAnsi"/>
          <w:sz w:val="24"/>
          <w:szCs w:val="24"/>
        </w:rPr>
        <w:t xml:space="preserve">With certain restrictions, </w:t>
      </w:r>
      <w:r>
        <w:rPr>
          <w:rFonts w:cstheme="minorHAnsi"/>
          <w:sz w:val="24"/>
          <w:szCs w:val="24"/>
        </w:rPr>
        <w:t xml:space="preserve">spouses </w:t>
      </w:r>
      <w:r w:rsidR="00CA6E6A">
        <w:rPr>
          <w:rFonts w:cstheme="minorHAnsi"/>
          <w:sz w:val="24"/>
          <w:szCs w:val="24"/>
        </w:rPr>
        <w:t xml:space="preserve">and </w:t>
      </w:r>
      <w:r w:rsidR="00CA6E6A" w:rsidRPr="00F54559">
        <w:rPr>
          <w:rFonts w:cstheme="minorHAnsi"/>
          <w:sz w:val="24"/>
          <w:szCs w:val="24"/>
        </w:rPr>
        <w:t>dependents are eligible to continue coverage after the death of a retiree meeting the above criteria.</w:t>
      </w:r>
      <w:r w:rsidR="00116215">
        <w:rPr>
          <w:rFonts w:cstheme="minorHAnsi"/>
          <w:sz w:val="24"/>
          <w:szCs w:val="24"/>
        </w:rPr>
        <w:br w:type="page"/>
      </w:r>
    </w:p>
    <w:p w14:paraId="680DC1C9" w14:textId="77777777" w:rsidR="00DD4C0C" w:rsidRPr="009A7150" w:rsidRDefault="00DD4C0C" w:rsidP="00DD4C0C">
      <w:pPr>
        <w:spacing w:before="240" w:after="120" w:line="259" w:lineRule="auto"/>
        <w:rPr>
          <w:rFonts w:cstheme="minorHAnsi"/>
          <w:b/>
          <w:i/>
          <w:sz w:val="26"/>
        </w:rPr>
      </w:pPr>
      <w:r w:rsidRPr="009A7150">
        <w:rPr>
          <w:rFonts w:cstheme="minorHAnsi"/>
          <w:b/>
          <w:i/>
          <w:sz w:val="26"/>
        </w:rPr>
        <w:lastRenderedPageBreak/>
        <w:t>14. POSTEMPLOYMENT HEALTH PLAN - CONTINUED</w:t>
      </w:r>
    </w:p>
    <w:p w14:paraId="679D123C" w14:textId="77777777" w:rsidR="00DD1612" w:rsidRPr="00F54559" w:rsidRDefault="00DD1612" w:rsidP="00DD1612">
      <w:pPr>
        <w:tabs>
          <w:tab w:val="left" w:pos="900"/>
        </w:tabs>
        <w:ind w:right="-7"/>
        <w:rPr>
          <w:rFonts w:cstheme="minorHAnsi"/>
          <w:sz w:val="24"/>
        </w:rPr>
      </w:pPr>
      <w:r w:rsidRPr="00F54559">
        <w:rPr>
          <w:rFonts w:cstheme="minorHAnsi"/>
          <w:sz w:val="24"/>
        </w:rPr>
        <w:t>Persons eligible for a subsidy from the System may not convert their benefit into an in-lieu-of payment to secure coverage under independent plans.</w:t>
      </w:r>
    </w:p>
    <w:p w14:paraId="0FD18442" w14:textId="77777777" w:rsidR="00DD1612" w:rsidRDefault="00DD1612" w:rsidP="00DD1612">
      <w:pPr>
        <w:tabs>
          <w:tab w:val="left" w:pos="900"/>
        </w:tabs>
        <w:ind w:right="-7"/>
        <w:rPr>
          <w:rFonts w:cstheme="minorHAnsi"/>
          <w:sz w:val="24"/>
        </w:rPr>
      </w:pPr>
    </w:p>
    <w:p w14:paraId="73CB8023" w14:textId="3AE9858A" w:rsidR="00DD1612" w:rsidRDefault="00DD1612" w:rsidP="00DD1612">
      <w:pPr>
        <w:tabs>
          <w:tab w:val="left" w:pos="900"/>
        </w:tabs>
        <w:ind w:right="-7"/>
        <w:rPr>
          <w:rFonts w:cstheme="minorHAnsi"/>
          <w:sz w:val="24"/>
        </w:rPr>
      </w:pPr>
      <w:r w:rsidRPr="00F54559">
        <w:rPr>
          <w:rFonts w:cstheme="minorHAnsi"/>
          <w:sz w:val="24"/>
        </w:rPr>
        <w:t xml:space="preserve">The System’s OPEB </w:t>
      </w:r>
      <w:r w:rsidRPr="00E54EA3">
        <w:rPr>
          <w:rFonts w:cstheme="minorHAnsi"/>
          <w:sz w:val="24"/>
        </w:rPr>
        <w:t xml:space="preserve">expense for June 30, </w:t>
      </w:r>
      <w:r w:rsidR="00AB04F4" w:rsidRPr="00E54EA3">
        <w:rPr>
          <w:rFonts w:cstheme="minorHAnsi"/>
          <w:sz w:val="24"/>
        </w:rPr>
        <w:t xml:space="preserve">2023 </w:t>
      </w:r>
      <w:r w:rsidRPr="00E54EA3">
        <w:rPr>
          <w:rFonts w:cstheme="minorHAnsi"/>
          <w:sz w:val="24"/>
        </w:rPr>
        <w:t xml:space="preserve">and </w:t>
      </w:r>
      <w:r w:rsidR="00AB04F4" w:rsidRPr="00E54EA3">
        <w:rPr>
          <w:rFonts w:cstheme="minorHAnsi"/>
          <w:sz w:val="24"/>
        </w:rPr>
        <w:t xml:space="preserve">2022 </w:t>
      </w:r>
      <w:r w:rsidRPr="00E54EA3">
        <w:rPr>
          <w:rFonts w:cstheme="minorHAnsi"/>
          <w:sz w:val="24"/>
        </w:rPr>
        <w:t>was</w:t>
      </w:r>
      <w:r w:rsidR="0002276B">
        <w:rPr>
          <w:rFonts w:cstheme="minorHAnsi"/>
          <w:sz w:val="24"/>
        </w:rPr>
        <w:t xml:space="preserve"> $3,205</w:t>
      </w:r>
      <w:r w:rsidRPr="007257C7">
        <w:rPr>
          <w:rFonts w:cstheme="minorHAnsi"/>
          <w:sz w:val="24"/>
        </w:rPr>
        <w:t xml:space="preserve"> </w:t>
      </w:r>
      <w:r w:rsidRPr="00F54559">
        <w:rPr>
          <w:rFonts w:cstheme="minorHAnsi"/>
          <w:sz w:val="24"/>
        </w:rPr>
        <w:t xml:space="preserve">and </w:t>
      </w:r>
      <w:r w:rsidR="00AB04F4" w:rsidRPr="000755A5">
        <w:rPr>
          <w:rFonts w:cstheme="minorHAnsi"/>
          <w:sz w:val="24"/>
        </w:rPr>
        <w:t>$</w:t>
      </w:r>
      <w:r w:rsidR="00E54EA3">
        <w:rPr>
          <w:rFonts w:cstheme="minorHAnsi"/>
          <w:sz w:val="24"/>
        </w:rPr>
        <w:t>3,444</w:t>
      </w:r>
      <w:r w:rsidRPr="00F54559">
        <w:rPr>
          <w:rFonts w:cstheme="minorHAnsi"/>
          <w:sz w:val="24"/>
        </w:rPr>
        <w:t>, respectively.</w:t>
      </w:r>
    </w:p>
    <w:p w14:paraId="60FFA657" w14:textId="77777777" w:rsidR="00DD1612" w:rsidRPr="00F54559" w:rsidRDefault="00DD1612" w:rsidP="00DD1612">
      <w:pPr>
        <w:tabs>
          <w:tab w:val="left" w:pos="900"/>
        </w:tabs>
        <w:ind w:right="-7"/>
        <w:rPr>
          <w:rFonts w:cstheme="minorHAnsi"/>
          <w:sz w:val="24"/>
        </w:rPr>
      </w:pPr>
    </w:p>
    <w:p w14:paraId="4A9D3989" w14:textId="77777777" w:rsidR="00DD1612" w:rsidRPr="00F54559" w:rsidRDefault="00DD1612" w:rsidP="00DD1612">
      <w:pPr>
        <w:tabs>
          <w:tab w:val="left" w:pos="900"/>
          <w:tab w:val="left" w:pos="10260"/>
        </w:tabs>
        <w:spacing w:after="240"/>
        <w:rPr>
          <w:rFonts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proofErr w:type="gramStart"/>
      <w:r w:rsidRPr="00F54559">
        <w:rPr>
          <w:rFonts w:eastAsia="Times New Roman" w:cstheme="minorHAnsi"/>
          <w:spacing w:val="-2"/>
          <w:sz w:val="24"/>
        </w:rPr>
        <w:t>A</w:t>
      </w:r>
      <w:r w:rsidRPr="00F54559">
        <w:rPr>
          <w:rFonts w:eastAsia="Times New Roman" w:cstheme="minorHAnsi"/>
          <w:sz w:val="24"/>
        </w:rPr>
        <w:t>t</w:t>
      </w:r>
      <w:proofErr w:type="gramEnd"/>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OPEB Plan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r>
        <w:rPr>
          <w:rFonts w:cstheme="minorHAnsi"/>
          <w:sz w:val="24"/>
        </w:rPr>
        <w:fldChar w:fldCharType="begin"/>
      </w:r>
      <w:r>
        <w:rPr>
          <w:rFonts w:cstheme="minorHAnsi"/>
          <w:sz w:val="24"/>
        </w:rPr>
        <w:fldChar w:fldCharType="end"/>
      </w:r>
    </w:p>
    <w:tbl>
      <w:tblPr>
        <w:tblW w:w="8370" w:type="dxa"/>
        <w:jc w:val="center"/>
        <w:tblLook w:val="04A0" w:firstRow="1" w:lastRow="0" w:firstColumn="1" w:lastColumn="0" w:noHBand="0" w:noVBand="1"/>
      </w:tblPr>
      <w:tblGrid>
        <w:gridCol w:w="6480"/>
        <w:gridCol w:w="774"/>
        <w:gridCol w:w="1116"/>
      </w:tblGrid>
      <w:tr w:rsidR="00DD1612" w:rsidRPr="00875AA0" w14:paraId="2CA9669F" w14:textId="77777777" w:rsidTr="00B045CF">
        <w:trPr>
          <w:trHeight w:val="261"/>
          <w:tblHeader/>
          <w:jc w:val="center"/>
        </w:trPr>
        <w:tc>
          <w:tcPr>
            <w:tcW w:w="6480" w:type="dxa"/>
            <w:tcBorders>
              <w:top w:val="nil"/>
              <w:left w:val="nil"/>
              <w:bottom w:val="single" w:sz="12" w:space="0" w:color="44546A"/>
              <w:right w:val="nil"/>
            </w:tcBorders>
            <w:shd w:val="clear" w:color="000000" w:fill="FFFFFF"/>
            <w:noWrap/>
            <w:vAlign w:val="bottom"/>
            <w:hideMark/>
          </w:tcPr>
          <w:p w14:paraId="0CB5261F" w14:textId="77777777" w:rsidR="00DD1612" w:rsidRPr="00875AA0" w:rsidRDefault="00DD1612" w:rsidP="00BD375F">
            <w:pPr>
              <w:rPr>
                <w:rFonts w:ascii="Calibri" w:eastAsia="Times New Roman" w:hAnsi="Calibri" w:cs="Calibri"/>
                <w:b/>
                <w:bCs/>
                <w:color w:val="000000"/>
              </w:rPr>
            </w:pPr>
            <w:r w:rsidRPr="00875AA0">
              <w:rPr>
                <w:rFonts w:ascii="Calibri" w:eastAsia="Times New Roman" w:hAnsi="Calibri" w:cs="Calibri"/>
                <w:b/>
                <w:bCs/>
                <w:color w:val="000000"/>
              </w:rPr>
              <w:t> </w:t>
            </w:r>
          </w:p>
        </w:tc>
        <w:tc>
          <w:tcPr>
            <w:tcW w:w="774" w:type="dxa"/>
            <w:tcBorders>
              <w:top w:val="nil"/>
              <w:left w:val="nil"/>
              <w:bottom w:val="single" w:sz="12" w:space="0" w:color="44546A"/>
              <w:right w:val="nil"/>
            </w:tcBorders>
            <w:shd w:val="clear" w:color="000000" w:fill="FFFFFF"/>
            <w:noWrap/>
            <w:vAlign w:val="bottom"/>
            <w:hideMark/>
          </w:tcPr>
          <w:p w14:paraId="1C843593" w14:textId="51873B1C" w:rsidR="00DD1612" w:rsidRPr="00875AA0" w:rsidRDefault="00AB04F4" w:rsidP="003977A2">
            <w:pPr>
              <w:jc w:val="center"/>
              <w:rPr>
                <w:rFonts w:ascii="Calibri" w:eastAsia="Times New Roman" w:hAnsi="Calibri" w:cs="Calibri"/>
                <w:b/>
                <w:bCs/>
                <w:color w:val="000000"/>
              </w:rPr>
            </w:pPr>
            <w:r w:rsidRPr="00875AA0">
              <w:rPr>
                <w:rFonts w:ascii="Calibri" w:eastAsia="Times New Roman" w:hAnsi="Calibri" w:cs="Calibri"/>
                <w:b/>
                <w:bCs/>
                <w:color w:val="000000"/>
              </w:rPr>
              <w:t>202</w:t>
            </w:r>
            <w:r>
              <w:rPr>
                <w:rFonts w:ascii="Calibri" w:eastAsia="Times New Roman" w:hAnsi="Calibri" w:cs="Calibri"/>
                <w:b/>
                <w:bCs/>
                <w:color w:val="000000"/>
              </w:rPr>
              <w:t>3</w:t>
            </w:r>
          </w:p>
        </w:tc>
        <w:tc>
          <w:tcPr>
            <w:tcW w:w="1116" w:type="dxa"/>
            <w:tcBorders>
              <w:top w:val="nil"/>
              <w:left w:val="nil"/>
              <w:bottom w:val="single" w:sz="12" w:space="0" w:color="44546A"/>
              <w:right w:val="nil"/>
            </w:tcBorders>
            <w:shd w:val="clear" w:color="auto" w:fill="F2F2F2" w:themeFill="background1" w:themeFillShade="F2"/>
            <w:noWrap/>
            <w:vAlign w:val="bottom"/>
            <w:hideMark/>
          </w:tcPr>
          <w:p w14:paraId="170818BA" w14:textId="7CAE9BFC" w:rsidR="00DD1612" w:rsidRPr="00875AA0" w:rsidRDefault="00AB04F4">
            <w:pPr>
              <w:jc w:val="center"/>
              <w:rPr>
                <w:rFonts w:ascii="Calibri" w:eastAsia="Times New Roman" w:hAnsi="Calibri" w:cs="Calibri"/>
                <w:b/>
                <w:bCs/>
                <w:color w:val="000000"/>
              </w:rPr>
            </w:pPr>
            <w:r w:rsidRPr="00875AA0">
              <w:rPr>
                <w:rFonts w:ascii="Calibri" w:eastAsia="Times New Roman" w:hAnsi="Calibri" w:cs="Calibri"/>
                <w:b/>
                <w:bCs/>
                <w:color w:val="000000"/>
              </w:rPr>
              <w:t>20</w:t>
            </w:r>
            <w:r>
              <w:rPr>
                <w:rFonts w:ascii="Calibri" w:eastAsia="Times New Roman" w:hAnsi="Calibri" w:cs="Calibri"/>
                <w:b/>
                <w:bCs/>
                <w:color w:val="000000"/>
              </w:rPr>
              <w:t>22</w:t>
            </w:r>
          </w:p>
        </w:tc>
      </w:tr>
      <w:tr w:rsidR="00AB04F4" w:rsidRPr="00875AA0" w14:paraId="4274DF28" w14:textId="77777777" w:rsidTr="0048737B">
        <w:trPr>
          <w:trHeight w:val="324"/>
          <w:jc w:val="center"/>
        </w:trPr>
        <w:tc>
          <w:tcPr>
            <w:tcW w:w="6480" w:type="dxa"/>
            <w:tcBorders>
              <w:top w:val="nil"/>
              <w:left w:val="nil"/>
              <w:bottom w:val="nil"/>
              <w:right w:val="nil"/>
            </w:tcBorders>
            <w:shd w:val="clear" w:color="000000" w:fill="FFFFFF"/>
            <w:noWrap/>
            <w:vAlign w:val="bottom"/>
            <w:hideMark/>
          </w:tcPr>
          <w:p w14:paraId="79D2AD70" w14:textId="77777777" w:rsidR="00AB04F4" w:rsidRPr="00875AA0" w:rsidRDefault="00AB04F4" w:rsidP="00AB04F4">
            <w:pPr>
              <w:rPr>
                <w:rFonts w:ascii="Calibri" w:eastAsia="Times New Roman" w:hAnsi="Calibri" w:cs="Calibri"/>
              </w:rPr>
            </w:pPr>
            <w:r w:rsidRPr="00875AA0">
              <w:rPr>
                <w:rFonts w:ascii="Calibri" w:eastAsia="Times New Roman" w:hAnsi="Calibri" w:cs="Calibri"/>
              </w:rPr>
              <w:t>Inactive plan participants or beneficiaries currently receiving benefits</w:t>
            </w:r>
          </w:p>
        </w:tc>
        <w:tc>
          <w:tcPr>
            <w:tcW w:w="774" w:type="dxa"/>
            <w:tcBorders>
              <w:top w:val="nil"/>
              <w:left w:val="nil"/>
              <w:bottom w:val="nil"/>
              <w:right w:val="nil"/>
            </w:tcBorders>
            <w:shd w:val="clear" w:color="000000" w:fill="FFFFFF"/>
            <w:noWrap/>
            <w:vAlign w:val="bottom"/>
            <w:hideMark/>
          </w:tcPr>
          <w:p w14:paraId="22548D10" w14:textId="0967C143" w:rsidR="00AB04F4" w:rsidRPr="0048737B" w:rsidRDefault="007F0958" w:rsidP="00AB04F4">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2,252</w:t>
            </w:r>
          </w:p>
        </w:tc>
        <w:tc>
          <w:tcPr>
            <w:tcW w:w="1116" w:type="dxa"/>
            <w:tcBorders>
              <w:top w:val="nil"/>
              <w:left w:val="nil"/>
              <w:bottom w:val="nil"/>
              <w:right w:val="nil"/>
            </w:tcBorders>
            <w:shd w:val="clear" w:color="auto" w:fill="F2F2F2" w:themeFill="background1" w:themeFillShade="F2"/>
            <w:noWrap/>
            <w:vAlign w:val="bottom"/>
            <w:hideMark/>
          </w:tcPr>
          <w:p w14:paraId="20B45D88" w14:textId="509D38FE" w:rsidR="00AB04F4" w:rsidRPr="00875AA0" w:rsidRDefault="00AB04F4" w:rsidP="00AB04F4">
            <w:pPr>
              <w:jc w:val="right"/>
              <w:rPr>
                <w:rFonts w:ascii="Calibri" w:eastAsia="Times New Roman" w:hAnsi="Calibri" w:cs="Calibri"/>
              </w:rPr>
            </w:pPr>
            <w:r w:rsidRPr="00502E4C">
              <w:rPr>
                <w:rFonts w:ascii="Calibri" w:eastAsia="Times New Roman" w:hAnsi="Calibri" w:cs="Calibri"/>
              </w:rPr>
              <w:t>2,1</w:t>
            </w:r>
            <w:r w:rsidRPr="00A93FB3">
              <w:rPr>
                <w:rFonts w:ascii="Calibri" w:eastAsia="Times New Roman" w:hAnsi="Calibri" w:cs="Calibri"/>
              </w:rPr>
              <w:t>66</w:t>
            </w:r>
          </w:p>
        </w:tc>
      </w:tr>
      <w:tr w:rsidR="00AB04F4" w:rsidRPr="00875AA0" w14:paraId="34F1AF7B" w14:textId="77777777" w:rsidTr="0048737B">
        <w:trPr>
          <w:trHeight w:val="312"/>
          <w:jc w:val="center"/>
        </w:trPr>
        <w:tc>
          <w:tcPr>
            <w:tcW w:w="6480" w:type="dxa"/>
            <w:tcBorders>
              <w:top w:val="nil"/>
              <w:left w:val="nil"/>
              <w:bottom w:val="nil"/>
              <w:right w:val="nil"/>
            </w:tcBorders>
            <w:shd w:val="clear" w:color="000000" w:fill="FFFFFF"/>
            <w:noWrap/>
            <w:vAlign w:val="bottom"/>
            <w:hideMark/>
          </w:tcPr>
          <w:p w14:paraId="18A1D694" w14:textId="77777777" w:rsidR="00AB04F4" w:rsidRPr="00875AA0" w:rsidRDefault="00AB04F4" w:rsidP="00AB04F4">
            <w:pPr>
              <w:rPr>
                <w:rFonts w:ascii="Calibri" w:eastAsia="Times New Roman" w:hAnsi="Calibri" w:cs="Calibri"/>
              </w:rPr>
            </w:pPr>
            <w:r w:rsidRPr="00875AA0">
              <w:rPr>
                <w:rFonts w:ascii="Calibri" w:eastAsia="Times New Roman" w:hAnsi="Calibri" w:cs="Calibri"/>
              </w:rPr>
              <w:t>Active plan participants</w:t>
            </w:r>
          </w:p>
        </w:tc>
        <w:tc>
          <w:tcPr>
            <w:tcW w:w="774" w:type="dxa"/>
            <w:tcBorders>
              <w:top w:val="nil"/>
              <w:left w:val="nil"/>
              <w:bottom w:val="nil"/>
              <w:right w:val="nil"/>
            </w:tcBorders>
            <w:shd w:val="clear" w:color="000000" w:fill="FFFFFF"/>
            <w:noWrap/>
            <w:vAlign w:val="bottom"/>
            <w:hideMark/>
          </w:tcPr>
          <w:p w14:paraId="13B1A577" w14:textId="1CE395C5" w:rsidR="00AB04F4" w:rsidRPr="0048737B" w:rsidRDefault="00AB04F4" w:rsidP="00AB04F4">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4,0</w:t>
            </w:r>
            <w:r w:rsidR="007F0958" w:rsidRPr="0048737B">
              <w:rPr>
                <w:rFonts w:ascii="Calibri" w:eastAsia="Times New Roman" w:hAnsi="Calibri" w:cs="Calibri"/>
                <w:color w:val="000000" w:themeColor="text1"/>
              </w:rPr>
              <w:t>58</w:t>
            </w:r>
          </w:p>
        </w:tc>
        <w:tc>
          <w:tcPr>
            <w:tcW w:w="1116" w:type="dxa"/>
            <w:tcBorders>
              <w:top w:val="nil"/>
              <w:left w:val="nil"/>
              <w:bottom w:val="nil"/>
              <w:right w:val="nil"/>
            </w:tcBorders>
            <w:shd w:val="clear" w:color="auto" w:fill="F2F2F2" w:themeFill="background1" w:themeFillShade="F2"/>
            <w:noWrap/>
            <w:vAlign w:val="bottom"/>
            <w:hideMark/>
          </w:tcPr>
          <w:p w14:paraId="21257477" w14:textId="29F3802B" w:rsidR="00AB04F4" w:rsidRPr="00875AA0" w:rsidRDefault="00AB04F4" w:rsidP="00AB04F4">
            <w:pPr>
              <w:jc w:val="right"/>
              <w:rPr>
                <w:rFonts w:ascii="Calibri" w:eastAsia="Times New Roman" w:hAnsi="Calibri" w:cs="Calibri"/>
              </w:rPr>
            </w:pPr>
            <w:r w:rsidRPr="00502E4C">
              <w:rPr>
                <w:rFonts w:ascii="Calibri" w:eastAsia="Times New Roman" w:hAnsi="Calibri" w:cs="Calibri"/>
              </w:rPr>
              <w:t>4,0</w:t>
            </w:r>
            <w:r w:rsidRPr="00A93FB3">
              <w:rPr>
                <w:rFonts w:ascii="Calibri" w:eastAsia="Times New Roman" w:hAnsi="Calibri" w:cs="Calibri"/>
              </w:rPr>
              <w:t>36</w:t>
            </w:r>
          </w:p>
        </w:tc>
      </w:tr>
      <w:tr w:rsidR="00AB04F4" w:rsidRPr="00875AA0" w14:paraId="747E421E" w14:textId="77777777" w:rsidTr="0048737B">
        <w:trPr>
          <w:trHeight w:val="324"/>
          <w:jc w:val="center"/>
        </w:trPr>
        <w:tc>
          <w:tcPr>
            <w:tcW w:w="6480" w:type="dxa"/>
            <w:tcBorders>
              <w:top w:val="single" w:sz="4" w:space="0" w:color="44546A"/>
              <w:left w:val="nil"/>
              <w:bottom w:val="single" w:sz="4" w:space="0" w:color="44546A"/>
              <w:right w:val="nil"/>
            </w:tcBorders>
            <w:shd w:val="clear" w:color="000000" w:fill="FFFFFF"/>
            <w:noWrap/>
            <w:vAlign w:val="bottom"/>
          </w:tcPr>
          <w:p w14:paraId="36E5C8A4" w14:textId="77777777" w:rsidR="00AB04F4" w:rsidRPr="00875AA0" w:rsidRDefault="00AB04F4" w:rsidP="00AB04F4">
            <w:pPr>
              <w:rPr>
                <w:rFonts w:ascii="Calibri" w:eastAsia="Times New Roman" w:hAnsi="Calibri" w:cs="Calibri"/>
              </w:rPr>
            </w:pPr>
            <w:r w:rsidRPr="00875AA0">
              <w:rPr>
                <w:rFonts w:ascii="Calibri" w:eastAsia="Times New Roman" w:hAnsi="Calibri" w:cs="Calibri"/>
              </w:rPr>
              <w:t>Total plan participants</w:t>
            </w:r>
          </w:p>
        </w:tc>
        <w:tc>
          <w:tcPr>
            <w:tcW w:w="774" w:type="dxa"/>
            <w:tcBorders>
              <w:top w:val="single" w:sz="4" w:space="0" w:color="44546A"/>
              <w:left w:val="nil"/>
              <w:bottom w:val="single" w:sz="4" w:space="0" w:color="44546A"/>
              <w:right w:val="nil"/>
            </w:tcBorders>
            <w:shd w:val="clear" w:color="000000" w:fill="FFFFFF"/>
            <w:noWrap/>
            <w:vAlign w:val="bottom"/>
          </w:tcPr>
          <w:p w14:paraId="284F15F2" w14:textId="2275200F" w:rsidR="00AB04F4" w:rsidRPr="0048737B" w:rsidRDefault="00AB04F4" w:rsidP="00AB04F4">
            <w:pPr>
              <w:jc w:val="right"/>
              <w:rPr>
                <w:rFonts w:ascii="Calibri" w:eastAsia="Times New Roman" w:hAnsi="Calibri" w:cs="Calibri"/>
                <w:color w:val="000000" w:themeColor="text1"/>
              </w:rPr>
            </w:pPr>
            <w:r w:rsidRPr="0048737B">
              <w:rPr>
                <w:rFonts w:ascii="Calibri" w:eastAsia="Times New Roman" w:hAnsi="Calibri" w:cs="Calibri"/>
                <w:color w:val="000000" w:themeColor="text1"/>
              </w:rPr>
              <w:t>6,</w:t>
            </w:r>
            <w:r w:rsidR="007F0958" w:rsidRPr="0048737B">
              <w:rPr>
                <w:rFonts w:ascii="Calibri" w:eastAsia="Times New Roman" w:hAnsi="Calibri" w:cs="Calibri"/>
                <w:color w:val="000000" w:themeColor="text1"/>
              </w:rPr>
              <w:t>310</w:t>
            </w:r>
          </w:p>
        </w:tc>
        <w:tc>
          <w:tcPr>
            <w:tcW w:w="1116" w:type="dxa"/>
            <w:tcBorders>
              <w:top w:val="single" w:sz="4" w:space="0" w:color="44546A"/>
              <w:left w:val="nil"/>
              <w:bottom w:val="single" w:sz="4" w:space="0" w:color="44546A"/>
              <w:right w:val="nil"/>
            </w:tcBorders>
            <w:shd w:val="clear" w:color="auto" w:fill="F2F2F2" w:themeFill="background1" w:themeFillShade="F2"/>
            <w:noWrap/>
            <w:vAlign w:val="bottom"/>
          </w:tcPr>
          <w:p w14:paraId="7D099AA2" w14:textId="563D1118" w:rsidR="00AB04F4" w:rsidRPr="001D4991" w:rsidRDefault="00AB04F4" w:rsidP="00AB04F4">
            <w:pPr>
              <w:jc w:val="right"/>
              <w:rPr>
                <w:rFonts w:ascii="Calibri" w:eastAsia="Times New Roman" w:hAnsi="Calibri" w:cs="Calibri"/>
              </w:rPr>
            </w:pPr>
            <w:r w:rsidRPr="00502E4C">
              <w:rPr>
                <w:rFonts w:ascii="Calibri" w:eastAsia="Times New Roman" w:hAnsi="Calibri" w:cs="Calibri"/>
              </w:rPr>
              <w:t>6,</w:t>
            </w:r>
            <w:r w:rsidRPr="003959B0">
              <w:rPr>
                <w:rFonts w:ascii="Calibri" w:eastAsia="Times New Roman" w:hAnsi="Calibri" w:cs="Calibri"/>
              </w:rPr>
              <w:t>202</w:t>
            </w:r>
          </w:p>
        </w:tc>
      </w:tr>
    </w:tbl>
    <w:p w14:paraId="76D61147" w14:textId="6F637494" w:rsidR="00DD1612" w:rsidRPr="00F54559" w:rsidRDefault="00DD1612" w:rsidP="00DD1612">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 annually </w:t>
      </w:r>
      <w:r w:rsidR="004F769B">
        <w:rPr>
          <w:rFonts w:eastAsia="Times New Roman" w:cstheme="minorHAnsi"/>
          <w:spacing w:val="-1"/>
          <w:sz w:val="24"/>
        </w:rPr>
        <w:t>makes</w:t>
      </w:r>
      <w:r w:rsidRPr="00F54559">
        <w:rPr>
          <w:rFonts w:eastAsia="Times New Roman" w:cstheme="minorHAnsi"/>
          <w:spacing w:val="-1"/>
          <w:sz w:val="24"/>
        </w:rPr>
        <w:t xml:space="preserve"> an actuarially determined contribution to a Trust, based on the results of the most recent actuarial valuation.</w:t>
      </w:r>
    </w:p>
    <w:p w14:paraId="0D61BAD2" w14:textId="77777777" w:rsidR="00DD1612" w:rsidRPr="00735A4C" w:rsidRDefault="00DD1612" w:rsidP="00DD1612">
      <w:pPr>
        <w:rPr>
          <w:rFonts w:cstheme="minorHAnsi"/>
          <w:sz w:val="20"/>
          <w:szCs w:val="20"/>
        </w:rPr>
      </w:pPr>
    </w:p>
    <w:p w14:paraId="7948BEA9" w14:textId="0370F4D0" w:rsidR="00DD1612" w:rsidRDefault="00DD1612" w:rsidP="00DD1612">
      <w:pPr>
        <w:spacing w:after="160" w:line="259" w:lineRule="auto"/>
        <w:rPr>
          <w:rFonts w:eastAsiaTheme="majorEastAsia" w:cstheme="minorHAnsi"/>
          <w:b/>
          <w:i/>
          <w:iCs/>
          <w:smallCaps/>
          <w:noProof/>
          <w:color w:val="000000" w:themeColor="text1"/>
          <w:sz w:val="26"/>
          <w:szCs w:val="26"/>
          <w:u w:color="5B9BD5"/>
        </w:rPr>
      </w:pPr>
      <w:r w:rsidRPr="00F54559">
        <w:rPr>
          <w:rFonts w:eastAsia="Times New Roman" w:cstheme="minorHAnsi"/>
          <w:spacing w:val="-1"/>
          <w:sz w:val="24"/>
        </w:rPr>
        <w:t>Funding the OPEB Plan over the long-term allows the System to smooth market impacts</w:t>
      </w:r>
      <w:r w:rsidR="004F769B">
        <w:rPr>
          <w:rFonts w:eastAsia="Times New Roman" w:cstheme="minorHAnsi"/>
          <w:spacing w:val="-1"/>
          <w:sz w:val="24"/>
        </w:rPr>
        <w:t xml:space="preserve"> and</w:t>
      </w:r>
      <w:r w:rsidRPr="00F54559">
        <w:rPr>
          <w:rFonts w:eastAsia="Times New Roman" w:cstheme="minorHAnsi"/>
          <w:spacing w:val="-1"/>
          <w:sz w:val="24"/>
        </w:rPr>
        <w:t xml:space="preserve"> limit contribution volatility. The required contribution amount will be re-determined with each actuarial valuation as market performance</w:t>
      </w:r>
      <w:r w:rsidR="004F769B">
        <w:rPr>
          <w:rFonts w:eastAsia="Times New Roman" w:cstheme="minorHAnsi"/>
          <w:spacing w:val="-1"/>
          <w:sz w:val="24"/>
        </w:rPr>
        <w:t>, experience, assumptions,</w:t>
      </w:r>
      <w:r w:rsidRPr="00F54559">
        <w:rPr>
          <w:rFonts w:eastAsia="Times New Roman" w:cstheme="minorHAnsi"/>
          <w:spacing w:val="-1"/>
          <w:sz w:val="24"/>
        </w:rPr>
        <w:t xml:space="preserve"> and other factors will impact the funding</w:t>
      </w:r>
      <w:r w:rsidR="004F769B">
        <w:rPr>
          <w:rFonts w:eastAsia="Times New Roman" w:cstheme="minorHAnsi"/>
          <w:spacing w:val="-1"/>
          <w:sz w:val="24"/>
        </w:rPr>
        <w:t xml:space="preserve"> needed</w:t>
      </w:r>
      <w:r w:rsidRPr="00F54559">
        <w:rPr>
          <w:rFonts w:eastAsia="Times New Roman" w:cstheme="minorHAnsi"/>
          <w:spacing w:val="-1"/>
          <w:sz w:val="24"/>
        </w:rPr>
        <w:t>.</w:t>
      </w:r>
    </w:p>
    <w:p w14:paraId="76C75852" w14:textId="77777777" w:rsidR="00DD1612" w:rsidRPr="00F54559" w:rsidRDefault="00DD1612" w:rsidP="00DD1612">
      <w:pPr>
        <w:tabs>
          <w:tab w:val="left" w:pos="900"/>
        </w:tabs>
        <w:spacing w:after="160"/>
        <w:ind w:right="-7"/>
        <w:rPr>
          <w:rFonts w:eastAsia="Times New Roman" w:cstheme="minorHAnsi"/>
          <w:b/>
          <w:sz w:val="26"/>
          <w:szCs w:val="26"/>
        </w:rPr>
      </w:pPr>
      <w:r w:rsidRPr="00F54559">
        <w:rPr>
          <w:rFonts w:eastAsia="Times New Roman" w:cstheme="minorHAnsi"/>
          <w:b/>
          <w:sz w:val="26"/>
          <w:szCs w:val="26"/>
        </w:rPr>
        <w:t>Plan Investments</w:t>
      </w:r>
    </w:p>
    <w:p w14:paraId="5894369A" w14:textId="3FCEF334" w:rsidR="00DD1612" w:rsidRPr="00F54559" w:rsidRDefault="00DD1612" w:rsidP="00DD1612">
      <w:pPr>
        <w:tabs>
          <w:tab w:val="left" w:pos="900"/>
        </w:tabs>
        <w:ind w:right="-7"/>
        <w:rPr>
          <w:rFonts w:eastAsia="Times New Roman" w:cstheme="minorHAnsi"/>
          <w:spacing w:val="-1"/>
          <w:sz w:val="24"/>
        </w:rPr>
      </w:pPr>
      <w:r w:rsidRPr="00F54559">
        <w:rPr>
          <w:rFonts w:eastAsia="Times New Roman" w:cstheme="minorHAnsi"/>
          <w:spacing w:val="-1"/>
          <w:sz w:val="24"/>
        </w:rPr>
        <w:t>Assets of the OPEB Plan are invested in the Sys</w:t>
      </w:r>
      <w:r w:rsidR="003E72E3">
        <w:rPr>
          <w:rFonts w:eastAsia="Times New Roman" w:cstheme="minorHAnsi"/>
          <w:spacing w:val="-1"/>
          <w:sz w:val="24"/>
        </w:rPr>
        <w:t xml:space="preserve">tem’s </w:t>
      </w:r>
      <w:r w:rsidR="00147571">
        <w:rPr>
          <w:rFonts w:eastAsia="Times New Roman" w:cstheme="minorHAnsi"/>
          <w:spacing w:val="-1"/>
          <w:sz w:val="24"/>
        </w:rPr>
        <w:t>M</w:t>
      </w:r>
      <w:r w:rsidR="003E72E3">
        <w:rPr>
          <w:rFonts w:eastAsia="Times New Roman" w:cstheme="minorHAnsi"/>
          <w:spacing w:val="-1"/>
          <w:sz w:val="24"/>
        </w:rPr>
        <w:t xml:space="preserve">anaged </w:t>
      </w:r>
      <w:r w:rsidR="00147571">
        <w:rPr>
          <w:rFonts w:eastAsia="Times New Roman" w:cstheme="minorHAnsi"/>
          <w:spacing w:val="-1"/>
          <w:sz w:val="24"/>
        </w:rPr>
        <w:t>I</w:t>
      </w:r>
      <w:r w:rsidR="003E72E3">
        <w:rPr>
          <w:rFonts w:eastAsia="Times New Roman" w:cstheme="minorHAnsi"/>
          <w:spacing w:val="-1"/>
          <w:sz w:val="24"/>
        </w:rPr>
        <w:t xml:space="preserve">nvestment </w:t>
      </w:r>
      <w:r w:rsidR="00147571">
        <w:rPr>
          <w:rFonts w:eastAsia="Times New Roman" w:cstheme="minorHAnsi"/>
          <w:spacing w:val="-1"/>
          <w:sz w:val="24"/>
        </w:rPr>
        <w:t>P</w:t>
      </w:r>
      <w:r w:rsidR="003E72E3">
        <w:rPr>
          <w:rFonts w:eastAsia="Times New Roman" w:cstheme="minorHAnsi"/>
          <w:spacing w:val="-1"/>
          <w:sz w:val="24"/>
        </w:rPr>
        <w:t xml:space="preserve">ool. </w:t>
      </w:r>
      <w:r w:rsidRPr="00F54559">
        <w:rPr>
          <w:rFonts w:eastAsia="Times New Roman" w:cstheme="minorHAnsi"/>
          <w:spacing w:val="-1"/>
          <w:sz w:val="24"/>
        </w:rPr>
        <w:t>See Notes 1</w:t>
      </w:r>
      <w:r>
        <w:rPr>
          <w:rFonts w:eastAsia="Times New Roman" w:cstheme="minorHAnsi"/>
          <w:spacing w:val="-1"/>
          <w:sz w:val="24"/>
        </w:rPr>
        <w:t>f</w:t>
      </w:r>
      <w:r w:rsidRPr="00F54559">
        <w:rPr>
          <w:rFonts w:eastAsia="Times New Roman" w:cstheme="minorHAnsi"/>
          <w:spacing w:val="-1"/>
          <w:sz w:val="24"/>
        </w:rPr>
        <w:t xml:space="preserve"> and 3 for more information on the</w:t>
      </w:r>
      <w:r w:rsidR="00147571">
        <w:rPr>
          <w:rFonts w:eastAsia="Times New Roman" w:cstheme="minorHAnsi"/>
          <w:spacing w:val="-1"/>
          <w:sz w:val="24"/>
        </w:rPr>
        <w:t xml:space="preserve"> MIP which includes this OPEB Trust with balances as reported below as Fiduciary net position</w:t>
      </w:r>
      <w:r w:rsidRPr="00F54559">
        <w:rPr>
          <w:rFonts w:eastAsia="Times New Roman" w:cstheme="minorHAnsi"/>
          <w:spacing w:val="-1"/>
          <w:sz w:val="24"/>
        </w:rPr>
        <w:t>.</w:t>
      </w:r>
    </w:p>
    <w:p w14:paraId="48FF92AD" w14:textId="77777777" w:rsidR="00DD1612" w:rsidRPr="00C95891" w:rsidRDefault="00DD1612" w:rsidP="00DD1612">
      <w:pPr>
        <w:tabs>
          <w:tab w:val="left" w:pos="900"/>
        </w:tabs>
        <w:ind w:right="-7"/>
        <w:rPr>
          <w:rFonts w:eastAsia="Times New Roman" w:cstheme="minorHAnsi"/>
          <w:bCs/>
        </w:rPr>
      </w:pPr>
    </w:p>
    <w:p w14:paraId="0FAAE3CC" w14:textId="77777777" w:rsidR="00DD1612" w:rsidRPr="00F54559" w:rsidRDefault="00DD1612" w:rsidP="00DD1612">
      <w:pPr>
        <w:tabs>
          <w:tab w:val="left" w:pos="900"/>
        </w:tabs>
        <w:spacing w:after="160"/>
        <w:ind w:right="-7"/>
        <w:rPr>
          <w:rFonts w:eastAsia="Times New Roman" w:cstheme="minorHAnsi"/>
          <w:b/>
          <w:sz w:val="26"/>
          <w:szCs w:val="26"/>
        </w:rPr>
      </w:pPr>
      <w:r w:rsidRPr="00F54559">
        <w:rPr>
          <w:rFonts w:eastAsia="Times New Roman" w:cstheme="minorHAnsi"/>
          <w:b/>
          <w:sz w:val="26"/>
          <w:szCs w:val="26"/>
        </w:rPr>
        <w:t>Net OPEB Liability</w:t>
      </w:r>
    </w:p>
    <w:p w14:paraId="29F1C0A2" w14:textId="77777777" w:rsidR="00DD1612" w:rsidRPr="00F54559" w:rsidRDefault="00DD1612" w:rsidP="00DD1612">
      <w:pPr>
        <w:tabs>
          <w:tab w:val="left" w:pos="900"/>
        </w:tabs>
        <w:spacing w:after="240"/>
        <w:ind w:right="-7"/>
        <w:rPr>
          <w:rFonts w:eastAsia="Times New Roman" w:cstheme="minorHAnsi"/>
          <w:spacing w:val="-1"/>
          <w:sz w:val="24"/>
        </w:rPr>
      </w:pPr>
      <w:r w:rsidRPr="00F54559">
        <w:rPr>
          <w:rFonts w:eastAsia="Times New Roman" w:cstheme="minorHAnsi"/>
          <w:spacing w:val="-1"/>
          <w:sz w:val="24"/>
        </w:rPr>
        <w:t xml:space="preserve">The components of the net OPEB liability </w:t>
      </w:r>
      <w:proofErr w:type="gramStart"/>
      <w:r w:rsidRPr="00F54559">
        <w:rPr>
          <w:rFonts w:eastAsia="Times New Roman" w:cstheme="minorHAnsi"/>
          <w:spacing w:val="-1"/>
          <w:sz w:val="24"/>
        </w:rPr>
        <w:t>at</w:t>
      </w:r>
      <w:proofErr w:type="gramEnd"/>
      <w:r w:rsidRPr="00F54559">
        <w:rPr>
          <w:rFonts w:eastAsia="Times New Roman" w:cstheme="minorHAnsi"/>
          <w:spacing w:val="-1"/>
          <w:sz w:val="24"/>
        </w:rPr>
        <w:t xml:space="preserve"> June 30 were as follows:</w:t>
      </w:r>
      <w:r>
        <w:rPr>
          <w:rFonts w:eastAsia="Times New Roman" w:cstheme="minorHAnsi"/>
          <w:spacing w:val="-1"/>
          <w:sz w:val="24"/>
        </w:rPr>
        <w:fldChar w:fldCharType="begin"/>
      </w:r>
      <w:r>
        <w:rPr>
          <w:rFonts w:eastAsia="Times New Roman" w:cstheme="minorHAnsi"/>
          <w:spacing w:val="-1"/>
          <w:sz w:val="24"/>
        </w:rPr>
        <w:fldChar w:fldCharType="end"/>
      </w:r>
    </w:p>
    <w:tbl>
      <w:tblPr>
        <w:tblW w:w="9221" w:type="dxa"/>
        <w:jc w:val="center"/>
        <w:tblLook w:val="04A0" w:firstRow="1" w:lastRow="0" w:firstColumn="1" w:lastColumn="0" w:noHBand="0" w:noVBand="1"/>
      </w:tblPr>
      <w:tblGrid>
        <w:gridCol w:w="6028"/>
        <w:gridCol w:w="1262"/>
        <w:gridCol w:w="1931"/>
      </w:tblGrid>
      <w:tr w:rsidR="00DD1612" w:rsidRPr="00F65869" w14:paraId="753D0D15" w14:textId="77777777" w:rsidTr="007F0958">
        <w:trPr>
          <w:trHeight w:val="324"/>
          <w:tblHeader/>
          <w:jc w:val="center"/>
        </w:trPr>
        <w:tc>
          <w:tcPr>
            <w:tcW w:w="6028" w:type="dxa"/>
            <w:tcBorders>
              <w:top w:val="nil"/>
              <w:left w:val="nil"/>
              <w:bottom w:val="single" w:sz="12" w:space="0" w:color="44546A"/>
              <w:right w:val="nil"/>
            </w:tcBorders>
            <w:shd w:val="clear" w:color="000000" w:fill="FFFFFF"/>
            <w:noWrap/>
            <w:vAlign w:val="bottom"/>
            <w:hideMark/>
          </w:tcPr>
          <w:p w14:paraId="3A77D12E" w14:textId="77777777" w:rsidR="00DD1612" w:rsidRPr="00F65869" w:rsidRDefault="00DD1612" w:rsidP="00BD375F">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262" w:type="dxa"/>
            <w:tcBorders>
              <w:top w:val="nil"/>
              <w:left w:val="nil"/>
              <w:bottom w:val="single" w:sz="12" w:space="0" w:color="44546A"/>
              <w:right w:val="nil"/>
            </w:tcBorders>
            <w:shd w:val="clear" w:color="000000" w:fill="FFFFFF"/>
            <w:noWrap/>
            <w:vAlign w:val="bottom"/>
            <w:hideMark/>
          </w:tcPr>
          <w:p w14:paraId="21A0B2BF" w14:textId="02723D0C" w:rsidR="00DD1612" w:rsidRPr="00F65869" w:rsidRDefault="00E430D9" w:rsidP="003977A2">
            <w:pPr>
              <w:jc w:val="cente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3</w:t>
            </w:r>
          </w:p>
        </w:tc>
        <w:tc>
          <w:tcPr>
            <w:tcW w:w="1931" w:type="dxa"/>
            <w:tcBorders>
              <w:top w:val="nil"/>
              <w:left w:val="nil"/>
              <w:bottom w:val="single" w:sz="12" w:space="0" w:color="44546A"/>
              <w:right w:val="nil"/>
            </w:tcBorders>
            <w:shd w:val="clear" w:color="auto" w:fill="F2F2F2" w:themeFill="background1" w:themeFillShade="F2"/>
            <w:noWrap/>
            <w:vAlign w:val="bottom"/>
            <w:hideMark/>
          </w:tcPr>
          <w:p w14:paraId="2CF6057B" w14:textId="563E01AC" w:rsidR="00DD1612" w:rsidRPr="00F65869" w:rsidRDefault="00E430D9">
            <w:pPr>
              <w:jc w:val="cente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22</w:t>
            </w:r>
          </w:p>
        </w:tc>
      </w:tr>
      <w:tr w:rsidR="007F0958" w:rsidRPr="00F65869" w14:paraId="23EF67D8" w14:textId="77777777" w:rsidTr="0048737B">
        <w:trPr>
          <w:trHeight w:val="324"/>
          <w:jc w:val="center"/>
        </w:trPr>
        <w:tc>
          <w:tcPr>
            <w:tcW w:w="6028" w:type="dxa"/>
            <w:tcBorders>
              <w:top w:val="nil"/>
              <w:left w:val="nil"/>
              <w:bottom w:val="nil"/>
              <w:right w:val="nil"/>
            </w:tcBorders>
            <w:shd w:val="clear" w:color="000000" w:fill="FFFFFF"/>
            <w:noWrap/>
            <w:vAlign w:val="bottom"/>
            <w:hideMark/>
          </w:tcPr>
          <w:p w14:paraId="422BD0D2" w14:textId="77777777" w:rsidR="007F0958" w:rsidRPr="00F65869" w:rsidRDefault="007F0958" w:rsidP="007F0958">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262" w:type="dxa"/>
            <w:tcBorders>
              <w:top w:val="nil"/>
              <w:left w:val="nil"/>
              <w:bottom w:val="nil"/>
              <w:right w:val="nil"/>
            </w:tcBorders>
            <w:shd w:val="clear" w:color="000000" w:fill="FFFFFF"/>
            <w:noWrap/>
            <w:vAlign w:val="bottom"/>
            <w:hideMark/>
          </w:tcPr>
          <w:p w14:paraId="25F6DB3D" w14:textId="74372BCB" w:rsidR="007F0958" w:rsidRPr="0048737B" w:rsidRDefault="007F0958">
            <w:pPr>
              <w:jc w:val="right"/>
              <w:rPr>
                <w:rFonts w:ascii="Calibri" w:eastAsia="Times New Roman" w:hAnsi="Calibri" w:cs="Calibri"/>
                <w:color w:val="FF0000"/>
              </w:rPr>
            </w:pPr>
            <w:r w:rsidRPr="00AF4023">
              <w:t xml:space="preserve"> $1</w:t>
            </w:r>
            <w:r w:rsidR="00DB1059">
              <w:t>53</w:t>
            </w:r>
            <w:r w:rsidRPr="00AF4023">
              <w:t>,</w:t>
            </w:r>
            <w:r w:rsidR="00DB1059">
              <w:t>258</w:t>
            </w:r>
            <w:r w:rsidRPr="00AF4023">
              <w:t xml:space="preserve"> </w:t>
            </w:r>
          </w:p>
        </w:tc>
        <w:tc>
          <w:tcPr>
            <w:tcW w:w="1931" w:type="dxa"/>
            <w:tcBorders>
              <w:top w:val="nil"/>
              <w:left w:val="nil"/>
              <w:bottom w:val="nil"/>
              <w:right w:val="nil"/>
            </w:tcBorders>
            <w:shd w:val="clear" w:color="auto" w:fill="F2F2F2" w:themeFill="background1" w:themeFillShade="F2"/>
            <w:noWrap/>
            <w:vAlign w:val="bottom"/>
            <w:hideMark/>
          </w:tcPr>
          <w:p w14:paraId="0A456990" w14:textId="1C24D2BC" w:rsidR="007F0958" w:rsidRPr="00F65869" w:rsidRDefault="007F0958" w:rsidP="007F0958">
            <w:pPr>
              <w:jc w:val="right"/>
              <w:rPr>
                <w:rFonts w:ascii="Calibri" w:eastAsia="Times New Roman" w:hAnsi="Calibri" w:cs="Calibri"/>
                <w:color w:val="0D0D0D"/>
              </w:rPr>
            </w:pPr>
            <w:r w:rsidRPr="002E65F6">
              <w:rPr>
                <w:rFonts w:ascii="Calibri" w:eastAsia="Times New Roman" w:hAnsi="Calibri" w:cs="Calibri"/>
              </w:rPr>
              <w:t>$</w:t>
            </w:r>
            <w:r w:rsidRPr="003959B0">
              <w:rPr>
                <w:rFonts w:ascii="Calibri" w:eastAsia="Times New Roman" w:hAnsi="Calibri" w:cs="Calibri"/>
              </w:rPr>
              <w:t>173,794</w:t>
            </w:r>
          </w:p>
        </w:tc>
      </w:tr>
      <w:tr w:rsidR="007F0958" w:rsidRPr="00F65869" w14:paraId="0459DF69" w14:textId="77777777" w:rsidTr="0048737B">
        <w:trPr>
          <w:trHeight w:val="312"/>
          <w:jc w:val="center"/>
        </w:trPr>
        <w:tc>
          <w:tcPr>
            <w:tcW w:w="6028" w:type="dxa"/>
            <w:tcBorders>
              <w:top w:val="nil"/>
              <w:left w:val="nil"/>
              <w:bottom w:val="nil"/>
              <w:right w:val="nil"/>
            </w:tcBorders>
            <w:shd w:val="clear" w:color="000000" w:fill="FFFFFF"/>
            <w:noWrap/>
            <w:vAlign w:val="bottom"/>
            <w:hideMark/>
          </w:tcPr>
          <w:p w14:paraId="326F9B97" w14:textId="77777777" w:rsidR="007F0958" w:rsidRPr="00F65869" w:rsidRDefault="007F0958" w:rsidP="007F0958">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262" w:type="dxa"/>
            <w:tcBorders>
              <w:top w:val="nil"/>
              <w:left w:val="nil"/>
              <w:bottom w:val="nil"/>
              <w:right w:val="nil"/>
            </w:tcBorders>
            <w:shd w:val="clear" w:color="000000" w:fill="FFFFFF"/>
            <w:noWrap/>
            <w:vAlign w:val="bottom"/>
            <w:hideMark/>
          </w:tcPr>
          <w:p w14:paraId="7EB0CCB0" w14:textId="4691647C" w:rsidR="007F0958" w:rsidRPr="0048737B" w:rsidRDefault="007F0958">
            <w:pPr>
              <w:jc w:val="right"/>
              <w:rPr>
                <w:rFonts w:ascii="Calibri" w:eastAsia="Times New Roman" w:hAnsi="Calibri" w:cs="Calibri"/>
                <w:color w:val="FF0000"/>
              </w:rPr>
            </w:pPr>
            <w:r w:rsidRPr="00AF4023">
              <w:t xml:space="preserve"> (174,427)</w:t>
            </w:r>
          </w:p>
        </w:tc>
        <w:tc>
          <w:tcPr>
            <w:tcW w:w="1931" w:type="dxa"/>
            <w:tcBorders>
              <w:top w:val="nil"/>
              <w:left w:val="nil"/>
              <w:bottom w:val="nil"/>
              <w:right w:val="nil"/>
            </w:tcBorders>
            <w:shd w:val="clear" w:color="auto" w:fill="F2F2F2" w:themeFill="background1" w:themeFillShade="F2"/>
            <w:noWrap/>
            <w:vAlign w:val="bottom"/>
            <w:hideMark/>
          </w:tcPr>
          <w:p w14:paraId="5FA97E29" w14:textId="1DD5D8CA" w:rsidR="007F0958" w:rsidRPr="00F65869" w:rsidRDefault="007F0958" w:rsidP="007F0958">
            <w:pPr>
              <w:jc w:val="right"/>
              <w:rPr>
                <w:rFonts w:ascii="Calibri" w:eastAsia="Times New Roman" w:hAnsi="Calibri" w:cs="Calibri"/>
                <w:color w:val="0D0D0D"/>
              </w:rPr>
            </w:pPr>
            <w:r w:rsidRPr="002E65F6">
              <w:rPr>
                <w:rFonts w:ascii="Calibri" w:eastAsia="Times New Roman" w:hAnsi="Calibri" w:cs="Calibri"/>
              </w:rPr>
              <w:t>(</w:t>
            </w:r>
            <w:r w:rsidRPr="003959B0">
              <w:rPr>
                <w:rFonts w:ascii="Calibri" w:eastAsia="Times New Roman" w:hAnsi="Calibri" w:cs="Calibri"/>
              </w:rPr>
              <w:t>156,012</w:t>
            </w:r>
            <w:r w:rsidRPr="002E65F6">
              <w:rPr>
                <w:rFonts w:ascii="Calibri" w:eastAsia="Times New Roman" w:hAnsi="Calibri" w:cs="Calibri"/>
              </w:rPr>
              <w:t>)</w:t>
            </w:r>
          </w:p>
        </w:tc>
      </w:tr>
      <w:tr w:rsidR="007F0958" w:rsidRPr="00F65869" w14:paraId="18F10F8C" w14:textId="77777777" w:rsidTr="0048737B">
        <w:trPr>
          <w:trHeight w:val="324"/>
          <w:jc w:val="center"/>
        </w:trPr>
        <w:tc>
          <w:tcPr>
            <w:tcW w:w="6028" w:type="dxa"/>
            <w:tcBorders>
              <w:top w:val="single" w:sz="4" w:space="0" w:color="44546A"/>
              <w:left w:val="nil"/>
              <w:bottom w:val="double" w:sz="6" w:space="0" w:color="44546A"/>
              <w:right w:val="nil"/>
            </w:tcBorders>
            <w:shd w:val="clear" w:color="000000" w:fill="FFFFFF"/>
            <w:noWrap/>
            <w:vAlign w:val="bottom"/>
            <w:hideMark/>
          </w:tcPr>
          <w:p w14:paraId="06DC83EF" w14:textId="77777777" w:rsidR="007F0958" w:rsidRPr="00F65869" w:rsidRDefault="007F0958" w:rsidP="007F0958">
            <w:pPr>
              <w:rPr>
                <w:rFonts w:ascii="Calibri" w:eastAsia="Times New Roman" w:hAnsi="Calibri" w:cs="Calibri"/>
                <w:color w:val="0D0D0D"/>
              </w:rPr>
            </w:pPr>
            <w:r w:rsidRPr="00F65869">
              <w:rPr>
                <w:rFonts w:ascii="Calibri" w:eastAsia="Times New Roman" w:hAnsi="Calibri" w:cs="Calibri"/>
                <w:color w:val="0D0D0D"/>
              </w:rPr>
              <w:t>Net OPEB liability</w:t>
            </w:r>
            <w:r>
              <w:rPr>
                <w:rFonts w:ascii="Calibri" w:eastAsia="Times New Roman" w:hAnsi="Calibri" w:cs="Calibri"/>
                <w:color w:val="0D0D0D"/>
              </w:rPr>
              <w:t xml:space="preserve"> (asset)</w:t>
            </w:r>
          </w:p>
        </w:tc>
        <w:tc>
          <w:tcPr>
            <w:tcW w:w="1262" w:type="dxa"/>
            <w:tcBorders>
              <w:top w:val="single" w:sz="4" w:space="0" w:color="44546A"/>
              <w:left w:val="nil"/>
              <w:bottom w:val="double" w:sz="6" w:space="0" w:color="44546A"/>
              <w:right w:val="nil"/>
            </w:tcBorders>
            <w:shd w:val="clear" w:color="000000" w:fill="FFFFFF"/>
            <w:noWrap/>
            <w:vAlign w:val="bottom"/>
            <w:hideMark/>
          </w:tcPr>
          <w:p w14:paraId="54BE118F" w14:textId="59B63287" w:rsidR="007F0958" w:rsidRPr="0048737B" w:rsidRDefault="007F0958">
            <w:pPr>
              <w:jc w:val="right"/>
              <w:rPr>
                <w:rFonts w:ascii="Calibri" w:eastAsia="Times New Roman" w:hAnsi="Calibri" w:cs="Calibri"/>
                <w:color w:val="FF0000"/>
              </w:rPr>
            </w:pPr>
            <w:r w:rsidRPr="00AF4023">
              <w:t xml:space="preserve"> $(</w:t>
            </w:r>
            <w:r w:rsidR="00DB1059">
              <w:t>21,169</w:t>
            </w:r>
            <w:r w:rsidRPr="00AF4023">
              <w:t>)</w:t>
            </w:r>
          </w:p>
        </w:tc>
        <w:tc>
          <w:tcPr>
            <w:tcW w:w="1931" w:type="dxa"/>
            <w:tcBorders>
              <w:top w:val="single" w:sz="4" w:space="0" w:color="44546A"/>
              <w:left w:val="nil"/>
              <w:bottom w:val="double" w:sz="6" w:space="0" w:color="44546A"/>
              <w:right w:val="nil"/>
            </w:tcBorders>
            <w:shd w:val="clear" w:color="auto" w:fill="F2F2F2" w:themeFill="background1" w:themeFillShade="F2"/>
            <w:noWrap/>
            <w:vAlign w:val="bottom"/>
            <w:hideMark/>
          </w:tcPr>
          <w:p w14:paraId="1AB47B76" w14:textId="21A928F6" w:rsidR="007F0958" w:rsidRPr="00F65869" w:rsidRDefault="007F0958" w:rsidP="007F0958">
            <w:pPr>
              <w:jc w:val="right"/>
              <w:rPr>
                <w:rFonts w:ascii="Calibri" w:eastAsia="Times New Roman" w:hAnsi="Calibri" w:cs="Calibri"/>
                <w:color w:val="0D0D0D"/>
              </w:rPr>
            </w:pPr>
            <w:r w:rsidRPr="002E65F6">
              <w:rPr>
                <w:rFonts w:ascii="Calibri" w:eastAsia="Times New Roman" w:hAnsi="Calibri" w:cs="Calibri"/>
              </w:rPr>
              <w:t xml:space="preserve">$  </w:t>
            </w:r>
            <w:r w:rsidRPr="003959B0">
              <w:rPr>
                <w:rFonts w:ascii="Calibri" w:eastAsia="Times New Roman" w:hAnsi="Calibri" w:cs="Calibri"/>
              </w:rPr>
              <w:t>17,782</w:t>
            </w:r>
          </w:p>
        </w:tc>
      </w:tr>
      <w:tr w:rsidR="007F0958" w:rsidRPr="00F65869" w14:paraId="730C8E8E" w14:textId="77777777" w:rsidTr="0048737B">
        <w:trPr>
          <w:trHeight w:val="336"/>
          <w:jc w:val="center"/>
        </w:trPr>
        <w:tc>
          <w:tcPr>
            <w:tcW w:w="6028" w:type="dxa"/>
            <w:tcBorders>
              <w:top w:val="nil"/>
              <w:left w:val="nil"/>
              <w:bottom w:val="single" w:sz="8" w:space="0" w:color="44546A"/>
              <w:right w:val="nil"/>
            </w:tcBorders>
            <w:shd w:val="clear" w:color="000000" w:fill="FFFFFF"/>
            <w:vAlign w:val="bottom"/>
            <w:hideMark/>
          </w:tcPr>
          <w:p w14:paraId="72EE31BE" w14:textId="77777777" w:rsidR="007F0958" w:rsidRPr="00F65869" w:rsidRDefault="007F0958" w:rsidP="007F0958">
            <w:pPr>
              <w:rPr>
                <w:rFonts w:ascii="Calibri" w:eastAsia="Times New Roman" w:hAnsi="Calibri" w:cs="Calibri"/>
                <w:color w:val="0D0D0D"/>
              </w:rPr>
            </w:pPr>
            <w:r w:rsidRPr="00F65869">
              <w:rPr>
                <w:rFonts w:ascii="Calibri" w:eastAsia="Times New Roman" w:hAnsi="Calibri" w:cs="Calibri"/>
                <w:color w:val="0D0D0D"/>
              </w:rPr>
              <w:t>Fiduciary net position as a percentage of the total OPEB liability</w:t>
            </w:r>
          </w:p>
        </w:tc>
        <w:tc>
          <w:tcPr>
            <w:tcW w:w="1262" w:type="dxa"/>
            <w:tcBorders>
              <w:top w:val="nil"/>
              <w:left w:val="nil"/>
              <w:bottom w:val="single" w:sz="8" w:space="0" w:color="44546A"/>
              <w:right w:val="nil"/>
            </w:tcBorders>
            <w:shd w:val="clear" w:color="000000" w:fill="FFFFFF"/>
            <w:noWrap/>
            <w:vAlign w:val="bottom"/>
            <w:hideMark/>
          </w:tcPr>
          <w:p w14:paraId="36F73598" w14:textId="29293B5C" w:rsidR="007F0958" w:rsidRPr="0048737B" w:rsidRDefault="007F0958">
            <w:pPr>
              <w:jc w:val="right"/>
              <w:rPr>
                <w:rFonts w:ascii="Calibri" w:eastAsia="Times New Roman" w:hAnsi="Calibri" w:cs="Calibri"/>
                <w:color w:val="FF0000"/>
              </w:rPr>
            </w:pPr>
            <w:r w:rsidRPr="00AF4023">
              <w:t>11</w:t>
            </w:r>
            <w:r w:rsidR="00DB1059">
              <w:t>3.81</w:t>
            </w:r>
            <w:r w:rsidRPr="00AF4023">
              <w:t>%</w:t>
            </w:r>
          </w:p>
        </w:tc>
        <w:tc>
          <w:tcPr>
            <w:tcW w:w="1931" w:type="dxa"/>
            <w:tcBorders>
              <w:top w:val="nil"/>
              <w:left w:val="nil"/>
              <w:bottom w:val="single" w:sz="8" w:space="0" w:color="44546A"/>
              <w:right w:val="nil"/>
            </w:tcBorders>
            <w:shd w:val="clear" w:color="auto" w:fill="F2F2F2" w:themeFill="background1" w:themeFillShade="F2"/>
            <w:noWrap/>
            <w:vAlign w:val="bottom"/>
            <w:hideMark/>
          </w:tcPr>
          <w:p w14:paraId="44CFCD87" w14:textId="39EED1E9" w:rsidR="007F0958" w:rsidRPr="00F65869" w:rsidRDefault="007F0958" w:rsidP="007F0958">
            <w:pPr>
              <w:jc w:val="right"/>
              <w:rPr>
                <w:rFonts w:ascii="Calibri" w:eastAsia="Times New Roman" w:hAnsi="Calibri" w:cs="Calibri"/>
                <w:color w:val="0D0D0D"/>
              </w:rPr>
            </w:pPr>
            <w:r w:rsidRPr="003959B0">
              <w:rPr>
                <w:rFonts w:ascii="Calibri" w:eastAsia="Times New Roman" w:hAnsi="Calibri" w:cs="Calibri"/>
              </w:rPr>
              <w:t>89.77</w:t>
            </w:r>
            <w:r w:rsidRPr="002E65F6">
              <w:rPr>
                <w:rFonts w:ascii="Calibri" w:eastAsia="Times New Roman" w:hAnsi="Calibri" w:cs="Calibri"/>
              </w:rPr>
              <w:t>%</w:t>
            </w:r>
          </w:p>
        </w:tc>
      </w:tr>
    </w:tbl>
    <w:p w14:paraId="1587866A" w14:textId="77777777" w:rsidR="00DD1612" w:rsidRDefault="00DD1612" w:rsidP="00DD1612">
      <w:pPr>
        <w:spacing w:after="160" w:line="259" w:lineRule="auto"/>
        <w:rPr>
          <w:rFonts w:eastAsia="Times New Roman" w:cstheme="minorHAnsi"/>
          <w:b/>
          <w:i/>
          <w:spacing w:val="-1"/>
          <w:sz w:val="24"/>
        </w:rPr>
      </w:pPr>
      <w:r>
        <w:rPr>
          <w:rFonts w:eastAsia="Times New Roman" w:cstheme="minorHAnsi"/>
          <w:b/>
          <w:i/>
          <w:spacing w:val="-1"/>
          <w:sz w:val="24"/>
        </w:rPr>
        <w:br w:type="page"/>
      </w:r>
    </w:p>
    <w:p w14:paraId="0B3C42B7" w14:textId="77777777" w:rsidR="00DD1612" w:rsidRPr="00F54559" w:rsidRDefault="00DD1612" w:rsidP="00DD1612">
      <w:pPr>
        <w:spacing w:after="160" w:line="259" w:lineRule="auto"/>
        <w:rPr>
          <w:rFonts w:eastAsiaTheme="majorEastAsia" w:cstheme="minorHAnsi"/>
          <w:i/>
          <w:iCs/>
          <w:smallCaps/>
          <w:noProof/>
          <w:color w:val="000000" w:themeColor="text1"/>
          <w:szCs w:val="26"/>
          <w:u w:color="5B9BD5"/>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21D80E6B" w14:textId="7A77F611" w:rsidR="00DD1612" w:rsidRPr="00F54559" w:rsidRDefault="00DD1612" w:rsidP="00DD1612">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w:t>
      </w:r>
      <w:r w:rsidRPr="00F54559">
        <w:rPr>
          <w:rFonts w:eastAsia="Times New Roman" w:cstheme="minorHAnsi"/>
          <w:spacing w:val="-1"/>
          <w:sz w:val="24"/>
        </w:rPr>
        <w:t xml:space="preserve">The total OPEB liability as of </w:t>
      </w:r>
      <w:r w:rsidRPr="00F54559">
        <w:rPr>
          <w:rFonts w:eastAsia="Franklin Gothic Book" w:cstheme="minorHAnsi"/>
          <w:spacing w:val="-1"/>
          <w:sz w:val="24"/>
        </w:rPr>
        <w:t xml:space="preserve">June 30, </w:t>
      </w:r>
      <w:proofErr w:type="gramStart"/>
      <w:r w:rsidR="00E430D9" w:rsidRPr="00F54559">
        <w:rPr>
          <w:rFonts w:eastAsia="Franklin Gothic Book" w:cstheme="minorHAnsi"/>
          <w:spacing w:val="-1"/>
          <w:sz w:val="24"/>
        </w:rPr>
        <w:t>20</w:t>
      </w:r>
      <w:r w:rsidR="00E430D9">
        <w:rPr>
          <w:rFonts w:eastAsia="Franklin Gothic Book" w:cstheme="minorHAnsi"/>
          <w:spacing w:val="-1"/>
          <w:sz w:val="24"/>
        </w:rPr>
        <w:t>23</w:t>
      </w:r>
      <w:proofErr w:type="gramEnd"/>
      <w:r w:rsidR="00E430D9" w:rsidRPr="00F54559">
        <w:rPr>
          <w:rFonts w:eastAsia="Franklin Gothic Book" w:cstheme="minorHAnsi"/>
          <w:spacing w:val="-1"/>
          <w:sz w:val="24"/>
        </w:rPr>
        <w:t xml:space="preserve"> </w:t>
      </w:r>
      <w:r w:rsidRPr="00F54559">
        <w:rPr>
          <w:rFonts w:eastAsia="Franklin Gothic Book" w:cstheme="minorHAnsi"/>
          <w:spacing w:val="-1"/>
          <w:sz w:val="24"/>
        </w:rPr>
        <w:t xml:space="preserve">was determined by an actuarial valuation as of </w:t>
      </w:r>
      <w:r w:rsidRPr="002F393E">
        <w:rPr>
          <w:rFonts w:eastAsia="Franklin Gothic Book" w:cstheme="minorHAnsi"/>
          <w:spacing w:val="-1"/>
          <w:sz w:val="24"/>
        </w:rPr>
        <w:t xml:space="preserve">July 1, </w:t>
      </w:r>
      <w:r w:rsidR="00E430D9" w:rsidRPr="002F393E">
        <w:rPr>
          <w:rFonts w:eastAsia="Franklin Gothic Book" w:cstheme="minorHAnsi"/>
          <w:spacing w:val="-1"/>
          <w:sz w:val="24"/>
        </w:rPr>
        <w:t>202</w:t>
      </w:r>
      <w:r w:rsidR="00E430D9">
        <w:rPr>
          <w:rFonts w:eastAsia="Franklin Gothic Book" w:cstheme="minorHAnsi"/>
          <w:spacing w:val="-1"/>
          <w:sz w:val="24"/>
        </w:rPr>
        <w:t>3</w:t>
      </w:r>
      <w:r>
        <w:rPr>
          <w:rFonts w:eastAsia="Franklin Gothic Book" w:cstheme="minorHAnsi"/>
          <w:spacing w:val="-1"/>
          <w:sz w:val="24"/>
        </w:rPr>
        <w:t>. The results of the June 30, 2022</w:t>
      </w:r>
      <w:r w:rsidRPr="00363A68">
        <w:rPr>
          <w:rFonts w:eastAsia="Franklin Gothic Book" w:cstheme="minorHAnsi"/>
          <w:spacing w:val="-1"/>
          <w:sz w:val="24"/>
        </w:rPr>
        <w:t xml:space="preserve"> measurement date </w:t>
      </w:r>
      <w:r>
        <w:rPr>
          <w:rFonts w:eastAsia="Franklin Gothic Book" w:cstheme="minorHAnsi"/>
          <w:spacing w:val="-1"/>
          <w:sz w:val="24"/>
        </w:rPr>
        <w:t>are based on a roll forward of the liabilities developed for the June 30, 2021 valuation.</w:t>
      </w:r>
      <w:r w:rsidRPr="002F393E">
        <w:rPr>
          <w:rFonts w:eastAsia="Franklin Gothic Book" w:cstheme="minorHAnsi"/>
          <w:spacing w:val="-1"/>
          <w:sz w:val="24"/>
        </w:rPr>
        <w:t xml:space="preserve"> </w:t>
      </w:r>
      <w:r>
        <w:rPr>
          <w:rFonts w:eastAsia="Franklin Gothic Book" w:cstheme="minorHAnsi"/>
          <w:spacing w:val="-1"/>
          <w:sz w:val="24"/>
        </w:rPr>
        <w:t>T</w:t>
      </w:r>
      <w:r w:rsidRPr="002F393E">
        <w:rPr>
          <w:rFonts w:eastAsia="Franklin Gothic Book" w:cstheme="minorHAnsi"/>
          <w:spacing w:val="-1"/>
          <w:sz w:val="24"/>
        </w:rPr>
        <w:t xml:space="preserve">he following actuarial </w:t>
      </w:r>
      <w:r w:rsidRPr="00F54559">
        <w:rPr>
          <w:rFonts w:eastAsia="Franklin Gothic Book" w:cstheme="minorHAnsi"/>
          <w:spacing w:val="-1"/>
          <w:sz w:val="24"/>
        </w:rPr>
        <w:t>assumptions, applied to all periods included in the measurement</w:t>
      </w:r>
      <w:r>
        <w:rPr>
          <w:rFonts w:eastAsia="Franklin Gothic Book" w:cstheme="minorHAnsi"/>
          <w:spacing w:val="-1"/>
          <w:sz w:val="24"/>
        </w:rPr>
        <w:t>.</w:t>
      </w:r>
    </w:p>
    <w:p w14:paraId="78ADF197" w14:textId="77777777" w:rsidR="00DD1612" w:rsidRPr="00F54559" w:rsidRDefault="00DD1612" w:rsidP="00DD1612">
      <w:pPr>
        <w:tabs>
          <w:tab w:val="left" w:pos="900"/>
        </w:tabs>
        <w:ind w:right="-7"/>
        <w:rPr>
          <w:rFonts w:eastAsia="Times New Roman" w:cstheme="minorHAnsi"/>
          <w:spacing w:val="-1"/>
          <w:sz w:val="24"/>
        </w:rPr>
      </w:pPr>
    </w:p>
    <w:p w14:paraId="441A1C13" w14:textId="77777777" w:rsidR="00DD1612" w:rsidRPr="000E648A" w:rsidRDefault="00DD1612" w:rsidP="00DD1612">
      <w:pPr>
        <w:widowControl w:val="0"/>
        <w:pBdr>
          <w:top w:val="single" w:sz="4" w:space="1" w:color="00688D"/>
        </w:pBdr>
        <w:tabs>
          <w:tab w:val="left" w:pos="3510"/>
        </w:tabs>
        <w:ind w:left="540" w:right="360"/>
        <w:rPr>
          <w:rFonts w:eastAsia="Franklin Gothic Book" w:cstheme="minorHAnsi"/>
          <w:sz w:val="24"/>
          <w:szCs w:val="24"/>
        </w:rPr>
      </w:pPr>
      <w:r w:rsidRPr="000E648A">
        <w:rPr>
          <w:rFonts w:eastAsia="Franklin Gothic Book" w:cstheme="minorHAnsi"/>
          <w:sz w:val="24"/>
          <w:szCs w:val="24"/>
        </w:rPr>
        <w:t>Actuarial cost method</w:t>
      </w:r>
      <w:r w:rsidRPr="000E648A">
        <w:rPr>
          <w:rFonts w:eastAsia="Franklin Gothic Book" w:cstheme="minorHAnsi"/>
          <w:sz w:val="24"/>
          <w:szCs w:val="24"/>
        </w:rPr>
        <w:tab/>
        <w:t>Entry age normal</w:t>
      </w:r>
    </w:p>
    <w:p w14:paraId="38B3E63C" w14:textId="77777777" w:rsidR="00DD1612" w:rsidRPr="000E648A" w:rsidRDefault="00DD1612" w:rsidP="00DD1612">
      <w:pPr>
        <w:widowControl w:val="0"/>
        <w:pBdr>
          <w:top w:val="single" w:sz="4" w:space="1" w:color="00688D"/>
        </w:pBdr>
        <w:tabs>
          <w:tab w:val="left" w:pos="3510"/>
        </w:tabs>
        <w:ind w:left="540" w:right="360"/>
        <w:rPr>
          <w:rFonts w:eastAsia="Franklin Gothic Book" w:cstheme="minorHAnsi"/>
          <w:sz w:val="24"/>
          <w:szCs w:val="24"/>
        </w:rPr>
      </w:pPr>
      <w:r w:rsidRPr="000E648A">
        <w:rPr>
          <w:rFonts w:eastAsia="Franklin Gothic Book" w:cstheme="minorHAnsi"/>
          <w:sz w:val="24"/>
          <w:szCs w:val="24"/>
        </w:rPr>
        <w:t>Actuarial asset method</w:t>
      </w:r>
      <w:r w:rsidRPr="000E648A">
        <w:rPr>
          <w:rFonts w:eastAsia="Franklin Gothic Book" w:cstheme="minorHAnsi"/>
          <w:sz w:val="24"/>
          <w:szCs w:val="24"/>
        </w:rPr>
        <w:tab/>
        <w:t>Market value</w:t>
      </w:r>
    </w:p>
    <w:p w14:paraId="689463C3" w14:textId="6EE19C53" w:rsidR="00DD1612" w:rsidRPr="00D36698" w:rsidRDefault="00DD1612" w:rsidP="00DD1612">
      <w:pPr>
        <w:widowControl w:val="0"/>
        <w:tabs>
          <w:tab w:val="left" w:pos="3510"/>
        </w:tabs>
        <w:ind w:left="540" w:right="360"/>
        <w:rPr>
          <w:rFonts w:eastAsia="Franklin Gothic Book" w:cstheme="minorHAnsi"/>
          <w:sz w:val="24"/>
          <w:szCs w:val="24"/>
        </w:rPr>
      </w:pPr>
      <w:r w:rsidRPr="00D36698">
        <w:rPr>
          <w:rFonts w:eastAsia="Franklin Gothic Book" w:cstheme="minorHAnsi"/>
          <w:sz w:val="24"/>
          <w:szCs w:val="24"/>
        </w:rPr>
        <w:t>Inflation</w:t>
      </w:r>
      <w:r w:rsidRPr="00D36698">
        <w:rPr>
          <w:rFonts w:eastAsia="Franklin Gothic Book" w:cstheme="minorHAnsi"/>
          <w:sz w:val="24"/>
          <w:szCs w:val="24"/>
        </w:rPr>
        <w:tab/>
      </w:r>
      <w:r w:rsidRPr="00A93FB3">
        <w:rPr>
          <w:rFonts w:eastAsia="Franklin Gothic Book" w:cstheme="minorHAnsi"/>
          <w:sz w:val="24"/>
          <w:szCs w:val="24"/>
        </w:rPr>
        <w:t>2.</w:t>
      </w:r>
      <w:r w:rsidR="00FB1A83">
        <w:rPr>
          <w:rFonts w:eastAsia="Franklin Gothic Book" w:cstheme="minorHAnsi"/>
          <w:sz w:val="24"/>
          <w:szCs w:val="24"/>
        </w:rPr>
        <w:t>5</w:t>
      </w:r>
      <w:r w:rsidRPr="00A93FB3">
        <w:rPr>
          <w:rFonts w:eastAsia="Franklin Gothic Book" w:cstheme="minorHAnsi"/>
          <w:sz w:val="24"/>
          <w:szCs w:val="24"/>
        </w:rPr>
        <w:t xml:space="preserve">% as of June 30, </w:t>
      </w:r>
      <w:r w:rsidR="00FB1A83" w:rsidRPr="00A93FB3">
        <w:rPr>
          <w:rFonts w:eastAsia="Franklin Gothic Book" w:cstheme="minorHAnsi"/>
          <w:sz w:val="24"/>
          <w:szCs w:val="24"/>
        </w:rPr>
        <w:t>202</w:t>
      </w:r>
      <w:r w:rsidR="00FB1A83">
        <w:rPr>
          <w:rFonts w:eastAsia="Franklin Gothic Book" w:cstheme="minorHAnsi"/>
          <w:sz w:val="24"/>
          <w:szCs w:val="24"/>
        </w:rPr>
        <w:t>3</w:t>
      </w:r>
      <w:r w:rsidRPr="00A93FB3">
        <w:rPr>
          <w:rFonts w:eastAsia="Franklin Gothic Book" w:cstheme="minorHAnsi"/>
          <w:sz w:val="24"/>
          <w:szCs w:val="24"/>
        </w:rPr>
        <w:t>;</w:t>
      </w:r>
      <w:r w:rsidRPr="00D36698">
        <w:rPr>
          <w:rFonts w:eastAsia="Franklin Gothic Book" w:cstheme="minorHAnsi"/>
          <w:sz w:val="24"/>
          <w:szCs w:val="24"/>
        </w:rPr>
        <w:t xml:space="preserve"> 2.</w:t>
      </w:r>
      <w:r w:rsidR="00FB1A83">
        <w:rPr>
          <w:rFonts w:eastAsia="Franklin Gothic Book" w:cstheme="minorHAnsi"/>
          <w:sz w:val="24"/>
          <w:szCs w:val="24"/>
        </w:rPr>
        <w:t>4</w:t>
      </w:r>
      <w:r w:rsidRPr="00D36698">
        <w:rPr>
          <w:rFonts w:eastAsia="Franklin Gothic Book" w:cstheme="minorHAnsi"/>
          <w:sz w:val="24"/>
          <w:szCs w:val="24"/>
        </w:rPr>
        <w:t xml:space="preserve">% as of June 30, </w:t>
      </w:r>
      <w:r w:rsidR="00FB1A83" w:rsidRPr="00D36698">
        <w:rPr>
          <w:rFonts w:eastAsia="Franklin Gothic Book" w:cstheme="minorHAnsi"/>
          <w:sz w:val="24"/>
          <w:szCs w:val="24"/>
        </w:rPr>
        <w:t>202</w:t>
      </w:r>
      <w:r w:rsidR="00FB1A83">
        <w:rPr>
          <w:rFonts w:eastAsia="Franklin Gothic Book" w:cstheme="minorHAnsi"/>
          <w:sz w:val="24"/>
          <w:szCs w:val="24"/>
        </w:rPr>
        <w:t>2</w:t>
      </w:r>
      <w:r w:rsidR="00FB1A83" w:rsidRPr="00D36698">
        <w:rPr>
          <w:rFonts w:eastAsia="Franklin Gothic Book" w:cstheme="minorHAnsi"/>
          <w:sz w:val="24"/>
          <w:szCs w:val="24"/>
        </w:rPr>
        <w:t xml:space="preserve"> </w:t>
      </w:r>
    </w:p>
    <w:p w14:paraId="1FC4131F" w14:textId="727D51DA" w:rsidR="00DD1612" w:rsidRPr="00D36698" w:rsidRDefault="00DD1612" w:rsidP="00DD1612">
      <w:pPr>
        <w:widowControl w:val="0"/>
        <w:tabs>
          <w:tab w:val="left" w:pos="3510"/>
        </w:tabs>
        <w:ind w:left="3510" w:right="360" w:hanging="2970"/>
        <w:rPr>
          <w:rFonts w:eastAsia="Franklin Gothic Book" w:cstheme="minorHAnsi"/>
          <w:sz w:val="24"/>
          <w:szCs w:val="24"/>
        </w:rPr>
      </w:pPr>
      <w:r w:rsidRPr="00D36698">
        <w:rPr>
          <w:rFonts w:eastAsia="Franklin Gothic Book" w:cstheme="minorHAnsi"/>
          <w:sz w:val="24"/>
          <w:szCs w:val="24"/>
        </w:rPr>
        <w:t>Investment rate of return</w:t>
      </w:r>
      <w:r w:rsidRPr="00D36698">
        <w:rPr>
          <w:rFonts w:eastAsia="Franklin Gothic Book" w:cstheme="minorHAnsi"/>
          <w:sz w:val="24"/>
          <w:szCs w:val="24"/>
        </w:rPr>
        <w:tab/>
        <w:t xml:space="preserve">7.25% net of investment expenses, including inflation as of June 30, </w:t>
      </w:r>
      <w:r w:rsidR="00216289" w:rsidRPr="00D36698">
        <w:rPr>
          <w:rFonts w:eastAsia="Franklin Gothic Book" w:cstheme="minorHAnsi"/>
          <w:sz w:val="24"/>
          <w:szCs w:val="24"/>
        </w:rPr>
        <w:t>202</w:t>
      </w:r>
      <w:r w:rsidR="00216289">
        <w:rPr>
          <w:rFonts w:eastAsia="Franklin Gothic Book" w:cstheme="minorHAnsi"/>
          <w:sz w:val="24"/>
          <w:szCs w:val="24"/>
        </w:rPr>
        <w:t>3</w:t>
      </w:r>
      <w:r w:rsidR="00216289" w:rsidRPr="00D36698">
        <w:rPr>
          <w:rFonts w:eastAsia="Franklin Gothic Book" w:cstheme="minorHAnsi"/>
          <w:sz w:val="24"/>
          <w:szCs w:val="24"/>
        </w:rPr>
        <w:t xml:space="preserve"> </w:t>
      </w:r>
      <w:r w:rsidRPr="00D36698">
        <w:rPr>
          <w:rFonts w:eastAsia="Franklin Gothic Book" w:cstheme="minorHAnsi"/>
          <w:sz w:val="24"/>
          <w:szCs w:val="24"/>
        </w:rPr>
        <w:t xml:space="preserve">and </w:t>
      </w:r>
      <w:r w:rsidR="00216289" w:rsidRPr="00D36698">
        <w:rPr>
          <w:rFonts w:eastAsia="Franklin Gothic Book" w:cstheme="minorHAnsi"/>
          <w:sz w:val="24"/>
          <w:szCs w:val="24"/>
        </w:rPr>
        <w:t>202</w:t>
      </w:r>
      <w:r w:rsidR="00216289">
        <w:rPr>
          <w:rFonts w:eastAsia="Franklin Gothic Book" w:cstheme="minorHAnsi"/>
          <w:sz w:val="24"/>
          <w:szCs w:val="24"/>
        </w:rPr>
        <w:t>2</w:t>
      </w:r>
    </w:p>
    <w:p w14:paraId="5175CC4D" w14:textId="5C3B9896" w:rsidR="00385495" w:rsidRDefault="00DD1612" w:rsidP="00216289">
      <w:pPr>
        <w:widowControl w:val="0"/>
        <w:tabs>
          <w:tab w:val="left" w:pos="3510"/>
        </w:tabs>
        <w:ind w:left="3510" w:right="360" w:hanging="2970"/>
        <w:rPr>
          <w:rFonts w:eastAsia="Franklin Gothic Book" w:cstheme="minorHAnsi"/>
          <w:sz w:val="24"/>
          <w:szCs w:val="24"/>
        </w:rPr>
      </w:pPr>
      <w:r w:rsidRPr="000E648A">
        <w:rPr>
          <w:rFonts w:eastAsia="Franklin Gothic Book" w:cstheme="minorHAnsi"/>
          <w:sz w:val="24"/>
          <w:szCs w:val="24"/>
        </w:rPr>
        <w:t>Healthcare cost trend rate</w:t>
      </w:r>
      <w:r w:rsidRPr="000E648A">
        <w:rPr>
          <w:rFonts w:eastAsia="Franklin Gothic Book" w:cstheme="minorHAnsi"/>
          <w:sz w:val="24"/>
          <w:szCs w:val="24"/>
        </w:rPr>
        <w:tab/>
      </w:r>
      <w:r w:rsidR="00385495">
        <w:rPr>
          <w:rFonts w:eastAsia="Franklin Gothic Book" w:cstheme="minorHAnsi"/>
          <w:spacing w:val="-1"/>
          <w:sz w:val="24"/>
          <w:szCs w:val="24"/>
        </w:rPr>
        <w:t>8</w:t>
      </w:r>
      <w:r w:rsidR="00385495" w:rsidRPr="000E648A">
        <w:rPr>
          <w:rFonts w:eastAsia="Franklin Gothic Book" w:cstheme="minorHAnsi"/>
          <w:spacing w:val="-1"/>
          <w:sz w:val="24"/>
          <w:szCs w:val="24"/>
        </w:rPr>
        <w:t>% for 202</w:t>
      </w:r>
      <w:r w:rsidR="00385495">
        <w:rPr>
          <w:rFonts w:eastAsia="Franklin Gothic Book" w:cstheme="minorHAnsi"/>
          <w:spacing w:val="-1"/>
          <w:sz w:val="24"/>
          <w:szCs w:val="24"/>
        </w:rPr>
        <w:t>3</w:t>
      </w:r>
      <w:r w:rsidR="00385495" w:rsidRPr="000E648A">
        <w:rPr>
          <w:rFonts w:eastAsia="Franklin Gothic Book" w:cstheme="minorHAnsi"/>
          <w:spacing w:val="-1"/>
          <w:sz w:val="24"/>
          <w:szCs w:val="24"/>
        </w:rPr>
        <w:t xml:space="preserve"> decreasing .5% per year to 5.5%, then</w:t>
      </w:r>
    </w:p>
    <w:p w14:paraId="72693D9D" w14:textId="2D730D6A" w:rsidR="00385495" w:rsidRDefault="00385495" w:rsidP="00385495">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(Cigna Plans)</w:t>
      </w:r>
      <w:r>
        <w:rPr>
          <w:rFonts w:eastAsia="Franklin Gothic Book" w:cstheme="minorHAnsi"/>
          <w:spacing w:val="-1"/>
          <w:sz w:val="24"/>
          <w:szCs w:val="24"/>
        </w:rPr>
        <w:tab/>
      </w:r>
      <w:r w:rsidRPr="00385495">
        <w:rPr>
          <w:rFonts w:eastAsia="Franklin Gothic Book" w:cstheme="minorHAnsi"/>
          <w:spacing w:val="-1"/>
          <w:sz w:val="24"/>
          <w:szCs w:val="24"/>
        </w:rPr>
        <w:t xml:space="preserve"> </w:t>
      </w:r>
      <w:r w:rsidRPr="000E648A">
        <w:rPr>
          <w:rFonts w:eastAsia="Franklin Gothic Book" w:cstheme="minorHAnsi"/>
          <w:spacing w:val="-1"/>
          <w:sz w:val="24"/>
          <w:szCs w:val="24"/>
        </w:rPr>
        <w:t>grading down to an ultimate trend rate of 4</w:t>
      </w:r>
      <w:r>
        <w:rPr>
          <w:rFonts w:eastAsia="Franklin Gothic Book" w:cstheme="minorHAnsi"/>
          <w:spacing w:val="-1"/>
          <w:sz w:val="24"/>
          <w:szCs w:val="24"/>
        </w:rPr>
        <w:t>.1</w:t>
      </w:r>
      <w:r w:rsidRPr="000E648A">
        <w:rPr>
          <w:rFonts w:eastAsia="Franklin Gothic Book" w:cstheme="minorHAnsi"/>
          <w:spacing w:val="-1"/>
          <w:sz w:val="24"/>
          <w:szCs w:val="24"/>
        </w:rPr>
        <w:t>%, utilizing</w:t>
      </w:r>
      <w:r>
        <w:rPr>
          <w:rFonts w:eastAsia="Franklin Gothic Book" w:cstheme="minorHAnsi"/>
          <w:spacing w:val="-1"/>
          <w:sz w:val="24"/>
          <w:szCs w:val="24"/>
        </w:rPr>
        <w:t xml:space="preserve"> </w:t>
      </w:r>
      <w:r w:rsidRPr="000E648A">
        <w:rPr>
          <w:rFonts w:eastAsia="Franklin Gothic Book" w:cstheme="minorHAnsi"/>
          <w:spacing w:val="-1"/>
          <w:sz w:val="24"/>
          <w:szCs w:val="24"/>
        </w:rPr>
        <w:t>the Society of Actuaries Getzen Medical Trend Model. The ultimate medical inflation rate is reached in 2075</w:t>
      </w:r>
      <w:r w:rsidR="00494FFB">
        <w:rPr>
          <w:rFonts w:eastAsia="Franklin Gothic Book" w:cstheme="minorHAnsi"/>
          <w:spacing w:val="-1"/>
          <w:sz w:val="24"/>
          <w:szCs w:val="24"/>
        </w:rPr>
        <w:t>.</w:t>
      </w:r>
    </w:p>
    <w:p w14:paraId="313ABB35" w14:textId="6BDD4B2B" w:rsidR="00385495" w:rsidRDefault="00216289" w:rsidP="00216289">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Healthcare cost</w:t>
      </w:r>
      <w:r w:rsidRPr="00BC6B2E">
        <w:rPr>
          <w:rFonts w:eastAsia="Franklin Gothic Book" w:cstheme="minorHAnsi"/>
          <w:spacing w:val="-1"/>
          <w:sz w:val="24"/>
          <w:szCs w:val="24"/>
        </w:rPr>
        <w:t xml:space="preserve"> trend rates</w:t>
      </w:r>
      <w:r w:rsidRPr="00BC6B2E">
        <w:rPr>
          <w:rFonts w:eastAsia="Franklin Gothic Book" w:cstheme="minorHAnsi"/>
          <w:spacing w:val="-1"/>
          <w:sz w:val="24"/>
          <w:szCs w:val="24"/>
        </w:rPr>
        <w:tab/>
      </w:r>
      <w:r w:rsidR="00385495">
        <w:rPr>
          <w:rFonts w:eastAsia="Franklin Gothic Book" w:cstheme="minorHAnsi"/>
          <w:spacing w:val="-1"/>
          <w:sz w:val="24"/>
          <w:szCs w:val="24"/>
        </w:rPr>
        <w:t xml:space="preserve">Annual increases of </w:t>
      </w:r>
      <w:r w:rsidR="00DB1059">
        <w:rPr>
          <w:rFonts w:eastAsia="Franklin Gothic Book" w:cstheme="minorHAnsi"/>
          <w:spacing w:val="-1"/>
          <w:sz w:val="24"/>
          <w:szCs w:val="24"/>
        </w:rPr>
        <w:t xml:space="preserve">6% in year 1 grading down 0.5% per </w:t>
      </w:r>
    </w:p>
    <w:p w14:paraId="37D28C64" w14:textId="1CC0D9DF" w:rsidR="00216289" w:rsidRPr="0048737B" w:rsidRDefault="00385495" w:rsidP="00216289">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(Aetna Medicare Advantage)</w:t>
      </w:r>
      <w:r>
        <w:rPr>
          <w:rFonts w:eastAsia="Franklin Gothic Book" w:cstheme="minorHAnsi"/>
          <w:spacing w:val="-1"/>
          <w:sz w:val="24"/>
          <w:szCs w:val="24"/>
        </w:rPr>
        <w:tab/>
      </w:r>
      <w:r w:rsidR="00DB1059">
        <w:rPr>
          <w:rFonts w:eastAsia="Franklin Gothic Book" w:cstheme="minorHAnsi"/>
          <w:spacing w:val="-1"/>
          <w:sz w:val="24"/>
          <w:szCs w:val="24"/>
        </w:rPr>
        <w:t xml:space="preserve">year to an ultimate trend rate of 4%, recognizing that over the last </w:t>
      </w:r>
      <w:r w:rsidR="00216289">
        <w:rPr>
          <w:rFonts w:eastAsia="Franklin Gothic Book" w:cstheme="minorHAnsi"/>
          <w:spacing w:val="-1"/>
          <w:sz w:val="24"/>
          <w:szCs w:val="24"/>
        </w:rPr>
        <w:t>several years there have been plan design changes that have impacted the premium rates</w:t>
      </w:r>
      <w:r w:rsidR="00494FFB">
        <w:rPr>
          <w:rFonts w:eastAsia="Franklin Gothic Book" w:cstheme="minorHAnsi"/>
          <w:spacing w:val="-1"/>
          <w:sz w:val="24"/>
          <w:szCs w:val="24"/>
        </w:rPr>
        <w:t>.</w:t>
      </w:r>
      <w:r w:rsidR="00216289" w:rsidRPr="00BC6B2E">
        <w:rPr>
          <w:rFonts w:eastAsia="Franklin Gothic Book" w:cstheme="minorHAnsi"/>
          <w:spacing w:val="-1"/>
          <w:sz w:val="24"/>
          <w:szCs w:val="24"/>
        </w:rPr>
        <w:t xml:space="preserve"> </w:t>
      </w:r>
    </w:p>
    <w:p w14:paraId="16A8BFF7" w14:textId="5B4413F7" w:rsidR="00EE150B" w:rsidRPr="0048737B" w:rsidRDefault="00EE150B" w:rsidP="00EE150B">
      <w:pPr>
        <w:widowControl w:val="0"/>
        <w:tabs>
          <w:tab w:val="left" w:pos="3510"/>
        </w:tabs>
        <w:ind w:left="3510" w:right="360" w:hanging="2970"/>
        <w:rPr>
          <w:rFonts w:eastAsia="Franklin Gothic Book" w:cstheme="minorHAnsi"/>
          <w:spacing w:val="-1"/>
          <w:sz w:val="24"/>
          <w:szCs w:val="24"/>
        </w:rPr>
      </w:pPr>
      <w:r w:rsidRPr="00CC58AD">
        <w:rPr>
          <w:rFonts w:eastAsia="Franklin Gothic Book" w:cstheme="minorHAnsi"/>
          <w:spacing w:val="-1"/>
          <w:sz w:val="24"/>
          <w:szCs w:val="24"/>
        </w:rPr>
        <w:t>Healthcare cost trend rates</w:t>
      </w:r>
      <w:r w:rsidRPr="00CC58AD">
        <w:rPr>
          <w:rFonts w:eastAsia="Franklin Gothic Book" w:cstheme="minorHAnsi"/>
          <w:spacing w:val="-1"/>
          <w:sz w:val="24"/>
          <w:szCs w:val="24"/>
        </w:rPr>
        <w:tab/>
      </w:r>
      <w:r w:rsidR="00E26BED">
        <w:rPr>
          <w:rFonts w:eastAsia="Franklin Gothic Book" w:cstheme="minorHAnsi"/>
          <w:spacing w:val="-1"/>
          <w:sz w:val="24"/>
          <w:szCs w:val="24"/>
        </w:rPr>
        <w:t xml:space="preserve">2021 to 2022: </w:t>
      </w:r>
      <w:r w:rsidRPr="00CC58AD">
        <w:rPr>
          <w:rFonts w:eastAsia="Franklin Gothic Book" w:cstheme="minorHAnsi"/>
          <w:spacing w:val="-1"/>
          <w:sz w:val="24"/>
          <w:szCs w:val="24"/>
        </w:rPr>
        <w:t>6% for 202</w:t>
      </w:r>
      <w:r w:rsidR="00E26BED">
        <w:rPr>
          <w:rFonts w:eastAsia="Franklin Gothic Book" w:cstheme="minorHAnsi"/>
          <w:spacing w:val="-1"/>
          <w:sz w:val="24"/>
          <w:szCs w:val="24"/>
        </w:rPr>
        <w:t>2</w:t>
      </w:r>
      <w:r w:rsidRPr="00CC58AD">
        <w:rPr>
          <w:rFonts w:eastAsia="Franklin Gothic Book" w:cstheme="minorHAnsi"/>
          <w:spacing w:val="-1"/>
          <w:sz w:val="24"/>
          <w:szCs w:val="24"/>
        </w:rPr>
        <w:t xml:space="preserve"> decreasing .25% per year to 5.25% then grading down to an ultimate trend rate of 4%, utilizing the Society of Actuaries Getzen Medical Trend Model. The ultimate medical inflation rate is reached in 2075.</w:t>
      </w:r>
      <w:r w:rsidRPr="00BC6B2E">
        <w:rPr>
          <w:rFonts w:eastAsia="Franklin Gothic Book" w:cstheme="minorHAnsi"/>
          <w:spacing w:val="-1"/>
          <w:sz w:val="24"/>
          <w:szCs w:val="24"/>
        </w:rPr>
        <w:t xml:space="preserve"> </w:t>
      </w:r>
    </w:p>
    <w:p w14:paraId="5E8AD58C" w14:textId="521DF7F4" w:rsidR="00DD1612" w:rsidRPr="00BC6B2E" w:rsidRDefault="00DD1612" w:rsidP="00DD1612">
      <w:pPr>
        <w:widowControl w:val="0"/>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Prescription drug trend rates</w:t>
      </w:r>
      <w:r w:rsidRPr="00BC6B2E">
        <w:rPr>
          <w:rFonts w:eastAsia="Franklin Gothic Book" w:cstheme="minorHAnsi"/>
          <w:spacing w:val="-1"/>
          <w:sz w:val="24"/>
          <w:szCs w:val="24"/>
        </w:rPr>
        <w:tab/>
      </w:r>
      <w:r w:rsidR="00DB1059">
        <w:rPr>
          <w:rFonts w:eastAsia="Franklin Gothic Book" w:cstheme="minorHAnsi"/>
          <w:spacing w:val="-1"/>
          <w:sz w:val="24"/>
          <w:szCs w:val="24"/>
        </w:rPr>
        <w:t>20</w:t>
      </w:r>
      <w:r w:rsidR="00385495">
        <w:rPr>
          <w:rFonts w:eastAsia="Franklin Gothic Book" w:cstheme="minorHAnsi"/>
          <w:spacing w:val="-1"/>
          <w:sz w:val="24"/>
          <w:szCs w:val="24"/>
        </w:rPr>
        <w:t xml:space="preserve">% for year 1, </w:t>
      </w:r>
      <w:r w:rsidR="00DB1059">
        <w:rPr>
          <w:rFonts w:eastAsia="Franklin Gothic Book" w:cstheme="minorHAnsi"/>
          <w:spacing w:val="-1"/>
          <w:sz w:val="24"/>
          <w:szCs w:val="24"/>
        </w:rPr>
        <w:t>19</w:t>
      </w:r>
      <w:r w:rsidR="00385495">
        <w:rPr>
          <w:rFonts w:eastAsia="Franklin Gothic Book" w:cstheme="minorHAnsi"/>
          <w:spacing w:val="-1"/>
          <w:sz w:val="24"/>
          <w:szCs w:val="24"/>
        </w:rPr>
        <w:t xml:space="preserve">% for year 2, </w:t>
      </w:r>
      <w:r w:rsidR="00DB1059">
        <w:rPr>
          <w:rFonts w:eastAsia="Franklin Gothic Book" w:cstheme="minorHAnsi"/>
          <w:spacing w:val="-1"/>
          <w:sz w:val="24"/>
          <w:szCs w:val="24"/>
        </w:rPr>
        <w:t>18</w:t>
      </w:r>
      <w:r w:rsidR="003E72E3">
        <w:rPr>
          <w:rFonts w:eastAsia="Franklin Gothic Book" w:cstheme="minorHAnsi"/>
          <w:spacing w:val="-1"/>
          <w:sz w:val="24"/>
          <w:szCs w:val="24"/>
        </w:rPr>
        <w:t>% for year 3,</w:t>
      </w:r>
      <w:r w:rsidR="00385495" w:rsidRPr="00BC6B2E">
        <w:rPr>
          <w:rFonts w:eastAsia="Franklin Gothic Book" w:cstheme="minorHAnsi"/>
          <w:spacing w:val="-1"/>
          <w:sz w:val="24"/>
          <w:szCs w:val="24"/>
        </w:rPr>
        <w:t xml:space="preserve"> </w:t>
      </w:r>
    </w:p>
    <w:p w14:paraId="0F2F3840" w14:textId="5DDD9BCA" w:rsidR="00DD1612" w:rsidRPr="00BC6B2E" w:rsidRDefault="00DD1612" w:rsidP="00DD1612">
      <w:pPr>
        <w:widowControl w:val="0"/>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(Catastrophic prescription</w:t>
      </w:r>
      <w:r w:rsidRPr="00BC6B2E">
        <w:rPr>
          <w:rFonts w:eastAsia="Franklin Gothic Book" w:cstheme="minorHAnsi"/>
          <w:spacing w:val="-1"/>
          <w:sz w:val="24"/>
          <w:szCs w:val="24"/>
        </w:rPr>
        <w:tab/>
      </w:r>
      <w:r w:rsidR="00385495">
        <w:rPr>
          <w:rFonts w:eastAsia="Franklin Gothic Book" w:cstheme="minorHAnsi"/>
          <w:spacing w:val="-1"/>
          <w:sz w:val="24"/>
          <w:szCs w:val="24"/>
        </w:rPr>
        <w:t>decreasing at varying rates per year to</w:t>
      </w:r>
      <w:r w:rsidR="00385495" w:rsidRPr="00BC6B2E">
        <w:rPr>
          <w:rFonts w:eastAsia="Franklin Gothic Book" w:cstheme="minorHAnsi"/>
          <w:spacing w:val="-1"/>
          <w:sz w:val="24"/>
          <w:szCs w:val="24"/>
        </w:rPr>
        <w:t xml:space="preserve"> an ultimate trend </w:t>
      </w:r>
    </w:p>
    <w:p w14:paraId="218DA14E" w14:textId="3DC3B572" w:rsidR="00DD1612" w:rsidRDefault="00DD1612" w:rsidP="00DD1612">
      <w:pPr>
        <w:widowControl w:val="0"/>
        <w:tabs>
          <w:tab w:val="left" w:pos="3510"/>
        </w:tabs>
        <w:ind w:left="3510" w:right="360" w:hanging="2970"/>
        <w:rPr>
          <w:rFonts w:eastAsia="Franklin Gothic Book" w:cstheme="minorHAnsi"/>
          <w:spacing w:val="-1"/>
          <w:sz w:val="24"/>
          <w:szCs w:val="24"/>
        </w:rPr>
      </w:pPr>
      <w:r>
        <w:rPr>
          <w:rFonts w:eastAsia="Franklin Gothic Book" w:cstheme="minorHAnsi"/>
          <w:spacing w:val="-1"/>
          <w:sz w:val="24"/>
          <w:szCs w:val="24"/>
        </w:rPr>
        <w:t>Drug HRA)</w:t>
      </w:r>
      <w:r>
        <w:rPr>
          <w:rFonts w:eastAsia="Franklin Gothic Book" w:cstheme="minorHAnsi"/>
          <w:spacing w:val="-1"/>
          <w:sz w:val="24"/>
          <w:szCs w:val="24"/>
        </w:rPr>
        <w:tab/>
      </w:r>
      <w:r w:rsidR="00385495">
        <w:rPr>
          <w:rFonts w:eastAsia="Franklin Gothic Book" w:cstheme="minorHAnsi"/>
          <w:spacing w:val="-1"/>
          <w:sz w:val="24"/>
          <w:szCs w:val="24"/>
        </w:rPr>
        <w:t xml:space="preserve">rate of </w:t>
      </w:r>
      <w:r w:rsidR="00DB1059">
        <w:rPr>
          <w:rFonts w:eastAsia="Franklin Gothic Book" w:cstheme="minorHAnsi"/>
          <w:spacing w:val="-1"/>
          <w:sz w:val="24"/>
          <w:szCs w:val="24"/>
        </w:rPr>
        <w:t>6</w:t>
      </w:r>
      <w:r w:rsidR="00385495">
        <w:rPr>
          <w:rFonts w:eastAsia="Franklin Gothic Book" w:cstheme="minorHAnsi"/>
          <w:spacing w:val="-1"/>
          <w:sz w:val="24"/>
          <w:szCs w:val="24"/>
        </w:rPr>
        <w:t>%. The ultimate prescription trend rate is reached in 2042</w:t>
      </w:r>
      <w:r w:rsidR="00C02E89">
        <w:rPr>
          <w:rFonts w:eastAsia="Franklin Gothic Book" w:cstheme="minorHAnsi"/>
          <w:spacing w:val="-1"/>
          <w:sz w:val="24"/>
          <w:szCs w:val="24"/>
        </w:rPr>
        <w:t>.</w:t>
      </w:r>
    </w:p>
    <w:p w14:paraId="181499ED" w14:textId="465FB30A" w:rsidR="00EE150B" w:rsidRPr="00BC1813" w:rsidRDefault="00EE150B" w:rsidP="00DD1612">
      <w:pPr>
        <w:widowControl w:val="0"/>
        <w:tabs>
          <w:tab w:val="left" w:pos="3510"/>
        </w:tabs>
        <w:ind w:left="3510" w:right="360" w:hanging="2970"/>
        <w:rPr>
          <w:rFonts w:eastAsia="Franklin Gothic Book" w:cstheme="minorHAnsi"/>
          <w:sz w:val="24"/>
          <w:szCs w:val="24"/>
        </w:rPr>
      </w:pPr>
      <w:r>
        <w:rPr>
          <w:rFonts w:eastAsia="Franklin Gothic Book" w:cstheme="minorHAnsi"/>
          <w:sz w:val="24"/>
          <w:szCs w:val="24"/>
        </w:rPr>
        <w:tab/>
      </w:r>
      <w:r w:rsidR="00F05B77">
        <w:rPr>
          <w:rFonts w:eastAsia="Franklin Gothic Book" w:cstheme="minorHAnsi"/>
          <w:sz w:val="24"/>
          <w:szCs w:val="24"/>
        </w:rPr>
        <w:t xml:space="preserve">2021 to </w:t>
      </w:r>
      <w:r w:rsidR="00E26BED">
        <w:rPr>
          <w:rFonts w:eastAsia="Franklin Gothic Book" w:cstheme="minorHAnsi"/>
          <w:sz w:val="24"/>
          <w:szCs w:val="24"/>
        </w:rPr>
        <w:t xml:space="preserve">2022: </w:t>
      </w:r>
      <w:r w:rsidRPr="00CC58AD">
        <w:rPr>
          <w:rFonts w:eastAsia="Franklin Gothic Book" w:cstheme="minorHAnsi"/>
          <w:spacing w:val="-1"/>
          <w:sz w:val="24"/>
          <w:szCs w:val="24"/>
        </w:rPr>
        <w:t>6.5% for 202</w:t>
      </w:r>
      <w:r w:rsidR="00E26BED">
        <w:rPr>
          <w:rFonts w:eastAsia="Franklin Gothic Book" w:cstheme="minorHAnsi"/>
          <w:spacing w:val="-1"/>
          <w:sz w:val="24"/>
          <w:szCs w:val="24"/>
        </w:rPr>
        <w:t>2</w:t>
      </w:r>
      <w:r w:rsidRPr="00CC58AD">
        <w:rPr>
          <w:rFonts w:eastAsia="Franklin Gothic Book" w:cstheme="minorHAnsi"/>
          <w:spacing w:val="-1"/>
          <w:sz w:val="24"/>
          <w:szCs w:val="24"/>
        </w:rPr>
        <w:t>, decreasing .25% per year to an ultimate trend rate of 5 percent.</w:t>
      </w:r>
    </w:p>
    <w:p w14:paraId="5171EDB3" w14:textId="77CF0F68" w:rsidR="00DD1612" w:rsidRPr="00BC6B2E" w:rsidRDefault="00DD1612" w:rsidP="00DD1612">
      <w:pPr>
        <w:widowControl w:val="0"/>
        <w:pBdr>
          <w:bottom w:val="single" w:sz="4" w:space="1" w:color="00688D"/>
        </w:pBdr>
        <w:tabs>
          <w:tab w:val="left" w:pos="3510"/>
        </w:tabs>
        <w:ind w:left="3510" w:right="360" w:hanging="2970"/>
        <w:rPr>
          <w:rFonts w:eastAsia="Franklin Gothic Book" w:cstheme="minorHAnsi"/>
          <w:spacing w:val="-1"/>
          <w:sz w:val="24"/>
          <w:szCs w:val="24"/>
        </w:rPr>
      </w:pPr>
      <w:r w:rsidRPr="00BC1813">
        <w:rPr>
          <w:rFonts w:eastAsia="Franklin Gothic Book" w:cstheme="minorHAnsi"/>
          <w:sz w:val="24"/>
          <w:szCs w:val="24"/>
        </w:rPr>
        <w:t>Life expectancy</w:t>
      </w:r>
      <w:r>
        <w:rPr>
          <w:rFonts w:eastAsia="Franklin Gothic Book" w:cstheme="minorHAnsi"/>
          <w:sz w:val="24"/>
          <w:szCs w:val="24"/>
        </w:rPr>
        <w:tab/>
      </w:r>
      <w:r w:rsidRPr="00BC6B2E">
        <w:rPr>
          <w:rFonts w:eastAsia="Franklin Gothic Book" w:cstheme="minorHAnsi"/>
          <w:sz w:val="24"/>
          <w:szCs w:val="24"/>
        </w:rPr>
        <w:t xml:space="preserve">Pre-retirement and post-retirement mortality rates were based on the </w:t>
      </w:r>
      <w:r w:rsidRPr="00BC6B2E">
        <w:rPr>
          <w:rFonts w:eastAsia="Franklin Gothic Book" w:cstheme="minorHAnsi"/>
          <w:spacing w:val="-1"/>
          <w:sz w:val="24"/>
          <w:szCs w:val="24"/>
        </w:rPr>
        <w:t>Pub-2010 headcount-weighted Mortality Table projected with fully generational mortality improvement using Scale MP-</w:t>
      </w:r>
      <w:r w:rsidR="00385495" w:rsidRPr="00BC6B2E">
        <w:rPr>
          <w:rFonts w:eastAsia="Franklin Gothic Book" w:cstheme="minorHAnsi"/>
          <w:spacing w:val="-1"/>
          <w:sz w:val="24"/>
          <w:szCs w:val="24"/>
        </w:rPr>
        <w:t>202</w:t>
      </w:r>
      <w:r w:rsidR="00385495">
        <w:rPr>
          <w:rFonts w:eastAsia="Franklin Gothic Book" w:cstheme="minorHAnsi"/>
          <w:spacing w:val="-1"/>
          <w:sz w:val="24"/>
          <w:szCs w:val="24"/>
        </w:rPr>
        <w:t>1</w:t>
      </w:r>
      <w:r w:rsidR="00EE150B">
        <w:rPr>
          <w:rFonts w:eastAsia="Franklin Gothic Book" w:cstheme="minorHAnsi"/>
          <w:spacing w:val="-1"/>
          <w:sz w:val="24"/>
          <w:szCs w:val="24"/>
        </w:rPr>
        <w:t xml:space="preserve"> for 2023 and Scale MP-2020 for 2021</w:t>
      </w:r>
      <w:r w:rsidRPr="00BC6B2E">
        <w:rPr>
          <w:rFonts w:eastAsia="Franklin Gothic Book" w:cstheme="minorHAnsi"/>
          <w:spacing w:val="-1"/>
          <w:sz w:val="24"/>
          <w:szCs w:val="24"/>
        </w:rPr>
        <w:t>.</w:t>
      </w:r>
    </w:p>
    <w:p w14:paraId="1AB8C6FE" w14:textId="11384989" w:rsidR="00DD1612" w:rsidRPr="00BC6B2E" w:rsidRDefault="00DD1612" w:rsidP="00DD1612">
      <w:pPr>
        <w:widowControl w:val="0"/>
        <w:pBdr>
          <w:bottom w:val="single" w:sz="4" w:space="1" w:color="00688D"/>
        </w:pBdr>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ab/>
        <w:t>For disabled lives, the mortality rates were based on the Pub-2010 headcount-weighted Disabled Mortality Table projected with fully generational mortality improvement using Scale MP-</w:t>
      </w:r>
      <w:r w:rsidR="00385495" w:rsidRPr="00BC6B2E">
        <w:rPr>
          <w:rFonts w:eastAsia="Franklin Gothic Book" w:cstheme="minorHAnsi"/>
          <w:spacing w:val="-1"/>
          <w:sz w:val="24"/>
          <w:szCs w:val="24"/>
        </w:rPr>
        <w:t>202</w:t>
      </w:r>
      <w:r w:rsidR="00385495">
        <w:rPr>
          <w:rFonts w:eastAsia="Franklin Gothic Book" w:cstheme="minorHAnsi"/>
          <w:spacing w:val="-1"/>
          <w:sz w:val="24"/>
          <w:szCs w:val="24"/>
        </w:rPr>
        <w:t>1</w:t>
      </w:r>
      <w:r w:rsidR="00EE150B">
        <w:rPr>
          <w:rFonts w:eastAsia="Franklin Gothic Book" w:cstheme="minorHAnsi"/>
          <w:spacing w:val="-1"/>
          <w:sz w:val="24"/>
          <w:szCs w:val="24"/>
        </w:rPr>
        <w:t xml:space="preserve"> for 2023 and Scale MP-2020 for 2021</w:t>
      </w:r>
      <w:r w:rsidRPr="00BC6B2E">
        <w:rPr>
          <w:rFonts w:eastAsia="Franklin Gothic Book" w:cstheme="minorHAnsi"/>
          <w:spacing w:val="-1"/>
          <w:sz w:val="24"/>
          <w:szCs w:val="24"/>
        </w:rPr>
        <w:t>.</w:t>
      </w:r>
    </w:p>
    <w:p w14:paraId="536338B7" w14:textId="77777777" w:rsidR="00445E32" w:rsidRDefault="00445E32" w:rsidP="00445E32">
      <w:pPr>
        <w:spacing w:before="240" w:after="120" w:line="259" w:lineRule="auto"/>
        <w:rPr>
          <w:rFonts w:cstheme="minorHAnsi"/>
          <w:b/>
          <w:i/>
          <w:sz w:val="26"/>
        </w:rPr>
      </w:pPr>
    </w:p>
    <w:p w14:paraId="731BB5C4" w14:textId="2C9AE6C5" w:rsidR="00445E32" w:rsidRPr="0046346C" w:rsidRDefault="00445E32" w:rsidP="0046346C">
      <w:pPr>
        <w:spacing w:before="240" w:after="120" w:line="259" w:lineRule="auto"/>
        <w:rPr>
          <w:rFonts w:cstheme="minorHAnsi"/>
          <w:b/>
          <w:i/>
          <w:sz w:val="26"/>
        </w:rPr>
      </w:pPr>
      <w:r w:rsidRPr="009A7150">
        <w:rPr>
          <w:rFonts w:cstheme="minorHAnsi"/>
          <w:b/>
          <w:i/>
          <w:sz w:val="26"/>
        </w:rPr>
        <w:lastRenderedPageBreak/>
        <w:t>14. POSTEMP</w:t>
      </w:r>
      <w:r>
        <w:rPr>
          <w:rFonts w:cstheme="minorHAnsi"/>
          <w:b/>
          <w:i/>
          <w:sz w:val="26"/>
        </w:rPr>
        <w:t>LOYMENT HEALTH PLAN - CONTINUED</w:t>
      </w:r>
    </w:p>
    <w:p w14:paraId="3DB6C561" w14:textId="70BDFDD8" w:rsidR="00DD1612" w:rsidRPr="00F54559" w:rsidRDefault="00DD1612" w:rsidP="00DD1612">
      <w:pPr>
        <w:spacing w:before="160" w:after="160" w:line="259" w:lineRule="auto"/>
        <w:rPr>
          <w:rFonts w:eastAsia="Times New Roman" w:cstheme="minorHAnsi"/>
          <w:b/>
          <w:i/>
          <w:spacing w:val="-1"/>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OPEB</w:t>
      </w:r>
      <w:r w:rsidRPr="00F54559">
        <w:rPr>
          <w:rFonts w:eastAsia="Franklin Gothic Book" w:cstheme="minorHAnsi"/>
          <w:spacing w:val="9"/>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Pr>
          <w:rFonts w:eastAsia="Franklin Gothic Book" w:cstheme="minorHAnsi"/>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OPEB Pl</w:t>
      </w:r>
      <w:r w:rsidRPr="00F54559">
        <w:rPr>
          <w:rFonts w:eastAsia="Franklin Gothic Book" w:cstheme="minorHAnsi"/>
          <w:sz w:val="24"/>
        </w:rPr>
        <w:t>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6"/>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p w14:paraId="26F6C97A" w14:textId="3EB81D11" w:rsidR="00DD1612" w:rsidRPr="00F54559" w:rsidRDefault="00DD1612" w:rsidP="00DD1612">
      <w:pPr>
        <w:widowControl w:val="0"/>
        <w:spacing w:after="240"/>
        <w:ind w:right="-7"/>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OPEB</w:t>
      </w:r>
      <w:r w:rsidRPr="00F54559">
        <w:rPr>
          <w:rFonts w:eastAsia="Franklin Gothic Book" w:cstheme="minorHAnsi"/>
          <w:spacing w:val="42"/>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00F9593C">
        <w:rPr>
          <w:rFonts w:eastAsia="Franklin Gothic Book" w:cstheme="minorHAnsi"/>
          <w:spacing w:val="-1"/>
          <w:sz w:val="24"/>
        </w:rPr>
        <w:t>.</w:t>
      </w:r>
      <w:r>
        <w:rPr>
          <w:rFonts w:eastAsia="Franklin Gothic Book" w:cstheme="minorHAnsi"/>
          <w:sz w:val="24"/>
        </w:rPr>
        <w:fldChar w:fldCharType="begin"/>
      </w:r>
      <w:r>
        <w:rPr>
          <w:rFonts w:eastAsia="Franklin Gothic Book" w:cstheme="minorHAnsi"/>
          <w:sz w:val="24"/>
        </w:rPr>
        <w:fldChar w:fldCharType="end"/>
      </w:r>
    </w:p>
    <w:tbl>
      <w:tblPr>
        <w:tblW w:w="9540" w:type="dxa"/>
        <w:jc w:val="center"/>
        <w:tblLook w:val="04A0" w:firstRow="1" w:lastRow="0" w:firstColumn="1" w:lastColumn="0" w:noHBand="0" w:noVBand="1"/>
      </w:tblPr>
      <w:tblGrid>
        <w:gridCol w:w="3707"/>
        <w:gridCol w:w="1304"/>
        <w:gridCol w:w="1592"/>
        <w:gridCol w:w="1310"/>
        <w:gridCol w:w="1627"/>
      </w:tblGrid>
      <w:tr w:rsidR="00DD1612" w:rsidRPr="00F65869" w14:paraId="301623BA" w14:textId="77777777" w:rsidTr="00BE0520">
        <w:trPr>
          <w:trHeight w:val="116"/>
          <w:tblHeader/>
          <w:jc w:val="center"/>
        </w:trPr>
        <w:tc>
          <w:tcPr>
            <w:tcW w:w="3707" w:type="dxa"/>
            <w:tcBorders>
              <w:top w:val="nil"/>
              <w:left w:val="nil"/>
              <w:bottom w:val="nil"/>
              <w:right w:val="nil"/>
            </w:tcBorders>
            <w:shd w:val="clear" w:color="auto" w:fill="auto"/>
            <w:noWrap/>
            <w:vAlign w:val="bottom"/>
            <w:hideMark/>
          </w:tcPr>
          <w:p w14:paraId="649C171F" w14:textId="77777777" w:rsidR="00DD1612" w:rsidRPr="00F65869" w:rsidRDefault="00DD1612" w:rsidP="00BD375F">
            <w:pPr>
              <w:rPr>
                <w:rFonts w:ascii="Times New Roman" w:eastAsia="Times New Roman" w:hAnsi="Times New Roman" w:cs="Times New Roman"/>
                <w:sz w:val="24"/>
                <w:szCs w:val="24"/>
              </w:rPr>
            </w:pPr>
          </w:p>
        </w:tc>
        <w:tc>
          <w:tcPr>
            <w:tcW w:w="1304" w:type="dxa"/>
            <w:tcBorders>
              <w:top w:val="nil"/>
              <w:left w:val="nil"/>
              <w:bottom w:val="single" w:sz="12" w:space="0" w:color="44546A"/>
              <w:right w:val="nil"/>
            </w:tcBorders>
            <w:shd w:val="clear" w:color="000000" w:fill="FFFFFF"/>
            <w:vAlign w:val="bottom"/>
            <w:hideMark/>
          </w:tcPr>
          <w:p w14:paraId="532FFD3E" w14:textId="77777777" w:rsidR="00DD1612" w:rsidRPr="00F65869" w:rsidRDefault="00DD1612" w:rsidP="00BD375F">
            <w:pPr>
              <w:jc w:val="center"/>
              <w:rPr>
                <w:rFonts w:ascii="Calibri" w:eastAsia="Times New Roman" w:hAnsi="Calibri" w:cs="Calibri"/>
                <w:b/>
                <w:bCs/>
                <w:color w:val="0D0D0D"/>
              </w:rPr>
            </w:pPr>
          </w:p>
        </w:tc>
        <w:tc>
          <w:tcPr>
            <w:tcW w:w="1592" w:type="dxa"/>
            <w:tcBorders>
              <w:top w:val="nil"/>
              <w:left w:val="nil"/>
              <w:bottom w:val="single" w:sz="12" w:space="0" w:color="44546A"/>
              <w:right w:val="nil"/>
            </w:tcBorders>
            <w:shd w:val="clear" w:color="000000" w:fill="FFFFFF"/>
            <w:vAlign w:val="bottom"/>
          </w:tcPr>
          <w:p w14:paraId="73130C76" w14:textId="087E3334" w:rsidR="00DD1612" w:rsidRPr="00F65869" w:rsidRDefault="00723CBE" w:rsidP="003977A2">
            <w:pP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3</w:t>
            </w:r>
          </w:p>
        </w:tc>
        <w:tc>
          <w:tcPr>
            <w:tcW w:w="1310" w:type="dxa"/>
            <w:tcBorders>
              <w:top w:val="nil"/>
              <w:left w:val="nil"/>
              <w:bottom w:val="single" w:sz="12" w:space="0" w:color="44546A"/>
              <w:right w:val="nil"/>
            </w:tcBorders>
            <w:shd w:val="clear" w:color="auto" w:fill="F2F2F2" w:themeFill="background1" w:themeFillShade="F2"/>
            <w:vAlign w:val="bottom"/>
            <w:hideMark/>
          </w:tcPr>
          <w:p w14:paraId="3CD1FC02" w14:textId="77777777" w:rsidR="00DD1612" w:rsidRPr="00F65869" w:rsidRDefault="00DD1612" w:rsidP="00BD375F">
            <w:pPr>
              <w:jc w:val="center"/>
              <w:rPr>
                <w:rFonts w:ascii="Calibri" w:eastAsia="Times New Roman" w:hAnsi="Calibri" w:cs="Calibri"/>
                <w:b/>
                <w:bCs/>
                <w:color w:val="0D0D0D"/>
              </w:rPr>
            </w:pPr>
          </w:p>
        </w:tc>
        <w:tc>
          <w:tcPr>
            <w:tcW w:w="1627" w:type="dxa"/>
            <w:tcBorders>
              <w:top w:val="nil"/>
              <w:left w:val="nil"/>
              <w:bottom w:val="single" w:sz="12" w:space="0" w:color="44546A"/>
              <w:right w:val="nil"/>
            </w:tcBorders>
            <w:shd w:val="clear" w:color="auto" w:fill="F2F2F2" w:themeFill="background1" w:themeFillShade="F2"/>
            <w:vAlign w:val="bottom"/>
          </w:tcPr>
          <w:p w14:paraId="5EBDBD5B" w14:textId="547133E0" w:rsidR="00DD1612" w:rsidRPr="00F65869" w:rsidRDefault="00723CBE" w:rsidP="003977A2">
            <w:pP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22</w:t>
            </w:r>
          </w:p>
        </w:tc>
      </w:tr>
      <w:tr w:rsidR="00DD1612" w:rsidRPr="00F65869" w14:paraId="63EBD73A" w14:textId="77777777" w:rsidTr="00BE0520">
        <w:trPr>
          <w:trHeight w:val="888"/>
          <w:tblHeader/>
          <w:jc w:val="center"/>
        </w:trPr>
        <w:tc>
          <w:tcPr>
            <w:tcW w:w="3707" w:type="dxa"/>
            <w:tcBorders>
              <w:top w:val="nil"/>
              <w:left w:val="nil"/>
              <w:bottom w:val="single" w:sz="12" w:space="0" w:color="44546A"/>
              <w:right w:val="nil"/>
            </w:tcBorders>
            <w:shd w:val="clear" w:color="000000" w:fill="FFFFFF"/>
            <w:noWrap/>
            <w:vAlign w:val="bottom"/>
            <w:hideMark/>
          </w:tcPr>
          <w:p w14:paraId="5C655DFA" w14:textId="77777777" w:rsidR="00DD1612" w:rsidRPr="00F65869" w:rsidRDefault="00DD1612" w:rsidP="00BD375F">
            <w:pPr>
              <w:rPr>
                <w:rFonts w:ascii="Calibri" w:eastAsia="Times New Roman" w:hAnsi="Calibri" w:cs="Calibri"/>
                <w:b/>
                <w:bCs/>
                <w:color w:val="0D0D0D"/>
              </w:rPr>
            </w:pPr>
            <w:r w:rsidRPr="00F65869">
              <w:rPr>
                <w:rFonts w:ascii="Calibri" w:eastAsia="Times New Roman" w:hAnsi="Calibri" w:cs="Calibri"/>
                <w:b/>
                <w:bCs/>
                <w:color w:val="0D0D0D"/>
              </w:rPr>
              <w:t>Asset Class</w:t>
            </w:r>
          </w:p>
        </w:tc>
        <w:tc>
          <w:tcPr>
            <w:tcW w:w="1304" w:type="dxa"/>
            <w:tcBorders>
              <w:top w:val="nil"/>
              <w:left w:val="nil"/>
              <w:bottom w:val="single" w:sz="12" w:space="0" w:color="44546A"/>
              <w:right w:val="nil"/>
            </w:tcBorders>
            <w:shd w:val="clear" w:color="000000" w:fill="FFFFFF"/>
            <w:vAlign w:val="bottom"/>
            <w:hideMark/>
          </w:tcPr>
          <w:p w14:paraId="37D31DA2" w14:textId="77777777"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592" w:type="dxa"/>
            <w:tcBorders>
              <w:top w:val="nil"/>
              <w:left w:val="nil"/>
              <w:bottom w:val="single" w:sz="12" w:space="0" w:color="44546A"/>
              <w:right w:val="nil"/>
            </w:tcBorders>
            <w:shd w:val="clear" w:color="000000" w:fill="FFFFFF"/>
            <w:vAlign w:val="bottom"/>
            <w:hideMark/>
          </w:tcPr>
          <w:p w14:paraId="39249336" w14:textId="77777777"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c>
          <w:tcPr>
            <w:tcW w:w="1310" w:type="dxa"/>
            <w:tcBorders>
              <w:top w:val="nil"/>
              <w:left w:val="nil"/>
              <w:bottom w:val="single" w:sz="12" w:space="0" w:color="44546A"/>
              <w:right w:val="nil"/>
            </w:tcBorders>
            <w:shd w:val="clear" w:color="auto" w:fill="F2F2F2" w:themeFill="background1" w:themeFillShade="F2"/>
            <w:vAlign w:val="bottom"/>
            <w:hideMark/>
          </w:tcPr>
          <w:p w14:paraId="4B3063C5" w14:textId="77777777"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627" w:type="dxa"/>
            <w:tcBorders>
              <w:top w:val="nil"/>
              <w:left w:val="nil"/>
              <w:bottom w:val="single" w:sz="12" w:space="0" w:color="44546A"/>
              <w:right w:val="nil"/>
            </w:tcBorders>
            <w:shd w:val="clear" w:color="auto" w:fill="F2F2F2" w:themeFill="background1" w:themeFillShade="F2"/>
            <w:vAlign w:val="bottom"/>
            <w:hideMark/>
          </w:tcPr>
          <w:p w14:paraId="1A705EA6" w14:textId="77777777"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r>
      <w:tr w:rsidR="00897D6F" w:rsidRPr="00F65869" w14:paraId="4C8DC07B" w14:textId="77777777" w:rsidTr="00BE0520">
        <w:trPr>
          <w:trHeight w:val="480"/>
          <w:jc w:val="center"/>
        </w:trPr>
        <w:tc>
          <w:tcPr>
            <w:tcW w:w="3707" w:type="dxa"/>
            <w:tcBorders>
              <w:top w:val="nil"/>
              <w:left w:val="nil"/>
              <w:bottom w:val="nil"/>
              <w:right w:val="nil"/>
            </w:tcBorders>
            <w:shd w:val="clear" w:color="000000" w:fill="FFFFFF"/>
            <w:noWrap/>
            <w:vAlign w:val="bottom"/>
            <w:hideMark/>
          </w:tcPr>
          <w:p w14:paraId="69ACAC80"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Large Cap Equities</w:t>
            </w:r>
          </w:p>
        </w:tc>
        <w:tc>
          <w:tcPr>
            <w:tcW w:w="1304" w:type="dxa"/>
            <w:tcBorders>
              <w:top w:val="nil"/>
              <w:left w:val="nil"/>
              <w:bottom w:val="nil"/>
              <w:right w:val="nil"/>
            </w:tcBorders>
            <w:shd w:val="clear" w:color="000000" w:fill="FFFFFF"/>
            <w:noWrap/>
            <w:vAlign w:val="bottom"/>
            <w:hideMark/>
          </w:tcPr>
          <w:p w14:paraId="2062A1F0" w14:textId="44CE74FB"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25.0%</w:t>
            </w:r>
          </w:p>
        </w:tc>
        <w:tc>
          <w:tcPr>
            <w:tcW w:w="1592" w:type="dxa"/>
            <w:tcBorders>
              <w:top w:val="nil"/>
              <w:left w:val="nil"/>
              <w:bottom w:val="nil"/>
              <w:right w:val="nil"/>
            </w:tcBorders>
            <w:shd w:val="clear" w:color="000000" w:fill="FFFFFF"/>
            <w:noWrap/>
            <w:vAlign w:val="bottom"/>
            <w:hideMark/>
          </w:tcPr>
          <w:p w14:paraId="02EB3C33" w14:textId="22642E06"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4.00%</w:t>
            </w:r>
          </w:p>
        </w:tc>
        <w:tc>
          <w:tcPr>
            <w:tcW w:w="1310" w:type="dxa"/>
            <w:tcBorders>
              <w:top w:val="nil"/>
              <w:left w:val="nil"/>
              <w:bottom w:val="nil"/>
              <w:right w:val="nil"/>
            </w:tcBorders>
            <w:shd w:val="clear" w:color="auto" w:fill="F2F2F2" w:themeFill="background1" w:themeFillShade="F2"/>
            <w:noWrap/>
            <w:vAlign w:val="bottom"/>
          </w:tcPr>
          <w:p w14:paraId="157112FF" w14:textId="0942209F" w:rsidR="00897D6F" w:rsidRPr="004A41D4" w:rsidRDefault="00897D6F" w:rsidP="00897D6F">
            <w:pPr>
              <w:jc w:val="center"/>
              <w:rPr>
                <w:rFonts w:ascii="Calibri" w:eastAsia="Times New Roman" w:hAnsi="Calibri" w:cs="Calibri"/>
              </w:rPr>
            </w:pPr>
            <w:r w:rsidRPr="005554D7">
              <w:rPr>
                <w:rFonts w:ascii="Calibri" w:hAnsi="Calibri" w:cs="Calibri"/>
              </w:rPr>
              <w:t>22.0%</w:t>
            </w:r>
          </w:p>
        </w:tc>
        <w:tc>
          <w:tcPr>
            <w:tcW w:w="1627" w:type="dxa"/>
            <w:tcBorders>
              <w:top w:val="nil"/>
              <w:left w:val="nil"/>
              <w:bottom w:val="nil"/>
              <w:right w:val="nil"/>
            </w:tcBorders>
            <w:shd w:val="clear" w:color="auto" w:fill="F2F2F2" w:themeFill="background1" w:themeFillShade="F2"/>
            <w:noWrap/>
            <w:vAlign w:val="bottom"/>
          </w:tcPr>
          <w:p w14:paraId="2DF28965" w14:textId="3C3AE5E0" w:rsidR="00897D6F" w:rsidRPr="004A41D4" w:rsidRDefault="00897D6F" w:rsidP="00897D6F">
            <w:pPr>
              <w:jc w:val="center"/>
              <w:rPr>
                <w:rFonts w:ascii="Calibri" w:eastAsia="Times New Roman" w:hAnsi="Calibri" w:cs="Calibri"/>
              </w:rPr>
            </w:pPr>
            <w:r>
              <w:rPr>
                <w:rFonts w:ascii="Calibri" w:hAnsi="Calibri" w:cs="Calibri"/>
              </w:rPr>
              <w:t>4.40%</w:t>
            </w:r>
          </w:p>
        </w:tc>
      </w:tr>
      <w:tr w:rsidR="00897D6F" w:rsidRPr="00F65869" w14:paraId="06BB3C92"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751E11E3"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Domestic Small/Mid Cap</w:t>
            </w:r>
          </w:p>
        </w:tc>
        <w:tc>
          <w:tcPr>
            <w:tcW w:w="1304" w:type="dxa"/>
            <w:tcBorders>
              <w:top w:val="nil"/>
              <w:left w:val="nil"/>
              <w:bottom w:val="nil"/>
              <w:right w:val="nil"/>
            </w:tcBorders>
            <w:shd w:val="clear" w:color="000000" w:fill="FFFFFF"/>
            <w:noWrap/>
            <w:vAlign w:val="bottom"/>
            <w:hideMark/>
          </w:tcPr>
          <w:p w14:paraId="1DA11E30" w14:textId="61673DA6"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hideMark/>
          </w:tcPr>
          <w:p w14:paraId="490FE07E" w14:textId="41200E4F"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4.80%</w:t>
            </w:r>
          </w:p>
        </w:tc>
        <w:tc>
          <w:tcPr>
            <w:tcW w:w="1310" w:type="dxa"/>
            <w:tcBorders>
              <w:top w:val="nil"/>
              <w:left w:val="nil"/>
              <w:bottom w:val="nil"/>
              <w:right w:val="nil"/>
            </w:tcBorders>
            <w:shd w:val="clear" w:color="auto" w:fill="F2F2F2" w:themeFill="background1" w:themeFillShade="F2"/>
            <w:noWrap/>
            <w:vAlign w:val="bottom"/>
            <w:hideMark/>
          </w:tcPr>
          <w:p w14:paraId="01241F70" w14:textId="050B166B" w:rsidR="00897D6F" w:rsidRPr="004A41D4" w:rsidRDefault="00897D6F" w:rsidP="00897D6F">
            <w:pPr>
              <w:jc w:val="center"/>
              <w:rPr>
                <w:rFonts w:ascii="Calibri" w:eastAsia="Times New Roman" w:hAnsi="Calibri" w:cs="Calibri"/>
              </w:rPr>
            </w:pPr>
            <w:r w:rsidRPr="005554D7">
              <w:rPr>
                <w:rFonts w:ascii="Calibri" w:hAnsi="Calibri" w:cs="Calibri"/>
              </w:rPr>
              <w:t>6.0%</w:t>
            </w:r>
          </w:p>
        </w:tc>
        <w:tc>
          <w:tcPr>
            <w:tcW w:w="1627" w:type="dxa"/>
            <w:tcBorders>
              <w:top w:val="nil"/>
              <w:left w:val="nil"/>
              <w:bottom w:val="nil"/>
              <w:right w:val="nil"/>
            </w:tcBorders>
            <w:shd w:val="clear" w:color="auto" w:fill="F2F2F2" w:themeFill="background1" w:themeFillShade="F2"/>
            <w:noWrap/>
            <w:vAlign w:val="bottom"/>
            <w:hideMark/>
          </w:tcPr>
          <w:p w14:paraId="61D6C11C" w14:textId="698FD391" w:rsidR="00897D6F" w:rsidRPr="004A41D4" w:rsidRDefault="00897D6F" w:rsidP="00897D6F">
            <w:pPr>
              <w:jc w:val="center"/>
              <w:rPr>
                <w:rFonts w:ascii="Calibri" w:eastAsia="Times New Roman" w:hAnsi="Calibri" w:cs="Calibri"/>
              </w:rPr>
            </w:pPr>
            <w:r>
              <w:rPr>
                <w:rFonts w:ascii="Calibri" w:hAnsi="Calibri" w:cs="Calibri"/>
              </w:rPr>
              <w:t>5.00%</w:t>
            </w:r>
          </w:p>
        </w:tc>
      </w:tr>
      <w:tr w:rsidR="00897D6F" w:rsidRPr="00F65869" w14:paraId="59415E89"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580F7378"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International Equities</w:t>
            </w:r>
          </w:p>
        </w:tc>
        <w:tc>
          <w:tcPr>
            <w:tcW w:w="1304" w:type="dxa"/>
            <w:tcBorders>
              <w:top w:val="nil"/>
              <w:left w:val="nil"/>
              <w:bottom w:val="nil"/>
              <w:right w:val="nil"/>
            </w:tcBorders>
            <w:shd w:val="clear" w:color="000000" w:fill="FFFFFF"/>
            <w:noWrap/>
            <w:vAlign w:val="bottom"/>
            <w:hideMark/>
          </w:tcPr>
          <w:p w14:paraId="63CDB8E7" w14:textId="65C4E815"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10.0%</w:t>
            </w:r>
          </w:p>
        </w:tc>
        <w:tc>
          <w:tcPr>
            <w:tcW w:w="1592" w:type="dxa"/>
            <w:tcBorders>
              <w:top w:val="nil"/>
              <w:left w:val="nil"/>
              <w:bottom w:val="nil"/>
              <w:right w:val="nil"/>
            </w:tcBorders>
            <w:shd w:val="clear" w:color="000000" w:fill="FFFFFF"/>
            <w:noWrap/>
            <w:vAlign w:val="bottom"/>
            <w:hideMark/>
          </w:tcPr>
          <w:p w14:paraId="663B6EDA" w14:textId="4001884F"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3.80%</w:t>
            </w:r>
          </w:p>
        </w:tc>
        <w:tc>
          <w:tcPr>
            <w:tcW w:w="1310" w:type="dxa"/>
            <w:tcBorders>
              <w:top w:val="nil"/>
              <w:left w:val="nil"/>
              <w:bottom w:val="nil"/>
              <w:right w:val="nil"/>
            </w:tcBorders>
            <w:shd w:val="clear" w:color="auto" w:fill="F2F2F2" w:themeFill="background1" w:themeFillShade="F2"/>
            <w:noWrap/>
            <w:vAlign w:val="bottom"/>
            <w:hideMark/>
          </w:tcPr>
          <w:p w14:paraId="1118817B" w14:textId="018F0DA7" w:rsidR="00897D6F" w:rsidRPr="004A41D4" w:rsidRDefault="00897D6F" w:rsidP="00897D6F">
            <w:pPr>
              <w:jc w:val="center"/>
              <w:rPr>
                <w:rFonts w:ascii="Calibri" w:eastAsia="Times New Roman" w:hAnsi="Calibri" w:cs="Calibri"/>
              </w:rPr>
            </w:pPr>
            <w:r w:rsidRPr="005554D7">
              <w:rPr>
                <w:rFonts w:ascii="Calibri" w:hAnsi="Calibri" w:cs="Calibri"/>
              </w:rPr>
              <w:t>10.0%</w:t>
            </w:r>
          </w:p>
        </w:tc>
        <w:tc>
          <w:tcPr>
            <w:tcW w:w="1627" w:type="dxa"/>
            <w:tcBorders>
              <w:top w:val="nil"/>
              <w:left w:val="nil"/>
              <w:bottom w:val="nil"/>
              <w:right w:val="nil"/>
            </w:tcBorders>
            <w:shd w:val="clear" w:color="auto" w:fill="F2F2F2" w:themeFill="background1" w:themeFillShade="F2"/>
            <w:noWrap/>
            <w:vAlign w:val="bottom"/>
            <w:hideMark/>
          </w:tcPr>
          <w:p w14:paraId="742C0ED1" w14:textId="3F12516A" w:rsidR="00897D6F" w:rsidRPr="004A41D4" w:rsidRDefault="00897D6F" w:rsidP="00897D6F">
            <w:pPr>
              <w:jc w:val="center"/>
              <w:rPr>
                <w:rFonts w:ascii="Calibri" w:eastAsia="Times New Roman" w:hAnsi="Calibri" w:cs="Calibri"/>
              </w:rPr>
            </w:pPr>
            <w:r>
              <w:rPr>
                <w:rFonts w:ascii="Calibri" w:hAnsi="Calibri" w:cs="Calibri"/>
              </w:rPr>
              <w:t>4.50%</w:t>
            </w:r>
          </w:p>
        </w:tc>
      </w:tr>
      <w:tr w:rsidR="00897D6F" w:rsidRPr="00F65869" w14:paraId="2AFC329B"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3BD49C4A"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International Small Cap Equities</w:t>
            </w:r>
          </w:p>
        </w:tc>
        <w:tc>
          <w:tcPr>
            <w:tcW w:w="1304" w:type="dxa"/>
            <w:tcBorders>
              <w:top w:val="nil"/>
              <w:left w:val="nil"/>
              <w:bottom w:val="nil"/>
              <w:right w:val="nil"/>
            </w:tcBorders>
            <w:shd w:val="clear" w:color="000000" w:fill="FFFFFF"/>
            <w:noWrap/>
            <w:vAlign w:val="bottom"/>
            <w:hideMark/>
          </w:tcPr>
          <w:p w14:paraId="667C99A6" w14:textId="022CCCC2"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2.0%</w:t>
            </w:r>
          </w:p>
        </w:tc>
        <w:tc>
          <w:tcPr>
            <w:tcW w:w="1592" w:type="dxa"/>
            <w:tcBorders>
              <w:top w:val="nil"/>
              <w:left w:val="nil"/>
              <w:bottom w:val="nil"/>
              <w:right w:val="nil"/>
            </w:tcBorders>
            <w:shd w:val="clear" w:color="000000" w:fill="FFFFFF"/>
            <w:noWrap/>
            <w:vAlign w:val="bottom"/>
            <w:hideMark/>
          </w:tcPr>
          <w:p w14:paraId="551F5C2E" w14:textId="11B6EC30"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5.10%</w:t>
            </w:r>
          </w:p>
        </w:tc>
        <w:tc>
          <w:tcPr>
            <w:tcW w:w="1310" w:type="dxa"/>
            <w:tcBorders>
              <w:top w:val="nil"/>
              <w:left w:val="nil"/>
              <w:bottom w:val="nil"/>
              <w:right w:val="nil"/>
            </w:tcBorders>
            <w:shd w:val="clear" w:color="auto" w:fill="F2F2F2" w:themeFill="background1" w:themeFillShade="F2"/>
            <w:noWrap/>
            <w:vAlign w:val="bottom"/>
            <w:hideMark/>
          </w:tcPr>
          <w:p w14:paraId="2F20399D" w14:textId="4C67658B" w:rsidR="00897D6F" w:rsidRPr="004A41D4" w:rsidRDefault="00897D6F" w:rsidP="00897D6F">
            <w:pPr>
              <w:jc w:val="center"/>
              <w:rPr>
                <w:rFonts w:ascii="Calibri" w:eastAsia="Times New Roman" w:hAnsi="Calibri" w:cs="Calibri"/>
              </w:rPr>
            </w:pPr>
            <w:r w:rsidRPr="005554D7">
              <w:rPr>
                <w:rFonts w:ascii="Calibri" w:hAnsi="Calibri" w:cs="Calibri"/>
              </w:rPr>
              <w:t>4.0%</w:t>
            </w:r>
          </w:p>
        </w:tc>
        <w:tc>
          <w:tcPr>
            <w:tcW w:w="1627" w:type="dxa"/>
            <w:tcBorders>
              <w:top w:val="nil"/>
              <w:left w:val="nil"/>
              <w:bottom w:val="nil"/>
              <w:right w:val="nil"/>
            </w:tcBorders>
            <w:shd w:val="clear" w:color="auto" w:fill="F2F2F2" w:themeFill="background1" w:themeFillShade="F2"/>
            <w:noWrap/>
            <w:vAlign w:val="bottom"/>
            <w:hideMark/>
          </w:tcPr>
          <w:p w14:paraId="024EFAE7" w14:textId="6D8FCD41" w:rsidR="00897D6F" w:rsidRPr="004A41D4" w:rsidRDefault="00897D6F" w:rsidP="00897D6F">
            <w:pPr>
              <w:jc w:val="center"/>
              <w:rPr>
                <w:rFonts w:ascii="Calibri" w:eastAsia="Times New Roman" w:hAnsi="Calibri" w:cs="Calibri"/>
              </w:rPr>
            </w:pPr>
            <w:r>
              <w:rPr>
                <w:rFonts w:ascii="Calibri" w:hAnsi="Calibri" w:cs="Calibri"/>
              </w:rPr>
              <w:t>5.30%</w:t>
            </w:r>
          </w:p>
        </w:tc>
      </w:tr>
      <w:tr w:rsidR="00897D6F" w:rsidRPr="00F65869" w14:paraId="270432BF"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282E311D"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Emerging Market Equities</w:t>
            </w:r>
          </w:p>
        </w:tc>
        <w:tc>
          <w:tcPr>
            <w:tcW w:w="1304" w:type="dxa"/>
            <w:tcBorders>
              <w:top w:val="nil"/>
              <w:left w:val="nil"/>
              <w:bottom w:val="nil"/>
              <w:right w:val="nil"/>
            </w:tcBorders>
            <w:shd w:val="clear" w:color="000000" w:fill="FFFFFF"/>
            <w:noWrap/>
            <w:vAlign w:val="bottom"/>
            <w:hideMark/>
          </w:tcPr>
          <w:p w14:paraId="0F1EF6FC" w14:textId="03C3EC5B"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hideMark/>
          </w:tcPr>
          <w:p w14:paraId="31F5E608" w14:textId="7FB8DBCC"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6.70%</w:t>
            </w:r>
          </w:p>
        </w:tc>
        <w:tc>
          <w:tcPr>
            <w:tcW w:w="1310" w:type="dxa"/>
            <w:tcBorders>
              <w:top w:val="nil"/>
              <w:left w:val="nil"/>
              <w:bottom w:val="nil"/>
              <w:right w:val="nil"/>
            </w:tcBorders>
            <w:shd w:val="clear" w:color="auto" w:fill="F2F2F2" w:themeFill="background1" w:themeFillShade="F2"/>
            <w:noWrap/>
            <w:vAlign w:val="bottom"/>
            <w:hideMark/>
          </w:tcPr>
          <w:p w14:paraId="41869B7F" w14:textId="7DBC175C" w:rsidR="00897D6F" w:rsidRPr="004A41D4" w:rsidRDefault="00897D6F" w:rsidP="00897D6F">
            <w:pPr>
              <w:jc w:val="center"/>
              <w:rPr>
                <w:rFonts w:ascii="Calibri" w:eastAsia="Times New Roman" w:hAnsi="Calibri" w:cs="Calibri"/>
              </w:rPr>
            </w:pPr>
            <w:r w:rsidRPr="005554D7">
              <w:rPr>
                <w:rFonts w:ascii="Calibri" w:hAnsi="Calibri" w:cs="Calibri"/>
              </w:rPr>
              <w:t>3.5%</w:t>
            </w:r>
          </w:p>
        </w:tc>
        <w:tc>
          <w:tcPr>
            <w:tcW w:w="1627" w:type="dxa"/>
            <w:tcBorders>
              <w:top w:val="nil"/>
              <w:left w:val="nil"/>
              <w:bottom w:val="nil"/>
              <w:right w:val="nil"/>
            </w:tcBorders>
            <w:shd w:val="clear" w:color="auto" w:fill="F2F2F2" w:themeFill="background1" w:themeFillShade="F2"/>
            <w:noWrap/>
            <w:vAlign w:val="bottom"/>
            <w:hideMark/>
          </w:tcPr>
          <w:p w14:paraId="640821C3" w14:textId="2354DD73" w:rsidR="00897D6F" w:rsidRPr="004A41D4" w:rsidRDefault="00897D6F" w:rsidP="00897D6F">
            <w:pPr>
              <w:jc w:val="center"/>
              <w:rPr>
                <w:rFonts w:ascii="Calibri" w:eastAsia="Times New Roman" w:hAnsi="Calibri" w:cs="Calibri"/>
              </w:rPr>
            </w:pPr>
            <w:r>
              <w:rPr>
                <w:rFonts w:ascii="Calibri" w:hAnsi="Calibri" w:cs="Calibri"/>
              </w:rPr>
              <w:t>7.00%</w:t>
            </w:r>
          </w:p>
        </w:tc>
      </w:tr>
      <w:tr w:rsidR="00897D6F" w:rsidRPr="00F65869" w14:paraId="174B3887"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671B9B5B"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Emerging Small Cap Market Equities</w:t>
            </w:r>
          </w:p>
        </w:tc>
        <w:tc>
          <w:tcPr>
            <w:tcW w:w="1304" w:type="dxa"/>
            <w:tcBorders>
              <w:top w:val="nil"/>
              <w:left w:val="nil"/>
              <w:bottom w:val="nil"/>
              <w:right w:val="nil"/>
            </w:tcBorders>
            <w:shd w:val="clear" w:color="000000" w:fill="FFFFFF"/>
            <w:noWrap/>
            <w:vAlign w:val="bottom"/>
            <w:hideMark/>
          </w:tcPr>
          <w:p w14:paraId="2923E753" w14:textId="4983CD97"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2.0%</w:t>
            </w:r>
          </w:p>
        </w:tc>
        <w:tc>
          <w:tcPr>
            <w:tcW w:w="1592" w:type="dxa"/>
            <w:tcBorders>
              <w:top w:val="nil"/>
              <w:left w:val="nil"/>
              <w:bottom w:val="nil"/>
              <w:right w:val="nil"/>
            </w:tcBorders>
            <w:shd w:val="clear" w:color="000000" w:fill="FFFFFF"/>
            <w:noWrap/>
            <w:vAlign w:val="bottom"/>
            <w:hideMark/>
          </w:tcPr>
          <w:p w14:paraId="616E18E4" w14:textId="191A085B"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6.60%</w:t>
            </w:r>
          </w:p>
        </w:tc>
        <w:tc>
          <w:tcPr>
            <w:tcW w:w="1310" w:type="dxa"/>
            <w:tcBorders>
              <w:top w:val="nil"/>
              <w:left w:val="nil"/>
              <w:bottom w:val="nil"/>
              <w:right w:val="nil"/>
            </w:tcBorders>
            <w:shd w:val="clear" w:color="auto" w:fill="F2F2F2" w:themeFill="background1" w:themeFillShade="F2"/>
            <w:noWrap/>
            <w:vAlign w:val="bottom"/>
            <w:hideMark/>
          </w:tcPr>
          <w:p w14:paraId="57BDD671" w14:textId="73F3A614" w:rsidR="00897D6F" w:rsidRPr="004A41D4" w:rsidRDefault="00897D6F" w:rsidP="00897D6F">
            <w:pPr>
              <w:jc w:val="center"/>
              <w:rPr>
                <w:rFonts w:ascii="Calibri" w:eastAsia="Times New Roman" w:hAnsi="Calibri" w:cs="Calibri"/>
              </w:rPr>
            </w:pPr>
            <w:r w:rsidRPr="005554D7">
              <w:rPr>
                <w:rFonts w:ascii="Calibri" w:hAnsi="Calibri" w:cs="Calibri"/>
              </w:rPr>
              <w:t>3.5%</w:t>
            </w:r>
          </w:p>
        </w:tc>
        <w:tc>
          <w:tcPr>
            <w:tcW w:w="1627" w:type="dxa"/>
            <w:tcBorders>
              <w:top w:val="nil"/>
              <w:left w:val="nil"/>
              <w:bottom w:val="nil"/>
              <w:right w:val="nil"/>
            </w:tcBorders>
            <w:shd w:val="clear" w:color="auto" w:fill="F2F2F2" w:themeFill="background1" w:themeFillShade="F2"/>
            <w:noWrap/>
            <w:vAlign w:val="bottom"/>
            <w:hideMark/>
          </w:tcPr>
          <w:p w14:paraId="28D8914E" w14:textId="0F78A264" w:rsidR="00897D6F" w:rsidRPr="004A41D4" w:rsidRDefault="00897D6F" w:rsidP="00897D6F">
            <w:pPr>
              <w:jc w:val="center"/>
              <w:rPr>
                <w:rFonts w:ascii="Calibri" w:eastAsia="Times New Roman" w:hAnsi="Calibri" w:cs="Calibri"/>
              </w:rPr>
            </w:pPr>
            <w:r>
              <w:rPr>
                <w:rFonts w:ascii="Calibri" w:hAnsi="Calibri" w:cs="Calibri"/>
              </w:rPr>
              <w:t>7.10%</w:t>
            </w:r>
          </w:p>
        </w:tc>
      </w:tr>
      <w:tr w:rsidR="00897D6F" w:rsidRPr="00F65869" w14:paraId="19635234"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3BC448B1"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Global Equity</w:t>
            </w:r>
          </w:p>
        </w:tc>
        <w:tc>
          <w:tcPr>
            <w:tcW w:w="1304" w:type="dxa"/>
            <w:tcBorders>
              <w:top w:val="nil"/>
              <w:left w:val="nil"/>
              <w:bottom w:val="nil"/>
              <w:right w:val="nil"/>
            </w:tcBorders>
            <w:shd w:val="clear" w:color="000000" w:fill="FFFFFF"/>
            <w:noWrap/>
            <w:vAlign w:val="bottom"/>
            <w:hideMark/>
          </w:tcPr>
          <w:p w14:paraId="74258A3C" w14:textId="15288F3A"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10.0%</w:t>
            </w:r>
          </w:p>
        </w:tc>
        <w:tc>
          <w:tcPr>
            <w:tcW w:w="1592" w:type="dxa"/>
            <w:tcBorders>
              <w:top w:val="nil"/>
              <w:left w:val="nil"/>
              <w:bottom w:val="nil"/>
              <w:right w:val="nil"/>
            </w:tcBorders>
            <w:shd w:val="clear" w:color="000000" w:fill="FFFFFF"/>
            <w:noWrap/>
            <w:vAlign w:val="bottom"/>
            <w:hideMark/>
          </w:tcPr>
          <w:p w14:paraId="5F351B21" w14:textId="3C6DFA1C"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4.70%</w:t>
            </w:r>
          </w:p>
        </w:tc>
        <w:tc>
          <w:tcPr>
            <w:tcW w:w="1310" w:type="dxa"/>
            <w:tcBorders>
              <w:top w:val="nil"/>
              <w:left w:val="nil"/>
              <w:bottom w:val="nil"/>
              <w:right w:val="nil"/>
            </w:tcBorders>
            <w:shd w:val="clear" w:color="auto" w:fill="F2F2F2" w:themeFill="background1" w:themeFillShade="F2"/>
            <w:noWrap/>
            <w:vAlign w:val="bottom"/>
            <w:hideMark/>
          </w:tcPr>
          <w:p w14:paraId="135E9A3B" w14:textId="40DB10E9" w:rsidR="00897D6F" w:rsidRPr="004A41D4" w:rsidRDefault="00897D6F" w:rsidP="00897D6F">
            <w:pPr>
              <w:jc w:val="center"/>
              <w:rPr>
                <w:rFonts w:ascii="Calibri" w:eastAsia="Times New Roman" w:hAnsi="Calibri" w:cs="Calibri"/>
              </w:rPr>
            </w:pPr>
            <w:r w:rsidRPr="005554D7">
              <w:rPr>
                <w:rFonts w:ascii="Calibri" w:hAnsi="Calibri" w:cs="Calibri"/>
              </w:rPr>
              <w:t>10.0%</w:t>
            </w:r>
          </w:p>
        </w:tc>
        <w:tc>
          <w:tcPr>
            <w:tcW w:w="1627" w:type="dxa"/>
            <w:tcBorders>
              <w:top w:val="nil"/>
              <w:left w:val="nil"/>
              <w:bottom w:val="nil"/>
              <w:right w:val="nil"/>
            </w:tcBorders>
            <w:shd w:val="clear" w:color="auto" w:fill="F2F2F2" w:themeFill="background1" w:themeFillShade="F2"/>
            <w:noWrap/>
            <w:vAlign w:val="bottom"/>
            <w:hideMark/>
          </w:tcPr>
          <w:p w14:paraId="2F4F89B9" w14:textId="0520A376" w:rsidR="00897D6F" w:rsidRPr="004A41D4" w:rsidRDefault="00897D6F" w:rsidP="00897D6F">
            <w:pPr>
              <w:jc w:val="center"/>
              <w:rPr>
                <w:rFonts w:ascii="Calibri" w:eastAsia="Times New Roman" w:hAnsi="Calibri" w:cs="Calibri"/>
              </w:rPr>
            </w:pPr>
            <w:r>
              <w:rPr>
                <w:rFonts w:ascii="Calibri" w:hAnsi="Calibri" w:cs="Calibri"/>
              </w:rPr>
              <w:t>5.20%</w:t>
            </w:r>
          </w:p>
        </w:tc>
      </w:tr>
      <w:tr w:rsidR="00897D6F" w:rsidRPr="00F65869" w14:paraId="0886A94E"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1255601F"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Domestic Core Bonds</w:t>
            </w:r>
          </w:p>
        </w:tc>
        <w:tc>
          <w:tcPr>
            <w:tcW w:w="1304" w:type="dxa"/>
            <w:tcBorders>
              <w:top w:val="nil"/>
              <w:left w:val="nil"/>
              <w:bottom w:val="nil"/>
              <w:right w:val="nil"/>
            </w:tcBorders>
            <w:shd w:val="clear" w:color="000000" w:fill="FFFFFF"/>
            <w:noWrap/>
            <w:vAlign w:val="bottom"/>
            <w:hideMark/>
          </w:tcPr>
          <w:p w14:paraId="705546D2" w14:textId="58893112"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6.5%</w:t>
            </w:r>
          </w:p>
        </w:tc>
        <w:tc>
          <w:tcPr>
            <w:tcW w:w="1592" w:type="dxa"/>
            <w:tcBorders>
              <w:top w:val="nil"/>
              <w:left w:val="nil"/>
              <w:bottom w:val="nil"/>
              <w:right w:val="nil"/>
            </w:tcBorders>
            <w:shd w:val="clear" w:color="000000" w:fill="FFFFFF"/>
            <w:noWrap/>
            <w:vAlign w:val="bottom"/>
            <w:hideMark/>
          </w:tcPr>
          <w:p w14:paraId="128AE406" w14:textId="6C43F8C4"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2.00%</w:t>
            </w:r>
          </w:p>
        </w:tc>
        <w:tc>
          <w:tcPr>
            <w:tcW w:w="1310" w:type="dxa"/>
            <w:tcBorders>
              <w:top w:val="nil"/>
              <w:left w:val="nil"/>
              <w:bottom w:val="nil"/>
              <w:right w:val="nil"/>
            </w:tcBorders>
            <w:shd w:val="clear" w:color="auto" w:fill="F2F2F2" w:themeFill="background1" w:themeFillShade="F2"/>
            <w:noWrap/>
            <w:vAlign w:val="bottom"/>
            <w:hideMark/>
          </w:tcPr>
          <w:p w14:paraId="755A65DC" w14:textId="1B3F6428" w:rsidR="00897D6F" w:rsidRPr="004A41D4" w:rsidRDefault="00897D6F" w:rsidP="00897D6F">
            <w:pPr>
              <w:jc w:val="center"/>
              <w:rPr>
                <w:rFonts w:ascii="Calibri" w:eastAsia="Times New Roman" w:hAnsi="Calibri" w:cs="Calibri"/>
              </w:rPr>
            </w:pPr>
            <w:r w:rsidRPr="005554D7">
              <w:rPr>
                <w:rFonts w:ascii="Calibri" w:hAnsi="Calibri" w:cs="Calibri"/>
              </w:rPr>
              <w:t>9.5%</w:t>
            </w:r>
          </w:p>
        </w:tc>
        <w:tc>
          <w:tcPr>
            <w:tcW w:w="1627" w:type="dxa"/>
            <w:tcBorders>
              <w:top w:val="nil"/>
              <w:left w:val="nil"/>
              <w:bottom w:val="nil"/>
              <w:right w:val="nil"/>
            </w:tcBorders>
            <w:shd w:val="clear" w:color="auto" w:fill="F2F2F2" w:themeFill="background1" w:themeFillShade="F2"/>
            <w:noWrap/>
            <w:vAlign w:val="bottom"/>
            <w:hideMark/>
          </w:tcPr>
          <w:p w14:paraId="2802A528" w14:textId="343083A3" w:rsidR="00897D6F" w:rsidRPr="004A41D4" w:rsidRDefault="00897D6F" w:rsidP="00897D6F">
            <w:pPr>
              <w:jc w:val="center"/>
              <w:rPr>
                <w:rFonts w:ascii="Calibri" w:eastAsia="Times New Roman" w:hAnsi="Calibri" w:cs="Calibri"/>
              </w:rPr>
            </w:pPr>
            <w:r>
              <w:rPr>
                <w:rFonts w:ascii="Calibri" w:hAnsi="Calibri" w:cs="Calibri"/>
              </w:rPr>
              <w:t>1.50%</w:t>
            </w:r>
          </w:p>
        </w:tc>
      </w:tr>
      <w:tr w:rsidR="00897D6F" w:rsidRPr="00F65869" w14:paraId="1043A092"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3119CA89" w14:textId="4E051D8E" w:rsidR="00897D6F" w:rsidRPr="00F65869" w:rsidRDefault="00897D6F" w:rsidP="00F9593C">
            <w:pPr>
              <w:rPr>
                <w:rFonts w:ascii="Calibri" w:eastAsia="Times New Roman" w:hAnsi="Calibri" w:cs="Calibri"/>
                <w:color w:val="0D0D0D"/>
              </w:rPr>
            </w:pPr>
            <w:r w:rsidRPr="00F65869">
              <w:rPr>
                <w:rFonts w:ascii="Calibri" w:eastAsia="Times New Roman" w:hAnsi="Calibri" w:cs="Calibri"/>
                <w:color w:val="0D0D0D"/>
              </w:rPr>
              <w:t>T</w:t>
            </w:r>
            <w:r w:rsidR="00F9593C">
              <w:rPr>
                <w:rFonts w:ascii="Calibri" w:eastAsia="Times New Roman" w:hAnsi="Calibri" w:cs="Calibri"/>
                <w:color w:val="0D0D0D"/>
              </w:rPr>
              <w:t>reasury Inflation Protected Sec (T</w:t>
            </w:r>
            <w:r w:rsidRPr="00F65869">
              <w:rPr>
                <w:rFonts w:ascii="Calibri" w:eastAsia="Times New Roman" w:hAnsi="Calibri" w:cs="Calibri"/>
                <w:color w:val="0D0D0D"/>
              </w:rPr>
              <w:t>IPS</w:t>
            </w:r>
            <w:r w:rsidR="00F9593C">
              <w:rPr>
                <w:rFonts w:ascii="Calibri" w:eastAsia="Times New Roman" w:hAnsi="Calibri" w:cs="Calibri"/>
                <w:color w:val="0D0D0D"/>
              </w:rPr>
              <w:t>)</w:t>
            </w:r>
          </w:p>
        </w:tc>
        <w:tc>
          <w:tcPr>
            <w:tcW w:w="1304" w:type="dxa"/>
            <w:tcBorders>
              <w:top w:val="nil"/>
              <w:left w:val="nil"/>
              <w:bottom w:val="nil"/>
              <w:right w:val="nil"/>
            </w:tcBorders>
            <w:shd w:val="clear" w:color="000000" w:fill="FFFFFF"/>
            <w:noWrap/>
            <w:vAlign w:val="bottom"/>
            <w:hideMark/>
          </w:tcPr>
          <w:p w14:paraId="457BC243" w14:textId="2FBE4AFE"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hideMark/>
          </w:tcPr>
          <w:p w14:paraId="37D84BAC" w14:textId="1F3C5DD0"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1.40%</w:t>
            </w:r>
          </w:p>
        </w:tc>
        <w:tc>
          <w:tcPr>
            <w:tcW w:w="1310" w:type="dxa"/>
            <w:tcBorders>
              <w:top w:val="nil"/>
              <w:left w:val="nil"/>
              <w:bottom w:val="nil"/>
              <w:right w:val="nil"/>
            </w:tcBorders>
            <w:shd w:val="clear" w:color="auto" w:fill="F2F2F2" w:themeFill="background1" w:themeFillShade="F2"/>
            <w:noWrap/>
            <w:vAlign w:val="bottom"/>
            <w:hideMark/>
          </w:tcPr>
          <w:p w14:paraId="7FDBDC53" w14:textId="47ECD97C" w:rsidR="00897D6F" w:rsidRPr="004A41D4" w:rsidRDefault="00897D6F" w:rsidP="00897D6F">
            <w:pPr>
              <w:jc w:val="center"/>
              <w:rPr>
                <w:rFonts w:ascii="Calibri" w:eastAsia="Times New Roman" w:hAnsi="Calibri" w:cs="Calibri"/>
              </w:rPr>
            </w:pPr>
            <w:r w:rsidRPr="005554D7">
              <w:rPr>
                <w:rFonts w:ascii="Calibri" w:hAnsi="Calibri" w:cs="Calibri"/>
              </w:rPr>
              <w:t>3.5%</w:t>
            </w:r>
          </w:p>
        </w:tc>
        <w:tc>
          <w:tcPr>
            <w:tcW w:w="1627" w:type="dxa"/>
            <w:tcBorders>
              <w:top w:val="nil"/>
              <w:left w:val="nil"/>
              <w:bottom w:val="nil"/>
              <w:right w:val="nil"/>
            </w:tcBorders>
            <w:shd w:val="clear" w:color="auto" w:fill="F2F2F2" w:themeFill="background1" w:themeFillShade="F2"/>
            <w:noWrap/>
            <w:vAlign w:val="bottom"/>
            <w:hideMark/>
          </w:tcPr>
          <w:p w14:paraId="30A04A00" w14:textId="44B78BB6" w:rsidR="00897D6F" w:rsidRPr="004A41D4" w:rsidRDefault="00897D6F" w:rsidP="00897D6F">
            <w:pPr>
              <w:jc w:val="center"/>
              <w:rPr>
                <w:rFonts w:ascii="Calibri" w:eastAsia="Times New Roman" w:hAnsi="Calibri" w:cs="Calibri"/>
              </w:rPr>
            </w:pPr>
            <w:r>
              <w:rPr>
                <w:rFonts w:ascii="Calibri" w:hAnsi="Calibri" w:cs="Calibri"/>
              </w:rPr>
              <w:t>1.10%</w:t>
            </w:r>
          </w:p>
        </w:tc>
      </w:tr>
      <w:tr w:rsidR="00897D6F" w:rsidRPr="00F65869" w14:paraId="3440D805" w14:textId="77777777" w:rsidTr="00BE0520">
        <w:trPr>
          <w:trHeight w:val="288"/>
          <w:jc w:val="center"/>
        </w:trPr>
        <w:tc>
          <w:tcPr>
            <w:tcW w:w="3707" w:type="dxa"/>
            <w:tcBorders>
              <w:top w:val="nil"/>
              <w:left w:val="nil"/>
              <w:bottom w:val="nil"/>
              <w:right w:val="nil"/>
            </w:tcBorders>
            <w:shd w:val="clear" w:color="000000" w:fill="FFFFFF"/>
            <w:noWrap/>
            <w:vAlign w:val="center"/>
          </w:tcPr>
          <w:p w14:paraId="0D73A7DB" w14:textId="77777777" w:rsidR="00897D6F" w:rsidRPr="00F65869" w:rsidRDefault="00897D6F" w:rsidP="00897D6F">
            <w:pPr>
              <w:rPr>
                <w:rFonts w:ascii="Calibri" w:eastAsia="Times New Roman" w:hAnsi="Calibri" w:cs="Calibri"/>
                <w:color w:val="0D0D0D"/>
              </w:rPr>
            </w:pPr>
            <w:r>
              <w:rPr>
                <w:rFonts w:ascii="Calibri" w:eastAsia="Times New Roman" w:hAnsi="Calibri" w:cs="Calibri"/>
                <w:color w:val="0D0D0D"/>
              </w:rPr>
              <w:t>Short-term TIPS</w:t>
            </w:r>
          </w:p>
        </w:tc>
        <w:tc>
          <w:tcPr>
            <w:tcW w:w="1304" w:type="dxa"/>
            <w:tcBorders>
              <w:top w:val="nil"/>
              <w:left w:val="nil"/>
              <w:bottom w:val="nil"/>
              <w:right w:val="nil"/>
            </w:tcBorders>
            <w:shd w:val="clear" w:color="000000" w:fill="FFFFFF"/>
            <w:noWrap/>
            <w:vAlign w:val="bottom"/>
          </w:tcPr>
          <w:p w14:paraId="28FB337C" w14:textId="06705F54"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tcPr>
          <w:p w14:paraId="47F2D4FE" w14:textId="18D0446D"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1.70%</w:t>
            </w:r>
          </w:p>
        </w:tc>
        <w:tc>
          <w:tcPr>
            <w:tcW w:w="1310" w:type="dxa"/>
            <w:tcBorders>
              <w:top w:val="nil"/>
              <w:left w:val="nil"/>
              <w:bottom w:val="nil"/>
              <w:right w:val="nil"/>
            </w:tcBorders>
            <w:shd w:val="clear" w:color="auto" w:fill="F2F2F2" w:themeFill="background1" w:themeFillShade="F2"/>
            <w:noWrap/>
            <w:vAlign w:val="bottom"/>
          </w:tcPr>
          <w:p w14:paraId="49E1EFE9" w14:textId="0D3ED222" w:rsidR="00897D6F" w:rsidRPr="004A41D4" w:rsidRDefault="00897D6F" w:rsidP="00897D6F">
            <w:pPr>
              <w:jc w:val="center"/>
              <w:rPr>
                <w:rFonts w:ascii="Calibri" w:eastAsia="Times New Roman" w:hAnsi="Calibri" w:cs="Calibri"/>
              </w:rPr>
            </w:pPr>
            <w:r w:rsidRPr="005554D7">
              <w:rPr>
                <w:rFonts w:ascii="Calibri" w:hAnsi="Calibri" w:cs="Calibri"/>
              </w:rPr>
              <w:t>3.5%</w:t>
            </w:r>
          </w:p>
        </w:tc>
        <w:tc>
          <w:tcPr>
            <w:tcW w:w="1627" w:type="dxa"/>
            <w:tcBorders>
              <w:top w:val="nil"/>
              <w:left w:val="nil"/>
              <w:bottom w:val="nil"/>
              <w:right w:val="nil"/>
            </w:tcBorders>
            <w:shd w:val="clear" w:color="auto" w:fill="F2F2F2" w:themeFill="background1" w:themeFillShade="F2"/>
            <w:noWrap/>
            <w:vAlign w:val="bottom"/>
          </w:tcPr>
          <w:p w14:paraId="7BBD9D1A" w14:textId="6A1433C7" w:rsidR="00897D6F" w:rsidRPr="004A41D4" w:rsidRDefault="00897D6F" w:rsidP="00897D6F">
            <w:pPr>
              <w:jc w:val="center"/>
              <w:rPr>
                <w:rFonts w:ascii="Calibri" w:eastAsia="Times New Roman" w:hAnsi="Calibri" w:cs="Calibri"/>
              </w:rPr>
            </w:pPr>
            <w:r>
              <w:rPr>
                <w:rFonts w:ascii="Calibri" w:hAnsi="Calibri" w:cs="Calibri"/>
              </w:rPr>
              <w:t>0.70%</w:t>
            </w:r>
          </w:p>
        </w:tc>
      </w:tr>
      <w:tr w:rsidR="00897D6F" w:rsidRPr="00F65869" w14:paraId="65AD4303"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36AC0F1C"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Bank Loans</w:t>
            </w:r>
          </w:p>
        </w:tc>
        <w:tc>
          <w:tcPr>
            <w:tcW w:w="1304" w:type="dxa"/>
            <w:tcBorders>
              <w:top w:val="nil"/>
              <w:left w:val="nil"/>
              <w:bottom w:val="nil"/>
              <w:right w:val="nil"/>
            </w:tcBorders>
            <w:shd w:val="clear" w:color="000000" w:fill="FFFFFF"/>
            <w:noWrap/>
            <w:vAlign w:val="bottom"/>
            <w:hideMark/>
          </w:tcPr>
          <w:p w14:paraId="01CC701B" w14:textId="20578F19"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hideMark/>
          </w:tcPr>
          <w:p w14:paraId="1AF56180" w14:textId="49D4F0D7"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4.10%</w:t>
            </w:r>
          </w:p>
        </w:tc>
        <w:tc>
          <w:tcPr>
            <w:tcW w:w="1310" w:type="dxa"/>
            <w:tcBorders>
              <w:top w:val="nil"/>
              <w:left w:val="nil"/>
              <w:bottom w:val="nil"/>
              <w:right w:val="nil"/>
            </w:tcBorders>
            <w:shd w:val="clear" w:color="auto" w:fill="F2F2F2" w:themeFill="background1" w:themeFillShade="F2"/>
            <w:noWrap/>
            <w:vAlign w:val="bottom"/>
            <w:hideMark/>
          </w:tcPr>
          <w:p w14:paraId="52AA2CFD" w14:textId="7466E610" w:rsidR="00897D6F" w:rsidRPr="004A41D4" w:rsidRDefault="00897D6F" w:rsidP="00897D6F">
            <w:pPr>
              <w:jc w:val="center"/>
              <w:rPr>
                <w:rFonts w:ascii="Calibri" w:eastAsia="Times New Roman" w:hAnsi="Calibri" w:cs="Calibri"/>
              </w:rPr>
            </w:pPr>
            <w:r w:rsidRPr="005554D7">
              <w:rPr>
                <w:rFonts w:ascii="Calibri" w:hAnsi="Calibri" w:cs="Calibri"/>
              </w:rPr>
              <w:t>5.0%</w:t>
            </w:r>
          </w:p>
        </w:tc>
        <w:tc>
          <w:tcPr>
            <w:tcW w:w="1627" w:type="dxa"/>
            <w:tcBorders>
              <w:top w:val="nil"/>
              <w:left w:val="nil"/>
              <w:bottom w:val="nil"/>
              <w:right w:val="nil"/>
            </w:tcBorders>
            <w:shd w:val="clear" w:color="auto" w:fill="F2F2F2" w:themeFill="background1" w:themeFillShade="F2"/>
            <w:noWrap/>
            <w:vAlign w:val="bottom"/>
            <w:hideMark/>
          </w:tcPr>
          <w:p w14:paraId="658CCD4F" w14:textId="06BEB05D" w:rsidR="00897D6F" w:rsidRPr="004A41D4" w:rsidRDefault="00897D6F" w:rsidP="00897D6F">
            <w:pPr>
              <w:jc w:val="center"/>
              <w:rPr>
                <w:rFonts w:ascii="Calibri" w:eastAsia="Times New Roman" w:hAnsi="Calibri" w:cs="Calibri"/>
              </w:rPr>
            </w:pPr>
            <w:r>
              <w:rPr>
                <w:rFonts w:ascii="Calibri" w:hAnsi="Calibri" w:cs="Calibri"/>
              </w:rPr>
              <w:t>3.80%</w:t>
            </w:r>
          </w:p>
        </w:tc>
      </w:tr>
      <w:tr w:rsidR="00897D6F" w:rsidRPr="00F65869" w14:paraId="4FBD6B3D"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42F0B8D6"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Absolute Return Fixed Income</w:t>
            </w:r>
          </w:p>
        </w:tc>
        <w:tc>
          <w:tcPr>
            <w:tcW w:w="1304" w:type="dxa"/>
            <w:tcBorders>
              <w:top w:val="nil"/>
              <w:left w:val="nil"/>
              <w:bottom w:val="nil"/>
              <w:right w:val="nil"/>
            </w:tcBorders>
            <w:shd w:val="clear" w:color="000000" w:fill="FFFFFF"/>
            <w:noWrap/>
            <w:vAlign w:val="bottom"/>
            <w:hideMark/>
          </w:tcPr>
          <w:p w14:paraId="27EFAF0D" w14:textId="262C3A8E"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5.0%</w:t>
            </w:r>
          </w:p>
        </w:tc>
        <w:tc>
          <w:tcPr>
            <w:tcW w:w="1592" w:type="dxa"/>
            <w:tcBorders>
              <w:top w:val="nil"/>
              <w:left w:val="nil"/>
              <w:bottom w:val="nil"/>
              <w:right w:val="nil"/>
            </w:tcBorders>
            <w:shd w:val="clear" w:color="000000" w:fill="FFFFFF"/>
            <w:noWrap/>
            <w:vAlign w:val="bottom"/>
            <w:hideMark/>
          </w:tcPr>
          <w:p w14:paraId="311B603D" w14:textId="01A373A9"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3.00%</w:t>
            </w:r>
          </w:p>
        </w:tc>
        <w:tc>
          <w:tcPr>
            <w:tcW w:w="1310" w:type="dxa"/>
            <w:tcBorders>
              <w:top w:val="nil"/>
              <w:left w:val="nil"/>
              <w:bottom w:val="nil"/>
              <w:right w:val="nil"/>
            </w:tcBorders>
            <w:shd w:val="clear" w:color="auto" w:fill="F2F2F2" w:themeFill="background1" w:themeFillShade="F2"/>
            <w:noWrap/>
            <w:vAlign w:val="bottom"/>
            <w:hideMark/>
          </w:tcPr>
          <w:p w14:paraId="0247C7D3" w14:textId="0B793BF8" w:rsidR="00897D6F" w:rsidRPr="004A41D4" w:rsidRDefault="00897D6F" w:rsidP="00897D6F">
            <w:pPr>
              <w:jc w:val="center"/>
              <w:rPr>
                <w:rFonts w:ascii="Calibri" w:eastAsia="Times New Roman" w:hAnsi="Calibri" w:cs="Calibri"/>
              </w:rPr>
            </w:pPr>
            <w:r w:rsidRPr="005554D7">
              <w:rPr>
                <w:rFonts w:ascii="Calibri" w:hAnsi="Calibri" w:cs="Calibri"/>
              </w:rPr>
              <w:t>5.0%</w:t>
            </w:r>
          </w:p>
        </w:tc>
        <w:tc>
          <w:tcPr>
            <w:tcW w:w="1627" w:type="dxa"/>
            <w:tcBorders>
              <w:top w:val="nil"/>
              <w:left w:val="nil"/>
              <w:bottom w:val="nil"/>
              <w:right w:val="nil"/>
            </w:tcBorders>
            <w:shd w:val="clear" w:color="auto" w:fill="F2F2F2" w:themeFill="background1" w:themeFillShade="F2"/>
            <w:noWrap/>
            <w:vAlign w:val="bottom"/>
            <w:hideMark/>
          </w:tcPr>
          <w:p w14:paraId="16C99DF5" w14:textId="3C610962" w:rsidR="00897D6F" w:rsidRPr="004A41D4" w:rsidRDefault="00897D6F" w:rsidP="00897D6F">
            <w:pPr>
              <w:jc w:val="center"/>
              <w:rPr>
                <w:rFonts w:ascii="Calibri" w:eastAsia="Times New Roman" w:hAnsi="Calibri" w:cs="Calibri"/>
              </w:rPr>
            </w:pPr>
            <w:r>
              <w:rPr>
                <w:rFonts w:ascii="Calibri" w:hAnsi="Calibri" w:cs="Calibri"/>
              </w:rPr>
              <w:t>2.80%</w:t>
            </w:r>
          </w:p>
        </w:tc>
      </w:tr>
      <w:tr w:rsidR="00897D6F" w:rsidRPr="00F65869" w14:paraId="577F26BB"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30C7EC96"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Global Asset Allocation</w:t>
            </w:r>
          </w:p>
        </w:tc>
        <w:tc>
          <w:tcPr>
            <w:tcW w:w="1304" w:type="dxa"/>
            <w:tcBorders>
              <w:top w:val="nil"/>
              <w:left w:val="nil"/>
              <w:bottom w:val="nil"/>
              <w:right w:val="nil"/>
            </w:tcBorders>
            <w:shd w:val="clear" w:color="000000" w:fill="FFFFFF"/>
            <w:noWrap/>
            <w:vAlign w:val="bottom"/>
            <w:hideMark/>
          </w:tcPr>
          <w:p w14:paraId="00CBFFC7" w14:textId="6ED0F8C3"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7.5%</w:t>
            </w:r>
          </w:p>
        </w:tc>
        <w:tc>
          <w:tcPr>
            <w:tcW w:w="1592" w:type="dxa"/>
            <w:tcBorders>
              <w:top w:val="nil"/>
              <w:left w:val="nil"/>
              <w:bottom w:val="nil"/>
              <w:right w:val="nil"/>
            </w:tcBorders>
            <w:shd w:val="clear" w:color="000000" w:fill="FFFFFF"/>
            <w:noWrap/>
            <w:vAlign w:val="bottom"/>
            <w:hideMark/>
          </w:tcPr>
          <w:p w14:paraId="2D201B22" w14:textId="3C9778F8"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3.50%</w:t>
            </w:r>
          </w:p>
        </w:tc>
        <w:tc>
          <w:tcPr>
            <w:tcW w:w="1310" w:type="dxa"/>
            <w:tcBorders>
              <w:top w:val="nil"/>
              <w:left w:val="nil"/>
              <w:bottom w:val="nil"/>
              <w:right w:val="nil"/>
            </w:tcBorders>
            <w:shd w:val="clear" w:color="auto" w:fill="F2F2F2" w:themeFill="background1" w:themeFillShade="F2"/>
            <w:noWrap/>
            <w:vAlign w:val="bottom"/>
            <w:hideMark/>
          </w:tcPr>
          <w:p w14:paraId="43BDB6C7" w14:textId="1AD5999D" w:rsidR="00897D6F" w:rsidRPr="004A41D4" w:rsidRDefault="00897D6F" w:rsidP="00897D6F">
            <w:pPr>
              <w:jc w:val="center"/>
              <w:rPr>
                <w:rFonts w:ascii="Calibri" w:eastAsia="Times New Roman" w:hAnsi="Calibri" w:cs="Calibri"/>
              </w:rPr>
            </w:pPr>
            <w:r w:rsidRPr="005554D7">
              <w:rPr>
                <w:rFonts w:ascii="Calibri" w:hAnsi="Calibri" w:cs="Calibri"/>
              </w:rPr>
              <w:t>7.5%</w:t>
            </w:r>
          </w:p>
        </w:tc>
        <w:tc>
          <w:tcPr>
            <w:tcW w:w="1627" w:type="dxa"/>
            <w:tcBorders>
              <w:top w:val="nil"/>
              <w:left w:val="nil"/>
              <w:bottom w:val="nil"/>
              <w:right w:val="nil"/>
            </w:tcBorders>
            <w:shd w:val="clear" w:color="auto" w:fill="F2F2F2" w:themeFill="background1" w:themeFillShade="F2"/>
            <w:noWrap/>
            <w:vAlign w:val="bottom"/>
            <w:hideMark/>
          </w:tcPr>
          <w:p w14:paraId="6019C3F3" w14:textId="28AD9C7F" w:rsidR="00897D6F" w:rsidRPr="004A41D4" w:rsidRDefault="00897D6F" w:rsidP="00897D6F">
            <w:pPr>
              <w:jc w:val="center"/>
              <w:rPr>
                <w:rFonts w:ascii="Calibri" w:eastAsia="Times New Roman" w:hAnsi="Calibri" w:cs="Calibri"/>
              </w:rPr>
            </w:pPr>
            <w:r>
              <w:rPr>
                <w:rFonts w:ascii="Calibri" w:hAnsi="Calibri" w:cs="Calibri"/>
              </w:rPr>
              <w:t>3.60%</w:t>
            </w:r>
          </w:p>
        </w:tc>
      </w:tr>
      <w:tr w:rsidR="00897D6F" w:rsidRPr="00F65869" w14:paraId="6FB1D027" w14:textId="77777777" w:rsidTr="00BE0520">
        <w:trPr>
          <w:trHeight w:val="288"/>
          <w:jc w:val="center"/>
        </w:trPr>
        <w:tc>
          <w:tcPr>
            <w:tcW w:w="3707" w:type="dxa"/>
            <w:tcBorders>
              <w:top w:val="nil"/>
              <w:left w:val="nil"/>
              <w:bottom w:val="nil"/>
              <w:right w:val="nil"/>
            </w:tcBorders>
            <w:shd w:val="clear" w:color="000000" w:fill="FFFFFF"/>
            <w:noWrap/>
            <w:vAlign w:val="center"/>
            <w:hideMark/>
          </w:tcPr>
          <w:p w14:paraId="43FDAB86" w14:textId="77777777" w:rsidR="00897D6F" w:rsidRPr="00F65869" w:rsidRDefault="00897D6F" w:rsidP="00897D6F">
            <w:pPr>
              <w:rPr>
                <w:rFonts w:ascii="Calibri" w:eastAsia="Times New Roman" w:hAnsi="Calibri" w:cs="Calibri"/>
                <w:color w:val="0D0D0D"/>
              </w:rPr>
            </w:pPr>
            <w:r w:rsidRPr="00F65869">
              <w:rPr>
                <w:rFonts w:ascii="Calibri" w:eastAsia="Times New Roman" w:hAnsi="Calibri" w:cs="Calibri"/>
                <w:color w:val="0D0D0D"/>
              </w:rPr>
              <w:t>Hedge Funds</w:t>
            </w:r>
          </w:p>
        </w:tc>
        <w:tc>
          <w:tcPr>
            <w:tcW w:w="1304" w:type="dxa"/>
            <w:tcBorders>
              <w:top w:val="nil"/>
              <w:left w:val="nil"/>
              <w:bottom w:val="nil"/>
              <w:right w:val="nil"/>
            </w:tcBorders>
            <w:shd w:val="clear" w:color="000000" w:fill="FFFFFF"/>
            <w:noWrap/>
            <w:vAlign w:val="bottom"/>
            <w:hideMark/>
          </w:tcPr>
          <w:p w14:paraId="75AA1A7A" w14:textId="2BDECF4C"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7.0%</w:t>
            </w:r>
          </w:p>
        </w:tc>
        <w:tc>
          <w:tcPr>
            <w:tcW w:w="1592" w:type="dxa"/>
            <w:tcBorders>
              <w:top w:val="nil"/>
              <w:left w:val="nil"/>
              <w:bottom w:val="nil"/>
              <w:right w:val="nil"/>
            </w:tcBorders>
            <w:shd w:val="clear" w:color="000000" w:fill="FFFFFF"/>
            <w:noWrap/>
            <w:vAlign w:val="bottom"/>
            <w:hideMark/>
          </w:tcPr>
          <w:p w14:paraId="19C6C29E" w14:textId="434F7481" w:rsidR="00897D6F" w:rsidRPr="0048737B" w:rsidRDefault="00897D6F" w:rsidP="00897D6F">
            <w:pPr>
              <w:jc w:val="center"/>
              <w:rPr>
                <w:rFonts w:ascii="Calibri" w:eastAsia="Times New Roman" w:hAnsi="Calibri" w:cs="Calibri"/>
                <w:color w:val="000000" w:themeColor="text1"/>
              </w:rPr>
            </w:pPr>
            <w:r w:rsidRPr="0048737B">
              <w:rPr>
                <w:rFonts w:ascii="Calibri" w:hAnsi="Calibri" w:cs="Calibri"/>
                <w:color w:val="000000" w:themeColor="text1"/>
              </w:rPr>
              <w:t>3.40%</w:t>
            </w:r>
          </w:p>
        </w:tc>
        <w:tc>
          <w:tcPr>
            <w:tcW w:w="1310" w:type="dxa"/>
            <w:tcBorders>
              <w:top w:val="nil"/>
              <w:left w:val="nil"/>
              <w:bottom w:val="nil"/>
              <w:right w:val="nil"/>
            </w:tcBorders>
            <w:shd w:val="clear" w:color="auto" w:fill="F2F2F2" w:themeFill="background1" w:themeFillShade="F2"/>
            <w:noWrap/>
            <w:vAlign w:val="bottom"/>
            <w:hideMark/>
          </w:tcPr>
          <w:p w14:paraId="7924EA75" w14:textId="5CF2A4CA" w:rsidR="00897D6F" w:rsidRPr="004A41D4" w:rsidRDefault="00897D6F" w:rsidP="00897D6F">
            <w:pPr>
              <w:jc w:val="center"/>
              <w:rPr>
                <w:rFonts w:ascii="Calibri" w:eastAsia="Times New Roman" w:hAnsi="Calibri" w:cs="Calibri"/>
              </w:rPr>
            </w:pPr>
            <w:r w:rsidRPr="005554D7">
              <w:rPr>
                <w:rFonts w:ascii="Calibri" w:hAnsi="Calibri" w:cs="Calibri"/>
              </w:rPr>
              <w:t>7.0%</w:t>
            </w:r>
          </w:p>
        </w:tc>
        <w:tc>
          <w:tcPr>
            <w:tcW w:w="1627" w:type="dxa"/>
            <w:tcBorders>
              <w:top w:val="nil"/>
              <w:left w:val="nil"/>
              <w:bottom w:val="nil"/>
              <w:right w:val="nil"/>
            </w:tcBorders>
            <w:shd w:val="clear" w:color="auto" w:fill="F2F2F2" w:themeFill="background1" w:themeFillShade="F2"/>
            <w:noWrap/>
            <w:vAlign w:val="bottom"/>
            <w:hideMark/>
          </w:tcPr>
          <w:p w14:paraId="18437A26" w14:textId="0F3945BE" w:rsidR="00897D6F" w:rsidRPr="004A41D4" w:rsidRDefault="00897D6F" w:rsidP="00897D6F">
            <w:pPr>
              <w:jc w:val="center"/>
              <w:rPr>
                <w:rFonts w:ascii="Calibri" w:eastAsia="Times New Roman" w:hAnsi="Calibri" w:cs="Calibri"/>
              </w:rPr>
            </w:pPr>
            <w:r>
              <w:rPr>
                <w:rFonts w:ascii="Calibri" w:hAnsi="Calibri" w:cs="Calibri"/>
              </w:rPr>
              <w:t>3.80%</w:t>
            </w:r>
          </w:p>
        </w:tc>
      </w:tr>
      <w:tr w:rsidR="00723CBE" w:rsidRPr="00F65869" w14:paraId="3DAB504C" w14:textId="77777777" w:rsidTr="00BE0520">
        <w:trPr>
          <w:trHeight w:val="300"/>
          <w:jc w:val="center"/>
        </w:trPr>
        <w:tc>
          <w:tcPr>
            <w:tcW w:w="3707" w:type="dxa"/>
            <w:tcBorders>
              <w:top w:val="single" w:sz="4" w:space="0" w:color="44546A"/>
              <w:left w:val="nil"/>
              <w:bottom w:val="double" w:sz="6" w:space="0" w:color="44546A"/>
              <w:right w:val="nil"/>
            </w:tcBorders>
            <w:shd w:val="clear" w:color="000000" w:fill="FFFFFF"/>
            <w:noWrap/>
            <w:vAlign w:val="bottom"/>
            <w:hideMark/>
          </w:tcPr>
          <w:p w14:paraId="138B6BE5" w14:textId="77777777" w:rsidR="00723CBE" w:rsidRPr="00F65869" w:rsidRDefault="00723CBE" w:rsidP="00723CBE">
            <w:pPr>
              <w:rPr>
                <w:rFonts w:ascii="Calibri" w:eastAsia="Times New Roman" w:hAnsi="Calibri" w:cs="Calibri"/>
                <w:color w:val="0D0D0D"/>
              </w:rPr>
            </w:pPr>
            <w:r w:rsidRPr="00F65869">
              <w:rPr>
                <w:rFonts w:ascii="Calibri" w:eastAsia="Times New Roman" w:hAnsi="Calibri" w:cs="Calibri"/>
                <w:color w:val="0D0D0D"/>
              </w:rPr>
              <w:t>Total</w:t>
            </w:r>
          </w:p>
        </w:tc>
        <w:tc>
          <w:tcPr>
            <w:tcW w:w="1304" w:type="dxa"/>
            <w:tcBorders>
              <w:top w:val="single" w:sz="4" w:space="0" w:color="44546A"/>
              <w:left w:val="nil"/>
              <w:bottom w:val="double" w:sz="6" w:space="0" w:color="44546A"/>
              <w:right w:val="nil"/>
            </w:tcBorders>
            <w:shd w:val="clear" w:color="000000" w:fill="FFFFFF"/>
            <w:noWrap/>
            <w:vAlign w:val="bottom"/>
            <w:hideMark/>
          </w:tcPr>
          <w:p w14:paraId="66B6F041" w14:textId="77777777" w:rsidR="00723CBE" w:rsidRPr="0048737B" w:rsidRDefault="00723CBE" w:rsidP="00723CBE">
            <w:pPr>
              <w:jc w:val="center"/>
              <w:rPr>
                <w:rFonts w:ascii="Calibri" w:eastAsia="Times New Roman" w:hAnsi="Calibri" w:cs="Calibri"/>
                <w:color w:val="000000" w:themeColor="text1"/>
              </w:rPr>
            </w:pPr>
            <w:r w:rsidRPr="0048737B">
              <w:rPr>
                <w:rFonts w:ascii="Calibri" w:eastAsia="Times New Roman" w:hAnsi="Calibri" w:cs="Calibri"/>
                <w:color w:val="000000" w:themeColor="text1"/>
              </w:rPr>
              <w:t>100%</w:t>
            </w:r>
          </w:p>
        </w:tc>
        <w:tc>
          <w:tcPr>
            <w:tcW w:w="1592" w:type="dxa"/>
            <w:tcBorders>
              <w:top w:val="nil"/>
              <w:left w:val="nil"/>
              <w:bottom w:val="nil"/>
              <w:right w:val="nil"/>
            </w:tcBorders>
            <w:shd w:val="clear" w:color="000000" w:fill="FFFFFF"/>
            <w:noWrap/>
            <w:vAlign w:val="bottom"/>
            <w:hideMark/>
          </w:tcPr>
          <w:p w14:paraId="132BD312" w14:textId="77777777" w:rsidR="00723CBE" w:rsidRPr="0048737B" w:rsidRDefault="00723CBE" w:rsidP="00723CBE">
            <w:pPr>
              <w:jc w:val="center"/>
              <w:rPr>
                <w:rFonts w:ascii="Calibri" w:eastAsia="Times New Roman" w:hAnsi="Calibri" w:cs="Calibri"/>
                <w:color w:val="000000" w:themeColor="text1"/>
              </w:rPr>
            </w:pPr>
            <w:r w:rsidRPr="0048737B">
              <w:rPr>
                <w:rFonts w:ascii="Calibri" w:eastAsia="Times New Roman" w:hAnsi="Calibri" w:cs="Calibri"/>
                <w:color w:val="000000" w:themeColor="text1"/>
              </w:rPr>
              <w:t> </w:t>
            </w:r>
          </w:p>
        </w:tc>
        <w:tc>
          <w:tcPr>
            <w:tcW w:w="1310" w:type="dxa"/>
            <w:tcBorders>
              <w:top w:val="single" w:sz="4" w:space="0" w:color="44546A"/>
              <w:left w:val="nil"/>
              <w:bottom w:val="double" w:sz="6" w:space="0" w:color="44546A"/>
              <w:right w:val="nil"/>
            </w:tcBorders>
            <w:shd w:val="clear" w:color="auto" w:fill="F2F2F2" w:themeFill="background1" w:themeFillShade="F2"/>
            <w:noWrap/>
            <w:vAlign w:val="bottom"/>
            <w:hideMark/>
          </w:tcPr>
          <w:p w14:paraId="134D0AC5" w14:textId="1E733DDF" w:rsidR="00723CBE" w:rsidRPr="00F65869" w:rsidRDefault="00723CBE" w:rsidP="00723CBE">
            <w:pPr>
              <w:jc w:val="center"/>
              <w:rPr>
                <w:rFonts w:ascii="Calibri" w:eastAsia="Times New Roman" w:hAnsi="Calibri" w:cs="Calibri"/>
                <w:color w:val="0D0D0D"/>
              </w:rPr>
            </w:pPr>
            <w:r w:rsidRPr="00F65869">
              <w:rPr>
                <w:rFonts w:ascii="Calibri" w:eastAsia="Times New Roman" w:hAnsi="Calibri" w:cs="Calibri"/>
                <w:color w:val="0D0D0D"/>
              </w:rPr>
              <w:t>100%</w:t>
            </w:r>
          </w:p>
        </w:tc>
        <w:tc>
          <w:tcPr>
            <w:tcW w:w="1627" w:type="dxa"/>
            <w:tcBorders>
              <w:top w:val="nil"/>
              <w:left w:val="nil"/>
              <w:bottom w:val="nil"/>
              <w:right w:val="nil"/>
            </w:tcBorders>
            <w:shd w:val="clear" w:color="auto" w:fill="F2F2F2" w:themeFill="background1" w:themeFillShade="F2"/>
            <w:noWrap/>
            <w:vAlign w:val="bottom"/>
            <w:hideMark/>
          </w:tcPr>
          <w:p w14:paraId="0DA2E802" w14:textId="77777777" w:rsidR="00723CBE" w:rsidRPr="00F65869" w:rsidRDefault="00723CBE" w:rsidP="00723CBE">
            <w:pPr>
              <w:jc w:val="center"/>
              <w:rPr>
                <w:rFonts w:ascii="Calibri" w:eastAsia="Times New Roman" w:hAnsi="Calibri" w:cs="Calibri"/>
                <w:color w:val="0D0D0D"/>
              </w:rPr>
            </w:pPr>
            <w:r w:rsidRPr="00F65869">
              <w:rPr>
                <w:rFonts w:ascii="Calibri" w:eastAsia="Times New Roman" w:hAnsi="Calibri" w:cs="Calibri"/>
                <w:color w:val="0D0D0D"/>
              </w:rPr>
              <w:t> </w:t>
            </w:r>
          </w:p>
        </w:tc>
      </w:tr>
    </w:tbl>
    <w:p w14:paraId="70343698" w14:textId="77777777" w:rsidR="00DD1612" w:rsidRDefault="00DD1612" w:rsidP="00DD1612">
      <w:pPr>
        <w:spacing w:before="240" w:line="259" w:lineRule="auto"/>
        <w:rPr>
          <w:rFonts w:eastAsiaTheme="majorEastAsia" w:cstheme="minorHAnsi"/>
          <w:b/>
          <w:i/>
          <w:iCs/>
          <w:smallCaps/>
          <w:noProof/>
          <w:color w:val="000000" w:themeColor="text1"/>
          <w:sz w:val="26"/>
          <w:szCs w:val="26"/>
          <w:u w:color="5B9BD5"/>
        </w:rPr>
      </w:pPr>
      <w:r w:rsidRPr="00F54559">
        <w:rPr>
          <w:rFonts w:eastAsia="Times New Roman" w:cstheme="minorHAnsi"/>
          <w:b/>
          <w:i/>
          <w:spacing w:val="-1"/>
          <w:sz w:val="24"/>
        </w:rPr>
        <w:t>Discount Rate</w:t>
      </w:r>
      <w:r w:rsidRPr="00F54559">
        <w:rPr>
          <w:rFonts w:eastAsia="Times New Roman" w:cstheme="minorHAnsi"/>
          <w:b/>
          <w:spacing w:val="-1"/>
          <w:sz w:val="24"/>
        </w:rPr>
        <w:t>:</w:t>
      </w:r>
      <w:r w:rsidRPr="00F54559">
        <w:rPr>
          <w:rFonts w:eastAsia="Times New Roman" w:cstheme="minorHAnsi"/>
          <w:spacing w:val="-1"/>
          <w:sz w:val="24"/>
          <w:szCs w:val="24"/>
        </w:rPr>
        <w:t xml:space="preserve"> </w:t>
      </w:r>
      <w:r w:rsidRPr="00F54559">
        <w:rPr>
          <w:rFonts w:cstheme="minorHAnsi"/>
          <w:sz w:val="24"/>
          <w:szCs w:val="24"/>
        </w:rPr>
        <w:t>Projected benefit payments are required to be discounted to their actuarial present value using the single rate that reflects (1) a long-term expected rate of return on OPEB Plan investments to the extent that the OPEB Plan’s fiduciary net position is projected to be sufficient to make projected benefit payments and OPEB Plan assets are expected to be invested using a strategy to achieve that return and (2) a tax-exempt, high-quality municipal bond rate to the extent that the conditions for use of the long-term expected rate of return are not met.</w:t>
      </w:r>
    </w:p>
    <w:p w14:paraId="1E1F4DE5" w14:textId="77777777" w:rsidR="00DD1612" w:rsidRPr="00F54559" w:rsidDel="00B4145F" w:rsidRDefault="00DD1612" w:rsidP="00DD1612">
      <w:pPr>
        <w:tabs>
          <w:tab w:val="left" w:pos="900"/>
        </w:tabs>
        <w:ind w:right="-7"/>
        <w:rPr>
          <w:rFonts w:cstheme="minorHAnsi"/>
          <w:color w:val="222222"/>
          <w:sz w:val="24"/>
          <w:shd w:val="clear" w:color="auto" w:fill="FFFFFF"/>
        </w:rPr>
      </w:pPr>
    </w:p>
    <w:p w14:paraId="07300139" w14:textId="77777777" w:rsidR="00445E32" w:rsidRDefault="00DD1612" w:rsidP="00DD1612">
      <w:pPr>
        <w:spacing w:after="160" w:line="259" w:lineRule="auto"/>
        <w:rPr>
          <w:rFonts w:eastAsia="Times New Roman" w:cstheme="minorHAnsi"/>
          <w:spacing w:val="-1"/>
          <w:sz w:val="24"/>
        </w:rPr>
      </w:pPr>
      <w:r w:rsidRPr="00F54559">
        <w:rPr>
          <w:rFonts w:eastAsia="Times New Roman" w:cstheme="minorHAnsi"/>
          <w:spacing w:val="-1"/>
          <w:sz w:val="24"/>
        </w:rPr>
        <w:t>The discount rate used to measure the total OPEB liability at the measurement date</w:t>
      </w:r>
      <w:r>
        <w:rPr>
          <w:rFonts w:eastAsia="Times New Roman" w:cstheme="minorHAnsi"/>
          <w:spacing w:val="-1"/>
          <w:sz w:val="24"/>
        </w:rPr>
        <w:t xml:space="preserve">s of June 30, </w:t>
      </w:r>
      <w:r w:rsidR="0017178B">
        <w:rPr>
          <w:rFonts w:eastAsia="Times New Roman" w:cstheme="minorHAnsi"/>
          <w:spacing w:val="-1"/>
          <w:sz w:val="24"/>
        </w:rPr>
        <w:t xml:space="preserve">2023 </w:t>
      </w:r>
      <w:r>
        <w:rPr>
          <w:rFonts w:eastAsia="Times New Roman" w:cstheme="minorHAnsi"/>
          <w:spacing w:val="-1"/>
          <w:sz w:val="24"/>
        </w:rPr>
        <w:t xml:space="preserve">and </w:t>
      </w:r>
      <w:r w:rsidR="0017178B">
        <w:rPr>
          <w:rFonts w:eastAsia="Times New Roman" w:cstheme="minorHAnsi"/>
          <w:spacing w:val="-1"/>
          <w:sz w:val="24"/>
        </w:rPr>
        <w:t xml:space="preserve">2022 </w:t>
      </w:r>
      <w:r>
        <w:rPr>
          <w:rFonts w:eastAsia="Times New Roman" w:cstheme="minorHAnsi"/>
          <w:spacing w:val="-1"/>
          <w:sz w:val="24"/>
        </w:rPr>
        <w:t>was</w:t>
      </w:r>
      <w:r w:rsidRPr="00F54559">
        <w:rPr>
          <w:rFonts w:eastAsia="Times New Roman" w:cstheme="minorHAnsi"/>
          <w:spacing w:val="-1"/>
          <w:sz w:val="24"/>
        </w:rPr>
        <w:t xml:space="preserve"> 7.</w:t>
      </w:r>
      <w:r>
        <w:rPr>
          <w:rFonts w:eastAsia="Times New Roman" w:cstheme="minorHAnsi"/>
          <w:spacing w:val="-1"/>
          <w:sz w:val="24"/>
        </w:rPr>
        <w:t>2</w:t>
      </w:r>
      <w:r w:rsidRPr="00F54559">
        <w:rPr>
          <w:rFonts w:eastAsia="Times New Roman" w:cstheme="minorHAnsi"/>
          <w:spacing w:val="-1"/>
          <w:sz w:val="24"/>
        </w:rPr>
        <w:t>5%</w:t>
      </w:r>
      <w:r>
        <w:rPr>
          <w:rFonts w:eastAsia="Times New Roman" w:cstheme="minorHAnsi"/>
          <w:spacing w:val="-1"/>
          <w:sz w:val="24"/>
        </w:rPr>
        <w:t>.</w:t>
      </w:r>
      <w:r w:rsidRPr="00F54559">
        <w:rPr>
          <w:rFonts w:eastAsia="Times New Roman" w:cstheme="minorHAnsi"/>
          <w:spacing w:val="-1"/>
          <w:sz w:val="24"/>
        </w:rPr>
        <w:t xml:space="preserve"> The projection of cash flows used to determine the discount rate assumed that contributions from the System will be made in accordance with the OPEB Plan’s </w:t>
      </w:r>
    </w:p>
    <w:p w14:paraId="7D0C648F" w14:textId="77777777" w:rsidR="00445E32" w:rsidRPr="00F54559" w:rsidRDefault="00445E32" w:rsidP="00445E32">
      <w:pPr>
        <w:spacing w:after="240" w:line="259" w:lineRule="auto"/>
        <w:rPr>
          <w:rFonts w:eastAsiaTheme="majorEastAsia" w:cstheme="minorHAnsi"/>
          <w:i/>
          <w:iCs/>
          <w:smallCaps/>
          <w:noProof/>
          <w:color w:val="000000" w:themeColor="text1"/>
          <w:szCs w:val="26"/>
          <w:u w:color="5B9BD5"/>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6938A358" w14:textId="43BE9F5B" w:rsidR="00116215" w:rsidRDefault="00DD1612" w:rsidP="00DD1612">
      <w:pPr>
        <w:spacing w:after="160" w:line="259" w:lineRule="auto"/>
        <w:rPr>
          <w:rFonts w:eastAsia="Times New Roman" w:cstheme="minorHAnsi"/>
          <w:spacing w:val="-1"/>
          <w:sz w:val="24"/>
        </w:rPr>
      </w:pPr>
      <w:r w:rsidRPr="00F54559">
        <w:rPr>
          <w:rFonts w:eastAsia="Times New Roman" w:cstheme="minorHAnsi"/>
          <w:spacing w:val="-1"/>
          <w:sz w:val="24"/>
        </w:rPr>
        <w:t xml:space="preserve">funding policy. Based on those assumptions, the OPEB Plan's fiduciary net position was projected to be available to make all projected future benefit payments of current plan </w:t>
      </w:r>
      <w:r w:rsidR="00445E32">
        <w:rPr>
          <w:rFonts w:eastAsia="Times New Roman" w:cstheme="minorHAnsi"/>
          <w:spacing w:val="-1"/>
          <w:sz w:val="24"/>
        </w:rPr>
        <w:t xml:space="preserve">members. </w:t>
      </w:r>
      <w:r w:rsidR="00445E32" w:rsidRPr="00F54559">
        <w:rPr>
          <w:rFonts w:eastAsia="Times New Roman" w:cstheme="minorHAnsi"/>
          <w:spacing w:val="-1"/>
          <w:sz w:val="24"/>
        </w:rPr>
        <w:t xml:space="preserve">Therefore, the long-term expected rate </w:t>
      </w:r>
      <w:r w:rsidR="00445E32" w:rsidRPr="004C21B8">
        <w:rPr>
          <w:rFonts w:eastAsia="Times New Roman" w:cstheme="minorHAnsi"/>
          <w:spacing w:val="-1"/>
          <w:sz w:val="24"/>
        </w:rPr>
        <w:t xml:space="preserve">of return </w:t>
      </w:r>
      <w:r w:rsidR="00445E32" w:rsidRPr="00F54559">
        <w:rPr>
          <w:rFonts w:eastAsia="Times New Roman" w:cstheme="minorHAnsi"/>
          <w:spacing w:val="-1"/>
          <w:sz w:val="24"/>
        </w:rPr>
        <w:t>on OPEB Plan investments was applied to all periods of projected benefit payments to determine the total OPEB liability.</w:t>
      </w:r>
    </w:p>
    <w:p w14:paraId="3F48B635" w14:textId="110DD539" w:rsidR="00DD1612" w:rsidRPr="00F54559" w:rsidRDefault="00DD1612" w:rsidP="00DD1612">
      <w:pPr>
        <w:tabs>
          <w:tab w:val="left" w:pos="1080"/>
        </w:tabs>
        <w:spacing w:after="240"/>
        <w:ind w:right="-7"/>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 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 xml:space="preserve">higher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00714D11">
        <w:rPr>
          <w:rFonts w:eastAsia="Times New Roman" w:cstheme="minorHAnsi"/>
          <w:sz w:val="24"/>
        </w:rPr>
        <w:t>.</w:t>
      </w:r>
      <w:r>
        <w:rPr>
          <w:rFonts w:eastAsia="Times New Roman" w:cstheme="minorHAnsi"/>
          <w:sz w:val="24"/>
        </w:rPr>
        <w:fldChar w:fldCharType="begin"/>
      </w:r>
      <w:r>
        <w:rPr>
          <w:rFonts w:eastAsia="Times New Roman" w:cstheme="minorHAnsi"/>
          <w:sz w:val="24"/>
        </w:rPr>
        <w:fldChar w:fldCharType="end"/>
      </w:r>
    </w:p>
    <w:tbl>
      <w:tblPr>
        <w:tblW w:w="9090" w:type="dxa"/>
        <w:tblLayout w:type="fixed"/>
        <w:tblLook w:val="04A0" w:firstRow="1" w:lastRow="0" w:firstColumn="1" w:lastColumn="0" w:noHBand="0" w:noVBand="1"/>
      </w:tblPr>
      <w:tblGrid>
        <w:gridCol w:w="2160"/>
        <w:gridCol w:w="270"/>
        <w:gridCol w:w="900"/>
        <w:gridCol w:w="1080"/>
        <w:gridCol w:w="990"/>
        <w:gridCol w:w="270"/>
        <w:gridCol w:w="270"/>
        <w:gridCol w:w="810"/>
        <w:gridCol w:w="1170"/>
        <w:gridCol w:w="900"/>
        <w:gridCol w:w="270"/>
      </w:tblGrid>
      <w:tr w:rsidR="00DD1612" w:rsidRPr="00F65869" w14:paraId="4BF9F460" w14:textId="77777777" w:rsidTr="00DD4C0C">
        <w:trPr>
          <w:trHeight w:val="288"/>
          <w:tblHeader/>
        </w:trPr>
        <w:tc>
          <w:tcPr>
            <w:tcW w:w="2160" w:type="dxa"/>
            <w:tcBorders>
              <w:top w:val="nil"/>
              <w:left w:val="nil"/>
              <w:bottom w:val="nil"/>
              <w:right w:val="nil"/>
            </w:tcBorders>
            <w:shd w:val="clear" w:color="auto" w:fill="auto"/>
            <w:noWrap/>
            <w:vAlign w:val="bottom"/>
            <w:hideMark/>
          </w:tcPr>
          <w:p w14:paraId="6382F0E2" w14:textId="77777777" w:rsidR="00DD1612" w:rsidRPr="00F65869" w:rsidRDefault="00DD1612" w:rsidP="00BD375F">
            <w:pPr>
              <w:rPr>
                <w:rFonts w:ascii="Times New Roman" w:eastAsia="Times New Roman" w:hAnsi="Times New Roman" w:cs="Times New Roman"/>
                <w:sz w:val="24"/>
                <w:szCs w:val="24"/>
              </w:rPr>
            </w:pPr>
          </w:p>
        </w:tc>
        <w:tc>
          <w:tcPr>
            <w:tcW w:w="270" w:type="dxa"/>
            <w:tcBorders>
              <w:top w:val="nil"/>
              <w:left w:val="nil"/>
              <w:bottom w:val="single" w:sz="4" w:space="0" w:color="auto"/>
              <w:right w:val="nil"/>
            </w:tcBorders>
            <w:shd w:val="clear" w:color="auto" w:fill="auto"/>
            <w:noWrap/>
            <w:vAlign w:val="bottom"/>
            <w:hideMark/>
          </w:tcPr>
          <w:p w14:paraId="316001F1" w14:textId="77777777" w:rsidR="00DD1612" w:rsidRPr="00F65869" w:rsidRDefault="00DD1612" w:rsidP="00BD375F">
            <w:pPr>
              <w:jc w:val="center"/>
              <w:rPr>
                <w:rFonts w:ascii="Calibri" w:eastAsia="Times New Roman" w:hAnsi="Calibri" w:cs="Calibri"/>
                <w:b/>
                <w:bCs/>
                <w:color w:val="0D0D0D"/>
              </w:rPr>
            </w:pPr>
          </w:p>
        </w:tc>
        <w:tc>
          <w:tcPr>
            <w:tcW w:w="2970" w:type="dxa"/>
            <w:gridSpan w:val="3"/>
            <w:tcBorders>
              <w:top w:val="nil"/>
              <w:left w:val="nil"/>
              <w:bottom w:val="single" w:sz="4" w:space="0" w:color="auto"/>
              <w:right w:val="nil"/>
            </w:tcBorders>
            <w:shd w:val="clear" w:color="auto" w:fill="auto"/>
            <w:vAlign w:val="bottom"/>
          </w:tcPr>
          <w:p w14:paraId="4B374D59" w14:textId="00831268"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June 30, 202</w:t>
            </w:r>
            <w:r w:rsidR="00723CBE">
              <w:rPr>
                <w:rFonts w:ascii="Calibri" w:eastAsia="Times New Roman" w:hAnsi="Calibri" w:cs="Calibri"/>
                <w:b/>
                <w:bCs/>
                <w:color w:val="0D0D0D"/>
              </w:rPr>
              <w:t>3</w:t>
            </w:r>
          </w:p>
        </w:tc>
        <w:tc>
          <w:tcPr>
            <w:tcW w:w="270" w:type="dxa"/>
            <w:tcBorders>
              <w:top w:val="nil"/>
              <w:left w:val="nil"/>
              <w:bottom w:val="single" w:sz="4" w:space="0" w:color="auto"/>
              <w:right w:val="nil"/>
            </w:tcBorders>
            <w:shd w:val="clear" w:color="auto" w:fill="auto"/>
            <w:vAlign w:val="bottom"/>
          </w:tcPr>
          <w:p w14:paraId="239F1E29" w14:textId="77777777" w:rsidR="00DD1612" w:rsidRPr="00F65869" w:rsidRDefault="00DD1612" w:rsidP="00BD375F">
            <w:pPr>
              <w:jc w:val="center"/>
              <w:rPr>
                <w:rFonts w:ascii="Calibri" w:eastAsia="Times New Roman" w:hAnsi="Calibri" w:cs="Calibri"/>
                <w:b/>
                <w:bCs/>
                <w:color w:val="0D0D0D"/>
              </w:rPr>
            </w:pPr>
          </w:p>
        </w:tc>
        <w:tc>
          <w:tcPr>
            <w:tcW w:w="270" w:type="dxa"/>
            <w:tcBorders>
              <w:top w:val="nil"/>
              <w:left w:val="nil"/>
              <w:bottom w:val="single" w:sz="4" w:space="0" w:color="auto"/>
              <w:right w:val="nil"/>
            </w:tcBorders>
            <w:shd w:val="clear" w:color="auto" w:fill="F2F2F2" w:themeFill="background1" w:themeFillShade="F2"/>
            <w:noWrap/>
            <w:vAlign w:val="bottom"/>
            <w:hideMark/>
          </w:tcPr>
          <w:p w14:paraId="2A54C1AB" w14:textId="77777777" w:rsidR="00DD1612" w:rsidRPr="00F65869" w:rsidRDefault="00DD1612" w:rsidP="00BD375F">
            <w:pPr>
              <w:jc w:val="center"/>
              <w:rPr>
                <w:rFonts w:ascii="Calibri" w:eastAsia="Times New Roman" w:hAnsi="Calibri" w:cs="Calibri"/>
                <w:b/>
                <w:bCs/>
                <w:color w:val="0D0D0D"/>
              </w:rPr>
            </w:pPr>
          </w:p>
        </w:tc>
        <w:tc>
          <w:tcPr>
            <w:tcW w:w="2880" w:type="dxa"/>
            <w:gridSpan w:val="3"/>
            <w:tcBorders>
              <w:top w:val="nil"/>
              <w:left w:val="nil"/>
              <w:bottom w:val="single" w:sz="4" w:space="0" w:color="auto"/>
              <w:right w:val="nil"/>
            </w:tcBorders>
            <w:shd w:val="clear" w:color="auto" w:fill="F2F2F2" w:themeFill="background1" w:themeFillShade="F2"/>
            <w:vAlign w:val="bottom"/>
          </w:tcPr>
          <w:p w14:paraId="10968E7F" w14:textId="045E62D4" w:rsidR="00DD1612" w:rsidRPr="00F65869" w:rsidRDefault="00DD1612" w:rsidP="00BD375F">
            <w:pPr>
              <w:jc w:val="center"/>
              <w:rPr>
                <w:rFonts w:ascii="Calibri" w:eastAsia="Times New Roman" w:hAnsi="Calibri" w:cs="Calibri"/>
                <w:b/>
                <w:bCs/>
                <w:color w:val="0D0D0D"/>
              </w:rPr>
            </w:pPr>
            <w:r w:rsidRPr="00F65869">
              <w:rPr>
                <w:rFonts w:ascii="Calibri" w:eastAsia="Times New Roman" w:hAnsi="Calibri" w:cs="Calibri"/>
                <w:b/>
                <w:bCs/>
                <w:color w:val="0D0D0D"/>
              </w:rPr>
              <w:t>June 30, 20</w:t>
            </w:r>
            <w:r>
              <w:rPr>
                <w:rFonts w:ascii="Calibri" w:eastAsia="Times New Roman" w:hAnsi="Calibri" w:cs="Calibri"/>
                <w:b/>
                <w:bCs/>
                <w:color w:val="0D0D0D"/>
              </w:rPr>
              <w:t>2</w:t>
            </w:r>
            <w:r w:rsidR="00723CBE">
              <w:rPr>
                <w:rFonts w:ascii="Calibri" w:eastAsia="Times New Roman" w:hAnsi="Calibri" w:cs="Calibri"/>
                <w:b/>
                <w:bCs/>
                <w:color w:val="0D0D0D"/>
              </w:rPr>
              <w:t>2</w:t>
            </w:r>
          </w:p>
        </w:tc>
        <w:tc>
          <w:tcPr>
            <w:tcW w:w="270" w:type="dxa"/>
            <w:tcBorders>
              <w:top w:val="nil"/>
              <w:left w:val="nil"/>
              <w:bottom w:val="single" w:sz="4" w:space="0" w:color="auto"/>
              <w:right w:val="nil"/>
            </w:tcBorders>
            <w:shd w:val="clear" w:color="auto" w:fill="F2F2F2" w:themeFill="background1" w:themeFillShade="F2"/>
            <w:vAlign w:val="bottom"/>
          </w:tcPr>
          <w:p w14:paraId="7AE55BA6" w14:textId="77777777" w:rsidR="00DD1612" w:rsidRPr="00F65869" w:rsidRDefault="00DD1612" w:rsidP="00BD375F">
            <w:pPr>
              <w:jc w:val="center"/>
              <w:rPr>
                <w:rFonts w:ascii="Calibri" w:eastAsia="Times New Roman" w:hAnsi="Calibri" w:cs="Calibri"/>
                <w:b/>
                <w:bCs/>
                <w:color w:val="0D0D0D"/>
              </w:rPr>
            </w:pPr>
          </w:p>
        </w:tc>
      </w:tr>
      <w:tr w:rsidR="00DD1612" w:rsidRPr="00F65869" w14:paraId="619CDBB4" w14:textId="77777777" w:rsidTr="00B045CF">
        <w:trPr>
          <w:trHeight w:val="845"/>
          <w:tblHeader/>
        </w:trPr>
        <w:tc>
          <w:tcPr>
            <w:tcW w:w="2160" w:type="dxa"/>
            <w:tcBorders>
              <w:top w:val="nil"/>
              <w:left w:val="nil"/>
              <w:bottom w:val="nil"/>
              <w:right w:val="nil"/>
            </w:tcBorders>
            <w:shd w:val="clear" w:color="000000" w:fill="FFFFFF"/>
            <w:noWrap/>
            <w:vAlign w:val="bottom"/>
            <w:hideMark/>
          </w:tcPr>
          <w:p w14:paraId="4F20F77E" w14:textId="77777777" w:rsidR="00DD1612" w:rsidRPr="00F65869" w:rsidRDefault="00DD1612" w:rsidP="00BD375F">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170" w:type="dxa"/>
            <w:gridSpan w:val="2"/>
            <w:tcBorders>
              <w:top w:val="nil"/>
              <w:left w:val="nil"/>
              <w:bottom w:val="nil"/>
              <w:right w:val="nil"/>
            </w:tcBorders>
            <w:shd w:val="clear" w:color="000000" w:fill="FFFFFF"/>
            <w:vAlign w:val="bottom"/>
            <w:hideMark/>
          </w:tcPr>
          <w:p w14:paraId="3EC376D6"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 xml:space="preserve">1% Decrease </w:t>
            </w:r>
          </w:p>
        </w:tc>
        <w:tc>
          <w:tcPr>
            <w:tcW w:w="1080" w:type="dxa"/>
            <w:tcBorders>
              <w:top w:val="nil"/>
              <w:left w:val="nil"/>
              <w:bottom w:val="nil"/>
              <w:right w:val="nil"/>
            </w:tcBorders>
            <w:shd w:val="clear" w:color="000000" w:fill="FFFFFF"/>
            <w:vAlign w:val="bottom"/>
            <w:hideMark/>
          </w:tcPr>
          <w:p w14:paraId="6BB2D651"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Rate </w:t>
            </w:r>
          </w:p>
        </w:tc>
        <w:tc>
          <w:tcPr>
            <w:tcW w:w="1260" w:type="dxa"/>
            <w:gridSpan w:val="2"/>
            <w:tcBorders>
              <w:top w:val="nil"/>
              <w:left w:val="nil"/>
              <w:bottom w:val="nil"/>
              <w:right w:val="nil"/>
            </w:tcBorders>
            <w:shd w:val="clear" w:color="000000" w:fill="FFFFFF"/>
            <w:vAlign w:val="bottom"/>
            <w:hideMark/>
          </w:tcPr>
          <w:p w14:paraId="46D4D4D1"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 xml:space="preserve">1% Increase </w:t>
            </w:r>
          </w:p>
        </w:tc>
        <w:tc>
          <w:tcPr>
            <w:tcW w:w="1080" w:type="dxa"/>
            <w:gridSpan w:val="2"/>
            <w:tcBorders>
              <w:top w:val="nil"/>
              <w:left w:val="nil"/>
              <w:bottom w:val="nil"/>
              <w:right w:val="nil"/>
            </w:tcBorders>
            <w:shd w:val="clear" w:color="auto" w:fill="F2F2F2" w:themeFill="background1" w:themeFillShade="F2"/>
            <w:vAlign w:val="bottom"/>
            <w:hideMark/>
          </w:tcPr>
          <w:p w14:paraId="6DF52546" w14:textId="77777777" w:rsidR="00DD1612"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70A3D5FA"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Decrease</w:t>
            </w:r>
          </w:p>
        </w:tc>
        <w:tc>
          <w:tcPr>
            <w:tcW w:w="1170" w:type="dxa"/>
            <w:tcBorders>
              <w:top w:val="nil"/>
              <w:left w:val="nil"/>
              <w:bottom w:val="nil"/>
              <w:right w:val="nil"/>
            </w:tcBorders>
            <w:shd w:val="clear" w:color="auto" w:fill="F2F2F2" w:themeFill="background1" w:themeFillShade="F2"/>
            <w:vAlign w:val="bottom"/>
            <w:hideMark/>
          </w:tcPr>
          <w:p w14:paraId="5854D938" w14:textId="77777777" w:rsidR="00DD1612"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Current Discount</w:t>
            </w:r>
          </w:p>
          <w:p w14:paraId="4A1E2DDB"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Rate</w:t>
            </w:r>
          </w:p>
        </w:tc>
        <w:tc>
          <w:tcPr>
            <w:tcW w:w="1170" w:type="dxa"/>
            <w:gridSpan w:val="2"/>
            <w:tcBorders>
              <w:top w:val="nil"/>
              <w:left w:val="nil"/>
              <w:bottom w:val="nil"/>
              <w:right w:val="nil"/>
            </w:tcBorders>
            <w:shd w:val="clear" w:color="auto" w:fill="F2F2F2" w:themeFill="background1" w:themeFillShade="F2"/>
            <w:vAlign w:val="bottom"/>
            <w:hideMark/>
          </w:tcPr>
          <w:p w14:paraId="02D215B6" w14:textId="77777777" w:rsidR="00DD1612"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509790DA" w14:textId="77777777" w:rsidR="00DD1612" w:rsidRPr="00B77D08" w:rsidRDefault="00DD1612" w:rsidP="00BD375F">
            <w:pPr>
              <w:jc w:val="center"/>
              <w:rPr>
                <w:rFonts w:ascii="Calibri" w:eastAsia="Times New Roman" w:hAnsi="Calibri" w:cs="Calibri"/>
                <w:bCs/>
                <w:color w:val="0D0D0D"/>
              </w:rPr>
            </w:pPr>
            <w:r w:rsidRPr="00B77D08">
              <w:rPr>
                <w:rFonts w:ascii="Calibri" w:eastAsia="Times New Roman" w:hAnsi="Calibri" w:cs="Calibri"/>
                <w:bCs/>
                <w:color w:val="0D0D0D"/>
              </w:rPr>
              <w:t xml:space="preserve"> Increase</w:t>
            </w:r>
          </w:p>
        </w:tc>
      </w:tr>
      <w:tr w:rsidR="00DD1612" w:rsidRPr="00F65869" w14:paraId="48A59A7C" w14:textId="77777777" w:rsidTr="00B045CF">
        <w:trPr>
          <w:trHeight w:val="270"/>
        </w:trPr>
        <w:tc>
          <w:tcPr>
            <w:tcW w:w="2160" w:type="dxa"/>
            <w:tcBorders>
              <w:top w:val="nil"/>
              <w:left w:val="nil"/>
              <w:bottom w:val="nil"/>
              <w:right w:val="nil"/>
            </w:tcBorders>
            <w:shd w:val="clear" w:color="000000" w:fill="FFFFFF"/>
            <w:noWrap/>
            <w:vAlign w:val="bottom"/>
          </w:tcPr>
          <w:p w14:paraId="59A5776F" w14:textId="77777777" w:rsidR="00DD1612" w:rsidRPr="00F65869" w:rsidRDefault="00DD1612" w:rsidP="00BD375F">
            <w:pPr>
              <w:rPr>
                <w:rFonts w:ascii="Calibri" w:eastAsia="Times New Roman" w:hAnsi="Calibri" w:cs="Calibri"/>
                <w:color w:val="0D0D0D"/>
              </w:rPr>
            </w:pPr>
          </w:p>
        </w:tc>
        <w:tc>
          <w:tcPr>
            <w:tcW w:w="1170" w:type="dxa"/>
            <w:gridSpan w:val="2"/>
            <w:tcBorders>
              <w:top w:val="nil"/>
              <w:left w:val="nil"/>
              <w:bottom w:val="nil"/>
              <w:right w:val="nil"/>
            </w:tcBorders>
            <w:shd w:val="clear" w:color="000000" w:fill="FFFFFF"/>
            <w:vAlign w:val="bottom"/>
          </w:tcPr>
          <w:p w14:paraId="3BE3BE82" w14:textId="77777777" w:rsidR="00DD1612" w:rsidRPr="0048737B" w:rsidRDefault="00DD1612" w:rsidP="00BD375F">
            <w:pPr>
              <w:jc w:val="center"/>
              <w:rPr>
                <w:rFonts w:ascii="Calibri" w:eastAsia="Times New Roman" w:hAnsi="Calibri" w:cs="Calibri"/>
                <w:color w:val="000000" w:themeColor="text1"/>
              </w:rPr>
            </w:pPr>
            <w:r w:rsidRPr="0048737B">
              <w:rPr>
                <w:rFonts w:ascii="Calibri" w:eastAsia="Times New Roman" w:hAnsi="Calibri" w:cs="Calibri"/>
                <w:color w:val="000000" w:themeColor="text1"/>
              </w:rPr>
              <w:t>(6.25%)</w:t>
            </w:r>
          </w:p>
        </w:tc>
        <w:tc>
          <w:tcPr>
            <w:tcW w:w="1080" w:type="dxa"/>
            <w:tcBorders>
              <w:top w:val="nil"/>
              <w:left w:val="nil"/>
              <w:bottom w:val="nil"/>
              <w:right w:val="nil"/>
            </w:tcBorders>
            <w:shd w:val="clear" w:color="000000" w:fill="FFFFFF"/>
            <w:vAlign w:val="bottom"/>
          </w:tcPr>
          <w:p w14:paraId="2B104B42" w14:textId="77777777" w:rsidR="00DD1612" w:rsidRPr="0048737B" w:rsidRDefault="00DD1612" w:rsidP="00BD375F">
            <w:pPr>
              <w:jc w:val="center"/>
              <w:rPr>
                <w:rFonts w:ascii="Calibri" w:eastAsia="Times New Roman" w:hAnsi="Calibri" w:cs="Calibri"/>
                <w:color w:val="000000" w:themeColor="text1"/>
              </w:rPr>
            </w:pPr>
            <w:r w:rsidRPr="0048737B">
              <w:rPr>
                <w:rFonts w:ascii="Calibri" w:eastAsia="Times New Roman" w:hAnsi="Calibri" w:cs="Calibri"/>
                <w:color w:val="000000" w:themeColor="text1"/>
              </w:rPr>
              <w:t>(7.25%)</w:t>
            </w:r>
          </w:p>
        </w:tc>
        <w:tc>
          <w:tcPr>
            <w:tcW w:w="1260" w:type="dxa"/>
            <w:gridSpan w:val="2"/>
            <w:tcBorders>
              <w:top w:val="nil"/>
              <w:left w:val="nil"/>
              <w:bottom w:val="nil"/>
              <w:right w:val="nil"/>
            </w:tcBorders>
            <w:shd w:val="clear" w:color="000000" w:fill="FFFFFF"/>
            <w:vAlign w:val="bottom"/>
          </w:tcPr>
          <w:p w14:paraId="2B23E823" w14:textId="77777777" w:rsidR="00DD1612" w:rsidRPr="0048737B" w:rsidRDefault="00DD1612" w:rsidP="00BD375F">
            <w:pPr>
              <w:jc w:val="center"/>
              <w:rPr>
                <w:rFonts w:ascii="Calibri" w:eastAsia="Times New Roman" w:hAnsi="Calibri" w:cs="Calibri"/>
                <w:color w:val="000000" w:themeColor="text1"/>
              </w:rPr>
            </w:pPr>
            <w:r w:rsidRPr="0048737B">
              <w:rPr>
                <w:rFonts w:ascii="Calibri" w:eastAsia="Times New Roman" w:hAnsi="Calibri" w:cs="Calibri"/>
                <w:color w:val="000000" w:themeColor="text1"/>
              </w:rPr>
              <w:t>(8.25%)</w:t>
            </w:r>
          </w:p>
        </w:tc>
        <w:tc>
          <w:tcPr>
            <w:tcW w:w="1080" w:type="dxa"/>
            <w:gridSpan w:val="2"/>
            <w:tcBorders>
              <w:top w:val="nil"/>
              <w:left w:val="nil"/>
              <w:bottom w:val="nil"/>
              <w:right w:val="nil"/>
            </w:tcBorders>
            <w:shd w:val="clear" w:color="auto" w:fill="F2F2F2" w:themeFill="background1" w:themeFillShade="F2"/>
            <w:vAlign w:val="bottom"/>
          </w:tcPr>
          <w:p w14:paraId="1B8D534B" w14:textId="77777777" w:rsidR="00DD1612" w:rsidRPr="00F65869" w:rsidRDefault="00DD1612" w:rsidP="00BD375F">
            <w:pPr>
              <w:jc w:val="center"/>
              <w:rPr>
                <w:rFonts w:ascii="Calibri" w:eastAsia="Times New Roman" w:hAnsi="Calibri" w:cs="Calibri"/>
                <w:color w:val="0D0D0D"/>
              </w:rPr>
            </w:pPr>
            <w:r>
              <w:rPr>
                <w:rFonts w:ascii="Calibri" w:eastAsia="Times New Roman" w:hAnsi="Calibri" w:cs="Calibri"/>
                <w:color w:val="0D0D0D"/>
              </w:rPr>
              <w:t>(6.25%)</w:t>
            </w:r>
          </w:p>
        </w:tc>
        <w:tc>
          <w:tcPr>
            <w:tcW w:w="1170" w:type="dxa"/>
            <w:tcBorders>
              <w:top w:val="nil"/>
              <w:left w:val="nil"/>
              <w:bottom w:val="nil"/>
              <w:right w:val="nil"/>
            </w:tcBorders>
            <w:shd w:val="clear" w:color="auto" w:fill="F2F2F2" w:themeFill="background1" w:themeFillShade="F2"/>
            <w:vAlign w:val="bottom"/>
          </w:tcPr>
          <w:p w14:paraId="17C13027" w14:textId="77777777" w:rsidR="00DD1612" w:rsidRPr="00F65869" w:rsidRDefault="00DD1612" w:rsidP="00BD375F">
            <w:pPr>
              <w:jc w:val="center"/>
              <w:rPr>
                <w:rFonts w:ascii="Calibri" w:eastAsia="Times New Roman" w:hAnsi="Calibri" w:cs="Calibri"/>
                <w:color w:val="0D0D0D"/>
              </w:rPr>
            </w:pPr>
            <w:r>
              <w:rPr>
                <w:rFonts w:ascii="Calibri" w:eastAsia="Times New Roman" w:hAnsi="Calibri" w:cs="Calibri"/>
                <w:color w:val="0D0D0D"/>
              </w:rPr>
              <w:t>(7.25%)</w:t>
            </w:r>
          </w:p>
        </w:tc>
        <w:tc>
          <w:tcPr>
            <w:tcW w:w="1170" w:type="dxa"/>
            <w:gridSpan w:val="2"/>
            <w:tcBorders>
              <w:top w:val="nil"/>
              <w:left w:val="nil"/>
              <w:bottom w:val="nil"/>
              <w:right w:val="nil"/>
            </w:tcBorders>
            <w:shd w:val="clear" w:color="auto" w:fill="F2F2F2" w:themeFill="background1" w:themeFillShade="F2"/>
            <w:vAlign w:val="bottom"/>
          </w:tcPr>
          <w:p w14:paraId="6960FBB7" w14:textId="77777777" w:rsidR="00DD1612" w:rsidRPr="00F65869" w:rsidRDefault="00DD1612" w:rsidP="00BD375F">
            <w:pPr>
              <w:jc w:val="center"/>
              <w:rPr>
                <w:rFonts w:ascii="Calibri" w:eastAsia="Times New Roman" w:hAnsi="Calibri" w:cs="Calibri"/>
                <w:color w:val="0D0D0D"/>
              </w:rPr>
            </w:pPr>
            <w:r>
              <w:rPr>
                <w:rFonts w:ascii="Calibri" w:eastAsia="Times New Roman" w:hAnsi="Calibri" w:cs="Calibri"/>
                <w:color w:val="0D0D0D"/>
              </w:rPr>
              <w:t>(8.25%)</w:t>
            </w:r>
          </w:p>
        </w:tc>
      </w:tr>
      <w:tr w:rsidR="00E56675" w:rsidRPr="00F65869" w14:paraId="27E808BD" w14:textId="77777777" w:rsidTr="0048737B">
        <w:trPr>
          <w:trHeight w:val="396"/>
        </w:trPr>
        <w:tc>
          <w:tcPr>
            <w:tcW w:w="2160" w:type="dxa"/>
            <w:tcBorders>
              <w:top w:val="nil"/>
              <w:left w:val="nil"/>
              <w:bottom w:val="nil"/>
              <w:right w:val="nil"/>
            </w:tcBorders>
            <w:shd w:val="clear" w:color="000000" w:fill="FFFFFF"/>
            <w:noWrap/>
            <w:vAlign w:val="bottom"/>
            <w:hideMark/>
          </w:tcPr>
          <w:p w14:paraId="14245C51" w14:textId="77777777" w:rsidR="00E56675" w:rsidRPr="00F65869" w:rsidRDefault="00E56675" w:rsidP="00E56675">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170" w:type="dxa"/>
            <w:gridSpan w:val="2"/>
            <w:tcBorders>
              <w:top w:val="nil"/>
              <w:left w:val="nil"/>
              <w:bottom w:val="nil"/>
              <w:right w:val="nil"/>
            </w:tcBorders>
            <w:shd w:val="clear" w:color="000000" w:fill="FFFFFF"/>
            <w:vAlign w:val="bottom"/>
            <w:hideMark/>
          </w:tcPr>
          <w:p w14:paraId="51F65E06" w14:textId="4804444B"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w:t>
            </w:r>
            <w:r w:rsidR="00F50CD4">
              <w:rPr>
                <w:color w:val="000000" w:themeColor="text1"/>
              </w:rPr>
              <w:t>169,518</w:t>
            </w:r>
            <w:r w:rsidRPr="0048737B">
              <w:rPr>
                <w:color w:val="000000" w:themeColor="text1"/>
              </w:rPr>
              <w:t xml:space="preserve"> </w:t>
            </w:r>
          </w:p>
        </w:tc>
        <w:tc>
          <w:tcPr>
            <w:tcW w:w="1080" w:type="dxa"/>
            <w:tcBorders>
              <w:top w:val="nil"/>
              <w:left w:val="nil"/>
              <w:bottom w:val="nil"/>
              <w:right w:val="nil"/>
            </w:tcBorders>
            <w:shd w:val="clear" w:color="000000" w:fill="FFFFFF"/>
            <w:vAlign w:val="bottom"/>
            <w:hideMark/>
          </w:tcPr>
          <w:p w14:paraId="7381FAC5" w14:textId="7E79209A" w:rsidR="00E56675" w:rsidRPr="0048737B" w:rsidRDefault="00E56675">
            <w:pPr>
              <w:jc w:val="right"/>
              <w:rPr>
                <w:rFonts w:ascii="Calibri" w:eastAsia="Times New Roman" w:hAnsi="Calibri" w:cs="Calibri"/>
                <w:color w:val="000000" w:themeColor="text1"/>
              </w:rPr>
            </w:pPr>
            <w:r w:rsidRPr="0048737B">
              <w:rPr>
                <w:color w:val="000000" w:themeColor="text1"/>
              </w:rPr>
              <w:t>$</w:t>
            </w:r>
            <w:r w:rsidR="00F50CD4">
              <w:rPr>
                <w:color w:val="000000" w:themeColor="text1"/>
              </w:rPr>
              <w:t>153,258</w:t>
            </w:r>
            <w:r w:rsidRPr="0048737B">
              <w:rPr>
                <w:color w:val="000000" w:themeColor="text1"/>
              </w:rPr>
              <w:t xml:space="preserve"> </w:t>
            </w:r>
          </w:p>
        </w:tc>
        <w:tc>
          <w:tcPr>
            <w:tcW w:w="1260" w:type="dxa"/>
            <w:gridSpan w:val="2"/>
            <w:tcBorders>
              <w:top w:val="nil"/>
              <w:left w:val="nil"/>
              <w:bottom w:val="nil"/>
              <w:right w:val="nil"/>
            </w:tcBorders>
            <w:shd w:val="clear" w:color="000000" w:fill="FFFFFF"/>
            <w:vAlign w:val="bottom"/>
            <w:hideMark/>
          </w:tcPr>
          <w:p w14:paraId="5C7E5BAA" w14:textId="041B2C76"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$13</w:t>
            </w:r>
            <w:r w:rsidR="00F50CD4">
              <w:rPr>
                <w:color w:val="000000" w:themeColor="text1"/>
              </w:rPr>
              <w:t>9</w:t>
            </w:r>
            <w:r w:rsidRPr="0048737B">
              <w:rPr>
                <w:color w:val="000000" w:themeColor="text1"/>
              </w:rPr>
              <w:t>,</w:t>
            </w:r>
            <w:r w:rsidR="00F50CD4">
              <w:rPr>
                <w:color w:val="000000" w:themeColor="text1"/>
              </w:rPr>
              <w:t>458</w:t>
            </w:r>
            <w:r w:rsidRPr="0048737B">
              <w:rPr>
                <w:color w:val="000000" w:themeColor="text1"/>
              </w:rPr>
              <w:t xml:space="preserve"> </w:t>
            </w:r>
          </w:p>
        </w:tc>
        <w:tc>
          <w:tcPr>
            <w:tcW w:w="1080" w:type="dxa"/>
            <w:gridSpan w:val="2"/>
            <w:tcBorders>
              <w:top w:val="nil"/>
              <w:left w:val="nil"/>
              <w:bottom w:val="nil"/>
              <w:right w:val="nil"/>
            </w:tcBorders>
            <w:shd w:val="clear" w:color="auto" w:fill="F2F2F2" w:themeFill="background1" w:themeFillShade="F2"/>
            <w:vAlign w:val="bottom"/>
            <w:hideMark/>
          </w:tcPr>
          <w:p w14:paraId="768F6B96" w14:textId="13522A50"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$194,701</w:t>
            </w:r>
          </w:p>
        </w:tc>
        <w:tc>
          <w:tcPr>
            <w:tcW w:w="1170" w:type="dxa"/>
            <w:tcBorders>
              <w:top w:val="nil"/>
              <w:left w:val="nil"/>
              <w:bottom w:val="nil"/>
              <w:right w:val="nil"/>
            </w:tcBorders>
            <w:shd w:val="clear" w:color="auto" w:fill="F2F2F2" w:themeFill="background1" w:themeFillShade="F2"/>
            <w:vAlign w:val="bottom"/>
            <w:hideMark/>
          </w:tcPr>
          <w:p w14:paraId="771F49BB" w14:textId="0BBAFC96"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$173,794</w:t>
            </w:r>
          </w:p>
        </w:tc>
        <w:tc>
          <w:tcPr>
            <w:tcW w:w="1170" w:type="dxa"/>
            <w:gridSpan w:val="2"/>
            <w:tcBorders>
              <w:top w:val="nil"/>
              <w:left w:val="nil"/>
              <w:bottom w:val="nil"/>
              <w:right w:val="nil"/>
            </w:tcBorders>
            <w:shd w:val="clear" w:color="auto" w:fill="F2F2F2" w:themeFill="background1" w:themeFillShade="F2"/>
            <w:vAlign w:val="bottom"/>
            <w:hideMark/>
          </w:tcPr>
          <w:p w14:paraId="065C8F09" w14:textId="42738C7D"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$156,357</w:t>
            </w:r>
          </w:p>
        </w:tc>
      </w:tr>
      <w:tr w:rsidR="00E56675" w:rsidRPr="00F65869" w14:paraId="3CB15B28" w14:textId="77777777" w:rsidTr="0048737B">
        <w:trPr>
          <w:trHeight w:val="300"/>
        </w:trPr>
        <w:tc>
          <w:tcPr>
            <w:tcW w:w="2160" w:type="dxa"/>
            <w:tcBorders>
              <w:top w:val="nil"/>
              <w:left w:val="nil"/>
              <w:bottom w:val="nil"/>
              <w:right w:val="nil"/>
            </w:tcBorders>
            <w:shd w:val="clear" w:color="000000" w:fill="FFFFFF"/>
            <w:noWrap/>
            <w:vAlign w:val="bottom"/>
            <w:hideMark/>
          </w:tcPr>
          <w:p w14:paraId="0BA4048B" w14:textId="77777777" w:rsidR="00E56675" w:rsidRPr="00F65869" w:rsidRDefault="00E56675" w:rsidP="00E56675">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170" w:type="dxa"/>
            <w:gridSpan w:val="2"/>
            <w:tcBorders>
              <w:top w:val="nil"/>
              <w:left w:val="nil"/>
              <w:bottom w:val="nil"/>
              <w:right w:val="nil"/>
            </w:tcBorders>
            <w:shd w:val="clear" w:color="000000" w:fill="FFFFFF"/>
            <w:vAlign w:val="bottom"/>
            <w:hideMark/>
          </w:tcPr>
          <w:p w14:paraId="2E4EFFB8" w14:textId="435E24FD"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174,427 </w:t>
            </w:r>
          </w:p>
        </w:tc>
        <w:tc>
          <w:tcPr>
            <w:tcW w:w="1080" w:type="dxa"/>
            <w:tcBorders>
              <w:top w:val="nil"/>
              <w:left w:val="nil"/>
              <w:bottom w:val="nil"/>
              <w:right w:val="nil"/>
            </w:tcBorders>
            <w:shd w:val="clear" w:color="000000" w:fill="FFFFFF"/>
            <w:vAlign w:val="bottom"/>
            <w:hideMark/>
          </w:tcPr>
          <w:p w14:paraId="27B50AAA" w14:textId="7AD9C618"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174,427 </w:t>
            </w:r>
          </w:p>
        </w:tc>
        <w:tc>
          <w:tcPr>
            <w:tcW w:w="1260" w:type="dxa"/>
            <w:gridSpan w:val="2"/>
            <w:tcBorders>
              <w:top w:val="nil"/>
              <w:left w:val="nil"/>
              <w:bottom w:val="nil"/>
              <w:right w:val="nil"/>
            </w:tcBorders>
            <w:shd w:val="clear" w:color="000000" w:fill="FFFFFF"/>
            <w:vAlign w:val="bottom"/>
            <w:hideMark/>
          </w:tcPr>
          <w:p w14:paraId="6766E6E9" w14:textId="70E872E7"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174,427 </w:t>
            </w:r>
          </w:p>
        </w:tc>
        <w:tc>
          <w:tcPr>
            <w:tcW w:w="1080" w:type="dxa"/>
            <w:gridSpan w:val="2"/>
            <w:tcBorders>
              <w:top w:val="nil"/>
              <w:left w:val="nil"/>
              <w:bottom w:val="nil"/>
              <w:right w:val="nil"/>
            </w:tcBorders>
            <w:shd w:val="clear" w:color="auto" w:fill="F2F2F2" w:themeFill="background1" w:themeFillShade="F2"/>
            <w:vAlign w:val="bottom"/>
            <w:hideMark/>
          </w:tcPr>
          <w:p w14:paraId="71B55999" w14:textId="18350174"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156,012</w:t>
            </w:r>
          </w:p>
        </w:tc>
        <w:tc>
          <w:tcPr>
            <w:tcW w:w="1170" w:type="dxa"/>
            <w:tcBorders>
              <w:top w:val="nil"/>
              <w:left w:val="nil"/>
              <w:bottom w:val="nil"/>
              <w:right w:val="nil"/>
            </w:tcBorders>
            <w:shd w:val="clear" w:color="auto" w:fill="F2F2F2" w:themeFill="background1" w:themeFillShade="F2"/>
            <w:vAlign w:val="bottom"/>
            <w:hideMark/>
          </w:tcPr>
          <w:p w14:paraId="553B446F" w14:textId="344FFB8E"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156,012</w:t>
            </w:r>
          </w:p>
        </w:tc>
        <w:tc>
          <w:tcPr>
            <w:tcW w:w="1170" w:type="dxa"/>
            <w:gridSpan w:val="2"/>
            <w:tcBorders>
              <w:top w:val="nil"/>
              <w:left w:val="nil"/>
              <w:bottom w:val="nil"/>
              <w:right w:val="nil"/>
            </w:tcBorders>
            <w:shd w:val="clear" w:color="auto" w:fill="F2F2F2" w:themeFill="background1" w:themeFillShade="F2"/>
            <w:vAlign w:val="bottom"/>
            <w:hideMark/>
          </w:tcPr>
          <w:p w14:paraId="5DBD27EB" w14:textId="2F321616"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156,012</w:t>
            </w:r>
          </w:p>
        </w:tc>
      </w:tr>
      <w:tr w:rsidR="00E56675" w:rsidRPr="00F65869" w14:paraId="02592A1C" w14:textId="77777777" w:rsidTr="0048737B">
        <w:trPr>
          <w:trHeight w:val="312"/>
        </w:trPr>
        <w:tc>
          <w:tcPr>
            <w:tcW w:w="2160" w:type="dxa"/>
            <w:tcBorders>
              <w:top w:val="single" w:sz="12" w:space="0" w:color="44546A"/>
              <w:left w:val="nil"/>
              <w:bottom w:val="single" w:sz="8" w:space="0" w:color="44546A"/>
              <w:right w:val="nil"/>
            </w:tcBorders>
            <w:shd w:val="clear" w:color="000000" w:fill="FFFFFF"/>
            <w:noWrap/>
            <w:vAlign w:val="bottom"/>
            <w:hideMark/>
          </w:tcPr>
          <w:p w14:paraId="7B02DFE0" w14:textId="77777777" w:rsidR="00E56675" w:rsidRPr="00F65869" w:rsidRDefault="00E56675" w:rsidP="00E56675">
            <w:pPr>
              <w:rPr>
                <w:rFonts w:ascii="Calibri" w:eastAsia="Times New Roman" w:hAnsi="Calibri" w:cs="Calibri"/>
                <w:color w:val="0D0D0D"/>
              </w:rPr>
            </w:pPr>
            <w:r w:rsidRPr="00F65869">
              <w:rPr>
                <w:rFonts w:ascii="Calibri" w:eastAsia="Times New Roman" w:hAnsi="Calibri" w:cs="Calibri"/>
                <w:color w:val="0D0D0D"/>
              </w:rPr>
              <w:t>Net OPEB liability</w:t>
            </w:r>
            <w:r>
              <w:rPr>
                <w:rFonts w:ascii="Calibri" w:eastAsia="Times New Roman" w:hAnsi="Calibri" w:cs="Calibri"/>
                <w:color w:val="0D0D0D"/>
              </w:rPr>
              <w:t xml:space="preserve"> (asset)</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3853861E" w14:textId="5F88C36E"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w:t>
            </w:r>
            <w:r w:rsidR="00F50CD4">
              <w:rPr>
                <w:color w:val="000000" w:themeColor="text1"/>
              </w:rPr>
              <w:t>4,909</w:t>
            </w:r>
            <w:r w:rsidRPr="0048737B">
              <w:rPr>
                <w:color w:val="000000" w:themeColor="text1"/>
              </w:rPr>
              <w:t>)</w:t>
            </w:r>
          </w:p>
        </w:tc>
        <w:tc>
          <w:tcPr>
            <w:tcW w:w="1080" w:type="dxa"/>
            <w:tcBorders>
              <w:top w:val="single" w:sz="12" w:space="0" w:color="00688D"/>
              <w:left w:val="nil"/>
              <w:bottom w:val="single" w:sz="8" w:space="0" w:color="00688D"/>
              <w:right w:val="nil"/>
            </w:tcBorders>
            <w:shd w:val="clear" w:color="000000" w:fill="FFFFFF"/>
            <w:noWrap/>
            <w:vAlign w:val="bottom"/>
            <w:hideMark/>
          </w:tcPr>
          <w:p w14:paraId="774CFC8B" w14:textId="2A1F2D08" w:rsidR="00E56675" w:rsidRPr="0048737B" w:rsidRDefault="00E56675">
            <w:pPr>
              <w:jc w:val="right"/>
              <w:rPr>
                <w:rFonts w:ascii="Calibri" w:eastAsia="Times New Roman" w:hAnsi="Calibri" w:cs="Calibri"/>
                <w:color w:val="000000" w:themeColor="text1"/>
              </w:rPr>
            </w:pPr>
            <w:r w:rsidRPr="0048737B">
              <w:rPr>
                <w:color w:val="000000" w:themeColor="text1"/>
              </w:rPr>
              <w:t>$(2</w:t>
            </w:r>
            <w:r w:rsidR="00F50CD4">
              <w:rPr>
                <w:color w:val="000000" w:themeColor="text1"/>
              </w:rPr>
              <w:t>1</w:t>
            </w:r>
            <w:r w:rsidRPr="0048737B">
              <w:rPr>
                <w:color w:val="000000" w:themeColor="text1"/>
              </w:rPr>
              <w:t>,</w:t>
            </w:r>
            <w:r w:rsidR="00F50CD4">
              <w:rPr>
                <w:color w:val="000000" w:themeColor="text1"/>
              </w:rPr>
              <w:t>169</w:t>
            </w:r>
            <w:r w:rsidRPr="0048737B">
              <w:rPr>
                <w:color w:val="000000" w:themeColor="text1"/>
              </w:rPr>
              <w:t>)</w:t>
            </w:r>
          </w:p>
        </w:tc>
        <w:tc>
          <w:tcPr>
            <w:tcW w:w="1260" w:type="dxa"/>
            <w:gridSpan w:val="2"/>
            <w:tcBorders>
              <w:top w:val="single" w:sz="12" w:space="0" w:color="00688D"/>
              <w:left w:val="nil"/>
              <w:bottom w:val="single" w:sz="8" w:space="0" w:color="00688D"/>
              <w:right w:val="nil"/>
            </w:tcBorders>
            <w:shd w:val="clear" w:color="000000" w:fill="FFFFFF"/>
            <w:noWrap/>
            <w:vAlign w:val="bottom"/>
            <w:hideMark/>
          </w:tcPr>
          <w:p w14:paraId="5F8163EB" w14:textId="756102C9" w:rsidR="00E56675" w:rsidRPr="0048737B" w:rsidRDefault="00E56675">
            <w:pPr>
              <w:jc w:val="right"/>
              <w:rPr>
                <w:rFonts w:ascii="Calibri" w:eastAsia="Times New Roman" w:hAnsi="Calibri" w:cs="Calibri"/>
                <w:color w:val="000000" w:themeColor="text1"/>
              </w:rPr>
            </w:pPr>
            <w:r w:rsidRPr="0048737B">
              <w:rPr>
                <w:color w:val="000000" w:themeColor="text1"/>
              </w:rPr>
              <w:t xml:space="preserve"> $(</w:t>
            </w:r>
            <w:r w:rsidR="00F50CD4">
              <w:rPr>
                <w:color w:val="000000" w:themeColor="text1"/>
              </w:rPr>
              <w:t>34</w:t>
            </w:r>
            <w:r w:rsidRPr="0048737B">
              <w:rPr>
                <w:color w:val="000000" w:themeColor="text1"/>
              </w:rPr>
              <w:t>,</w:t>
            </w:r>
            <w:r w:rsidR="00F50CD4">
              <w:rPr>
                <w:color w:val="000000" w:themeColor="text1"/>
              </w:rPr>
              <w:t>969</w:t>
            </w:r>
            <w:r w:rsidRPr="0048737B">
              <w:rPr>
                <w:color w:val="000000" w:themeColor="text1"/>
              </w:rPr>
              <w:t>)</w:t>
            </w:r>
          </w:p>
        </w:tc>
        <w:tc>
          <w:tcPr>
            <w:tcW w:w="1080" w:type="dxa"/>
            <w:gridSpan w:val="2"/>
            <w:tcBorders>
              <w:top w:val="single" w:sz="12" w:space="0" w:color="00688D"/>
              <w:left w:val="nil"/>
              <w:bottom w:val="single" w:sz="8" w:space="0" w:color="00688D"/>
              <w:right w:val="nil"/>
            </w:tcBorders>
            <w:shd w:val="clear" w:color="auto" w:fill="F2F2F2" w:themeFill="background1" w:themeFillShade="F2"/>
            <w:noWrap/>
            <w:vAlign w:val="bottom"/>
            <w:hideMark/>
          </w:tcPr>
          <w:p w14:paraId="01E31F4B" w14:textId="03782C23"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  38,689</w:t>
            </w:r>
          </w:p>
        </w:tc>
        <w:tc>
          <w:tcPr>
            <w:tcW w:w="1170" w:type="dxa"/>
            <w:tcBorders>
              <w:top w:val="single" w:sz="12" w:space="0" w:color="00688D"/>
              <w:left w:val="nil"/>
              <w:bottom w:val="single" w:sz="8" w:space="0" w:color="00688D"/>
              <w:right w:val="nil"/>
            </w:tcBorders>
            <w:shd w:val="clear" w:color="auto" w:fill="F2F2F2" w:themeFill="background1" w:themeFillShade="F2"/>
            <w:noWrap/>
            <w:vAlign w:val="bottom"/>
            <w:hideMark/>
          </w:tcPr>
          <w:p w14:paraId="01342976" w14:textId="09184A88"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w:t>
            </w:r>
            <w:r>
              <w:rPr>
                <w:rFonts w:ascii="Calibri" w:eastAsia="Times New Roman" w:hAnsi="Calibri" w:cs="Calibri"/>
              </w:rPr>
              <w:t xml:space="preserve">  </w:t>
            </w:r>
            <w:r w:rsidRPr="00A93FB3">
              <w:rPr>
                <w:rFonts w:ascii="Calibri" w:eastAsia="Times New Roman" w:hAnsi="Calibri" w:cs="Calibri"/>
              </w:rPr>
              <w:t>17,782</w:t>
            </w:r>
          </w:p>
        </w:tc>
        <w:tc>
          <w:tcPr>
            <w:tcW w:w="1170" w:type="dxa"/>
            <w:gridSpan w:val="2"/>
            <w:tcBorders>
              <w:top w:val="single" w:sz="12" w:space="0" w:color="00688D"/>
              <w:left w:val="nil"/>
              <w:bottom w:val="single" w:sz="8" w:space="0" w:color="00688D"/>
              <w:right w:val="nil"/>
            </w:tcBorders>
            <w:shd w:val="clear" w:color="auto" w:fill="F2F2F2" w:themeFill="background1" w:themeFillShade="F2"/>
            <w:noWrap/>
            <w:vAlign w:val="bottom"/>
            <w:hideMark/>
          </w:tcPr>
          <w:p w14:paraId="49274399" w14:textId="609C39D9" w:rsidR="00E56675" w:rsidRPr="00F65869" w:rsidRDefault="00E56675" w:rsidP="00E56675">
            <w:pPr>
              <w:jc w:val="right"/>
              <w:rPr>
                <w:rFonts w:ascii="Calibri" w:eastAsia="Times New Roman" w:hAnsi="Calibri" w:cs="Calibri"/>
                <w:color w:val="0D0D0D"/>
              </w:rPr>
            </w:pPr>
            <w:r w:rsidRPr="00A93FB3">
              <w:rPr>
                <w:rFonts w:ascii="Calibri" w:eastAsia="Times New Roman" w:hAnsi="Calibri" w:cs="Calibri"/>
              </w:rPr>
              <w:t>$</w:t>
            </w:r>
            <w:r>
              <w:rPr>
                <w:rFonts w:ascii="Calibri" w:eastAsia="Times New Roman" w:hAnsi="Calibri" w:cs="Calibri"/>
              </w:rPr>
              <w:t xml:space="preserve">       </w:t>
            </w:r>
            <w:r w:rsidRPr="00A93FB3">
              <w:rPr>
                <w:rFonts w:ascii="Calibri" w:eastAsia="Times New Roman" w:hAnsi="Calibri" w:cs="Calibri"/>
              </w:rPr>
              <w:t>345</w:t>
            </w:r>
          </w:p>
        </w:tc>
      </w:tr>
    </w:tbl>
    <w:p w14:paraId="31B11943" w14:textId="5C6B7F0E" w:rsidR="00DD1612" w:rsidRPr="00F54559" w:rsidRDefault="00DD1612" w:rsidP="00DD1612">
      <w:pPr>
        <w:tabs>
          <w:tab w:val="left" w:pos="900"/>
        </w:tabs>
        <w:spacing w:before="240" w:after="160"/>
        <w:ind w:right="-7"/>
        <w:rPr>
          <w:rFonts w:cstheme="minorHAnsi"/>
          <w:color w:val="222222"/>
          <w:sz w:val="24"/>
          <w:shd w:val="clear" w:color="auto" w:fill="FFFFFF"/>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healthcare cost trend rates</w:t>
      </w:r>
      <w:r w:rsidRPr="00F54559">
        <w:rPr>
          <w:rFonts w:eastAsia="Franklin Gothic Book" w:cstheme="minorHAnsi"/>
          <w:b/>
          <w:i/>
          <w:sz w:val="24"/>
        </w:rPr>
        <w:t>:</w:t>
      </w:r>
      <w:r w:rsidR="003E72E3">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healthcare cost trend rates</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pacing w:val="-1"/>
          <w:sz w:val="24"/>
        </w:rPr>
        <w:t>using healthcare cost trend rates that are 1-percentage point lower or 1-percentage point higher than the current healthcare cost trend rates</w:t>
      </w:r>
      <w:r w:rsidR="00714D11">
        <w:rPr>
          <w:rFonts w:eastAsia="Times New Roman" w:cstheme="minorHAnsi"/>
          <w:spacing w:val="-1"/>
          <w:sz w:val="24"/>
        </w:rPr>
        <w:t>.</w:t>
      </w:r>
    </w:p>
    <w:tbl>
      <w:tblPr>
        <w:tblW w:w="9180" w:type="dxa"/>
        <w:tblLayout w:type="fixed"/>
        <w:tblCellMar>
          <w:left w:w="72" w:type="dxa"/>
          <w:right w:w="72" w:type="dxa"/>
        </w:tblCellMar>
        <w:tblLook w:val="04A0" w:firstRow="1" w:lastRow="0" w:firstColumn="1" w:lastColumn="0" w:noHBand="0" w:noVBand="1"/>
      </w:tblPr>
      <w:tblGrid>
        <w:gridCol w:w="2160"/>
        <w:gridCol w:w="180"/>
        <w:gridCol w:w="990"/>
        <w:gridCol w:w="1170"/>
        <w:gridCol w:w="990"/>
        <w:gridCol w:w="180"/>
        <w:gridCol w:w="180"/>
        <w:gridCol w:w="990"/>
        <w:gridCol w:w="1182"/>
        <w:gridCol w:w="978"/>
        <w:gridCol w:w="180"/>
      </w:tblGrid>
      <w:tr w:rsidR="00DD1612" w:rsidRPr="00CE7B7D" w14:paraId="5ED4DA22" w14:textId="77777777" w:rsidTr="00B045CF">
        <w:trPr>
          <w:trHeight w:val="288"/>
          <w:tblHeader/>
        </w:trPr>
        <w:tc>
          <w:tcPr>
            <w:tcW w:w="2160" w:type="dxa"/>
            <w:tcBorders>
              <w:top w:val="nil"/>
              <w:left w:val="nil"/>
              <w:bottom w:val="nil"/>
              <w:right w:val="nil"/>
            </w:tcBorders>
            <w:shd w:val="clear" w:color="auto" w:fill="auto"/>
            <w:noWrap/>
            <w:vAlign w:val="bottom"/>
            <w:hideMark/>
          </w:tcPr>
          <w:p w14:paraId="7222F5CF" w14:textId="77777777" w:rsidR="00DD1612" w:rsidRPr="00CE7B7D" w:rsidRDefault="00DD1612" w:rsidP="00BD375F">
            <w:pPr>
              <w:rPr>
                <w:rFonts w:ascii="Times New Roman" w:eastAsia="Times New Roman" w:hAnsi="Times New Roman" w:cs="Times New Roman"/>
                <w:sz w:val="24"/>
                <w:szCs w:val="24"/>
              </w:rPr>
            </w:pPr>
          </w:p>
        </w:tc>
        <w:tc>
          <w:tcPr>
            <w:tcW w:w="180" w:type="dxa"/>
            <w:tcBorders>
              <w:top w:val="nil"/>
              <w:left w:val="nil"/>
              <w:bottom w:val="single" w:sz="4" w:space="0" w:color="auto"/>
              <w:right w:val="nil"/>
            </w:tcBorders>
            <w:shd w:val="clear" w:color="auto" w:fill="auto"/>
            <w:noWrap/>
            <w:vAlign w:val="bottom"/>
            <w:hideMark/>
          </w:tcPr>
          <w:p w14:paraId="423CE835" w14:textId="77777777" w:rsidR="00DD1612" w:rsidRPr="00CE7B7D" w:rsidRDefault="00DD1612" w:rsidP="00BD375F">
            <w:pPr>
              <w:jc w:val="center"/>
              <w:rPr>
                <w:rFonts w:ascii="Calibri" w:eastAsia="Times New Roman" w:hAnsi="Calibri" w:cs="Calibri"/>
                <w:b/>
                <w:bCs/>
              </w:rPr>
            </w:pPr>
          </w:p>
        </w:tc>
        <w:tc>
          <w:tcPr>
            <w:tcW w:w="3150" w:type="dxa"/>
            <w:gridSpan w:val="3"/>
            <w:tcBorders>
              <w:top w:val="nil"/>
              <w:left w:val="nil"/>
              <w:bottom w:val="single" w:sz="4" w:space="0" w:color="auto"/>
              <w:right w:val="nil"/>
            </w:tcBorders>
            <w:shd w:val="clear" w:color="auto" w:fill="auto"/>
            <w:vAlign w:val="bottom"/>
          </w:tcPr>
          <w:p w14:paraId="35A50336" w14:textId="0419A702" w:rsidR="00DD1612" w:rsidRPr="00CE7B7D" w:rsidRDefault="00DD1612" w:rsidP="003977A2">
            <w:pPr>
              <w:jc w:val="center"/>
              <w:rPr>
                <w:rFonts w:ascii="Calibri" w:eastAsia="Times New Roman" w:hAnsi="Calibri" w:cs="Calibri"/>
                <w:b/>
                <w:bCs/>
              </w:rPr>
            </w:pPr>
            <w:r w:rsidRPr="00CE7B7D">
              <w:rPr>
                <w:rFonts w:ascii="Calibri" w:eastAsia="Times New Roman" w:hAnsi="Calibri" w:cs="Calibri"/>
                <w:b/>
                <w:bCs/>
              </w:rPr>
              <w:t xml:space="preserve">June 30, </w:t>
            </w:r>
            <w:r w:rsidR="00ED3851" w:rsidRPr="00CE7B7D">
              <w:rPr>
                <w:rFonts w:ascii="Calibri" w:eastAsia="Times New Roman" w:hAnsi="Calibri" w:cs="Calibri"/>
                <w:b/>
                <w:bCs/>
              </w:rPr>
              <w:t>202</w:t>
            </w:r>
            <w:r w:rsidR="00ED3851">
              <w:rPr>
                <w:rFonts w:ascii="Calibri" w:eastAsia="Times New Roman" w:hAnsi="Calibri" w:cs="Calibri"/>
                <w:b/>
                <w:bCs/>
              </w:rPr>
              <w:t>3</w:t>
            </w:r>
          </w:p>
        </w:tc>
        <w:tc>
          <w:tcPr>
            <w:tcW w:w="180" w:type="dxa"/>
            <w:tcBorders>
              <w:top w:val="nil"/>
              <w:left w:val="nil"/>
              <w:bottom w:val="single" w:sz="4" w:space="0" w:color="auto"/>
              <w:right w:val="nil"/>
            </w:tcBorders>
            <w:shd w:val="clear" w:color="auto" w:fill="auto"/>
            <w:vAlign w:val="bottom"/>
          </w:tcPr>
          <w:p w14:paraId="1678ECCF" w14:textId="77777777" w:rsidR="00DD1612" w:rsidRPr="00CE7B7D" w:rsidRDefault="00DD1612" w:rsidP="00BD375F">
            <w:pPr>
              <w:jc w:val="center"/>
              <w:rPr>
                <w:rFonts w:ascii="Calibri" w:eastAsia="Times New Roman" w:hAnsi="Calibri" w:cs="Calibri"/>
                <w:b/>
                <w:bCs/>
              </w:rPr>
            </w:pPr>
          </w:p>
        </w:tc>
        <w:tc>
          <w:tcPr>
            <w:tcW w:w="180" w:type="dxa"/>
            <w:tcBorders>
              <w:top w:val="nil"/>
              <w:left w:val="nil"/>
              <w:bottom w:val="single" w:sz="4" w:space="0" w:color="auto"/>
              <w:right w:val="nil"/>
            </w:tcBorders>
            <w:shd w:val="clear" w:color="auto" w:fill="F2F2F2" w:themeFill="background1" w:themeFillShade="F2"/>
            <w:noWrap/>
            <w:vAlign w:val="bottom"/>
            <w:hideMark/>
          </w:tcPr>
          <w:p w14:paraId="382191E6" w14:textId="77777777" w:rsidR="00DD1612" w:rsidRPr="00CE7B7D" w:rsidRDefault="00DD1612" w:rsidP="00BD375F">
            <w:pPr>
              <w:jc w:val="center"/>
              <w:rPr>
                <w:rFonts w:ascii="Calibri" w:eastAsia="Times New Roman" w:hAnsi="Calibri" w:cs="Calibri"/>
                <w:b/>
                <w:bCs/>
              </w:rPr>
            </w:pPr>
          </w:p>
        </w:tc>
        <w:tc>
          <w:tcPr>
            <w:tcW w:w="3150" w:type="dxa"/>
            <w:gridSpan w:val="3"/>
            <w:tcBorders>
              <w:top w:val="nil"/>
              <w:left w:val="nil"/>
              <w:bottom w:val="single" w:sz="4" w:space="0" w:color="auto"/>
              <w:right w:val="nil"/>
            </w:tcBorders>
            <w:shd w:val="clear" w:color="auto" w:fill="F2F2F2" w:themeFill="background1" w:themeFillShade="F2"/>
            <w:vAlign w:val="bottom"/>
          </w:tcPr>
          <w:p w14:paraId="7AE6F014" w14:textId="30941D23" w:rsidR="00DD1612" w:rsidRPr="00CE7B7D" w:rsidRDefault="00DD1612" w:rsidP="003977A2">
            <w:pPr>
              <w:jc w:val="center"/>
              <w:rPr>
                <w:rFonts w:ascii="Calibri" w:eastAsia="Times New Roman" w:hAnsi="Calibri" w:cs="Calibri"/>
                <w:b/>
                <w:bCs/>
              </w:rPr>
            </w:pPr>
            <w:r w:rsidRPr="00CE7B7D">
              <w:rPr>
                <w:rFonts w:ascii="Calibri" w:eastAsia="Times New Roman" w:hAnsi="Calibri" w:cs="Calibri"/>
                <w:b/>
                <w:bCs/>
              </w:rPr>
              <w:t xml:space="preserve">June 30, </w:t>
            </w:r>
            <w:r w:rsidR="00ED3851" w:rsidRPr="00CE7B7D">
              <w:rPr>
                <w:rFonts w:ascii="Calibri" w:eastAsia="Times New Roman" w:hAnsi="Calibri" w:cs="Calibri"/>
                <w:b/>
                <w:bCs/>
              </w:rPr>
              <w:t>20</w:t>
            </w:r>
            <w:r w:rsidR="00ED3851">
              <w:rPr>
                <w:rFonts w:ascii="Calibri" w:eastAsia="Times New Roman" w:hAnsi="Calibri" w:cs="Calibri"/>
                <w:b/>
                <w:bCs/>
              </w:rPr>
              <w:t>22</w:t>
            </w:r>
          </w:p>
        </w:tc>
        <w:tc>
          <w:tcPr>
            <w:tcW w:w="180" w:type="dxa"/>
            <w:tcBorders>
              <w:top w:val="nil"/>
              <w:left w:val="nil"/>
              <w:bottom w:val="single" w:sz="4" w:space="0" w:color="auto"/>
              <w:right w:val="nil"/>
            </w:tcBorders>
            <w:shd w:val="clear" w:color="auto" w:fill="F2F2F2" w:themeFill="background1" w:themeFillShade="F2"/>
            <w:vAlign w:val="bottom"/>
          </w:tcPr>
          <w:p w14:paraId="08953311" w14:textId="77777777" w:rsidR="00DD1612" w:rsidRPr="00CE7B7D" w:rsidRDefault="00DD1612" w:rsidP="00BD375F">
            <w:pPr>
              <w:jc w:val="center"/>
              <w:rPr>
                <w:rFonts w:ascii="Calibri" w:eastAsia="Times New Roman" w:hAnsi="Calibri" w:cs="Calibri"/>
                <w:b/>
                <w:bCs/>
              </w:rPr>
            </w:pPr>
          </w:p>
        </w:tc>
      </w:tr>
      <w:tr w:rsidR="00DD1612" w:rsidRPr="00CE7B7D" w14:paraId="16F57A87" w14:textId="77777777" w:rsidTr="00B045CF">
        <w:trPr>
          <w:trHeight w:val="1728"/>
          <w:tblHeader/>
        </w:trPr>
        <w:tc>
          <w:tcPr>
            <w:tcW w:w="2160" w:type="dxa"/>
            <w:tcBorders>
              <w:top w:val="nil"/>
              <w:left w:val="nil"/>
              <w:bottom w:val="nil"/>
              <w:right w:val="nil"/>
            </w:tcBorders>
            <w:shd w:val="clear" w:color="000000" w:fill="FFFFFF"/>
            <w:noWrap/>
            <w:vAlign w:val="bottom"/>
            <w:hideMark/>
          </w:tcPr>
          <w:p w14:paraId="26C124B8" w14:textId="77777777" w:rsidR="00DD1612" w:rsidRPr="00CE7B7D" w:rsidRDefault="00DD1612" w:rsidP="00BD375F">
            <w:pPr>
              <w:rPr>
                <w:rFonts w:ascii="Calibri" w:eastAsia="Times New Roman" w:hAnsi="Calibri" w:cs="Calibri"/>
                <w:b/>
                <w:bCs/>
                <w:color w:val="FF0000"/>
              </w:rPr>
            </w:pPr>
            <w:r w:rsidRPr="00D2701E">
              <w:rPr>
                <w:rFonts w:ascii="Calibri" w:eastAsia="Times New Roman" w:hAnsi="Calibri" w:cs="Calibri"/>
                <w:b/>
                <w:bCs/>
              </w:rPr>
              <w:t> </w:t>
            </w:r>
          </w:p>
        </w:tc>
        <w:tc>
          <w:tcPr>
            <w:tcW w:w="1170" w:type="dxa"/>
            <w:gridSpan w:val="2"/>
            <w:tcBorders>
              <w:top w:val="nil"/>
              <w:left w:val="nil"/>
              <w:bottom w:val="nil"/>
              <w:right w:val="nil"/>
            </w:tcBorders>
            <w:shd w:val="clear" w:color="000000" w:fill="FFFFFF"/>
            <w:vAlign w:val="bottom"/>
            <w:hideMark/>
          </w:tcPr>
          <w:p w14:paraId="5AAA5C91" w14:textId="77777777" w:rsidR="00DD1612" w:rsidRPr="000B39D1" w:rsidRDefault="00DD1612" w:rsidP="00BD375F">
            <w:pPr>
              <w:jc w:val="center"/>
              <w:rPr>
                <w:rFonts w:ascii="Calibri" w:hAnsi="Calibri" w:cs="Calibri"/>
                <w:bCs/>
              </w:rPr>
            </w:pPr>
            <w:r w:rsidRPr="000B39D1">
              <w:rPr>
                <w:rFonts w:ascii="Calibri" w:hAnsi="Calibri" w:cs="Calibri"/>
                <w:bCs/>
              </w:rPr>
              <w:t>1%</w:t>
            </w:r>
          </w:p>
          <w:p w14:paraId="54AE0995" w14:textId="2049F908" w:rsidR="00DD1612" w:rsidRPr="000B39D1" w:rsidRDefault="00DD1612" w:rsidP="00BD375F">
            <w:pPr>
              <w:jc w:val="center"/>
              <w:rPr>
                <w:rFonts w:ascii="Calibri" w:eastAsia="Times New Roman" w:hAnsi="Calibri" w:cs="Calibri"/>
                <w:bCs/>
              </w:rPr>
            </w:pPr>
            <w:r w:rsidRPr="000B39D1">
              <w:rPr>
                <w:rFonts w:ascii="Calibri" w:hAnsi="Calibri" w:cs="Calibri"/>
                <w:bCs/>
              </w:rPr>
              <w:t xml:space="preserve">Decrease </w:t>
            </w:r>
            <w:r w:rsidRPr="000B39D1">
              <w:rPr>
                <w:rFonts w:ascii="Calibri" w:hAnsi="Calibri" w:cs="Calibri"/>
                <w:bCs/>
              </w:rPr>
              <w:br/>
            </w:r>
            <w:r w:rsidR="001C762E">
              <w:rPr>
                <w:rFonts w:ascii="Calibri" w:hAnsi="Calibri" w:cs="Calibri"/>
                <w:bCs/>
              </w:rPr>
              <w:t>7</w:t>
            </w:r>
            <w:r w:rsidRPr="000B39D1">
              <w:rPr>
                <w:rFonts w:ascii="Calibri" w:hAnsi="Calibri" w:cs="Calibri"/>
                <w:bCs/>
              </w:rPr>
              <w:t>% Year 1 Decreasing to 3</w:t>
            </w:r>
            <w:r w:rsidR="001C762E">
              <w:rPr>
                <w:rFonts w:ascii="Calibri" w:hAnsi="Calibri" w:cs="Calibri"/>
                <w:bCs/>
              </w:rPr>
              <w:t>.1</w:t>
            </w:r>
            <w:r w:rsidRPr="000B39D1">
              <w:rPr>
                <w:rFonts w:ascii="Calibri" w:hAnsi="Calibri" w:cs="Calibri"/>
                <w:bCs/>
              </w:rPr>
              <w:t>%</w:t>
            </w:r>
          </w:p>
        </w:tc>
        <w:tc>
          <w:tcPr>
            <w:tcW w:w="1170" w:type="dxa"/>
            <w:tcBorders>
              <w:top w:val="nil"/>
              <w:left w:val="nil"/>
              <w:bottom w:val="nil"/>
              <w:right w:val="nil"/>
            </w:tcBorders>
            <w:shd w:val="clear" w:color="000000" w:fill="FFFFFF"/>
            <w:vAlign w:val="bottom"/>
            <w:hideMark/>
          </w:tcPr>
          <w:p w14:paraId="33B269FA" w14:textId="5EEE696D" w:rsidR="00DD1612" w:rsidRPr="000B39D1" w:rsidRDefault="00DD1612" w:rsidP="00BD375F">
            <w:pPr>
              <w:jc w:val="center"/>
              <w:rPr>
                <w:rFonts w:ascii="Calibri" w:eastAsia="Times New Roman" w:hAnsi="Calibri" w:cs="Calibri"/>
                <w:bCs/>
              </w:rPr>
            </w:pPr>
            <w:r w:rsidRPr="000B39D1">
              <w:rPr>
                <w:rFonts w:ascii="Calibri" w:hAnsi="Calibri" w:cs="Calibri"/>
                <w:bCs/>
              </w:rPr>
              <w:t xml:space="preserve">Healthcare Cost </w:t>
            </w:r>
            <w:r w:rsidR="001C762E" w:rsidRPr="000B39D1">
              <w:rPr>
                <w:rFonts w:ascii="Calibri" w:hAnsi="Calibri" w:cs="Calibri"/>
                <w:bCs/>
              </w:rPr>
              <w:t>TrendRates</w:t>
            </w:r>
            <w:r w:rsidR="001C762E">
              <w:rPr>
                <w:rFonts w:ascii="Calibri" w:hAnsi="Calibri" w:cs="Calibri"/>
                <w:bCs/>
              </w:rPr>
              <w:t>8</w:t>
            </w:r>
            <w:r w:rsidRPr="000B39D1">
              <w:rPr>
                <w:rFonts w:ascii="Calibri" w:hAnsi="Calibri" w:cs="Calibri"/>
                <w:bCs/>
              </w:rPr>
              <w:t>% Year 1 Decreasing to 4</w:t>
            </w:r>
            <w:r w:rsidR="001C762E">
              <w:rPr>
                <w:rFonts w:ascii="Calibri" w:hAnsi="Calibri" w:cs="Calibri"/>
                <w:bCs/>
              </w:rPr>
              <w:t>.1</w:t>
            </w:r>
            <w:r w:rsidRPr="000B39D1">
              <w:rPr>
                <w:rFonts w:ascii="Calibri" w:hAnsi="Calibri" w:cs="Calibri"/>
                <w:bCs/>
              </w:rPr>
              <w:t>%</w:t>
            </w:r>
          </w:p>
        </w:tc>
        <w:tc>
          <w:tcPr>
            <w:tcW w:w="1170" w:type="dxa"/>
            <w:gridSpan w:val="2"/>
            <w:tcBorders>
              <w:top w:val="nil"/>
              <w:left w:val="nil"/>
              <w:bottom w:val="nil"/>
              <w:right w:val="nil"/>
            </w:tcBorders>
            <w:shd w:val="clear" w:color="000000" w:fill="FFFFFF"/>
            <w:vAlign w:val="bottom"/>
            <w:hideMark/>
          </w:tcPr>
          <w:p w14:paraId="5E987548" w14:textId="77777777" w:rsidR="00DD1612" w:rsidRPr="000B39D1" w:rsidRDefault="00DD1612" w:rsidP="00BD375F">
            <w:pPr>
              <w:jc w:val="center"/>
              <w:rPr>
                <w:rFonts w:ascii="Calibri" w:hAnsi="Calibri" w:cs="Calibri"/>
                <w:bCs/>
              </w:rPr>
            </w:pPr>
            <w:r w:rsidRPr="000B39D1">
              <w:rPr>
                <w:rFonts w:ascii="Calibri" w:hAnsi="Calibri" w:cs="Calibri"/>
                <w:bCs/>
              </w:rPr>
              <w:t>1%</w:t>
            </w:r>
          </w:p>
          <w:p w14:paraId="19D846B7" w14:textId="77B31A90" w:rsidR="00DD1612" w:rsidRPr="000B39D1" w:rsidRDefault="00DD1612" w:rsidP="00BD375F">
            <w:pPr>
              <w:jc w:val="center"/>
              <w:rPr>
                <w:rFonts w:ascii="Calibri" w:eastAsia="Times New Roman" w:hAnsi="Calibri" w:cs="Calibri"/>
                <w:bCs/>
              </w:rPr>
            </w:pPr>
            <w:r w:rsidRPr="000B39D1">
              <w:rPr>
                <w:rFonts w:ascii="Calibri" w:hAnsi="Calibri" w:cs="Calibri"/>
                <w:bCs/>
              </w:rPr>
              <w:t xml:space="preserve">Increase </w:t>
            </w:r>
            <w:r w:rsidRPr="000B39D1">
              <w:rPr>
                <w:rFonts w:ascii="Calibri" w:hAnsi="Calibri" w:cs="Calibri"/>
                <w:bCs/>
              </w:rPr>
              <w:br/>
            </w:r>
            <w:r w:rsidR="001C762E">
              <w:rPr>
                <w:rFonts w:ascii="Calibri" w:hAnsi="Calibri" w:cs="Calibri"/>
                <w:bCs/>
              </w:rPr>
              <w:t>9</w:t>
            </w:r>
            <w:r w:rsidRPr="000B39D1">
              <w:rPr>
                <w:rFonts w:ascii="Calibri" w:hAnsi="Calibri" w:cs="Calibri"/>
                <w:bCs/>
              </w:rPr>
              <w:t>% Year 1 Decreasing to 5</w:t>
            </w:r>
            <w:r w:rsidR="001C762E">
              <w:rPr>
                <w:rFonts w:ascii="Calibri" w:hAnsi="Calibri" w:cs="Calibri"/>
                <w:bCs/>
              </w:rPr>
              <w:t>.1</w:t>
            </w:r>
            <w:r w:rsidRPr="000B39D1">
              <w:rPr>
                <w:rFonts w:ascii="Calibri" w:hAnsi="Calibri" w:cs="Calibri"/>
                <w:bCs/>
              </w:rPr>
              <w:t>%</w:t>
            </w:r>
          </w:p>
        </w:tc>
        <w:tc>
          <w:tcPr>
            <w:tcW w:w="1170" w:type="dxa"/>
            <w:gridSpan w:val="2"/>
            <w:tcBorders>
              <w:top w:val="nil"/>
              <w:left w:val="nil"/>
              <w:bottom w:val="nil"/>
              <w:right w:val="nil"/>
            </w:tcBorders>
            <w:shd w:val="clear" w:color="auto" w:fill="F2F2F2" w:themeFill="background1" w:themeFillShade="F2"/>
            <w:vAlign w:val="bottom"/>
            <w:hideMark/>
          </w:tcPr>
          <w:p w14:paraId="191DA21D" w14:textId="77777777" w:rsidR="00DD1612" w:rsidRDefault="00DD1612" w:rsidP="00BD375F">
            <w:pPr>
              <w:jc w:val="center"/>
              <w:rPr>
                <w:rFonts w:ascii="Calibri" w:hAnsi="Calibri" w:cs="Calibri"/>
                <w:bCs/>
              </w:rPr>
            </w:pPr>
            <w:r w:rsidRPr="00BF66AC">
              <w:rPr>
                <w:rFonts w:ascii="Calibri" w:hAnsi="Calibri" w:cs="Calibri"/>
                <w:bCs/>
              </w:rPr>
              <w:t>1%</w:t>
            </w:r>
          </w:p>
          <w:p w14:paraId="20E0FEE4" w14:textId="77777777" w:rsidR="00DD1612" w:rsidRPr="00B77D08" w:rsidRDefault="00DD1612" w:rsidP="00BD375F">
            <w:pPr>
              <w:jc w:val="center"/>
              <w:rPr>
                <w:rFonts w:ascii="Calibri" w:eastAsia="Times New Roman" w:hAnsi="Calibri" w:cs="Calibri"/>
                <w:bCs/>
              </w:rPr>
            </w:pPr>
            <w:r w:rsidRPr="00BF66AC">
              <w:rPr>
                <w:rFonts w:ascii="Calibri" w:hAnsi="Calibri" w:cs="Calibri"/>
                <w:bCs/>
              </w:rPr>
              <w:t xml:space="preserve">Decrease </w:t>
            </w:r>
            <w:r w:rsidRPr="00BF66AC">
              <w:rPr>
                <w:rFonts w:ascii="Calibri" w:hAnsi="Calibri" w:cs="Calibri"/>
                <w:bCs/>
              </w:rPr>
              <w:br/>
              <w:t>5% Year 1 Decreasing to 3%</w:t>
            </w:r>
          </w:p>
        </w:tc>
        <w:tc>
          <w:tcPr>
            <w:tcW w:w="1182" w:type="dxa"/>
            <w:tcBorders>
              <w:top w:val="nil"/>
              <w:left w:val="nil"/>
              <w:bottom w:val="nil"/>
              <w:right w:val="nil"/>
            </w:tcBorders>
            <w:shd w:val="clear" w:color="auto" w:fill="F2F2F2" w:themeFill="background1" w:themeFillShade="F2"/>
            <w:vAlign w:val="bottom"/>
            <w:hideMark/>
          </w:tcPr>
          <w:p w14:paraId="729F27D3" w14:textId="5297F8EF" w:rsidR="00DD1612" w:rsidRPr="00B77D08" w:rsidRDefault="00DD1612" w:rsidP="00BD375F">
            <w:pPr>
              <w:jc w:val="center"/>
              <w:rPr>
                <w:rFonts w:ascii="Calibri" w:eastAsia="Times New Roman" w:hAnsi="Calibri" w:cs="Calibri"/>
                <w:bCs/>
              </w:rPr>
            </w:pPr>
            <w:r w:rsidRPr="00BF66AC">
              <w:rPr>
                <w:rFonts w:ascii="Calibri" w:hAnsi="Calibri" w:cs="Calibri"/>
                <w:bCs/>
              </w:rPr>
              <w:t>Healthcare Cost TrendRates6%</w:t>
            </w:r>
            <w:r>
              <w:rPr>
                <w:rFonts w:ascii="Calibri" w:hAnsi="Calibri" w:cs="Calibri"/>
                <w:bCs/>
              </w:rPr>
              <w:t xml:space="preserve"> </w:t>
            </w:r>
            <w:r w:rsidRPr="00BF66AC">
              <w:rPr>
                <w:rFonts w:ascii="Calibri" w:hAnsi="Calibri" w:cs="Calibri"/>
                <w:bCs/>
              </w:rPr>
              <w:t>Year 1 Decreasing to 4%</w:t>
            </w:r>
          </w:p>
        </w:tc>
        <w:tc>
          <w:tcPr>
            <w:tcW w:w="1158" w:type="dxa"/>
            <w:gridSpan w:val="2"/>
            <w:tcBorders>
              <w:top w:val="nil"/>
              <w:left w:val="nil"/>
              <w:bottom w:val="nil"/>
              <w:right w:val="nil"/>
            </w:tcBorders>
            <w:shd w:val="clear" w:color="auto" w:fill="F2F2F2" w:themeFill="background1" w:themeFillShade="F2"/>
            <w:vAlign w:val="bottom"/>
            <w:hideMark/>
          </w:tcPr>
          <w:p w14:paraId="5EC7AFEE" w14:textId="77777777" w:rsidR="00DD1612" w:rsidRDefault="00DD1612" w:rsidP="00BD375F">
            <w:pPr>
              <w:jc w:val="center"/>
              <w:rPr>
                <w:rFonts w:ascii="Calibri" w:hAnsi="Calibri" w:cs="Calibri"/>
                <w:bCs/>
              </w:rPr>
            </w:pPr>
            <w:r w:rsidRPr="00BF66AC">
              <w:rPr>
                <w:rFonts w:ascii="Calibri" w:hAnsi="Calibri" w:cs="Calibri"/>
                <w:bCs/>
              </w:rPr>
              <w:t>1%</w:t>
            </w:r>
          </w:p>
          <w:p w14:paraId="2DB5150E" w14:textId="77777777" w:rsidR="00DD1612" w:rsidRPr="00B77D08" w:rsidRDefault="00DD1612" w:rsidP="00BD375F">
            <w:pPr>
              <w:jc w:val="center"/>
              <w:rPr>
                <w:rFonts w:ascii="Calibri" w:eastAsia="Times New Roman" w:hAnsi="Calibri" w:cs="Calibri"/>
                <w:bCs/>
              </w:rPr>
            </w:pPr>
            <w:r w:rsidRPr="00BF66AC">
              <w:rPr>
                <w:rFonts w:ascii="Calibri" w:hAnsi="Calibri" w:cs="Calibri"/>
                <w:bCs/>
              </w:rPr>
              <w:t xml:space="preserve">Increase </w:t>
            </w:r>
            <w:r w:rsidRPr="00BF66AC">
              <w:rPr>
                <w:rFonts w:ascii="Calibri" w:hAnsi="Calibri" w:cs="Calibri"/>
                <w:bCs/>
              </w:rPr>
              <w:br/>
              <w:t>7% Year 1 Decreasing to 5%</w:t>
            </w:r>
          </w:p>
        </w:tc>
      </w:tr>
      <w:tr w:rsidR="00E56675" w:rsidRPr="00CE7B7D" w14:paraId="70AD7702" w14:textId="77777777" w:rsidTr="0048737B">
        <w:trPr>
          <w:trHeight w:val="396"/>
        </w:trPr>
        <w:tc>
          <w:tcPr>
            <w:tcW w:w="2160" w:type="dxa"/>
            <w:tcBorders>
              <w:top w:val="nil"/>
              <w:left w:val="nil"/>
              <w:bottom w:val="nil"/>
              <w:right w:val="nil"/>
            </w:tcBorders>
            <w:shd w:val="clear" w:color="000000" w:fill="FFFFFF"/>
            <w:noWrap/>
            <w:vAlign w:val="bottom"/>
            <w:hideMark/>
          </w:tcPr>
          <w:p w14:paraId="626A489C" w14:textId="77777777" w:rsidR="00E56675" w:rsidRPr="00CE7B7D" w:rsidRDefault="00E56675" w:rsidP="00E56675">
            <w:pPr>
              <w:rPr>
                <w:rFonts w:ascii="Calibri" w:eastAsia="Times New Roman" w:hAnsi="Calibri" w:cs="Calibri"/>
              </w:rPr>
            </w:pPr>
            <w:r w:rsidRPr="00CE7B7D">
              <w:rPr>
                <w:rFonts w:ascii="Calibri" w:eastAsia="Times New Roman" w:hAnsi="Calibri" w:cs="Calibri"/>
              </w:rPr>
              <w:t>Total OPEB liability</w:t>
            </w:r>
          </w:p>
        </w:tc>
        <w:tc>
          <w:tcPr>
            <w:tcW w:w="1170" w:type="dxa"/>
            <w:gridSpan w:val="2"/>
            <w:tcBorders>
              <w:top w:val="nil"/>
              <w:left w:val="nil"/>
              <w:bottom w:val="nil"/>
              <w:right w:val="nil"/>
            </w:tcBorders>
            <w:shd w:val="clear" w:color="000000" w:fill="FFFFFF"/>
            <w:vAlign w:val="bottom"/>
            <w:hideMark/>
          </w:tcPr>
          <w:p w14:paraId="22707206" w14:textId="3DAAB254" w:rsidR="00E56675" w:rsidRPr="0048737B" w:rsidRDefault="00E56675">
            <w:pPr>
              <w:jc w:val="right"/>
              <w:rPr>
                <w:rFonts w:ascii="Calibri" w:eastAsia="Times New Roman" w:hAnsi="Calibri" w:cs="Calibri"/>
                <w:color w:val="FF0000"/>
              </w:rPr>
            </w:pPr>
            <w:r w:rsidRPr="00004A0A">
              <w:t xml:space="preserve"> $</w:t>
            </w:r>
            <w:r w:rsidR="00F50CD4">
              <w:t>137,740</w:t>
            </w:r>
            <w:r w:rsidRPr="00004A0A">
              <w:t xml:space="preserve"> </w:t>
            </w:r>
          </w:p>
        </w:tc>
        <w:tc>
          <w:tcPr>
            <w:tcW w:w="1170" w:type="dxa"/>
            <w:tcBorders>
              <w:top w:val="nil"/>
              <w:left w:val="nil"/>
              <w:bottom w:val="nil"/>
              <w:right w:val="nil"/>
            </w:tcBorders>
            <w:shd w:val="clear" w:color="000000" w:fill="FFFFFF"/>
            <w:vAlign w:val="bottom"/>
            <w:hideMark/>
          </w:tcPr>
          <w:p w14:paraId="4ED3127E" w14:textId="1FDB4C2D" w:rsidR="00E56675" w:rsidRPr="0048737B" w:rsidRDefault="00E56675">
            <w:pPr>
              <w:jc w:val="right"/>
              <w:rPr>
                <w:rFonts w:ascii="Calibri" w:eastAsia="Times New Roman" w:hAnsi="Calibri" w:cs="Calibri"/>
                <w:color w:val="FF0000"/>
              </w:rPr>
            </w:pPr>
            <w:r w:rsidRPr="00004A0A">
              <w:t xml:space="preserve"> $</w:t>
            </w:r>
            <w:r w:rsidR="00F50CD4">
              <w:t>153,258</w:t>
            </w:r>
            <w:r w:rsidRPr="00004A0A">
              <w:t xml:space="preserve"> </w:t>
            </w:r>
          </w:p>
        </w:tc>
        <w:tc>
          <w:tcPr>
            <w:tcW w:w="1170" w:type="dxa"/>
            <w:gridSpan w:val="2"/>
            <w:tcBorders>
              <w:top w:val="nil"/>
              <w:left w:val="nil"/>
              <w:bottom w:val="nil"/>
              <w:right w:val="nil"/>
            </w:tcBorders>
            <w:shd w:val="clear" w:color="000000" w:fill="FFFFFF"/>
            <w:vAlign w:val="bottom"/>
            <w:hideMark/>
          </w:tcPr>
          <w:p w14:paraId="12793C1A" w14:textId="52360087" w:rsidR="00E56675" w:rsidRPr="0048737B" w:rsidRDefault="00E56675">
            <w:pPr>
              <w:jc w:val="right"/>
              <w:rPr>
                <w:rFonts w:ascii="Calibri" w:eastAsia="Times New Roman" w:hAnsi="Calibri" w:cs="Calibri"/>
                <w:color w:val="FF0000"/>
              </w:rPr>
            </w:pPr>
            <w:r w:rsidRPr="00004A0A">
              <w:t xml:space="preserve"> $</w:t>
            </w:r>
            <w:r w:rsidR="00F50CD4">
              <w:t>171,881</w:t>
            </w:r>
            <w:r w:rsidRPr="00004A0A">
              <w:t xml:space="preserve"> </w:t>
            </w:r>
          </w:p>
        </w:tc>
        <w:tc>
          <w:tcPr>
            <w:tcW w:w="1170" w:type="dxa"/>
            <w:gridSpan w:val="2"/>
            <w:tcBorders>
              <w:top w:val="nil"/>
              <w:left w:val="nil"/>
              <w:bottom w:val="nil"/>
              <w:right w:val="nil"/>
            </w:tcBorders>
            <w:shd w:val="clear" w:color="auto" w:fill="F2F2F2" w:themeFill="background1" w:themeFillShade="F2"/>
            <w:vAlign w:val="bottom"/>
            <w:hideMark/>
          </w:tcPr>
          <w:p w14:paraId="50035A21" w14:textId="47EB2FC1"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153,076</w:t>
            </w:r>
          </w:p>
        </w:tc>
        <w:tc>
          <w:tcPr>
            <w:tcW w:w="1182" w:type="dxa"/>
            <w:tcBorders>
              <w:top w:val="nil"/>
              <w:left w:val="nil"/>
              <w:bottom w:val="nil"/>
              <w:right w:val="nil"/>
            </w:tcBorders>
            <w:shd w:val="clear" w:color="auto" w:fill="F2F2F2" w:themeFill="background1" w:themeFillShade="F2"/>
            <w:vAlign w:val="bottom"/>
            <w:hideMark/>
          </w:tcPr>
          <w:p w14:paraId="2BA59608" w14:textId="6E8F09B8"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173,794</w:t>
            </w:r>
          </w:p>
        </w:tc>
        <w:tc>
          <w:tcPr>
            <w:tcW w:w="1158" w:type="dxa"/>
            <w:gridSpan w:val="2"/>
            <w:tcBorders>
              <w:top w:val="nil"/>
              <w:left w:val="nil"/>
              <w:bottom w:val="nil"/>
              <w:right w:val="nil"/>
            </w:tcBorders>
            <w:shd w:val="clear" w:color="auto" w:fill="F2F2F2" w:themeFill="background1" w:themeFillShade="F2"/>
            <w:vAlign w:val="bottom"/>
            <w:hideMark/>
          </w:tcPr>
          <w:p w14:paraId="0A7975EB" w14:textId="7D7E3FF0"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199,108</w:t>
            </w:r>
          </w:p>
        </w:tc>
      </w:tr>
      <w:tr w:rsidR="00E56675" w:rsidRPr="00CE7B7D" w14:paraId="630DE317" w14:textId="77777777" w:rsidTr="0048737B">
        <w:trPr>
          <w:trHeight w:val="300"/>
        </w:trPr>
        <w:tc>
          <w:tcPr>
            <w:tcW w:w="2160" w:type="dxa"/>
            <w:tcBorders>
              <w:top w:val="nil"/>
              <w:left w:val="nil"/>
              <w:bottom w:val="nil"/>
              <w:right w:val="nil"/>
            </w:tcBorders>
            <w:shd w:val="clear" w:color="000000" w:fill="FFFFFF"/>
            <w:noWrap/>
            <w:vAlign w:val="bottom"/>
            <w:hideMark/>
          </w:tcPr>
          <w:p w14:paraId="49BB823C" w14:textId="77777777" w:rsidR="00E56675" w:rsidRPr="00CE7B7D" w:rsidRDefault="00E56675" w:rsidP="00E56675">
            <w:pPr>
              <w:rPr>
                <w:rFonts w:ascii="Calibri" w:eastAsia="Times New Roman" w:hAnsi="Calibri" w:cs="Calibri"/>
              </w:rPr>
            </w:pPr>
            <w:r w:rsidRPr="00CE7B7D">
              <w:rPr>
                <w:rFonts w:ascii="Calibri" w:eastAsia="Times New Roman" w:hAnsi="Calibri" w:cs="Calibri"/>
              </w:rPr>
              <w:t>Fiduciary net position</w:t>
            </w:r>
          </w:p>
        </w:tc>
        <w:tc>
          <w:tcPr>
            <w:tcW w:w="1170" w:type="dxa"/>
            <w:gridSpan w:val="2"/>
            <w:tcBorders>
              <w:top w:val="nil"/>
              <w:left w:val="nil"/>
              <w:bottom w:val="nil"/>
              <w:right w:val="nil"/>
            </w:tcBorders>
            <w:shd w:val="clear" w:color="000000" w:fill="FFFFFF"/>
            <w:vAlign w:val="bottom"/>
            <w:hideMark/>
          </w:tcPr>
          <w:p w14:paraId="3980110A" w14:textId="26A08649" w:rsidR="00E56675" w:rsidRPr="0048737B" w:rsidRDefault="00E56675">
            <w:pPr>
              <w:jc w:val="right"/>
              <w:rPr>
                <w:rFonts w:ascii="Calibri" w:eastAsia="Times New Roman" w:hAnsi="Calibri" w:cs="Calibri"/>
                <w:color w:val="FF0000"/>
              </w:rPr>
            </w:pPr>
            <w:r w:rsidRPr="00004A0A">
              <w:t xml:space="preserve"> 174,427 </w:t>
            </w:r>
          </w:p>
        </w:tc>
        <w:tc>
          <w:tcPr>
            <w:tcW w:w="1170" w:type="dxa"/>
            <w:tcBorders>
              <w:top w:val="nil"/>
              <w:left w:val="nil"/>
              <w:bottom w:val="nil"/>
              <w:right w:val="nil"/>
            </w:tcBorders>
            <w:shd w:val="clear" w:color="000000" w:fill="FFFFFF"/>
            <w:vAlign w:val="bottom"/>
            <w:hideMark/>
          </w:tcPr>
          <w:p w14:paraId="011A6CED" w14:textId="23FE74C6" w:rsidR="00E56675" w:rsidRPr="0048737B" w:rsidRDefault="00E56675">
            <w:pPr>
              <w:jc w:val="right"/>
              <w:rPr>
                <w:rFonts w:ascii="Calibri" w:eastAsia="Times New Roman" w:hAnsi="Calibri" w:cs="Calibri"/>
                <w:color w:val="FF0000"/>
              </w:rPr>
            </w:pPr>
            <w:r w:rsidRPr="00004A0A">
              <w:t xml:space="preserve"> 174,427 </w:t>
            </w:r>
          </w:p>
        </w:tc>
        <w:tc>
          <w:tcPr>
            <w:tcW w:w="1170" w:type="dxa"/>
            <w:gridSpan w:val="2"/>
            <w:tcBorders>
              <w:top w:val="nil"/>
              <w:left w:val="nil"/>
              <w:bottom w:val="nil"/>
              <w:right w:val="nil"/>
            </w:tcBorders>
            <w:shd w:val="clear" w:color="000000" w:fill="FFFFFF"/>
            <w:vAlign w:val="bottom"/>
            <w:hideMark/>
          </w:tcPr>
          <w:p w14:paraId="6DD16DBA" w14:textId="32E52B2C" w:rsidR="00E56675" w:rsidRPr="0048737B" w:rsidRDefault="00E56675">
            <w:pPr>
              <w:jc w:val="right"/>
              <w:rPr>
                <w:rFonts w:ascii="Calibri" w:eastAsia="Times New Roman" w:hAnsi="Calibri" w:cs="Calibri"/>
                <w:color w:val="FF0000"/>
              </w:rPr>
            </w:pPr>
            <w:r w:rsidRPr="00004A0A">
              <w:t xml:space="preserve"> 174,427 </w:t>
            </w:r>
          </w:p>
        </w:tc>
        <w:tc>
          <w:tcPr>
            <w:tcW w:w="1170" w:type="dxa"/>
            <w:gridSpan w:val="2"/>
            <w:tcBorders>
              <w:top w:val="nil"/>
              <w:left w:val="nil"/>
              <w:bottom w:val="nil"/>
              <w:right w:val="nil"/>
            </w:tcBorders>
            <w:shd w:val="clear" w:color="auto" w:fill="F2F2F2" w:themeFill="background1" w:themeFillShade="F2"/>
            <w:vAlign w:val="bottom"/>
            <w:hideMark/>
          </w:tcPr>
          <w:p w14:paraId="166B6A2A" w14:textId="268DDEED" w:rsidR="00E56675" w:rsidRPr="00CE7B7D" w:rsidRDefault="00E56675" w:rsidP="00E56675">
            <w:pPr>
              <w:jc w:val="right"/>
              <w:rPr>
                <w:rFonts w:ascii="Calibri" w:eastAsia="Times New Roman" w:hAnsi="Calibri" w:cs="Calibri"/>
                <w:color w:val="000000"/>
              </w:rPr>
            </w:pPr>
            <w:r w:rsidRPr="003959B0">
              <w:rPr>
                <w:rFonts w:ascii="Calibri" w:eastAsia="Times New Roman" w:hAnsi="Calibri" w:cs="Calibri"/>
              </w:rPr>
              <w:t>156,012</w:t>
            </w:r>
          </w:p>
        </w:tc>
        <w:tc>
          <w:tcPr>
            <w:tcW w:w="1182" w:type="dxa"/>
            <w:tcBorders>
              <w:top w:val="nil"/>
              <w:left w:val="nil"/>
              <w:bottom w:val="nil"/>
              <w:right w:val="nil"/>
            </w:tcBorders>
            <w:shd w:val="clear" w:color="auto" w:fill="F2F2F2" w:themeFill="background1" w:themeFillShade="F2"/>
            <w:vAlign w:val="bottom"/>
            <w:hideMark/>
          </w:tcPr>
          <w:p w14:paraId="31D49A5C" w14:textId="035FFB99" w:rsidR="00E56675" w:rsidRPr="00CE7B7D" w:rsidRDefault="00E56675" w:rsidP="00E56675">
            <w:pPr>
              <w:jc w:val="right"/>
              <w:rPr>
                <w:rFonts w:ascii="Calibri" w:eastAsia="Times New Roman" w:hAnsi="Calibri" w:cs="Calibri"/>
                <w:color w:val="000000"/>
              </w:rPr>
            </w:pPr>
            <w:r w:rsidRPr="003959B0">
              <w:rPr>
                <w:rFonts w:ascii="Calibri" w:eastAsia="Times New Roman" w:hAnsi="Calibri" w:cs="Calibri"/>
              </w:rPr>
              <w:t>156,012</w:t>
            </w:r>
          </w:p>
        </w:tc>
        <w:tc>
          <w:tcPr>
            <w:tcW w:w="1158" w:type="dxa"/>
            <w:gridSpan w:val="2"/>
            <w:tcBorders>
              <w:top w:val="nil"/>
              <w:left w:val="nil"/>
              <w:bottom w:val="nil"/>
              <w:right w:val="nil"/>
            </w:tcBorders>
            <w:shd w:val="clear" w:color="auto" w:fill="F2F2F2" w:themeFill="background1" w:themeFillShade="F2"/>
            <w:vAlign w:val="bottom"/>
            <w:hideMark/>
          </w:tcPr>
          <w:p w14:paraId="443291BD" w14:textId="10DF4876" w:rsidR="00E56675" w:rsidRPr="00CE7B7D" w:rsidRDefault="00E56675" w:rsidP="00E56675">
            <w:pPr>
              <w:jc w:val="right"/>
              <w:rPr>
                <w:rFonts w:ascii="Calibri" w:eastAsia="Times New Roman" w:hAnsi="Calibri" w:cs="Calibri"/>
                <w:color w:val="000000"/>
              </w:rPr>
            </w:pPr>
            <w:r w:rsidRPr="003959B0">
              <w:rPr>
                <w:rFonts w:ascii="Calibri" w:eastAsia="Times New Roman" w:hAnsi="Calibri" w:cs="Calibri"/>
              </w:rPr>
              <w:t>156,012</w:t>
            </w:r>
          </w:p>
        </w:tc>
      </w:tr>
      <w:tr w:rsidR="00E56675" w:rsidRPr="00CE7B7D" w14:paraId="73A8707A" w14:textId="77777777" w:rsidTr="0048737B">
        <w:trPr>
          <w:trHeight w:val="312"/>
        </w:trPr>
        <w:tc>
          <w:tcPr>
            <w:tcW w:w="2160" w:type="dxa"/>
            <w:tcBorders>
              <w:top w:val="single" w:sz="12" w:space="0" w:color="44546A"/>
              <w:left w:val="nil"/>
              <w:bottom w:val="single" w:sz="8" w:space="0" w:color="44546A"/>
              <w:right w:val="nil"/>
            </w:tcBorders>
            <w:shd w:val="clear" w:color="000000" w:fill="FFFFFF"/>
            <w:noWrap/>
            <w:vAlign w:val="bottom"/>
            <w:hideMark/>
          </w:tcPr>
          <w:p w14:paraId="26CDC49F" w14:textId="77777777" w:rsidR="00E56675" w:rsidRPr="00CE7B7D" w:rsidRDefault="00E56675" w:rsidP="00E56675">
            <w:pPr>
              <w:rPr>
                <w:rFonts w:ascii="Calibri" w:eastAsia="Times New Roman" w:hAnsi="Calibri" w:cs="Calibri"/>
              </w:rPr>
            </w:pPr>
            <w:r w:rsidRPr="00CE7B7D">
              <w:rPr>
                <w:rFonts w:ascii="Calibri" w:eastAsia="Times New Roman" w:hAnsi="Calibri" w:cs="Calibri"/>
              </w:rPr>
              <w:t>Net OPEB liability</w:t>
            </w:r>
            <w:r>
              <w:rPr>
                <w:rFonts w:ascii="Calibri" w:eastAsia="Times New Roman" w:hAnsi="Calibri" w:cs="Calibri"/>
              </w:rPr>
              <w:t xml:space="preserve"> (asset)</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3EFCC461" w14:textId="74921311" w:rsidR="00E56675" w:rsidRPr="0048737B" w:rsidRDefault="00E56675">
            <w:pPr>
              <w:jc w:val="right"/>
              <w:rPr>
                <w:rFonts w:ascii="Calibri" w:eastAsia="Times New Roman" w:hAnsi="Calibri" w:cs="Calibri"/>
                <w:color w:val="FF0000"/>
              </w:rPr>
            </w:pPr>
            <w:r w:rsidRPr="00004A0A">
              <w:t xml:space="preserve"> $(</w:t>
            </w:r>
            <w:r w:rsidR="00F50CD4">
              <w:t>36,687</w:t>
            </w:r>
            <w:r w:rsidRPr="00004A0A">
              <w:t>)</w:t>
            </w:r>
          </w:p>
        </w:tc>
        <w:tc>
          <w:tcPr>
            <w:tcW w:w="1170" w:type="dxa"/>
            <w:tcBorders>
              <w:top w:val="single" w:sz="12" w:space="0" w:color="00688D"/>
              <w:left w:val="nil"/>
              <w:bottom w:val="single" w:sz="8" w:space="0" w:color="00688D"/>
              <w:right w:val="nil"/>
            </w:tcBorders>
            <w:shd w:val="clear" w:color="000000" w:fill="FFFFFF"/>
            <w:noWrap/>
            <w:vAlign w:val="bottom"/>
            <w:hideMark/>
          </w:tcPr>
          <w:p w14:paraId="0206950F" w14:textId="03E99422" w:rsidR="00E56675" w:rsidRPr="0048737B" w:rsidRDefault="00E56675">
            <w:pPr>
              <w:jc w:val="right"/>
              <w:rPr>
                <w:rFonts w:ascii="Calibri" w:eastAsia="Times New Roman" w:hAnsi="Calibri" w:cs="Calibri"/>
                <w:color w:val="FF0000"/>
              </w:rPr>
            </w:pPr>
            <w:r w:rsidRPr="00004A0A">
              <w:t xml:space="preserve"> $(</w:t>
            </w:r>
            <w:r w:rsidR="00F50CD4">
              <w:t>21,169</w:t>
            </w:r>
            <w:r w:rsidRPr="00004A0A">
              <w:t>)</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51910F6E" w14:textId="1D0EF200" w:rsidR="00E56675" w:rsidRPr="0048737B" w:rsidRDefault="00E56675">
            <w:pPr>
              <w:jc w:val="right"/>
              <w:rPr>
                <w:rFonts w:ascii="Calibri" w:eastAsia="Times New Roman" w:hAnsi="Calibri" w:cs="Calibri"/>
                <w:color w:val="FF0000"/>
              </w:rPr>
            </w:pPr>
            <w:r w:rsidRPr="00004A0A">
              <w:t xml:space="preserve"> $(</w:t>
            </w:r>
            <w:r w:rsidR="00F50CD4">
              <w:t>2,546</w:t>
            </w:r>
            <w:r w:rsidRPr="00004A0A">
              <w:t>)</w:t>
            </w:r>
          </w:p>
        </w:tc>
        <w:tc>
          <w:tcPr>
            <w:tcW w:w="1170" w:type="dxa"/>
            <w:gridSpan w:val="2"/>
            <w:tcBorders>
              <w:top w:val="single" w:sz="12" w:space="0" w:color="00688D"/>
              <w:left w:val="nil"/>
              <w:bottom w:val="single" w:sz="8" w:space="0" w:color="00688D"/>
              <w:right w:val="nil"/>
            </w:tcBorders>
            <w:shd w:val="clear" w:color="auto" w:fill="F2F2F2" w:themeFill="background1" w:themeFillShade="F2"/>
            <w:noWrap/>
            <w:vAlign w:val="bottom"/>
            <w:hideMark/>
          </w:tcPr>
          <w:p w14:paraId="4509C488" w14:textId="5FC651F9"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Pr>
                <w:rFonts w:ascii="Calibri" w:eastAsia="Times New Roman" w:hAnsi="Calibri" w:cs="Calibri"/>
              </w:rPr>
              <w:t xml:space="preserve"> </w:t>
            </w:r>
            <w:r w:rsidRPr="000B39D1">
              <w:rPr>
                <w:rFonts w:ascii="Calibri" w:eastAsia="Times New Roman" w:hAnsi="Calibri" w:cs="Calibri"/>
              </w:rPr>
              <w:t>(</w:t>
            </w:r>
            <w:r w:rsidRPr="003959B0">
              <w:rPr>
                <w:rFonts w:ascii="Calibri" w:eastAsia="Times New Roman" w:hAnsi="Calibri" w:cs="Calibri"/>
              </w:rPr>
              <w:t>2,936</w:t>
            </w:r>
            <w:r w:rsidRPr="000B39D1">
              <w:rPr>
                <w:rFonts w:ascii="Calibri" w:eastAsia="Times New Roman" w:hAnsi="Calibri" w:cs="Calibri"/>
              </w:rPr>
              <w:t>)</w:t>
            </w:r>
          </w:p>
        </w:tc>
        <w:tc>
          <w:tcPr>
            <w:tcW w:w="1182" w:type="dxa"/>
            <w:tcBorders>
              <w:top w:val="single" w:sz="12" w:space="0" w:color="00688D"/>
              <w:left w:val="nil"/>
              <w:bottom w:val="single" w:sz="8" w:space="0" w:color="00688D"/>
              <w:right w:val="nil"/>
            </w:tcBorders>
            <w:shd w:val="clear" w:color="auto" w:fill="F2F2F2" w:themeFill="background1" w:themeFillShade="F2"/>
            <w:noWrap/>
            <w:vAlign w:val="bottom"/>
            <w:hideMark/>
          </w:tcPr>
          <w:p w14:paraId="22C57085" w14:textId="79F986EA"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Pr>
                <w:rFonts w:ascii="Calibri" w:eastAsia="Times New Roman" w:hAnsi="Calibri" w:cs="Calibri"/>
              </w:rPr>
              <w:t xml:space="preserve"> </w:t>
            </w:r>
            <w:r w:rsidRPr="003959B0">
              <w:rPr>
                <w:rFonts w:ascii="Calibri" w:eastAsia="Times New Roman" w:hAnsi="Calibri" w:cs="Calibri"/>
              </w:rPr>
              <w:t>17,782</w:t>
            </w:r>
          </w:p>
        </w:tc>
        <w:tc>
          <w:tcPr>
            <w:tcW w:w="1158" w:type="dxa"/>
            <w:gridSpan w:val="2"/>
            <w:tcBorders>
              <w:top w:val="single" w:sz="12" w:space="0" w:color="00688D"/>
              <w:left w:val="nil"/>
              <w:bottom w:val="single" w:sz="8" w:space="0" w:color="00688D"/>
              <w:right w:val="nil"/>
            </w:tcBorders>
            <w:shd w:val="clear" w:color="auto" w:fill="F2F2F2" w:themeFill="background1" w:themeFillShade="F2"/>
            <w:noWrap/>
            <w:vAlign w:val="bottom"/>
            <w:hideMark/>
          </w:tcPr>
          <w:p w14:paraId="0B7A735D" w14:textId="06CE3680" w:rsidR="00E56675" w:rsidRPr="00CE7B7D" w:rsidRDefault="00E56675" w:rsidP="00E56675">
            <w:pPr>
              <w:jc w:val="right"/>
              <w:rPr>
                <w:rFonts w:ascii="Calibri" w:eastAsia="Times New Roman" w:hAnsi="Calibri" w:cs="Calibri"/>
              </w:rPr>
            </w:pPr>
            <w:r w:rsidRPr="000B39D1">
              <w:rPr>
                <w:rFonts w:ascii="Calibri" w:eastAsia="Times New Roman" w:hAnsi="Calibri" w:cs="Calibri"/>
              </w:rPr>
              <w:t>$</w:t>
            </w:r>
            <w:r>
              <w:rPr>
                <w:rFonts w:ascii="Calibri" w:eastAsia="Times New Roman" w:hAnsi="Calibri" w:cs="Calibri"/>
              </w:rPr>
              <w:t xml:space="preserve"> </w:t>
            </w:r>
            <w:r w:rsidRPr="000B39D1">
              <w:rPr>
                <w:rFonts w:ascii="Calibri" w:eastAsia="Times New Roman" w:hAnsi="Calibri" w:cs="Calibri"/>
              </w:rPr>
              <w:t xml:space="preserve"> </w:t>
            </w:r>
            <w:r w:rsidRPr="003959B0">
              <w:rPr>
                <w:rFonts w:ascii="Calibri" w:eastAsia="Times New Roman" w:hAnsi="Calibri" w:cs="Calibri"/>
              </w:rPr>
              <w:t>43,096</w:t>
            </w:r>
          </w:p>
        </w:tc>
      </w:tr>
    </w:tbl>
    <w:p w14:paraId="1FEFF348" w14:textId="77777777" w:rsidR="00DD1612" w:rsidRDefault="00DD1612" w:rsidP="00DD1612">
      <w:pPr>
        <w:spacing w:after="160" w:line="259" w:lineRule="auto"/>
        <w:rPr>
          <w:rFonts w:cstheme="minorHAnsi"/>
          <w:color w:val="222222"/>
          <w:sz w:val="24"/>
          <w:shd w:val="clear" w:color="auto" w:fill="FFFFFF"/>
        </w:rPr>
      </w:pPr>
      <w:r>
        <w:rPr>
          <w:rFonts w:cstheme="minorHAnsi"/>
          <w:color w:val="222222"/>
          <w:sz w:val="24"/>
          <w:shd w:val="clear" w:color="auto" w:fill="FFFFFF"/>
        </w:rPr>
        <w:br w:type="page"/>
      </w:r>
    </w:p>
    <w:p w14:paraId="5354C77A" w14:textId="77777777" w:rsidR="00DD1612" w:rsidRPr="00F54559" w:rsidRDefault="00DD1612" w:rsidP="00DD1612">
      <w:pPr>
        <w:tabs>
          <w:tab w:val="left" w:pos="1080"/>
        </w:tabs>
        <w:spacing w:before="240" w:after="240"/>
        <w:rPr>
          <w:rFonts w:cstheme="minorHAnsi"/>
          <w:color w:val="222222"/>
          <w:sz w:val="24"/>
          <w:shd w:val="clear" w:color="auto" w:fill="FFFFFF"/>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7675879B" w14:textId="592D5630" w:rsidR="00DD1612" w:rsidRPr="00F54559" w:rsidRDefault="00DD1612" w:rsidP="00DD1612">
      <w:pPr>
        <w:tabs>
          <w:tab w:val="left" w:pos="900"/>
        </w:tabs>
        <w:spacing w:after="240"/>
        <w:ind w:right="-7"/>
        <w:rPr>
          <w:rFonts w:cstheme="minorHAnsi"/>
        </w:rPr>
      </w:pPr>
      <w:r w:rsidRPr="00F54559">
        <w:rPr>
          <w:rFonts w:cstheme="minorHAnsi"/>
          <w:color w:val="222222"/>
          <w:sz w:val="24"/>
          <w:shd w:val="clear" w:color="auto" w:fill="FFFFFF"/>
        </w:rPr>
        <w:t xml:space="preserve">Changes in the net </w:t>
      </w:r>
      <w:proofErr w:type="spellStart"/>
      <w:r w:rsidRPr="00F54559">
        <w:rPr>
          <w:rFonts w:cstheme="minorHAnsi"/>
          <w:color w:val="222222"/>
          <w:sz w:val="24"/>
          <w:shd w:val="clear" w:color="auto" w:fill="FFFFFF"/>
        </w:rPr>
        <w:t>OPEB</w:t>
      </w:r>
      <w:proofErr w:type="spellEnd"/>
      <w:r w:rsidRPr="00F54559">
        <w:rPr>
          <w:rFonts w:cstheme="minorHAnsi"/>
          <w:color w:val="222222"/>
          <w:sz w:val="24"/>
          <w:shd w:val="clear" w:color="auto" w:fill="FFFFFF"/>
        </w:rPr>
        <w:t xml:space="preserve"> liability:</w:t>
      </w:r>
      <w:r>
        <w:rPr>
          <w:rFonts w:cstheme="minorHAnsi"/>
        </w:rPr>
        <w:fldChar w:fldCharType="begin"/>
      </w:r>
      <w:r>
        <w:rPr>
          <w:rFonts w:cstheme="minorHAnsi"/>
        </w:rPr>
        <w:fldChar w:fldCharType="end"/>
      </w:r>
    </w:p>
    <w:tbl>
      <w:tblPr>
        <w:tblW w:w="9360" w:type="dxa"/>
        <w:jc w:val="center"/>
        <w:tblLook w:val="04A0" w:firstRow="1" w:lastRow="0" w:firstColumn="1" w:lastColumn="0" w:noHBand="0" w:noVBand="1"/>
      </w:tblPr>
      <w:tblGrid>
        <w:gridCol w:w="6470"/>
        <w:gridCol w:w="1293"/>
        <w:gridCol w:w="1597"/>
      </w:tblGrid>
      <w:tr w:rsidR="00DD1612" w:rsidRPr="00413B6F" w14:paraId="38CD4F51" w14:textId="77777777" w:rsidTr="00E56675">
        <w:trPr>
          <w:trHeight w:val="324"/>
          <w:tblHeader/>
          <w:jc w:val="center"/>
        </w:trPr>
        <w:tc>
          <w:tcPr>
            <w:tcW w:w="6470" w:type="dxa"/>
            <w:tcBorders>
              <w:top w:val="nil"/>
              <w:left w:val="nil"/>
              <w:bottom w:val="single" w:sz="12" w:space="0" w:color="44546A"/>
              <w:right w:val="nil"/>
            </w:tcBorders>
            <w:shd w:val="clear" w:color="000000" w:fill="FFFFFF"/>
            <w:vAlign w:val="bottom"/>
            <w:hideMark/>
          </w:tcPr>
          <w:p w14:paraId="15E041EB" w14:textId="77777777" w:rsidR="00DD1612" w:rsidRPr="00413B6F" w:rsidRDefault="00DD1612" w:rsidP="00BD375F">
            <w:pPr>
              <w:rPr>
                <w:rFonts w:ascii="Calibri" w:eastAsia="Times New Roman" w:hAnsi="Calibri" w:cs="Calibri"/>
                <w:b/>
                <w:bCs/>
                <w:color w:val="0D0D0D"/>
              </w:rPr>
            </w:pPr>
            <w:r w:rsidRPr="00413B6F">
              <w:rPr>
                <w:rFonts w:ascii="Calibri" w:eastAsia="Times New Roman" w:hAnsi="Calibri" w:cs="Calibri"/>
                <w:b/>
                <w:bCs/>
                <w:color w:val="0D0D0D"/>
              </w:rPr>
              <w:t>Fiscal Year Ended June 30</w:t>
            </w:r>
          </w:p>
        </w:tc>
        <w:tc>
          <w:tcPr>
            <w:tcW w:w="1293" w:type="dxa"/>
            <w:tcBorders>
              <w:top w:val="nil"/>
              <w:left w:val="nil"/>
              <w:bottom w:val="single" w:sz="12" w:space="0" w:color="44546A"/>
              <w:right w:val="nil"/>
            </w:tcBorders>
            <w:shd w:val="clear" w:color="000000" w:fill="FFFFFF"/>
            <w:noWrap/>
            <w:vAlign w:val="bottom"/>
            <w:hideMark/>
          </w:tcPr>
          <w:p w14:paraId="574D8A8B" w14:textId="136950C8" w:rsidR="00DD1612" w:rsidRPr="00413B6F" w:rsidRDefault="00420A33" w:rsidP="003977A2">
            <w:pPr>
              <w:jc w:val="center"/>
              <w:rPr>
                <w:rFonts w:ascii="Calibri" w:eastAsia="Times New Roman" w:hAnsi="Calibri" w:cs="Calibri"/>
                <w:b/>
                <w:bCs/>
                <w:color w:val="0D0D0D"/>
              </w:rPr>
            </w:pPr>
            <w:r w:rsidRPr="00413B6F">
              <w:rPr>
                <w:rFonts w:ascii="Calibri" w:eastAsia="Times New Roman" w:hAnsi="Calibri" w:cs="Calibri"/>
                <w:b/>
                <w:bCs/>
                <w:color w:val="0D0D0D"/>
              </w:rPr>
              <w:t>202</w:t>
            </w:r>
            <w:r>
              <w:rPr>
                <w:rFonts w:ascii="Calibri" w:eastAsia="Times New Roman" w:hAnsi="Calibri" w:cs="Calibri"/>
                <w:b/>
                <w:bCs/>
                <w:color w:val="0D0D0D"/>
              </w:rPr>
              <w:t>3</w:t>
            </w:r>
          </w:p>
        </w:tc>
        <w:tc>
          <w:tcPr>
            <w:tcW w:w="1597" w:type="dxa"/>
            <w:tcBorders>
              <w:top w:val="nil"/>
              <w:left w:val="nil"/>
              <w:bottom w:val="single" w:sz="12" w:space="0" w:color="44546A"/>
              <w:right w:val="nil"/>
            </w:tcBorders>
            <w:shd w:val="clear" w:color="auto" w:fill="F2F2F2" w:themeFill="background1" w:themeFillShade="F2"/>
            <w:noWrap/>
            <w:vAlign w:val="bottom"/>
            <w:hideMark/>
          </w:tcPr>
          <w:p w14:paraId="54C8DCD9" w14:textId="31C920AC" w:rsidR="00DD1612" w:rsidRPr="00413B6F" w:rsidRDefault="00420A33">
            <w:pPr>
              <w:jc w:val="center"/>
              <w:rPr>
                <w:rFonts w:ascii="Calibri" w:eastAsia="Times New Roman" w:hAnsi="Calibri" w:cs="Calibri"/>
                <w:b/>
                <w:bCs/>
                <w:color w:val="0D0D0D"/>
              </w:rPr>
            </w:pPr>
            <w:r w:rsidRPr="00413B6F">
              <w:rPr>
                <w:rFonts w:ascii="Calibri" w:eastAsia="Times New Roman" w:hAnsi="Calibri" w:cs="Calibri"/>
                <w:b/>
                <w:bCs/>
                <w:color w:val="0D0D0D"/>
              </w:rPr>
              <w:t>20</w:t>
            </w:r>
            <w:r>
              <w:rPr>
                <w:rFonts w:ascii="Calibri" w:eastAsia="Times New Roman" w:hAnsi="Calibri" w:cs="Calibri"/>
                <w:b/>
                <w:bCs/>
                <w:color w:val="0D0D0D"/>
              </w:rPr>
              <w:t>22</w:t>
            </w:r>
          </w:p>
        </w:tc>
      </w:tr>
      <w:tr w:rsidR="00E56675" w:rsidRPr="00413B6F" w14:paraId="7F6DA1FE" w14:textId="77777777" w:rsidTr="0048737B">
        <w:trPr>
          <w:trHeight w:val="69"/>
          <w:jc w:val="center"/>
        </w:trPr>
        <w:tc>
          <w:tcPr>
            <w:tcW w:w="6470" w:type="dxa"/>
            <w:tcBorders>
              <w:top w:val="nil"/>
              <w:left w:val="nil"/>
              <w:bottom w:val="nil"/>
              <w:right w:val="nil"/>
            </w:tcBorders>
            <w:shd w:val="clear" w:color="000000" w:fill="FFFFFF"/>
            <w:vAlign w:val="bottom"/>
            <w:hideMark/>
          </w:tcPr>
          <w:p w14:paraId="3768B224" w14:textId="77777777" w:rsidR="00E56675" w:rsidRPr="00413B6F" w:rsidRDefault="00E56675" w:rsidP="00E56675">
            <w:pPr>
              <w:rPr>
                <w:rFonts w:ascii="Calibri" w:eastAsia="Times New Roman" w:hAnsi="Calibri" w:cs="Calibri"/>
                <w:color w:val="0D0D0D"/>
              </w:rPr>
            </w:pPr>
            <w:r w:rsidRPr="00413B6F">
              <w:rPr>
                <w:rFonts w:ascii="Calibri" w:eastAsia="Times New Roman" w:hAnsi="Calibri" w:cs="Calibri"/>
                <w:color w:val="0D0D0D"/>
              </w:rPr>
              <w:t xml:space="preserve">Total OPEB liability – beginning </w:t>
            </w:r>
          </w:p>
        </w:tc>
        <w:tc>
          <w:tcPr>
            <w:tcW w:w="1293" w:type="dxa"/>
            <w:tcBorders>
              <w:top w:val="nil"/>
              <w:left w:val="nil"/>
              <w:bottom w:val="nil"/>
              <w:right w:val="nil"/>
            </w:tcBorders>
            <w:shd w:val="clear" w:color="000000" w:fill="FFFFFF"/>
            <w:noWrap/>
            <w:vAlign w:val="bottom"/>
            <w:hideMark/>
          </w:tcPr>
          <w:p w14:paraId="4686CF24" w14:textId="742CC050" w:rsidR="00E56675" w:rsidRPr="0048737B" w:rsidRDefault="00E56675" w:rsidP="00E56675">
            <w:pPr>
              <w:tabs>
                <w:tab w:val="left" w:pos="587"/>
              </w:tabs>
              <w:jc w:val="right"/>
              <w:rPr>
                <w:rFonts w:ascii="Calibri" w:eastAsia="Times New Roman" w:hAnsi="Calibri" w:cs="Calibri"/>
                <w:color w:val="FF0000"/>
              </w:rPr>
            </w:pPr>
            <w:r>
              <w:rPr>
                <w:rFonts w:ascii="Calibri" w:hAnsi="Calibri" w:cs="Calibri"/>
              </w:rPr>
              <w:t xml:space="preserve"> $   173,794 </w:t>
            </w:r>
          </w:p>
        </w:tc>
        <w:tc>
          <w:tcPr>
            <w:tcW w:w="1597" w:type="dxa"/>
            <w:tcBorders>
              <w:top w:val="nil"/>
              <w:left w:val="nil"/>
              <w:bottom w:val="nil"/>
              <w:right w:val="nil"/>
            </w:tcBorders>
            <w:shd w:val="clear" w:color="auto" w:fill="F2F2F2" w:themeFill="background1" w:themeFillShade="F2"/>
            <w:noWrap/>
            <w:vAlign w:val="bottom"/>
            <w:hideMark/>
          </w:tcPr>
          <w:p w14:paraId="3CC57D88" w14:textId="18C3C9A0" w:rsidR="00E56675" w:rsidRPr="00413B6F" w:rsidRDefault="00E56675" w:rsidP="00E56675">
            <w:pPr>
              <w:jc w:val="right"/>
              <w:rPr>
                <w:rFonts w:ascii="Calibri" w:eastAsia="Times New Roman" w:hAnsi="Calibri" w:cs="Calibri"/>
                <w:color w:val="0D0D0D"/>
              </w:rPr>
            </w:pPr>
            <w:r w:rsidRPr="0066736F">
              <w:rPr>
                <w:rFonts w:ascii="Calibri" w:eastAsia="Times New Roman" w:hAnsi="Calibri" w:cs="Calibri"/>
              </w:rPr>
              <w:t xml:space="preserve">$  </w:t>
            </w:r>
            <w:r w:rsidRPr="003959B0">
              <w:rPr>
                <w:rFonts w:ascii="Calibri" w:eastAsia="Times New Roman" w:hAnsi="Calibri" w:cs="Calibri"/>
              </w:rPr>
              <w:t>162,212</w:t>
            </w:r>
          </w:p>
        </w:tc>
      </w:tr>
      <w:tr w:rsidR="00E56675" w:rsidRPr="00413B6F" w14:paraId="0E738211" w14:textId="77777777" w:rsidTr="0048737B">
        <w:trPr>
          <w:trHeight w:val="68"/>
          <w:jc w:val="center"/>
        </w:trPr>
        <w:tc>
          <w:tcPr>
            <w:tcW w:w="6470" w:type="dxa"/>
            <w:tcBorders>
              <w:top w:val="nil"/>
              <w:left w:val="nil"/>
              <w:bottom w:val="nil"/>
              <w:right w:val="nil"/>
            </w:tcBorders>
            <w:shd w:val="clear" w:color="000000" w:fill="FFFFFF"/>
            <w:vAlign w:val="bottom"/>
            <w:hideMark/>
          </w:tcPr>
          <w:p w14:paraId="2BEC9A71"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Changes for the year:</w:t>
            </w:r>
          </w:p>
        </w:tc>
        <w:tc>
          <w:tcPr>
            <w:tcW w:w="1293" w:type="dxa"/>
            <w:tcBorders>
              <w:top w:val="nil"/>
              <w:left w:val="nil"/>
              <w:bottom w:val="nil"/>
              <w:right w:val="nil"/>
            </w:tcBorders>
            <w:shd w:val="clear" w:color="000000" w:fill="FFFFFF"/>
            <w:noWrap/>
            <w:vAlign w:val="bottom"/>
            <w:hideMark/>
          </w:tcPr>
          <w:p w14:paraId="2EED9C9F" w14:textId="4E22BD6C" w:rsidR="00E56675" w:rsidRPr="0048737B" w:rsidRDefault="00E56675" w:rsidP="00E56675">
            <w:pPr>
              <w:spacing w:before="120"/>
              <w:jc w:val="right"/>
              <w:rPr>
                <w:rFonts w:ascii="Calibri" w:eastAsia="Times New Roman" w:hAnsi="Calibri" w:cs="Calibri"/>
                <w:color w:val="FF0000"/>
              </w:rPr>
            </w:pPr>
            <w:r>
              <w:rPr>
                <w:rFonts w:ascii="Calibri" w:hAnsi="Calibri" w:cs="Calibri"/>
              </w:rPr>
              <w:t> </w:t>
            </w:r>
          </w:p>
        </w:tc>
        <w:tc>
          <w:tcPr>
            <w:tcW w:w="1597" w:type="dxa"/>
            <w:tcBorders>
              <w:top w:val="nil"/>
              <w:left w:val="nil"/>
              <w:bottom w:val="nil"/>
              <w:right w:val="nil"/>
            </w:tcBorders>
            <w:shd w:val="clear" w:color="auto" w:fill="F2F2F2" w:themeFill="background1" w:themeFillShade="F2"/>
            <w:noWrap/>
            <w:vAlign w:val="bottom"/>
            <w:hideMark/>
          </w:tcPr>
          <w:p w14:paraId="6C9E42BF" w14:textId="4186BFCF" w:rsidR="00E56675" w:rsidRPr="00413B6F" w:rsidRDefault="00E56675" w:rsidP="00E56675">
            <w:pPr>
              <w:spacing w:before="120"/>
              <w:jc w:val="right"/>
              <w:rPr>
                <w:rFonts w:ascii="Calibri" w:eastAsia="Times New Roman" w:hAnsi="Calibri" w:cs="Calibri"/>
                <w:color w:val="0D0D0D"/>
              </w:rPr>
            </w:pPr>
            <w:r w:rsidRPr="0066736F">
              <w:rPr>
                <w:rFonts w:ascii="Calibri" w:eastAsia="Times New Roman" w:hAnsi="Calibri" w:cs="Calibri"/>
              </w:rPr>
              <w:t> </w:t>
            </w:r>
          </w:p>
        </w:tc>
      </w:tr>
      <w:tr w:rsidR="00E56675" w:rsidRPr="00413B6F" w14:paraId="77E4A8B2" w14:textId="77777777" w:rsidTr="0048737B">
        <w:trPr>
          <w:trHeight w:val="68"/>
          <w:jc w:val="center"/>
        </w:trPr>
        <w:tc>
          <w:tcPr>
            <w:tcW w:w="6470" w:type="dxa"/>
            <w:tcBorders>
              <w:top w:val="nil"/>
              <w:left w:val="nil"/>
              <w:bottom w:val="nil"/>
              <w:right w:val="nil"/>
            </w:tcBorders>
            <w:shd w:val="clear" w:color="000000" w:fill="FFFFFF"/>
            <w:vAlign w:val="bottom"/>
            <w:hideMark/>
          </w:tcPr>
          <w:p w14:paraId="00517037"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Service cost</w:t>
            </w:r>
          </w:p>
        </w:tc>
        <w:tc>
          <w:tcPr>
            <w:tcW w:w="1293" w:type="dxa"/>
            <w:tcBorders>
              <w:top w:val="nil"/>
              <w:left w:val="nil"/>
              <w:bottom w:val="nil"/>
              <w:right w:val="nil"/>
            </w:tcBorders>
            <w:shd w:val="clear" w:color="000000" w:fill="FFFFFF"/>
            <w:noWrap/>
            <w:vAlign w:val="bottom"/>
            <w:hideMark/>
          </w:tcPr>
          <w:p w14:paraId="4F4A9DA2" w14:textId="57E0AE6F" w:rsidR="00E56675" w:rsidRPr="0048737B" w:rsidRDefault="00E56675" w:rsidP="00E56675">
            <w:pPr>
              <w:jc w:val="right"/>
              <w:rPr>
                <w:rFonts w:ascii="Calibri" w:eastAsia="Times New Roman" w:hAnsi="Calibri" w:cs="Calibri"/>
                <w:color w:val="FF0000"/>
              </w:rPr>
            </w:pPr>
            <w:r>
              <w:rPr>
                <w:rFonts w:ascii="Calibri" w:hAnsi="Calibri" w:cs="Calibri"/>
              </w:rPr>
              <w:t xml:space="preserve">6,364 </w:t>
            </w:r>
          </w:p>
        </w:tc>
        <w:tc>
          <w:tcPr>
            <w:tcW w:w="1597" w:type="dxa"/>
            <w:tcBorders>
              <w:top w:val="nil"/>
              <w:left w:val="nil"/>
              <w:bottom w:val="nil"/>
              <w:right w:val="nil"/>
            </w:tcBorders>
            <w:shd w:val="clear" w:color="auto" w:fill="F2F2F2" w:themeFill="background1" w:themeFillShade="F2"/>
            <w:noWrap/>
            <w:vAlign w:val="bottom"/>
            <w:hideMark/>
          </w:tcPr>
          <w:p w14:paraId="7C8E3DC5" w14:textId="39CB094E" w:rsidR="00E56675" w:rsidRPr="00413B6F" w:rsidRDefault="00E56675" w:rsidP="00E56675">
            <w:pPr>
              <w:jc w:val="right"/>
              <w:rPr>
                <w:rFonts w:ascii="Calibri" w:eastAsia="Times New Roman" w:hAnsi="Calibri" w:cs="Calibri"/>
                <w:color w:val="0D0D0D"/>
              </w:rPr>
            </w:pPr>
            <w:r w:rsidRPr="003959B0">
              <w:rPr>
                <w:rFonts w:ascii="Calibri" w:hAnsi="Calibri" w:cs="Calibri"/>
              </w:rPr>
              <w:t>6,150</w:t>
            </w:r>
            <w:r w:rsidRPr="0066736F">
              <w:rPr>
                <w:rFonts w:ascii="Calibri" w:hAnsi="Calibri" w:cs="Calibri"/>
              </w:rPr>
              <w:t xml:space="preserve"> </w:t>
            </w:r>
          </w:p>
        </w:tc>
      </w:tr>
      <w:tr w:rsidR="00E56675" w:rsidRPr="00413B6F" w14:paraId="137325F1" w14:textId="77777777" w:rsidTr="0048737B">
        <w:trPr>
          <w:trHeight w:val="72"/>
          <w:jc w:val="center"/>
        </w:trPr>
        <w:tc>
          <w:tcPr>
            <w:tcW w:w="6470" w:type="dxa"/>
            <w:tcBorders>
              <w:top w:val="nil"/>
              <w:left w:val="nil"/>
              <w:bottom w:val="nil"/>
              <w:right w:val="nil"/>
            </w:tcBorders>
            <w:shd w:val="clear" w:color="000000" w:fill="FFFFFF"/>
            <w:vAlign w:val="bottom"/>
            <w:hideMark/>
          </w:tcPr>
          <w:p w14:paraId="1A28B7DE"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Interest</w:t>
            </w:r>
          </w:p>
        </w:tc>
        <w:tc>
          <w:tcPr>
            <w:tcW w:w="1293" w:type="dxa"/>
            <w:tcBorders>
              <w:top w:val="nil"/>
              <w:left w:val="nil"/>
              <w:bottom w:val="nil"/>
              <w:right w:val="nil"/>
            </w:tcBorders>
            <w:shd w:val="clear" w:color="000000" w:fill="FFFFFF"/>
            <w:noWrap/>
            <w:vAlign w:val="bottom"/>
            <w:hideMark/>
          </w:tcPr>
          <w:p w14:paraId="27227539" w14:textId="71BB7245" w:rsidR="00E56675" w:rsidRPr="0048737B" w:rsidRDefault="00E56675" w:rsidP="00E56675">
            <w:pPr>
              <w:jc w:val="right"/>
              <w:rPr>
                <w:rFonts w:ascii="Calibri" w:eastAsia="Times New Roman" w:hAnsi="Calibri" w:cs="Calibri"/>
                <w:color w:val="FF0000"/>
              </w:rPr>
            </w:pPr>
            <w:r>
              <w:rPr>
                <w:rFonts w:ascii="Calibri" w:hAnsi="Calibri" w:cs="Calibri"/>
              </w:rPr>
              <w:t xml:space="preserve">12,803 </w:t>
            </w:r>
          </w:p>
        </w:tc>
        <w:tc>
          <w:tcPr>
            <w:tcW w:w="1597" w:type="dxa"/>
            <w:tcBorders>
              <w:top w:val="nil"/>
              <w:left w:val="nil"/>
              <w:bottom w:val="nil"/>
              <w:right w:val="nil"/>
            </w:tcBorders>
            <w:shd w:val="clear" w:color="auto" w:fill="F2F2F2" w:themeFill="background1" w:themeFillShade="F2"/>
            <w:noWrap/>
            <w:vAlign w:val="bottom"/>
            <w:hideMark/>
          </w:tcPr>
          <w:p w14:paraId="6FF7E0AC" w14:textId="28BE73AA" w:rsidR="00E56675" w:rsidRPr="00413B6F" w:rsidRDefault="00E56675" w:rsidP="00E56675">
            <w:pPr>
              <w:jc w:val="right"/>
              <w:rPr>
                <w:rFonts w:ascii="Calibri" w:eastAsia="Times New Roman" w:hAnsi="Calibri" w:cs="Calibri"/>
                <w:color w:val="0D0D0D"/>
              </w:rPr>
            </w:pPr>
            <w:r w:rsidRPr="003959B0">
              <w:rPr>
                <w:rFonts w:ascii="Calibri" w:hAnsi="Calibri" w:cs="Calibri"/>
              </w:rPr>
              <w:t>11,969</w:t>
            </w:r>
            <w:r w:rsidRPr="0066736F">
              <w:rPr>
                <w:rFonts w:ascii="Calibri" w:hAnsi="Calibri" w:cs="Calibri"/>
              </w:rPr>
              <w:t xml:space="preserve"> </w:t>
            </w:r>
          </w:p>
        </w:tc>
      </w:tr>
      <w:tr w:rsidR="00E56675" w:rsidRPr="00413B6F" w14:paraId="44EB9AE6" w14:textId="77777777" w:rsidTr="00C34BCE">
        <w:trPr>
          <w:trHeight w:val="324"/>
          <w:jc w:val="center"/>
        </w:trPr>
        <w:tc>
          <w:tcPr>
            <w:tcW w:w="6470" w:type="dxa"/>
            <w:tcBorders>
              <w:top w:val="nil"/>
              <w:left w:val="nil"/>
              <w:bottom w:val="nil"/>
              <w:right w:val="nil"/>
            </w:tcBorders>
            <w:shd w:val="clear" w:color="000000" w:fill="FFFFFF"/>
            <w:vAlign w:val="bottom"/>
            <w:hideMark/>
          </w:tcPr>
          <w:p w14:paraId="438340FA"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Changes of benefit terms</w:t>
            </w:r>
          </w:p>
        </w:tc>
        <w:tc>
          <w:tcPr>
            <w:tcW w:w="1293" w:type="dxa"/>
            <w:tcBorders>
              <w:top w:val="nil"/>
              <w:left w:val="nil"/>
              <w:bottom w:val="nil"/>
              <w:right w:val="nil"/>
            </w:tcBorders>
            <w:shd w:val="clear" w:color="000000" w:fill="FFFFFF"/>
            <w:noWrap/>
            <w:vAlign w:val="bottom"/>
            <w:hideMark/>
          </w:tcPr>
          <w:p w14:paraId="1D609A07" w14:textId="0BF64197" w:rsidR="00E56675" w:rsidRPr="0048737B" w:rsidRDefault="00F50CD4" w:rsidP="00E56675">
            <w:pPr>
              <w:jc w:val="right"/>
              <w:rPr>
                <w:rFonts w:ascii="Calibri" w:eastAsia="Times New Roman" w:hAnsi="Calibri" w:cs="Calibri"/>
                <w:color w:val="FF0000"/>
              </w:rPr>
            </w:pPr>
            <w:r>
              <w:rPr>
                <w:rFonts w:ascii="Calibri" w:hAnsi="Calibri" w:cs="Calibri"/>
              </w:rPr>
              <w:t>4,499</w:t>
            </w:r>
            <w:r w:rsidR="00E56675">
              <w:rPr>
                <w:rFonts w:ascii="Calibri" w:hAnsi="Calibri" w:cs="Calibri"/>
              </w:rPr>
              <w:t xml:space="preserve"> </w:t>
            </w:r>
          </w:p>
        </w:tc>
        <w:tc>
          <w:tcPr>
            <w:tcW w:w="1597" w:type="dxa"/>
            <w:tcBorders>
              <w:top w:val="nil"/>
              <w:left w:val="nil"/>
              <w:bottom w:val="nil"/>
              <w:right w:val="nil"/>
            </w:tcBorders>
            <w:shd w:val="clear" w:color="auto" w:fill="F2F2F2" w:themeFill="background1" w:themeFillShade="F2"/>
            <w:noWrap/>
            <w:vAlign w:val="bottom"/>
            <w:hideMark/>
          </w:tcPr>
          <w:p w14:paraId="1E01C4E7" w14:textId="1899E5FA" w:rsidR="00E56675" w:rsidRPr="00413B6F" w:rsidRDefault="00E56675" w:rsidP="00E56675">
            <w:pPr>
              <w:jc w:val="right"/>
              <w:rPr>
                <w:rFonts w:ascii="Calibri" w:eastAsia="Times New Roman" w:hAnsi="Calibri" w:cs="Calibri"/>
                <w:color w:val="0D0D0D"/>
              </w:rPr>
            </w:pPr>
            <w:r w:rsidRPr="003959B0">
              <w:rPr>
                <w:rFonts w:ascii="Calibri" w:hAnsi="Calibri" w:cs="Calibri"/>
              </w:rPr>
              <w:t>-</w:t>
            </w:r>
          </w:p>
        </w:tc>
      </w:tr>
      <w:tr w:rsidR="00E56675" w:rsidRPr="00413B6F" w14:paraId="6CB94C21" w14:textId="77777777" w:rsidTr="0048737B">
        <w:trPr>
          <w:trHeight w:val="81"/>
          <w:jc w:val="center"/>
        </w:trPr>
        <w:tc>
          <w:tcPr>
            <w:tcW w:w="6470" w:type="dxa"/>
            <w:tcBorders>
              <w:top w:val="nil"/>
              <w:left w:val="nil"/>
              <w:bottom w:val="nil"/>
              <w:right w:val="nil"/>
            </w:tcBorders>
            <w:shd w:val="clear" w:color="000000" w:fill="FFFFFF"/>
            <w:noWrap/>
            <w:vAlign w:val="bottom"/>
            <w:hideMark/>
          </w:tcPr>
          <w:p w14:paraId="1DA24040"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 xml:space="preserve">Differences between expected and actual experience </w:t>
            </w:r>
          </w:p>
        </w:tc>
        <w:tc>
          <w:tcPr>
            <w:tcW w:w="1293" w:type="dxa"/>
            <w:tcBorders>
              <w:top w:val="nil"/>
              <w:left w:val="nil"/>
              <w:bottom w:val="nil"/>
              <w:right w:val="nil"/>
            </w:tcBorders>
            <w:shd w:val="clear" w:color="000000" w:fill="FFFFFF"/>
            <w:noWrap/>
            <w:vAlign w:val="bottom"/>
            <w:hideMark/>
          </w:tcPr>
          <w:p w14:paraId="748790CB" w14:textId="7C272B39" w:rsidR="00E56675" w:rsidRPr="0048737B" w:rsidRDefault="00E56675" w:rsidP="00E56675">
            <w:pPr>
              <w:jc w:val="right"/>
              <w:rPr>
                <w:rFonts w:ascii="Calibri" w:eastAsia="Times New Roman" w:hAnsi="Calibri" w:cs="Calibri"/>
                <w:color w:val="FF0000"/>
              </w:rPr>
            </w:pPr>
            <w:r>
              <w:rPr>
                <w:rFonts w:ascii="Calibri" w:hAnsi="Calibri" w:cs="Calibri"/>
              </w:rPr>
              <w:t>(</w:t>
            </w:r>
            <w:r w:rsidR="00F50CD4">
              <w:rPr>
                <w:rFonts w:ascii="Calibri" w:hAnsi="Calibri" w:cs="Calibri"/>
              </w:rPr>
              <w:t>27,303</w:t>
            </w:r>
            <w:r>
              <w:rPr>
                <w:rFonts w:ascii="Calibri" w:hAnsi="Calibri" w:cs="Calibri"/>
              </w:rPr>
              <w:t>)</w:t>
            </w:r>
          </w:p>
        </w:tc>
        <w:tc>
          <w:tcPr>
            <w:tcW w:w="1597" w:type="dxa"/>
            <w:tcBorders>
              <w:top w:val="nil"/>
              <w:left w:val="nil"/>
              <w:bottom w:val="nil"/>
              <w:right w:val="nil"/>
            </w:tcBorders>
            <w:shd w:val="clear" w:color="auto" w:fill="F2F2F2" w:themeFill="background1" w:themeFillShade="F2"/>
            <w:noWrap/>
            <w:vAlign w:val="bottom"/>
            <w:hideMark/>
          </w:tcPr>
          <w:p w14:paraId="0FCAA8C5" w14:textId="7519C101" w:rsidR="00E56675" w:rsidRPr="00413B6F" w:rsidRDefault="00E56675" w:rsidP="00E56675">
            <w:pPr>
              <w:jc w:val="right"/>
              <w:rPr>
                <w:rFonts w:ascii="Calibri" w:eastAsia="Times New Roman" w:hAnsi="Calibri" w:cs="Calibri"/>
                <w:color w:val="0D0D0D"/>
              </w:rPr>
            </w:pPr>
            <w:r w:rsidRPr="003959B0">
              <w:rPr>
                <w:rFonts w:ascii="Calibri" w:hAnsi="Calibri" w:cs="Calibri"/>
              </w:rPr>
              <w:t>-</w:t>
            </w:r>
          </w:p>
        </w:tc>
      </w:tr>
      <w:tr w:rsidR="00E56675" w:rsidRPr="00413B6F" w14:paraId="4D272C38" w14:textId="77777777" w:rsidTr="0048737B">
        <w:trPr>
          <w:trHeight w:val="81"/>
          <w:jc w:val="center"/>
        </w:trPr>
        <w:tc>
          <w:tcPr>
            <w:tcW w:w="6470" w:type="dxa"/>
            <w:tcBorders>
              <w:top w:val="nil"/>
              <w:left w:val="nil"/>
              <w:bottom w:val="nil"/>
              <w:right w:val="nil"/>
            </w:tcBorders>
            <w:shd w:val="clear" w:color="000000" w:fill="FFFFFF"/>
            <w:noWrap/>
            <w:vAlign w:val="bottom"/>
            <w:hideMark/>
          </w:tcPr>
          <w:p w14:paraId="1BAA8188"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Changes of assumptions</w:t>
            </w:r>
          </w:p>
        </w:tc>
        <w:tc>
          <w:tcPr>
            <w:tcW w:w="1293" w:type="dxa"/>
            <w:tcBorders>
              <w:top w:val="nil"/>
              <w:left w:val="nil"/>
              <w:bottom w:val="nil"/>
              <w:right w:val="nil"/>
            </w:tcBorders>
            <w:shd w:val="clear" w:color="000000" w:fill="FFFFFF"/>
            <w:noWrap/>
            <w:vAlign w:val="bottom"/>
            <w:hideMark/>
          </w:tcPr>
          <w:p w14:paraId="7737F57A" w14:textId="7E41C429" w:rsidR="00E56675" w:rsidRPr="0048737B" w:rsidRDefault="00E56675" w:rsidP="00E56675">
            <w:pPr>
              <w:jc w:val="right"/>
              <w:rPr>
                <w:rFonts w:ascii="Calibri" w:eastAsia="Times New Roman" w:hAnsi="Calibri" w:cs="Calibri"/>
                <w:color w:val="FF0000"/>
              </w:rPr>
            </w:pPr>
            <w:r>
              <w:rPr>
                <w:rFonts w:ascii="Calibri" w:hAnsi="Calibri" w:cs="Calibri"/>
              </w:rPr>
              <w:t>(</w:t>
            </w:r>
            <w:r w:rsidR="00F50CD4">
              <w:rPr>
                <w:rFonts w:ascii="Calibri" w:hAnsi="Calibri" w:cs="Calibri"/>
              </w:rPr>
              <w:t>9,784</w:t>
            </w:r>
            <w:r>
              <w:rPr>
                <w:rFonts w:ascii="Calibri" w:hAnsi="Calibri" w:cs="Calibri"/>
              </w:rPr>
              <w:t>)</w:t>
            </w:r>
          </w:p>
        </w:tc>
        <w:tc>
          <w:tcPr>
            <w:tcW w:w="1597" w:type="dxa"/>
            <w:tcBorders>
              <w:top w:val="nil"/>
              <w:left w:val="nil"/>
              <w:bottom w:val="nil"/>
              <w:right w:val="nil"/>
            </w:tcBorders>
            <w:shd w:val="clear" w:color="auto" w:fill="F2F2F2" w:themeFill="background1" w:themeFillShade="F2"/>
            <w:noWrap/>
            <w:vAlign w:val="bottom"/>
            <w:hideMark/>
          </w:tcPr>
          <w:p w14:paraId="38D13691" w14:textId="6BDB9EB2" w:rsidR="00E56675" w:rsidRPr="00413B6F" w:rsidRDefault="00E56675" w:rsidP="00E56675">
            <w:pPr>
              <w:jc w:val="right"/>
              <w:rPr>
                <w:rFonts w:ascii="Calibri" w:eastAsia="Times New Roman" w:hAnsi="Calibri" w:cs="Calibri"/>
                <w:color w:val="0D0D0D"/>
              </w:rPr>
            </w:pPr>
            <w:r w:rsidRPr="003959B0">
              <w:rPr>
                <w:rFonts w:ascii="Calibri" w:hAnsi="Calibri" w:cs="Calibri"/>
              </w:rPr>
              <w:t>-</w:t>
            </w:r>
          </w:p>
        </w:tc>
      </w:tr>
      <w:tr w:rsidR="00E56675" w:rsidRPr="00413B6F" w14:paraId="2863DD6A" w14:textId="77777777" w:rsidTr="0048737B">
        <w:trPr>
          <w:trHeight w:val="81"/>
          <w:jc w:val="center"/>
        </w:trPr>
        <w:tc>
          <w:tcPr>
            <w:tcW w:w="6470" w:type="dxa"/>
            <w:tcBorders>
              <w:top w:val="nil"/>
              <w:left w:val="nil"/>
              <w:bottom w:val="nil"/>
              <w:right w:val="nil"/>
            </w:tcBorders>
            <w:shd w:val="clear" w:color="000000" w:fill="FFFFFF"/>
            <w:vAlign w:val="bottom"/>
            <w:hideMark/>
          </w:tcPr>
          <w:p w14:paraId="72D84E7C"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293" w:type="dxa"/>
            <w:tcBorders>
              <w:top w:val="nil"/>
              <w:left w:val="nil"/>
              <w:bottom w:val="nil"/>
              <w:right w:val="nil"/>
            </w:tcBorders>
            <w:shd w:val="clear" w:color="000000" w:fill="FFFFFF"/>
            <w:noWrap/>
            <w:vAlign w:val="bottom"/>
            <w:hideMark/>
          </w:tcPr>
          <w:p w14:paraId="6F47EBB2" w14:textId="3F98667C" w:rsidR="00E56675" w:rsidRPr="0048737B" w:rsidRDefault="00E56675" w:rsidP="00E56675">
            <w:pPr>
              <w:jc w:val="right"/>
              <w:rPr>
                <w:rFonts w:ascii="Calibri" w:eastAsia="Times New Roman" w:hAnsi="Calibri" w:cs="Calibri"/>
                <w:color w:val="FF0000"/>
              </w:rPr>
            </w:pPr>
            <w:r>
              <w:rPr>
                <w:rFonts w:ascii="Calibri" w:hAnsi="Calibri" w:cs="Calibri"/>
              </w:rPr>
              <w:t>(7,115)</w:t>
            </w:r>
          </w:p>
        </w:tc>
        <w:tc>
          <w:tcPr>
            <w:tcW w:w="1597" w:type="dxa"/>
            <w:tcBorders>
              <w:top w:val="nil"/>
              <w:left w:val="nil"/>
              <w:bottom w:val="nil"/>
              <w:right w:val="nil"/>
            </w:tcBorders>
            <w:shd w:val="clear" w:color="auto" w:fill="F2F2F2" w:themeFill="background1" w:themeFillShade="F2"/>
            <w:noWrap/>
            <w:vAlign w:val="bottom"/>
            <w:hideMark/>
          </w:tcPr>
          <w:p w14:paraId="352A0739" w14:textId="202E6513" w:rsidR="00E56675" w:rsidRPr="00413B6F" w:rsidRDefault="00E56675" w:rsidP="00E56675">
            <w:pPr>
              <w:jc w:val="right"/>
              <w:rPr>
                <w:rFonts w:ascii="Calibri" w:eastAsia="Times New Roman" w:hAnsi="Calibri" w:cs="Calibri"/>
                <w:color w:val="0D0D0D"/>
              </w:rPr>
            </w:pPr>
            <w:r>
              <w:rPr>
                <w:rFonts w:ascii="Calibri" w:hAnsi="Calibri" w:cs="Calibri"/>
              </w:rPr>
              <w:t>(6,537)</w:t>
            </w:r>
          </w:p>
        </w:tc>
      </w:tr>
      <w:tr w:rsidR="00E56675" w:rsidRPr="00413B6F" w14:paraId="62C09CB2" w14:textId="77777777" w:rsidTr="0048737B">
        <w:trPr>
          <w:trHeight w:val="71"/>
          <w:jc w:val="center"/>
        </w:trPr>
        <w:tc>
          <w:tcPr>
            <w:tcW w:w="6470" w:type="dxa"/>
            <w:tcBorders>
              <w:top w:val="single" w:sz="4" w:space="0" w:color="44546A"/>
              <w:left w:val="nil"/>
              <w:bottom w:val="single" w:sz="4" w:space="0" w:color="44546A"/>
              <w:right w:val="nil"/>
            </w:tcBorders>
            <w:shd w:val="clear" w:color="000000" w:fill="FFFFFF"/>
            <w:vAlign w:val="bottom"/>
            <w:hideMark/>
          </w:tcPr>
          <w:p w14:paraId="1A31FED5" w14:textId="45106F0A" w:rsidR="00E56675" w:rsidRPr="00413B6F" w:rsidRDefault="00E56675" w:rsidP="009948C6">
            <w:pPr>
              <w:rPr>
                <w:rFonts w:ascii="Calibri" w:eastAsia="Times New Roman" w:hAnsi="Calibri" w:cs="Calibri"/>
                <w:color w:val="0D0D0D"/>
              </w:rPr>
            </w:pPr>
            <w:r w:rsidRPr="00413B6F">
              <w:rPr>
                <w:rFonts w:ascii="Calibri" w:eastAsia="Times New Roman" w:hAnsi="Calibri" w:cs="Calibri"/>
                <w:color w:val="0D0D0D"/>
              </w:rPr>
              <w:t>Total OPEB liability – ending (a)</w:t>
            </w:r>
          </w:p>
        </w:tc>
        <w:tc>
          <w:tcPr>
            <w:tcW w:w="1293" w:type="dxa"/>
            <w:tcBorders>
              <w:top w:val="single" w:sz="4" w:space="0" w:color="44546A"/>
              <w:left w:val="nil"/>
              <w:bottom w:val="single" w:sz="4" w:space="0" w:color="44546A"/>
              <w:right w:val="nil"/>
            </w:tcBorders>
            <w:shd w:val="clear" w:color="000000" w:fill="FFFFFF"/>
            <w:noWrap/>
            <w:vAlign w:val="bottom"/>
            <w:hideMark/>
          </w:tcPr>
          <w:p w14:paraId="0B09E442" w14:textId="20323DCB" w:rsidR="00E56675" w:rsidRPr="0048737B" w:rsidRDefault="00F50CD4" w:rsidP="00E56675">
            <w:pPr>
              <w:jc w:val="right"/>
              <w:rPr>
                <w:rFonts w:ascii="Calibri" w:eastAsia="Times New Roman" w:hAnsi="Calibri" w:cs="Calibri"/>
                <w:color w:val="FF0000"/>
              </w:rPr>
            </w:pPr>
            <w:r>
              <w:rPr>
                <w:rFonts w:ascii="Calibri" w:hAnsi="Calibri" w:cs="Calibri"/>
                <w:color w:val="0D0D0D"/>
              </w:rPr>
              <w:t>153,258</w:t>
            </w:r>
            <w:r w:rsidR="00E56675">
              <w:rPr>
                <w:rFonts w:ascii="Calibri" w:hAnsi="Calibri" w:cs="Calibri"/>
                <w:color w:val="0D0D0D"/>
              </w:rPr>
              <w:t xml:space="preserve"> </w:t>
            </w:r>
          </w:p>
        </w:tc>
        <w:tc>
          <w:tcPr>
            <w:tcW w:w="1597" w:type="dxa"/>
            <w:tcBorders>
              <w:top w:val="single" w:sz="4" w:space="0" w:color="44546A"/>
              <w:left w:val="nil"/>
              <w:bottom w:val="single" w:sz="4" w:space="0" w:color="44546A"/>
              <w:right w:val="nil"/>
            </w:tcBorders>
            <w:shd w:val="clear" w:color="auto" w:fill="F2F2F2" w:themeFill="background1" w:themeFillShade="F2"/>
            <w:noWrap/>
            <w:vAlign w:val="bottom"/>
            <w:hideMark/>
          </w:tcPr>
          <w:p w14:paraId="15867845" w14:textId="5B6EE1B8" w:rsidR="00E56675" w:rsidRPr="00413B6F" w:rsidRDefault="00E56675" w:rsidP="00E56675">
            <w:pPr>
              <w:jc w:val="right"/>
              <w:rPr>
                <w:rFonts w:ascii="Calibri" w:eastAsia="Times New Roman" w:hAnsi="Calibri" w:cs="Calibri"/>
                <w:color w:val="0D0D0D"/>
              </w:rPr>
            </w:pPr>
            <w:r w:rsidRPr="003959B0">
              <w:rPr>
                <w:rFonts w:ascii="Calibri" w:eastAsia="Times New Roman" w:hAnsi="Calibri" w:cs="Calibri"/>
              </w:rPr>
              <w:t>173,794</w:t>
            </w:r>
          </w:p>
        </w:tc>
      </w:tr>
      <w:tr w:rsidR="00E56675" w:rsidRPr="00413B6F" w14:paraId="5ADD508C" w14:textId="77777777" w:rsidTr="0048737B">
        <w:trPr>
          <w:trHeight w:val="152"/>
          <w:jc w:val="center"/>
        </w:trPr>
        <w:tc>
          <w:tcPr>
            <w:tcW w:w="6470" w:type="dxa"/>
            <w:tcBorders>
              <w:top w:val="nil"/>
              <w:left w:val="nil"/>
              <w:bottom w:val="nil"/>
              <w:right w:val="nil"/>
            </w:tcBorders>
            <w:shd w:val="clear" w:color="000000" w:fill="FFFFFF"/>
            <w:vAlign w:val="bottom"/>
            <w:hideMark/>
          </w:tcPr>
          <w:p w14:paraId="12484A42"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 xml:space="preserve">Fiduciary net position – beginning </w:t>
            </w:r>
          </w:p>
        </w:tc>
        <w:tc>
          <w:tcPr>
            <w:tcW w:w="1293" w:type="dxa"/>
            <w:tcBorders>
              <w:top w:val="nil"/>
              <w:left w:val="nil"/>
              <w:bottom w:val="nil"/>
              <w:right w:val="nil"/>
            </w:tcBorders>
            <w:shd w:val="clear" w:color="000000" w:fill="FFFFFF"/>
            <w:noWrap/>
            <w:vAlign w:val="bottom"/>
            <w:hideMark/>
          </w:tcPr>
          <w:p w14:paraId="7A558789" w14:textId="4D908C1B" w:rsidR="00E56675" w:rsidRPr="0048737B" w:rsidRDefault="00E56675" w:rsidP="00E56675">
            <w:pPr>
              <w:spacing w:before="120"/>
              <w:jc w:val="right"/>
              <w:rPr>
                <w:rFonts w:ascii="Calibri" w:eastAsia="Times New Roman" w:hAnsi="Calibri" w:cs="Calibri"/>
                <w:color w:val="FF0000"/>
              </w:rPr>
            </w:pPr>
            <w:r>
              <w:rPr>
                <w:rFonts w:ascii="Calibri" w:hAnsi="Calibri" w:cs="Calibri"/>
              </w:rPr>
              <w:t xml:space="preserve">156,012 </w:t>
            </w:r>
          </w:p>
        </w:tc>
        <w:tc>
          <w:tcPr>
            <w:tcW w:w="1597" w:type="dxa"/>
            <w:tcBorders>
              <w:top w:val="nil"/>
              <w:left w:val="nil"/>
              <w:bottom w:val="nil"/>
              <w:right w:val="nil"/>
            </w:tcBorders>
            <w:shd w:val="clear" w:color="auto" w:fill="F2F2F2" w:themeFill="background1" w:themeFillShade="F2"/>
            <w:noWrap/>
            <w:vAlign w:val="bottom"/>
            <w:hideMark/>
          </w:tcPr>
          <w:p w14:paraId="3E3D9080" w14:textId="27B0A7A7" w:rsidR="00E56675" w:rsidRPr="00413B6F" w:rsidRDefault="00E56675" w:rsidP="00E56675">
            <w:pPr>
              <w:spacing w:before="120"/>
              <w:jc w:val="right"/>
              <w:rPr>
                <w:rFonts w:ascii="Calibri" w:eastAsia="Times New Roman" w:hAnsi="Calibri" w:cs="Calibri"/>
                <w:color w:val="0D0D0D"/>
              </w:rPr>
            </w:pPr>
            <w:r w:rsidRPr="003959B0">
              <w:rPr>
                <w:rFonts w:ascii="Calibri" w:hAnsi="Calibri" w:cs="Calibri"/>
              </w:rPr>
              <w:t>180,270</w:t>
            </w:r>
            <w:r w:rsidRPr="0066736F">
              <w:rPr>
                <w:rFonts w:ascii="Calibri" w:hAnsi="Calibri" w:cs="Calibri"/>
              </w:rPr>
              <w:t xml:space="preserve"> </w:t>
            </w:r>
          </w:p>
        </w:tc>
      </w:tr>
      <w:tr w:rsidR="00E56675" w:rsidRPr="00413B6F" w14:paraId="0A9FD039" w14:textId="77777777" w:rsidTr="0048737B">
        <w:trPr>
          <w:trHeight w:val="68"/>
          <w:jc w:val="center"/>
        </w:trPr>
        <w:tc>
          <w:tcPr>
            <w:tcW w:w="6470" w:type="dxa"/>
            <w:tcBorders>
              <w:top w:val="nil"/>
              <w:left w:val="nil"/>
              <w:bottom w:val="nil"/>
              <w:right w:val="nil"/>
            </w:tcBorders>
            <w:shd w:val="clear" w:color="000000" w:fill="FFFFFF"/>
            <w:vAlign w:val="bottom"/>
            <w:hideMark/>
          </w:tcPr>
          <w:p w14:paraId="7767E0B9"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Contributions – employer</w:t>
            </w:r>
          </w:p>
        </w:tc>
        <w:tc>
          <w:tcPr>
            <w:tcW w:w="1293" w:type="dxa"/>
            <w:tcBorders>
              <w:top w:val="nil"/>
              <w:left w:val="nil"/>
              <w:bottom w:val="nil"/>
              <w:right w:val="nil"/>
            </w:tcBorders>
            <w:shd w:val="clear" w:color="000000" w:fill="FFFFFF"/>
            <w:noWrap/>
            <w:vAlign w:val="bottom"/>
            <w:hideMark/>
          </w:tcPr>
          <w:p w14:paraId="67251F8D" w14:textId="5450D20A" w:rsidR="00E56675" w:rsidRPr="0048737B" w:rsidRDefault="00E56675" w:rsidP="00E56675">
            <w:pPr>
              <w:jc w:val="right"/>
              <w:rPr>
                <w:rFonts w:ascii="Calibri" w:eastAsia="Times New Roman" w:hAnsi="Calibri" w:cs="Calibri"/>
                <w:color w:val="FF0000"/>
              </w:rPr>
            </w:pPr>
            <w:r>
              <w:rPr>
                <w:rFonts w:ascii="Calibri" w:hAnsi="Calibri" w:cs="Calibri"/>
              </w:rPr>
              <w:t xml:space="preserve"> 8,774 </w:t>
            </w:r>
          </w:p>
        </w:tc>
        <w:tc>
          <w:tcPr>
            <w:tcW w:w="1597" w:type="dxa"/>
            <w:tcBorders>
              <w:top w:val="nil"/>
              <w:left w:val="nil"/>
              <w:bottom w:val="nil"/>
              <w:right w:val="nil"/>
            </w:tcBorders>
            <w:shd w:val="clear" w:color="auto" w:fill="F2F2F2" w:themeFill="background1" w:themeFillShade="F2"/>
            <w:noWrap/>
            <w:vAlign w:val="bottom"/>
            <w:hideMark/>
          </w:tcPr>
          <w:p w14:paraId="1638584A" w14:textId="3DA0B5D4" w:rsidR="00E56675" w:rsidRPr="00413B6F" w:rsidRDefault="00E56675" w:rsidP="00E56675">
            <w:pPr>
              <w:jc w:val="right"/>
              <w:rPr>
                <w:rFonts w:ascii="Calibri" w:eastAsia="Times New Roman" w:hAnsi="Calibri" w:cs="Calibri"/>
                <w:color w:val="0D0D0D"/>
              </w:rPr>
            </w:pPr>
            <w:r w:rsidRPr="003959B0">
              <w:rPr>
                <w:rFonts w:ascii="Calibri" w:hAnsi="Calibri" w:cs="Calibri"/>
              </w:rPr>
              <w:t>4,937</w:t>
            </w:r>
            <w:r w:rsidRPr="0066736F">
              <w:rPr>
                <w:rFonts w:ascii="Calibri" w:hAnsi="Calibri" w:cs="Calibri"/>
              </w:rPr>
              <w:t xml:space="preserve"> </w:t>
            </w:r>
          </w:p>
        </w:tc>
      </w:tr>
      <w:tr w:rsidR="00E56675" w:rsidRPr="00413B6F" w14:paraId="77B0A311" w14:textId="77777777" w:rsidTr="0048737B">
        <w:trPr>
          <w:trHeight w:val="72"/>
          <w:jc w:val="center"/>
        </w:trPr>
        <w:tc>
          <w:tcPr>
            <w:tcW w:w="6470" w:type="dxa"/>
            <w:tcBorders>
              <w:top w:val="nil"/>
              <w:left w:val="nil"/>
              <w:bottom w:val="nil"/>
              <w:right w:val="nil"/>
            </w:tcBorders>
            <w:shd w:val="clear" w:color="000000" w:fill="FFFFFF"/>
            <w:vAlign w:val="bottom"/>
            <w:hideMark/>
          </w:tcPr>
          <w:p w14:paraId="3003DD2B"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Net investment income</w:t>
            </w:r>
            <w:r>
              <w:rPr>
                <w:rFonts w:ascii="Calibri" w:eastAsia="Times New Roman" w:hAnsi="Calibri" w:cs="Calibri"/>
                <w:color w:val="0D0D0D"/>
              </w:rPr>
              <w:t xml:space="preserve"> (loss)</w:t>
            </w:r>
          </w:p>
        </w:tc>
        <w:tc>
          <w:tcPr>
            <w:tcW w:w="1293" w:type="dxa"/>
            <w:tcBorders>
              <w:top w:val="nil"/>
              <w:left w:val="nil"/>
              <w:bottom w:val="nil"/>
              <w:right w:val="nil"/>
            </w:tcBorders>
            <w:shd w:val="clear" w:color="000000" w:fill="FFFFFF"/>
            <w:noWrap/>
            <w:vAlign w:val="bottom"/>
            <w:hideMark/>
          </w:tcPr>
          <w:p w14:paraId="1F4898E2" w14:textId="13170F02" w:rsidR="00E56675" w:rsidRPr="0048737B" w:rsidRDefault="00E56675" w:rsidP="00E56675">
            <w:pPr>
              <w:jc w:val="right"/>
              <w:rPr>
                <w:rFonts w:ascii="Calibri" w:eastAsia="Times New Roman" w:hAnsi="Calibri" w:cs="Calibri"/>
                <w:color w:val="FF0000"/>
              </w:rPr>
            </w:pPr>
            <w:r>
              <w:rPr>
                <w:rFonts w:ascii="Calibri" w:hAnsi="Calibri" w:cs="Calibri"/>
              </w:rPr>
              <w:t xml:space="preserve">16,756 </w:t>
            </w:r>
          </w:p>
        </w:tc>
        <w:tc>
          <w:tcPr>
            <w:tcW w:w="1597" w:type="dxa"/>
            <w:tcBorders>
              <w:top w:val="nil"/>
              <w:left w:val="nil"/>
              <w:bottom w:val="nil"/>
              <w:right w:val="nil"/>
            </w:tcBorders>
            <w:shd w:val="clear" w:color="auto" w:fill="F2F2F2" w:themeFill="background1" w:themeFillShade="F2"/>
            <w:noWrap/>
            <w:vAlign w:val="bottom"/>
            <w:hideMark/>
          </w:tcPr>
          <w:p w14:paraId="3F1DDCE9" w14:textId="30F5FB5F" w:rsidR="00E56675" w:rsidRPr="00413B6F" w:rsidRDefault="00E56675" w:rsidP="00E56675">
            <w:pPr>
              <w:jc w:val="right"/>
              <w:rPr>
                <w:rFonts w:ascii="Calibri" w:eastAsia="Times New Roman" w:hAnsi="Calibri" w:cs="Calibri"/>
                <w:color w:val="0D0D0D"/>
              </w:rPr>
            </w:pPr>
            <w:r w:rsidRPr="003959B0">
              <w:rPr>
                <w:rFonts w:ascii="Calibri" w:hAnsi="Calibri" w:cs="Calibri"/>
              </w:rPr>
              <w:t>(22,658)</w:t>
            </w:r>
            <w:r w:rsidRPr="0066736F">
              <w:rPr>
                <w:rFonts w:ascii="Calibri" w:hAnsi="Calibri" w:cs="Calibri"/>
              </w:rPr>
              <w:t xml:space="preserve"> </w:t>
            </w:r>
          </w:p>
        </w:tc>
      </w:tr>
      <w:tr w:rsidR="00E56675" w:rsidRPr="00413B6F" w14:paraId="27E61AC6" w14:textId="77777777" w:rsidTr="0048737B">
        <w:trPr>
          <w:trHeight w:val="68"/>
          <w:jc w:val="center"/>
        </w:trPr>
        <w:tc>
          <w:tcPr>
            <w:tcW w:w="6470" w:type="dxa"/>
            <w:tcBorders>
              <w:top w:val="nil"/>
              <w:left w:val="nil"/>
              <w:bottom w:val="nil"/>
              <w:right w:val="nil"/>
            </w:tcBorders>
            <w:shd w:val="clear" w:color="000000" w:fill="FFFFFF"/>
            <w:vAlign w:val="bottom"/>
            <w:hideMark/>
          </w:tcPr>
          <w:p w14:paraId="4E6CCDDE" w14:textId="77777777" w:rsidR="00E56675" w:rsidRPr="00413B6F" w:rsidRDefault="00E56675" w:rsidP="00E56675">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293" w:type="dxa"/>
            <w:tcBorders>
              <w:top w:val="nil"/>
              <w:left w:val="nil"/>
              <w:bottom w:val="nil"/>
              <w:right w:val="nil"/>
            </w:tcBorders>
            <w:shd w:val="clear" w:color="000000" w:fill="FFFFFF"/>
            <w:noWrap/>
            <w:vAlign w:val="bottom"/>
            <w:hideMark/>
          </w:tcPr>
          <w:p w14:paraId="3F229FE1" w14:textId="5EEE2F00" w:rsidR="00E56675" w:rsidRPr="0048737B" w:rsidRDefault="00E56675" w:rsidP="00E56675">
            <w:pPr>
              <w:jc w:val="right"/>
              <w:rPr>
                <w:rFonts w:ascii="Calibri" w:eastAsia="Times New Roman" w:hAnsi="Calibri" w:cs="Calibri"/>
                <w:color w:val="FF0000"/>
              </w:rPr>
            </w:pPr>
            <w:r>
              <w:rPr>
                <w:rFonts w:ascii="Calibri" w:hAnsi="Calibri" w:cs="Calibri"/>
                <w:color w:val="0D0D0D"/>
              </w:rPr>
              <w:t>(7,115)</w:t>
            </w:r>
          </w:p>
        </w:tc>
        <w:tc>
          <w:tcPr>
            <w:tcW w:w="1597" w:type="dxa"/>
            <w:tcBorders>
              <w:top w:val="nil"/>
              <w:left w:val="nil"/>
              <w:bottom w:val="nil"/>
              <w:right w:val="nil"/>
            </w:tcBorders>
            <w:shd w:val="clear" w:color="auto" w:fill="F2F2F2" w:themeFill="background1" w:themeFillShade="F2"/>
            <w:noWrap/>
            <w:vAlign w:val="bottom"/>
            <w:hideMark/>
          </w:tcPr>
          <w:p w14:paraId="2E5C5999" w14:textId="45975CEA" w:rsidR="00E56675" w:rsidRPr="00413B6F" w:rsidRDefault="00E56675" w:rsidP="00E56675">
            <w:pPr>
              <w:jc w:val="right"/>
              <w:rPr>
                <w:rFonts w:ascii="Calibri" w:eastAsia="Times New Roman" w:hAnsi="Calibri" w:cs="Calibri"/>
                <w:color w:val="0D0D0D"/>
              </w:rPr>
            </w:pPr>
            <w:r w:rsidRPr="0066736F">
              <w:rPr>
                <w:rFonts w:ascii="Calibri" w:hAnsi="Calibri" w:cs="Calibri"/>
              </w:rPr>
              <w:t xml:space="preserve"> (6,</w:t>
            </w:r>
            <w:r w:rsidRPr="003959B0">
              <w:rPr>
                <w:rFonts w:ascii="Calibri" w:hAnsi="Calibri" w:cs="Calibri"/>
              </w:rPr>
              <w:t>537</w:t>
            </w:r>
            <w:r w:rsidRPr="0066736F">
              <w:rPr>
                <w:rFonts w:ascii="Calibri" w:hAnsi="Calibri" w:cs="Calibri"/>
              </w:rPr>
              <w:t>)</w:t>
            </w:r>
          </w:p>
        </w:tc>
      </w:tr>
      <w:tr w:rsidR="00E56675" w:rsidRPr="00413B6F" w14:paraId="1A4E74C1" w14:textId="77777777" w:rsidTr="0048737B">
        <w:trPr>
          <w:trHeight w:val="62"/>
          <w:jc w:val="center"/>
        </w:trPr>
        <w:tc>
          <w:tcPr>
            <w:tcW w:w="6470" w:type="dxa"/>
            <w:tcBorders>
              <w:top w:val="single" w:sz="4" w:space="0" w:color="44546A"/>
              <w:left w:val="nil"/>
              <w:bottom w:val="single" w:sz="4" w:space="0" w:color="44546A"/>
              <w:right w:val="nil"/>
            </w:tcBorders>
            <w:shd w:val="clear" w:color="000000" w:fill="FFFFFF"/>
            <w:vAlign w:val="bottom"/>
            <w:hideMark/>
          </w:tcPr>
          <w:p w14:paraId="419DEFC0" w14:textId="77777777" w:rsidR="00E56675" w:rsidRPr="00413B6F" w:rsidRDefault="00E56675" w:rsidP="00E56675">
            <w:pPr>
              <w:rPr>
                <w:rFonts w:ascii="Calibri" w:eastAsia="Times New Roman" w:hAnsi="Calibri" w:cs="Calibri"/>
                <w:color w:val="0D0D0D"/>
              </w:rPr>
            </w:pPr>
            <w:r w:rsidRPr="00413B6F">
              <w:rPr>
                <w:rFonts w:ascii="Calibri" w:eastAsia="Times New Roman" w:hAnsi="Calibri" w:cs="Calibri"/>
                <w:color w:val="0D0D0D"/>
              </w:rPr>
              <w:t>Fiduciary net position – ending (b)</w:t>
            </w:r>
          </w:p>
        </w:tc>
        <w:tc>
          <w:tcPr>
            <w:tcW w:w="1293" w:type="dxa"/>
            <w:tcBorders>
              <w:top w:val="single" w:sz="4" w:space="0" w:color="44546A"/>
              <w:left w:val="nil"/>
              <w:bottom w:val="single" w:sz="4" w:space="0" w:color="44546A"/>
              <w:right w:val="nil"/>
            </w:tcBorders>
            <w:shd w:val="clear" w:color="000000" w:fill="FFFFFF"/>
            <w:noWrap/>
            <w:vAlign w:val="bottom"/>
            <w:hideMark/>
          </w:tcPr>
          <w:p w14:paraId="63038013" w14:textId="645653DB" w:rsidR="00E56675" w:rsidRPr="0048737B" w:rsidRDefault="00E56675" w:rsidP="00E56675">
            <w:pPr>
              <w:jc w:val="right"/>
              <w:rPr>
                <w:rFonts w:ascii="Calibri" w:eastAsia="Times New Roman" w:hAnsi="Calibri" w:cs="Calibri"/>
                <w:color w:val="FF0000"/>
              </w:rPr>
            </w:pPr>
            <w:r>
              <w:rPr>
                <w:rFonts w:ascii="Calibri" w:hAnsi="Calibri" w:cs="Calibri"/>
                <w:color w:val="0D0D0D"/>
              </w:rPr>
              <w:t xml:space="preserve">174,427 </w:t>
            </w:r>
          </w:p>
        </w:tc>
        <w:tc>
          <w:tcPr>
            <w:tcW w:w="1597" w:type="dxa"/>
            <w:tcBorders>
              <w:top w:val="single" w:sz="4" w:space="0" w:color="44546A"/>
              <w:left w:val="nil"/>
              <w:bottom w:val="single" w:sz="4" w:space="0" w:color="44546A"/>
              <w:right w:val="nil"/>
            </w:tcBorders>
            <w:shd w:val="clear" w:color="auto" w:fill="F2F2F2" w:themeFill="background1" w:themeFillShade="F2"/>
            <w:noWrap/>
            <w:vAlign w:val="bottom"/>
            <w:hideMark/>
          </w:tcPr>
          <w:p w14:paraId="18554540" w14:textId="0D53444D" w:rsidR="00E56675" w:rsidRPr="00413B6F" w:rsidRDefault="00E56675" w:rsidP="00E56675">
            <w:pPr>
              <w:jc w:val="right"/>
              <w:rPr>
                <w:rFonts w:ascii="Calibri" w:eastAsia="Times New Roman" w:hAnsi="Calibri" w:cs="Calibri"/>
                <w:color w:val="0D0D0D"/>
              </w:rPr>
            </w:pPr>
            <w:r w:rsidRPr="003959B0">
              <w:rPr>
                <w:rFonts w:ascii="Calibri" w:eastAsia="Times New Roman" w:hAnsi="Calibri" w:cs="Calibri"/>
              </w:rPr>
              <w:t>156,012</w:t>
            </w:r>
          </w:p>
        </w:tc>
      </w:tr>
      <w:tr w:rsidR="00E56675" w:rsidRPr="00413B6F" w14:paraId="0B4E04CC" w14:textId="77777777" w:rsidTr="0048737B">
        <w:trPr>
          <w:trHeight w:val="58"/>
          <w:jc w:val="center"/>
        </w:trPr>
        <w:tc>
          <w:tcPr>
            <w:tcW w:w="6470" w:type="dxa"/>
            <w:tcBorders>
              <w:top w:val="nil"/>
              <w:left w:val="nil"/>
              <w:bottom w:val="double" w:sz="6" w:space="0" w:color="44546A"/>
              <w:right w:val="nil"/>
            </w:tcBorders>
            <w:shd w:val="clear" w:color="000000" w:fill="FFFFFF"/>
            <w:vAlign w:val="bottom"/>
            <w:hideMark/>
          </w:tcPr>
          <w:p w14:paraId="4EE1D50C"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 xml:space="preserve">Net OPEB liability </w:t>
            </w:r>
            <w:r>
              <w:rPr>
                <w:rFonts w:ascii="Calibri" w:eastAsia="Times New Roman" w:hAnsi="Calibri" w:cs="Calibri"/>
                <w:color w:val="0D0D0D"/>
              </w:rPr>
              <w:t>(asset)</w:t>
            </w:r>
            <w:r w:rsidRPr="00413B6F">
              <w:rPr>
                <w:rFonts w:ascii="Calibri" w:eastAsia="Times New Roman" w:hAnsi="Calibri" w:cs="Calibri"/>
                <w:color w:val="0D0D0D"/>
              </w:rPr>
              <w:t>– ending (a)-(b)</w:t>
            </w:r>
          </w:p>
        </w:tc>
        <w:tc>
          <w:tcPr>
            <w:tcW w:w="1293" w:type="dxa"/>
            <w:tcBorders>
              <w:top w:val="nil"/>
              <w:left w:val="nil"/>
              <w:bottom w:val="double" w:sz="6" w:space="0" w:color="44546A"/>
              <w:right w:val="nil"/>
            </w:tcBorders>
            <w:shd w:val="clear" w:color="000000" w:fill="FFFFFF"/>
            <w:noWrap/>
            <w:vAlign w:val="bottom"/>
            <w:hideMark/>
          </w:tcPr>
          <w:p w14:paraId="48B70B65" w14:textId="26CBF0A0" w:rsidR="00E56675" w:rsidRPr="0048737B" w:rsidRDefault="00E56675" w:rsidP="00E56675">
            <w:pPr>
              <w:spacing w:before="120"/>
              <w:jc w:val="right"/>
              <w:rPr>
                <w:rFonts w:ascii="Calibri" w:eastAsia="Times New Roman" w:hAnsi="Calibri" w:cs="Calibri"/>
                <w:color w:val="FF0000"/>
              </w:rPr>
            </w:pPr>
            <w:r>
              <w:rPr>
                <w:rFonts w:ascii="Calibri" w:hAnsi="Calibri" w:cs="Calibri"/>
                <w:color w:val="0D0D0D"/>
              </w:rPr>
              <w:t xml:space="preserve"> $   (</w:t>
            </w:r>
            <w:r w:rsidR="00F50CD4">
              <w:rPr>
                <w:rFonts w:ascii="Calibri" w:hAnsi="Calibri" w:cs="Calibri"/>
                <w:color w:val="0D0D0D"/>
              </w:rPr>
              <w:t>21,169</w:t>
            </w:r>
            <w:r>
              <w:rPr>
                <w:rFonts w:ascii="Calibri" w:hAnsi="Calibri" w:cs="Calibri"/>
                <w:color w:val="0D0D0D"/>
              </w:rPr>
              <w:t>)</w:t>
            </w:r>
          </w:p>
        </w:tc>
        <w:tc>
          <w:tcPr>
            <w:tcW w:w="1597" w:type="dxa"/>
            <w:tcBorders>
              <w:top w:val="nil"/>
              <w:left w:val="nil"/>
              <w:bottom w:val="double" w:sz="6" w:space="0" w:color="44546A"/>
              <w:right w:val="nil"/>
            </w:tcBorders>
            <w:shd w:val="clear" w:color="auto" w:fill="F2F2F2" w:themeFill="background1" w:themeFillShade="F2"/>
            <w:noWrap/>
            <w:vAlign w:val="bottom"/>
            <w:hideMark/>
          </w:tcPr>
          <w:p w14:paraId="313CF9F5" w14:textId="67EA53BC" w:rsidR="00E56675" w:rsidRPr="00413B6F" w:rsidRDefault="00E56675" w:rsidP="00E56675">
            <w:pPr>
              <w:spacing w:before="120"/>
              <w:jc w:val="right"/>
              <w:rPr>
                <w:rFonts w:ascii="Calibri" w:eastAsia="Times New Roman" w:hAnsi="Calibri" w:cs="Calibri"/>
                <w:color w:val="0D0D0D"/>
              </w:rPr>
            </w:pPr>
            <w:r w:rsidRPr="0066736F">
              <w:rPr>
                <w:rFonts w:ascii="Calibri" w:eastAsia="Times New Roman" w:hAnsi="Calibri" w:cs="Calibri"/>
              </w:rPr>
              <w:t xml:space="preserve">$  </w:t>
            </w:r>
            <w:r w:rsidRPr="003959B0">
              <w:rPr>
                <w:rFonts w:ascii="Calibri" w:eastAsia="Times New Roman" w:hAnsi="Calibri" w:cs="Calibri"/>
              </w:rPr>
              <w:t>17,782</w:t>
            </w:r>
          </w:p>
        </w:tc>
      </w:tr>
      <w:tr w:rsidR="00E56675" w:rsidRPr="00413B6F" w14:paraId="499534E0" w14:textId="77777777" w:rsidTr="0048737B">
        <w:trPr>
          <w:trHeight w:val="23"/>
          <w:jc w:val="center"/>
        </w:trPr>
        <w:tc>
          <w:tcPr>
            <w:tcW w:w="6470" w:type="dxa"/>
            <w:tcBorders>
              <w:top w:val="nil"/>
              <w:left w:val="nil"/>
              <w:bottom w:val="nil"/>
              <w:right w:val="nil"/>
            </w:tcBorders>
            <w:shd w:val="clear" w:color="000000" w:fill="FFFFFF"/>
            <w:vAlign w:val="bottom"/>
            <w:hideMark/>
          </w:tcPr>
          <w:p w14:paraId="4B1AC2F3"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Plan fiduciary net position as a percentage of the total OPEB liability</w:t>
            </w:r>
            <w:r>
              <w:rPr>
                <w:rFonts w:ascii="Calibri" w:eastAsia="Times New Roman" w:hAnsi="Calibri" w:cs="Calibri"/>
                <w:color w:val="0D0D0D"/>
              </w:rPr>
              <w:t xml:space="preserve"> (asset)</w:t>
            </w:r>
          </w:p>
        </w:tc>
        <w:tc>
          <w:tcPr>
            <w:tcW w:w="1293" w:type="dxa"/>
            <w:tcBorders>
              <w:top w:val="nil"/>
              <w:left w:val="nil"/>
              <w:bottom w:val="nil"/>
              <w:right w:val="nil"/>
            </w:tcBorders>
            <w:shd w:val="clear" w:color="000000" w:fill="FFFFFF"/>
            <w:noWrap/>
            <w:vAlign w:val="bottom"/>
            <w:hideMark/>
          </w:tcPr>
          <w:p w14:paraId="5CB5D0FF" w14:textId="37D7BD1B" w:rsidR="00E56675" w:rsidRPr="0048737B" w:rsidRDefault="00F50CD4" w:rsidP="00E56675">
            <w:pPr>
              <w:spacing w:before="120"/>
              <w:jc w:val="right"/>
              <w:rPr>
                <w:rFonts w:ascii="Calibri" w:eastAsia="Times New Roman" w:hAnsi="Calibri" w:cs="Calibri"/>
                <w:color w:val="FF0000"/>
              </w:rPr>
            </w:pPr>
            <w:r>
              <w:rPr>
                <w:rFonts w:ascii="Calibri" w:hAnsi="Calibri" w:cs="Calibri"/>
              </w:rPr>
              <w:t>113.81</w:t>
            </w:r>
            <w:r w:rsidR="00E56675">
              <w:rPr>
                <w:rFonts w:ascii="Calibri" w:hAnsi="Calibri" w:cs="Calibri"/>
              </w:rPr>
              <w:t>%</w:t>
            </w:r>
          </w:p>
        </w:tc>
        <w:tc>
          <w:tcPr>
            <w:tcW w:w="1597" w:type="dxa"/>
            <w:tcBorders>
              <w:top w:val="nil"/>
              <w:left w:val="nil"/>
              <w:bottom w:val="nil"/>
              <w:right w:val="nil"/>
            </w:tcBorders>
            <w:shd w:val="clear" w:color="auto" w:fill="F2F2F2" w:themeFill="background1" w:themeFillShade="F2"/>
            <w:noWrap/>
            <w:vAlign w:val="bottom"/>
            <w:hideMark/>
          </w:tcPr>
          <w:p w14:paraId="461FB5FB" w14:textId="29871C30" w:rsidR="00E56675" w:rsidRPr="00413B6F" w:rsidRDefault="00E56675" w:rsidP="00E56675">
            <w:pPr>
              <w:spacing w:before="120"/>
              <w:jc w:val="right"/>
              <w:rPr>
                <w:rFonts w:ascii="Calibri" w:eastAsia="Times New Roman" w:hAnsi="Calibri" w:cs="Calibri"/>
                <w:color w:val="0D0D0D"/>
              </w:rPr>
            </w:pPr>
            <w:r w:rsidRPr="00A93FB3">
              <w:rPr>
                <w:rFonts w:ascii="Calibri" w:eastAsia="Times New Roman" w:hAnsi="Calibri" w:cs="Calibri"/>
              </w:rPr>
              <w:t>8</w:t>
            </w:r>
            <w:r>
              <w:rPr>
                <w:rFonts w:ascii="Calibri" w:eastAsia="Times New Roman" w:hAnsi="Calibri" w:cs="Calibri"/>
              </w:rPr>
              <w:t>9.</w:t>
            </w:r>
            <w:r w:rsidRPr="00A93FB3">
              <w:rPr>
                <w:rFonts w:ascii="Calibri" w:eastAsia="Times New Roman" w:hAnsi="Calibri" w:cs="Calibri"/>
              </w:rPr>
              <w:t>77</w:t>
            </w:r>
            <w:r w:rsidRPr="0066736F">
              <w:rPr>
                <w:rFonts w:ascii="Calibri" w:eastAsia="Times New Roman" w:hAnsi="Calibri" w:cs="Calibri"/>
              </w:rPr>
              <w:t>%</w:t>
            </w:r>
          </w:p>
        </w:tc>
      </w:tr>
      <w:tr w:rsidR="00E56675" w:rsidRPr="00413B6F" w14:paraId="3A10FFF8" w14:textId="77777777" w:rsidTr="0048737B">
        <w:trPr>
          <w:trHeight w:val="68"/>
          <w:jc w:val="center"/>
        </w:trPr>
        <w:tc>
          <w:tcPr>
            <w:tcW w:w="6470" w:type="dxa"/>
            <w:tcBorders>
              <w:top w:val="nil"/>
              <w:left w:val="nil"/>
              <w:bottom w:val="nil"/>
              <w:right w:val="nil"/>
            </w:tcBorders>
            <w:shd w:val="clear" w:color="000000" w:fill="FFFFFF"/>
            <w:noWrap/>
            <w:vAlign w:val="bottom"/>
            <w:hideMark/>
          </w:tcPr>
          <w:p w14:paraId="7C1A5548"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Covered payroll</w:t>
            </w:r>
          </w:p>
        </w:tc>
        <w:tc>
          <w:tcPr>
            <w:tcW w:w="1293" w:type="dxa"/>
            <w:tcBorders>
              <w:top w:val="nil"/>
              <w:left w:val="nil"/>
              <w:bottom w:val="nil"/>
              <w:right w:val="nil"/>
            </w:tcBorders>
            <w:shd w:val="clear" w:color="000000" w:fill="FFFFFF"/>
            <w:noWrap/>
            <w:vAlign w:val="bottom"/>
            <w:hideMark/>
          </w:tcPr>
          <w:p w14:paraId="1946982E" w14:textId="484FA182" w:rsidR="00E56675" w:rsidRPr="0048737B" w:rsidRDefault="00E56675" w:rsidP="00E56675">
            <w:pPr>
              <w:spacing w:before="120"/>
              <w:jc w:val="right"/>
              <w:rPr>
                <w:rFonts w:ascii="Calibri" w:eastAsia="Times New Roman" w:hAnsi="Calibri" w:cs="Calibri"/>
                <w:color w:val="FF0000"/>
              </w:rPr>
            </w:pPr>
            <w:r>
              <w:rPr>
                <w:rFonts w:ascii="Calibri" w:hAnsi="Calibri" w:cs="Calibri"/>
              </w:rPr>
              <w:t xml:space="preserve"> $   292,603 </w:t>
            </w:r>
          </w:p>
        </w:tc>
        <w:tc>
          <w:tcPr>
            <w:tcW w:w="1597" w:type="dxa"/>
            <w:tcBorders>
              <w:top w:val="nil"/>
              <w:left w:val="nil"/>
              <w:bottom w:val="nil"/>
              <w:right w:val="nil"/>
            </w:tcBorders>
            <w:shd w:val="clear" w:color="auto" w:fill="F2F2F2" w:themeFill="background1" w:themeFillShade="F2"/>
            <w:noWrap/>
            <w:vAlign w:val="bottom"/>
            <w:hideMark/>
          </w:tcPr>
          <w:p w14:paraId="4448DB47" w14:textId="51149BCC" w:rsidR="00E56675" w:rsidRPr="00413B6F" w:rsidRDefault="00E56675" w:rsidP="00E56675">
            <w:pPr>
              <w:spacing w:before="120"/>
              <w:jc w:val="right"/>
              <w:rPr>
                <w:rFonts w:ascii="Calibri" w:eastAsia="Times New Roman" w:hAnsi="Calibri" w:cs="Calibri"/>
                <w:color w:val="0D0D0D"/>
              </w:rPr>
            </w:pPr>
            <w:r w:rsidRPr="0066736F">
              <w:rPr>
                <w:rFonts w:ascii="Calibri" w:eastAsia="Times New Roman" w:hAnsi="Calibri" w:cs="Calibri"/>
              </w:rPr>
              <w:t xml:space="preserve">$  </w:t>
            </w:r>
            <w:r w:rsidRPr="003959B0">
              <w:rPr>
                <w:rFonts w:ascii="Calibri" w:eastAsia="Times New Roman" w:hAnsi="Calibri" w:cs="Calibri"/>
              </w:rPr>
              <w:t>267,061</w:t>
            </w:r>
          </w:p>
        </w:tc>
      </w:tr>
      <w:tr w:rsidR="00E56675" w:rsidRPr="00413B6F" w14:paraId="19669F99" w14:textId="77777777" w:rsidTr="0048737B">
        <w:trPr>
          <w:trHeight w:val="99"/>
          <w:jc w:val="center"/>
        </w:trPr>
        <w:tc>
          <w:tcPr>
            <w:tcW w:w="6470" w:type="dxa"/>
            <w:tcBorders>
              <w:top w:val="nil"/>
              <w:left w:val="nil"/>
              <w:bottom w:val="nil"/>
              <w:right w:val="nil"/>
            </w:tcBorders>
            <w:shd w:val="clear" w:color="000000" w:fill="FFFFFF"/>
            <w:vAlign w:val="bottom"/>
            <w:hideMark/>
          </w:tcPr>
          <w:p w14:paraId="3938AA61"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Net OPEB liability</w:t>
            </w:r>
            <w:r>
              <w:rPr>
                <w:rFonts w:ascii="Calibri" w:eastAsia="Times New Roman" w:hAnsi="Calibri" w:cs="Calibri"/>
                <w:color w:val="0D0D0D"/>
              </w:rPr>
              <w:t xml:space="preserve"> (asset)</w:t>
            </w:r>
            <w:r w:rsidRPr="00413B6F">
              <w:rPr>
                <w:rFonts w:ascii="Calibri" w:eastAsia="Times New Roman" w:hAnsi="Calibri" w:cs="Calibri"/>
                <w:color w:val="0D0D0D"/>
              </w:rPr>
              <w:t xml:space="preserve"> as a percentage of covered employee payroll</w:t>
            </w:r>
          </w:p>
        </w:tc>
        <w:tc>
          <w:tcPr>
            <w:tcW w:w="1293" w:type="dxa"/>
            <w:tcBorders>
              <w:top w:val="nil"/>
              <w:left w:val="nil"/>
              <w:bottom w:val="nil"/>
              <w:right w:val="nil"/>
            </w:tcBorders>
            <w:shd w:val="clear" w:color="000000" w:fill="FFFFFF"/>
            <w:noWrap/>
            <w:vAlign w:val="bottom"/>
            <w:hideMark/>
          </w:tcPr>
          <w:p w14:paraId="4DED2A8C" w14:textId="21AB0609" w:rsidR="00E56675" w:rsidRPr="0048737B" w:rsidRDefault="00E56675" w:rsidP="00E56675">
            <w:pPr>
              <w:spacing w:before="120"/>
              <w:jc w:val="right"/>
              <w:rPr>
                <w:rFonts w:ascii="Calibri" w:eastAsia="Times New Roman" w:hAnsi="Calibri" w:cs="Calibri"/>
                <w:color w:val="FF0000"/>
              </w:rPr>
            </w:pPr>
            <w:r>
              <w:rPr>
                <w:rFonts w:ascii="Calibri" w:hAnsi="Calibri" w:cs="Calibri"/>
              </w:rPr>
              <w:t>-</w:t>
            </w:r>
            <w:r w:rsidR="00F50CD4">
              <w:rPr>
                <w:rFonts w:ascii="Calibri" w:hAnsi="Calibri" w:cs="Calibri"/>
              </w:rPr>
              <w:t>7.23</w:t>
            </w:r>
            <w:r>
              <w:rPr>
                <w:rFonts w:ascii="Calibri" w:hAnsi="Calibri" w:cs="Calibri"/>
              </w:rPr>
              <w:t>%</w:t>
            </w:r>
          </w:p>
        </w:tc>
        <w:tc>
          <w:tcPr>
            <w:tcW w:w="1597" w:type="dxa"/>
            <w:tcBorders>
              <w:top w:val="nil"/>
              <w:left w:val="nil"/>
              <w:bottom w:val="nil"/>
              <w:right w:val="nil"/>
            </w:tcBorders>
            <w:shd w:val="clear" w:color="auto" w:fill="F2F2F2" w:themeFill="background1" w:themeFillShade="F2"/>
            <w:noWrap/>
            <w:vAlign w:val="bottom"/>
            <w:hideMark/>
          </w:tcPr>
          <w:p w14:paraId="1E861880" w14:textId="4A2C5764" w:rsidR="00E56675" w:rsidRPr="00413B6F" w:rsidRDefault="00E56675" w:rsidP="00E56675">
            <w:pPr>
              <w:spacing w:before="120"/>
              <w:jc w:val="right"/>
              <w:rPr>
                <w:rFonts w:ascii="Calibri" w:eastAsia="Times New Roman" w:hAnsi="Calibri" w:cs="Calibri"/>
                <w:color w:val="0D0D0D"/>
              </w:rPr>
            </w:pPr>
            <w:r w:rsidRPr="003959B0">
              <w:rPr>
                <w:rFonts w:ascii="Calibri" w:eastAsia="Times New Roman" w:hAnsi="Calibri" w:cs="Calibri"/>
              </w:rPr>
              <w:t>6.66</w:t>
            </w:r>
            <w:r w:rsidRPr="0066736F">
              <w:rPr>
                <w:rFonts w:ascii="Calibri" w:eastAsia="Times New Roman" w:hAnsi="Calibri" w:cs="Calibri"/>
              </w:rPr>
              <w:t>%</w:t>
            </w:r>
          </w:p>
        </w:tc>
      </w:tr>
      <w:tr w:rsidR="00E56675" w:rsidRPr="00413B6F" w14:paraId="426AB279" w14:textId="77777777" w:rsidTr="0048737B">
        <w:trPr>
          <w:trHeight w:val="108"/>
          <w:jc w:val="center"/>
        </w:trPr>
        <w:tc>
          <w:tcPr>
            <w:tcW w:w="6470" w:type="dxa"/>
            <w:tcBorders>
              <w:top w:val="nil"/>
              <w:left w:val="nil"/>
              <w:bottom w:val="nil"/>
              <w:right w:val="nil"/>
            </w:tcBorders>
            <w:shd w:val="clear" w:color="000000" w:fill="FFFFFF"/>
            <w:vAlign w:val="bottom"/>
            <w:hideMark/>
          </w:tcPr>
          <w:p w14:paraId="110573CC"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Contributions as a percentage of covered payroll</w:t>
            </w:r>
          </w:p>
        </w:tc>
        <w:tc>
          <w:tcPr>
            <w:tcW w:w="1293" w:type="dxa"/>
            <w:tcBorders>
              <w:top w:val="nil"/>
              <w:left w:val="nil"/>
              <w:bottom w:val="nil"/>
              <w:right w:val="nil"/>
            </w:tcBorders>
            <w:shd w:val="clear" w:color="000000" w:fill="FFFFFF"/>
            <w:noWrap/>
            <w:vAlign w:val="bottom"/>
            <w:hideMark/>
          </w:tcPr>
          <w:p w14:paraId="193809F7" w14:textId="2C41FCCE" w:rsidR="00E56675" w:rsidRPr="0048737B" w:rsidRDefault="00E56675" w:rsidP="00E56675">
            <w:pPr>
              <w:spacing w:before="120"/>
              <w:jc w:val="right"/>
              <w:rPr>
                <w:rFonts w:ascii="Calibri" w:eastAsia="Times New Roman" w:hAnsi="Calibri" w:cs="Calibri"/>
                <w:color w:val="FF0000"/>
              </w:rPr>
            </w:pPr>
            <w:r>
              <w:rPr>
                <w:rFonts w:ascii="Calibri" w:hAnsi="Calibri" w:cs="Calibri"/>
              </w:rPr>
              <w:t>3.00%</w:t>
            </w:r>
          </w:p>
        </w:tc>
        <w:tc>
          <w:tcPr>
            <w:tcW w:w="1597" w:type="dxa"/>
            <w:tcBorders>
              <w:top w:val="nil"/>
              <w:left w:val="nil"/>
              <w:bottom w:val="nil"/>
              <w:right w:val="nil"/>
            </w:tcBorders>
            <w:shd w:val="clear" w:color="auto" w:fill="F2F2F2" w:themeFill="background1" w:themeFillShade="F2"/>
            <w:noWrap/>
            <w:vAlign w:val="bottom"/>
            <w:hideMark/>
          </w:tcPr>
          <w:p w14:paraId="15E30CB1" w14:textId="35E101B0" w:rsidR="00E56675" w:rsidRPr="00413B6F" w:rsidRDefault="00E56675" w:rsidP="00E56675">
            <w:pPr>
              <w:spacing w:before="120"/>
              <w:jc w:val="right"/>
              <w:rPr>
                <w:rFonts w:ascii="Calibri" w:eastAsia="Times New Roman" w:hAnsi="Calibri" w:cs="Calibri"/>
                <w:color w:val="0D0D0D"/>
              </w:rPr>
            </w:pPr>
            <w:r w:rsidRPr="003959B0">
              <w:rPr>
                <w:rFonts w:ascii="Calibri" w:eastAsia="Times New Roman" w:hAnsi="Calibri" w:cs="Calibri"/>
              </w:rPr>
              <w:t>1.85</w:t>
            </w:r>
            <w:r w:rsidRPr="0066736F">
              <w:rPr>
                <w:rFonts w:ascii="Calibri" w:eastAsia="Times New Roman" w:hAnsi="Calibri" w:cs="Calibri"/>
              </w:rPr>
              <w:t>%</w:t>
            </w:r>
          </w:p>
        </w:tc>
      </w:tr>
      <w:tr w:rsidR="00E56675" w:rsidRPr="00413B6F" w14:paraId="6A9DDD7C" w14:textId="77777777" w:rsidTr="0048737B">
        <w:trPr>
          <w:trHeight w:val="99"/>
          <w:jc w:val="center"/>
        </w:trPr>
        <w:tc>
          <w:tcPr>
            <w:tcW w:w="6470" w:type="dxa"/>
            <w:tcBorders>
              <w:top w:val="nil"/>
              <w:left w:val="nil"/>
              <w:bottom w:val="nil"/>
              <w:right w:val="nil"/>
            </w:tcBorders>
            <w:shd w:val="clear" w:color="000000" w:fill="FFFFFF"/>
            <w:noWrap/>
            <w:vAlign w:val="bottom"/>
            <w:hideMark/>
          </w:tcPr>
          <w:p w14:paraId="124DB370" w14:textId="77777777" w:rsidR="00E56675" w:rsidRPr="00413B6F" w:rsidRDefault="00E56675" w:rsidP="00E56675">
            <w:pPr>
              <w:spacing w:before="120"/>
              <w:rPr>
                <w:rFonts w:ascii="Calibri" w:eastAsia="Times New Roman" w:hAnsi="Calibri" w:cs="Calibri"/>
                <w:color w:val="0D0D0D"/>
              </w:rPr>
            </w:pPr>
            <w:r w:rsidRPr="00413B6F">
              <w:rPr>
                <w:rFonts w:ascii="Calibri" w:eastAsia="Times New Roman" w:hAnsi="Calibri" w:cs="Calibri"/>
                <w:color w:val="0D0D0D"/>
              </w:rPr>
              <w:t>Plan assets measured at fair value</w:t>
            </w:r>
          </w:p>
        </w:tc>
        <w:tc>
          <w:tcPr>
            <w:tcW w:w="1293" w:type="dxa"/>
            <w:tcBorders>
              <w:top w:val="nil"/>
              <w:left w:val="nil"/>
              <w:bottom w:val="nil"/>
              <w:right w:val="nil"/>
            </w:tcBorders>
            <w:shd w:val="clear" w:color="000000" w:fill="FFFFFF"/>
            <w:noWrap/>
            <w:vAlign w:val="bottom"/>
            <w:hideMark/>
          </w:tcPr>
          <w:p w14:paraId="49E97D3E" w14:textId="01D44F16" w:rsidR="00E56675" w:rsidRPr="0048737B" w:rsidRDefault="00E56675" w:rsidP="00E56675">
            <w:pPr>
              <w:spacing w:before="120"/>
              <w:jc w:val="right"/>
              <w:rPr>
                <w:rFonts w:ascii="Calibri" w:eastAsia="Times New Roman" w:hAnsi="Calibri" w:cs="Calibri"/>
                <w:color w:val="FF0000"/>
              </w:rPr>
            </w:pPr>
            <w:r>
              <w:rPr>
                <w:rFonts w:ascii="Calibri" w:hAnsi="Calibri" w:cs="Calibri"/>
              </w:rPr>
              <w:t xml:space="preserve"> $   174,427 </w:t>
            </w:r>
          </w:p>
        </w:tc>
        <w:tc>
          <w:tcPr>
            <w:tcW w:w="1597" w:type="dxa"/>
            <w:tcBorders>
              <w:top w:val="nil"/>
              <w:left w:val="nil"/>
              <w:bottom w:val="nil"/>
              <w:right w:val="nil"/>
            </w:tcBorders>
            <w:shd w:val="clear" w:color="auto" w:fill="F2F2F2" w:themeFill="background1" w:themeFillShade="F2"/>
            <w:noWrap/>
            <w:vAlign w:val="bottom"/>
            <w:hideMark/>
          </w:tcPr>
          <w:p w14:paraId="1D769E26" w14:textId="7DE9F70D" w:rsidR="00E56675" w:rsidRPr="00413B6F" w:rsidRDefault="00E56675" w:rsidP="00E56675">
            <w:pPr>
              <w:spacing w:before="120"/>
              <w:jc w:val="right"/>
              <w:rPr>
                <w:rFonts w:ascii="Calibri" w:eastAsia="Times New Roman" w:hAnsi="Calibri" w:cs="Calibri"/>
                <w:color w:val="0D0D0D"/>
              </w:rPr>
            </w:pPr>
            <w:r w:rsidRPr="0066736F">
              <w:rPr>
                <w:rFonts w:ascii="Calibri" w:eastAsia="Times New Roman" w:hAnsi="Calibri" w:cs="Calibri"/>
              </w:rPr>
              <w:t xml:space="preserve">$  </w:t>
            </w:r>
            <w:r w:rsidRPr="003959B0">
              <w:rPr>
                <w:rFonts w:ascii="Calibri" w:eastAsia="Times New Roman" w:hAnsi="Calibri" w:cs="Calibri"/>
              </w:rPr>
              <w:t>156,012</w:t>
            </w:r>
          </w:p>
        </w:tc>
      </w:tr>
    </w:tbl>
    <w:p w14:paraId="4546DB67" w14:textId="77777777" w:rsidR="00DD1612" w:rsidRPr="00F54559" w:rsidRDefault="00DD1612" w:rsidP="00DD1612">
      <w:pPr>
        <w:tabs>
          <w:tab w:val="left" w:pos="900"/>
        </w:tabs>
        <w:spacing w:before="120" w:after="120"/>
        <w:ind w:right="-7"/>
        <w:rPr>
          <w:rFonts w:eastAsiaTheme="majorEastAsia" w:cstheme="minorHAnsi"/>
          <w:b/>
          <w:i/>
          <w:iCs/>
          <w:smallCaps/>
          <w:noProof/>
          <w:color w:val="000000" w:themeColor="text1"/>
          <w:sz w:val="32"/>
          <w:szCs w:val="28"/>
          <w:u w:color="5B9BD5"/>
        </w:rPr>
      </w:pPr>
      <w:r w:rsidRPr="00F54559">
        <w:rPr>
          <w:rFonts w:cstheme="minorHAnsi"/>
        </w:rPr>
        <w:br w:type="page"/>
      </w:r>
    </w:p>
    <w:p w14:paraId="4A5BD3D6" w14:textId="73D0C57A" w:rsidR="00DD1612" w:rsidRPr="00F54559" w:rsidRDefault="00DD1612" w:rsidP="0048737B">
      <w:pPr>
        <w:pStyle w:val="AFR2"/>
        <w:tabs>
          <w:tab w:val="right" w:pos="9360"/>
        </w:tabs>
        <w:rPr>
          <w:rFonts w:cstheme="minorHAnsi"/>
          <w:sz w:val="26"/>
          <w:szCs w:val="26"/>
        </w:rPr>
      </w:pPr>
      <w:r w:rsidRPr="00F54559">
        <w:rPr>
          <w:rFonts w:cstheme="minorHAnsi"/>
          <w:sz w:val="26"/>
          <w:szCs w:val="26"/>
        </w:rPr>
        <w:lastRenderedPageBreak/>
        <w:t>15. DEFERRED OUTFLOWS OF RESOURCES AND DEFERRED INFLOWS OF RESOURCES</w:t>
      </w:r>
      <w:r w:rsidR="00FF662A">
        <w:rPr>
          <w:rFonts w:cstheme="minorHAnsi"/>
          <w:sz w:val="26"/>
          <w:szCs w:val="26"/>
        </w:rPr>
        <w:tab/>
      </w:r>
    </w:p>
    <w:p w14:paraId="3F9DAB25" w14:textId="65465E4A" w:rsidR="00DD1612" w:rsidRDefault="00DD1612" w:rsidP="00DD1612">
      <w:pPr>
        <w:tabs>
          <w:tab w:val="left" w:pos="900"/>
        </w:tabs>
        <w:spacing w:before="120" w:after="120"/>
        <w:ind w:right="-7"/>
        <w:rPr>
          <w:rFonts w:cstheme="minorHAnsi"/>
          <w:sz w:val="24"/>
        </w:rPr>
      </w:pPr>
      <w:r w:rsidRPr="00F54559">
        <w:rPr>
          <w:rFonts w:cstheme="minorHAnsi"/>
          <w:sz w:val="24"/>
        </w:rPr>
        <w:t xml:space="preserve">The composition of deferred outflows and inflows of resources </w:t>
      </w:r>
      <w:proofErr w:type="gramStart"/>
      <w:r w:rsidRPr="00F54559">
        <w:rPr>
          <w:rFonts w:cstheme="minorHAnsi"/>
          <w:sz w:val="24"/>
        </w:rPr>
        <w:t>at</w:t>
      </w:r>
      <w:proofErr w:type="gramEnd"/>
      <w:r w:rsidRPr="00F54559">
        <w:rPr>
          <w:rFonts w:cstheme="minorHAnsi"/>
          <w:sz w:val="24"/>
        </w:rPr>
        <w:t xml:space="preserve"> June 30 is summarized as follows</w:t>
      </w:r>
      <w:r w:rsidR="00714D11">
        <w:rPr>
          <w:rFonts w:cstheme="minorHAnsi"/>
          <w:sz w:val="24"/>
        </w:rPr>
        <w:t>.</w:t>
      </w:r>
      <w:r w:rsidRPr="00396223">
        <w:rPr>
          <w:rFonts w:cstheme="minorHAnsi"/>
          <w:sz w:val="24"/>
        </w:rPr>
        <w:t xml:space="preserve"> </w:t>
      </w:r>
      <w:r w:rsidR="00C42180" w:rsidRPr="00C42180">
        <w:rPr>
          <w:noProof/>
        </w:rPr>
        <w:drawing>
          <wp:inline distT="0" distB="0" distL="0" distR="0" wp14:anchorId="088C48D4" wp14:editId="29F653DA">
            <wp:extent cx="5889625" cy="285813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9625" cy="2858135"/>
                    </a:xfrm>
                    <a:prstGeom prst="rect">
                      <a:avLst/>
                    </a:prstGeom>
                    <a:noFill/>
                    <a:ln>
                      <a:noFill/>
                    </a:ln>
                  </pic:spPr>
                </pic:pic>
              </a:graphicData>
            </a:graphic>
          </wp:inline>
        </w:drawing>
      </w:r>
    </w:p>
    <w:p w14:paraId="1EBB88EE" w14:textId="17B7CDC0" w:rsidR="00DD1612" w:rsidRDefault="00DD1612" w:rsidP="00DD1612">
      <w:pPr>
        <w:tabs>
          <w:tab w:val="left" w:pos="900"/>
        </w:tabs>
        <w:spacing w:before="240" w:after="240"/>
        <w:ind w:right="-7"/>
        <w:rPr>
          <w:rFonts w:cstheme="minorHAnsi"/>
          <w:sz w:val="24"/>
        </w:rPr>
      </w:pPr>
      <w:r w:rsidRPr="00F54559">
        <w:rPr>
          <w:rFonts w:cstheme="minorHAnsi"/>
          <w:sz w:val="24"/>
        </w:rPr>
        <w:t>Deferred outflows of resources and deferred inflows of resources for pensions and OPEB were related to the following sources for the year ended June 30</w:t>
      </w:r>
      <w:r w:rsidR="00714D11">
        <w:rPr>
          <w:rFonts w:cstheme="minorHAnsi"/>
          <w:sz w:val="24"/>
        </w:rPr>
        <w:t>.</w:t>
      </w:r>
    </w:p>
    <w:p w14:paraId="1B80C7D0" w14:textId="0244C2A0" w:rsidR="00DD1612" w:rsidRPr="00A93FB3" w:rsidRDefault="003977A2" w:rsidP="00DD1612">
      <w:pPr>
        <w:tabs>
          <w:tab w:val="left" w:pos="900"/>
        </w:tabs>
        <w:spacing w:before="240"/>
        <w:ind w:right="-7"/>
        <w:jc w:val="center"/>
        <w:rPr>
          <w:rFonts w:eastAsiaTheme="majorEastAsia" w:cstheme="minorHAnsi"/>
          <w:iCs/>
          <w:smallCaps/>
          <w:noProof/>
          <w:sz w:val="24"/>
          <w:szCs w:val="26"/>
          <w:u w:color="5B9BD5"/>
        </w:rPr>
      </w:pPr>
      <w:r w:rsidRPr="00A93FB3">
        <w:rPr>
          <w:rFonts w:ascii="Calibri" w:eastAsia="Times New Roman" w:hAnsi="Calibri" w:cs="Calibri"/>
          <w:b/>
          <w:bCs/>
        </w:rPr>
        <w:t>202</w:t>
      </w:r>
      <w:r>
        <w:rPr>
          <w:rFonts w:ascii="Calibri" w:eastAsia="Times New Roman" w:hAnsi="Calibri" w:cs="Calibri"/>
          <w:b/>
          <w:bCs/>
        </w:rPr>
        <w:t>3</w:t>
      </w:r>
      <w:r w:rsidR="00DD1612" w:rsidRPr="00A93FB3">
        <w:rPr>
          <w:rFonts w:ascii="Calibri" w:eastAsia="Times New Roman" w:hAnsi="Calibri" w:cs="Calibri"/>
          <w:b/>
          <w:bCs/>
        </w:rPr>
        <w:fldChar w:fldCharType="begin"/>
      </w:r>
      <w:r w:rsidR="00DD1612" w:rsidRPr="00A93FB3">
        <w:rPr>
          <w:rFonts w:ascii="Calibri" w:eastAsia="Times New Roman" w:hAnsi="Calibri" w:cs="Calibri"/>
          <w:b/>
          <w:bCs/>
        </w:rPr>
        <w:fldChar w:fldCharType="end"/>
      </w:r>
    </w:p>
    <w:tbl>
      <w:tblPr>
        <w:tblW w:w="9360" w:type="dxa"/>
        <w:tblLayout w:type="fixed"/>
        <w:tblLook w:val="04A0" w:firstRow="1" w:lastRow="0" w:firstColumn="1" w:lastColumn="0" w:noHBand="0" w:noVBand="1"/>
      </w:tblPr>
      <w:tblGrid>
        <w:gridCol w:w="4860"/>
        <w:gridCol w:w="1260"/>
        <w:gridCol w:w="1080"/>
        <w:gridCol w:w="990"/>
        <w:gridCol w:w="1170"/>
      </w:tblGrid>
      <w:tr w:rsidR="00DD1612" w:rsidRPr="00C830C0" w14:paraId="16F0208C" w14:textId="77777777" w:rsidTr="000A48AD">
        <w:trPr>
          <w:trHeight w:val="888"/>
          <w:tblHeader/>
        </w:trPr>
        <w:tc>
          <w:tcPr>
            <w:tcW w:w="4860" w:type="dxa"/>
            <w:tcBorders>
              <w:top w:val="single" w:sz="12" w:space="0" w:color="00688D"/>
              <w:left w:val="nil"/>
              <w:bottom w:val="single" w:sz="8" w:space="0" w:color="00688D"/>
              <w:right w:val="nil"/>
            </w:tcBorders>
            <w:shd w:val="clear" w:color="000000" w:fill="FFFFFF"/>
            <w:noWrap/>
            <w:vAlign w:val="bottom"/>
            <w:hideMark/>
          </w:tcPr>
          <w:p w14:paraId="367E36A1" w14:textId="77777777" w:rsidR="00DD1612" w:rsidRPr="00202648" w:rsidRDefault="00DD1612" w:rsidP="00BD375F">
            <w:pPr>
              <w:jc w:val="center"/>
              <w:rPr>
                <w:rFonts w:ascii="Calibri" w:eastAsia="Times New Roman" w:hAnsi="Calibri" w:cs="Calibri"/>
                <w:b/>
                <w:bCs/>
                <w:color w:val="FF0000"/>
              </w:rPr>
            </w:pPr>
            <w:r w:rsidRPr="00753E47">
              <w:rPr>
                <w:rFonts w:ascii="Calibri" w:eastAsia="Times New Roman" w:hAnsi="Calibri" w:cs="Calibri"/>
                <w:b/>
                <w:bCs/>
              </w:rPr>
              <w:t> </w:t>
            </w:r>
          </w:p>
        </w:tc>
        <w:tc>
          <w:tcPr>
            <w:tcW w:w="1260" w:type="dxa"/>
            <w:tcBorders>
              <w:top w:val="single" w:sz="12" w:space="0" w:color="00688D"/>
              <w:left w:val="nil"/>
              <w:bottom w:val="single" w:sz="8" w:space="0" w:color="00688D"/>
              <w:right w:val="nil"/>
            </w:tcBorders>
            <w:shd w:val="clear" w:color="000000" w:fill="FFFFFF"/>
            <w:vAlign w:val="bottom"/>
            <w:hideMark/>
          </w:tcPr>
          <w:p w14:paraId="23027D94" w14:textId="0CDD0031" w:rsidR="00DD1612" w:rsidRPr="00A93FB3" w:rsidRDefault="00DD1612" w:rsidP="00BD375F">
            <w:pPr>
              <w:jc w:val="center"/>
              <w:rPr>
                <w:rFonts w:ascii="Calibri" w:eastAsia="Times New Roman" w:hAnsi="Calibri" w:cs="Calibri"/>
                <w:bCs/>
              </w:rPr>
            </w:pPr>
            <w:r w:rsidRPr="009D2325">
              <w:rPr>
                <w:rFonts w:ascii="Calibri" w:eastAsia="Times New Roman" w:hAnsi="Calibri" w:cs="Calibri"/>
                <w:bCs/>
              </w:rPr>
              <w:t>Incenti</w:t>
            </w:r>
            <w:r w:rsidR="00B53AA8">
              <w:rPr>
                <w:rFonts w:ascii="Calibri" w:eastAsia="Times New Roman" w:hAnsi="Calibri" w:cs="Calibri"/>
                <w:bCs/>
              </w:rPr>
              <w:t>v</w:t>
            </w:r>
            <w:r w:rsidRPr="009D2325">
              <w:rPr>
                <w:rFonts w:ascii="Calibri" w:eastAsia="Times New Roman" w:hAnsi="Calibri" w:cs="Calibri"/>
                <w:bCs/>
              </w:rPr>
              <w:t>e Retirement Plan</w:t>
            </w:r>
            <w:r>
              <w:rPr>
                <w:rFonts w:ascii="Calibri" w:eastAsia="Times New Roman" w:hAnsi="Calibri" w:cs="Calibri"/>
                <w:bCs/>
              </w:rPr>
              <w:t xml:space="preserve"> </w:t>
            </w:r>
          </w:p>
        </w:tc>
        <w:tc>
          <w:tcPr>
            <w:tcW w:w="1080" w:type="dxa"/>
            <w:tcBorders>
              <w:top w:val="single" w:sz="12" w:space="0" w:color="00688D"/>
              <w:left w:val="nil"/>
              <w:bottom w:val="single" w:sz="8" w:space="0" w:color="00688D"/>
              <w:right w:val="nil"/>
            </w:tcBorders>
            <w:shd w:val="clear" w:color="000000" w:fill="FFFFFF"/>
            <w:vAlign w:val="bottom"/>
            <w:hideMark/>
          </w:tcPr>
          <w:p w14:paraId="31986E5C" w14:textId="77777777" w:rsidR="00DD1612" w:rsidRPr="00A93FB3" w:rsidRDefault="00DD1612" w:rsidP="00BD375F">
            <w:pPr>
              <w:jc w:val="center"/>
              <w:rPr>
                <w:rFonts w:ascii="Calibri" w:eastAsia="Times New Roman" w:hAnsi="Calibri" w:cs="Calibri"/>
                <w:bCs/>
              </w:rPr>
            </w:pPr>
            <w:r w:rsidRPr="00A93FB3">
              <w:rPr>
                <w:rFonts w:ascii="Calibri" w:eastAsia="Times New Roman" w:hAnsi="Calibri" w:cs="Calibri"/>
                <w:bCs/>
              </w:rPr>
              <w:t>Defined Benefit Plan</w:t>
            </w:r>
          </w:p>
        </w:tc>
        <w:tc>
          <w:tcPr>
            <w:tcW w:w="990" w:type="dxa"/>
            <w:tcBorders>
              <w:top w:val="single" w:sz="12" w:space="0" w:color="00688D"/>
              <w:left w:val="nil"/>
              <w:bottom w:val="single" w:sz="8" w:space="0" w:color="00688D"/>
              <w:right w:val="nil"/>
            </w:tcBorders>
            <w:shd w:val="clear" w:color="000000" w:fill="FFFFFF"/>
            <w:vAlign w:val="bottom"/>
            <w:hideMark/>
          </w:tcPr>
          <w:p w14:paraId="3FCE7FDC" w14:textId="77777777" w:rsidR="00DD1612" w:rsidRPr="00A93FB3" w:rsidRDefault="00DD1612" w:rsidP="00BD375F">
            <w:pPr>
              <w:jc w:val="center"/>
              <w:rPr>
                <w:rFonts w:ascii="Calibri" w:eastAsia="Times New Roman" w:hAnsi="Calibri" w:cs="Calibri"/>
                <w:bCs/>
              </w:rPr>
            </w:pPr>
            <w:r w:rsidRPr="00A93FB3">
              <w:rPr>
                <w:rFonts w:ascii="Calibri" w:eastAsia="Times New Roman" w:hAnsi="Calibri" w:cs="Calibri"/>
                <w:bCs/>
              </w:rPr>
              <w:t xml:space="preserve">Total Pension </w:t>
            </w:r>
          </w:p>
        </w:tc>
        <w:tc>
          <w:tcPr>
            <w:tcW w:w="1170" w:type="dxa"/>
            <w:tcBorders>
              <w:top w:val="single" w:sz="12" w:space="0" w:color="00688D"/>
              <w:left w:val="nil"/>
              <w:bottom w:val="single" w:sz="8" w:space="0" w:color="00688D"/>
              <w:right w:val="nil"/>
            </w:tcBorders>
            <w:shd w:val="clear" w:color="000000" w:fill="FFFFFF"/>
            <w:vAlign w:val="bottom"/>
            <w:hideMark/>
          </w:tcPr>
          <w:p w14:paraId="700BFCDA" w14:textId="77777777" w:rsidR="00DD1612" w:rsidRPr="00A93FB3" w:rsidRDefault="00DD1612" w:rsidP="00BD375F">
            <w:pPr>
              <w:jc w:val="center"/>
              <w:rPr>
                <w:rFonts w:ascii="Calibri" w:eastAsia="Times New Roman" w:hAnsi="Calibri" w:cs="Calibri"/>
                <w:bCs/>
              </w:rPr>
            </w:pPr>
            <w:r w:rsidRPr="00A93FB3">
              <w:rPr>
                <w:rFonts w:ascii="Calibri" w:eastAsia="Times New Roman" w:hAnsi="Calibri" w:cs="Calibri"/>
                <w:bCs/>
              </w:rPr>
              <w:t xml:space="preserve">OPEB </w:t>
            </w:r>
          </w:p>
        </w:tc>
      </w:tr>
      <w:tr w:rsidR="00DD1612" w:rsidRPr="00C830C0" w14:paraId="135CE7EA" w14:textId="77777777" w:rsidTr="000A48AD">
        <w:trPr>
          <w:trHeight w:val="288"/>
        </w:trPr>
        <w:tc>
          <w:tcPr>
            <w:tcW w:w="4860" w:type="dxa"/>
            <w:tcBorders>
              <w:top w:val="nil"/>
              <w:left w:val="nil"/>
              <w:bottom w:val="nil"/>
              <w:right w:val="nil"/>
            </w:tcBorders>
            <w:shd w:val="clear" w:color="000000" w:fill="FFFFFF"/>
            <w:noWrap/>
            <w:vAlign w:val="bottom"/>
            <w:hideMark/>
          </w:tcPr>
          <w:p w14:paraId="151D5D53" w14:textId="77777777" w:rsidR="00DD1612" w:rsidRPr="00A93FB3" w:rsidRDefault="00DD1612" w:rsidP="00BD375F">
            <w:pPr>
              <w:rPr>
                <w:rFonts w:ascii="Calibri" w:eastAsia="Times New Roman" w:hAnsi="Calibri" w:cs="Calibri"/>
              </w:rPr>
            </w:pPr>
            <w:r w:rsidRPr="00A93FB3">
              <w:rPr>
                <w:rFonts w:ascii="Calibri" w:eastAsia="Times New Roman" w:hAnsi="Calibri" w:cs="Calibri"/>
              </w:rPr>
              <w:t>Deferred outflows of resources</w:t>
            </w:r>
          </w:p>
        </w:tc>
        <w:tc>
          <w:tcPr>
            <w:tcW w:w="1260" w:type="dxa"/>
            <w:tcBorders>
              <w:top w:val="nil"/>
              <w:left w:val="nil"/>
              <w:bottom w:val="nil"/>
              <w:right w:val="nil"/>
            </w:tcBorders>
            <w:shd w:val="clear" w:color="000000" w:fill="FFFFFF"/>
            <w:noWrap/>
            <w:vAlign w:val="bottom"/>
            <w:hideMark/>
          </w:tcPr>
          <w:p w14:paraId="2291F10D" w14:textId="77777777" w:rsidR="00DD1612" w:rsidRPr="00A93FB3" w:rsidRDefault="00DD1612" w:rsidP="00BD375F">
            <w:pPr>
              <w:rPr>
                <w:rFonts w:ascii="Calibri" w:eastAsia="Times New Roman" w:hAnsi="Calibri" w:cs="Calibri"/>
              </w:rPr>
            </w:pPr>
            <w:r w:rsidRPr="00A93FB3">
              <w:rPr>
                <w:rFonts w:ascii="Calibri" w:eastAsia="Times New Roman" w:hAnsi="Calibri" w:cs="Calibri"/>
              </w:rPr>
              <w:t> </w:t>
            </w:r>
          </w:p>
        </w:tc>
        <w:tc>
          <w:tcPr>
            <w:tcW w:w="1080" w:type="dxa"/>
            <w:tcBorders>
              <w:top w:val="nil"/>
              <w:left w:val="nil"/>
              <w:bottom w:val="nil"/>
              <w:right w:val="nil"/>
            </w:tcBorders>
            <w:shd w:val="clear" w:color="000000" w:fill="FFFFFF"/>
            <w:noWrap/>
            <w:vAlign w:val="bottom"/>
            <w:hideMark/>
          </w:tcPr>
          <w:p w14:paraId="53D94687" w14:textId="77777777" w:rsidR="00DD1612" w:rsidRPr="00A93FB3" w:rsidRDefault="00DD1612" w:rsidP="00BD375F">
            <w:pPr>
              <w:rPr>
                <w:rFonts w:ascii="Calibri" w:eastAsia="Times New Roman" w:hAnsi="Calibri" w:cs="Calibri"/>
              </w:rPr>
            </w:pPr>
            <w:r w:rsidRPr="00A93FB3">
              <w:rPr>
                <w:rFonts w:ascii="Calibri" w:eastAsia="Times New Roman" w:hAnsi="Calibri" w:cs="Calibri"/>
              </w:rPr>
              <w:t> </w:t>
            </w:r>
          </w:p>
        </w:tc>
        <w:tc>
          <w:tcPr>
            <w:tcW w:w="990" w:type="dxa"/>
            <w:tcBorders>
              <w:top w:val="nil"/>
              <w:left w:val="nil"/>
              <w:bottom w:val="nil"/>
              <w:right w:val="nil"/>
            </w:tcBorders>
            <w:shd w:val="clear" w:color="000000" w:fill="FFFFFF"/>
            <w:noWrap/>
            <w:vAlign w:val="bottom"/>
            <w:hideMark/>
          </w:tcPr>
          <w:p w14:paraId="51739BD5" w14:textId="77777777" w:rsidR="00DD1612" w:rsidRPr="00A93FB3" w:rsidRDefault="00DD1612" w:rsidP="00BD375F">
            <w:pPr>
              <w:rPr>
                <w:rFonts w:ascii="Calibri" w:eastAsia="Times New Roman" w:hAnsi="Calibri" w:cs="Calibri"/>
              </w:rPr>
            </w:pPr>
            <w:r w:rsidRPr="00A93FB3">
              <w:rPr>
                <w:rFonts w:ascii="Calibri" w:eastAsia="Times New Roman" w:hAnsi="Calibri" w:cs="Calibri"/>
              </w:rPr>
              <w:t> </w:t>
            </w:r>
          </w:p>
        </w:tc>
        <w:tc>
          <w:tcPr>
            <w:tcW w:w="1170" w:type="dxa"/>
            <w:tcBorders>
              <w:top w:val="nil"/>
              <w:left w:val="nil"/>
              <w:bottom w:val="nil"/>
              <w:right w:val="nil"/>
            </w:tcBorders>
            <w:shd w:val="clear" w:color="000000" w:fill="FFFFFF"/>
            <w:noWrap/>
            <w:vAlign w:val="bottom"/>
            <w:hideMark/>
          </w:tcPr>
          <w:p w14:paraId="5B2E1EB5" w14:textId="77777777" w:rsidR="00DD1612" w:rsidRPr="00A93FB3" w:rsidRDefault="00DD1612" w:rsidP="00BD375F">
            <w:pPr>
              <w:rPr>
                <w:rFonts w:ascii="Calibri" w:eastAsia="Times New Roman" w:hAnsi="Calibri" w:cs="Calibri"/>
              </w:rPr>
            </w:pPr>
            <w:r w:rsidRPr="00A93FB3">
              <w:rPr>
                <w:rFonts w:ascii="Calibri" w:eastAsia="Times New Roman" w:hAnsi="Calibri" w:cs="Calibri"/>
              </w:rPr>
              <w:t> </w:t>
            </w:r>
          </w:p>
        </w:tc>
      </w:tr>
      <w:tr w:rsidR="004942EB" w:rsidRPr="00C830C0" w14:paraId="2D87AF3C" w14:textId="77777777" w:rsidTr="000A48AD">
        <w:trPr>
          <w:trHeight w:val="288"/>
        </w:trPr>
        <w:tc>
          <w:tcPr>
            <w:tcW w:w="4860" w:type="dxa"/>
            <w:tcBorders>
              <w:top w:val="nil"/>
              <w:left w:val="nil"/>
              <w:bottom w:val="nil"/>
              <w:right w:val="nil"/>
            </w:tcBorders>
            <w:shd w:val="clear" w:color="000000" w:fill="FFFFFF"/>
            <w:noWrap/>
            <w:vAlign w:val="bottom"/>
            <w:hideMark/>
          </w:tcPr>
          <w:p w14:paraId="6E39AD88" w14:textId="77777777" w:rsidR="004942EB" w:rsidRPr="00A93FB3" w:rsidRDefault="004942EB" w:rsidP="004942EB">
            <w:pPr>
              <w:ind w:leftChars="106" w:left="251" w:hangingChars="8" w:hanging="18"/>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35C33D15" w14:textId="1B87D303" w:rsidR="004942EB" w:rsidRPr="0048737B" w:rsidRDefault="004942EB" w:rsidP="00540FBB">
            <w:pPr>
              <w:jc w:val="right"/>
              <w:rPr>
                <w:rFonts w:ascii="Calibri" w:eastAsia="Times New Roman" w:hAnsi="Calibri" w:cs="Calibri"/>
                <w:color w:val="000000" w:themeColor="text1"/>
              </w:rPr>
            </w:pPr>
            <w:r w:rsidRPr="0048737B">
              <w:rPr>
                <w:rFonts w:ascii="Calibri" w:hAnsi="Calibri" w:cs="Calibri"/>
                <w:color w:val="000000" w:themeColor="text1"/>
              </w:rPr>
              <w:t>$   726</w:t>
            </w:r>
          </w:p>
        </w:tc>
        <w:tc>
          <w:tcPr>
            <w:tcW w:w="1080" w:type="dxa"/>
            <w:tcBorders>
              <w:top w:val="nil"/>
              <w:left w:val="nil"/>
              <w:bottom w:val="nil"/>
              <w:right w:val="nil"/>
            </w:tcBorders>
            <w:shd w:val="clear" w:color="000000" w:fill="FFFFFF"/>
            <w:noWrap/>
            <w:vAlign w:val="bottom"/>
            <w:hideMark/>
          </w:tcPr>
          <w:p w14:paraId="1E0B2014" w14:textId="79F9DFCC" w:rsidR="004942EB" w:rsidRPr="0048737B" w:rsidRDefault="004942EB" w:rsidP="00540FBB">
            <w:pPr>
              <w:tabs>
                <w:tab w:val="left" w:pos="132"/>
              </w:tabs>
              <w:jc w:val="right"/>
              <w:rPr>
                <w:rFonts w:ascii="Calibri" w:eastAsia="Times New Roman" w:hAnsi="Calibri" w:cs="Calibri"/>
                <w:color w:val="000000" w:themeColor="text1"/>
              </w:rPr>
            </w:pPr>
            <w:r w:rsidRPr="0048737B">
              <w:rPr>
                <w:rFonts w:ascii="Calibri" w:hAnsi="Calibri" w:cs="Calibri"/>
                <w:color w:val="000000" w:themeColor="text1"/>
              </w:rPr>
              <w:t>$</w:t>
            </w:r>
            <w:r w:rsidR="00374360">
              <w:rPr>
                <w:rFonts w:ascii="Calibri" w:hAnsi="Calibri" w:cs="Calibri"/>
                <w:color w:val="000000" w:themeColor="text1"/>
              </w:rPr>
              <w:t xml:space="preserve">  </w:t>
            </w:r>
            <w:r w:rsidRPr="0048737B">
              <w:rPr>
                <w:rFonts w:ascii="Calibri" w:hAnsi="Calibri" w:cs="Calibri"/>
                <w:color w:val="000000" w:themeColor="text1"/>
              </w:rPr>
              <w:t xml:space="preserve">        -</w:t>
            </w:r>
          </w:p>
        </w:tc>
        <w:tc>
          <w:tcPr>
            <w:tcW w:w="990" w:type="dxa"/>
            <w:tcBorders>
              <w:top w:val="nil"/>
              <w:left w:val="nil"/>
              <w:bottom w:val="nil"/>
              <w:right w:val="nil"/>
            </w:tcBorders>
            <w:shd w:val="clear" w:color="000000" w:fill="FFFFFF"/>
            <w:noWrap/>
            <w:vAlign w:val="bottom"/>
            <w:hideMark/>
          </w:tcPr>
          <w:p w14:paraId="2BDA63C0" w14:textId="570B673E"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r w:rsidR="00540FBB">
              <w:rPr>
                <w:rFonts w:ascii="Calibri" w:hAnsi="Calibri" w:cs="Calibri"/>
                <w:color w:val="000000" w:themeColor="text1"/>
              </w:rPr>
              <w:t xml:space="preserve"> </w:t>
            </w:r>
            <w:r w:rsidRPr="0048737B">
              <w:rPr>
                <w:rFonts w:ascii="Calibri" w:hAnsi="Calibri" w:cs="Calibri"/>
                <w:color w:val="000000" w:themeColor="text1"/>
              </w:rPr>
              <w:t xml:space="preserve">   726</w:t>
            </w:r>
          </w:p>
        </w:tc>
        <w:tc>
          <w:tcPr>
            <w:tcW w:w="1170" w:type="dxa"/>
            <w:tcBorders>
              <w:top w:val="nil"/>
              <w:left w:val="nil"/>
              <w:bottom w:val="nil"/>
              <w:right w:val="nil"/>
            </w:tcBorders>
            <w:shd w:val="clear" w:color="000000" w:fill="FFFFFF"/>
            <w:noWrap/>
            <w:vAlign w:val="bottom"/>
            <w:hideMark/>
          </w:tcPr>
          <w:p w14:paraId="74319756" w14:textId="6E54E001" w:rsidR="004942EB" w:rsidRPr="0048737B" w:rsidRDefault="004942EB" w:rsidP="00540FBB">
            <w:pPr>
              <w:jc w:val="right"/>
              <w:rPr>
                <w:rFonts w:ascii="Calibri" w:eastAsia="Times New Roman" w:hAnsi="Calibri" w:cs="Calibri"/>
                <w:color w:val="000000" w:themeColor="text1"/>
              </w:rPr>
            </w:pPr>
            <w:r w:rsidRPr="0048737B">
              <w:rPr>
                <w:rFonts w:ascii="Calibri" w:hAnsi="Calibri" w:cs="Calibri"/>
                <w:color w:val="000000" w:themeColor="text1"/>
              </w:rPr>
              <w:t xml:space="preserve">$ </w:t>
            </w:r>
            <w:r w:rsidR="00540FBB">
              <w:rPr>
                <w:rFonts w:ascii="Calibri" w:hAnsi="Calibri" w:cs="Calibri"/>
                <w:color w:val="000000" w:themeColor="text1"/>
              </w:rPr>
              <w:t xml:space="preserve"> </w:t>
            </w:r>
            <w:r w:rsidR="00374360">
              <w:rPr>
                <w:rFonts w:ascii="Calibri" w:hAnsi="Calibri" w:cs="Calibri"/>
                <w:color w:val="000000" w:themeColor="text1"/>
              </w:rPr>
              <w:t xml:space="preserve"> </w:t>
            </w:r>
            <w:r w:rsidRPr="0048737B">
              <w:rPr>
                <w:rFonts w:ascii="Calibri" w:hAnsi="Calibri" w:cs="Calibri"/>
                <w:color w:val="000000" w:themeColor="text1"/>
              </w:rPr>
              <w:t xml:space="preserve">  5,180</w:t>
            </w:r>
          </w:p>
        </w:tc>
      </w:tr>
      <w:tr w:rsidR="004942EB" w:rsidRPr="00C830C0" w14:paraId="1896E207" w14:textId="77777777" w:rsidTr="000A48AD">
        <w:trPr>
          <w:trHeight w:val="144"/>
        </w:trPr>
        <w:tc>
          <w:tcPr>
            <w:tcW w:w="4860" w:type="dxa"/>
            <w:tcBorders>
              <w:top w:val="nil"/>
              <w:left w:val="nil"/>
              <w:bottom w:val="nil"/>
              <w:right w:val="nil"/>
            </w:tcBorders>
            <w:shd w:val="clear" w:color="000000" w:fill="FFFFFF"/>
            <w:vAlign w:val="bottom"/>
            <w:hideMark/>
          </w:tcPr>
          <w:p w14:paraId="495A6757" w14:textId="77777777" w:rsidR="004942EB" w:rsidRPr="00A93FB3" w:rsidRDefault="004942EB" w:rsidP="004942EB">
            <w:pPr>
              <w:ind w:leftChars="106" w:left="251" w:hangingChars="8" w:hanging="18"/>
              <w:rPr>
                <w:rFonts w:ascii="Calibri" w:eastAsia="Times New Roman" w:hAnsi="Calibri" w:cs="Calibri"/>
              </w:rPr>
            </w:pPr>
            <w:r w:rsidRPr="00A93FB3">
              <w:rPr>
                <w:rFonts w:ascii="Calibri" w:eastAsia="Times New Roman" w:hAnsi="Calibri" w:cs="Calibri"/>
              </w:rPr>
              <w:t>Difference between expected and actual experience</w:t>
            </w:r>
          </w:p>
        </w:tc>
        <w:tc>
          <w:tcPr>
            <w:tcW w:w="1260" w:type="dxa"/>
            <w:tcBorders>
              <w:top w:val="nil"/>
              <w:left w:val="nil"/>
              <w:bottom w:val="nil"/>
              <w:right w:val="nil"/>
            </w:tcBorders>
            <w:shd w:val="clear" w:color="000000" w:fill="FFFFFF"/>
            <w:noWrap/>
            <w:vAlign w:val="bottom"/>
            <w:hideMark/>
          </w:tcPr>
          <w:p w14:paraId="2C3B4694" w14:textId="797909D1"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485</w:t>
            </w:r>
          </w:p>
        </w:tc>
        <w:tc>
          <w:tcPr>
            <w:tcW w:w="1080" w:type="dxa"/>
            <w:tcBorders>
              <w:top w:val="nil"/>
              <w:left w:val="nil"/>
              <w:bottom w:val="nil"/>
              <w:right w:val="nil"/>
            </w:tcBorders>
            <w:shd w:val="clear" w:color="000000" w:fill="FFFFFF"/>
            <w:noWrap/>
            <w:vAlign w:val="bottom"/>
            <w:hideMark/>
          </w:tcPr>
          <w:p w14:paraId="790F6AA9" w14:textId="3033B584"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c>
          <w:tcPr>
            <w:tcW w:w="990" w:type="dxa"/>
            <w:tcBorders>
              <w:top w:val="nil"/>
              <w:left w:val="nil"/>
              <w:bottom w:val="nil"/>
              <w:right w:val="nil"/>
            </w:tcBorders>
            <w:shd w:val="clear" w:color="000000" w:fill="FFFFFF"/>
            <w:noWrap/>
            <w:vAlign w:val="bottom"/>
            <w:hideMark/>
          </w:tcPr>
          <w:p w14:paraId="5F7BDFDC" w14:textId="3155BFF3"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485</w:t>
            </w:r>
          </w:p>
        </w:tc>
        <w:tc>
          <w:tcPr>
            <w:tcW w:w="1170" w:type="dxa"/>
            <w:tcBorders>
              <w:top w:val="nil"/>
              <w:left w:val="nil"/>
              <w:bottom w:val="nil"/>
              <w:right w:val="nil"/>
            </w:tcBorders>
            <w:shd w:val="clear" w:color="000000" w:fill="FFFFFF"/>
            <w:noWrap/>
            <w:vAlign w:val="bottom"/>
            <w:hideMark/>
          </w:tcPr>
          <w:p w14:paraId="2E47EE8A" w14:textId="0A267631"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r>
      <w:tr w:rsidR="004942EB" w:rsidRPr="00C830C0" w14:paraId="4A12EBB1" w14:textId="77777777" w:rsidTr="000A48AD">
        <w:trPr>
          <w:trHeight w:val="576"/>
        </w:trPr>
        <w:tc>
          <w:tcPr>
            <w:tcW w:w="4860" w:type="dxa"/>
            <w:tcBorders>
              <w:top w:val="nil"/>
              <w:left w:val="nil"/>
              <w:bottom w:val="nil"/>
              <w:right w:val="nil"/>
            </w:tcBorders>
            <w:shd w:val="clear" w:color="000000" w:fill="FFFFFF"/>
            <w:vAlign w:val="bottom"/>
            <w:hideMark/>
          </w:tcPr>
          <w:p w14:paraId="6F69DB5D" w14:textId="77777777" w:rsidR="004942EB" w:rsidRPr="00A93FB3" w:rsidRDefault="004942EB" w:rsidP="004942EB">
            <w:pPr>
              <w:ind w:leftChars="106" w:left="251" w:hangingChars="8" w:hanging="18"/>
              <w:rPr>
                <w:rFonts w:ascii="Calibri" w:eastAsia="Times New Roman" w:hAnsi="Calibri" w:cs="Calibri"/>
              </w:rPr>
            </w:pPr>
            <w:r w:rsidRPr="00A93FB3">
              <w:rPr>
                <w:rFonts w:ascii="Calibri" w:eastAsia="Times New Roman" w:hAnsi="Calibri" w:cs="Calibri"/>
              </w:rPr>
              <w:t>Net difference between projected and actual earnings on plan investments</w:t>
            </w:r>
          </w:p>
        </w:tc>
        <w:tc>
          <w:tcPr>
            <w:tcW w:w="1260" w:type="dxa"/>
            <w:tcBorders>
              <w:top w:val="nil"/>
              <w:left w:val="nil"/>
              <w:bottom w:val="nil"/>
              <w:right w:val="nil"/>
            </w:tcBorders>
            <w:shd w:val="clear" w:color="000000" w:fill="FFFFFF"/>
            <w:noWrap/>
            <w:vAlign w:val="bottom"/>
            <w:hideMark/>
          </w:tcPr>
          <w:p w14:paraId="4B118129" w14:textId="7DC15B36"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c>
          <w:tcPr>
            <w:tcW w:w="1080" w:type="dxa"/>
            <w:tcBorders>
              <w:top w:val="nil"/>
              <w:left w:val="nil"/>
              <w:bottom w:val="nil"/>
              <w:right w:val="nil"/>
            </w:tcBorders>
            <w:shd w:val="clear" w:color="000000" w:fill="FFFFFF"/>
            <w:noWrap/>
            <w:vAlign w:val="bottom"/>
            <w:hideMark/>
          </w:tcPr>
          <w:p w14:paraId="7994DDD4" w14:textId="08729F41" w:rsidR="004942EB" w:rsidRPr="0048737B" w:rsidRDefault="00374360" w:rsidP="004942EB">
            <w:pPr>
              <w:jc w:val="right"/>
              <w:rPr>
                <w:rFonts w:ascii="Calibri" w:eastAsia="Times New Roman" w:hAnsi="Calibri" w:cs="Calibri"/>
                <w:color w:val="000000" w:themeColor="text1"/>
              </w:rPr>
            </w:pPr>
            <w:r>
              <w:rPr>
                <w:rFonts w:ascii="Calibri" w:hAnsi="Calibri" w:cs="Calibri"/>
                <w:color w:val="000000" w:themeColor="text1"/>
              </w:rPr>
              <w:t xml:space="preserve">  </w:t>
            </w:r>
            <w:r w:rsidR="004942EB" w:rsidRPr="0048737B">
              <w:rPr>
                <w:rFonts w:ascii="Calibri" w:hAnsi="Calibri" w:cs="Calibri"/>
                <w:color w:val="000000" w:themeColor="text1"/>
              </w:rPr>
              <w:t>1,118</w:t>
            </w:r>
          </w:p>
        </w:tc>
        <w:tc>
          <w:tcPr>
            <w:tcW w:w="990" w:type="dxa"/>
            <w:tcBorders>
              <w:top w:val="nil"/>
              <w:left w:val="nil"/>
              <w:bottom w:val="nil"/>
              <w:right w:val="nil"/>
            </w:tcBorders>
            <w:shd w:val="clear" w:color="000000" w:fill="FFFFFF"/>
            <w:noWrap/>
            <w:vAlign w:val="bottom"/>
            <w:hideMark/>
          </w:tcPr>
          <w:p w14:paraId="5F0F0959" w14:textId="0D2E59BF" w:rsidR="004942EB" w:rsidRPr="0048737B" w:rsidRDefault="004942EB" w:rsidP="00540FBB">
            <w:pPr>
              <w:tabs>
                <w:tab w:val="left" w:pos="296"/>
              </w:tabs>
              <w:jc w:val="right"/>
              <w:rPr>
                <w:rFonts w:ascii="Calibri" w:eastAsia="Times New Roman" w:hAnsi="Calibri" w:cs="Calibri"/>
                <w:color w:val="000000" w:themeColor="text1"/>
              </w:rPr>
            </w:pPr>
            <w:r w:rsidRPr="0048737B">
              <w:rPr>
                <w:rFonts w:ascii="Calibri" w:hAnsi="Calibri" w:cs="Calibri"/>
                <w:color w:val="000000" w:themeColor="text1"/>
              </w:rPr>
              <w:t>1,118</w:t>
            </w:r>
          </w:p>
        </w:tc>
        <w:tc>
          <w:tcPr>
            <w:tcW w:w="1170" w:type="dxa"/>
            <w:tcBorders>
              <w:top w:val="nil"/>
              <w:left w:val="nil"/>
              <w:bottom w:val="nil"/>
              <w:right w:val="nil"/>
            </w:tcBorders>
            <w:shd w:val="clear" w:color="000000" w:fill="FFFFFF"/>
            <w:noWrap/>
            <w:vAlign w:val="bottom"/>
            <w:hideMark/>
          </w:tcPr>
          <w:p w14:paraId="5EE67492" w14:textId="295B8D6A"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7,914</w:t>
            </w:r>
          </w:p>
        </w:tc>
      </w:tr>
      <w:tr w:rsidR="004942EB" w:rsidRPr="00C830C0" w14:paraId="0A88B660" w14:textId="77777777" w:rsidTr="000A48AD">
        <w:trPr>
          <w:trHeight w:val="288"/>
        </w:trPr>
        <w:tc>
          <w:tcPr>
            <w:tcW w:w="4860" w:type="dxa"/>
            <w:tcBorders>
              <w:top w:val="single" w:sz="4" w:space="0" w:color="00688D"/>
              <w:left w:val="nil"/>
              <w:bottom w:val="single" w:sz="4" w:space="0" w:color="00688D"/>
              <w:right w:val="nil"/>
            </w:tcBorders>
            <w:shd w:val="clear" w:color="000000" w:fill="FFFFFF"/>
            <w:noWrap/>
            <w:vAlign w:val="bottom"/>
            <w:hideMark/>
          </w:tcPr>
          <w:p w14:paraId="52E8B94B" w14:textId="77777777" w:rsidR="004942EB" w:rsidRPr="00A93FB3" w:rsidRDefault="004942EB" w:rsidP="004942EB">
            <w:pPr>
              <w:ind w:firstLineChars="200" w:firstLine="440"/>
              <w:rPr>
                <w:rFonts w:ascii="Calibri" w:eastAsia="Times New Roman" w:hAnsi="Calibri" w:cs="Calibri"/>
              </w:rPr>
            </w:pPr>
            <w:r w:rsidRPr="00A93FB3">
              <w:rPr>
                <w:rFonts w:ascii="Calibri" w:eastAsia="Times New Roman" w:hAnsi="Calibri" w:cs="Calibri"/>
              </w:rPr>
              <w:t>Total deferred outflows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451963D6" w14:textId="5F59496C"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1,211</w:t>
            </w:r>
          </w:p>
        </w:tc>
        <w:tc>
          <w:tcPr>
            <w:tcW w:w="1080" w:type="dxa"/>
            <w:tcBorders>
              <w:top w:val="single" w:sz="4" w:space="0" w:color="00688D"/>
              <w:left w:val="nil"/>
              <w:bottom w:val="single" w:sz="4" w:space="0" w:color="00688D"/>
              <w:right w:val="nil"/>
            </w:tcBorders>
            <w:shd w:val="clear" w:color="000000" w:fill="FFFFFF"/>
            <w:noWrap/>
            <w:vAlign w:val="bottom"/>
            <w:hideMark/>
          </w:tcPr>
          <w:p w14:paraId="7A17F0AA" w14:textId="552FC6D6"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1,118</w:t>
            </w:r>
          </w:p>
        </w:tc>
        <w:tc>
          <w:tcPr>
            <w:tcW w:w="990" w:type="dxa"/>
            <w:tcBorders>
              <w:top w:val="single" w:sz="4" w:space="0" w:color="00688D"/>
              <w:left w:val="nil"/>
              <w:bottom w:val="single" w:sz="4" w:space="0" w:color="00688D"/>
              <w:right w:val="nil"/>
            </w:tcBorders>
            <w:shd w:val="clear" w:color="000000" w:fill="FFFFFF"/>
            <w:noWrap/>
            <w:vAlign w:val="bottom"/>
            <w:hideMark/>
          </w:tcPr>
          <w:p w14:paraId="0378A77E" w14:textId="01C6C9D4"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2,329</w:t>
            </w:r>
          </w:p>
        </w:tc>
        <w:tc>
          <w:tcPr>
            <w:tcW w:w="1170" w:type="dxa"/>
            <w:tcBorders>
              <w:top w:val="single" w:sz="4" w:space="0" w:color="00688D"/>
              <w:left w:val="nil"/>
              <w:bottom w:val="single" w:sz="4" w:space="0" w:color="00688D"/>
              <w:right w:val="nil"/>
            </w:tcBorders>
            <w:shd w:val="clear" w:color="000000" w:fill="FFFFFF"/>
            <w:noWrap/>
            <w:vAlign w:val="bottom"/>
            <w:hideMark/>
          </w:tcPr>
          <w:p w14:paraId="46BE3875" w14:textId="11CF6C9E"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13,094</w:t>
            </w:r>
          </w:p>
        </w:tc>
      </w:tr>
      <w:tr w:rsidR="004942EB" w:rsidRPr="00C830C0" w14:paraId="2D475C8C" w14:textId="77777777" w:rsidTr="000A48AD">
        <w:trPr>
          <w:trHeight w:val="288"/>
        </w:trPr>
        <w:tc>
          <w:tcPr>
            <w:tcW w:w="4860" w:type="dxa"/>
            <w:tcBorders>
              <w:top w:val="nil"/>
              <w:left w:val="nil"/>
              <w:bottom w:val="nil"/>
              <w:right w:val="nil"/>
            </w:tcBorders>
            <w:shd w:val="clear" w:color="000000" w:fill="FFFFFF"/>
            <w:noWrap/>
            <w:vAlign w:val="bottom"/>
            <w:hideMark/>
          </w:tcPr>
          <w:p w14:paraId="39C93A7F" w14:textId="77777777" w:rsidR="004942EB" w:rsidRPr="00A93FB3" w:rsidRDefault="004942EB" w:rsidP="004942EB">
            <w:pPr>
              <w:rPr>
                <w:rFonts w:ascii="Calibri" w:eastAsia="Times New Roman" w:hAnsi="Calibri" w:cs="Calibri"/>
              </w:rPr>
            </w:pPr>
            <w:r w:rsidRPr="00A93FB3">
              <w:rPr>
                <w:rFonts w:ascii="Calibri" w:eastAsia="Times New Roman" w:hAnsi="Calibri" w:cs="Calibri"/>
              </w:rPr>
              <w:t>Deferred inflows of resources</w:t>
            </w:r>
          </w:p>
        </w:tc>
        <w:tc>
          <w:tcPr>
            <w:tcW w:w="1260" w:type="dxa"/>
            <w:tcBorders>
              <w:top w:val="nil"/>
              <w:left w:val="nil"/>
              <w:bottom w:val="nil"/>
              <w:right w:val="nil"/>
            </w:tcBorders>
            <w:shd w:val="clear" w:color="000000" w:fill="FFFFFF"/>
            <w:noWrap/>
            <w:vAlign w:val="bottom"/>
            <w:hideMark/>
          </w:tcPr>
          <w:p w14:paraId="77D5E7C2" w14:textId="0D851224"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 </w:t>
            </w:r>
          </w:p>
        </w:tc>
        <w:tc>
          <w:tcPr>
            <w:tcW w:w="1080" w:type="dxa"/>
            <w:tcBorders>
              <w:top w:val="nil"/>
              <w:left w:val="nil"/>
              <w:bottom w:val="nil"/>
              <w:right w:val="nil"/>
            </w:tcBorders>
            <w:shd w:val="clear" w:color="000000" w:fill="FFFFFF"/>
            <w:noWrap/>
            <w:vAlign w:val="bottom"/>
            <w:hideMark/>
          </w:tcPr>
          <w:p w14:paraId="64290492" w14:textId="4FE57328"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 </w:t>
            </w:r>
          </w:p>
        </w:tc>
        <w:tc>
          <w:tcPr>
            <w:tcW w:w="990" w:type="dxa"/>
            <w:tcBorders>
              <w:top w:val="nil"/>
              <w:left w:val="nil"/>
              <w:bottom w:val="nil"/>
              <w:right w:val="nil"/>
            </w:tcBorders>
            <w:shd w:val="clear" w:color="000000" w:fill="FFFFFF"/>
            <w:noWrap/>
            <w:vAlign w:val="bottom"/>
            <w:hideMark/>
          </w:tcPr>
          <w:p w14:paraId="14A14210" w14:textId="4E62CADC"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 </w:t>
            </w:r>
          </w:p>
        </w:tc>
        <w:tc>
          <w:tcPr>
            <w:tcW w:w="1170" w:type="dxa"/>
            <w:tcBorders>
              <w:top w:val="nil"/>
              <w:left w:val="nil"/>
              <w:bottom w:val="nil"/>
              <w:right w:val="nil"/>
            </w:tcBorders>
            <w:shd w:val="clear" w:color="000000" w:fill="FFFFFF"/>
            <w:noWrap/>
            <w:vAlign w:val="bottom"/>
            <w:hideMark/>
          </w:tcPr>
          <w:p w14:paraId="09701E4E" w14:textId="11908A36"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 </w:t>
            </w:r>
          </w:p>
        </w:tc>
      </w:tr>
      <w:tr w:rsidR="004942EB" w:rsidRPr="00C830C0" w14:paraId="4F15E42C" w14:textId="77777777" w:rsidTr="000A48AD">
        <w:trPr>
          <w:trHeight w:val="288"/>
        </w:trPr>
        <w:tc>
          <w:tcPr>
            <w:tcW w:w="4860" w:type="dxa"/>
            <w:tcBorders>
              <w:top w:val="nil"/>
              <w:left w:val="nil"/>
              <w:bottom w:val="nil"/>
              <w:right w:val="nil"/>
            </w:tcBorders>
            <w:shd w:val="clear" w:color="000000" w:fill="FFFFFF"/>
            <w:noWrap/>
            <w:vAlign w:val="bottom"/>
            <w:hideMark/>
          </w:tcPr>
          <w:p w14:paraId="25B621E8" w14:textId="77777777" w:rsidR="004942EB" w:rsidRPr="00A93FB3" w:rsidRDefault="004942EB" w:rsidP="004942EB">
            <w:pPr>
              <w:ind w:firstLineChars="100" w:firstLine="220"/>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573F79DA" w14:textId="5EC7CF08"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652</w:t>
            </w:r>
          </w:p>
        </w:tc>
        <w:tc>
          <w:tcPr>
            <w:tcW w:w="1080" w:type="dxa"/>
            <w:tcBorders>
              <w:top w:val="nil"/>
              <w:left w:val="nil"/>
              <w:bottom w:val="nil"/>
              <w:right w:val="nil"/>
            </w:tcBorders>
            <w:shd w:val="clear" w:color="000000" w:fill="FFFFFF"/>
            <w:noWrap/>
            <w:vAlign w:val="bottom"/>
            <w:hideMark/>
          </w:tcPr>
          <w:p w14:paraId="39327F5B" w14:textId="59ECD106"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c>
          <w:tcPr>
            <w:tcW w:w="990" w:type="dxa"/>
            <w:tcBorders>
              <w:top w:val="nil"/>
              <w:left w:val="nil"/>
              <w:bottom w:val="nil"/>
              <w:right w:val="nil"/>
            </w:tcBorders>
            <w:shd w:val="clear" w:color="000000" w:fill="FFFFFF"/>
            <w:noWrap/>
            <w:vAlign w:val="bottom"/>
            <w:hideMark/>
          </w:tcPr>
          <w:p w14:paraId="614C93C2" w14:textId="789C9E9E"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652</w:t>
            </w:r>
          </w:p>
        </w:tc>
        <w:tc>
          <w:tcPr>
            <w:tcW w:w="1170" w:type="dxa"/>
            <w:tcBorders>
              <w:top w:val="nil"/>
              <w:left w:val="nil"/>
              <w:bottom w:val="nil"/>
              <w:right w:val="nil"/>
            </w:tcBorders>
            <w:shd w:val="clear" w:color="000000" w:fill="FFFFFF"/>
            <w:noWrap/>
            <w:vAlign w:val="bottom"/>
            <w:hideMark/>
          </w:tcPr>
          <w:p w14:paraId="51CD612D" w14:textId="223F14BA" w:rsidR="004942EB" w:rsidRPr="0048737B" w:rsidRDefault="00F50CD4" w:rsidP="004942EB">
            <w:pPr>
              <w:jc w:val="right"/>
              <w:rPr>
                <w:rFonts w:ascii="Calibri" w:eastAsia="Times New Roman" w:hAnsi="Calibri" w:cs="Calibri"/>
                <w:color w:val="000000" w:themeColor="text1"/>
              </w:rPr>
            </w:pPr>
            <w:r>
              <w:rPr>
                <w:rFonts w:ascii="Calibri" w:hAnsi="Calibri" w:cs="Calibri"/>
                <w:color w:val="000000" w:themeColor="text1"/>
              </w:rPr>
              <w:t>12,868</w:t>
            </w:r>
          </w:p>
        </w:tc>
      </w:tr>
      <w:tr w:rsidR="004942EB" w:rsidRPr="00C830C0" w14:paraId="4C54D8B2" w14:textId="77777777" w:rsidTr="000A48AD">
        <w:trPr>
          <w:trHeight w:val="306"/>
        </w:trPr>
        <w:tc>
          <w:tcPr>
            <w:tcW w:w="4860" w:type="dxa"/>
            <w:tcBorders>
              <w:top w:val="nil"/>
              <w:left w:val="nil"/>
              <w:bottom w:val="nil"/>
              <w:right w:val="nil"/>
            </w:tcBorders>
            <w:shd w:val="clear" w:color="000000" w:fill="FFFFFF"/>
            <w:vAlign w:val="bottom"/>
            <w:hideMark/>
          </w:tcPr>
          <w:p w14:paraId="15DF4A3F" w14:textId="03801067" w:rsidR="004942EB" w:rsidRPr="00A93FB3" w:rsidRDefault="004942EB" w:rsidP="000A48AD">
            <w:pPr>
              <w:ind w:leftChars="100" w:left="251" w:hangingChars="14" w:hanging="31"/>
              <w:rPr>
                <w:rFonts w:ascii="Calibri" w:eastAsia="Times New Roman" w:hAnsi="Calibri" w:cs="Calibri"/>
              </w:rPr>
            </w:pPr>
            <w:r w:rsidRPr="00A93FB3">
              <w:rPr>
                <w:rFonts w:ascii="Calibri" w:eastAsia="Times New Roman" w:hAnsi="Calibri" w:cs="Calibri"/>
              </w:rPr>
              <w:t xml:space="preserve">Difference between expected and actual </w:t>
            </w:r>
            <w:r w:rsidR="00793F23">
              <w:rPr>
                <w:rFonts w:ascii="Calibri" w:eastAsia="Times New Roman" w:hAnsi="Calibri" w:cs="Calibri"/>
              </w:rPr>
              <w:t xml:space="preserve">   </w:t>
            </w:r>
            <w:r w:rsidRPr="00A93FB3">
              <w:rPr>
                <w:rFonts w:ascii="Calibri" w:eastAsia="Times New Roman" w:hAnsi="Calibri" w:cs="Calibri"/>
              </w:rPr>
              <w:t>experience</w:t>
            </w:r>
          </w:p>
        </w:tc>
        <w:tc>
          <w:tcPr>
            <w:tcW w:w="1260" w:type="dxa"/>
            <w:tcBorders>
              <w:top w:val="nil"/>
              <w:left w:val="nil"/>
              <w:bottom w:val="nil"/>
              <w:right w:val="nil"/>
            </w:tcBorders>
            <w:shd w:val="clear" w:color="000000" w:fill="FFFFFF"/>
            <w:noWrap/>
            <w:vAlign w:val="bottom"/>
            <w:hideMark/>
          </w:tcPr>
          <w:p w14:paraId="323019B2" w14:textId="5DC6933F"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239</w:t>
            </w:r>
          </w:p>
        </w:tc>
        <w:tc>
          <w:tcPr>
            <w:tcW w:w="1080" w:type="dxa"/>
            <w:tcBorders>
              <w:top w:val="nil"/>
              <w:left w:val="nil"/>
              <w:bottom w:val="nil"/>
              <w:right w:val="nil"/>
            </w:tcBorders>
            <w:shd w:val="clear" w:color="000000" w:fill="FFFFFF"/>
            <w:noWrap/>
            <w:vAlign w:val="bottom"/>
            <w:hideMark/>
          </w:tcPr>
          <w:p w14:paraId="7A568E16" w14:textId="4E9296A6"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c>
          <w:tcPr>
            <w:tcW w:w="990" w:type="dxa"/>
            <w:tcBorders>
              <w:top w:val="nil"/>
              <w:left w:val="nil"/>
              <w:bottom w:val="nil"/>
              <w:right w:val="nil"/>
            </w:tcBorders>
            <w:shd w:val="clear" w:color="000000" w:fill="FFFFFF"/>
            <w:noWrap/>
            <w:vAlign w:val="bottom"/>
            <w:hideMark/>
          </w:tcPr>
          <w:p w14:paraId="6595ECAF" w14:textId="3EF4DB7D"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239</w:t>
            </w:r>
          </w:p>
        </w:tc>
        <w:tc>
          <w:tcPr>
            <w:tcW w:w="1170" w:type="dxa"/>
            <w:tcBorders>
              <w:top w:val="nil"/>
              <w:left w:val="nil"/>
              <w:bottom w:val="nil"/>
              <w:right w:val="nil"/>
            </w:tcBorders>
            <w:shd w:val="clear" w:color="000000" w:fill="FFFFFF"/>
            <w:noWrap/>
            <w:vAlign w:val="bottom"/>
            <w:hideMark/>
          </w:tcPr>
          <w:p w14:paraId="43A5D7CE" w14:textId="0467858D" w:rsidR="004942EB" w:rsidRPr="0048737B" w:rsidRDefault="00F50CD4" w:rsidP="004942EB">
            <w:pPr>
              <w:jc w:val="right"/>
              <w:rPr>
                <w:rFonts w:ascii="Calibri" w:eastAsia="Times New Roman" w:hAnsi="Calibri" w:cs="Calibri"/>
                <w:color w:val="000000" w:themeColor="text1"/>
              </w:rPr>
            </w:pPr>
            <w:r>
              <w:rPr>
                <w:rFonts w:ascii="Calibri" w:hAnsi="Calibri" w:cs="Calibri"/>
                <w:color w:val="000000" w:themeColor="text1"/>
              </w:rPr>
              <w:t>35,857</w:t>
            </w:r>
          </w:p>
        </w:tc>
      </w:tr>
      <w:tr w:rsidR="004942EB" w:rsidRPr="00C830C0" w14:paraId="17678E7E" w14:textId="77777777" w:rsidTr="000A48AD">
        <w:trPr>
          <w:trHeight w:val="288"/>
        </w:trPr>
        <w:tc>
          <w:tcPr>
            <w:tcW w:w="4860" w:type="dxa"/>
            <w:tcBorders>
              <w:top w:val="single" w:sz="4" w:space="0" w:color="00688D"/>
              <w:left w:val="nil"/>
              <w:bottom w:val="single" w:sz="4" w:space="0" w:color="00688D"/>
              <w:right w:val="nil"/>
            </w:tcBorders>
            <w:shd w:val="clear" w:color="000000" w:fill="FFFFFF"/>
            <w:noWrap/>
            <w:vAlign w:val="bottom"/>
            <w:hideMark/>
          </w:tcPr>
          <w:p w14:paraId="6E09FCDA" w14:textId="77777777" w:rsidR="004942EB" w:rsidRPr="00A93FB3" w:rsidRDefault="004942EB" w:rsidP="004942EB">
            <w:pPr>
              <w:ind w:firstLineChars="200" w:firstLine="440"/>
              <w:rPr>
                <w:rFonts w:ascii="Calibri" w:eastAsia="Times New Roman" w:hAnsi="Calibri" w:cs="Calibri"/>
              </w:rPr>
            </w:pPr>
            <w:r w:rsidRPr="00A93FB3">
              <w:rPr>
                <w:rFonts w:ascii="Calibri" w:eastAsia="Times New Roman" w:hAnsi="Calibri" w:cs="Calibri"/>
              </w:rPr>
              <w:t>Total deferred inflows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10362F62" w14:textId="257A0B50" w:rsidR="004942EB" w:rsidRPr="0048737B" w:rsidRDefault="00374360" w:rsidP="004942EB">
            <w:pPr>
              <w:jc w:val="right"/>
              <w:rPr>
                <w:rFonts w:ascii="Calibri" w:eastAsia="Times New Roman" w:hAnsi="Calibri" w:cs="Calibri"/>
                <w:color w:val="000000" w:themeColor="text1"/>
              </w:rPr>
            </w:pPr>
            <w:r>
              <w:rPr>
                <w:rFonts w:ascii="Calibri" w:hAnsi="Calibri" w:cs="Calibri"/>
                <w:color w:val="000000" w:themeColor="text1"/>
              </w:rPr>
              <w:t>891</w:t>
            </w:r>
          </w:p>
        </w:tc>
        <w:tc>
          <w:tcPr>
            <w:tcW w:w="1080" w:type="dxa"/>
            <w:tcBorders>
              <w:top w:val="single" w:sz="4" w:space="0" w:color="00688D"/>
              <w:left w:val="nil"/>
              <w:bottom w:val="single" w:sz="4" w:space="0" w:color="00688D"/>
              <w:right w:val="nil"/>
            </w:tcBorders>
            <w:shd w:val="clear" w:color="000000" w:fill="FFFFFF"/>
            <w:noWrap/>
            <w:vAlign w:val="bottom"/>
            <w:hideMark/>
          </w:tcPr>
          <w:p w14:paraId="09C48391" w14:textId="1DFDAE79" w:rsidR="004942EB" w:rsidRPr="0048737B" w:rsidRDefault="004942EB" w:rsidP="004942EB">
            <w:pPr>
              <w:jc w:val="right"/>
              <w:rPr>
                <w:rFonts w:ascii="Calibri" w:eastAsia="Times New Roman" w:hAnsi="Calibri" w:cs="Calibri"/>
                <w:color w:val="000000" w:themeColor="text1"/>
              </w:rPr>
            </w:pPr>
            <w:r w:rsidRPr="0048737B">
              <w:rPr>
                <w:rFonts w:ascii="Calibri" w:hAnsi="Calibri" w:cs="Calibri"/>
                <w:color w:val="000000" w:themeColor="text1"/>
              </w:rPr>
              <w:t>-</w:t>
            </w:r>
          </w:p>
        </w:tc>
        <w:tc>
          <w:tcPr>
            <w:tcW w:w="990" w:type="dxa"/>
            <w:tcBorders>
              <w:top w:val="single" w:sz="4" w:space="0" w:color="00688D"/>
              <w:left w:val="nil"/>
              <w:bottom w:val="single" w:sz="4" w:space="0" w:color="00688D"/>
              <w:right w:val="nil"/>
            </w:tcBorders>
            <w:shd w:val="clear" w:color="000000" w:fill="FFFFFF"/>
            <w:noWrap/>
            <w:vAlign w:val="bottom"/>
            <w:hideMark/>
          </w:tcPr>
          <w:p w14:paraId="52F817A8" w14:textId="7ACDD48A" w:rsidR="004942EB" w:rsidRPr="0048737B" w:rsidRDefault="00374360" w:rsidP="004942EB">
            <w:pPr>
              <w:jc w:val="right"/>
              <w:rPr>
                <w:rFonts w:ascii="Calibri" w:eastAsia="Times New Roman" w:hAnsi="Calibri" w:cs="Calibri"/>
                <w:color w:val="000000" w:themeColor="text1"/>
              </w:rPr>
            </w:pPr>
            <w:r>
              <w:rPr>
                <w:rFonts w:ascii="Calibri" w:hAnsi="Calibri" w:cs="Calibri"/>
                <w:color w:val="000000" w:themeColor="text1"/>
              </w:rPr>
              <w:t>891</w:t>
            </w:r>
          </w:p>
        </w:tc>
        <w:tc>
          <w:tcPr>
            <w:tcW w:w="1170" w:type="dxa"/>
            <w:tcBorders>
              <w:top w:val="single" w:sz="4" w:space="0" w:color="00688D"/>
              <w:left w:val="nil"/>
              <w:bottom w:val="single" w:sz="4" w:space="0" w:color="00688D"/>
              <w:right w:val="nil"/>
            </w:tcBorders>
            <w:shd w:val="clear" w:color="000000" w:fill="FFFFFF"/>
            <w:noWrap/>
            <w:vAlign w:val="bottom"/>
            <w:hideMark/>
          </w:tcPr>
          <w:p w14:paraId="12B07AE6" w14:textId="69FBE920" w:rsidR="004942EB" w:rsidRPr="0048737B" w:rsidRDefault="00F50CD4" w:rsidP="004942EB">
            <w:pPr>
              <w:jc w:val="right"/>
              <w:rPr>
                <w:rFonts w:ascii="Calibri" w:eastAsia="Times New Roman" w:hAnsi="Calibri" w:cs="Calibri"/>
                <w:color w:val="000000" w:themeColor="text1"/>
              </w:rPr>
            </w:pPr>
            <w:r>
              <w:rPr>
                <w:rFonts w:ascii="Calibri" w:hAnsi="Calibri" w:cs="Calibri"/>
                <w:color w:val="000000" w:themeColor="text1"/>
              </w:rPr>
              <w:t>48,725</w:t>
            </w:r>
          </w:p>
        </w:tc>
      </w:tr>
      <w:tr w:rsidR="004942EB" w:rsidRPr="00C830C0" w14:paraId="5A6EAC4F" w14:textId="77777777" w:rsidTr="000A48AD">
        <w:trPr>
          <w:trHeight w:val="395"/>
        </w:trPr>
        <w:tc>
          <w:tcPr>
            <w:tcW w:w="4860" w:type="dxa"/>
            <w:tcBorders>
              <w:top w:val="nil"/>
              <w:left w:val="nil"/>
              <w:bottom w:val="double" w:sz="6" w:space="0" w:color="00688D"/>
              <w:right w:val="nil"/>
            </w:tcBorders>
            <w:shd w:val="clear" w:color="000000" w:fill="FFFFFF"/>
            <w:noWrap/>
            <w:vAlign w:val="bottom"/>
            <w:hideMark/>
          </w:tcPr>
          <w:p w14:paraId="7AD22F71" w14:textId="77777777" w:rsidR="004942EB" w:rsidRPr="00A93FB3" w:rsidRDefault="004942EB" w:rsidP="004942EB">
            <w:pPr>
              <w:rPr>
                <w:rFonts w:ascii="Calibri" w:eastAsia="Times New Roman" w:hAnsi="Calibri" w:cs="Calibri"/>
              </w:rPr>
            </w:pPr>
            <w:r w:rsidRPr="00A93FB3">
              <w:rPr>
                <w:rFonts w:ascii="Calibri" w:eastAsia="Times New Roman" w:hAnsi="Calibri" w:cs="Calibri"/>
              </w:rPr>
              <w:t>Net deferred outflows (inflows)</w:t>
            </w:r>
          </w:p>
        </w:tc>
        <w:tc>
          <w:tcPr>
            <w:tcW w:w="1260" w:type="dxa"/>
            <w:tcBorders>
              <w:top w:val="nil"/>
              <w:left w:val="nil"/>
              <w:bottom w:val="double" w:sz="6" w:space="0" w:color="00688D"/>
              <w:right w:val="nil"/>
            </w:tcBorders>
            <w:shd w:val="clear" w:color="000000" w:fill="FFFFFF"/>
            <w:noWrap/>
            <w:vAlign w:val="bottom"/>
            <w:hideMark/>
          </w:tcPr>
          <w:p w14:paraId="6C7300AD" w14:textId="76194DDC" w:rsidR="004942EB" w:rsidRPr="0048737B" w:rsidRDefault="00374360" w:rsidP="00F52338">
            <w:pPr>
              <w:jc w:val="right"/>
              <w:rPr>
                <w:rFonts w:ascii="Calibri" w:eastAsia="Times New Roman" w:hAnsi="Calibri" w:cs="Calibri"/>
                <w:color w:val="000000" w:themeColor="text1"/>
              </w:rPr>
            </w:pPr>
            <w:r>
              <w:rPr>
                <w:rFonts w:ascii="Calibri" w:hAnsi="Calibri" w:cs="Calibri"/>
                <w:color w:val="000000" w:themeColor="text1"/>
              </w:rPr>
              <w:t>$   320</w:t>
            </w:r>
          </w:p>
        </w:tc>
        <w:tc>
          <w:tcPr>
            <w:tcW w:w="1080" w:type="dxa"/>
            <w:tcBorders>
              <w:top w:val="nil"/>
              <w:left w:val="nil"/>
              <w:bottom w:val="double" w:sz="6" w:space="0" w:color="00688D"/>
              <w:right w:val="nil"/>
            </w:tcBorders>
            <w:shd w:val="clear" w:color="000000" w:fill="FFFFFF"/>
            <w:noWrap/>
            <w:vAlign w:val="bottom"/>
            <w:hideMark/>
          </w:tcPr>
          <w:p w14:paraId="12EDEC27" w14:textId="27311A92" w:rsidR="004942EB" w:rsidRPr="0048737B" w:rsidRDefault="00374360" w:rsidP="0048737B">
            <w:pPr>
              <w:jc w:val="right"/>
              <w:rPr>
                <w:rFonts w:ascii="Calibri" w:eastAsia="Times New Roman" w:hAnsi="Calibri" w:cs="Calibri"/>
                <w:color w:val="000000" w:themeColor="text1"/>
              </w:rPr>
            </w:pPr>
            <w:r>
              <w:rPr>
                <w:rFonts w:ascii="Calibri" w:hAnsi="Calibri" w:cs="Calibri"/>
                <w:color w:val="000000" w:themeColor="text1"/>
              </w:rPr>
              <w:t>$  1,118</w:t>
            </w:r>
          </w:p>
        </w:tc>
        <w:tc>
          <w:tcPr>
            <w:tcW w:w="990" w:type="dxa"/>
            <w:tcBorders>
              <w:top w:val="nil"/>
              <w:left w:val="nil"/>
              <w:bottom w:val="double" w:sz="6" w:space="0" w:color="00688D"/>
              <w:right w:val="nil"/>
            </w:tcBorders>
            <w:shd w:val="clear" w:color="000000" w:fill="FFFFFF"/>
            <w:noWrap/>
            <w:vAlign w:val="bottom"/>
            <w:hideMark/>
          </w:tcPr>
          <w:p w14:paraId="4C895F05" w14:textId="456B5CBE" w:rsidR="004942EB" w:rsidRPr="0048737B" w:rsidRDefault="00374360" w:rsidP="004942EB">
            <w:pPr>
              <w:jc w:val="right"/>
              <w:rPr>
                <w:rFonts w:ascii="Calibri" w:eastAsia="Times New Roman" w:hAnsi="Calibri" w:cs="Calibri"/>
                <w:color w:val="000000" w:themeColor="text1"/>
              </w:rPr>
            </w:pPr>
            <w:r>
              <w:rPr>
                <w:rFonts w:ascii="Calibri" w:hAnsi="Calibri" w:cs="Calibri"/>
                <w:color w:val="000000" w:themeColor="text1"/>
              </w:rPr>
              <w:t>$ 1,438</w:t>
            </w:r>
          </w:p>
        </w:tc>
        <w:tc>
          <w:tcPr>
            <w:tcW w:w="1170" w:type="dxa"/>
            <w:tcBorders>
              <w:top w:val="nil"/>
              <w:left w:val="nil"/>
              <w:bottom w:val="double" w:sz="6" w:space="0" w:color="00688D"/>
              <w:right w:val="nil"/>
            </w:tcBorders>
            <w:shd w:val="clear" w:color="000000" w:fill="FFFFFF"/>
            <w:noWrap/>
            <w:vAlign w:val="bottom"/>
            <w:hideMark/>
          </w:tcPr>
          <w:p w14:paraId="4D0F2E43" w14:textId="0FB4FADA" w:rsidR="004942EB" w:rsidRPr="00937F18" w:rsidRDefault="00374360" w:rsidP="004942EB">
            <w:pPr>
              <w:jc w:val="right"/>
              <w:rPr>
                <w:rFonts w:ascii="Calibri" w:eastAsia="Times New Roman" w:hAnsi="Calibri" w:cs="Calibri"/>
                <w:color w:val="000000" w:themeColor="text1"/>
              </w:rPr>
            </w:pPr>
            <w:r>
              <w:rPr>
                <w:rFonts w:ascii="Calibri" w:hAnsi="Calibri" w:cs="Calibri"/>
                <w:color w:val="000000" w:themeColor="text1"/>
              </w:rPr>
              <w:t>$ (</w:t>
            </w:r>
            <w:r w:rsidR="00F50CD4">
              <w:rPr>
                <w:rFonts w:ascii="Calibri" w:hAnsi="Calibri" w:cs="Calibri"/>
                <w:color w:val="000000" w:themeColor="text1"/>
              </w:rPr>
              <w:t>35,631</w:t>
            </w:r>
            <w:r>
              <w:rPr>
                <w:rFonts w:ascii="Calibri" w:hAnsi="Calibri" w:cs="Calibri"/>
                <w:color w:val="000000" w:themeColor="text1"/>
              </w:rPr>
              <w:t>)</w:t>
            </w:r>
          </w:p>
        </w:tc>
      </w:tr>
    </w:tbl>
    <w:p w14:paraId="62D54916" w14:textId="77777777" w:rsidR="00DD1612" w:rsidRDefault="00DD1612" w:rsidP="00DD1612">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2B61AA88" w14:textId="77777777" w:rsidR="00DD1612" w:rsidRDefault="00DD1612" w:rsidP="00DD1612">
      <w:pPr>
        <w:spacing w:after="240" w:line="259" w:lineRule="auto"/>
        <w:rPr>
          <w:rFonts w:eastAsiaTheme="majorEastAsia" w:cstheme="minorHAnsi"/>
          <w:b/>
          <w:i/>
          <w:iCs/>
          <w:smallCaps/>
          <w:noProof/>
          <w:color w:val="000000" w:themeColor="text1"/>
          <w:sz w:val="26"/>
          <w:szCs w:val="26"/>
          <w:u w:color="5B9BD5"/>
        </w:rPr>
      </w:pPr>
      <w:r w:rsidRPr="00F54559">
        <w:rPr>
          <w:rFonts w:eastAsiaTheme="majorEastAsia" w:cstheme="minorHAnsi"/>
          <w:b/>
          <w:i/>
          <w:iCs/>
          <w:smallCaps/>
          <w:noProof/>
          <w:color w:val="000000" w:themeColor="text1"/>
          <w:sz w:val="26"/>
          <w:szCs w:val="26"/>
          <w:u w:color="5B9BD5"/>
        </w:rPr>
        <w:lastRenderedPageBreak/>
        <w:t xml:space="preserve">15. DEFERRED OUTFLOWS OF RESOURCES AND DEFERRED INFLOWS OF RESOURCES </w:t>
      </w:r>
      <w:r>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CONTINUED</w:t>
      </w:r>
    </w:p>
    <w:p w14:paraId="7D6B5A23" w14:textId="2E908BDA" w:rsidR="003977A2" w:rsidRPr="00A93FB3" w:rsidRDefault="00DD1612" w:rsidP="00DD1612">
      <w:pPr>
        <w:tabs>
          <w:tab w:val="left" w:pos="900"/>
        </w:tabs>
        <w:spacing w:after="240"/>
        <w:ind w:right="-7"/>
        <w:rPr>
          <w:rFonts w:cstheme="minorHAnsi"/>
          <w:sz w:val="16"/>
          <w:u w:val="single"/>
        </w:rPr>
      </w:pPr>
      <w:r w:rsidRPr="00F54559">
        <w:rPr>
          <w:rFonts w:cstheme="minorHAnsi"/>
          <w:sz w:val="24"/>
        </w:rPr>
        <w:t>Deferred outflows of resources and deferred inflows of resources for pensions and OPEB were related to the following sources for the year ended June 30</w:t>
      </w:r>
      <w:r w:rsidR="00714D11">
        <w:rPr>
          <w:rFonts w:cstheme="minorHAnsi"/>
          <w:sz w:val="24"/>
        </w:rPr>
        <w:t>.</w:t>
      </w:r>
    </w:p>
    <w:p w14:paraId="6574478C" w14:textId="5B1C9C13" w:rsidR="00DD1612" w:rsidRDefault="00FD1D0F" w:rsidP="00DD1612">
      <w:pPr>
        <w:tabs>
          <w:tab w:val="left" w:pos="900"/>
        </w:tabs>
        <w:spacing w:before="240"/>
        <w:ind w:right="-7"/>
        <w:jc w:val="center"/>
        <w:rPr>
          <w:rFonts w:ascii="Calibri" w:eastAsia="Times New Roman" w:hAnsi="Calibri" w:cs="Calibri"/>
          <w:b/>
          <w:bCs/>
        </w:rPr>
      </w:pPr>
      <w:r>
        <w:rPr>
          <w:rFonts w:ascii="Calibri" w:eastAsia="Times New Roman" w:hAnsi="Calibri" w:cs="Calibri"/>
          <w:b/>
          <w:bCs/>
        </w:rPr>
        <w:t>2</w:t>
      </w:r>
      <w:r w:rsidRPr="00A93FB3">
        <w:rPr>
          <w:rFonts w:ascii="Calibri" w:eastAsia="Times New Roman" w:hAnsi="Calibri" w:cs="Calibri"/>
          <w:b/>
          <w:bCs/>
        </w:rPr>
        <w:t>02</w:t>
      </w:r>
      <w:r>
        <w:rPr>
          <w:rFonts w:ascii="Calibri" w:eastAsia="Times New Roman" w:hAnsi="Calibri" w:cs="Calibri"/>
          <w:b/>
          <w:bCs/>
        </w:rPr>
        <w:t>2</w:t>
      </w:r>
    </w:p>
    <w:tbl>
      <w:tblPr>
        <w:tblW w:w="10109" w:type="dxa"/>
        <w:tblLook w:val="04A0" w:firstRow="1" w:lastRow="0" w:firstColumn="1" w:lastColumn="0" w:noHBand="0" w:noVBand="1"/>
      </w:tblPr>
      <w:tblGrid>
        <w:gridCol w:w="5663"/>
        <w:gridCol w:w="1361"/>
        <w:gridCol w:w="1015"/>
        <w:gridCol w:w="1021"/>
        <w:gridCol w:w="1049"/>
      </w:tblGrid>
      <w:tr w:rsidR="003977A2" w:rsidRPr="00C830C0" w14:paraId="73201DB7" w14:textId="77777777" w:rsidTr="003977A2">
        <w:trPr>
          <w:trHeight w:val="888"/>
          <w:tblHeader/>
        </w:trPr>
        <w:tc>
          <w:tcPr>
            <w:tcW w:w="5244" w:type="dxa"/>
            <w:tcBorders>
              <w:top w:val="single" w:sz="12" w:space="0" w:color="00688D"/>
              <w:left w:val="nil"/>
              <w:bottom w:val="single" w:sz="8" w:space="0" w:color="00688D"/>
              <w:right w:val="nil"/>
            </w:tcBorders>
            <w:shd w:val="clear" w:color="000000" w:fill="FFFFFF"/>
            <w:noWrap/>
            <w:vAlign w:val="bottom"/>
            <w:hideMark/>
          </w:tcPr>
          <w:p w14:paraId="18C0F812" w14:textId="77777777" w:rsidR="003977A2" w:rsidRPr="00202648" w:rsidRDefault="003977A2" w:rsidP="00A13D2A">
            <w:pPr>
              <w:jc w:val="center"/>
              <w:rPr>
                <w:rFonts w:ascii="Calibri" w:eastAsia="Times New Roman" w:hAnsi="Calibri" w:cs="Calibri"/>
                <w:b/>
                <w:bCs/>
                <w:color w:val="FF0000"/>
              </w:rPr>
            </w:pPr>
            <w:r w:rsidRPr="00753E47">
              <w:rPr>
                <w:rFonts w:ascii="Calibri" w:eastAsia="Times New Roman" w:hAnsi="Calibri" w:cs="Calibri"/>
                <w:b/>
                <w:bCs/>
              </w:rPr>
              <w:t> </w:t>
            </w:r>
          </w:p>
        </w:tc>
        <w:tc>
          <w:tcPr>
            <w:tcW w:w="1260" w:type="dxa"/>
            <w:tcBorders>
              <w:top w:val="single" w:sz="12" w:space="0" w:color="00688D"/>
              <w:left w:val="nil"/>
              <w:bottom w:val="single" w:sz="8" w:space="0" w:color="00688D"/>
              <w:right w:val="nil"/>
            </w:tcBorders>
            <w:shd w:val="clear" w:color="000000" w:fill="FFFFFF"/>
            <w:vAlign w:val="bottom"/>
            <w:hideMark/>
          </w:tcPr>
          <w:p w14:paraId="3DF9874E" w14:textId="77777777" w:rsidR="003977A2" w:rsidRPr="00A93FB3" w:rsidRDefault="003977A2" w:rsidP="00A13D2A">
            <w:pPr>
              <w:jc w:val="center"/>
              <w:rPr>
                <w:rFonts w:ascii="Calibri" w:eastAsia="Times New Roman" w:hAnsi="Calibri" w:cs="Calibri"/>
                <w:bCs/>
              </w:rPr>
            </w:pPr>
            <w:r w:rsidRPr="009D2325">
              <w:rPr>
                <w:rFonts w:ascii="Calibri" w:eastAsia="Times New Roman" w:hAnsi="Calibri" w:cs="Calibri"/>
                <w:bCs/>
              </w:rPr>
              <w:t>Incentive Retirement Plan</w:t>
            </w:r>
            <w:r>
              <w:rPr>
                <w:rFonts w:ascii="Calibri" w:eastAsia="Times New Roman" w:hAnsi="Calibri" w:cs="Calibri"/>
                <w:bCs/>
              </w:rPr>
              <w:t xml:space="preserve"> </w:t>
            </w:r>
          </w:p>
        </w:tc>
        <w:tc>
          <w:tcPr>
            <w:tcW w:w="940" w:type="dxa"/>
            <w:tcBorders>
              <w:top w:val="single" w:sz="12" w:space="0" w:color="00688D"/>
              <w:left w:val="nil"/>
              <w:bottom w:val="single" w:sz="8" w:space="0" w:color="00688D"/>
              <w:right w:val="nil"/>
            </w:tcBorders>
            <w:shd w:val="clear" w:color="000000" w:fill="FFFFFF"/>
            <w:vAlign w:val="bottom"/>
            <w:hideMark/>
          </w:tcPr>
          <w:p w14:paraId="28C8A117" w14:textId="77777777" w:rsidR="003977A2" w:rsidRPr="00A93FB3" w:rsidRDefault="003977A2" w:rsidP="00A13D2A">
            <w:pPr>
              <w:jc w:val="center"/>
              <w:rPr>
                <w:rFonts w:ascii="Calibri" w:eastAsia="Times New Roman" w:hAnsi="Calibri" w:cs="Calibri"/>
                <w:bCs/>
              </w:rPr>
            </w:pPr>
            <w:r w:rsidRPr="00A93FB3">
              <w:rPr>
                <w:rFonts w:ascii="Calibri" w:eastAsia="Times New Roman" w:hAnsi="Calibri" w:cs="Calibri"/>
                <w:bCs/>
              </w:rPr>
              <w:t>Defined Benefit Plan</w:t>
            </w:r>
          </w:p>
        </w:tc>
        <w:tc>
          <w:tcPr>
            <w:tcW w:w="945" w:type="dxa"/>
            <w:tcBorders>
              <w:top w:val="single" w:sz="12" w:space="0" w:color="00688D"/>
              <w:left w:val="nil"/>
              <w:bottom w:val="single" w:sz="8" w:space="0" w:color="00688D"/>
              <w:right w:val="nil"/>
            </w:tcBorders>
            <w:shd w:val="clear" w:color="000000" w:fill="FFFFFF"/>
            <w:vAlign w:val="bottom"/>
            <w:hideMark/>
          </w:tcPr>
          <w:p w14:paraId="33D8BC75" w14:textId="77777777" w:rsidR="003977A2" w:rsidRPr="00A93FB3" w:rsidRDefault="003977A2" w:rsidP="00A13D2A">
            <w:pPr>
              <w:jc w:val="center"/>
              <w:rPr>
                <w:rFonts w:ascii="Calibri" w:eastAsia="Times New Roman" w:hAnsi="Calibri" w:cs="Calibri"/>
                <w:bCs/>
              </w:rPr>
            </w:pPr>
            <w:r w:rsidRPr="00A93FB3">
              <w:rPr>
                <w:rFonts w:ascii="Calibri" w:eastAsia="Times New Roman" w:hAnsi="Calibri" w:cs="Calibri"/>
                <w:bCs/>
              </w:rPr>
              <w:t xml:space="preserve">Total Pension </w:t>
            </w:r>
          </w:p>
        </w:tc>
        <w:tc>
          <w:tcPr>
            <w:tcW w:w="971" w:type="dxa"/>
            <w:tcBorders>
              <w:top w:val="single" w:sz="12" w:space="0" w:color="00688D"/>
              <w:left w:val="nil"/>
              <w:bottom w:val="single" w:sz="8" w:space="0" w:color="00688D"/>
              <w:right w:val="nil"/>
            </w:tcBorders>
            <w:shd w:val="clear" w:color="000000" w:fill="FFFFFF"/>
            <w:vAlign w:val="bottom"/>
            <w:hideMark/>
          </w:tcPr>
          <w:p w14:paraId="1CC2AAD3" w14:textId="77777777" w:rsidR="003977A2" w:rsidRPr="00A93FB3" w:rsidRDefault="003977A2" w:rsidP="00A13D2A">
            <w:pPr>
              <w:jc w:val="center"/>
              <w:rPr>
                <w:rFonts w:ascii="Calibri" w:eastAsia="Times New Roman" w:hAnsi="Calibri" w:cs="Calibri"/>
                <w:bCs/>
              </w:rPr>
            </w:pPr>
            <w:r w:rsidRPr="00A93FB3">
              <w:rPr>
                <w:rFonts w:ascii="Calibri" w:eastAsia="Times New Roman" w:hAnsi="Calibri" w:cs="Calibri"/>
                <w:bCs/>
              </w:rPr>
              <w:t xml:space="preserve">OPEB </w:t>
            </w:r>
          </w:p>
        </w:tc>
      </w:tr>
      <w:tr w:rsidR="003977A2" w:rsidRPr="00C830C0" w14:paraId="531971D9" w14:textId="77777777" w:rsidTr="003977A2">
        <w:trPr>
          <w:trHeight w:val="288"/>
        </w:trPr>
        <w:tc>
          <w:tcPr>
            <w:tcW w:w="5244" w:type="dxa"/>
            <w:tcBorders>
              <w:top w:val="nil"/>
              <w:left w:val="nil"/>
              <w:bottom w:val="nil"/>
              <w:right w:val="nil"/>
            </w:tcBorders>
            <w:shd w:val="clear" w:color="000000" w:fill="FFFFFF"/>
            <w:noWrap/>
            <w:vAlign w:val="bottom"/>
            <w:hideMark/>
          </w:tcPr>
          <w:p w14:paraId="3220F71C"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Deferred outflows of resources</w:t>
            </w:r>
          </w:p>
        </w:tc>
        <w:tc>
          <w:tcPr>
            <w:tcW w:w="1260" w:type="dxa"/>
            <w:tcBorders>
              <w:top w:val="nil"/>
              <w:left w:val="nil"/>
              <w:bottom w:val="nil"/>
              <w:right w:val="nil"/>
            </w:tcBorders>
            <w:shd w:val="clear" w:color="000000" w:fill="FFFFFF"/>
            <w:noWrap/>
            <w:vAlign w:val="bottom"/>
            <w:hideMark/>
          </w:tcPr>
          <w:p w14:paraId="35B4A9F1"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 </w:t>
            </w:r>
          </w:p>
        </w:tc>
        <w:tc>
          <w:tcPr>
            <w:tcW w:w="940" w:type="dxa"/>
            <w:tcBorders>
              <w:top w:val="nil"/>
              <w:left w:val="nil"/>
              <w:bottom w:val="nil"/>
              <w:right w:val="nil"/>
            </w:tcBorders>
            <w:shd w:val="clear" w:color="000000" w:fill="FFFFFF"/>
            <w:noWrap/>
            <w:vAlign w:val="bottom"/>
            <w:hideMark/>
          </w:tcPr>
          <w:p w14:paraId="6EE841F0"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5F3687A7"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 </w:t>
            </w:r>
          </w:p>
        </w:tc>
        <w:tc>
          <w:tcPr>
            <w:tcW w:w="971" w:type="dxa"/>
            <w:tcBorders>
              <w:top w:val="nil"/>
              <w:left w:val="nil"/>
              <w:bottom w:val="nil"/>
              <w:right w:val="nil"/>
            </w:tcBorders>
            <w:shd w:val="clear" w:color="000000" w:fill="FFFFFF"/>
            <w:noWrap/>
            <w:vAlign w:val="bottom"/>
            <w:hideMark/>
          </w:tcPr>
          <w:p w14:paraId="49FEE80F"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 </w:t>
            </w:r>
          </w:p>
        </w:tc>
      </w:tr>
      <w:tr w:rsidR="003977A2" w:rsidRPr="00C830C0" w14:paraId="2CB58A9C" w14:textId="77777777" w:rsidTr="003977A2">
        <w:trPr>
          <w:trHeight w:val="288"/>
        </w:trPr>
        <w:tc>
          <w:tcPr>
            <w:tcW w:w="5244" w:type="dxa"/>
            <w:tcBorders>
              <w:top w:val="nil"/>
              <w:left w:val="nil"/>
              <w:bottom w:val="nil"/>
              <w:right w:val="nil"/>
            </w:tcBorders>
            <w:shd w:val="clear" w:color="000000" w:fill="FFFFFF"/>
            <w:noWrap/>
            <w:vAlign w:val="bottom"/>
            <w:hideMark/>
          </w:tcPr>
          <w:p w14:paraId="123168FA" w14:textId="77777777" w:rsidR="003977A2" w:rsidRPr="00A93FB3" w:rsidRDefault="003977A2" w:rsidP="00A13D2A">
            <w:pPr>
              <w:ind w:leftChars="106" w:left="251" w:hangingChars="8" w:hanging="18"/>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0C94FBD1"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1,120</w:t>
            </w:r>
          </w:p>
        </w:tc>
        <w:tc>
          <w:tcPr>
            <w:tcW w:w="940" w:type="dxa"/>
            <w:tcBorders>
              <w:top w:val="nil"/>
              <w:left w:val="nil"/>
              <w:bottom w:val="nil"/>
              <w:right w:val="nil"/>
            </w:tcBorders>
            <w:shd w:val="clear" w:color="000000" w:fill="FFFFFF"/>
            <w:noWrap/>
            <w:vAlign w:val="bottom"/>
            <w:hideMark/>
          </w:tcPr>
          <w:p w14:paraId="4A8D2EDB"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254B6EA9"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1,120</w:t>
            </w:r>
          </w:p>
        </w:tc>
        <w:tc>
          <w:tcPr>
            <w:tcW w:w="971" w:type="dxa"/>
            <w:tcBorders>
              <w:top w:val="nil"/>
              <w:left w:val="nil"/>
              <w:bottom w:val="nil"/>
              <w:right w:val="nil"/>
            </w:tcBorders>
            <w:shd w:val="clear" w:color="000000" w:fill="FFFFFF"/>
            <w:noWrap/>
            <w:vAlign w:val="bottom"/>
            <w:hideMark/>
          </w:tcPr>
          <w:p w14:paraId="59E120D6"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r>
              <w:rPr>
                <w:rFonts w:ascii="Calibri" w:eastAsia="Times New Roman" w:hAnsi="Calibri" w:cs="Calibri"/>
              </w:rPr>
              <w:t xml:space="preserve">  </w:t>
            </w:r>
            <w:r w:rsidRPr="00A93FB3">
              <w:rPr>
                <w:rFonts w:ascii="Calibri" w:eastAsia="Times New Roman" w:hAnsi="Calibri" w:cs="Calibri"/>
              </w:rPr>
              <w:t>8,290</w:t>
            </w:r>
          </w:p>
        </w:tc>
      </w:tr>
      <w:tr w:rsidR="003977A2" w:rsidRPr="00C830C0" w14:paraId="799861AD" w14:textId="77777777" w:rsidTr="003977A2">
        <w:trPr>
          <w:trHeight w:val="144"/>
        </w:trPr>
        <w:tc>
          <w:tcPr>
            <w:tcW w:w="5244" w:type="dxa"/>
            <w:tcBorders>
              <w:top w:val="nil"/>
              <w:left w:val="nil"/>
              <w:bottom w:val="nil"/>
              <w:right w:val="nil"/>
            </w:tcBorders>
            <w:shd w:val="clear" w:color="000000" w:fill="FFFFFF"/>
            <w:vAlign w:val="bottom"/>
            <w:hideMark/>
          </w:tcPr>
          <w:p w14:paraId="4B93467B" w14:textId="77777777" w:rsidR="003977A2" w:rsidRPr="00A93FB3" w:rsidRDefault="003977A2" w:rsidP="00A13D2A">
            <w:pPr>
              <w:ind w:leftChars="106" w:left="251" w:hangingChars="8" w:hanging="18"/>
              <w:rPr>
                <w:rFonts w:ascii="Calibri" w:eastAsia="Times New Roman" w:hAnsi="Calibri" w:cs="Calibri"/>
              </w:rPr>
            </w:pPr>
            <w:r w:rsidRPr="00A93FB3">
              <w:rPr>
                <w:rFonts w:ascii="Calibri" w:eastAsia="Times New Roman" w:hAnsi="Calibri" w:cs="Calibri"/>
              </w:rPr>
              <w:t>Difference between expected and actual experience</w:t>
            </w:r>
          </w:p>
        </w:tc>
        <w:tc>
          <w:tcPr>
            <w:tcW w:w="1260" w:type="dxa"/>
            <w:tcBorders>
              <w:top w:val="nil"/>
              <w:left w:val="nil"/>
              <w:bottom w:val="nil"/>
              <w:right w:val="nil"/>
            </w:tcBorders>
            <w:shd w:val="clear" w:color="000000" w:fill="FFFFFF"/>
            <w:noWrap/>
            <w:vAlign w:val="bottom"/>
            <w:hideMark/>
          </w:tcPr>
          <w:p w14:paraId="6C03C548"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794</w:t>
            </w:r>
          </w:p>
        </w:tc>
        <w:tc>
          <w:tcPr>
            <w:tcW w:w="940" w:type="dxa"/>
            <w:tcBorders>
              <w:top w:val="nil"/>
              <w:left w:val="nil"/>
              <w:bottom w:val="nil"/>
              <w:right w:val="nil"/>
            </w:tcBorders>
            <w:shd w:val="clear" w:color="000000" w:fill="FFFFFF"/>
            <w:noWrap/>
            <w:vAlign w:val="bottom"/>
            <w:hideMark/>
          </w:tcPr>
          <w:p w14:paraId="67B44ADF"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0AA946A0"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794</w:t>
            </w:r>
          </w:p>
        </w:tc>
        <w:tc>
          <w:tcPr>
            <w:tcW w:w="971" w:type="dxa"/>
            <w:tcBorders>
              <w:top w:val="nil"/>
              <w:left w:val="nil"/>
              <w:bottom w:val="nil"/>
              <w:right w:val="nil"/>
            </w:tcBorders>
            <w:shd w:val="clear" w:color="000000" w:fill="FFFFFF"/>
            <w:noWrap/>
            <w:vAlign w:val="bottom"/>
            <w:hideMark/>
          </w:tcPr>
          <w:p w14:paraId="1B071409"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r>
      <w:tr w:rsidR="003977A2" w:rsidRPr="00C830C0" w14:paraId="1CDABDCF" w14:textId="77777777" w:rsidTr="003977A2">
        <w:trPr>
          <w:trHeight w:val="576"/>
        </w:trPr>
        <w:tc>
          <w:tcPr>
            <w:tcW w:w="5244" w:type="dxa"/>
            <w:tcBorders>
              <w:top w:val="nil"/>
              <w:left w:val="nil"/>
              <w:bottom w:val="nil"/>
              <w:right w:val="nil"/>
            </w:tcBorders>
            <w:shd w:val="clear" w:color="000000" w:fill="FFFFFF"/>
            <w:vAlign w:val="bottom"/>
            <w:hideMark/>
          </w:tcPr>
          <w:p w14:paraId="65E823D4" w14:textId="77777777" w:rsidR="003977A2" w:rsidRPr="00A93FB3" w:rsidRDefault="003977A2" w:rsidP="00A13D2A">
            <w:pPr>
              <w:ind w:leftChars="106" w:left="251" w:hangingChars="8" w:hanging="18"/>
              <w:rPr>
                <w:rFonts w:ascii="Calibri" w:eastAsia="Times New Roman" w:hAnsi="Calibri" w:cs="Calibri"/>
              </w:rPr>
            </w:pPr>
            <w:r w:rsidRPr="00A93FB3">
              <w:rPr>
                <w:rFonts w:ascii="Calibri" w:eastAsia="Times New Roman" w:hAnsi="Calibri" w:cs="Calibri"/>
              </w:rPr>
              <w:t>Net difference between projected and actual earnings on plan investments</w:t>
            </w:r>
          </w:p>
        </w:tc>
        <w:tc>
          <w:tcPr>
            <w:tcW w:w="1260" w:type="dxa"/>
            <w:tcBorders>
              <w:top w:val="nil"/>
              <w:left w:val="nil"/>
              <w:bottom w:val="nil"/>
              <w:right w:val="nil"/>
            </w:tcBorders>
            <w:shd w:val="clear" w:color="000000" w:fill="FFFFFF"/>
            <w:noWrap/>
            <w:vAlign w:val="bottom"/>
            <w:hideMark/>
          </w:tcPr>
          <w:p w14:paraId="15B37122"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c>
          <w:tcPr>
            <w:tcW w:w="940" w:type="dxa"/>
            <w:tcBorders>
              <w:top w:val="nil"/>
              <w:left w:val="nil"/>
              <w:bottom w:val="nil"/>
              <w:right w:val="nil"/>
            </w:tcBorders>
            <w:shd w:val="clear" w:color="000000" w:fill="FFFFFF"/>
            <w:noWrap/>
            <w:vAlign w:val="bottom"/>
            <w:hideMark/>
          </w:tcPr>
          <w:p w14:paraId="2007D528" w14:textId="77777777" w:rsidR="003977A2" w:rsidRPr="00A93FB3" w:rsidRDefault="003977A2" w:rsidP="00A13D2A">
            <w:pPr>
              <w:jc w:val="right"/>
              <w:rPr>
                <w:rFonts w:ascii="Calibri" w:eastAsia="Times New Roman" w:hAnsi="Calibri" w:cs="Calibri"/>
              </w:rPr>
            </w:pPr>
            <w:r>
              <w:rPr>
                <w:rFonts w:ascii="Calibri" w:eastAsia="Times New Roman" w:hAnsi="Calibri" w:cs="Calibri"/>
              </w:rPr>
              <w:t>1,542</w:t>
            </w:r>
          </w:p>
        </w:tc>
        <w:tc>
          <w:tcPr>
            <w:tcW w:w="945" w:type="dxa"/>
            <w:tcBorders>
              <w:top w:val="nil"/>
              <w:left w:val="nil"/>
              <w:bottom w:val="nil"/>
              <w:right w:val="nil"/>
            </w:tcBorders>
            <w:shd w:val="clear" w:color="000000" w:fill="FFFFFF"/>
            <w:noWrap/>
            <w:vAlign w:val="bottom"/>
            <w:hideMark/>
          </w:tcPr>
          <w:p w14:paraId="67893506"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1,542</w:t>
            </w:r>
          </w:p>
        </w:tc>
        <w:tc>
          <w:tcPr>
            <w:tcW w:w="971" w:type="dxa"/>
            <w:tcBorders>
              <w:top w:val="nil"/>
              <w:left w:val="nil"/>
              <w:bottom w:val="nil"/>
              <w:right w:val="nil"/>
            </w:tcBorders>
            <w:shd w:val="clear" w:color="000000" w:fill="FFFFFF"/>
            <w:noWrap/>
            <w:vAlign w:val="bottom"/>
            <w:hideMark/>
          </w:tcPr>
          <w:p w14:paraId="15C40AB0"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16,780</w:t>
            </w:r>
          </w:p>
        </w:tc>
      </w:tr>
      <w:tr w:rsidR="003977A2" w:rsidRPr="00C830C0" w14:paraId="41BAF0E6" w14:textId="77777777" w:rsidTr="003977A2">
        <w:trPr>
          <w:trHeight w:val="288"/>
        </w:trPr>
        <w:tc>
          <w:tcPr>
            <w:tcW w:w="5244" w:type="dxa"/>
            <w:tcBorders>
              <w:top w:val="single" w:sz="4" w:space="0" w:color="00688D"/>
              <w:left w:val="nil"/>
              <w:bottom w:val="single" w:sz="4" w:space="0" w:color="00688D"/>
              <w:right w:val="nil"/>
            </w:tcBorders>
            <w:shd w:val="clear" w:color="000000" w:fill="FFFFFF"/>
            <w:noWrap/>
            <w:vAlign w:val="bottom"/>
            <w:hideMark/>
          </w:tcPr>
          <w:p w14:paraId="0EB066B3" w14:textId="77777777" w:rsidR="003977A2" w:rsidRPr="00A93FB3" w:rsidRDefault="003977A2" w:rsidP="00A13D2A">
            <w:pPr>
              <w:ind w:firstLineChars="200" w:firstLine="440"/>
              <w:rPr>
                <w:rFonts w:ascii="Calibri" w:eastAsia="Times New Roman" w:hAnsi="Calibri" w:cs="Calibri"/>
              </w:rPr>
            </w:pPr>
            <w:r w:rsidRPr="00A93FB3">
              <w:rPr>
                <w:rFonts w:ascii="Calibri" w:eastAsia="Times New Roman" w:hAnsi="Calibri" w:cs="Calibri"/>
              </w:rPr>
              <w:t>Total deferred outflows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206092DB"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1,914</w:t>
            </w:r>
          </w:p>
        </w:tc>
        <w:tc>
          <w:tcPr>
            <w:tcW w:w="940" w:type="dxa"/>
            <w:tcBorders>
              <w:top w:val="single" w:sz="4" w:space="0" w:color="00688D"/>
              <w:left w:val="nil"/>
              <w:bottom w:val="single" w:sz="4" w:space="0" w:color="00688D"/>
              <w:right w:val="nil"/>
            </w:tcBorders>
            <w:shd w:val="clear" w:color="000000" w:fill="FFFFFF"/>
            <w:noWrap/>
            <w:vAlign w:val="bottom"/>
            <w:hideMark/>
          </w:tcPr>
          <w:p w14:paraId="33EEAD62" w14:textId="77777777" w:rsidR="003977A2" w:rsidRPr="00A93FB3" w:rsidRDefault="003977A2" w:rsidP="00A13D2A">
            <w:pPr>
              <w:jc w:val="right"/>
              <w:rPr>
                <w:rFonts w:ascii="Calibri" w:eastAsia="Times New Roman" w:hAnsi="Calibri" w:cs="Calibri"/>
              </w:rPr>
            </w:pPr>
            <w:r>
              <w:rPr>
                <w:rFonts w:ascii="Calibri" w:eastAsia="Times New Roman" w:hAnsi="Calibri" w:cs="Calibri"/>
              </w:rPr>
              <w:t>1,542</w:t>
            </w:r>
          </w:p>
        </w:tc>
        <w:tc>
          <w:tcPr>
            <w:tcW w:w="945" w:type="dxa"/>
            <w:tcBorders>
              <w:top w:val="single" w:sz="4" w:space="0" w:color="00688D"/>
              <w:left w:val="nil"/>
              <w:bottom w:val="single" w:sz="4" w:space="0" w:color="00688D"/>
              <w:right w:val="nil"/>
            </w:tcBorders>
            <w:shd w:val="clear" w:color="000000" w:fill="FFFFFF"/>
            <w:noWrap/>
            <w:vAlign w:val="bottom"/>
            <w:hideMark/>
          </w:tcPr>
          <w:p w14:paraId="667E4990"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3,456</w:t>
            </w:r>
          </w:p>
        </w:tc>
        <w:tc>
          <w:tcPr>
            <w:tcW w:w="971" w:type="dxa"/>
            <w:tcBorders>
              <w:top w:val="single" w:sz="4" w:space="0" w:color="00688D"/>
              <w:left w:val="nil"/>
              <w:bottom w:val="single" w:sz="4" w:space="0" w:color="00688D"/>
              <w:right w:val="nil"/>
            </w:tcBorders>
            <w:shd w:val="clear" w:color="000000" w:fill="FFFFFF"/>
            <w:noWrap/>
            <w:vAlign w:val="bottom"/>
            <w:hideMark/>
          </w:tcPr>
          <w:p w14:paraId="15D905A9"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25,070</w:t>
            </w:r>
          </w:p>
        </w:tc>
      </w:tr>
      <w:tr w:rsidR="003977A2" w:rsidRPr="00C830C0" w14:paraId="5665009C" w14:textId="77777777" w:rsidTr="003977A2">
        <w:trPr>
          <w:trHeight w:val="288"/>
        </w:trPr>
        <w:tc>
          <w:tcPr>
            <w:tcW w:w="5244" w:type="dxa"/>
            <w:tcBorders>
              <w:top w:val="nil"/>
              <w:left w:val="nil"/>
              <w:bottom w:val="nil"/>
              <w:right w:val="nil"/>
            </w:tcBorders>
            <w:shd w:val="clear" w:color="000000" w:fill="FFFFFF"/>
            <w:noWrap/>
            <w:vAlign w:val="bottom"/>
            <w:hideMark/>
          </w:tcPr>
          <w:p w14:paraId="3BB86C7D"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Deferred inflows of resources</w:t>
            </w:r>
          </w:p>
        </w:tc>
        <w:tc>
          <w:tcPr>
            <w:tcW w:w="1260" w:type="dxa"/>
            <w:tcBorders>
              <w:top w:val="nil"/>
              <w:left w:val="nil"/>
              <w:bottom w:val="nil"/>
              <w:right w:val="nil"/>
            </w:tcBorders>
            <w:shd w:val="clear" w:color="000000" w:fill="FFFFFF"/>
            <w:noWrap/>
            <w:vAlign w:val="bottom"/>
            <w:hideMark/>
          </w:tcPr>
          <w:p w14:paraId="2D26D572"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w:t>
            </w:r>
          </w:p>
        </w:tc>
        <w:tc>
          <w:tcPr>
            <w:tcW w:w="940" w:type="dxa"/>
            <w:tcBorders>
              <w:top w:val="nil"/>
              <w:left w:val="nil"/>
              <w:bottom w:val="nil"/>
              <w:right w:val="nil"/>
            </w:tcBorders>
            <w:shd w:val="clear" w:color="000000" w:fill="FFFFFF"/>
            <w:noWrap/>
            <w:vAlign w:val="bottom"/>
            <w:hideMark/>
          </w:tcPr>
          <w:p w14:paraId="45D74EAE"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6FF24200"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w:t>
            </w:r>
          </w:p>
        </w:tc>
        <w:tc>
          <w:tcPr>
            <w:tcW w:w="971" w:type="dxa"/>
            <w:tcBorders>
              <w:top w:val="nil"/>
              <w:left w:val="nil"/>
              <w:bottom w:val="nil"/>
              <w:right w:val="nil"/>
            </w:tcBorders>
            <w:shd w:val="clear" w:color="000000" w:fill="FFFFFF"/>
            <w:noWrap/>
            <w:vAlign w:val="bottom"/>
            <w:hideMark/>
          </w:tcPr>
          <w:p w14:paraId="3BDADD35"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w:t>
            </w:r>
          </w:p>
        </w:tc>
      </w:tr>
      <w:tr w:rsidR="003977A2" w:rsidRPr="00C830C0" w14:paraId="4EB6A6A2" w14:textId="77777777" w:rsidTr="003977A2">
        <w:trPr>
          <w:trHeight w:val="288"/>
        </w:trPr>
        <w:tc>
          <w:tcPr>
            <w:tcW w:w="5244" w:type="dxa"/>
            <w:tcBorders>
              <w:top w:val="nil"/>
              <w:left w:val="nil"/>
              <w:bottom w:val="nil"/>
              <w:right w:val="nil"/>
            </w:tcBorders>
            <w:shd w:val="clear" w:color="000000" w:fill="FFFFFF"/>
            <w:noWrap/>
            <w:vAlign w:val="bottom"/>
            <w:hideMark/>
          </w:tcPr>
          <w:p w14:paraId="7BD55003" w14:textId="77777777" w:rsidR="003977A2" w:rsidRPr="00A93FB3" w:rsidRDefault="003977A2" w:rsidP="00A13D2A">
            <w:pPr>
              <w:ind w:firstLineChars="100" w:firstLine="220"/>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416B8025"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846</w:t>
            </w:r>
          </w:p>
        </w:tc>
        <w:tc>
          <w:tcPr>
            <w:tcW w:w="940" w:type="dxa"/>
            <w:tcBorders>
              <w:top w:val="nil"/>
              <w:left w:val="nil"/>
              <w:bottom w:val="nil"/>
              <w:right w:val="nil"/>
            </w:tcBorders>
            <w:shd w:val="clear" w:color="000000" w:fill="FFFFFF"/>
            <w:noWrap/>
            <w:vAlign w:val="bottom"/>
            <w:hideMark/>
          </w:tcPr>
          <w:p w14:paraId="541FEB6C"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67978239"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846</w:t>
            </w:r>
          </w:p>
        </w:tc>
        <w:tc>
          <w:tcPr>
            <w:tcW w:w="971" w:type="dxa"/>
            <w:tcBorders>
              <w:top w:val="nil"/>
              <w:left w:val="nil"/>
              <w:bottom w:val="nil"/>
              <w:right w:val="nil"/>
            </w:tcBorders>
            <w:shd w:val="clear" w:color="000000" w:fill="FFFFFF"/>
            <w:noWrap/>
            <w:vAlign w:val="bottom"/>
            <w:hideMark/>
          </w:tcPr>
          <w:p w14:paraId="3A6BA571"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6,035</w:t>
            </w:r>
          </w:p>
        </w:tc>
      </w:tr>
      <w:tr w:rsidR="003977A2" w:rsidRPr="00C830C0" w14:paraId="7499F1B4" w14:textId="77777777" w:rsidTr="003977A2">
        <w:trPr>
          <w:trHeight w:val="306"/>
        </w:trPr>
        <w:tc>
          <w:tcPr>
            <w:tcW w:w="5244" w:type="dxa"/>
            <w:tcBorders>
              <w:top w:val="nil"/>
              <w:left w:val="nil"/>
              <w:bottom w:val="nil"/>
              <w:right w:val="nil"/>
            </w:tcBorders>
            <w:shd w:val="clear" w:color="000000" w:fill="FFFFFF"/>
            <w:vAlign w:val="bottom"/>
            <w:hideMark/>
          </w:tcPr>
          <w:p w14:paraId="502372BC" w14:textId="77777777" w:rsidR="003977A2" w:rsidRPr="00A93FB3" w:rsidRDefault="003977A2" w:rsidP="00A13D2A">
            <w:pPr>
              <w:ind w:firstLineChars="100" w:firstLine="220"/>
              <w:rPr>
                <w:rFonts w:ascii="Calibri" w:eastAsia="Times New Roman" w:hAnsi="Calibri" w:cs="Calibri"/>
              </w:rPr>
            </w:pPr>
            <w:r w:rsidRPr="00A93FB3">
              <w:rPr>
                <w:rFonts w:ascii="Calibri" w:eastAsia="Times New Roman" w:hAnsi="Calibri" w:cs="Calibri"/>
              </w:rPr>
              <w:t>Difference between expected and actual experience</w:t>
            </w:r>
          </w:p>
        </w:tc>
        <w:tc>
          <w:tcPr>
            <w:tcW w:w="1260" w:type="dxa"/>
            <w:tcBorders>
              <w:top w:val="nil"/>
              <w:left w:val="nil"/>
              <w:bottom w:val="nil"/>
              <w:right w:val="nil"/>
            </w:tcBorders>
            <w:shd w:val="clear" w:color="000000" w:fill="FFFFFF"/>
            <w:noWrap/>
            <w:vAlign w:val="bottom"/>
            <w:hideMark/>
          </w:tcPr>
          <w:p w14:paraId="7AF586FC"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147</w:t>
            </w:r>
          </w:p>
        </w:tc>
        <w:tc>
          <w:tcPr>
            <w:tcW w:w="940" w:type="dxa"/>
            <w:tcBorders>
              <w:top w:val="nil"/>
              <w:left w:val="nil"/>
              <w:bottom w:val="nil"/>
              <w:right w:val="nil"/>
            </w:tcBorders>
            <w:shd w:val="clear" w:color="000000" w:fill="FFFFFF"/>
            <w:noWrap/>
            <w:vAlign w:val="bottom"/>
            <w:hideMark/>
          </w:tcPr>
          <w:p w14:paraId="384878F1"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4F549815"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147</w:t>
            </w:r>
          </w:p>
        </w:tc>
        <w:tc>
          <w:tcPr>
            <w:tcW w:w="971" w:type="dxa"/>
            <w:tcBorders>
              <w:top w:val="nil"/>
              <w:left w:val="nil"/>
              <w:bottom w:val="nil"/>
              <w:right w:val="nil"/>
            </w:tcBorders>
            <w:shd w:val="clear" w:color="000000" w:fill="FFFFFF"/>
            <w:noWrap/>
            <w:vAlign w:val="bottom"/>
            <w:hideMark/>
          </w:tcPr>
          <w:p w14:paraId="7B5B31FF"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21,284</w:t>
            </w:r>
          </w:p>
        </w:tc>
      </w:tr>
      <w:tr w:rsidR="003977A2" w:rsidRPr="00C830C0" w14:paraId="7A1B6D02" w14:textId="77777777" w:rsidTr="000A48AD">
        <w:trPr>
          <w:trHeight w:val="288"/>
        </w:trPr>
        <w:tc>
          <w:tcPr>
            <w:tcW w:w="5244" w:type="dxa"/>
            <w:tcBorders>
              <w:top w:val="single" w:sz="4" w:space="0" w:color="00688D"/>
              <w:left w:val="nil"/>
              <w:bottom w:val="single" w:sz="4" w:space="0" w:color="00688D"/>
              <w:right w:val="nil"/>
            </w:tcBorders>
            <w:shd w:val="clear" w:color="000000" w:fill="FFFFFF"/>
            <w:noWrap/>
            <w:vAlign w:val="center"/>
            <w:hideMark/>
          </w:tcPr>
          <w:p w14:paraId="50DA8026" w14:textId="77777777" w:rsidR="003977A2" w:rsidRPr="00A93FB3" w:rsidRDefault="003977A2" w:rsidP="00387A2D">
            <w:pPr>
              <w:ind w:firstLineChars="200" w:firstLine="440"/>
              <w:rPr>
                <w:rFonts w:ascii="Calibri" w:eastAsia="Times New Roman" w:hAnsi="Calibri" w:cs="Calibri"/>
              </w:rPr>
            </w:pPr>
            <w:r w:rsidRPr="00A93FB3">
              <w:rPr>
                <w:rFonts w:ascii="Calibri" w:eastAsia="Times New Roman" w:hAnsi="Calibri" w:cs="Calibri"/>
              </w:rPr>
              <w:t>Total deferred inflows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69731216"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993</w:t>
            </w:r>
          </w:p>
        </w:tc>
        <w:tc>
          <w:tcPr>
            <w:tcW w:w="940" w:type="dxa"/>
            <w:tcBorders>
              <w:top w:val="single" w:sz="4" w:space="0" w:color="00688D"/>
              <w:left w:val="nil"/>
              <w:bottom w:val="single" w:sz="4" w:space="0" w:color="00688D"/>
              <w:right w:val="nil"/>
            </w:tcBorders>
            <w:shd w:val="clear" w:color="000000" w:fill="FFFFFF"/>
            <w:noWrap/>
            <w:vAlign w:val="bottom"/>
            <w:hideMark/>
          </w:tcPr>
          <w:p w14:paraId="7E89BF7D"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w:t>
            </w:r>
          </w:p>
        </w:tc>
        <w:tc>
          <w:tcPr>
            <w:tcW w:w="945" w:type="dxa"/>
            <w:tcBorders>
              <w:top w:val="single" w:sz="4" w:space="0" w:color="00688D"/>
              <w:left w:val="nil"/>
              <w:bottom w:val="single" w:sz="4" w:space="0" w:color="00688D"/>
              <w:right w:val="nil"/>
            </w:tcBorders>
            <w:shd w:val="clear" w:color="000000" w:fill="FFFFFF"/>
            <w:noWrap/>
            <w:vAlign w:val="bottom"/>
            <w:hideMark/>
          </w:tcPr>
          <w:p w14:paraId="05841507" w14:textId="77777777" w:rsidR="003977A2" w:rsidRPr="00A93FB3" w:rsidRDefault="003977A2" w:rsidP="00A13D2A">
            <w:pPr>
              <w:jc w:val="right"/>
              <w:rPr>
                <w:rFonts w:ascii="Calibri" w:eastAsia="Times New Roman" w:hAnsi="Calibri" w:cs="Calibri"/>
              </w:rPr>
            </w:pPr>
            <w:r>
              <w:rPr>
                <w:rFonts w:ascii="Calibri" w:eastAsia="Times New Roman" w:hAnsi="Calibri" w:cs="Calibri"/>
              </w:rPr>
              <w:t>993</w:t>
            </w:r>
          </w:p>
        </w:tc>
        <w:tc>
          <w:tcPr>
            <w:tcW w:w="971" w:type="dxa"/>
            <w:tcBorders>
              <w:top w:val="single" w:sz="4" w:space="0" w:color="00688D"/>
              <w:left w:val="nil"/>
              <w:bottom w:val="single" w:sz="4" w:space="0" w:color="00688D"/>
              <w:right w:val="nil"/>
            </w:tcBorders>
            <w:shd w:val="clear" w:color="000000" w:fill="FFFFFF"/>
            <w:noWrap/>
            <w:vAlign w:val="bottom"/>
            <w:hideMark/>
          </w:tcPr>
          <w:p w14:paraId="37274F56"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27,319</w:t>
            </w:r>
          </w:p>
        </w:tc>
      </w:tr>
      <w:tr w:rsidR="003977A2" w:rsidRPr="00C830C0" w14:paraId="2ACBFB34" w14:textId="77777777" w:rsidTr="003977A2">
        <w:trPr>
          <w:trHeight w:val="395"/>
        </w:trPr>
        <w:tc>
          <w:tcPr>
            <w:tcW w:w="5244" w:type="dxa"/>
            <w:tcBorders>
              <w:top w:val="nil"/>
              <w:left w:val="nil"/>
              <w:bottom w:val="double" w:sz="6" w:space="0" w:color="00688D"/>
              <w:right w:val="nil"/>
            </w:tcBorders>
            <w:shd w:val="clear" w:color="000000" w:fill="FFFFFF"/>
            <w:noWrap/>
            <w:vAlign w:val="bottom"/>
            <w:hideMark/>
          </w:tcPr>
          <w:p w14:paraId="0931CC9B" w14:textId="77777777" w:rsidR="003977A2" w:rsidRPr="00A93FB3" w:rsidRDefault="003977A2" w:rsidP="00A13D2A">
            <w:pPr>
              <w:rPr>
                <w:rFonts w:ascii="Calibri" w:eastAsia="Times New Roman" w:hAnsi="Calibri" w:cs="Calibri"/>
              </w:rPr>
            </w:pPr>
            <w:r w:rsidRPr="00A93FB3">
              <w:rPr>
                <w:rFonts w:ascii="Calibri" w:eastAsia="Times New Roman" w:hAnsi="Calibri" w:cs="Calibri"/>
              </w:rPr>
              <w:t>Net deferred outflows (inflows)</w:t>
            </w:r>
          </w:p>
        </w:tc>
        <w:tc>
          <w:tcPr>
            <w:tcW w:w="1260" w:type="dxa"/>
            <w:tcBorders>
              <w:top w:val="nil"/>
              <w:left w:val="nil"/>
              <w:bottom w:val="double" w:sz="6" w:space="0" w:color="00688D"/>
              <w:right w:val="nil"/>
            </w:tcBorders>
            <w:shd w:val="clear" w:color="000000" w:fill="FFFFFF"/>
            <w:noWrap/>
            <w:vAlign w:val="bottom"/>
            <w:hideMark/>
          </w:tcPr>
          <w:p w14:paraId="568318EB"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xml:space="preserve">$ </w:t>
            </w:r>
            <w:r>
              <w:rPr>
                <w:rFonts w:ascii="Calibri" w:eastAsia="Times New Roman" w:hAnsi="Calibri" w:cs="Calibri"/>
              </w:rPr>
              <w:t xml:space="preserve">  </w:t>
            </w:r>
            <w:r w:rsidRPr="00A93FB3">
              <w:rPr>
                <w:rFonts w:ascii="Calibri" w:eastAsia="Times New Roman" w:hAnsi="Calibri" w:cs="Calibri"/>
              </w:rPr>
              <w:t xml:space="preserve">       921</w:t>
            </w:r>
          </w:p>
        </w:tc>
        <w:tc>
          <w:tcPr>
            <w:tcW w:w="940" w:type="dxa"/>
            <w:tcBorders>
              <w:top w:val="nil"/>
              <w:left w:val="nil"/>
              <w:bottom w:val="double" w:sz="6" w:space="0" w:color="00688D"/>
              <w:right w:val="nil"/>
            </w:tcBorders>
            <w:shd w:val="clear" w:color="000000" w:fill="FFFFFF"/>
            <w:noWrap/>
            <w:vAlign w:val="bottom"/>
            <w:hideMark/>
          </w:tcPr>
          <w:p w14:paraId="7E5FDB90" w14:textId="77777777" w:rsidR="003977A2" w:rsidRPr="00A93FB3" w:rsidRDefault="003977A2" w:rsidP="00A13D2A">
            <w:pPr>
              <w:jc w:val="center"/>
              <w:rPr>
                <w:rFonts w:ascii="Calibri" w:eastAsia="Times New Roman" w:hAnsi="Calibri" w:cs="Calibri"/>
              </w:rPr>
            </w:pPr>
            <w:r>
              <w:rPr>
                <w:rFonts w:ascii="Calibri" w:eastAsia="Times New Roman" w:hAnsi="Calibri" w:cs="Calibri"/>
              </w:rPr>
              <w:t>$  1,542</w:t>
            </w:r>
          </w:p>
        </w:tc>
        <w:tc>
          <w:tcPr>
            <w:tcW w:w="945" w:type="dxa"/>
            <w:tcBorders>
              <w:top w:val="nil"/>
              <w:left w:val="nil"/>
              <w:bottom w:val="double" w:sz="6" w:space="0" w:color="00688D"/>
              <w:right w:val="nil"/>
            </w:tcBorders>
            <w:shd w:val="clear" w:color="000000" w:fill="FFFFFF"/>
            <w:noWrap/>
            <w:vAlign w:val="bottom"/>
            <w:hideMark/>
          </w:tcPr>
          <w:p w14:paraId="3E772E9B"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 xml:space="preserve">$  </w:t>
            </w:r>
            <w:r>
              <w:rPr>
                <w:rFonts w:ascii="Calibri" w:eastAsia="Times New Roman" w:hAnsi="Calibri" w:cs="Calibri"/>
              </w:rPr>
              <w:t>2,463</w:t>
            </w:r>
          </w:p>
        </w:tc>
        <w:tc>
          <w:tcPr>
            <w:tcW w:w="971" w:type="dxa"/>
            <w:tcBorders>
              <w:top w:val="nil"/>
              <w:left w:val="nil"/>
              <w:bottom w:val="double" w:sz="6" w:space="0" w:color="00688D"/>
              <w:right w:val="nil"/>
            </w:tcBorders>
            <w:shd w:val="clear" w:color="000000" w:fill="FFFFFF"/>
            <w:noWrap/>
            <w:vAlign w:val="bottom"/>
            <w:hideMark/>
          </w:tcPr>
          <w:p w14:paraId="7D43BD8E" w14:textId="77777777" w:rsidR="003977A2" w:rsidRPr="00A93FB3" w:rsidRDefault="003977A2" w:rsidP="00A13D2A">
            <w:pPr>
              <w:jc w:val="right"/>
              <w:rPr>
                <w:rFonts w:ascii="Calibri" w:eastAsia="Times New Roman" w:hAnsi="Calibri" w:cs="Calibri"/>
              </w:rPr>
            </w:pPr>
            <w:r w:rsidRPr="00A93FB3">
              <w:rPr>
                <w:rFonts w:ascii="Calibri" w:eastAsia="Times New Roman" w:hAnsi="Calibri" w:cs="Calibri"/>
              </w:rPr>
              <w:t>$(2,249)</w:t>
            </w:r>
          </w:p>
        </w:tc>
      </w:tr>
    </w:tbl>
    <w:p w14:paraId="4478987C" w14:textId="50611BE4" w:rsidR="00DD1612" w:rsidRDefault="00DD1612" w:rsidP="00DD1612">
      <w:pPr>
        <w:tabs>
          <w:tab w:val="left" w:pos="900"/>
        </w:tabs>
        <w:spacing w:before="240" w:after="240"/>
        <w:rPr>
          <w:rFonts w:cstheme="minorHAnsi"/>
          <w:sz w:val="26"/>
          <w:szCs w:val="26"/>
        </w:rPr>
      </w:pPr>
      <w:r w:rsidRPr="00F54559">
        <w:rPr>
          <w:rFonts w:cstheme="minorHAnsi"/>
          <w:sz w:val="24"/>
        </w:rPr>
        <w:t xml:space="preserve">Deferred outflows of resources and deferred inflows of resources related to pensions and </w:t>
      </w:r>
      <w:r w:rsidRPr="00937F18">
        <w:rPr>
          <w:rFonts w:cstheme="minorHAnsi"/>
          <w:sz w:val="24"/>
        </w:rPr>
        <w:t>OPEB</w:t>
      </w:r>
      <w:r w:rsidRPr="00937F18">
        <w:rPr>
          <w:rFonts w:cstheme="minorHAnsi"/>
          <w:color w:val="FF0000"/>
          <w:sz w:val="24"/>
        </w:rPr>
        <w:t xml:space="preserve"> </w:t>
      </w:r>
      <w:r w:rsidRPr="00F54559">
        <w:rPr>
          <w:rFonts w:cstheme="minorHAnsi"/>
          <w:sz w:val="24"/>
        </w:rPr>
        <w:t>will be recognized in pension expense and postemployment health expense, respectively, during the years ending June 30 as follows</w:t>
      </w:r>
      <w:r w:rsidR="00714D11">
        <w:rPr>
          <w:rFonts w:cstheme="minorHAnsi"/>
          <w:sz w:val="24"/>
        </w:rPr>
        <w:t>.</w:t>
      </w:r>
      <w:r>
        <w:rPr>
          <w:rFonts w:cstheme="minorHAnsi"/>
          <w:sz w:val="26"/>
          <w:szCs w:val="26"/>
        </w:rPr>
        <w:fldChar w:fldCharType="begin"/>
      </w:r>
      <w:r>
        <w:rPr>
          <w:rFonts w:cstheme="minorHAnsi"/>
          <w:sz w:val="26"/>
          <w:szCs w:val="26"/>
        </w:rPr>
        <w:fldChar w:fldCharType="end"/>
      </w:r>
    </w:p>
    <w:tbl>
      <w:tblPr>
        <w:tblW w:w="5850" w:type="dxa"/>
        <w:jc w:val="center"/>
        <w:tblLayout w:type="fixed"/>
        <w:tblLook w:val="04A0" w:firstRow="1" w:lastRow="0" w:firstColumn="1" w:lastColumn="0" w:noHBand="0" w:noVBand="1"/>
      </w:tblPr>
      <w:tblGrid>
        <w:gridCol w:w="1350"/>
        <w:gridCol w:w="1260"/>
        <w:gridCol w:w="1080"/>
        <w:gridCol w:w="1080"/>
        <w:gridCol w:w="1080"/>
      </w:tblGrid>
      <w:tr w:rsidR="00DD1612" w:rsidRPr="00560663" w14:paraId="738B5820" w14:textId="77777777" w:rsidTr="00937F18">
        <w:trPr>
          <w:trHeight w:val="876"/>
          <w:tblHeader/>
          <w:jc w:val="center"/>
        </w:trPr>
        <w:tc>
          <w:tcPr>
            <w:tcW w:w="1350" w:type="dxa"/>
            <w:tcBorders>
              <w:top w:val="nil"/>
              <w:left w:val="nil"/>
              <w:bottom w:val="single" w:sz="12" w:space="0" w:color="00688D"/>
              <w:right w:val="nil"/>
            </w:tcBorders>
            <w:shd w:val="clear" w:color="000000" w:fill="FFFFFF"/>
            <w:vAlign w:val="bottom"/>
            <w:hideMark/>
          </w:tcPr>
          <w:p w14:paraId="617E9AE5" w14:textId="77777777" w:rsidR="00DD1612" w:rsidRPr="009F2BED" w:rsidRDefault="00DD1612" w:rsidP="00BD375F">
            <w:pPr>
              <w:jc w:val="center"/>
              <w:rPr>
                <w:rFonts w:ascii="Calibri" w:eastAsia="Times New Roman" w:hAnsi="Calibri" w:cs="Calibri"/>
                <w:bCs/>
                <w:color w:val="0D0D0D"/>
              </w:rPr>
            </w:pPr>
            <w:r w:rsidRPr="009F2BED">
              <w:rPr>
                <w:rFonts w:ascii="Calibri" w:eastAsia="Times New Roman" w:hAnsi="Calibri" w:cs="Calibri"/>
                <w:bCs/>
                <w:color w:val="0D0D0D"/>
              </w:rPr>
              <w:t>Year Ending June 30:</w:t>
            </w:r>
          </w:p>
        </w:tc>
        <w:tc>
          <w:tcPr>
            <w:tcW w:w="1260" w:type="dxa"/>
            <w:tcBorders>
              <w:top w:val="nil"/>
              <w:left w:val="nil"/>
              <w:bottom w:val="single" w:sz="12" w:space="0" w:color="00688D"/>
              <w:right w:val="nil"/>
            </w:tcBorders>
            <w:shd w:val="clear" w:color="000000" w:fill="FFFFFF"/>
            <w:vAlign w:val="bottom"/>
            <w:hideMark/>
          </w:tcPr>
          <w:p w14:paraId="510938D4" w14:textId="77777777" w:rsidR="00DD1612" w:rsidRPr="009F2BED" w:rsidRDefault="00DD1612" w:rsidP="00BD375F">
            <w:pPr>
              <w:jc w:val="center"/>
              <w:rPr>
                <w:rFonts w:ascii="Calibri" w:eastAsia="Times New Roman" w:hAnsi="Calibri" w:cs="Calibri"/>
                <w:bCs/>
                <w:color w:val="0D0D0D"/>
              </w:rPr>
            </w:pPr>
            <w:r w:rsidRPr="009F2BED">
              <w:rPr>
                <w:rFonts w:ascii="Calibri" w:eastAsia="Times New Roman" w:hAnsi="Calibri" w:cs="Calibri"/>
                <w:bCs/>
                <w:color w:val="0D0D0D"/>
              </w:rPr>
              <w:t>Incentive Retirement Plan</w:t>
            </w:r>
          </w:p>
        </w:tc>
        <w:tc>
          <w:tcPr>
            <w:tcW w:w="1080" w:type="dxa"/>
            <w:tcBorders>
              <w:top w:val="nil"/>
              <w:left w:val="nil"/>
              <w:bottom w:val="single" w:sz="12" w:space="0" w:color="00688D"/>
              <w:right w:val="nil"/>
            </w:tcBorders>
            <w:shd w:val="clear" w:color="000000" w:fill="FFFFFF"/>
            <w:vAlign w:val="bottom"/>
            <w:hideMark/>
          </w:tcPr>
          <w:p w14:paraId="69D5FD99" w14:textId="77777777" w:rsidR="00DD1612" w:rsidRPr="009F2BED" w:rsidRDefault="00DD1612" w:rsidP="00BD375F">
            <w:pPr>
              <w:jc w:val="center"/>
              <w:rPr>
                <w:rFonts w:ascii="Calibri" w:eastAsia="Times New Roman" w:hAnsi="Calibri" w:cs="Calibri"/>
                <w:bCs/>
                <w:color w:val="0D0D0D"/>
              </w:rPr>
            </w:pPr>
            <w:r w:rsidRPr="009F2BED">
              <w:rPr>
                <w:rFonts w:ascii="Calibri" w:eastAsia="Times New Roman" w:hAnsi="Calibri" w:cs="Calibri"/>
                <w:bCs/>
                <w:color w:val="0D0D0D"/>
              </w:rPr>
              <w:t>Defined Benefit Plan</w:t>
            </w:r>
          </w:p>
        </w:tc>
        <w:tc>
          <w:tcPr>
            <w:tcW w:w="1080" w:type="dxa"/>
            <w:tcBorders>
              <w:top w:val="nil"/>
              <w:left w:val="nil"/>
              <w:bottom w:val="single" w:sz="12" w:space="0" w:color="00688D"/>
              <w:right w:val="nil"/>
            </w:tcBorders>
            <w:shd w:val="clear" w:color="000000" w:fill="FFFFFF"/>
            <w:vAlign w:val="bottom"/>
            <w:hideMark/>
          </w:tcPr>
          <w:p w14:paraId="516EB597" w14:textId="77777777" w:rsidR="00DD1612" w:rsidRPr="009F2BED" w:rsidRDefault="00DD1612" w:rsidP="00BD375F">
            <w:pPr>
              <w:jc w:val="center"/>
              <w:rPr>
                <w:rFonts w:ascii="Calibri" w:eastAsia="Times New Roman" w:hAnsi="Calibri" w:cs="Calibri"/>
                <w:bCs/>
                <w:color w:val="0D0D0D"/>
              </w:rPr>
            </w:pPr>
            <w:r w:rsidRPr="009F2BED">
              <w:rPr>
                <w:rFonts w:ascii="Calibri" w:eastAsia="Times New Roman" w:hAnsi="Calibri" w:cs="Calibri"/>
                <w:bCs/>
                <w:color w:val="0D0D0D"/>
              </w:rPr>
              <w:t>Total Pension</w:t>
            </w:r>
          </w:p>
        </w:tc>
        <w:tc>
          <w:tcPr>
            <w:tcW w:w="1080" w:type="dxa"/>
            <w:tcBorders>
              <w:top w:val="nil"/>
              <w:left w:val="nil"/>
              <w:bottom w:val="single" w:sz="12" w:space="0" w:color="00688D"/>
              <w:right w:val="nil"/>
            </w:tcBorders>
            <w:shd w:val="clear" w:color="000000" w:fill="FFFFFF"/>
            <w:vAlign w:val="bottom"/>
            <w:hideMark/>
          </w:tcPr>
          <w:p w14:paraId="1F3947FC" w14:textId="77777777" w:rsidR="00DD1612" w:rsidRPr="009F2BED" w:rsidRDefault="00DD1612" w:rsidP="00BD375F">
            <w:pPr>
              <w:jc w:val="center"/>
              <w:rPr>
                <w:rFonts w:ascii="Calibri" w:eastAsia="Times New Roman" w:hAnsi="Calibri" w:cs="Calibri"/>
                <w:bCs/>
                <w:color w:val="0D0D0D"/>
              </w:rPr>
            </w:pPr>
            <w:r w:rsidRPr="009F2BED">
              <w:rPr>
                <w:rFonts w:ascii="Calibri" w:eastAsia="Times New Roman" w:hAnsi="Calibri" w:cs="Calibri"/>
                <w:bCs/>
                <w:color w:val="0D0D0D"/>
              </w:rPr>
              <w:t>OPEB</w:t>
            </w:r>
          </w:p>
        </w:tc>
      </w:tr>
      <w:tr w:rsidR="004942EB" w:rsidRPr="00560663" w14:paraId="0AB99FC5" w14:textId="77777777" w:rsidTr="00937F18">
        <w:trPr>
          <w:trHeight w:val="300"/>
          <w:jc w:val="center"/>
        </w:trPr>
        <w:tc>
          <w:tcPr>
            <w:tcW w:w="1350" w:type="dxa"/>
            <w:tcBorders>
              <w:top w:val="nil"/>
              <w:left w:val="nil"/>
              <w:bottom w:val="nil"/>
              <w:right w:val="nil"/>
            </w:tcBorders>
            <w:shd w:val="clear" w:color="000000" w:fill="FFFFFF"/>
            <w:noWrap/>
            <w:vAlign w:val="bottom"/>
            <w:hideMark/>
          </w:tcPr>
          <w:p w14:paraId="43C0ABB3" w14:textId="1F824B9F"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4</w:t>
            </w:r>
          </w:p>
        </w:tc>
        <w:tc>
          <w:tcPr>
            <w:tcW w:w="1260" w:type="dxa"/>
            <w:tcBorders>
              <w:top w:val="nil"/>
              <w:left w:val="nil"/>
              <w:bottom w:val="nil"/>
              <w:right w:val="nil"/>
            </w:tcBorders>
            <w:shd w:val="clear" w:color="000000" w:fill="FFFFFF"/>
            <w:noWrap/>
            <w:hideMark/>
          </w:tcPr>
          <w:p w14:paraId="5187D768" w14:textId="7AA5FAD6" w:rsidR="004942EB" w:rsidRPr="00937F18" w:rsidRDefault="004942EB" w:rsidP="004942EB">
            <w:pPr>
              <w:jc w:val="right"/>
              <w:rPr>
                <w:rFonts w:ascii="Calibri" w:eastAsia="Times New Roman" w:hAnsi="Calibri" w:cs="Calibri"/>
                <w:color w:val="FF0000"/>
              </w:rPr>
            </w:pPr>
            <w:r w:rsidRPr="00E71DA4">
              <w:t>$218</w:t>
            </w:r>
          </w:p>
        </w:tc>
        <w:tc>
          <w:tcPr>
            <w:tcW w:w="1080" w:type="dxa"/>
            <w:tcBorders>
              <w:top w:val="nil"/>
              <w:left w:val="nil"/>
              <w:bottom w:val="nil"/>
              <w:right w:val="nil"/>
            </w:tcBorders>
            <w:shd w:val="clear" w:color="000000" w:fill="FFFFFF"/>
            <w:noWrap/>
            <w:hideMark/>
          </w:tcPr>
          <w:p w14:paraId="635F8167" w14:textId="35397921" w:rsidR="004942EB" w:rsidRPr="00937F18" w:rsidRDefault="004942EB" w:rsidP="004942EB">
            <w:pPr>
              <w:jc w:val="right"/>
              <w:rPr>
                <w:rFonts w:ascii="Calibri" w:eastAsia="Times New Roman" w:hAnsi="Calibri" w:cs="Calibri"/>
                <w:color w:val="FF0000"/>
              </w:rPr>
            </w:pPr>
            <w:r w:rsidRPr="00E71DA4">
              <w:t>$278</w:t>
            </w:r>
          </w:p>
        </w:tc>
        <w:tc>
          <w:tcPr>
            <w:tcW w:w="1080" w:type="dxa"/>
            <w:tcBorders>
              <w:top w:val="nil"/>
              <w:left w:val="nil"/>
              <w:bottom w:val="nil"/>
              <w:right w:val="nil"/>
            </w:tcBorders>
            <w:shd w:val="clear" w:color="000000" w:fill="FFFFFF"/>
            <w:noWrap/>
            <w:hideMark/>
          </w:tcPr>
          <w:p w14:paraId="61F43757" w14:textId="22BCC88F" w:rsidR="004942EB" w:rsidRPr="00937F18" w:rsidRDefault="004942EB" w:rsidP="004942EB">
            <w:pPr>
              <w:jc w:val="right"/>
              <w:rPr>
                <w:rFonts w:ascii="Calibri" w:eastAsia="Times New Roman" w:hAnsi="Calibri" w:cs="Calibri"/>
                <w:color w:val="FF0000"/>
              </w:rPr>
            </w:pPr>
            <w:r w:rsidRPr="00E71DA4">
              <w:t>$496</w:t>
            </w:r>
          </w:p>
        </w:tc>
        <w:tc>
          <w:tcPr>
            <w:tcW w:w="1080" w:type="dxa"/>
            <w:tcBorders>
              <w:top w:val="nil"/>
              <w:left w:val="nil"/>
              <w:bottom w:val="nil"/>
              <w:right w:val="nil"/>
            </w:tcBorders>
            <w:shd w:val="clear" w:color="000000" w:fill="FFFFFF"/>
            <w:noWrap/>
            <w:hideMark/>
          </w:tcPr>
          <w:p w14:paraId="70FBE629" w14:textId="0466CC57" w:rsidR="004942EB" w:rsidRPr="00937F18" w:rsidRDefault="004942EB" w:rsidP="004942EB">
            <w:pPr>
              <w:jc w:val="right"/>
              <w:rPr>
                <w:rFonts w:ascii="Calibri" w:eastAsia="Times New Roman" w:hAnsi="Calibri" w:cs="Calibri"/>
                <w:color w:val="FF0000"/>
              </w:rPr>
            </w:pPr>
            <w:r w:rsidRPr="00E71DA4">
              <w:t>$(8</w:t>
            </w:r>
            <w:r w:rsidR="00F50CD4">
              <w:t>,856</w:t>
            </w:r>
            <w:r w:rsidRPr="00E71DA4">
              <w:t>)</w:t>
            </w:r>
          </w:p>
        </w:tc>
      </w:tr>
      <w:tr w:rsidR="004942EB" w:rsidRPr="00560663" w14:paraId="4EF370BE" w14:textId="77777777" w:rsidTr="00937F18">
        <w:trPr>
          <w:trHeight w:val="288"/>
          <w:jc w:val="center"/>
        </w:trPr>
        <w:tc>
          <w:tcPr>
            <w:tcW w:w="1350" w:type="dxa"/>
            <w:tcBorders>
              <w:top w:val="nil"/>
              <w:left w:val="nil"/>
              <w:bottom w:val="nil"/>
              <w:right w:val="nil"/>
            </w:tcBorders>
            <w:shd w:val="clear" w:color="000000" w:fill="FFFFFF"/>
            <w:noWrap/>
            <w:vAlign w:val="bottom"/>
            <w:hideMark/>
          </w:tcPr>
          <w:p w14:paraId="0E32F933" w14:textId="2F47D84F"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5</w:t>
            </w:r>
          </w:p>
        </w:tc>
        <w:tc>
          <w:tcPr>
            <w:tcW w:w="1260" w:type="dxa"/>
            <w:tcBorders>
              <w:top w:val="nil"/>
              <w:left w:val="nil"/>
              <w:bottom w:val="nil"/>
              <w:right w:val="nil"/>
            </w:tcBorders>
            <w:shd w:val="clear" w:color="000000" w:fill="FFFFFF"/>
            <w:noWrap/>
            <w:hideMark/>
          </w:tcPr>
          <w:p w14:paraId="548EC895" w14:textId="32DFFE0B" w:rsidR="004942EB" w:rsidRPr="00937F18" w:rsidRDefault="004942EB" w:rsidP="004942EB">
            <w:pPr>
              <w:jc w:val="right"/>
              <w:rPr>
                <w:rFonts w:ascii="Calibri" w:eastAsia="Times New Roman" w:hAnsi="Calibri" w:cs="Calibri"/>
                <w:color w:val="FF0000"/>
              </w:rPr>
            </w:pPr>
            <w:r w:rsidRPr="00E71DA4">
              <w:t xml:space="preserve"> 179</w:t>
            </w:r>
          </w:p>
        </w:tc>
        <w:tc>
          <w:tcPr>
            <w:tcW w:w="1080" w:type="dxa"/>
            <w:tcBorders>
              <w:top w:val="nil"/>
              <w:left w:val="nil"/>
              <w:bottom w:val="nil"/>
              <w:right w:val="nil"/>
            </w:tcBorders>
            <w:shd w:val="clear" w:color="000000" w:fill="FFFFFF"/>
            <w:noWrap/>
            <w:hideMark/>
          </w:tcPr>
          <w:p w14:paraId="04B1D8AB" w14:textId="10E2A68A" w:rsidR="004942EB" w:rsidRPr="00937F18" w:rsidRDefault="004942EB" w:rsidP="004942EB">
            <w:pPr>
              <w:jc w:val="right"/>
              <w:rPr>
                <w:rFonts w:ascii="Calibri" w:eastAsia="Times New Roman" w:hAnsi="Calibri" w:cs="Calibri"/>
                <w:color w:val="FF0000"/>
              </w:rPr>
            </w:pPr>
            <w:r w:rsidRPr="00E71DA4">
              <w:t xml:space="preserve"> 199</w:t>
            </w:r>
          </w:p>
        </w:tc>
        <w:tc>
          <w:tcPr>
            <w:tcW w:w="1080" w:type="dxa"/>
            <w:tcBorders>
              <w:top w:val="nil"/>
              <w:left w:val="nil"/>
              <w:bottom w:val="nil"/>
              <w:right w:val="nil"/>
            </w:tcBorders>
            <w:shd w:val="clear" w:color="000000" w:fill="FFFFFF"/>
            <w:noWrap/>
            <w:hideMark/>
          </w:tcPr>
          <w:p w14:paraId="35D1D81C" w14:textId="4B798DB1" w:rsidR="004942EB" w:rsidRPr="00937F18" w:rsidRDefault="004942EB" w:rsidP="004942EB">
            <w:pPr>
              <w:jc w:val="right"/>
              <w:rPr>
                <w:rFonts w:ascii="Calibri" w:eastAsia="Times New Roman" w:hAnsi="Calibri" w:cs="Calibri"/>
                <w:color w:val="FF0000"/>
              </w:rPr>
            </w:pPr>
            <w:r w:rsidRPr="00E71DA4">
              <w:t xml:space="preserve"> 378</w:t>
            </w:r>
          </w:p>
        </w:tc>
        <w:tc>
          <w:tcPr>
            <w:tcW w:w="1080" w:type="dxa"/>
            <w:tcBorders>
              <w:top w:val="nil"/>
              <w:left w:val="nil"/>
              <w:bottom w:val="nil"/>
              <w:right w:val="nil"/>
            </w:tcBorders>
            <w:shd w:val="clear" w:color="000000" w:fill="FFFFFF"/>
            <w:noWrap/>
            <w:hideMark/>
          </w:tcPr>
          <w:p w14:paraId="4E5C88A8" w14:textId="2676C1EB" w:rsidR="004942EB" w:rsidRPr="00937F18" w:rsidRDefault="004942EB" w:rsidP="004942EB">
            <w:pPr>
              <w:jc w:val="right"/>
              <w:rPr>
                <w:rFonts w:ascii="Calibri" w:eastAsia="Times New Roman" w:hAnsi="Calibri" w:cs="Calibri"/>
                <w:color w:val="FF0000"/>
              </w:rPr>
            </w:pPr>
            <w:r w:rsidRPr="00E71DA4">
              <w:t>(10,</w:t>
            </w:r>
            <w:r w:rsidR="00F50CD4">
              <w:t>072</w:t>
            </w:r>
            <w:r w:rsidRPr="00E71DA4">
              <w:t>)</w:t>
            </w:r>
          </w:p>
        </w:tc>
      </w:tr>
      <w:tr w:rsidR="004942EB" w:rsidRPr="00560663" w14:paraId="0528704B" w14:textId="77777777" w:rsidTr="00937F18">
        <w:trPr>
          <w:trHeight w:val="288"/>
          <w:jc w:val="center"/>
        </w:trPr>
        <w:tc>
          <w:tcPr>
            <w:tcW w:w="1350" w:type="dxa"/>
            <w:tcBorders>
              <w:top w:val="nil"/>
              <w:left w:val="nil"/>
              <w:bottom w:val="nil"/>
              <w:right w:val="nil"/>
            </w:tcBorders>
            <w:shd w:val="clear" w:color="000000" w:fill="FFFFFF"/>
            <w:noWrap/>
            <w:vAlign w:val="bottom"/>
            <w:hideMark/>
          </w:tcPr>
          <w:p w14:paraId="6C390F73" w14:textId="2FED2817"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6</w:t>
            </w:r>
          </w:p>
        </w:tc>
        <w:tc>
          <w:tcPr>
            <w:tcW w:w="1260" w:type="dxa"/>
            <w:tcBorders>
              <w:top w:val="nil"/>
              <w:left w:val="nil"/>
              <w:bottom w:val="nil"/>
              <w:right w:val="nil"/>
            </w:tcBorders>
            <w:shd w:val="clear" w:color="000000" w:fill="FFFFFF"/>
            <w:noWrap/>
            <w:hideMark/>
          </w:tcPr>
          <w:p w14:paraId="6412943A" w14:textId="4A4F12FF" w:rsidR="004942EB" w:rsidRPr="00937F18" w:rsidRDefault="004942EB" w:rsidP="004942EB">
            <w:pPr>
              <w:jc w:val="right"/>
              <w:rPr>
                <w:rFonts w:ascii="Calibri" w:eastAsia="Times New Roman" w:hAnsi="Calibri" w:cs="Calibri"/>
                <w:color w:val="FF0000"/>
              </w:rPr>
            </w:pPr>
            <w:r w:rsidRPr="00E71DA4">
              <w:t xml:space="preserve"> 121</w:t>
            </w:r>
          </w:p>
        </w:tc>
        <w:tc>
          <w:tcPr>
            <w:tcW w:w="1080" w:type="dxa"/>
            <w:tcBorders>
              <w:top w:val="nil"/>
              <w:left w:val="nil"/>
              <w:bottom w:val="nil"/>
              <w:right w:val="nil"/>
            </w:tcBorders>
            <w:shd w:val="clear" w:color="000000" w:fill="FFFFFF"/>
            <w:noWrap/>
            <w:hideMark/>
          </w:tcPr>
          <w:p w14:paraId="37CD732D" w14:textId="7C9B7648" w:rsidR="004942EB" w:rsidRPr="00937F18" w:rsidRDefault="004942EB" w:rsidP="004942EB">
            <w:pPr>
              <w:jc w:val="right"/>
              <w:rPr>
                <w:rFonts w:ascii="Calibri" w:eastAsia="Times New Roman" w:hAnsi="Calibri" w:cs="Calibri"/>
                <w:color w:val="FF0000"/>
              </w:rPr>
            </w:pPr>
            <w:r w:rsidRPr="00E71DA4">
              <w:t xml:space="preserve"> 647</w:t>
            </w:r>
          </w:p>
        </w:tc>
        <w:tc>
          <w:tcPr>
            <w:tcW w:w="1080" w:type="dxa"/>
            <w:tcBorders>
              <w:top w:val="nil"/>
              <w:left w:val="nil"/>
              <w:bottom w:val="nil"/>
              <w:right w:val="nil"/>
            </w:tcBorders>
            <w:shd w:val="clear" w:color="000000" w:fill="FFFFFF"/>
            <w:noWrap/>
            <w:hideMark/>
          </w:tcPr>
          <w:p w14:paraId="5FC853B9" w14:textId="02DFDEB1" w:rsidR="004942EB" w:rsidRPr="00937F18" w:rsidRDefault="004942EB" w:rsidP="004942EB">
            <w:pPr>
              <w:jc w:val="right"/>
              <w:rPr>
                <w:rFonts w:ascii="Calibri" w:eastAsia="Times New Roman" w:hAnsi="Calibri" w:cs="Calibri"/>
                <w:color w:val="FF0000"/>
              </w:rPr>
            </w:pPr>
            <w:r w:rsidRPr="00E71DA4">
              <w:t xml:space="preserve"> 768</w:t>
            </w:r>
          </w:p>
        </w:tc>
        <w:tc>
          <w:tcPr>
            <w:tcW w:w="1080" w:type="dxa"/>
            <w:tcBorders>
              <w:top w:val="nil"/>
              <w:left w:val="nil"/>
              <w:bottom w:val="nil"/>
              <w:right w:val="nil"/>
            </w:tcBorders>
            <w:shd w:val="clear" w:color="000000" w:fill="FFFFFF"/>
            <w:noWrap/>
            <w:hideMark/>
          </w:tcPr>
          <w:p w14:paraId="2340B9E6" w14:textId="08B93CA2" w:rsidR="004942EB" w:rsidRPr="00937F18" w:rsidRDefault="004942EB" w:rsidP="004942EB">
            <w:pPr>
              <w:jc w:val="right"/>
              <w:rPr>
                <w:rFonts w:ascii="Calibri" w:eastAsia="Times New Roman" w:hAnsi="Calibri" w:cs="Calibri"/>
                <w:color w:val="FF0000"/>
              </w:rPr>
            </w:pPr>
            <w:r w:rsidRPr="00E71DA4">
              <w:t xml:space="preserve"> (2,</w:t>
            </w:r>
            <w:r w:rsidR="00F50CD4">
              <w:t>199</w:t>
            </w:r>
            <w:r w:rsidRPr="00E71DA4">
              <w:t>)</w:t>
            </w:r>
          </w:p>
        </w:tc>
      </w:tr>
      <w:tr w:rsidR="004942EB" w:rsidRPr="00560663" w14:paraId="0868D4FE" w14:textId="77777777" w:rsidTr="00937F18">
        <w:trPr>
          <w:trHeight w:val="288"/>
          <w:jc w:val="center"/>
        </w:trPr>
        <w:tc>
          <w:tcPr>
            <w:tcW w:w="1350" w:type="dxa"/>
            <w:tcBorders>
              <w:top w:val="nil"/>
              <w:left w:val="nil"/>
              <w:bottom w:val="nil"/>
              <w:right w:val="nil"/>
            </w:tcBorders>
            <w:shd w:val="clear" w:color="000000" w:fill="FFFFFF"/>
            <w:noWrap/>
            <w:vAlign w:val="bottom"/>
            <w:hideMark/>
          </w:tcPr>
          <w:p w14:paraId="7B68A883" w14:textId="5F7C9AE6"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7</w:t>
            </w:r>
          </w:p>
        </w:tc>
        <w:tc>
          <w:tcPr>
            <w:tcW w:w="1260" w:type="dxa"/>
            <w:tcBorders>
              <w:top w:val="nil"/>
              <w:left w:val="nil"/>
              <w:bottom w:val="nil"/>
              <w:right w:val="nil"/>
            </w:tcBorders>
            <w:shd w:val="clear" w:color="000000" w:fill="FFFFFF"/>
            <w:noWrap/>
            <w:hideMark/>
          </w:tcPr>
          <w:p w14:paraId="79159D6D" w14:textId="403408DD" w:rsidR="004942EB" w:rsidRPr="00937F18" w:rsidRDefault="004942EB" w:rsidP="004942EB">
            <w:pPr>
              <w:jc w:val="right"/>
              <w:rPr>
                <w:rFonts w:ascii="Calibri" w:eastAsia="Times New Roman" w:hAnsi="Calibri" w:cs="Calibri"/>
                <w:color w:val="FF0000"/>
              </w:rPr>
            </w:pPr>
            <w:r w:rsidRPr="00E71DA4">
              <w:t xml:space="preserve"> (107)</w:t>
            </w:r>
          </w:p>
        </w:tc>
        <w:tc>
          <w:tcPr>
            <w:tcW w:w="1080" w:type="dxa"/>
            <w:tcBorders>
              <w:top w:val="nil"/>
              <w:left w:val="nil"/>
              <w:bottom w:val="nil"/>
              <w:right w:val="nil"/>
            </w:tcBorders>
            <w:shd w:val="clear" w:color="000000" w:fill="FFFFFF"/>
            <w:noWrap/>
            <w:hideMark/>
          </w:tcPr>
          <w:p w14:paraId="4D4557E8" w14:textId="7C30A789" w:rsidR="004942EB" w:rsidRPr="00937F18" w:rsidRDefault="004942EB" w:rsidP="004942EB">
            <w:pPr>
              <w:jc w:val="right"/>
              <w:rPr>
                <w:rFonts w:ascii="Calibri" w:eastAsia="Times New Roman" w:hAnsi="Calibri" w:cs="Calibri"/>
                <w:color w:val="FF0000"/>
              </w:rPr>
            </w:pPr>
            <w:r w:rsidRPr="00E71DA4">
              <w:t xml:space="preserve"> (6)</w:t>
            </w:r>
          </w:p>
        </w:tc>
        <w:tc>
          <w:tcPr>
            <w:tcW w:w="1080" w:type="dxa"/>
            <w:tcBorders>
              <w:top w:val="nil"/>
              <w:left w:val="nil"/>
              <w:bottom w:val="nil"/>
              <w:right w:val="nil"/>
            </w:tcBorders>
            <w:shd w:val="clear" w:color="000000" w:fill="FFFFFF"/>
            <w:noWrap/>
            <w:hideMark/>
          </w:tcPr>
          <w:p w14:paraId="784A3C1D" w14:textId="79E6AA51" w:rsidR="004942EB" w:rsidRPr="00937F18" w:rsidRDefault="004942EB" w:rsidP="004942EB">
            <w:pPr>
              <w:jc w:val="right"/>
              <w:rPr>
                <w:rFonts w:ascii="Calibri" w:eastAsia="Times New Roman" w:hAnsi="Calibri" w:cs="Calibri"/>
                <w:color w:val="FF0000"/>
              </w:rPr>
            </w:pPr>
            <w:r w:rsidRPr="00E71DA4">
              <w:t xml:space="preserve"> (113)</w:t>
            </w:r>
          </w:p>
        </w:tc>
        <w:tc>
          <w:tcPr>
            <w:tcW w:w="1080" w:type="dxa"/>
            <w:tcBorders>
              <w:top w:val="nil"/>
              <w:left w:val="nil"/>
              <w:bottom w:val="nil"/>
              <w:right w:val="nil"/>
            </w:tcBorders>
            <w:shd w:val="clear" w:color="000000" w:fill="FFFFFF"/>
            <w:noWrap/>
            <w:hideMark/>
          </w:tcPr>
          <w:p w14:paraId="52F126C2" w14:textId="74C99F04" w:rsidR="004942EB" w:rsidRPr="00937F18" w:rsidRDefault="004942EB" w:rsidP="004942EB">
            <w:pPr>
              <w:jc w:val="right"/>
              <w:rPr>
                <w:rFonts w:ascii="Calibri" w:eastAsia="Times New Roman" w:hAnsi="Calibri" w:cs="Calibri"/>
                <w:color w:val="FF0000"/>
              </w:rPr>
            </w:pPr>
            <w:r w:rsidRPr="00E71DA4">
              <w:t>(</w:t>
            </w:r>
            <w:r w:rsidR="00F50CD4">
              <w:t>9,610</w:t>
            </w:r>
            <w:r w:rsidRPr="00E71DA4">
              <w:t>)</w:t>
            </w:r>
          </w:p>
        </w:tc>
      </w:tr>
      <w:tr w:rsidR="004942EB" w:rsidRPr="00560663" w14:paraId="165F4125" w14:textId="77777777" w:rsidTr="00937F18">
        <w:trPr>
          <w:trHeight w:val="288"/>
          <w:jc w:val="center"/>
        </w:trPr>
        <w:tc>
          <w:tcPr>
            <w:tcW w:w="1350" w:type="dxa"/>
            <w:tcBorders>
              <w:top w:val="nil"/>
              <w:left w:val="nil"/>
              <w:bottom w:val="nil"/>
              <w:right w:val="nil"/>
            </w:tcBorders>
            <w:shd w:val="clear" w:color="000000" w:fill="FFFFFF"/>
            <w:noWrap/>
            <w:vAlign w:val="bottom"/>
            <w:hideMark/>
          </w:tcPr>
          <w:p w14:paraId="38BFD90F" w14:textId="2CA04C52"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8</w:t>
            </w:r>
          </w:p>
        </w:tc>
        <w:tc>
          <w:tcPr>
            <w:tcW w:w="1260" w:type="dxa"/>
            <w:tcBorders>
              <w:top w:val="nil"/>
              <w:left w:val="nil"/>
              <w:bottom w:val="nil"/>
              <w:right w:val="nil"/>
            </w:tcBorders>
            <w:shd w:val="clear" w:color="000000" w:fill="FFFFFF"/>
            <w:noWrap/>
            <w:hideMark/>
          </w:tcPr>
          <w:p w14:paraId="32F6E48C" w14:textId="1077A867" w:rsidR="004942EB" w:rsidRPr="00937F18" w:rsidRDefault="004942EB" w:rsidP="004942EB">
            <w:pPr>
              <w:jc w:val="right"/>
              <w:rPr>
                <w:rFonts w:ascii="Calibri" w:eastAsia="Times New Roman" w:hAnsi="Calibri" w:cs="Calibri"/>
                <w:color w:val="FF0000"/>
              </w:rPr>
            </w:pPr>
            <w:r w:rsidRPr="00E71DA4">
              <w:t xml:space="preserve"> (86)</w:t>
            </w:r>
          </w:p>
        </w:tc>
        <w:tc>
          <w:tcPr>
            <w:tcW w:w="1080" w:type="dxa"/>
            <w:tcBorders>
              <w:top w:val="nil"/>
              <w:left w:val="nil"/>
              <w:bottom w:val="nil"/>
              <w:right w:val="nil"/>
            </w:tcBorders>
            <w:shd w:val="clear" w:color="000000" w:fill="FFFFFF"/>
            <w:noWrap/>
            <w:hideMark/>
          </w:tcPr>
          <w:p w14:paraId="44AAAF5E" w14:textId="7A25A6A1" w:rsidR="004942EB" w:rsidRPr="00937F18" w:rsidRDefault="004942EB" w:rsidP="004942EB">
            <w:pPr>
              <w:jc w:val="right"/>
              <w:rPr>
                <w:rFonts w:ascii="Calibri" w:eastAsia="Times New Roman" w:hAnsi="Calibri" w:cs="Calibri"/>
                <w:color w:val="FF0000"/>
              </w:rPr>
            </w:pPr>
            <w:r w:rsidRPr="00E71DA4">
              <w:t xml:space="preserve"> -</w:t>
            </w:r>
          </w:p>
        </w:tc>
        <w:tc>
          <w:tcPr>
            <w:tcW w:w="1080" w:type="dxa"/>
            <w:tcBorders>
              <w:top w:val="nil"/>
              <w:left w:val="nil"/>
              <w:bottom w:val="nil"/>
              <w:right w:val="nil"/>
            </w:tcBorders>
            <w:shd w:val="clear" w:color="000000" w:fill="FFFFFF"/>
            <w:noWrap/>
            <w:hideMark/>
          </w:tcPr>
          <w:p w14:paraId="63168130" w14:textId="40C24D29" w:rsidR="004942EB" w:rsidRPr="00937F18" w:rsidRDefault="004942EB" w:rsidP="004942EB">
            <w:pPr>
              <w:jc w:val="right"/>
              <w:rPr>
                <w:rFonts w:ascii="Calibri" w:eastAsia="Times New Roman" w:hAnsi="Calibri" w:cs="Calibri"/>
                <w:color w:val="FF0000"/>
              </w:rPr>
            </w:pPr>
            <w:r w:rsidRPr="00E71DA4">
              <w:t xml:space="preserve"> (86)</w:t>
            </w:r>
          </w:p>
        </w:tc>
        <w:tc>
          <w:tcPr>
            <w:tcW w:w="1080" w:type="dxa"/>
            <w:tcBorders>
              <w:top w:val="nil"/>
              <w:left w:val="nil"/>
              <w:bottom w:val="nil"/>
              <w:right w:val="nil"/>
            </w:tcBorders>
            <w:shd w:val="clear" w:color="000000" w:fill="FFFFFF"/>
            <w:noWrap/>
            <w:hideMark/>
          </w:tcPr>
          <w:p w14:paraId="7166F8AF" w14:textId="2CF626D1" w:rsidR="004942EB" w:rsidRPr="00937F18" w:rsidRDefault="004942EB" w:rsidP="004942EB">
            <w:pPr>
              <w:jc w:val="right"/>
              <w:rPr>
                <w:rFonts w:ascii="Calibri" w:eastAsia="Times New Roman" w:hAnsi="Calibri" w:cs="Calibri"/>
                <w:color w:val="FF0000"/>
              </w:rPr>
            </w:pPr>
            <w:r w:rsidRPr="00E71DA4">
              <w:t xml:space="preserve"> (</w:t>
            </w:r>
            <w:r w:rsidR="00F50CD4">
              <w:t>4,</w:t>
            </w:r>
            <w:r w:rsidR="00D94B75">
              <w:t>894</w:t>
            </w:r>
            <w:r w:rsidRPr="00E71DA4">
              <w:t>)</w:t>
            </w:r>
          </w:p>
        </w:tc>
      </w:tr>
      <w:tr w:rsidR="004942EB" w:rsidRPr="00560663" w14:paraId="6A5E554B" w14:textId="77777777" w:rsidTr="00937F18">
        <w:trPr>
          <w:trHeight w:val="288"/>
          <w:jc w:val="center"/>
        </w:trPr>
        <w:tc>
          <w:tcPr>
            <w:tcW w:w="1350" w:type="dxa"/>
            <w:tcBorders>
              <w:top w:val="nil"/>
              <w:left w:val="nil"/>
              <w:bottom w:val="nil"/>
              <w:right w:val="nil"/>
            </w:tcBorders>
            <w:shd w:val="clear" w:color="000000" w:fill="FFFFFF"/>
            <w:noWrap/>
            <w:vAlign w:val="bottom"/>
            <w:hideMark/>
          </w:tcPr>
          <w:p w14:paraId="5F52EDC0" w14:textId="77777777" w:rsidR="004942EB" w:rsidRPr="00560663" w:rsidRDefault="004942EB" w:rsidP="004942EB">
            <w:pPr>
              <w:jc w:val="center"/>
              <w:rPr>
                <w:rFonts w:ascii="Calibri" w:eastAsia="Times New Roman" w:hAnsi="Calibri" w:cs="Calibri"/>
                <w:color w:val="0D0D0D"/>
              </w:rPr>
            </w:pPr>
            <w:r w:rsidRPr="00560663">
              <w:rPr>
                <w:rFonts w:ascii="Calibri" w:eastAsia="Times New Roman" w:hAnsi="Calibri" w:cs="Calibri"/>
                <w:color w:val="0D0D0D"/>
              </w:rPr>
              <w:t>Thereafter</w:t>
            </w:r>
          </w:p>
        </w:tc>
        <w:tc>
          <w:tcPr>
            <w:tcW w:w="1260" w:type="dxa"/>
            <w:tcBorders>
              <w:top w:val="nil"/>
              <w:left w:val="nil"/>
              <w:bottom w:val="nil"/>
              <w:right w:val="nil"/>
            </w:tcBorders>
            <w:shd w:val="clear" w:color="000000" w:fill="FFFFFF"/>
            <w:noWrap/>
            <w:hideMark/>
          </w:tcPr>
          <w:p w14:paraId="0B77B944" w14:textId="7ED6270F" w:rsidR="004942EB" w:rsidRPr="00937F18" w:rsidRDefault="004942EB" w:rsidP="004942EB">
            <w:pPr>
              <w:jc w:val="right"/>
              <w:rPr>
                <w:rFonts w:ascii="Calibri" w:eastAsia="Times New Roman" w:hAnsi="Calibri" w:cs="Calibri"/>
                <w:color w:val="FF0000"/>
              </w:rPr>
            </w:pPr>
            <w:r w:rsidRPr="00E71DA4">
              <w:t xml:space="preserve"> (5)</w:t>
            </w:r>
          </w:p>
        </w:tc>
        <w:tc>
          <w:tcPr>
            <w:tcW w:w="1080" w:type="dxa"/>
            <w:tcBorders>
              <w:top w:val="nil"/>
              <w:left w:val="nil"/>
              <w:bottom w:val="nil"/>
              <w:right w:val="nil"/>
            </w:tcBorders>
            <w:shd w:val="clear" w:color="000000" w:fill="FFFFFF"/>
            <w:noWrap/>
            <w:hideMark/>
          </w:tcPr>
          <w:p w14:paraId="0B0B295E" w14:textId="42669A23" w:rsidR="004942EB" w:rsidRPr="00937F18" w:rsidRDefault="004942EB" w:rsidP="004942EB">
            <w:pPr>
              <w:jc w:val="right"/>
              <w:rPr>
                <w:rFonts w:ascii="Calibri" w:eastAsia="Times New Roman" w:hAnsi="Calibri" w:cs="Calibri"/>
                <w:color w:val="FF0000"/>
              </w:rPr>
            </w:pPr>
            <w:r w:rsidRPr="00E71DA4">
              <w:t xml:space="preserve"> -</w:t>
            </w:r>
          </w:p>
        </w:tc>
        <w:tc>
          <w:tcPr>
            <w:tcW w:w="1080" w:type="dxa"/>
            <w:tcBorders>
              <w:top w:val="nil"/>
              <w:left w:val="nil"/>
              <w:bottom w:val="nil"/>
              <w:right w:val="nil"/>
            </w:tcBorders>
            <w:shd w:val="clear" w:color="000000" w:fill="FFFFFF"/>
            <w:noWrap/>
            <w:hideMark/>
          </w:tcPr>
          <w:p w14:paraId="463EAF73" w14:textId="61EBFFBA" w:rsidR="004942EB" w:rsidRPr="00937F18" w:rsidRDefault="004942EB" w:rsidP="004942EB">
            <w:pPr>
              <w:jc w:val="right"/>
              <w:rPr>
                <w:rFonts w:ascii="Calibri" w:eastAsia="Times New Roman" w:hAnsi="Calibri" w:cs="Calibri"/>
                <w:color w:val="FF0000"/>
              </w:rPr>
            </w:pPr>
            <w:r w:rsidRPr="00E71DA4">
              <w:t xml:space="preserve"> (5)</w:t>
            </w:r>
          </w:p>
        </w:tc>
        <w:tc>
          <w:tcPr>
            <w:tcW w:w="1080" w:type="dxa"/>
            <w:tcBorders>
              <w:top w:val="nil"/>
              <w:left w:val="nil"/>
              <w:bottom w:val="nil"/>
              <w:right w:val="nil"/>
            </w:tcBorders>
            <w:shd w:val="clear" w:color="000000" w:fill="FFFFFF"/>
            <w:noWrap/>
            <w:hideMark/>
          </w:tcPr>
          <w:p w14:paraId="6DDDA05F" w14:textId="7CFA584C" w:rsidR="004942EB" w:rsidRPr="00937F18" w:rsidRDefault="004942EB" w:rsidP="004942EB">
            <w:pPr>
              <w:jc w:val="right"/>
              <w:rPr>
                <w:rFonts w:ascii="Calibri" w:eastAsia="Times New Roman" w:hAnsi="Calibri" w:cs="Calibri"/>
                <w:color w:val="FF0000"/>
              </w:rPr>
            </w:pPr>
            <w:r w:rsidRPr="00E71DA4">
              <w:t xml:space="preserve"> -</w:t>
            </w:r>
          </w:p>
        </w:tc>
      </w:tr>
      <w:tr w:rsidR="004942EB" w:rsidRPr="00560663" w14:paraId="206B76E7" w14:textId="77777777" w:rsidTr="00937F18">
        <w:trPr>
          <w:trHeight w:val="300"/>
          <w:jc w:val="center"/>
        </w:trPr>
        <w:tc>
          <w:tcPr>
            <w:tcW w:w="1350" w:type="dxa"/>
            <w:tcBorders>
              <w:top w:val="single" w:sz="4" w:space="0" w:color="00688D"/>
              <w:left w:val="nil"/>
              <w:bottom w:val="double" w:sz="6" w:space="0" w:color="00688D"/>
              <w:right w:val="nil"/>
            </w:tcBorders>
            <w:shd w:val="clear" w:color="000000" w:fill="FFFFFF"/>
            <w:noWrap/>
            <w:vAlign w:val="bottom"/>
            <w:hideMark/>
          </w:tcPr>
          <w:p w14:paraId="3FFB16F5" w14:textId="77777777" w:rsidR="004942EB" w:rsidRPr="00560663" w:rsidRDefault="004942EB" w:rsidP="004942EB">
            <w:pPr>
              <w:rPr>
                <w:rFonts w:ascii="Calibri" w:eastAsia="Times New Roman" w:hAnsi="Calibri" w:cs="Calibri"/>
                <w:b/>
                <w:bCs/>
                <w:color w:val="0D0D0D"/>
              </w:rPr>
            </w:pPr>
            <w:r w:rsidRPr="00560663">
              <w:rPr>
                <w:rFonts w:ascii="Calibri" w:eastAsia="Times New Roman" w:hAnsi="Calibri" w:cs="Calibri"/>
                <w:b/>
                <w:bCs/>
                <w:color w:val="0D0D0D"/>
              </w:rPr>
              <w:t> </w:t>
            </w:r>
          </w:p>
        </w:tc>
        <w:tc>
          <w:tcPr>
            <w:tcW w:w="1260" w:type="dxa"/>
            <w:tcBorders>
              <w:top w:val="single" w:sz="4" w:space="0" w:color="00688D"/>
              <w:left w:val="nil"/>
              <w:bottom w:val="double" w:sz="6" w:space="0" w:color="00688D"/>
              <w:right w:val="nil"/>
            </w:tcBorders>
            <w:shd w:val="clear" w:color="000000" w:fill="FFFFFF"/>
            <w:noWrap/>
            <w:hideMark/>
          </w:tcPr>
          <w:p w14:paraId="1EAC8062" w14:textId="1E63751B" w:rsidR="004942EB" w:rsidRPr="00937F18" w:rsidRDefault="004942EB" w:rsidP="004942EB">
            <w:pPr>
              <w:jc w:val="right"/>
              <w:rPr>
                <w:rFonts w:ascii="Calibri" w:eastAsia="Times New Roman" w:hAnsi="Calibri" w:cs="Calibri"/>
                <w:color w:val="FF0000"/>
              </w:rPr>
            </w:pPr>
            <w:r w:rsidRPr="00E71DA4">
              <w:t xml:space="preserve"> $320</w:t>
            </w:r>
          </w:p>
        </w:tc>
        <w:tc>
          <w:tcPr>
            <w:tcW w:w="1080" w:type="dxa"/>
            <w:tcBorders>
              <w:top w:val="single" w:sz="4" w:space="0" w:color="00688D"/>
              <w:left w:val="nil"/>
              <w:bottom w:val="double" w:sz="6" w:space="0" w:color="00688D"/>
              <w:right w:val="nil"/>
            </w:tcBorders>
            <w:shd w:val="clear" w:color="000000" w:fill="FFFFFF"/>
            <w:noWrap/>
            <w:hideMark/>
          </w:tcPr>
          <w:p w14:paraId="5AC5FF19" w14:textId="02477B1B" w:rsidR="004942EB" w:rsidRPr="00937F18" w:rsidRDefault="004942EB" w:rsidP="004942EB">
            <w:pPr>
              <w:jc w:val="right"/>
              <w:rPr>
                <w:rFonts w:ascii="Calibri" w:eastAsia="Times New Roman" w:hAnsi="Calibri" w:cs="Calibri"/>
                <w:color w:val="FF0000"/>
              </w:rPr>
            </w:pPr>
            <w:r w:rsidRPr="00E71DA4">
              <w:t xml:space="preserve"> $1,118</w:t>
            </w:r>
          </w:p>
        </w:tc>
        <w:tc>
          <w:tcPr>
            <w:tcW w:w="1080" w:type="dxa"/>
            <w:tcBorders>
              <w:top w:val="single" w:sz="4" w:space="0" w:color="00688D"/>
              <w:left w:val="nil"/>
              <w:bottom w:val="double" w:sz="6" w:space="0" w:color="00688D"/>
              <w:right w:val="nil"/>
            </w:tcBorders>
            <w:shd w:val="clear" w:color="000000" w:fill="FFFFFF"/>
            <w:noWrap/>
            <w:hideMark/>
          </w:tcPr>
          <w:p w14:paraId="78D85791" w14:textId="7F3D530F" w:rsidR="004942EB" w:rsidRPr="00937F18" w:rsidRDefault="004942EB" w:rsidP="004942EB">
            <w:pPr>
              <w:jc w:val="right"/>
              <w:rPr>
                <w:rFonts w:ascii="Calibri" w:eastAsia="Times New Roman" w:hAnsi="Calibri" w:cs="Calibri"/>
                <w:color w:val="FF0000"/>
              </w:rPr>
            </w:pPr>
            <w:r w:rsidRPr="00E71DA4">
              <w:t xml:space="preserve"> $1,438</w:t>
            </w:r>
          </w:p>
        </w:tc>
        <w:tc>
          <w:tcPr>
            <w:tcW w:w="1080" w:type="dxa"/>
            <w:tcBorders>
              <w:top w:val="single" w:sz="4" w:space="0" w:color="00688D"/>
              <w:left w:val="nil"/>
              <w:bottom w:val="double" w:sz="6" w:space="0" w:color="00688D"/>
              <w:right w:val="nil"/>
            </w:tcBorders>
            <w:shd w:val="clear" w:color="000000" w:fill="FFFFFF"/>
            <w:noWrap/>
            <w:hideMark/>
          </w:tcPr>
          <w:p w14:paraId="1EA44EB0" w14:textId="44282694" w:rsidR="004942EB" w:rsidRPr="00937F18" w:rsidRDefault="004942EB" w:rsidP="00EC1896">
            <w:pPr>
              <w:jc w:val="right"/>
              <w:rPr>
                <w:rFonts w:ascii="Calibri" w:eastAsia="Times New Roman" w:hAnsi="Calibri" w:cs="Calibri"/>
                <w:color w:val="FF0000"/>
              </w:rPr>
            </w:pPr>
            <w:r w:rsidRPr="00E71DA4">
              <w:t>$(</w:t>
            </w:r>
            <w:r w:rsidR="00D01CF7" w:rsidRPr="00E71DA4">
              <w:t>3</w:t>
            </w:r>
            <w:r w:rsidR="00D01CF7">
              <w:t>5</w:t>
            </w:r>
            <w:r w:rsidR="00F50CD4">
              <w:t>,</w:t>
            </w:r>
            <w:r w:rsidR="00D94B75">
              <w:t>631</w:t>
            </w:r>
            <w:r w:rsidRPr="00E71DA4">
              <w:t>)</w:t>
            </w:r>
          </w:p>
        </w:tc>
      </w:tr>
    </w:tbl>
    <w:p w14:paraId="55BD41E6" w14:textId="77777777" w:rsidR="00DD1612" w:rsidRDefault="00DD1612" w:rsidP="00DD1612">
      <w:pPr>
        <w:tabs>
          <w:tab w:val="left" w:pos="0"/>
          <w:tab w:val="left" w:pos="900"/>
        </w:tabs>
        <w:spacing w:before="120" w:after="120"/>
        <w:jc w:val="center"/>
        <w:rPr>
          <w:rFonts w:cstheme="minorHAnsi"/>
          <w:sz w:val="26"/>
          <w:szCs w:val="26"/>
        </w:rPr>
      </w:pPr>
      <w:r>
        <w:rPr>
          <w:rFonts w:cstheme="minorHAnsi"/>
          <w:sz w:val="26"/>
          <w:szCs w:val="26"/>
        </w:rPr>
        <w:br w:type="page"/>
      </w:r>
    </w:p>
    <w:p w14:paraId="5896076B" w14:textId="77777777" w:rsidR="00DD1612" w:rsidRPr="00954D00" w:rsidRDefault="00DD1612" w:rsidP="00DD1612">
      <w:pPr>
        <w:pStyle w:val="AFR2"/>
        <w:rPr>
          <w:rFonts w:cstheme="minorHAnsi"/>
          <w:color w:val="auto"/>
          <w:sz w:val="26"/>
          <w:szCs w:val="26"/>
        </w:rPr>
      </w:pPr>
      <w:r w:rsidRPr="00954D00">
        <w:rPr>
          <w:rFonts w:cstheme="minorHAnsi"/>
          <w:color w:val="auto"/>
          <w:sz w:val="26"/>
          <w:szCs w:val="26"/>
        </w:rPr>
        <w:lastRenderedPageBreak/>
        <w:t xml:space="preserve">16. </w:t>
      </w:r>
      <w:r w:rsidRPr="00B23078">
        <w:rPr>
          <w:rFonts w:cstheme="minorHAnsi"/>
          <w:color w:val="auto"/>
          <w:sz w:val="26"/>
          <w:szCs w:val="26"/>
        </w:rPr>
        <w:t>COMPONENT UNITS</w:t>
      </w:r>
    </w:p>
    <w:p w14:paraId="0EA77F2C" w14:textId="77777777" w:rsidR="00DD1612" w:rsidRPr="00F54559" w:rsidRDefault="00DD1612" w:rsidP="00DD1612">
      <w:pPr>
        <w:rPr>
          <w:rFonts w:cstheme="minorHAnsi"/>
          <w:sz w:val="24"/>
          <w:highlight w:val="yellow"/>
        </w:rPr>
      </w:pPr>
      <w:r w:rsidRPr="00F54559">
        <w:rPr>
          <w:rFonts w:cstheme="minorHAnsi"/>
          <w:sz w:val="24"/>
        </w:rPr>
        <w:t xml:space="preserve">The System is supported in part by several foundations and alumni associations that raise funds on the System’s behalf. The System determined that one of those entities, the University of Maine Foundation (“the Foundation”), meets the criteria set forth under GASB Statement No. 61, </w:t>
      </w:r>
      <w:r w:rsidRPr="00F54559">
        <w:rPr>
          <w:rFonts w:cstheme="minorHAnsi"/>
          <w:i/>
          <w:sz w:val="24"/>
        </w:rPr>
        <w:t>The Financial Reporting Entity: Omnibus an amendment of GASB Statements No. 14 and No. 34</w:t>
      </w:r>
      <w:r w:rsidRPr="00F54559">
        <w:rPr>
          <w:rFonts w:cstheme="minorHAnsi"/>
          <w:sz w:val="24"/>
        </w:rPr>
        <w:t>, for inclusion as a discretely presented component unit of the System.</w:t>
      </w:r>
    </w:p>
    <w:p w14:paraId="4AC672A8" w14:textId="77777777" w:rsidR="00DD1612" w:rsidRPr="00F54559" w:rsidRDefault="00DD1612" w:rsidP="00DD1612">
      <w:pPr>
        <w:ind w:left="810"/>
        <w:rPr>
          <w:rFonts w:cstheme="minorHAnsi"/>
          <w:sz w:val="24"/>
          <w:highlight w:val="yellow"/>
        </w:rPr>
      </w:pPr>
    </w:p>
    <w:p w14:paraId="5838AF7F" w14:textId="77777777" w:rsidR="00E63A62" w:rsidRDefault="00DD1612" w:rsidP="00DD1612">
      <w:pPr>
        <w:rPr>
          <w:rFonts w:cstheme="minorHAnsi"/>
          <w:sz w:val="24"/>
        </w:rPr>
      </w:pPr>
      <w:r w:rsidRPr="00F54559">
        <w:rPr>
          <w:rFonts w:cstheme="minorHAnsi"/>
          <w:sz w:val="24"/>
        </w:rPr>
        <w:t xml:space="preserve">The Foundation is a legally separate, tax-exempt organization, which acts primarily as a fund-raising organization to supplement the resources that are available to the System in support of its programs. The Board of Directors of the Foundation is self-perpetuating and independent of the System’s Board of Trustees. Although the System does not control the timing or </w:t>
      </w:r>
      <w:proofErr w:type="gramStart"/>
      <w:r w:rsidRPr="00F54559">
        <w:rPr>
          <w:rFonts w:cstheme="minorHAnsi"/>
          <w:sz w:val="24"/>
        </w:rPr>
        <w:t>amount</w:t>
      </w:r>
      <w:proofErr w:type="gramEnd"/>
      <w:r w:rsidRPr="00F54559">
        <w:rPr>
          <w:rFonts w:cstheme="minorHAnsi"/>
          <w:sz w:val="24"/>
        </w:rPr>
        <w:t xml:space="preserve"> of receipts from the Foundation, the Foundation holds and invests resources almost entirely for the System’s benefit (specifically the University of Maine); the System is entitled to access a majority of the economic resources held; and the economic resources held are “significant to the System” based on 5% of net position </w:t>
      </w:r>
      <w:r w:rsidR="00C34BCE">
        <w:rPr>
          <w:rFonts w:cstheme="minorHAnsi"/>
          <w:sz w:val="24"/>
        </w:rPr>
        <w:t xml:space="preserve">and 5% </w:t>
      </w:r>
      <w:r w:rsidR="00DD401D">
        <w:rPr>
          <w:rFonts w:cstheme="minorHAnsi"/>
          <w:sz w:val="24"/>
        </w:rPr>
        <w:t xml:space="preserve">of </w:t>
      </w:r>
      <w:r w:rsidR="00C34BCE">
        <w:rPr>
          <w:rFonts w:cstheme="minorHAnsi"/>
          <w:sz w:val="24"/>
        </w:rPr>
        <w:t xml:space="preserve">total assets </w:t>
      </w:r>
      <w:r w:rsidRPr="00F54559">
        <w:rPr>
          <w:rFonts w:cstheme="minorHAnsi"/>
          <w:sz w:val="24"/>
        </w:rPr>
        <w:t>threshold</w:t>
      </w:r>
      <w:r w:rsidR="00C34BCE">
        <w:rPr>
          <w:rFonts w:cstheme="minorHAnsi"/>
          <w:sz w:val="24"/>
        </w:rPr>
        <w:t>s</w:t>
      </w:r>
      <w:r w:rsidRPr="00F54559">
        <w:rPr>
          <w:rFonts w:cstheme="minorHAnsi"/>
          <w:sz w:val="24"/>
        </w:rPr>
        <w:t xml:space="preserve">. </w:t>
      </w:r>
    </w:p>
    <w:p w14:paraId="648ABDAC" w14:textId="77777777" w:rsidR="00E63A62" w:rsidRDefault="00E63A62" w:rsidP="00DD1612">
      <w:pPr>
        <w:rPr>
          <w:rFonts w:cstheme="minorHAnsi"/>
          <w:sz w:val="24"/>
        </w:rPr>
      </w:pPr>
    </w:p>
    <w:p w14:paraId="3A296F4C" w14:textId="28AF34D6" w:rsidR="00DD1612" w:rsidRPr="00F54559" w:rsidRDefault="00DD1612" w:rsidP="00DD1612">
      <w:pPr>
        <w:rPr>
          <w:rFonts w:cstheme="minorHAnsi"/>
          <w:sz w:val="24"/>
        </w:rPr>
      </w:pPr>
      <w:r>
        <w:rPr>
          <w:rFonts w:cstheme="minorHAnsi"/>
          <w:sz w:val="24"/>
        </w:rPr>
        <w:t>During 2021 t</w:t>
      </w:r>
      <w:r w:rsidRPr="00F54559">
        <w:rPr>
          <w:rFonts w:cstheme="minorHAnsi"/>
          <w:sz w:val="24"/>
        </w:rPr>
        <w:t xml:space="preserve">he Foundation </w:t>
      </w:r>
      <w:r>
        <w:rPr>
          <w:rFonts w:cstheme="minorHAnsi"/>
          <w:sz w:val="24"/>
        </w:rPr>
        <w:t xml:space="preserve">changed their fiscal year end from June 30, 2021 to December 31, 2021 and </w:t>
      </w:r>
      <w:r w:rsidRPr="00F54559">
        <w:rPr>
          <w:rFonts w:cstheme="minorHAnsi"/>
          <w:sz w:val="24"/>
        </w:rPr>
        <w:t xml:space="preserve">has accordingly been discretely presented as a component unit of the System in the accompanying financial statements as of and for the </w:t>
      </w:r>
      <w:r w:rsidR="003E0388">
        <w:rPr>
          <w:rFonts w:cstheme="minorHAnsi"/>
          <w:sz w:val="24"/>
        </w:rPr>
        <w:t xml:space="preserve">year and </w:t>
      </w:r>
      <w:r>
        <w:rPr>
          <w:rFonts w:cstheme="minorHAnsi"/>
          <w:sz w:val="24"/>
        </w:rPr>
        <w:t xml:space="preserve">six months </w:t>
      </w:r>
      <w:r w:rsidRPr="001E1287">
        <w:rPr>
          <w:rFonts w:cstheme="minorHAnsi"/>
          <w:color w:val="0D0D0D" w:themeColor="text1" w:themeTint="F2"/>
          <w:sz w:val="24"/>
        </w:rPr>
        <w:t>ended</w:t>
      </w:r>
      <w:r w:rsidRPr="001E1287">
        <w:rPr>
          <w:rFonts w:cstheme="minorHAnsi"/>
          <w:color w:val="FF0000"/>
          <w:sz w:val="24"/>
        </w:rPr>
        <w:t xml:space="preserve"> </w:t>
      </w:r>
      <w:r>
        <w:rPr>
          <w:rFonts w:cstheme="minorHAnsi"/>
          <w:sz w:val="24"/>
        </w:rPr>
        <w:t xml:space="preserve">December 31, </w:t>
      </w:r>
      <w:r w:rsidR="00E56675">
        <w:rPr>
          <w:rFonts w:cstheme="minorHAnsi"/>
          <w:sz w:val="24"/>
        </w:rPr>
        <w:t>2022</w:t>
      </w:r>
      <w:r w:rsidR="00E56675" w:rsidRPr="00F54559">
        <w:rPr>
          <w:rFonts w:cstheme="minorHAnsi"/>
          <w:sz w:val="24"/>
        </w:rPr>
        <w:t xml:space="preserve"> </w:t>
      </w:r>
      <w:r w:rsidR="00E56675">
        <w:rPr>
          <w:rFonts w:cstheme="minorHAnsi"/>
          <w:sz w:val="24"/>
        </w:rPr>
        <w:t>and December 31, 2021</w:t>
      </w:r>
      <w:r w:rsidRPr="00F54559">
        <w:rPr>
          <w:rFonts w:cstheme="minorHAnsi"/>
          <w:sz w:val="24"/>
        </w:rPr>
        <w:t xml:space="preserve">, </w:t>
      </w:r>
      <w:r>
        <w:rPr>
          <w:rFonts w:cstheme="minorHAnsi"/>
          <w:sz w:val="24"/>
        </w:rPr>
        <w:t xml:space="preserve">respectively, </w:t>
      </w:r>
      <w:r w:rsidRPr="00F54559">
        <w:rPr>
          <w:rFonts w:cstheme="minorHAnsi"/>
          <w:sz w:val="24"/>
        </w:rPr>
        <w:t xml:space="preserve">and is reported in separate financial statements as the Foundation reports its financial results under Financial Accounting Standards Board standards rather than GASB standards. Contributions and additions to </w:t>
      </w:r>
      <w:r>
        <w:rPr>
          <w:rFonts w:cstheme="minorHAnsi"/>
          <w:sz w:val="24"/>
        </w:rPr>
        <w:t xml:space="preserve">the Foundation’s </w:t>
      </w:r>
      <w:r w:rsidRPr="00F54559">
        <w:rPr>
          <w:rFonts w:cstheme="minorHAnsi"/>
          <w:sz w:val="24"/>
        </w:rPr>
        <w:t xml:space="preserve">endowments with donor restrictions were </w:t>
      </w:r>
      <w:r w:rsidRPr="00D479C4">
        <w:rPr>
          <w:rFonts w:cstheme="minorHAnsi"/>
          <w:sz w:val="24"/>
        </w:rPr>
        <w:t>$</w:t>
      </w:r>
      <w:r w:rsidR="00EF15E6">
        <w:rPr>
          <w:rFonts w:cstheme="minorHAnsi"/>
          <w:color w:val="0D0D0D" w:themeColor="text1" w:themeTint="F2"/>
          <w:sz w:val="24"/>
        </w:rPr>
        <w:t>14,409</w:t>
      </w:r>
      <w:r w:rsidRPr="001E1287">
        <w:rPr>
          <w:rFonts w:cstheme="minorHAnsi"/>
          <w:color w:val="0D0D0D" w:themeColor="text1" w:themeTint="F2"/>
          <w:sz w:val="24"/>
        </w:rPr>
        <w:t xml:space="preserve"> for </w:t>
      </w:r>
      <w:r>
        <w:rPr>
          <w:rFonts w:cstheme="minorHAnsi"/>
          <w:color w:val="0D0D0D" w:themeColor="text1" w:themeTint="F2"/>
          <w:sz w:val="24"/>
        </w:rPr>
        <w:t xml:space="preserve">the </w:t>
      </w:r>
      <w:r w:rsidR="00EF15E6">
        <w:rPr>
          <w:rFonts w:cstheme="minorHAnsi"/>
          <w:color w:val="0D0D0D" w:themeColor="text1" w:themeTint="F2"/>
          <w:sz w:val="24"/>
        </w:rPr>
        <w:t>year</w:t>
      </w:r>
      <w:r>
        <w:rPr>
          <w:rFonts w:cstheme="minorHAnsi"/>
          <w:color w:val="0D0D0D" w:themeColor="text1" w:themeTint="F2"/>
          <w:sz w:val="24"/>
        </w:rPr>
        <w:t xml:space="preserve"> ending December 31, </w:t>
      </w:r>
      <w:r w:rsidR="00EF15E6">
        <w:rPr>
          <w:rFonts w:cstheme="minorHAnsi"/>
          <w:color w:val="0D0D0D" w:themeColor="text1" w:themeTint="F2"/>
          <w:sz w:val="24"/>
        </w:rPr>
        <w:t>2022</w:t>
      </w:r>
      <w:r w:rsidR="00EF15E6" w:rsidRPr="001E1287">
        <w:rPr>
          <w:rFonts w:cstheme="minorHAnsi"/>
          <w:color w:val="FF0000"/>
          <w:sz w:val="24"/>
        </w:rPr>
        <w:t xml:space="preserve"> </w:t>
      </w:r>
      <w:r w:rsidRPr="00F54559">
        <w:rPr>
          <w:rFonts w:cstheme="minorHAnsi"/>
          <w:sz w:val="24"/>
        </w:rPr>
        <w:t xml:space="preserve">and </w:t>
      </w:r>
      <w:r w:rsidRPr="00D479C4">
        <w:rPr>
          <w:rFonts w:cstheme="minorHAnsi"/>
          <w:sz w:val="24"/>
        </w:rPr>
        <w:t>$</w:t>
      </w:r>
      <w:r w:rsidR="00EF15E6">
        <w:rPr>
          <w:rFonts w:cstheme="minorHAnsi"/>
          <w:sz w:val="24"/>
        </w:rPr>
        <w:t>7,409</w:t>
      </w:r>
      <w:r w:rsidRPr="00954D00">
        <w:rPr>
          <w:rFonts w:cstheme="minorHAnsi"/>
          <w:sz w:val="24"/>
        </w:rPr>
        <w:t xml:space="preserve"> </w:t>
      </w:r>
      <w:r w:rsidRPr="00F54559">
        <w:rPr>
          <w:rFonts w:cstheme="minorHAnsi"/>
          <w:sz w:val="24"/>
        </w:rPr>
        <w:t xml:space="preserve">for </w:t>
      </w:r>
      <w:r>
        <w:rPr>
          <w:rFonts w:cstheme="minorHAnsi"/>
          <w:sz w:val="24"/>
        </w:rPr>
        <w:t xml:space="preserve">the </w:t>
      </w:r>
      <w:r w:rsidR="00EF15E6">
        <w:rPr>
          <w:rFonts w:cstheme="minorHAnsi"/>
          <w:sz w:val="24"/>
        </w:rPr>
        <w:t xml:space="preserve">six months </w:t>
      </w:r>
      <w:r>
        <w:rPr>
          <w:rFonts w:cstheme="minorHAnsi"/>
          <w:sz w:val="24"/>
        </w:rPr>
        <w:t xml:space="preserve">ending </w:t>
      </w:r>
      <w:r w:rsidR="00EF15E6">
        <w:rPr>
          <w:rFonts w:cstheme="minorHAnsi"/>
          <w:sz w:val="24"/>
        </w:rPr>
        <w:t xml:space="preserve">December </w:t>
      </w:r>
      <w:r>
        <w:rPr>
          <w:rFonts w:cstheme="minorHAnsi"/>
          <w:sz w:val="24"/>
        </w:rPr>
        <w:t>30, 2021</w:t>
      </w:r>
      <w:r w:rsidRPr="00F54559">
        <w:rPr>
          <w:rFonts w:cstheme="minorHAnsi"/>
          <w:sz w:val="24"/>
        </w:rPr>
        <w:t>.</w:t>
      </w:r>
    </w:p>
    <w:p w14:paraId="629F8F66" w14:textId="77777777" w:rsidR="00DD1612" w:rsidRPr="00F54559" w:rsidRDefault="00DD1612" w:rsidP="00DD1612">
      <w:pPr>
        <w:ind w:left="810"/>
        <w:rPr>
          <w:rFonts w:cstheme="minorHAnsi"/>
          <w:sz w:val="24"/>
          <w:highlight w:val="yellow"/>
        </w:rPr>
      </w:pPr>
    </w:p>
    <w:p w14:paraId="1E4D1F43" w14:textId="576C1507" w:rsidR="00DD1612" w:rsidRPr="00F54559" w:rsidRDefault="00DD1612" w:rsidP="00DD1612">
      <w:pPr>
        <w:rPr>
          <w:rFonts w:cstheme="minorHAnsi"/>
          <w:sz w:val="24"/>
        </w:rPr>
      </w:pPr>
      <w:r w:rsidRPr="00F54559">
        <w:rPr>
          <w:rFonts w:cstheme="minorHAnsi"/>
          <w:sz w:val="24"/>
        </w:rPr>
        <w:t xml:space="preserve">The Foundation asset category, long-term investments, endowment, comprised </w:t>
      </w:r>
      <w:r w:rsidR="00EF15E6">
        <w:rPr>
          <w:rFonts w:cstheme="minorHAnsi"/>
          <w:sz w:val="24"/>
        </w:rPr>
        <w:t xml:space="preserve">87% and </w:t>
      </w:r>
      <w:r w:rsidRPr="001E1287">
        <w:rPr>
          <w:rFonts w:cstheme="minorHAnsi"/>
          <w:color w:val="0D0D0D" w:themeColor="text1" w:themeTint="F2"/>
          <w:sz w:val="24"/>
        </w:rPr>
        <w:t>84</w:t>
      </w:r>
      <w:r w:rsidRPr="00F54559">
        <w:rPr>
          <w:rFonts w:cstheme="minorHAnsi"/>
          <w:sz w:val="24"/>
        </w:rPr>
        <w:t xml:space="preserve">% of the Foundation’s total assets as of </w:t>
      </w:r>
      <w:r>
        <w:rPr>
          <w:rFonts w:cstheme="minorHAnsi"/>
          <w:sz w:val="24"/>
        </w:rPr>
        <w:t xml:space="preserve">December 31, </w:t>
      </w:r>
      <w:proofErr w:type="gramStart"/>
      <w:r>
        <w:rPr>
          <w:rFonts w:cstheme="minorHAnsi"/>
          <w:sz w:val="24"/>
        </w:rPr>
        <w:t>202</w:t>
      </w:r>
      <w:r w:rsidR="009A26C8">
        <w:rPr>
          <w:rFonts w:cstheme="minorHAnsi"/>
          <w:sz w:val="24"/>
        </w:rPr>
        <w:t>2</w:t>
      </w:r>
      <w:proofErr w:type="gramEnd"/>
      <w:r>
        <w:rPr>
          <w:rFonts w:cstheme="minorHAnsi"/>
          <w:sz w:val="24"/>
        </w:rPr>
        <w:t xml:space="preserve"> and </w:t>
      </w:r>
      <w:r w:rsidR="00EF15E6">
        <w:rPr>
          <w:rFonts w:cstheme="minorHAnsi"/>
          <w:sz w:val="24"/>
        </w:rPr>
        <w:t>December</w:t>
      </w:r>
      <w:r w:rsidRPr="00F54559">
        <w:rPr>
          <w:rFonts w:cstheme="minorHAnsi"/>
          <w:sz w:val="24"/>
        </w:rPr>
        <w:t xml:space="preserve">, </w:t>
      </w:r>
      <w:r w:rsidR="009A26C8">
        <w:rPr>
          <w:rFonts w:cstheme="minorHAnsi"/>
          <w:sz w:val="24"/>
        </w:rPr>
        <w:t>2021</w:t>
      </w:r>
      <w:r>
        <w:rPr>
          <w:rFonts w:cstheme="minorHAnsi"/>
          <w:sz w:val="24"/>
        </w:rPr>
        <w:t>,</w:t>
      </w:r>
      <w:r w:rsidRPr="00F54559">
        <w:rPr>
          <w:rFonts w:cstheme="minorHAnsi"/>
          <w:sz w:val="24"/>
        </w:rPr>
        <w:t xml:space="preserve"> respectively. Remaining disclosures in this note relate to this asset group.</w:t>
      </w:r>
    </w:p>
    <w:p w14:paraId="0FB513B3" w14:textId="77777777" w:rsidR="00DD1612" w:rsidRPr="00F54559" w:rsidRDefault="00DD1612" w:rsidP="00DD1612">
      <w:pPr>
        <w:pStyle w:val="AFR4"/>
        <w:rPr>
          <w:rFonts w:cstheme="minorHAnsi"/>
        </w:rPr>
      </w:pPr>
      <w:r w:rsidRPr="00F54559">
        <w:rPr>
          <w:rFonts w:cstheme="minorHAnsi"/>
        </w:rPr>
        <w:t>Long-term investments, endowment</w:t>
      </w:r>
    </w:p>
    <w:p w14:paraId="30C18302" w14:textId="77777777" w:rsidR="00DD1612" w:rsidRPr="00F54559" w:rsidRDefault="00DD1612" w:rsidP="00DD1612">
      <w:pPr>
        <w:rPr>
          <w:rFonts w:cstheme="minorHAnsi"/>
          <w:sz w:val="24"/>
        </w:rPr>
      </w:pPr>
      <w:r w:rsidRPr="00F54559">
        <w:rPr>
          <w:rFonts w:cstheme="minorHAnsi"/>
          <w:sz w:val="24"/>
        </w:rPr>
        <w:t>The Foundation maintains a general pool of investments for its endowments. These investment securities are stated at fair value based on quoted market prices within active markets. The fair values of alternative investments are determined from information supplied by the investment managers based on the market values of underlying investments on a net asset value basis. Investment income is reflected in the Statements of Activities as “without donor restrictions” or “with donor restrictions” based upon the existence and nature of any donor-imposed restrictions.</w:t>
      </w:r>
    </w:p>
    <w:p w14:paraId="0ACBBA6C" w14:textId="77777777" w:rsidR="00DD1612" w:rsidRPr="00F54559" w:rsidRDefault="00DD1612" w:rsidP="00DD1612">
      <w:pPr>
        <w:ind w:left="810"/>
        <w:rPr>
          <w:rFonts w:cstheme="minorHAnsi"/>
          <w:sz w:val="24"/>
          <w:highlight w:val="yellow"/>
        </w:rPr>
      </w:pPr>
    </w:p>
    <w:p w14:paraId="44BB7AC8" w14:textId="71A14697" w:rsidR="00DD1612" w:rsidRDefault="00DD1612" w:rsidP="00DD1612">
      <w:pPr>
        <w:rPr>
          <w:rFonts w:cstheme="minorHAnsi"/>
          <w:sz w:val="24"/>
        </w:rPr>
      </w:pPr>
      <w:r w:rsidRPr="00F54559">
        <w:rPr>
          <w:rFonts w:cstheme="minorHAnsi"/>
          <w:sz w:val="24"/>
        </w:rPr>
        <w:t xml:space="preserve">The Foundation has established a specific set of investment objectives and guidelines for investment managers that attempt to provide a predictable stream of income while seeking to maintain the purchasing power of the endowment assets over the long-term. The investment policy establishes an achievable return objective and seeks to manage risk through diversification of asset classes. The current long-term return objective is to </w:t>
      </w:r>
      <w:r w:rsidRPr="00D479C4">
        <w:rPr>
          <w:rFonts w:cstheme="minorHAnsi"/>
          <w:sz w:val="24"/>
        </w:rPr>
        <w:t xml:space="preserve">return </w:t>
      </w:r>
      <w:r w:rsidRPr="00C07DC3">
        <w:rPr>
          <w:rFonts w:cstheme="minorHAnsi"/>
          <w:color w:val="0D0D0D" w:themeColor="text1" w:themeTint="F2"/>
          <w:sz w:val="24"/>
        </w:rPr>
        <w:t>7.25</w:t>
      </w:r>
      <w:r w:rsidRPr="00D47E1C">
        <w:rPr>
          <w:rFonts w:cstheme="minorHAnsi"/>
          <w:sz w:val="24"/>
        </w:rPr>
        <w:t>%</w:t>
      </w:r>
      <w:r w:rsidRPr="00F54559">
        <w:rPr>
          <w:rFonts w:cstheme="minorHAnsi"/>
          <w:sz w:val="24"/>
        </w:rPr>
        <w:t xml:space="preserve"> </w:t>
      </w:r>
      <w:r>
        <w:rPr>
          <w:rFonts w:cstheme="minorHAnsi"/>
          <w:sz w:val="24"/>
        </w:rPr>
        <w:t>for</w:t>
      </w:r>
      <w:r w:rsidRPr="00F54559">
        <w:rPr>
          <w:rFonts w:cstheme="minorHAnsi"/>
          <w:sz w:val="24"/>
        </w:rPr>
        <w:t xml:space="preserve"> </w:t>
      </w:r>
    </w:p>
    <w:p w14:paraId="4DB071AA" w14:textId="77777777" w:rsidR="00944022" w:rsidRPr="00F54559" w:rsidRDefault="00944022" w:rsidP="00944022">
      <w:pPr>
        <w:pStyle w:val="AFR4"/>
        <w:spacing w:after="240"/>
        <w:rPr>
          <w:rFonts w:eastAsiaTheme="majorEastAsia" w:cstheme="minorHAnsi"/>
          <w:i/>
          <w:iCs/>
          <w:smallCaps/>
          <w:noProof/>
          <w:color w:val="000000" w:themeColor="text1"/>
          <w:sz w:val="26"/>
          <w:szCs w:val="26"/>
          <w:u w:val="none" w:color="5B9BD5"/>
        </w:rPr>
      </w:pPr>
      <w:r w:rsidRPr="00F54559">
        <w:rPr>
          <w:rFonts w:eastAsiaTheme="majorEastAsia" w:cstheme="minorHAnsi"/>
          <w:i/>
          <w:iCs/>
          <w:smallCaps/>
          <w:noProof/>
          <w:color w:val="000000" w:themeColor="text1"/>
          <w:sz w:val="26"/>
          <w:szCs w:val="26"/>
          <w:u w:val="none" w:color="5B9BD5"/>
        </w:rPr>
        <w:lastRenderedPageBreak/>
        <w:t>16. COMPONENT UNITS - CONTINUED</w:t>
      </w:r>
    </w:p>
    <w:p w14:paraId="383F0EEB" w14:textId="38571F2B" w:rsidR="00DD1612" w:rsidRDefault="00DD1612" w:rsidP="00DD1612">
      <w:pPr>
        <w:rPr>
          <w:rFonts w:cstheme="minorHAnsi"/>
          <w:sz w:val="24"/>
        </w:rPr>
      </w:pPr>
      <w:r>
        <w:rPr>
          <w:rFonts w:cstheme="minorHAnsi"/>
          <w:sz w:val="24"/>
        </w:rPr>
        <w:t xml:space="preserve">December 31, </w:t>
      </w:r>
      <w:r w:rsidRPr="00C07DC3">
        <w:rPr>
          <w:rFonts w:cstheme="minorHAnsi"/>
          <w:sz w:val="24"/>
        </w:rPr>
        <w:t>202</w:t>
      </w:r>
      <w:r w:rsidR="00EF15E6">
        <w:rPr>
          <w:rFonts w:cstheme="minorHAnsi"/>
          <w:sz w:val="24"/>
        </w:rPr>
        <w:t>2</w:t>
      </w:r>
      <w:r w:rsidRPr="00F54559">
        <w:rPr>
          <w:rFonts w:cstheme="minorHAnsi"/>
          <w:sz w:val="24"/>
        </w:rPr>
        <w:t xml:space="preserve"> and </w:t>
      </w:r>
      <w:r w:rsidR="00EF15E6">
        <w:rPr>
          <w:rFonts w:cstheme="minorHAnsi"/>
          <w:sz w:val="24"/>
        </w:rPr>
        <w:t>December 31</w:t>
      </w:r>
      <w:r>
        <w:rPr>
          <w:rFonts w:cstheme="minorHAnsi"/>
          <w:sz w:val="24"/>
        </w:rPr>
        <w:t xml:space="preserve">, </w:t>
      </w:r>
      <w:r w:rsidR="00972F41" w:rsidRPr="00F54559">
        <w:rPr>
          <w:rFonts w:cstheme="minorHAnsi"/>
          <w:sz w:val="24"/>
        </w:rPr>
        <w:t>20</w:t>
      </w:r>
      <w:r w:rsidR="00972F41">
        <w:rPr>
          <w:rFonts w:cstheme="minorHAnsi"/>
          <w:sz w:val="24"/>
        </w:rPr>
        <w:t>21</w:t>
      </w:r>
      <w:r w:rsidRPr="00F54559">
        <w:rPr>
          <w:rFonts w:cstheme="minorHAnsi"/>
          <w:sz w:val="24"/>
        </w:rPr>
        <w:t>. Actual returns in any given year may vary from these amounts.</w:t>
      </w:r>
    </w:p>
    <w:p w14:paraId="662C1394" w14:textId="77777777" w:rsidR="00DD1612" w:rsidRPr="00F54559" w:rsidRDefault="00DD1612" w:rsidP="00DD1612">
      <w:pPr>
        <w:pStyle w:val="AFR4"/>
        <w:rPr>
          <w:rFonts w:cstheme="minorHAnsi"/>
        </w:rPr>
      </w:pPr>
      <w:r w:rsidRPr="00F54559">
        <w:rPr>
          <w:rFonts w:cstheme="minorHAnsi"/>
        </w:rPr>
        <w:t>Endowment spending policy</w:t>
      </w:r>
    </w:p>
    <w:p w14:paraId="43F7F62C" w14:textId="0579FABD" w:rsidR="00DD1612" w:rsidRPr="00F54559" w:rsidRDefault="00DD1612" w:rsidP="00DD1612">
      <w:pPr>
        <w:rPr>
          <w:rFonts w:cstheme="minorHAnsi"/>
          <w:sz w:val="24"/>
        </w:rPr>
      </w:pPr>
      <w:r w:rsidRPr="00F54559">
        <w:rPr>
          <w:rFonts w:cstheme="minorHAnsi"/>
          <w:sz w:val="24"/>
        </w:rPr>
        <w:t xml:space="preserve">The Foundation utilizes a spending policy for its pooled endowment in order to provide for the current and long-term needs of endowment recipients. The spending policy determines the endowment income to be distributed. </w:t>
      </w:r>
      <w:r>
        <w:rPr>
          <w:rFonts w:cstheme="minorHAnsi"/>
          <w:sz w:val="24"/>
        </w:rPr>
        <w:t xml:space="preserve">For the </w:t>
      </w:r>
      <w:r>
        <w:rPr>
          <w:rFonts w:cstheme="minorHAnsi"/>
          <w:color w:val="0D0D0D" w:themeColor="text1" w:themeTint="F2"/>
          <w:sz w:val="24"/>
        </w:rPr>
        <w:t>periods</w:t>
      </w:r>
      <w:r w:rsidRPr="001E1287">
        <w:rPr>
          <w:rFonts w:cstheme="minorHAnsi"/>
          <w:color w:val="0D0D0D" w:themeColor="text1" w:themeTint="F2"/>
          <w:sz w:val="24"/>
        </w:rPr>
        <w:t xml:space="preserve"> ended December 31, </w:t>
      </w:r>
      <w:proofErr w:type="gramStart"/>
      <w:r w:rsidRPr="001E1287">
        <w:rPr>
          <w:rFonts w:cstheme="minorHAnsi"/>
          <w:color w:val="0D0D0D" w:themeColor="text1" w:themeTint="F2"/>
          <w:sz w:val="24"/>
        </w:rPr>
        <w:t>202</w:t>
      </w:r>
      <w:r w:rsidR="00EF15E6">
        <w:rPr>
          <w:rFonts w:cstheme="minorHAnsi"/>
          <w:color w:val="0D0D0D" w:themeColor="text1" w:themeTint="F2"/>
          <w:sz w:val="24"/>
        </w:rPr>
        <w:t>2</w:t>
      </w:r>
      <w:proofErr w:type="gramEnd"/>
      <w:r w:rsidRPr="001E1287">
        <w:rPr>
          <w:rFonts w:cstheme="minorHAnsi"/>
          <w:color w:val="0D0D0D" w:themeColor="text1" w:themeTint="F2"/>
          <w:sz w:val="24"/>
        </w:rPr>
        <w:t xml:space="preserve"> and </w:t>
      </w:r>
      <w:r w:rsidR="00EF15E6" w:rsidRPr="001E1287">
        <w:rPr>
          <w:rFonts w:cstheme="minorHAnsi"/>
          <w:color w:val="0D0D0D" w:themeColor="text1" w:themeTint="F2"/>
          <w:sz w:val="24"/>
        </w:rPr>
        <w:t xml:space="preserve">December 31, 2021 </w:t>
      </w:r>
      <w:r w:rsidRPr="001E1287">
        <w:rPr>
          <w:rFonts w:cstheme="minorHAnsi"/>
          <w:color w:val="0D0D0D" w:themeColor="text1" w:themeTint="F2"/>
          <w:sz w:val="24"/>
        </w:rPr>
        <w:t>the spending policy was 4.5% of the average market value for the twelve previous quarters ending September 30</w:t>
      </w:r>
      <w:r w:rsidRPr="00113126">
        <w:rPr>
          <w:rFonts w:cstheme="minorHAnsi"/>
          <w:sz w:val="24"/>
        </w:rPr>
        <w:t>.</w:t>
      </w:r>
      <w:r>
        <w:rPr>
          <w:rFonts w:cstheme="minorHAnsi"/>
          <w:sz w:val="24"/>
        </w:rPr>
        <w:t xml:space="preserve"> </w:t>
      </w:r>
    </w:p>
    <w:p w14:paraId="1AABD4EC" w14:textId="77777777" w:rsidR="00DD1612" w:rsidRPr="00F54559" w:rsidRDefault="00DD1612" w:rsidP="00DD1612">
      <w:pPr>
        <w:ind w:left="810"/>
        <w:rPr>
          <w:rFonts w:cstheme="minorHAnsi"/>
          <w:sz w:val="24"/>
          <w:highlight w:val="yellow"/>
        </w:rPr>
      </w:pPr>
    </w:p>
    <w:p w14:paraId="4D141A88" w14:textId="05653E10" w:rsidR="00DD1612" w:rsidRPr="00F54559" w:rsidRDefault="00DD1612" w:rsidP="00DD1612">
      <w:pPr>
        <w:rPr>
          <w:rFonts w:cstheme="minorHAnsi"/>
          <w:sz w:val="24"/>
        </w:rPr>
      </w:pPr>
      <w:r w:rsidRPr="00F54559">
        <w:rPr>
          <w:rFonts w:cstheme="minorHAnsi"/>
          <w:sz w:val="24"/>
        </w:rPr>
        <w:t xml:space="preserve">Endowment spending is contingent upon a fund’s market value exceeding its historic dollar value (principal). In accordance with the Uniform Prudent Management of Institutional Funds Act, a prudent expenditure may be allowed unless the donor has explicitly prohibited expenditure of principal. During the </w:t>
      </w:r>
      <w:r w:rsidR="003B406C">
        <w:rPr>
          <w:rFonts w:cstheme="minorHAnsi"/>
          <w:sz w:val="24"/>
        </w:rPr>
        <w:t xml:space="preserve">year ended December 31, 2022 and the </w:t>
      </w:r>
      <w:r>
        <w:rPr>
          <w:rFonts w:cstheme="minorHAnsi"/>
          <w:sz w:val="24"/>
        </w:rPr>
        <w:t xml:space="preserve">six months </w:t>
      </w:r>
      <w:r w:rsidRPr="00F54559">
        <w:rPr>
          <w:rFonts w:cstheme="minorHAnsi"/>
          <w:sz w:val="24"/>
        </w:rPr>
        <w:t xml:space="preserve">ended </w:t>
      </w:r>
      <w:r>
        <w:rPr>
          <w:rFonts w:cstheme="minorHAnsi"/>
          <w:sz w:val="24"/>
        </w:rPr>
        <w:t xml:space="preserve">December 31, 2021 </w:t>
      </w:r>
      <w:r w:rsidRPr="00F54559">
        <w:rPr>
          <w:rFonts w:cstheme="minorHAnsi"/>
          <w:sz w:val="24"/>
        </w:rPr>
        <w:t xml:space="preserve">the Foundation distributed </w:t>
      </w:r>
      <w:r w:rsidR="003B406C">
        <w:rPr>
          <w:rFonts w:cstheme="minorHAnsi"/>
          <w:sz w:val="24"/>
        </w:rPr>
        <w:t xml:space="preserve">$36,946 and </w:t>
      </w:r>
      <w:r w:rsidRPr="003D0FD8">
        <w:rPr>
          <w:rFonts w:cstheme="minorHAnsi"/>
          <w:sz w:val="24"/>
        </w:rPr>
        <w:t>$</w:t>
      </w:r>
      <w:r w:rsidRPr="001E1287">
        <w:rPr>
          <w:rFonts w:cstheme="minorHAnsi"/>
          <w:color w:val="0D0D0D" w:themeColor="text1" w:themeTint="F2"/>
          <w:sz w:val="24"/>
        </w:rPr>
        <w:t>8,243</w:t>
      </w:r>
      <w:r w:rsidRPr="00F54559">
        <w:rPr>
          <w:rFonts w:cstheme="minorHAnsi"/>
          <w:sz w:val="24"/>
        </w:rPr>
        <w:t>, respectively, to the System for both restricted and unrestricted purposes.</w:t>
      </w:r>
    </w:p>
    <w:p w14:paraId="174AA11C" w14:textId="77777777" w:rsidR="00DD1612" w:rsidRPr="00F54559" w:rsidRDefault="00DD1612" w:rsidP="00DD1612">
      <w:pPr>
        <w:pStyle w:val="AFR4"/>
        <w:rPr>
          <w:rFonts w:cstheme="minorHAnsi"/>
        </w:rPr>
      </w:pPr>
      <w:r w:rsidRPr="00F54559">
        <w:rPr>
          <w:rFonts w:cstheme="minorHAnsi"/>
        </w:rPr>
        <w:t>Fair value measurements</w:t>
      </w:r>
    </w:p>
    <w:p w14:paraId="25137083" w14:textId="77777777" w:rsidR="00DD1612" w:rsidRPr="00F54559" w:rsidRDefault="00DD1612" w:rsidP="00DD1612">
      <w:pPr>
        <w:rPr>
          <w:rFonts w:cstheme="minorHAnsi"/>
          <w:sz w:val="24"/>
        </w:rPr>
      </w:pPr>
      <w:r w:rsidRPr="00F54559">
        <w:rPr>
          <w:rFonts w:cstheme="minorHAnsi"/>
          <w:sz w:val="24"/>
        </w:rPr>
        <w:t>Fair value is defined as the price that would be received to sell an asset or paid to transfer a liability (i.e., the “exit price”) in an orderly transaction between market participants at the measurement date.</w:t>
      </w:r>
    </w:p>
    <w:p w14:paraId="75D0140C" w14:textId="77777777" w:rsidR="00DD1612" w:rsidRPr="00F54559" w:rsidRDefault="00DD1612" w:rsidP="00DD1612">
      <w:pPr>
        <w:ind w:left="810"/>
        <w:rPr>
          <w:rFonts w:cstheme="minorHAnsi"/>
          <w:sz w:val="24"/>
        </w:rPr>
      </w:pPr>
    </w:p>
    <w:p w14:paraId="4A9E14FB" w14:textId="77777777" w:rsidR="00DD1612" w:rsidRPr="00F54559" w:rsidRDefault="00DD1612" w:rsidP="00DD1612">
      <w:pPr>
        <w:spacing w:after="240"/>
        <w:rPr>
          <w:rFonts w:cstheme="minorHAnsi"/>
          <w:sz w:val="24"/>
        </w:rPr>
      </w:pPr>
      <w:r w:rsidRPr="00F54559">
        <w:rPr>
          <w:rFonts w:cstheme="minorHAnsi"/>
          <w:sz w:val="24"/>
        </w:rPr>
        <w:t>A fair value hierarchy for inputs is used in measuring fair value that maximizes the use of observable inputs and minimizes the use of unobservable inputs by requiring that the most observable inputs be used when available. Observable inputs are those that market participants would use in pricing the asset or liability based on market data obtained from sources independent of the Foundation. Unobservable inputs reflect assumptions about the inputs market participants would use in pricing the asset or liability developed based on the best information available in the circumstances. The fair value hierarchy is categorized into three levels based on the inputs as follows:</w:t>
      </w:r>
    </w:p>
    <w:p w14:paraId="2D97CE81" w14:textId="77777777" w:rsidR="00DD1612" w:rsidRPr="00F54559" w:rsidRDefault="00DD1612" w:rsidP="00DD1612">
      <w:pPr>
        <w:numPr>
          <w:ilvl w:val="0"/>
          <w:numId w:val="8"/>
        </w:numPr>
        <w:spacing w:after="160"/>
        <w:ind w:left="1350" w:hanging="1080"/>
        <w:rPr>
          <w:rFonts w:eastAsia="Times New Roman" w:cstheme="minorHAnsi"/>
          <w:sz w:val="24"/>
          <w:szCs w:val="24"/>
        </w:rPr>
      </w:pPr>
      <w:r w:rsidRPr="00F54559">
        <w:rPr>
          <w:rFonts w:eastAsia="Times New Roman" w:cstheme="minorHAnsi"/>
          <w:sz w:val="24"/>
          <w:szCs w:val="24"/>
        </w:rPr>
        <w:t>Valuations based on unadjusted quoted prices in active markets for identical assets or liabilities that the Fund has the ability to access. Valuation adjustments and block discounts are not applied to Level 1 securities. Since valuations are based on quoted prices that are readily and regularly available in an active market, valuation of these securities does not entail a significant degree of judgment.</w:t>
      </w:r>
    </w:p>
    <w:p w14:paraId="33DA053A" w14:textId="77777777" w:rsidR="00DD1612" w:rsidRPr="00F54559" w:rsidRDefault="00DD1612" w:rsidP="00DD1612">
      <w:pPr>
        <w:numPr>
          <w:ilvl w:val="0"/>
          <w:numId w:val="8"/>
        </w:numPr>
        <w:spacing w:after="160"/>
        <w:ind w:left="1350" w:hanging="1080"/>
        <w:rPr>
          <w:rFonts w:eastAsia="Times New Roman" w:cstheme="minorHAnsi"/>
          <w:sz w:val="24"/>
          <w:szCs w:val="24"/>
        </w:rPr>
      </w:pPr>
      <w:r w:rsidRPr="00F54559">
        <w:rPr>
          <w:rFonts w:eastAsia="Times New Roman" w:cstheme="minorHAnsi"/>
          <w:sz w:val="24"/>
          <w:szCs w:val="24"/>
        </w:rPr>
        <w:t>Valuations based on quoted prices in markets that are not active or for which all significant inputs are observable, either directly or indirectly.</w:t>
      </w:r>
    </w:p>
    <w:p w14:paraId="4E075E28" w14:textId="77777777" w:rsidR="00DD1612" w:rsidRDefault="00DD1612" w:rsidP="00DD1612">
      <w:pPr>
        <w:numPr>
          <w:ilvl w:val="0"/>
          <w:numId w:val="8"/>
        </w:numPr>
        <w:ind w:left="1350" w:hanging="1080"/>
        <w:contextualSpacing/>
        <w:rPr>
          <w:rFonts w:eastAsia="Times New Roman" w:cstheme="minorHAnsi"/>
          <w:sz w:val="24"/>
          <w:szCs w:val="24"/>
        </w:rPr>
      </w:pPr>
      <w:r w:rsidRPr="00F54559">
        <w:rPr>
          <w:rFonts w:eastAsia="Times New Roman" w:cstheme="minorHAnsi"/>
          <w:sz w:val="24"/>
          <w:szCs w:val="24"/>
        </w:rPr>
        <w:t>Valuations based on inputs that are unobservable and significant to the overall fair value measurement.</w:t>
      </w:r>
    </w:p>
    <w:p w14:paraId="0BB40771" w14:textId="77777777" w:rsidR="00DD1612" w:rsidRPr="00F54559" w:rsidRDefault="00DD1612" w:rsidP="00DD1612">
      <w:pPr>
        <w:pStyle w:val="AFR4"/>
        <w:spacing w:after="240"/>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r w:rsidRPr="00F54559">
        <w:rPr>
          <w:rFonts w:eastAsiaTheme="majorEastAsia" w:cstheme="minorHAnsi"/>
          <w:i/>
          <w:iCs/>
          <w:smallCaps/>
          <w:noProof/>
          <w:color w:val="000000" w:themeColor="text1"/>
          <w:sz w:val="26"/>
          <w:szCs w:val="26"/>
          <w:u w:val="none" w:color="5B9BD5"/>
        </w:rPr>
        <w:lastRenderedPageBreak/>
        <w:t>16. COMPONENT UNITS - CONTINUED</w:t>
      </w:r>
    </w:p>
    <w:p w14:paraId="148E248A" w14:textId="70BCD56F" w:rsidR="00DD1612" w:rsidRDefault="00DD1612" w:rsidP="00DD1612">
      <w:pPr>
        <w:rPr>
          <w:rFonts w:cstheme="minorHAnsi"/>
          <w:spacing w:val="-3"/>
          <w:sz w:val="24"/>
        </w:rPr>
      </w:pPr>
      <w:r>
        <w:rPr>
          <w:rFonts w:cstheme="minorHAnsi"/>
          <w:spacing w:val="-3"/>
          <w:sz w:val="24"/>
        </w:rPr>
        <w:t>The Foundation’s short-term investments</w:t>
      </w:r>
      <w:r w:rsidRPr="00EB4F53">
        <w:rPr>
          <w:rFonts w:cstheme="minorHAnsi"/>
          <w:spacing w:val="-3"/>
          <w:sz w:val="24"/>
        </w:rPr>
        <w:t xml:space="preserve"> </w:t>
      </w:r>
      <w:r>
        <w:rPr>
          <w:rFonts w:cstheme="minorHAnsi"/>
          <w:spacing w:val="-3"/>
          <w:sz w:val="24"/>
        </w:rPr>
        <w:t xml:space="preserve">measured at fair value valuations based on unadjusted quoted prices in active markets for identical assets or liabilities (Level 1) as of </w:t>
      </w:r>
      <w:r w:rsidR="003B406C">
        <w:rPr>
          <w:rFonts w:cstheme="minorHAnsi"/>
          <w:spacing w:val="-3"/>
          <w:sz w:val="24"/>
        </w:rPr>
        <w:t xml:space="preserve">December 31, 2022 and </w:t>
      </w:r>
      <w:r>
        <w:rPr>
          <w:rFonts w:cstheme="minorHAnsi"/>
          <w:spacing w:val="-3"/>
          <w:sz w:val="24"/>
        </w:rPr>
        <w:t xml:space="preserve">December 31, 2021 </w:t>
      </w:r>
      <w:r w:rsidR="00E54EA3">
        <w:rPr>
          <w:rFonts w:cstheme="minorHAnsi"/>
          <w:spacing w:val="-3"/>
          <w:sz w:val="24"/>
        </w:rPr>
        <w:t xml:space="preserve">were </w:t>
      </w:r>
      <w:r>
        <w:rPr>
          <w:rFonts w:cstheme="minorHAnsi"/>
          <w:spacing w:val="-3"/>
          <w:sz w:val="24"/>
        </w:rPr>
        <w:t>$</w:t>
      </w:r>
      <w:r w:rsidR="003B406C">
        <w:rPr>
          <w:rFonts w:cstheme="minorHAnsi"/>
          <w:color w:val="0D0D0D" w:themeColor="text1" w:themeTint="F2"/>
          <w:spacing w:val="-3"/>
          <w:sz w:val="24"/>
        </w:rPr>
        <w:t>12,971</w:t>
      </w:r>
      <w:r w:rsidRPr="001E1287">
        <w:rPr>
          <w:rFonts w:cstheme="minorHAnsi"/>
          <w:color w:val="FF0000"/>
          <w:spacing w:val="-3"/>
          <w:sz w:val="24"/>
        </w:rPr>
        <w:t xml:space="preserve"> </w:t>
      </w:r>
      <w:r>
        <w:rPr>
          <w:rFonts w:cstheme="minorHAnsi"/>
          <w:spacing w:val="-3"/>
          <w:sz w:val="24"/>
        </w:rPr>
        <w:t>and $</w:t>
      </w:r>
      <w:r w:rsidR="003B406C">
        <w:rPr>
          <w:rFonts w:cstheme="minorHAnsi"/>
          <w:spacing w:val="-3"/>
          <w:sz w:val="24"/>
        </w:rPr>
        <w:t>32,499</w:t>
      </w:r>
      <w:r>
        <w:rPr>
          <w:rFonts w:cstheme="minorHAnsi"/>
          <w:spacing w:val="-3"/>
          <w:sz w:val="24"/>
        </w:rPr>
        <w:t>, respectively. These investments include money markets, certificates of deposit, U.S. government obligations and bonds.</w:t>
      </w:r>
    </w:p>
    <w:p w14:paraId="2C1C753C" w14:textId="77777777" w:rsidR="00DD1612" w:rsidRDefault="00DD1612" w:rsidP="00DD1612">
      <w:pPr>
        <w:rPr>
          <w:rFonts w:cstheme="minorHAnsi"/>
          <w:spacing w:val="-3"/>
          <w:sz w:val="24"/>
        </w:rPr>
      </w:pPr>
    </w:p>
    <w:p w14:paraId="5ACA53FD" w14:textId="36F7CC18" w:rsidR="00DD1612" w:rsidRDefault="00DD1612" w:rsidP="00DD1612">
      <w:pPr>
        <w:spacing w:after="240"/>
        <w:rPr>
          <w:rFonts w:cstheme="minorHAnsi"/>
          <w:color w:val="FF0000"/>
          <w:spacing w:val="-3"/>
          <w:sz w:val="24"/>
        </w:rPr>
      </w:pPr>
      <w:r w:rsidRPr="00F54559">
        <w:rPr>
          <w:rFonts w:cstheme="minorHAnsi"/>
          <w:spacing w:val="-3"/>
          <w:sz w:val="24"/>
        </w:rPr>
        <w:t xml:space="preserve">The following table summarizes the Foundation's long-term endowment investments by class in the fair value hierarchy as of </w:t>
      </w:r>
      <w:r>
        <w:rPr>
          <w:rFonts w:cstheme="minorHAnsi"/>
          <w:spacing w:val="-3"/>
          <w:sz w:val="24"/>
        </w:rPr>
        <w:t xml:space="preserve">December 31, </w:t>
      </w:r>
      <w:r w:rsidR="004942EB">
        <w:rPr>
          <w:rFonts w:cstheme="minorHAnsi"/>
          <w:spacing w:val="-3"/>
          <w:sz w:val="24"/>
        </w:rPr>
        <w:t>2022</w:t>
      </w:r>
      <w:r w:rsidRPr="00F54559">
        <w:rPr>
          <w:rFonts w:cstheme="minorHAnsi"/>
          <w:spacing w:val="-3"/>
          <w:sz w:val="24"/>
        </w:rPr>
        <w:t>:</w:t>
      </w:r>
      <w:r>
        <w:rPr>
          <w:rFonts w:cstheme="minorHAnsi"/>
          <w:spacing w:val="-3"/>
          <w:sz w:val="24"/>
        </w:rPr>
        <w:t xml:space="preserve"> </w:t>
      </w:r>
    </w:p>
    <w:tbl>
      <w:tblPr>
        <w:tblW w:w="9450" w:type="dxa"/>
        <w:tblLayout w:type="fixed"/>
        <w:tblCellMar>
          <w:left w:w="72" w:type="dxa"/>
          <w:right w:w="72" w:type="dxa"/>
        </w:tblCellMar>
        <w:tblLook w:val="04A0" w:firstRow="1" w:lastRow="0" w:firstColumn="1" w:lastColumn="0" w:noHBand="0" w:noVBand="1"/>
      </w:tblPr>
      <w:tblGrid>
        <w:gridCol w:w="2593"/>
        <w:gridCol w:w="1007"/>
        <w:gridCol w:w="990"/>
        <w:gridCol w:w="630"/>
        <w:gridCol w:w="630"/>
        <w:gridCol w:w="990"/>
        <w:gridCol w:w="2610"/>
      </w:tblGrid>
      <w:tr w:rsidR="00DD1612" w:rsidRPr="00D35BDD" w14:paraId="69416378" w14:textId="77777777" w:rsidTr="00BD375F">
        <w:trPr>
          <w:trHeight w:val="600"/>
          <w:tblHeader/>
        </w:trPr>
        <w:tc>
          <w:tcPr>
            <w:tcW w:w="2593" w:type="dxa"/>
            <w:tcBorders>
              <w:top w:val="nil"/>
              <w:left w:val="nil"/>
              <w:bottom w:val="single" w:sz="12" w:space="0" w:color="00688D"/>
              <w:right w:val="nil"/>
            </w:tcBorders>
            <w:shd w:val="clear" w:color="000000" w:fill="FFFFFF"/>
            <w:noWrap/>
            <w:vAlign w:val="bottom"/>
            <w:hideMark/>
          </w:tcPr>
          <w:p w14:paraId="1F04FEE8" w14:textId="77777777" w:rsidR="00DD1612" w:rsidRPr="00D35BDD" w:rsidRDefault="00DD1612" w:rsidP="00BD375F">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1007" w:type="dxa"/>
            <w:tcBorders>
              <w:top w:val="nil"/>
              <w:left w:val="nil"/>
              <w:bottom w:val="single" w:sz="12" w:space="0" w:color="00688D"/>
              <w:right w:val="nil"/>
            </w:tcBorders>
            <w:shd w:val="clear" w:color="000000" w:fill="FFFFFF"/>
            <w:vAlign w:val="bottom"/>
            <w:hideMark/>
          </w:tcPr>
          <w:p w14:paraId="1DB3D6A3"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90" w:type="dxa"/>
            <w:tcBorders>
              <w:top w:val="nil"/>
              <w:left w:val="nil"/>
              <w:bottom w:val="single" w:sz="12" w:space="0" w:color="00688D"/>
              <w:right w:val="nil"/>
            </w:tcBorders>
            <w:shd w:val="clear" w:color="000000" w:fill="FFFFFF"/>
            <w:vAlign w:val="bottom"/>
            <w:hideMark/>
          </w:tcPr>
          <w:p w14:paraId="173DE237"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30" w:type="dxa"/>
            <w:tcBorders>
              <w:top w:val="nil"/>
              <w:left w:val="nil"/>
              <w:bottom w:val="single" w:sz="12" w:space="0" w:color="00688D"/>
              <w:right w:val="nil"/>
            </w:tcBorders>
            <w:shd w:val="clear" w:color="000000" w:fill="FFFFFF"/>
            <w:vAlign w:val="bottom"/>
            <w:hideMark/>
          </w:tcPr>
          <w:p w14:paraId="3C1C17E5"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0" w:type="dxa"/>
            <w:tcBorders>
              <w:top w:val="nil"/>
              <w:left w:val="nil"/>
              <w:bottom w:val="single" w:sz="12" w:space="0" w:color="00688D"/>
              <w:right w:val="nil"/>
            </w:tcBorders>
            <w:shd w:val="clear" w:color="000000" w:fill="FFFFFF"/>
            <w:vAlign w:val="bottom"/>
            <w:hideMark/>
          </w:tcPr>
          <w:p w14:paraId="1CCD83B6"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0" w:type="dxa"/>
            <w:tcBorders>
              <w:top w:val="nil"/>
              <w:left w:val="nil"/>
              <w:bottom w:val="single" w:sz="12" w:space="0" w:color="00688D"/>
              <w:right w:val="nil"/>
            </w:tcBorders>
            <w:shd w:val="clear" w:color="000000" w:fill="FFFFFF"/>
            <w:vAlign w:val="bottom"/>
            <w:hideMark/>
          </w:tcPr>
          <w:p w14:paraId="13429697"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610" w:type="dxa"/>
            <w:tcBorders>
              <w:top w:val="nil"/>
              <w:left w:val="nil"/>
              <w:bottom w:val="single" w:sz="12" w:space="0" w:color="00688D"/>
              <w:right w:val="nil"/>
            </w:tcBorders>
            <w:shd w:val="clear" w:color="000000" w:fill="FFFFFF"/>
            <w:vAlign w:val="bottom"/>
            <w:hideMark/>
          </w:tcPr>
          <w:p w14:paraId="7C97DE8B"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4942EB" w:rsidRPr="00D35BDD" w14:paraId="3DFD5B07" w14:textId="77777777" w:rsidTr="00BD375F">
        <w:trPr>
          <w:trHeight w:val="300"/>
        </w:trPr>
        <w:tc>
          <w:tcPr>
            <w:tcW w:w="2593" w:type="dxa"/>
            <w:tcBorders>
              <w:top w:val="nil"/>
              <w:left w:val="nil"/>
              <w:bottom w:val="nil"/>
              <w:right w:val="nil"/>
            </w:tcBorders>
            <w:shd w:val="clear" w:color="000000" w:fill="FFFFFF"/>
            <w:noWrap/>
            <w:vAlign w:val="bottom"/>
            <w:hideMark/>
          </w:tcPr>
          <w:p w14:paraId="0C91DEDE"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U.S. equities</w:t>
            </w:r>
          </w:p>
        </w:tc>
        <w:tc>
          <w:tcPr>
            <w:tcW w:w="1007" w:type="dxa"/>
            <w:tcBorders>
              <w:top w:val="nil"/>
              <w:left w:val="nil"/>
              <w:bottom w:val="nil"/>
              <w:right w:val="nil"/>
            </w:tcBorders>
            <w:shd w:val="clear" w:color="000000" w:fill="FFFFFF"/>
            <w:noWrap/>
            <w:vAlign w:val="bottom"/>
            <w:hideMark/>
          </w:tcPr>
          <w:p w14:paraId="531FB02E" w14:textId="47906AC5" w:rsidR="004942EB" w:rsidRPr="00954D00" w:rsidRDefault="004942EB" w:rsidP="004942EB">
            <w:pPr>
              <w:jc w:val="right"/>
              <w:rPr>
                <w:rFonts w:ascii="Calibri" w:eastAsia="Times New Roman" w:hAnsi="Calibri" w:cs="Calibri"/>
              </w:rPr>
            </w:pPr>
            <w:r>
              <w:rPr>
                <w:rFonts w:ascii="Calibri" w:hAnsi="Calibri" w:cs="Calibri"/>
                <w:color w:val="0D0D0D"/>
              </w:rPr>
              <w:t>$  71,694</w:t>
            </w:r>
          </w:p>
        </w:tc>
        <w:tc>
          <w:tcPr>
            <w:tcW w:w="990" w:type="dxa"/>
            <w:tcBorders>
              <w:top w:val="nil"/>
              <w:left w:val="nil"/>
              <w:bottom w:val="nil"/>
              <w:right w:val="nil"/>
            </w:tcBorders>
            <w:shd w:val="clear" w:color="000000" w:fill="FFFFFF"/>
            <w:noWrap/>
            <w:vAlign w:val="bottom"/>
            <w:hideMark/>
          </w:tcPr>
          <w:p w14:paraId="01B6C422" w14:textId="321C5ABF" w:rsidR="004942EB" w:rsidRPr="00954D00" w:rsidRDefault="004942EB" w:rsidP="004942EB">
            <w:pPr>
              <w:jc w:val="right"/>
              <w:rPr>
                <w:rFonts w:ascii="Calibri" w:eastAsia="Times New Roman" w:hAnsi="Calibri" w:cs="Calibri"/>
              </w:rPr>
            </w:pPr>
            <w:r>
              <w:rPr>
                <w:rFonts w:ascii="Calibri" w:hAnsi="Calibri" w:cs="Calibri"/>
                <w:color w:val="0D0D0D"/>
              </w:rPr>
              <w:t>$  12,976</w:t>
            </w:r>
          </w:p>
        </w:tc>
        <w:tc>
          <w:tcPr>
            <w:tcW w:w="630" w:type="dxa"/>
            <w:tcBorders>
              <w:top w:val="nil"/>
              <w:left w:val="nil"/>
              <w:bottom w:val="nil"/>
              <w:right w:val="nil"/>
            </w:tcBorders>
            <w:shd w:val="clear" w:color="000000" w:fill="FFFFFF"/>
            <w:noWrap/>
            <w:vAlign w:val="bottom"/>
            <w:hideMark/>
          </w:tcPr>
          <w:p w14:paraId="5B8F03A6" w14:textId="45862B0A" w:rsidR="004942EB" w:rsidRPr="00954D00" w:rsidRDefault="004942EB" w:rsidP="004942EB">
            <w:pPr>
              <w:jc w:val="right"/>
              <w:rPr>
                <w:rFonts w:ascii="Calibri" w:eastAsia="Times New Roman" w:hAnsi="Calibri" w:cs="Calibri"/>
              </w:rPr>
            </w:pPr>
            <w:r>
              <w:rPr>
                <w:rFonts w:ascii="Calibri" w:hAnsi="Calibri" w:cs="Calibri"/>
                <w:color w:val="0D0D0D"/>
              </w:rPr>
              <w:t>$      -</w:t>
            </w:r>
          </w:p>
        </w:tc>
        <w:tc>
          <w:tcPr>
            <w:tcW w:w="630" w:type="dxa"/>
            <w:tcBorders>
              <w:top w:val="nil"/>
              <w:left w:val="nil"/>
              <w:bottom w:val="nil"/>
              <w:right w:val="nil"/>
            </w:tcBorders>
            <w:shd w:val="clear" w:color="000000" w:fill="FFFFFF"/>
            <w:noWrap/>
            <w:vAlign w:val="bottom"/>
            <w:hideMark/>
          </w:tcPr>
          <w:p w14:paraId="188BD319" w14:textId="30BEBB55" w:rsidR="004942EB" w:rsidRPr="00954D00" w:rsidRDefault="004942EB" w:rsidP="004942EB">
            <w:pPr>
              <w:jc w:val="right"/>
              <w:rPr>
                <w:rFonts w:ascii="Calibri" w:eastAsia="Times New Roman" w:hAnsi="Calibri" w:cs="Calibri"/>
              </w:rPr>
            </w:pPr>
            <w:r>
              <w:rPr>
                <w:rFonts w:ascii="Calibri" w:hAnsi="Calibri" w:cs="Calibri"/>
                <w:color w:val="0D0D0D"/>
              </w:rPr>
              <w:t>$      -</w:t>
            </w:r>
          </w:p>
        </w:tc>
        <w:tc>
          <w:tcPr>
            <w:tcW w:w="990" w:type="dxa"/>
            <w:tcBorders>
              <w:top w:val="nil"/>
              <w:left w:val="nil"/>
              <w:bottom w:val="nil"/>
              <w:right w:val="nil"/>
            </w:tcBorders>
            <w:shd w:val="clear" w:color="000000" w:fill="FFFFFF"/>
            <w:noWrap/>
            <w:vAlign w:val="bottom"/>
            <w:hideMark/>
          </w:tcPr>
          <w:p w14:paraId="472E1DC1" w14:textId="320DA2F7" w:rsidR="004942EB" w:rsidRPr="00954D00" w:rsidRDefault="004942EB" w:rsidP="004942EB">
            <w:pPr>
              <w:jc w:val="right"/>
              <w:rPr>
                <w:rFonts w:ascii="Calibri" w:eastAsia="Times New Roman" w:hAnsi="Calibri" w:cs="Calibri"/>
              </w:rPr>
            </w:pPr>
            <w:r>
              <w:rPr>
                <w:rFonts w:ascii="Calibri" w:hAnsi="Calibri" w:cs="Calibri"/>
                <w:color w:val="0D0D0D"/>
              </w:rPr>
              <w:t>$  84,670</w:t>
            </w:r>
          </w:p>
        </w:tc>
        <w:tc>
          <w:tcPr>
            <w:tcW w:w="2610" w:type="dxa"/>
            <w:tcBorders>
              <w:top w:val="nil"/>
              <w:left w:val="nil"/>
              <w:bottom w:val="nil"/>
              <w:right w:val="nil"/>
            </w:tcBorders>
            <w:shd w:val="clear" w:color="000000" w:fill="FFFFFF"/>
            <w:vAlign w:val="bottom"/>
            <w:hideMark/>
          </w:tcPr>
          <w:p w14:paraId="4F384D61" w14:textId="47F4128F" w:rsidR="004942EB" w:rsidRPr="00D35BDD" w:rsidRDefault="004942EB" w:rsidP="004942EB">
            <w:pPr>
              <w:rPr>
                <w:rFonts w:ascii="Calibri" w:eastAsia="Times New Roman" w:hAnsi="Calibri" w:cs="Calibri"/>
                <w:color w:val="0D0D0D"/>
              </w:rPr>
            </w:pPr>
            <w:r>
              <w:rPr>
                <w:rFonts w:ascii="Calibri" w:hAnsi="Calibri" w:cs="Calibri"/>
              </w:rPr>
              <w:t>Daily/Monthly</w:t>
            </w:r>
          </w:p>
        </w:tc>
      </w:tr>
      <w:tr w:rsidR="004942EB" w:rsidRPr="00D35BDD" w14:paraId="49F1FBD5" w14:textId="77777777" w:rsidTr="00BD375F">
        <w:trPr>
          <w:trHeight w:val="288"/>
        </w:trPr>
        <w:tc>
          <w:tcPr>
            <w:tcW w:w="2593" w:type="dxa"/>
            <w:tcBorders>
              <w:top w:val="nil"/>
              <w:left w:val="nil"/>
              <w:bottom w:val="nil"/>
              <w:right w:val="nil"/>
            </w:tcBorders>
            <w:shd w:val="clear" w:color="000000" w:fill="FFFFFF"/>
            <w:noWrap/>
            <w:vAlign w:val="bottom"/>
            <w:hideMark/>
          </w:tcPr>
          <w:p w14:paraId="3B99FEC0"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Non-U.S. equities</w:t>
            </w:r>
          </w:p>
        </w:tc>
        <w:tc>
          <w:tcPr>
            <w:tcW w:w="1007" w:type="dxa"/>
            <w:tcBorders>
              <w:top w:val="nil"/>
              <w:left w:val="nil"/>
              <w:bottom w:val="nil"/>
              <w:right w:val="nil"/>
            </w:tcBorders>
            <w:shd w:val="clear" w:color="000000" w:fill="FFFFFF"/>
            <w:noWrap/>
            <w:vAlign w:val="bottom"/>
            <w:hideMark/>
          </w:tcPr>
          <w:p w14:paraId="1DCED21C" w14:textId="3676EC57" w:rsidR="004942EB" w:rsidRPr="00954D00" w:rsidRDefault="004942EB" w:rsidP="004942EB">
            <w:pPr>
              <w:jc w:val="right"/>
              <w:rPr>
                <w:rFonts w:ascii="Calibri" w:eastAsia="Times New Roman" w:hAnsi="Calibri" w:cs="Calibri"/>
              </w:rPr>
            </w:pPr>
            <w:r>
              <w:rPr>
                <w:rFonts w:ascii="Calibri" w:hAnsi="Calibri" w:cs="Calibri"/>
                <w:color w:val="0D0D0D"/>
              </w:rPr>
              <w:t>19,173</w:t>
            </w:r>
          </w:p>
        </w:tc>
        <w:tc>
          <w:tcPr>
            <w:tcW w:w="990" w:type="dxa"/>
            <w:tcBorders>
              <w:top w:val="nil"/>
              <w:left w:val="nil"/>
              <w:bottom w:val="nil"/>
              <w:right w:val="nil"/>
            </w:tcBorders>
            <w:shd w:val="clear" w:color="000000" w:fill="FFFFFF"/>
            <w:noWrap/>
            <w:vAlign w:val="bottom"/>
            <w:hideMark/>
          </w:tcPr>
          <w:p w14:paraId="225F4527" w14:textId="2BB20079" w:rsidR="004942EB" w:rsidRPr="00954D00" w:rsidRDefault="004942EB" w:rsidP="004942EB">
            <w:pPr>
              <w:jc w:val="right"/>
              <w:rPr>
                <w:rFonts w:ascii="Calibri" w:eastAsia="Times New Roman" w:hAnsi="Calibri" w:cs="Calibri"/>
              </w:rPr>
            </w:pPr>
            <w:r>
              <w:rPr>
                <w:rFonts w:ascii="Calibri" w:hAnsi="Calibri" w:cs="Calibri"/>
                <w:color w:val="0D0D0D"/>
              </w:rPr>
              <w:t>28,251</w:t>
            </w:r>
          </w:p>
        </w:tc>
        <w:tc>
          <w:tcPr>
            <w:tcW w:w="630" w:type="dxa"/>
            <w:tcBorders>
              <w:top w:val="nil"/>
              <w:left w:val="nil"/>
              <w:bottom w:val="nil"/>
              <w:right w:val="nil"/>
            </w:tcBorders>
            <w:shd w:val="clear" w:color="000000" w:fill="FFFFFF"/>
            <w:noWrap/>
            <w:vAlign w:val="bottom"/>
            <w:hideMark/>
          </w:tcPr>
          <w:p w14:paraId="3BECBFDC" w14:textId="5B3AE073"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04893AD6" w14:textId="6B5B7C12"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1FA2C40A" w14:textId="64D1005B" w:rsidR="004942EB" w:rsidRPr="00954D00" w:rsidRDefault="004942EB" w:rsidP="004942EB">
            <w:pPr>
              <w:jc w:val="right"/>
              <w:rPr>
                <w:rFonts w:ascii="Calibri" w:eastAsia="Times New Roman" w:hAnsi="Calibri" w:cs="Calibri"/>
              </w:rPr>
            </w:pPr>
            <w:r>
              <w:rPr>
                <w:rFonts w:ascii="Calibri" w:hAnsi="Calibri" w:cs="Calibri"/>
                <w:color w:val="0D0D0D"/>
              </w:rPr>
              <w:t>47,424</w:t>
            </w:r>
          </w:p>
        </w:tc>
        <w:tc>
          <w:tcPr>
            <w:tcW w:w="2610" w:type="dxa"/>
            <w:tcBorders>
              <w:top w:val="nil"/>
              <w:left w:val="nil"/>
              <w:bottom w:val="nil"/>
              <w:right w:val="nil"/>
            </w:tcBorders>
            <w:shd w:val="clear" w:color="000000" w:fill="FFFFFF"/>
            <w:vAlign w:val="bottom"/>
            <w:hideMark/>
          </w:tcPr>
          <w:p w14:paraId="42477220" w14:textId="438EF8B5" w:rsidR="004942EB" w:rsidRPr="00D35BDD" w:rsidRDefault="004942EB" w:rsidP="004942EB">
            <w:pPr>
              <w:rPr>
                <w:rFonts w:ascii="Calibri" w:eastAsia="Times New Roman" w:hAnsi="Calibri" w:cs="Calibri"/>
                <w:color w:val="0D0D0D"/>
              </w:rPr>
            </w:pPr>
            <w:r>
              <w:rPr>
                <w:rFonts w:ascii="Calibri" w:hAnsi="Calibri" w:cs="Calibri"/>
              </w:rPr>
              <w:t>Daily/Monthly/Quarterly</w:t>
            </w:r>
          </w:p>
        </w:tc>
      </w:tr>
      <w:tr w:rsidR="004942EB" w:rsidRPr="00D35BDD" w14:paraId="069EB763" w14:textId="77777777" w:rsidTr="00BD375F">
        <w:trPr>
          <w:trHeight w:val="288"/>
        </w:trPr>
        <w:tc>
          <w:tcPr>
            <w:tcW w:w="2593" w:type="dxa"/>
            <w:tcBorders>
              <w:top w:val="nil"/>
              <w:left w:val="nil"/>
              <w:bottom w:val="nil"/>
              <w:right w:val="nil"/>
            </w:tcBorders>
            <w:shd w:val="clear" w:color="000000" w:fill="FFFFFF"/>
            <w:noWrap/>
            <w:vAlign w:val="bottom"/>
            <w:hideMark/>
          </w:tcPr>
          <w:p w14:paraId="6356FBC9"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Global equities</w:t>
            </w:r>
          </w:p>
        </w:tc>
        <w:tc>
          <w:tcPr>
            <w:tcW w:w="1007" w:type="dxa"/>
            <w:tcBorders>
              <w:top w:val="nil"/>
              <w:left w:val="nil"/>
              <w:bottom w:val="nil"/>
              <w:right w:val="nil"/>
            </w:tcBorders>
            <w:shd w:val="clear" w:color="000000" w:fill="FFFFFF"/>
            <w:noWrap/>
            <w:vAlign w:val="bottom"/>
            <w:hideMark/>
          </w:tcPr>
          <w:p w14:paraId="1B062CF5" w14:textId="23E3B7DC" w:rsidR="004942EB" w:rsidRPr="00954D00" w:rsidRDefault="004942EB" w:rsidP="004942EB">
            <w:pPr>
              <w:jc w:val="right"/>
              <w:rPr>
                <w:rFonts w:ascii="Calibri" w:eastAsia="Times New Roman" w:hAnsi="Calibri" w:cs="Calibri"/>
              </w:rPr>
            </w:pPr>
            <w:r>
              <w:rPr>
                <w:rFonts w:ascii="Calibri" w:hAnsi="Calibri" w:cs="Calibri"/>
                <w:color w:val="0D0D0D"/>
              </w:rPr>
              <w:t>28,789</w:t>
            </w:r>
          </w:p>
        </w:tc>
        <w:tc>
          <w:tcPr>
            <w:tcW w:w="990" w:type="dxa"/>
            <w:tcBorders>
              <w:top w:val="nil"/>
              <w:left w:val="nil"/>
              <w:bottom w:val="nil"/>
              <w:right w:val="nil"/>
            </w:tcBorders>
            <w:shd w:val="clear" w:color="000000" w:fill="FFFFFF"/>
            <w:noWrap/>
            <w:vAlign w:val="bottom"/>
            <w:hideMark/>
          </w:tcPr>
          <w:p w14:paraId="56F76BCC" w14:textId="125121DE"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6CEF652C" w14:textId="5995641D"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370930B0" w14:textId="67C4D5AB"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769D9265" w14:textId="50740765" w:rsidR="004942EB" w:rsidRPr="00954D00" w:rsidRDefault="004942EB" w:rsidP="004942EB">
            <w:pPr>
              <w:jc w:val="right"/>
              <w:rPr>
                <w:rFonts w:ascii="Calibri" w:eastAsia="Times New Roman" w:hAnsi="Calibri" w:cs="Calibri"/>
              </w:rPr>
            </w:pPr>
            <w:r>
              <w:rPr>
                <w:rFonts w:ascii="Calibri" w:hAnsi="Calibri" w:cs="Calibri"/>
                <w:color w:val="0D0D0D"/>
              </w:rPr>
              <w:t>28,789</w:t>
            </w:r>
          </w:p>
        </w:tc>
        <w:tc>
          <w:tcPr>
            <w:tcW w:w="2610" w:type="dxa"/>
            <w:tcBorders>
              <w:top w:val="nil"/>
              <w:left w:val="nil"/>
              <w:bottom w:val="nil"/>
              <w:right w:val="nil"/>
            </w:tcBorders>
            <w:shd w:val="clear" w:color="000000" w:fill="FFFFFF"/>
            <w:vAlign w:val="bottom"/>
            <w:hideMark/>
          </w:tcPr>
          <w:p w14:paraId="16063151" w14:textId="678A5F49" w:rsidR="004942EB" w:rsidRPr="00D35BDD" w:rsidRDefault="004942EB" w:rsidP="004942EB">
            <w:pPr>
              <w:rPr>
                <w:rFonts w:ascii="Calibri" w:eastAsia="Times New Roman" w:hAnsi="Calibri" w:cs="Calibri"/>
                <w:color w:val="0D0D0D"/>
              </w:rPr>
            </w:pPr>
            <w:r>
              <w:rPr>
                <w:rFonts w:ascii="Calibri" w:hAnsi="Calibri" w:cs="Calibri"/>
              </w:rPr>
              <w:t>Monthly/Quarterly</w:t>
            </w:r>
          </w:p>
        </w:tc>
      </w:tr>
      <w:tr w:rsidR="004942EB" w:rsidRPr="00D35BDD" w14:paraId="24C32424" w14:textId="77777777" w:rsidTr="00BD375F">
        <w:trPr>
          <w:trHeight w:val="288"/>
        </w:trPr>
        <w:tc>
          <w:tcPr>
            <w:tcW w:w="2593" w:type="dxa"/>
            <w:tcBorders>
              <w:top w:val="nil"/>
              <w:left w:val="nil"/>
              <w:bottom w:val="nil"/>
              <w:right w:val="nil"/>
            </w:tcBorders>
            <w:shd w:val="clear" w:color="000000" w:fill="FFFFFF"/>
            <w:noWrap/>
            <w:vAlign w:val="bottom"/>
            <w:hideMark/>
          </w:tcPr>
          <w:p w14:paraId="11EE04F8"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U.S. fixed income</w:t>
            </w:r>
          </w:p>
        </w:tc>
        <w:tc>
          <w:tcPr>
            <w:tcW w:w="1007" w:type="dxa"/>
            <w:tcBorders>
              <w:top w:val="nil"/>
              <w:left w:val="nil"/>
              <w:bottom w:val="nil"/>
              <w:right w:val="nil"/>
            </w:tcBorders>
            <w:shd w:val="clear" w:color="000000" w:fill="FFFFFF"/>
            <w:noWrap/>
            <w:vAlign w:val="bottom"/>
            <w:hideMark/>
          </w:tcPr>
          <w:p w14:paraId="734153D1" w14:textId="51267928"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2C395BD5" w14:textId="266B34AB" w:rsidR="004942EB" w:rsidRPr="00954D00" w:rsidRDefault="004942EB" w:rsidP="004942EB">
            <w:pPr>
              <w:jc w:val="right"/>
              <w:rPr>
                <w:rFonts w:ascii="Calibri" w:eastAsia="Times New Roman" w:hAnsi="Calibri" w:cs="Calibri"/>
              </w:rPr>
            </w:pPr>
            <w:r>
              <w:rPr>
                <w:rFonts w:ascii="Calibri" w:hAnsi="Calibri" w:cs="Calibri"/>
                <w:color w:val="0D0D0D"/>
              </w:rPr>
              <w:t>32,910</w:t>
            </w:r>
          </w:p>
        </w:tc>
        <w:tc>
          <w:tcPr>
            <w:tcW w:w="630" w:type="dxa"/>
            <w:tcBorders>
              <w:top w:val="nil"/>
              <w:left w:val="nil"/>
              <w:bottom w:val="nil"/>
              <w:right w:val="nil"/>
            </w:tcBorders>
            <w:shd w:val="clear" w:color="000000" w:fill="FFFFFF"/>
            <w:noWrap/>
            <w:vAlign w:val="bottom"/>
            <w:hideMark/>
          </w:tcPr>
          <w:p w14:paraId="2F84CB3A" w14:textId="37F77186"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1475498A" w14:textId="71C7A83D"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7292E1F6" w14:textId="5F9786E4" w:rsidR="004942EB" w:rsidRPr="00954D00" w:rsidRDefault="004942EB" w:rsidP="004942EB">
            <w:pPr>
              <w:jc w:val="right"/>
              <w:rPr>
                <w:rFonts w:ascii="Calibri" w:eastAsia="Times New Roman" w:hAnsi="Calibri" w:cs="Calibri"/>
              </w:rPr>
            </w:pPr>
            <w:r>
              <w:rPr>
                <w:rFonts w:ascii="Calibri" w:hAnsi="Calibri" w:cs="Calibri"/>
                <w:color w:val="0D0D0D"/>
              </w:rPr>
              <w:t>32,910</w:t>
            </w:r>
          </w:p>
        </w:tc>
        <w:tc>
          <w:tcPr>
            <w:tcW w:w="2610" w:type="dxa"/>
            <w:tcBorders>
              <w:top w:val="nil"/>
              <w:left w:val="nil"/>
              <w:bottom w:val="nil"/>
              <w:right w:val="nil"/>
            </w:tcBorders>
            <w:shd w:val="clear" w:color="000000" w:fill="FFFFFF"/>
            <w:vAlign w:val="bottom"/>
            <w:hideMark/>
          </w:tcPr>
          <w:p w14:paraId="07F3885E" w14:textId="0DC02A55" w:rsidR="004942EB" w:rsidRPr="00D35BDD" w:rsidRDefault="004942EB" w:rsidP="004942EB">
            <w:pPr>
              <w:rPr>
                <w:rFonts w:ascii="Calibri" w:eastAsia="Times New Roman" w:hAnsi="Calibri" w:cs="Calibri"/>
                <w:color w:val="0D0D0D"/>
              </w:rPr>
            </w:pPr>
            <w:r>
              <w:rPr>
                <w:rFonts w:ascii="Calibri" w:hAnsi="Calibri" w:cs="Calibri"/>
              </w:rPr>
              <w:t>Daily</w:t>
            </w:r>
          </w:p>
        </w:tc>
      </w:tr>
      <w:tr w:rsidR="004942EB" w:rsidRPr="00D35BDD" w14:paraId="0D0180B8" w14:textId="77777777" w:rsidTr="00BD375F">
        <w:trPr>
          <w:trHeight w:val="288"/>
        </w:trPr>
        <w:tc>
          <w:tcPr>
            <w:tcW w:w="2593" w:type="dxa"/>
            <w:tcBorders>
              <w:top w:val="nil"/>
              <w:left w:val="nil"/>
              <w:bottom w:val="nil"/>
              <w:right w:val="nil"/>
            </w:tcBorders>
            <w:shd w:val="clear" w:color="000000" w:fill="FFFFFF"/>
            <w:noWrap/>
            <w:vAlign w:val="bottom"/>
            <w:hideMark/>
          </w:tcPr>
          <w:p w14:paraId="6D4E3013"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1007" w:type="dxa"/>
            <w:tcBorders>
              <w:top w:val="nil"/>
              <w:left w:val="nil"/>
              <w:bottom w:val="nil"/>
              <w:right w:val="nil"/>
            </w:tcBorders>
            <w:shd w:val="clear" w:color="000000" w:fill="FFFFFF"/>
            <w:noWrap/>
            <w:vAlign w:val="bottom"/>
            <w:hideMark/>
          </w:tcPr>
          <w:p w14:paraId="6B972F2D" w14:textId="0BC49D3D" w:rsidR="004942EB" w:rsidRPr="00954D00" w:rsidRDefault="004942EB" w:rsidP="004942EB">
            <w:pPr>
              <w:jc w:val="right"/>
              <w:rPr>
                <w:rFonts w:ascii="Calibri" w:eastAsia="Times New Roman" w:hAnsi="Calibri" w:cs="Calibri"/>
              </w:rPr>
            </w:pPr>
            <w:r>
              <w:rPr>
                <w:rFonts w:ascii="Calibri" w:hAnsi="Calibri" w:cs="Calibri"/>
                <w:color w:val="0D0D0D"/>
              </w:rPr>
              <w:t>50,968</w:t>
            </w:r>
          </w:p>
        </w:tc>
        <w:tc>
          <w:tcPr>
            <w:tcW w:w="990" w:type="dxa"/>
            <w:tcBorders>
              <w:top w:val="nil"/>
              <w:left w:val="nil"/>
              <w:bottom w:val="nil"/>
              <w:right w:val="nil"/>
            </w:tcBorders>
            <w:shd w:val="clear" w:color="000000" w:fill="FFFFFF"/>
            <w:noWrap/>
            <w:vAlign w:val="bottom"/>
            <w:hideMark/>
          </w:tcPr>
          <w:p w14:paraId="21F9CF4E" w14:textId="2DF7C75A"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0792A3DA" w14:textId="6E267766"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1FA4A4BC" w14:textId="3EC215B2"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0A507F2A" w14:textId="7663DA61" w:rsidR="004942EB" w:rsidRPr="00954D00" w:rsidRDefault="004942EB" w:rsidP="004942EB">
            <w:pPr>
              <w:jc w:val="right"/>
              <w:rPr>
                <w:rFonts w:ascii="Calibri" w:eastAsia="Times New Roman" w:hAnsi="Calibri" w:cs="Calibri"/>
              </w:rPr>
            </w:pPr>
            <w:r>
              <w:rPr>
                <w:rFonts w:ascii="Calibri" w:hAnsi="Calibri" w:cs="Calibri"/>
                <w:color w:val="0D0D0D"/>
              </w:rPr>
              <w:t>50,968</w:t>
            </w:r>
          </w:p>
        </w:tc>
        <w:tc>
          <w:tcPr>
            <w:tcW w:w="2610" w:type="dxa"/>
            <w:tcBorders>
              <w:top w:val="nil"/>
              <w:left w:val="nil"/>
              <w:bottom w:val="nil"/>
              <w:right w:val="nil"/>
            </w:tcBorders>
            <w:shd w:val="clear" w:color="000000" w:fill="FFFFFF"/>
            <w:vAlign w:val="bottom"/>
            <w:hideMark/>
          </w:tcPr>
          <w:p w14:paraId="4D2B30F2" w14:textId="5FA6A809" w:rsidR="004942EB" w:rsidRPr="00D35BDD" w:rsidRDefault="004942EB" w:rsidP="004942EB">
            <w:pPr>
              <w:rPr>
                <w:rFonts w:ascii="Calibri" w:eastAsia="Times New Roman" w:hAnsi="Calibri" w:cs="Calibri"/>
                <w:color w:val="0D0D0D"/>
              </w:rPr>
            </w:pPr>
            <w:r>
              <w:rPr>
                <w:rFonts w:ascii="Calibri" w:hAnsi="Calibri" w:cs="Calibri"/>
              </w:rPr>
              <w:t>Illiquid</w:t>
            </w:r>
          </w:p>
        </w:tc>
      </w:tr>
      <w:tr w:rsidR="004942EB" w:rsidRPr="00D35BDD" w14:paraId="06E0E243" w14:textId="77777777" w:rsidTr="00BD375F">
        <w:trPr>
          <w:trHeight w:val="576"/>
        </w:trPr>
        <w:tc>
          <w:tcPr>
            <w:tcW w:w="2593" w:type="dxa"/>
            <w:tcBorders>
              <w:top w:val="nil"/>
              <w:left w:val="nil"/>
              <w:bottom w:val="nil"/>
              <w:right w:val="nil"/>
            </w:tcBorders>
            <w:shd w:val="clear" w:color="000000" w:fill="FFFFFF"/>
            <w:noWrap/>
            <w:vAlign w:val="bottom"/>
            <w:hideMark/>
          </w:tcPr>
          <w:p w14:paraId="0DB3CD4B"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1007" w:type="dxa"/>
            <w:tcBorders>
              <w:top w:val="nil"/>
              <w:left w:val="nil"/>
              <w:bottom w:val="nil"/>
              <w:right w:val="nil"/>
            </w:tcBorders>
            <w:shd w:val="clear" w:color="000000" w:fill="FFFFFF"/>
            <w:noWrap/>
            <w:vAlign w:val="bottom"/>
            <w:hideMark/>
          </w:tcPr>
          <w:p w14:paraId="45D75D6F" w14:textId="60E85EB0" w:rsidR="004942EB" w:rsidRPr="00954D00" w:rsidRDefault="004942EB" w:rsidP="004942EB">
            <w:pPr>
              <w:jc w:val="right"/>
              <w:rPr>
                <w:rFonts w:ascii="Calibri" w:eastAsia="Times New Roman" w:hAnsi="Calibri" w:cs="Calibri"/>
              </w:rPr>
            </w:pPr>
            <w:r>
              <w:rPr>
                <w:rFonts w:ascii="Calibri" w:hAnsi="Calibri" w:cs="Calibri"/>
                <w:color w:val="0D0D0D"/>
              </w:rPr>
              <w:t>25,355</w:t>
            </w:r>
          </w:p>
        </w:tc>
        <w:tc>
          <w:tcPr>
            <w:tcW w:w="990" w:type="dxa"/>
            <w:tcBorders>
              <w:top w:val="nil"/>
              <w:left w:val="nil"/>
              <w:bottom w:val="nil"/>
              <w:right w:val="nil"/>
            </w:tcBorders>
            <w:shd w:val="clear" w:color="000000" w:fill="FFFFFF"/>
            <w:noWrap/>
            <w:vAlign w:val="bottom"/>
            <w:hideMark/>
          </w:tcPr>
          <w:p w14:paraId="72284516" w14:textId="4E90DECA"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0DEF4E10" w14:textId="0CD5692B"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30927309" w14:textId="68687D7B"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7D53F516" w14:textId="40A54F7E" w:rsidR="004942EB" w:rsidRPr="00954D00" w:rsidRDefault="004942EB" w:rsidP="004942EB">
            <w:pPr>
              <w:jc w:val="right"/>
              <w:rPr>
                <w:rFonts w:ascii="Calibri" w:eastAsia="Times New Roman" w:hAnsi="Calibri" w:cs="Calibri"/>
              </w:rPr>
            </w:pPr>
            <w:r>
              <w:rPr>
                <w:rFonts w:ascii="Calibri" w:hAnsi="Calibri" w:cs="Calibri"/>
                <w:color w:val="0D0D0D"/>
              </w:rPr>
              <w:t>25,355</w:t>
            </w:r>
          </w:p>
        </w:tc>
        <w:tc>
          <w:tcPr>
            <w:tcW w:w="2610" w:type="dxa"/>
            <w:tcBorders>
              <w:top w:val="nil"/>
              <w:left w:val="nil"/>
              <w:bottom w:val="nil"/>
              <w:right w:val="nil"/>
            </w:tcBorders>
            <w:shd w:val="clear" w:color="000000" w:fill="FFFFFF"/>
            <w:vAlign w:val="bottom"/>
            <w:hideMark/>
          </w:tcPr>
          <w:p w14:paraId="18EE3E83" w14:textId="2F474B26" w:rsidR="004942EB" w:rsidRPr="00D35BDD" w:rsidRDefault="004942EB" w:rsidP="004942EB">
            <w:pPr>
              <w:rPr>
                <w:rFonts w:ascii="Calibri" w:eastAsia="Times New Roman" w:hAnsi="Calibri" w:cs="Calibri"/>
                <w:color w:val="0D0D0D"/>
              </w:rPr>
            </w:pPr>
            <w:r>
              <w:rPr>
                <w:rFonts w:ascii="Calibri" w:hAnsi="Calibri" w:cs="Calibri"/>
              </w:rPr>
              <w:t>Monthly/Quarterly/Semi-Annually</w:t>
            </w:r>
          </w:p>
        </w:tc>
      </w:tr>
      <w:tr w:rsidR="004942EB" w:rsidRPr="00D35BDD" w14:paraId="1D70519E" w14:textId="77777777" w:rsidTr="00BD375F">
        <w:trPr>
          <w:trHeight w:val="288"/>
        </w:trPr>
        <w:tc>
          <w:tcPr>
            <w:tcW w:w="2593" w:type="dxa"/>
            <w:tcBorders>
              <w:top w:val="nil"/>
              <w:left w:val="nil"/>
              <w:bottom w:val="nil"/>
              <w:right w:val="nil"/>
            </w:tcBorders>
            <w:shd w:val="clear" w:color="000000" w:fill="FFFFFF"/>
            <w:noWrap/>
            <w:vAlign w:val="bottom"/>
            <w:hideMark/>
          </w:tcPr>
          <w:p w14:paraId="7C54E06E"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Cash</w:t>
            </w:r>
          </w:p>
        </w:tc>
        <w:tc>
          <w:tcPr>
            <w:tcW w:w="1007" w:type="dxa"/>
            <w:tcBorders>
              <w:top w:val="nil"/>
              <w:left w:val="nil"/>
              <w:bottom w:val="nil"/>
              <w:right w:val="nil"/>
            </w:tcBorders>
            <w:shd w:val="clear" w:color="000000" w:fill="FFFFFF"/>
            <w:noWrap/>
            <w:vAlign w:val="bottom"/>
            <w:hideMark/>
          </w:tcPr>
          <w:p w14:paraId="5F32CFB9" w14:textId="04B0B911"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3B57DE79" w14:textId="30BE5696" w:rsidR="004942EB" w:rsidRPr="00954D00" w:rsidRDefault="004942EB" w:rsidP="004942EB">
            <w:pPr>
              <w:jc w:val="right"/>
              <w:rPr>
                <w:rFonts w:ascii="Calibri" w:eastAsia="Times New Roman" w:hAnsi="Calibri" w:cs="Calibri"/>
              </w:rPr>
            </w:pPr>
            <w:r>
              <w:rPr>
                <w:rFonts w:ascii="Calibri" w:hAnsi="Calibri" w:cs="Calibri"/>
                <w:color w:val="0D0D0D"/>
              </w:rPr>
              <w:t>13,826</w:t>
            </w:r>
          </w:p>
        </w:tc>
        <w:tc>
          <w:tcPr>
            <w:tcW w:w="630" w:type="dxa"/>
            <w:tcBorders>
              <w:top w:val="nil"/>
              <w:left w:val="nil"/>
              <w:bottom w:val="nil"/>
              <w:right w:val="nil"/>
            </w:tcBorders>
            <w:shd w:val="clear" w:color="000000" w:fill="FFFFFF"/>
            <w:noWrap/>
            <w:vAlign w:val="bottom"/>
            <w:hideMark/>
          </w:tcPr>
          <w:p w14:paraId="34FEA1DF" w14:textId="110E1C4B"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630" w:type="dxa"/>
            <w:tcBorders>
              <w:top w:val="nil"/>
              <w:left w:val="nil"/>
              <w:bottom w:val="nil"/>
              <w:right w:val="nil"/>
            </w:tcBorders>
            <w:shd w:val="clear" w:color="000000" w:fill="FFFFFF"/>
            <w:noWrap/>
            <w:vAlign w:val="bottom"/>
            <w:hideMark/>
          </w:tcPr>
          <w:p w14:paraId="2794C0A7" w14:textId="0FA17A55" w:rsidR="004942EB" w:rsidRPr="00954D00" w:rsidRDefault="004942EB" w:rsidP="004942EB">
            <w:pPr>
              <w:jc w:val="right"/>
              <w:rPr>
                <w:rFonts w:ascii="Calibri" w:eastAsia="Times New Roman" w:hAnsi="Calibri" w:cs="Calibri"/>
              </w:rPr>
            </w:pPr>
            <w:r>
              <w:rPr>
                <w:rFonts w:ascii="Calibri" w:hAnsi="Calibri" w:cs="Calibri"/>
                <w:color w:val="0D0D0D"/>
              </w:rPr>
              <w:t>-</w:t>
            </w:r>
          </w:p>
        </w:tc>
        <w:tc>
          <w:tcPr>
            <w:tcW w:w="990" w:type="dxa"/>
            <w:tcBorders>
              <w:top w:val="nil"/>
              <w:left w:val="nil"/>
              <w:bottom w:val="nil"/>
              <w:right w:val="nil"/>
            </w:tcBorders>
            <w:shd w:val="clear" w:color="000000" w:fill="FFFFFF"/>
            <w:noWrap/>
            <w:vAlign w:val="bottom"/>
            <w:hideMark/>
          </w:tcPr>
          <w:p w14:paraId="10AF9BF1" w14:textId="09DD7432" w:rsidR="004942EB" w:rsidRPr="00954D00" w:rsidRDefault="004942EB" w:rsidP="004942EB">
            <w:pPr>
              <w:jc w:val="right"/>
              <w:rPr>
                <w:rFonts w:ascii="Calibri" w:eastAsia="Times New Roman" w:hAnsi="Calibri" w:cs="Calibri"/>
              </w:rPr>
            </w:pPr>
            <w:r>
              <w:rPr>
                <w:rFonts w:ascii="Calibri" w:hAnsi="Calibri" w:cs="Calibri"/>
                <w:color w:val="0D0D0D"/>
              </w:rPr>
              <w:t>13,826</w:t>
            </w:r>
          </w:p>
        </w:tc>
        <w:tc>
          <w:tcPr>
            <w:tcW w:w="2610" w:type="dxa"/>
            <w:tcBorders>
              <w:top w:val="nil"/>
              <w:left w:val="nil"/>
              <w:bottom w:val="nil"/>
              <w:right w:val="nil"/>
            </w:tcBorders>
            <w:shd w:val="clear" w:color="000000" w:fill="FFFFFF"/>
            <w:vAlign w:val="bottom"/>
            <w:hideMark/>
          </w:tcPr>
          <w:p w14:paraId="3BFE14CA" w14:textId="760B10BF" w:rsidR="004942EB" w:rsidRPr="00D35BDD" w:rsidRDefault="004942EB" w:rsidP="004942EB">
            <w:pPr>
              <w:rPr>
                <w:rFonts w:ascii="Calibri" w:eastAsia="Times New Roman" w:hAnsi="Calibri" w:cs="Calibri"/>
                <w:color w:val="0D0D0D"/>
              </w:rPr>
            </w:pPr>
            <w:r>
              <w:rPr>
                <w:rFonts w:ascii="Calibri" w:hAnsi="Calibri" w:cs="Calibri"/>
              </w:rPr>
              <w:t>Daily</w:t>
            </w:r>
          </w:p>
        </w:tc>
      </w:tr>
      <w:tr w:rsidR="004942EB" w:rsidRPr="00D35BDD" w14:paraId="5EC7D698" w14:textId="77777777" w:rsidTr="00BD375F">
        <w:trPr>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78F7D1C4" w14:textId="77777777" w:rsidR="004942EB" w:rsidRPr="00D35BDD" w:rsidRDefault="004942EB" w:rsidP="004942EB">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tcBorders>
              <w:top w:val="single" w:sz="4" w:space="0" w:color="00688D"/>
              <w:left w:val="nil"/>
              <w:bottom w:val="double" w:sz="6" w:space="0" w:color="00688D"/>
              <w:right w:val="nil"/>
            </w:tcBorders>
            <w:shd w:val="clear" w:color="000000" w:fill="FFFFFF"/>
            <w:noWrap/>
            <w:vAlign w:val="bottom"/>
            <w:hideMark/>
          </w:tcPr>
          <w:p w14:paraId="56375552" w14:textId="4AD0CE99" w:rsidR="004942EB" w:rsidRPr="00954D00" w:rsidRDefault="004942EB" w:rsidP="004942EB">
            <w:pPr>
              <w:jc w:val="right"/>
              <w:rPr>
                <w:rFonts w:ascii="Calibri" w:eastAsia="Times New Roman" w:hAnsi="Calibri" w:cs="Calibri"/>
                <w:b/>
                <w:bCs/>
              </w:rPr>
            </w:pPr>
            <w:r>
              <w:rPr>
                <w:rFonts w:ascii="Calibri" w:hAnsi="Calibri" w:cs="Calibri"/>
                <w:b/>
                <w:bCs/>
                <w:color w:val="0D0D0D"/>
              </w:rPr>
              <w:t>$195,979</w:t>
            </w:r>
          </w:p>
        </w:tc>
        <w:tc>
          <w:tcPr>
            <w:tcW w:w="990" w:type="dxa"/>
            <w:tcBorders>
              <w:top w:val="single" w:sz="4" w:space="0" w:color="00688D"/>
              <w:left w:val="nil"/>
              <w:bottom w:val="double" w:sz="6" w:space="0" w:color="00688D"/>
              <w:right w:val="nil"/>
            </w:tcBorders>
            <w:shd w:val="clear" w:color="000000" w:fill="FFFFFF"/>
            <w:noWrap/>
            <w:vAlign w:val="bottom"/>
            <w:hideMark/>
          </w:tcPr>
          <w:p w14:paraId="23D11437" w14:textId="24411DCC" w:rsidR="004942EB" w:rsidRPr="00954D00" w:rsidRDefault="004942EB" w:rsidP="004942EB">
            <w:pPr>
              <w:jc w:val="right"/>
              <w:rPr>
                <w:rFonts w:ascii="Calibri" w:eastAsia="Times New Roman" w:hAnsi="Calibri" w:cs="Calibri"/>
                <w:b/>
                <w:bCs/>
              </w:rPr>
            </w:pPr>
            <w:r>
              <w:rPr>
                <w:rFonts w:ascii="Calibri" w:hAnsi="Calibri" w:cs="Calibri"/>
                <w:b/>
                <w:bCs/>
                <w:color w:val="0D0D0D"/>
              </w:rPr>
              <w:t>$  87,963</w:t>
            </w:r>
          </w:p>
        </w:tc>
        <w:tc>
          <w:tcPr>
            <w:tcW w:w="630" w:type="dxa"/>
            <w:tcBorders>
              <w:top w:val="single" w:sz="4" w:space="0" w:color="00688D"/>
              <w:left w:val="nil"/>
              <w:bottom w:val="double" w:sz="6" w:space="0" w:color="00688D"/>
              <w:right w:val="nil"/>
            </w:tcBorders>
            <w:shd w:val="clear" w:color="000000" w:fill="FFFFFF"/>
            <w:noWrap/>
            <w:vAlign w:val="bottom"/>
            <w:hideMark/>
          </w:tcPr>
          <w:p w14:paraId="27014B43" w14:textId="27B69349" w:rsidR="004942EB" w:rsidRPr="00954D00" w:rsidRDefault="004942EB" w:rsidP="004942EB">
            <w:pPr>
              <w:jc w:val="right"/>
              <w:rPr>
                <w:rFonts w:ascii="Calibri" w:eastAsia="Times New Roman" w:hAnsi="Calibri" w:cs="Calibri"/>
                <w:b/>
                <w:bCs/>
              </w:rPr>
            </w:pPr>
            <w:r>
              <w:rPr>
                <w:rFonts w:ascii="Calibri" w:hAnsi="Calibri" w:cs="Calibri"/>
                <w:b/>
                <w:bCs/>
                <w:color w:val="0D0D0D"/>
              </w:rPr>
              <w:t>$      -</w:t>
            </w:r>
          </w:p>
        </w:tc>
        <w:tc>
          <w:tcPr>
            <w:tcW w:w="630" w:type="dxa"/>
            <w:tcBorders>
              <w:top w:val="single" w:sz="4" w:space="0" w:color="00688D"/>
              <w:left w:val="nil"/>
              <w:bottom w:val="double" w:sz="6" w:space="0" w:color="00688D"/>
              <w:right w:val="nil"/>
            </w:tcBorders>
            <w:shd w:val="clear" w:color="000000" w:fill="FFFFFF"/>
            <w:noWrap/>
            <w:vAlign w:val="bottom"/>
            <w:hideMark/>
          </w:tcPr>
          <w:p w14:paraId="77B1158A" w14:textId="5D88FDC5" w:rsidR="004942EB" w:rsidRPr="00954D00" w:rsidRDefault="004942EB" w:rsidP="004942EB">
            <w:pPr>
              <w:jc w:val="right"/>
              <w:rPr>
                <w:rFonts w:ascii="Calibri" w:eastAsia="Times New Roman" w:hAnsi="Calibri" w:cs="Calibri"/>
                <w:b/>
                <w:bCs/>
              </w:rPr>
            </w:pPr>
            <w:r>
              <w:rPr>
                <w:rFonts w:ascii="Calibri" w:hAnsi="Calibri" w:cs="Calibri"/>
                <w:b/>
                <w:bCs/>
                <w:color w:val="0D0D0D"/>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5F9444EB" w14:textId="676A29E8" w:rsidR="004942EB" w:rsidRPr="00954D00" w:rsidRDefault="004942EB" w:rsidP="004942EB">
            <w:pPr>
              <w:jc w:val="right"/>
              <w:rPr>
                <w:rFonts w:ascii="Calibri" w:eastAsia="Times New Roman" w:hAnsi="Calibri" w:cs="Calibri"/>
                <w:b/>
                <w:bCs/>
              </w:rPr>
            </w:pPr>
            <w:r>
              <w:rPr>
                <w:rFonts w:ascii="Calibri" w:hAnsi="Calibri" w:cs="Calibri"/>
                <w:b/>
                <w:bCs/>
                <w:color w:val="0D0D0D"/>
              </w:rPr>
              <w:t>$283,942</w:t>
            </w:r>
          </w:p>
        </w:tc>
        <w:tc>
          <w:tcPr>
            <w:tcW w:w="2610" w:type="dxa"/>
            <w:tcBorders>
              <w:top w:val="single" w:sz="4" w:space="0" w:color="00688D"/>
              <w:left w:val="nil"/>
              <w:bottom w:val="double" w:sz="6" w:space="0" w:color="00688D"/>
              <w:right w:val="nil"/>
            </w:tcBorders>
            <w:shd w:val="clear" w:color="000000" w:fill="FFFFFF"/>
            <w:noWrap/>
            <w:vAlign w:val="bottom"/>
            <w:hideMark/>
          </w:tcPr>
          <w:p w14:paraId="5624D9E4" w14:textId="3876654B" w:rsidR="004942EB" w:rsidRPr="00D35BDD" w:rsidRDefault="004942EB" w:rsidP="004942EB">
            <w:pPr>
              <w:rPr>
                <w:rFonts w:ascii="Calibri" w:eastAsia="Times New Roman" w:hAnsi="Calibri" w:cs="Calibri"/>
                <w:b/>
                <w:bCs/>
                <w:color w:val="0D0D0D"/>
              </w:rPr>
            </w:pPr>
            <w:r>
              <w:rPr>
                <w:rFonts w:ascii="Calibri" w:hAnsi="Calibri" w:cs="Calibri"/>
                <w:b/>
                <w:bCs/>
                <w:color w:val="0D0D0D"/>
              </w:rPr>
              <w:t> </w:t>
            </w:r>
          </w:p>
        </w:tc>
      </w:tr>
    </w:tbl>
    <w:p w14:paraId="33806C19" w14:textId="77777777" w:rsidR="00DD1612" w:rsidRDefault="00DD1612" w:rsidP="00DD1612"/>
    <w:p w14:paraId="60BFBD9E" w14:textId="1BD0061B" w:rsidR="00DD1612" w:rsidRPr="00AF1FF3" w:rsidRDefault="00DD1612" w:rsidP="008818B7">
      <w:pPr>
        <w:spacing w:after="240"/>
        <w:rPr>
          <w:color w:val="0D0D0D" w:themeColor="text1" w:themeTint="F2"/>
        </w:rPr>
      </w:pPr>
      <w:r w:rsidRPr="00F54559">
        <w:rPr>
          <w:rFonts w:cstheme="minorHAnsi"/>
          <w:spacing w:val="-3"/>
          <w:sz w:val="24"/>
        </w:rPr>
        <w:t xml:space="preserve">The following table summarizes the Foundation's long-term endowment investments by class in the fair value hierarchy as of </w:t>
      </w:r>
      <w:r w:rsidR="004942EB">
        <w:rPr>
          <w:rFonts w:cstheme="minorHAnsi"/>
          <w:spacing w:val="-3"/>
          <w:sz w:val="24"/>
        </w:rPr>
        <w:t xml:space="preserve">December 31, </w:t>
      </w:r>
      <w:r>
        <w:rPr>
          <w:rFonts w:cstheme="minorHAnsi"/>
          <w:spacing w:val="-3"/>
          <w:sz w:val="24"/>
        </w:rPr>
        <w:t>202</w:t>
      </w:r>
      <w:r w:rsidR="004942EB">
        <w:rPr>
          <w:rFonts w:cstheme="minorHAnsi"/>
          <w:spacing w:val="-3"/>
          <w:sz w:val="24"/>
        </w:rPr>
        <w:t>1</w:t>
      </w:r>
      <w:r w:rsidRPr="00F54559">
        <w:rPr>
          <w:rFonts w:cstheme="minorHAnsi"/>
          <w:spacing w:val="-3"/>
          <w:sz w:val="24"/>
        </w:rPr>
        <w:t>:</w:t>
      </w:r>
    </w:p>
    <w:tbl>
      <w:tblPr>
        <w:tblW w:w="9493" w:type="dxa"/>
        <w:tblLayout w:type="fixed"/>
        <w:tblCellMar>
          <w:left w:w="72" w:type="dxa"/>
          <w:right w:w="72" w:type="dxa"/>
        </w:tblCellMar>
        <w:tblLook w:val="04A0" w:firstRow="1" w:lastRow="0" w:firstColumn="1" w:lastColumn="0" w:noHBand="0" w:noVBand="1"/>
      </w:tblPr>
      <w:tblGrid>
        <w:gridCol w:w="2593"/>
        <w:gridCol w:w="12"/>
        <w:gridCol w:w="995"/>
        <w:gridCol w:w="892"/>
        <w:gridCol w:w="20"/>
        <w:gridCol w:w="618"/>
        <w:gridCol w:w="23"/>
        <w:gridCol w:w="607"/>
        <w:gridCol w:w="26"/>
        <w:gridCol w:w="964"/>
        <w:gridCol w:w="30"/>
        <w:gridCol w:w="2670"/>
        <w:gridCol w:w="43"/>
      </w:tblGrid>
      <w:tr w:rsidR="00DD1612" w:rsidRPr="00D35BDD" w14:paraId="2A2B58F6" w14:textId="77777777" w:rsidTr="00BD375F">
        <w:trPr>
          <w:trHeight w:val="615"/>
          <w:tblHeader/>
        </w:trPr>
        <w:tc>
          <w:tcPr>
            <w:tcW w:w="2605" w:type="dxa"/>
            <w:gridSpan w:val="2"/>
            <w:tcBorders>
              <w:top w:val="nil"/>
              <w:left w:val="nil"/>
              <w:bottom w:val="single" w:sz="12" w:space="0" w:color="00688D"/>
              <w:right w:val="nil"/>
            </w:tcBorders>
            <w:shd w:val="clear" w:color="000000" w:fill="FFFFFF"/>
            <w:noWrap/>
            <w:vAlign w:val="bottom"/>
            <w:hideMark/>
          </w:tcPr>
          <w:p w14:paraId="36DA3BA1" w14:textId="77777777" w:rsidR="00DD1612" w:rsidRPr="00D35BDD" w:rsidRDefault="00DD1612" w:rsidP="00BD375F">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995" w:type="dxa"/>
            <w:tcBorders>
              <w:top w:val="nil"/>
              <w:left w:val="nil"/>
              <w:bottom w:val="single" w:sz="12" w:space="0" w:color="00688D"/>
              <w:right w:val="nil"/>
            </w:tcBorders>
            <w:shd w:val="clear" w:color="000000" w:fill="FFFFFF"/>
            <w:vAlign w:val="bottom"/>
            <w:hideMark/>
          </w:tcPr>
          <w:p w14:paraId="6D2E522C"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12" w:type="dxa"/>
            <w:gridSpan w:val="2"/>
            <w:tcBorders>
              <w:top w:val="nil"/>
              <w:left w:val="nil"/>
              <w:bottom w:val="single" w:sz="12" w:space="0" w:color="00688D"/>
              <w:right w:val="nil"/>
            </w:tcBorders>
            <w:shd w:val="clear" w:color="000000" w:fill="FFFFFF"/>
            <w:vAlign w:val="bottom"/>
            <w:hideMark/>
          </w:tcPr>
          <w:p w14:paraId="25135527"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41" w:type="dxa"/>
            <w:gridSpan w:val="2"/>
            <w:tcBorders>
              <w:top w:val="nil"/>
              <w:left w:val="nil"/>
              <w:bottom w:val="single" w:sz="12" w:space="0" w:color="00688D"/>
              <w:right w:val="nil"/>
            </w:tcBorders>
            <w:shd w:val="clear" w:color="000000" w:fill="FFFFFF"/>
            <w:vAlign w:val="bottom"/>
            <w:hideMark/>
          </w:tcPr>
          <w:p w14:paraId="71B673AF"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3" w:type="dxa"/>
            <w:gridSpan w:val="2"/>
            <w:tcBorders>
              <w:top w:val="nil"/>
              <w:left w:val="nil"/>
              <w:bottom w:val="single" w:sz="12" w:space="0" w:color="00688D"/>
              <w:right w:val="nil"/>
            </w:tcBorders>
            <w:shd w:val="clear" w:color="000000" w:fill="FFFFFF"/>
            <w:vAlign w:val="bottom"/>
            <w:hideMark/>
          </w:tcPr>
          <w:p w14:paraId="7F80FB74"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4" w:type="dxa"/>
            <w:gridSpan w:val="2"/>
            <w:tcBorders>
              <w:top w:val="nil"/>
              <w:left w:val="nil"/>
              <w:bottom w:val="single" w:sz="12" w:space="0" w:color="00688D"/>
              <w:right w:val="nil"/>
            </w:tcBorders>
            <w:shd w:val="clear" w:color="000000" w:fill="FFFFFF"/>
            <w:vAlign w:val="bottom"/>
            <w:hideMark/>
          </w:tcPr>
          <w:p w14:paraId="123B8D26"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713" w:type="dxa"/>
            <w:gridSpan w:val="2"/>
            <w:tcBorders>
              <w:top w:val="nil"/>
              <w:left w:val="nil"/>
              <w:bottom w:val="single" w:sz="12" w:space="0" w:color="00688D"/>
              <w:right w:val="nil"/>
            </w:tcBorders>
            <w:shd w:val="clear" w:color="000000" w:fill="FFFFFF"/>
            <w:vAlign w:val="bottom"/>
            <w:hideMark/>
          </w:tcPr>
          <w:p w14:paraId="11A2B5F6" w14:textId="77777777" w:rsidR="00DD1612" w:rsidRPr="00D35BDD" w:rsidRDefault="00DD1612" w:rsidP="00BD375F">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4942EB" w:rsidRPr="00D35BDD" w14:paraId="26E8C410" w14:textId="77777777" w:rsidTr="00BD375F">
        <w:trPr>
          <w:trHeight w:val="307"/>
        </w:trPr>
        <w:tc>
          <w:tcPr>
            <w:tcW w:w="2605" w:type="dxa"/>
            <w:gridSpan w:val="2"/>
            <w:tcBorders>
              <w:top w:val="nil"/>
              <w:left w:val="nil"/>
              <w:bottom w:val="nil"/>
              <w:right w:val="nil"/>
            </w:tcBorders>
            <w:shd w:val="clear" w:color="000000" w:fill="FFFFFF"/>
            <w:noWrap/>
            <w:vAlign w:val="bottom"/>
            <w:hideMark/>
          </w:tcPr>
          <w:p w14:paraId="5C00B0DA"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U.S. equities</w:t>
            </w:r>
          </w:p>
        </w:tc>
        <w:tc>
          <w:tcPr>
            <w:tcW w:w="995" w:type="dxa"/>
            <w:tcBorders>
              <w:top w:val="nil"/>
              <w:left w:val="nil"/>
              <w:bottom w:val="nil"/>
              <w:right w:val="nil"/>
            </w:tcBorders>
            <w:shd w:val="clear" w:color="000000" w:fill="FFFFFF"/>
            <w:noWrap/>
            <w:vAlign w:val="bottom"/>
            <w:hideMark/>
          </w:tcPr>
          <w:p w14:paraId="218D9315" w14:textId="0292FEB5" w:rsidR="004942EB" w:rsidRPr="00D53A89" w:rsidRDefault="004942EB" w:rsidP="004942EB">
            <w:pPr>
              <w:jc w:val="right"/>
              <w:rPr>
                <w:rFonts w:ascii="Calibri" w:eastAsia="Times New Roman" w:hAnsi="Calibri" w:cs="Calibri"/>
              </w:rPr>
            </w:pPr>
            <w:r>
              <w:rPr>
                <w:rFonts w:ascii="Calibri" w:eastAsia="Times New Roman" w:hAnsi="Calibri" w:cs="Calibri"/>
              </w:rPr>
              <w:t>$  90,337</w:t>
            </w:r>
          </w:p>
        </w:tc>
        <w:tc>
          <w:tcPr>
            <w:tcW w:w="912" w:type="dxa"/>
            <w:gridSpan w:val="2"/>
            <w:tcBorders>
              <w:top w:val="nil"/>
              <w:left w:val="nil"/>
              <w:bottom w:val="nil"/>
              <w:right w:val="nil"/>
            </w:tcBorders>
            <w:shd w:val="clear" w:color="000000" w:fill="FFFFFF"/>
            <w:noWrap/>
            <w:vAlign w:val="bottom"/>
            <w:hideMark/>
          </w:tcPr>
          <w:p w14:paraId="4F505815" w14:textId="42BF8527"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r>
              <w:rPr>
                <w:rFonts w:ascii="Calibri" w:eastAsia="Times New Roman" w:hAnsi="Calibri" w:cs="Calibri"/>
              </w:rPr>
              <w:t>15,306</w:t>
            </w:r>
          </w:p>
        </w:tc>
        <w:tc>
          <w:tcPr>
            <w:tcW w:w="641" w:type="dxa"/>
            <w:gridSpan w:val="2"/>
            <w:tcBorders>
              <w:top w:val="nil"/>
              <w:left w:val="nil"/>
              <w:bottom w:val="nil"/>
              <w:right w:val="nil"/>
            </w:tcBorders>
            <w:shd w:val="clear" w:color="000000" w:fill="FFFFFF"/>
            <w:noWrap/>
            <w:vAlign w:val="bottom"/>
            <w:hideMark/>
          </w:tcPr>
          <w:p w14:paraId="584FF418" w14:textId="5392CE6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    -</w:t>
            </w:r>
          </w:p>
        </w:tc>
        <w:tc>
          <w:tcPr>
            <w:tcW w:w="633" w:type="dxa"/>
            <w:gridSpan w:val="2"/>
            <w:tcBorders>
              <w:top w:val="nil"/>
              <w:left w:val="nil"/>
              <w:bottom w:val="nil"/>
              <w:right w:val="nil"/>
            </w:tcBorders>
            <w:shd w:val="clear" w:color="000000" w:fill="FFFFFF"/>
            <w:noWrap/>
            <w:vAlign w:val="bottom"/>
            <w:hideMark/>
          </w:tcPr>
          <w:p w14:paraId="0E542E17" w14:textId="616D7587"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      -</w:t>
            </w:r>
          </w:p>
        </w:tc>
        <w:tc>
          <w:tcPr>
            <w:tcW w:w="994" w:type="dxa"/>
            <w:gridSpan w:val="2"/>
            <w:tcBorders>
              <w:top w:val="nil"/>
              <w:left w:val="nil"/>
              <w:bottom w:val="nil"/>
              <w:right w:val="nil"/>
            </w:tcBorders>
            <w:shd w:val="clear" w:color="000000" w:fill="FFFFFF"/>
            <w:noWrap/>
            <w:vAlign w:val="bottom"/>
            <w:hideMark/>
          </w:tcPr>
          <w:p w14:paraId="4E78D503" w14:textId="5F0215C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r>
              <w:rPr>
                <w:rFonts w:ascii="Calibri" w:eastAsia="Times New Roman" w:hAnsi="Calibri" w:cs="Calibri"/>
              </w:rPr>
              <w:t>105,643</w:t>
            </w:r>
          </w:p>
        </w:tc>
        <w:tc>
          <w:tcPr>
            <w:tcW w:w="2713" w:type="dxa"/>
            <w:gridSpan w:val="2"/>
            <w:tcBorders>
              <w:top w:val="nil"/>
              <w:left w:val="nil"/>
              <w:bottom w:val="nil"/>
              <w:right w:val="nil"/>
            </w:tcBorders>
            <w:shd w:val="clear" w:color="000000" w:fill="FFFFFF"/>
            <w:vAlign w:val="bottom"/>
            <w:hideMark/>
          </w:tcPr>
          <w:p w14:paraId="0C90B7D3" w14:textId="695ECAFC"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Daily/Monthly</w:t>
            </w:r>
          </w:p>
        </w:tc>
      </w:tr>
      <w:tr w:rsidR="004942EB" w:rsidRPr="00D35BDD" w14:paraId="1F1800A5" w14:textId="77777777" w:rsidTr="00BD375F">
        <w:trPr>
          <w:trHeight w:val="295"/>
        </w:trPr>
        <w:tc>
          <w:tcPr>
            <w:tcW w:w="2605" w:type="dxa"/>
            <w:gridSpan w:val="2"/>
            <w:tcBorders>
              <w:top w:val="nil"/>
              <w:left w:val="nil"/>
              <w:bottom w:val="nil"/>
              <w:right w:val="nil"/>
            </w:tcBorders>
            <w:shd w:val="clear" w:color="000000" w:fill="FFFFFF"/>
            <w:noWrap/>
            <w:vAlign w:val="bottom"/>
            <w:hideMark/>
          </w:tcPr>
          <w:p w14:paraId="4AB66C4F"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Non-U.S. equities</w:t>
            </w:r>
          </w:p>
        </w:tc>
        <w:tc>
          <w:tcPr>
            <w:tcW w:w="995" w:type="dxa"/>
            <w:tcBorders>
              <w:top w:val="nil"/>
              <w:left w:val="nil"/>
              <w:bottom w:val="nil"/>
              <w:right w:val="nil"/>
            </w:tcBorders>
            <w:shd w:val="clear" w:color="000000" w:fill="FFFFFF"/>
            <w:noWrap/>
            <w:vAlign w:val="bottom"/>
            <w:hideMark/>
          </w:tcPr>
          <w:p w14:paraId="5365EC03" w14:textId="0C945EB1" w:rsidR="004942EB" w:rsidRPr="00D53A89" w:rsidRDefault="004942EB" w:rsidP="004942EB">
            <w:pPr>
              <w:jc w:val="right"/>
              <w:rPr>
                <w:rFonts w:ascii="Calibri" w:eastAsia="Times New Roman" w:hAnsi="Calibri" w:cs="Calibri"/>
              </w:rPr>
            </w:pPr>
            <w:r>
              <w:rPr>
                <w:rFonts w:ascii="Calibri" w:eastAsia="Times New Roman" w:hAnsi="Calibri" w:cs="Calibri"/>
              </w:rPr>
              <w:t>31,324</w:t>
            </w:r>
          </w:p>
        </w:tc>
        <w:tc>
          <w:tcPr>
            <w:tcW w:w="912" w:type="dxa"/>
            <w:gridSpan w:val="2"/>
            <w:tcBorders>
              <w:top w:val="nil"/>
              <w:left w:val="nil"/>
              <w:bottom w:val="nil"/>
              <w:right w:val="nil"/>
            </w:tcBorders>
            <w:shd w:val="clear" w:color="000000" w:fill="FFFFFF"/>
            <w:noWrap/>
            <w:vAlign w:val="bottom"/>
            <w:hideMark/>
          </w:tcPr>
          <w:p w14:paraId="081C1CB7" w14:textId="56029C4A" w:rsidR="004942EB" w:rsidRPr="00D53A89" w:rsidRDefault="004942EB" w:rsidP="004942EB">
            <w:pPr>
              <w:jc w:val="right"/>
              <w:rPr>
                <w:rFonts w:ascii="Calibri" w:eastAsia="Times New Roman" w:hAnsi="Calibri" w:cs="Calibri"/>
              </w:rPr>
            </w:pPr>
            <w:r>
              <w:rPr>
                <w:rFonts w:ascii="Calibri" w:eastAsia="Times New Roman" w:hAnsi="Calibri" w:cs="Calibri"/>
              </w:rPr>
              <w:t>27,321</w:t>
            </w:r>
          </w:p>
        </w:tc>
        <w:tc>
          <w:tcPr>
            <w:tcW w:w="641" w:type="dxa"/>
            <w:gridSpan w:val="2"/>
            <w:tcBorders>
              <w:top w:val="nil"/>
              <w:left w:val="nil"/>
              <w:bottom w:val="nil"/>
              <w:right w:val="nil"/>
            </w:tcBorders>
            <w:shd w:val="clear" w:color="000000" w:fill="FFFFFF"/>
            <w:noWrap/>
            <w:vAlign w:val="bottom"/>
            <w:hideMark/>
          </w:tcPr>
          <w:p w14:paraId="398641FE" w14:textId="45418788"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6E9E78E0" w14:textId="4B4A741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50900DC7" w14:textId="249DD2B4" w:rsidR="004942EB" w:rsidRPr="00D53A89" w:rsidRDefault="004942EB" w:rsidP="004942EB">
            <w:pPr>
              <w:jc w:val="right"/>
              <w:rPr>
                <w:rFonts w:ascii="Calibri" w:eastAsia="Times New Roman" w:hAnsi="Calibri" w:cs="Calibri"/>
              </w:rPr>
            </w:pPr>
            <w:r>
              <w:rPr>
                <w:rFonts w:ascii="Calibri" w:eastAsia="Times New Roman" w:hAnsi="Calibri" w:cs="Calibri"/>
              </w:rPr>
              <w:t>58,645</w:t>
            </w:r>
          </w:p>
        </w:tc>
        <w:tc>
          <w:tcPr>
            <w:tcW w:w="2713" w:type="dxa"/>
            <w:gridSpan w:val="2"/>
            <w:tcBorders>
              <w:top w:val="nil"/>
              <w:left w:val="nil"/>
              <w:bottom w:val="nil"/>
              <w:right w:val="nil"/>
            </w:tcBorders>
            <w:shd w:val="clear" w:color="000000" w:fill="FFFFFF"/>
            <w:vAlign w:val="bottom"/>
            <w:hideMark/>
          </w:tcPr>
          <w:p w14:paraId="416D746B" w14:textId="165D3EEA"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Daily/Monthly/Quarterly</w:t>
            </w:r>
          </w:p>
        </w:tc>
      </w:tr>
      <w:tr w:rsidR="004942EB" w:rsidRPr="00D35BDD" w14:paraId="6BB1D742" w14:textId="77777777" w:rsidTr="00BD375F">
        <w:trPr>
          <w:trHeight w:val="295"/>
        </w:trPr>
        <w:tc>
          <w:tcPr>
            <w:tcW w:w="2605" w:type="dxa"/>
            <w:gridSpan w:val="2"/>
            <w:tcBorders>
              <w:top w:val="nil"/>
              <w:left w:val="nil"/>
              <w:bottom w:val="nil"/>
              <w:right w:val="nil"/>
            </w:tcBorders>
            <w:shd w:val="clear" w:color="000000" w:fill="FFFFFF"/>
            <w:noWrap/>
            <w:vAlign w:val="bottom"/>
            <w:hideMark/>
          </w:tcPr>
          <w:p w14:paraId="76DD7043"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Global equities</w:t>
            </w:r>
          </w:p>
        </w:tc>
        <w:tc>
          <w:tcPr>
            <w:tcW w:w="995" w:type="dxa"/>
            <w:tcBorders>
              <w:top w:val="nil"/>
              <w:left w:val="nil"/>
              <w:bottom w:val="nil"/>
              <w:right w:val="nil"/>
            </w:tcBorders>
            <w:shd w:val="clear" w:color="000000" w:fill="FFFFFF"/>
            <w:noWrap/>
            <w:vAlign w:val="bottom"/>
            <w:hideMark/>
          </w:tcPr>
          <w:p w14:paraId="2828AEA1" w14:textId="5544212D" w:rsidR="004942EB" w:rsidRPr="00D53A89" w:rsidRDefault="004942EB" w:rsidP="004942EB">
            <w:pPr>
              <w:jc w:val="right"/>
              <w:rPr>
                <w:rFonts w:ascii="Calibri" w:eastAsia="Times New Roman" w:hAnsi="Calibri" w:cs="Calibri"/>
              </w:rPr>
            </w:pPr>
            <w:r>
              <w:rPr>
                <w:rFonts w:ascii="Calibri" w:eastAsia="Times New Roman" w:hAnsi="Calibri" w:cs="Calibri"/>
              </w:rPr>
              <w:t>41,398</w:t>
            </w:r>
          </w:p>
        </w:tc>
        <w:tc>
          <w:tcPr>
            <w:tcW w:w="912" w:type="dxa"/>
            <w:gridSpan w:val="2"/>
            <w:tcBorders>
              <w:top w:val="nil"/>
              <w:left w:val="nil"/>
              <w:bottom w:val="nil"/>
              <w:right w:val="nil"/>
            </w:tcBorders>
            <w:shd w:val="clear" w:color="000000" w:fill="FFFFFF"/>
            <w:noWrap/>
            <w:vAlign w:val="bottom"/>
            <w:hideMark/>
          </w:tcPr>
          <w:p w14:paraId="3BC02CBB" w14:textId="10003767"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5680DE65" w14:textId="0ABC14C9"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28E0A814" w14:textId="1E344253"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4D9CC382" w14:textId="62CB39C4"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41,</w:t>
            </w:r>
            <w:r>
              <w:rPr>
                <w:rFonts w:ascii="Calibri" w:eastAsia="Times New Roman" w:hAnsi="Calibri" w:cs="Calibri"/>
              </w:rPr>
              <w:t>39</w:t>
            </w:r>
            <w:r w:rsidRPr="00954D00">
              <w:rPr>
                <w:rFonts w:ascii="Calibri" w:eastAsia="Times New Roman" w:hAnsi="Calibri" w:cs="Calibri"/>
              </w:rPr>
              <w:t>8</w:t>
            </w:r>
          </w:p>
        </w:tc>
        <w:tc>
          <w:tcPr>
            <w:tcW w:w="2713" w:type="dxa"/>
            <w:gridSpan w:val="2"/>
            <w:tcBorders>
              <w:top w:val="nil"/>
              <w:left w:val="nil"/>
              <w:bottom w:val="nil"/>
              <w:right w:val="nil"/>
            </w:tcBorders>
            <w:shd w:val="clear" w:color="000000" w:fill="FFFFFF"/>
            <w:vAlign w:val="bottom"/>
            <w:hideMark/>
          </w:tcPr>
          <w:p w14:paraId="12052D91" w14:textId="5F5A2305"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Monthly/Quarterly</w:t>
            </w:r>
          </w:p>
        </w:tc>
      </w:tr>
      <w:tr w:rsidR="004942EB" w:rsidRPr="00D35BDD" w14:paraId="0F8AAAA4" w14:textId="77777777" w:rsidTr="00BD375F">
        <w:trPr>
          <w:trHeight w:val="295"/>
        </w:trPr>
        <w:tc>
          <w:tcPr>
            <w:tcW w:w="2605" w:type="dxa"/>
            <w:gridSpan w:val="2"/>
            <w:tcBorders>
              <w:top w:val="nil"/>
              <w:left w:val="nil"/>
              <w:bottom w:val="nil"/>
              <w:right w:val="nil"/>
            </w:tcBorders>
            <w:shd w:val="clear" w:color="000000" w:fill="FFFFFF"/>
            <w:noWrap/>
            <w:vAlign w:val="bottom"/>
            <w:hideMark/>
          </w:tcPr>
          <w:p w14:paraId="209BF909"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U.S. fixed income</w:t>
            </w:r>
          </w:p>
        </w:tc>
        <w:tc>
          <w:tcPr>
            <w:tcW w:w="995" w:type="dxa"/>
            <w:tcBorders>
              <w:top w:val="nil"/>
              <w:left w:val="nil"/>
              <w:bottom w:val="nil"/>
              <w:right w:val="nil"/>
            </w:tcBorders>
            <w:shd w:val="clear" w:color="000000" w:fill="FFFFFF"/>
            <w:noWrap/>
            <w:vAlign w:val="bottom"/>
            <w:hideMark/>
          </w:tcPr>
          <w:p w14:paraId="1AADA411" w14:textId="76B55EF5"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hideMark/>
          </w:tcPr>
          <w:p w14:paraId="127BD2D5" w14:textId="05A217D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35,</w:t>
            </w:r>
            <w:r>
              <w:rPr>
                <w:rFonts w:ascii="Calibri" w:eastAsia="Times New Roman" w:hAnsi="Calibri" w:cs="Calibri"/>
              </w:rPr>
              <w:t>109</w:t>
            </w:r>
          </w:p>
        </w:tc>
        <w:tc>
          <w:tcPr>
            <w:tcW w:w="641" w:type="dxa"/>
            <w:gridSpan w:val="2"/>
            <w:tcBorders>
              <w:top w:val="nil"/>
              <w:left w:val="nil"/>
              <w:bottom w:val="nil"/>
              <w:right w:val="nil"/>
            </w:tcBorders>
            <w:shd w:val="clear" w:color="000000" w:fill="FFFFFF"/>
            <w:noWrap/>
            <w:vAlign w:val="bottom"/>
            <w:hideMark/>
          </w:tcPr>
          <w:p w14:paraId="3353E0C3" w14:textId="20CDA7D7"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33E27933" w14:textId="7ACD089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125063A2" w14:textId="008990ED"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35,</w:t>
            </w:r>
            <w:r>
              <w:rPr>
                <w:rFonts w:ascii="Calibri" w:eastAsia="Times New Roman" w:hAnsi="Calibri" w:cs="Calibri"/>
              </w:rPr>
              <w:t>109</w:t>
            </w:r>
          </w:p>
        </w:tc>
        <w:tc>
          <w:tcPr>
            <w:tcW w:w="2713" w:type="dxa"/>
            <w:gridSpan w:val="2"/>
            <w:tcBorders>
              <w:top w:val="nil"/>
              <w:left w:val="nil"/>
              <w:bottom w:val="nil"/>
              <w:right w:val="nil"/>
            </w:tcBorders>
            <w:shd w:val="clear" w:color="000000" w:fill="FFFFFF"/>
            <w:vAlign w:val="bottom"/>
            <w:hideMark/>
          </w:tcPr>
          <w:p w14:paraId="310B09FB" w14:textId="43B73F31"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Daily</w:t>
            </w:r>
          </w:p>
        </w:tc>
      </w:tr>
      <w:tr w:rsidR="004942EB" w:rsidRPr="00D35BDD" w14:paraId="46D5D31A" w14:textId="77777777" w:rsidTr="00937F18">
        <w:trPr>
          <w:trHeight w:val="252"/>
        </w:trPr>
        <w:tc>
          <w:tcPr>
            <w:tcW w:w="2605" w:type="dxa"/>
            <w:gridSpan w:val="2"/>
            <w:tcBorders>
              <w:top w:val="nil"/>
              <w:left w:val="nil"/>
              <w:bottom w:val="nil"/>
              <w:right w:val="nil"/>
            </w:tcBorders>
            <w:shd w:val="clear" w:color="000000" w:fill="FFFFFF"/>
            <w:noWrap/>
            <w:vAlign w:val="bottom"/>
            <w:hideMark/>
          </w:tcPr>
          <w:p w14:paraId="55C121DB"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995" w:type="dxa"/>
            <w:tcBorders>
              <w:top w:val="nil"/>
              <w:left w:val="nil"/>
              <w:bottom w:val="nil"/>
              <w:right w:val="nil"/>
            </w:tcBorders>
            <w:shd w:val="clear" w:color="000000" w:fill="FFFFFF"/>
            <w:noWrap/>
            <w:vAlign w:val="bottom"/>
            <w:hideMark/>
          </w:tcPr>
          <w:p w14:paraId="6D3CA4F3" w14:textId="192F472D" w:rsidR="004942EB" w:rsidRPr="00D53A89" w:rsidRDefault="004942EB" w:rsidP="00005323">
            <w:pPr>
              <w:jc w:val="right"/>
              <w:rPr>
                <w:rFonts w:ascii="Calibri" w:eastAsia="Times New Roman" w:hAnsi="Calibri" w:cs="Calibri"/>
              </w:rPr>
            </w:pPr>
            <w:r>
              <w:rPr>
                <w:rFonts w:ascii="Calibri" w:eastAsia="Times New Roman" w:hAnsi="Calibri" w:cs="Calibri"/>
              </w:rPr>
              <w:t>49,269</w:t>
            </w:r>
          </w:p>
        </w:tc>
        <w:tc>
          <w:tcPr>
            <w:tcW w:w="912" w:type="dxa"/>
            <w:gridSpan w:val="2"/>
            <w:tcBorders>
              <w:top w:val="nil"/>
              <w:left w:val="nil"/>
              <w:bottom w:val="nil"/>
              <w:right w:val="nil"/>
            </w:tcBorders>
            <w:shd w:val="clear" w:color="000000" w:fill="FFFFFF"/>
            <w:noWrap/>
            <w:vAlign w:val="bottom"/>
            <w:hideMark/>
          </w:tcPr>
          <w:p w14:paraId="4A90E8AD" w14:textId="266B0125" w:rsidR="004942EB" w:rsidRPr="00D53A89" w:rsidRDefault="004942EB" w:rsidP="00005323">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343B0BFE" w14:textId="15C00844" w:rsidR="004942EB" w:rsidRPr="00D53A89" w:rsidRDefault="004942EB" w:rsidP="0000532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5847CC44" w14:textId="0E1CDF64" w:rsidR="004942EB" w:rsidRPr="00D53A89" w:rsidRDefault="004942EB" w:rsidP="0000532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557420FF" w14:textId="21586A9E" w:rsidR="004942EB" w:rsidRPr="00D53A89" w:rsidRDefault="004942EB" w:rsidP="00005323">
            <w:pPr>
              <w:jc w:val="right"/>
              <w:rPr>
                <w:rFonts w:ascii="Calibri" w:eastAsia="Times New Roman" w:hAnsi="Calibri" w:cs="Calibri"/>
              </w:rPr>
            </w:pPr>
            <w:r>
              <w:rPr>
                <w:rFonts w:ascii="Calibri" w:eastAsia="Times New Roman" w:hAnsi="Calibri" w:cs="Calibri"/>
              </w:rPr>
              <w:t>49,269</w:t>
            </w:r>
          </w:p>
        </w:tc>
        <w:tc>
          <w:tcPr>
            <w:tcW w:w="2713" w:type="dxa"/>
            <w:gridSpan w:val="2"/>
            <w:tcBorders>
              <w:top w:val="nil"/>
              <w:left w:val="nil"/>
              <w:bottom w:val="nil"/>
              <w:right w:val="nil"/>
            </w:tcBorders>
            <w:shd w:val="clear" w:color="000000" w:fill="FFFFFF"/>
            <w:vAlign w:val="bottom"/>
            <w:hideMark/>
          </w:tcPr>
          <w:p w14:paraId="6322BDBC" w14:textId="2862151F"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Illiquid</w:t>
            </w:r>
          </w:p>
        </w:tc>
      </w:tr>
      <w:tr w:rsidR="004942EB" w:rsidRPr="00D35BDD" w14:paraId="148D5066" w14:textId="77777777" w:rsidTr="00BD375F">
        <w:trPr>
          <w:trHeight w:val="295"/>
        </w:trPr>
        <w:tc>
          <w:tcPr>
            <w:tcW w:w="2605" w:type="dxa"/>
            <w:gridSpan w:val="2"/>
            <w:tcBorders>
              <w:top w:val="nil"/>
              <w:left w:val="nil"/>
              <w:bottom w:val="nil"/>
              <w:right w:val="nil"/>
            </w:tcBorders>
            <w:shd w:val="clear" w:color="000000" w:fill="FFFFFF"/>
            <w:noWrap/>
            <w:vAlign w:val="bottom"/>
            <w:hideMark/>
          </w:tcPr>
          <w:p w14:paraId="14106550"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995" w:type="dxa"/>
            <w:tcBorders>
              <w:top w:val="nil"/>
              <w:left w:val="nil"/>
              <w:bottom w:val="nil"/>
              <w:right w:val="nil"/>
            </w:tcBorders>
            <w:shd w:val="clear" w:color="000000" w:fill="FFFFFF"/>
            <w:noWrap/>
            <w:vAlign w:val="bottom"/>
            <w:hideMark/>
          </w:tcPr>
          <w:p w14:paraId="540B71DF" w14:textId="2F588948"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3</w:t>
            </w:r>
            <w:r>
              <w:rPr>
                <w:rFonts w:ascii="Calibri" w:eastAsia="Times New Roman" w:hAnsi="Calibri" w:cs="Calibri"/>
              </w:rPr>
              <w:t>8,017</w:t>
            </w:r>
          </w:p>
        </w:tc>
        <w:tc>
          <w:tcPr>
            <w:tcW w:w="912" w:type="dxa"/>
            <w:gridSpan w:val="2"/>
            <w:tcBorders>
              <w:top w:val="nil"/>
              <w:left w:val="nil"/>
              <w:bottom w:val="nil"/>
              <w:right w:val="nil"/>
            </w:tcBorders>
            <w:shd w:val="clear" w:color="000000" w:fill="FFFFFF"/>
            <w:noWrap/>
            <w:vAlign w:val="bottom"/>
            <w:hideMark/>
          </w:tcPr>
          <w:p w14:paraId="561C609C" w14:textId="54340653"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19B33065" w14:textId="04719FA6"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0A543F81" w14:textId="02361C7D"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5D14DCCD" w14:textId="2854F973"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3</w:t>
            </w:r>
            <w:r>
              <w:rPr>
                <w:rFonts w:ascii="Calibri" w:eastAsia="Times New Roman" w:hAnsi="Calibri" w:cs="Calibri"/>
              </w:rPr>
              <w:t>8,017</w:t>
            </w:r>
          </w:p>
        </w:tc>
        <w:tc>
          <w:tcPr>
            <w:tcW w:w="2713" w:type="dxa"/>
            <w:gridSpan w:val="2"/>
            <w:tcBorders>
              <w:top w:val="nil"/>
              <w:left w:val="nil"/>
              <w:bottom w:val="nil"/>
              <w:right w:val="nil"/>
            </w:tcBorders>
            <w:shd w:val="clear" w:color="000000" w:fill="FFFFFF"/>
            <w:vAlign w:val="bottom"/>
            <w:hideMark/>
          </w:tcPr>
          <w:p w14:paraId="0467935F" w14:textId="6A29246A"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Monthly/Quarterly/Semi-Annually/Annually</w:t>
            </w:r>
          </w:p>
        </w:tc>
      </w:tr>
      <w:tr w:rsidR="004942EB" w:rsidRPr="00D35BDD" w14:paraId="1D59F355" w14:textId="77777777" w:rsidTr="00BD375F">
        <w:trPr>
          <w:trHeight w:val="295"/>
        </w:trPr>
        <w:tc>
          <w:tcPr>
            <w:tcW w:w="2605" w:type="dxa"/>
            <w:gridSpan w:val="2"/>
            <w:tcBorders>
              <w:top w:val="nil"/>
              <w:left w:val="nil"/>
              <w:bottom w:val="nil"/>
              <w:right w:val="nil"/>
            </w:tcBorders>
            <w:shd w:val="clear" w:color="000000" w:fill="FFFFFF"/>
            <w:noWrap/>
            <w:vAlign w:val="bottom"/>
          </w:tcPr>
          <w:p w14:paraId="0C5204F7" w14:textId="77777777"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Cash</w:t>
            </w:r>
          </w:p>
        </w:tc>
        <w:tc>
          <w:tcPr>
            <w:tcW w:w="995" w:type="dxa"/>
            <w:tcBorders>
              <w:top w:val="nil"/>
              <w:left w:val="nil"/>
              <w:bottom w:val="nil"/>
              <w:right w:val="nil"/>
            </w:tcBorders>
            <w:shd w:val="clear" w:color="000000" w:fill="FFFFFF"/>
            <w:noWrap/>
            <w:vAlign w:val="bottom"/>
          </w:tcPr>
          <w:p w14:paraId="41953C24" w14:textId="1EE3AC7D"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tcPr>
          <w:p w14:paraId="153104B3" w14:textId="723092FF" w:rsidR="004942EB" w:rsidRPr="00D53A89" w:rsidRDefault="004942EB" w:rsidP="004942EB">
            <w:pPr>
              <w:jc w:val="right"/>
              <w:rPr>
                <w:rFonts w:ascii="Calibri" w:eastAsia="Times New Roman" w:hAnsi="Calibri" w:cs="Calibri"/>
              </w:rPr>
            </w:pPr>
            <w:r>
              <w:rPr>
                <w:rFonts w:ascii="Calibri" w:eastAsia="Times New Roman" w:hAnsi="Calibri" w:cs="Calibri"/>
              </w:rPr>
              <w:t>961</w:t>
            </w:r>
          </w:p>
        </w:tc>
        <w:tc>
          <w:tcPr>
            <w:tcW w:w="641" w:type="dxa"/>
            <w:gridSpan w:val="2"/>
            <w:tcBorders>
              <w:top w:val="nil"/>
              <w:left w:val="nil"/>
              <w:bottom w:val="nil"/>
              <w:right w:val="nil"/>
            </w:tcBorders>
            <w:shd w:val="clear" w:color="000000" w:fill="FFFFFF"/>
            <w:noWrap/>
            <w:vAlign w:val="bottom"/>
          </w:tcPr>
          <w:p w14:paraId="148E15C8" w14:textId="51A853B1"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tcPr>
          <w:p w14:paraId="29E64976" w14:textId="2BBDB6E8" w:rsidR="004942EB" w:rsidRPr="00D53A89" w:rsidRDefault="004942EB" w:rsidP="004942EB">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tcPr>
          <w:p w14:paraId="029D095D" w14:textId="0B09148D" w:rsidR="004942EB" w:rsidRPr="00D53A89" w:rsidRDefault="004942EB" w:rsidP="004942EB">
            <w:pPr>
              <w:jc w:val="right"/>
              <w:rPr>
                <w:rFonts w:ascii="Calibri" w:eastAsia="Times New Roman" w:hAnsi="Calibri" w:cs="Calibri"/>
              </w:rPr>
            </w:pPr>
            <w:r>
              <w:rPr>
                <w:rFonts w:ascii="Calibri" w:eastAsia="Times New Roman" w:hAnsi="Calibri" w:cs="Calibri"/>
              </w:rPr>
              <w:t>961</w:t>
            </w:r>
          </w:p>
        </w:tc>
        <w:tc>
          <w:tcPr>
            <w:tcW w:w="2713" w:type="dxa"/>
            <w:gridSpan w:val="2"/>
            <w:tcBorders>
              <w:top w:val="nil"/>
              <w:left w:val="nil"/>
              <w:bottom w:val="nil"/>
              <w:right w:val="nil"/>
            </w:tcBorders>
            <w:shd w:val="clear" w:color="000000" w:fill="FFFFFF"/>
            <w:vAlign w:val="bottom"/>
          </w:tcPr>
          <w:p w14:paraId="5D7CF1ED" w14:textId="0B776815" w:rsidR="004942EB" w:rsidRPr="00D35BDD" w:rsidRDefault="004942EB" w:rsidP="004942EB">
            <w:pPr>
              <w:rPr>
                <w:rFonts w:ascii="Calibri" w:eastAsia="Times New Roman" w:hAnsi="Calibri" w:cs="Calibri"/>
                <w:color w:val="0D0D0D"/>
              </w:rPr>
            </w:pPr>
            <w:r w:rsidRPr="00D35BDD">
              <w:rPr>
                <w:rFonts w:ascii="Calibri" w:eastAsia="Times New Roman" w:hAnsi="Calibri" w:cs="Calibri"/>
                <w:color w:val="0D0D0D"/>
              </w:rPr>
              <w:t>Daily</w:t>
            </w:r>
          </w:p>
        </w:tc>
      </w:tr>
      <w:tr w:rsidR="004942EB" w:rsidRPr="00D35BDD" w14:paraId="0EE09944" w14:textId="77777777" w:rsidTr="00BD375F">
        <w:trPr>
          <w:gridAfter w:val="1"/>
          <w:wAfter w:w="43" w:type="dxa"/>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1ED8D361" w14:textId="77777777" w:rsidR="004942EB" w:rsidRPr="00D35BDD" w:rsidRDefault="004942EB" w:rsidP="004942EB">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gridSpan w:val="2"/>
            <w:tcBorders>
              <w:top w:val="single" w:sz="4" w:space="0" w:color="00688D"/>
              <w:left w:val="nil"/>
              <w:bottom w:val="double" w:sz="6" w:space="0" w:color="00688D"/>
              <w:right w:val="nil"/>
            </w:tcBorders>
            <w:shd w:val="clear" w:color="000000" w:fill="FFFFFF"/>
            <w:noWrap/>
            <w:vAlign w:val="bottom"/>
            <w:hideMark/>
          </w:tcPr>
          <w:p w14:paraId="7F31FF5C" w14:textId="73D4AA1B" w:rsidR="004942EB" w:rsidRPr="00D35BDD" w:rsidRDefault="004942EB" w:rsidP="004942EB">
            <w:pPr>
              <w:jc w:val="right"/>
              <w:rPr>
                <w:rFonts w:ascii="Calibri" w:eastAsia="Times New Roman" w:hAnsi="Calibri" w:cs="Calibri"/>
                <w:b/>
                <w:bCs/>
                <w:color w:val="0D0D0D"/>
              </w:rPr>
            </w:pPr>
            <w:r w:rsidRPr="00954D00">
              <w:rPr>
                <w:rFonts w:ascii="Calibri" w:eastAsia="Times New Roman" w:hAnsi="Calibri" w:cs="Calibri"/>
                <w:b/>
                <w:bCs/>
              </w:rPr>
              <w:t>$</w:t>
            </w:r>
            <w:r>
              <w:rPr>
                <w:rFonts w:ascii="Calibri" w:eastAsia="Times New Roman" w:hAnsi="Calibri" w:cs="Calibri"/>
                <w:b/>
                <w:bCs/>
              </w:rPr>
              <w:t>250,345</w:t>
            </w:r>
          </w:p>
        </w:tc>
        <w:tc>
          <w:tcPr>
            <w:tcW w:w="892" w:type="dxa"/>
            <w:tcBorders>
              <w:top w:val="single" w:sz="4" w:space="0" w:color="00688D"/>
              <w:left w:val="nil"/>
              <w:bottom w:val="double" w:sz="6" w:space="0" w:color="00688D"/>
              <w:right w:val="nil"/>
            </w:tcBorders>
            <w:shd w:val="clear" w:color="000000" w:fill="FFFFFF"/>
            <w:noWrap/>
            <w:vAlign w:val="bottom"/>
            <w:hideMark/>
          </w:tcPr>
          <w:p w14:paraId="3C1E656E" w14:textId="51EADCC1" w:rsidR="004942EB" w:rsidRPr="00D35BDD" w:rsidRDefault="004942EB" w:rsidP="004942EB">
            <w:pPr>
              <w:jc w:val="right"/>
              <w:rPr>
                <w:rFonts w:ascii="Calibri" w:eastAsia="Times New Roman" w:hAnsi="Calibri" w:cs="Calibri"/>
                <w:b/>
                <w:bCs/>
                <w:color w:val="0D0D0D"/>
              </w:rPr>
            </w:pPr>
            <w:r w:rsidRPr="00954D00">
              <w:rPr>
                <w:rFonts w:ascii="Calibri" w:eastAsia="Times New Roman" w:hAnsi="Calibri" w:cs="Calibri"/>
                <w:b/>
                <w:bCs/>
              </w:rPr>
              <w:t>$</w:t>
            </w:r>
            <w:r>
              <w:rPr>
                <w:rFonts w:ascii="Calibri" w:eastAsia="Times New Roman" w:hAnsi="Calibri" w:cs="Calibri"/>
                <w:b/>
                <w:bCs/>
              </w:rPr>
              <w:t>78,697</w:t>
            </w:r>
          </w:p>
        </w:tc>
        <w:tc>
          <w:tcPr>
            <w:tcW w:w="638" w:type="dxa"/>
            <w:gridSpan w:val="2"/>
            <w:tcBorders>
              <w:top w:val="single" w:sz="4" w:space="0" w:color="00688D"/>
              <w:left w:val="nil"/>
              <w:bottom w:val="double" w:sz="6" w:space="0" w:color="00688D"/>
              <w:right w:val="nil"/>
            </w:tcBorders>
            <w:shd w:val="clear" w:color="000000" w:fill="FFFFFF"/>
            <w:noWrap/>
            <w:vAlign w:val="bottom"/>
            <w:hideMark/>
          </w:tcPr>
          <w:p w14:paraId="75261449" w14:textId="4F661185" w:rsidR="004942EB" w:rsidRPr="00D35BDD" w:rsidRDefault="004942EB" w:rsidP="004942EB">
            <w:pPr>
              <w:jc w:val="right"/>
              <w:rPr>
                <w:rFonts w:ascii="Calibri" w:eastAsia="Times New Roman" w:hAnsi="Calibri" w:cs="Calibri"/>
                <w:b/>
                <w:bCs/>
                <w:color w:val="0D0D0D"/>
              </w:rPr>
            </w:pPr>
            <w:r w:rsidRPr="00954D00">
              <w:rPr>
                <w:rFonts w:ascii="Calibri" w:eastAsia="Times New Roman" w:hAnsi="Calibri" w:cs="Calibri"/>
                <w:b/>
                <w:bCs/>
              </w:rPr>
              <w:t>$    -</w:t>
            </w:r>
          </w:p>
        </w:tc>
        <w:tc>
          <w:tcPr>
            <w:tcW w:w="630" w:type="dxa"/>
            <w:gridSpan w:val="2"/>
            <w:tcBorders>
              <w:top w:val="single" w:sz="4" w:space="0" w:color="00688D"/>
              <w:left w:val="nil"/>
              <w:bottom w:val="double" w:sz="6" w:space="0" w:color="00688D"/>
              <w:right w:val="nil"/>
            </w:tcBorders>
            <w:shd w:val="clear" w:color="000000" w:fill="FFFFFF"/>
            <w:noWrap/>
            <w:vAlign w:val="bottom"/>
            <w:hideMark/>
          </w:tcPr>
          <w:p w14:paraId="50E520DD" w14:textId="0A221950" w:rsidR="004942EB" w:rsidRPr="00D35BDD" w:rsidRDefault="004942EB" w:rsidP="004942EB">
            <w:pPr>
              <w:jc w:val="right"/>
              <w:rPr>
                <w:rFonts w:ascii="Calibri" w:eastAsia="Times New Roman" w:hAnsi="Calibri" w:cs="Calibri"/>
                <w:b/>
                <w:bCs/>
                <w:color w:val="0D0D0D"/>
              </w:rPr>
            </w:pPr>
            <w:r w:rsidRPr="00954D00">
              <w:rPr>
                <w:rFonts w:ascii="Calibri" w:eastAsia="Times New Roman" w:hAnsi="Calibri" w:cs="Calibri"/>
                <w:b/>
                <w:bCs/>
              </w:rPr>
              <w:t>$      -</w:t>
            </w:r>
          </w:p>
        </w:tc>
        <w:tc>
          <w:tcPr>
            <w:tcW w:w="990" w:type="dxa"/>
            <w:gridSpan w:val="2"/>
            <w:tcBorders>
              <w:top w:val="single" w:sz="4" w:space="0" w:color="00688D"/>
              <w:left w:val="nil"/>
              <w:bottom w:val="double" w:sz="6" w:space="0" w:color="00688D"/>
              <w:right w:val="nil"/>
            </w:tcBorders>
            <w:shd w:val="clear" w:color="000000" w:fill="FFFFFF"/>
            <w:noWrap/>
            <w:vAlign w:val="bottom"/>
            <w:hideMark/>
          </w:tcPr>
          <w:p w14:paraId="012AB14E" w14:textId="37A373D8" w:rsidR="004942EB" w:rsidRPr="00D35BDD" w:rsidRDefault="004942EB" w:rsidP="004942EB">
            <w:pPr>
              <w:jc w:val="right"/>
              <w:rPr>
                <w:rFonts w:ascii="Calibri" w:eastAsia="Times New Roman" w:hAnsi="Calibri" w:cs="Calibri"/>
                <w:b/>
                <w:bCs/>
                <w:color w:val="0D0D0D"/>
              </w:rPr>
            </w:pPr>
            <w:r w:rsidRPr="00954D00">
              <w:rPr>
                <w:rFonts w:ascii="Calibri" w:eastAsia="Times New Roman" w:hAnsi="Calibri" w:cs="Calibri"/>
                <w:b/>
                <w:bCs/>
              </w:rPr>
              <w:t>$3</w:t>
            </w:r>
            <w:r>
              <w:rPr>
                <w:rFonts w:ascii="Calibri" w:eastAsia="Times New Roman" w:hAnsi="Calibri" w:cs="Calibri"/>
                <w:b/>
                <w:bCs/>
              </w:rPr>
              <w:t>29,042</w:t>
            </w:r>
          </w:p>
        </w:tc>
        <w:tc>
          <w:tcPr>
            <w:tcW w:w="2700" w:type="dxa"/>
            <w:gridSpan w:val="2"/>
            <w:tcBorders>
              <w:top w:val="single" w:sz="4" w:space="0" w:color="00688D"/>
              <w:left w:val="nil"/>
              <w:bottom w:val="double" w:sz="6" w:space="0" w:color="00688D"/>
              <w:right w:val="nil"/>
            </w:tcBorders>
            <w:shd w:val="clear" w:color="000000" w:fill="FFFFFF"/>
            <w:noWrap/>
            <w:vAlign w:val="bottom"/>
            <w:hideMark/>
          </w:tcPr>
          <w:p w14:paraId="5DE0A9D8" w14:textId="59FEB1F5" w:rsidR="004942EB" w:rsidRPr="00D35BDD" w:rsidRDefault="004942EB" w:rsidP="004942EB">
            <w:pPr>
              <w:rPr>
                <w:rFonts w:ascii="Calibri" w:eastAsia="Times New Roman" w:hAnsi="Calibri" w:cs="Calibri"/>
                <w:b/>
                <w:bCs/>
                <w:color w:val="0D0D0D"/>
              </w:rPr>
            </w:pPr>
            <w:r w:rsidRPr="00D35BDD">
              <w:rPr>
                <w:rFonts w:ascii="Calibri" w:eastAsia="Times New Roman" w:hAnsi="Calibri" w:cs="Calibri"/>
                <w:b/>
                <w:bCs/>
                <w:color w:val="0D0D0D"/>
              </w:rPr>
              <w:t> </w:t>
            </w:r>
          </w:p>
        </w:tc>
      </w:tr>
    </w:tbl>
    <w:p w14:paraId="596483D1" w14:textId="77777777" w:rsidR="00DD1612" w:rsidRPr="00F54559" w:rsidRDefault="00DD1612" w:rsidP="00DD1612">
      <w:pPr>
        <w:spacing w:before="240"/>
        <w:rPr>
          <w:rFonts w:eastAsiaTheme="majorEastAsia" w:cstheme="minorHAnsi"/>
          <w:b/>
          <w:i/>
          <w:iCs/>
          <w:smallCaps/>
          <w:noProof/>
          <w:color w:val="000000" w:themeColor="text1"/>
          <w:sz w:val="28"/>
          <w:szCs w:val="28"/>
          <w:u w:color="5B9BD5"/>
        </w:rPr>
      </w:pPr>
      <w:r w:rsidRPr="00F54559">
        <w:rPr>
          <w:rFonts w:cstheme="minorHAnsi"/>
          <w:sz w:val="24"/>
        </w:rPr>
        <w:t>Complete financial statements for the Foundation may be obtained from the Foundation’s office at Two Alumni Place, Orono, ME 04469-5792.</w:t>
      </w:r>
      <w:r w:rsidRPr="00F54559">
        <w:rPr>
          <w:rFonts w:cstheme="minorHAnsi"/>
          <w:sz w:val="28"/>
        </w:rPr>
        <w:br w:type="page"/>
      </w:r>
    </w:p>
    <w:p w14:paraId="08D9410E" w14:textId="48C444F1" w:rsidR="00DD1612" w:rsidRPr="0023665A" w:rsidRDefault="00DD1612" w:rsidP="00DD1612">
      <w:pPr>
        <w:pStyle w:val="AFR2"/>
        <w:rPr>
          <w:rFonts w:cstheme="minorHAnsi"/>
          <w:color w:val="FF0000"/>
          <w:sz w:val="26"/>
          <w:szCs w:val="26"/>
          <w:u w:val="double"/>
        </w:rPr>
      </w:pPr>
      <w:r w:rsidRPr="0023665A">
        <w:rPr>
          <w:rFonts w:cstheme="minorHAnsi"/>
          <w:sz w:val="26"/>
          <w:szCs w:val="26"/>
        </w:rPr>
        <w:lastRenderedPageBreak/>
        <w:t>17</w:t>
      </w:r>
      <w:r w:rsidRPr="00AF6A2A">
        <w:rPr>
          <w:rFonts w:cstheme="minorHAnsi"/>
          <w:b w:val="0"/>
          <w:i w:val="0"/>
          <w:iCs w:val="0"/>
          <w:smallCaps w:val="0"/>
          <w:sz w:val="26"/>
          <w:szCs w:val="26"/>
        </w:rPr>
        <w:t>.</w:t>
      </w:r>
      <w:r w:rsidRPr="0023665A">
        <w:rPr>
          <w:rFonts w:cstheme="minorHAnsi"/>
          <w:sz w:val="26"/>
          <w:szCs w:val="26"/>
        </w:rPr>
        <w:t xml:space="preserve"> </w:t>
      </w:r>
      <w:r w:rsidRPr="00AF6A2A">
        <w:rPr>
          <w:rFonts w:cstheme="minorHAnsi"/>
          <w:color w:val="auto"/>
          <w:sz w:val="26"/>
          <w:szCs w:val="26"/>
        </w:rPr>
        <w:t>PRIOR PERIOD ADJUSTMENTS</w:t>
      </w:r>
    </w:p>
    <w:p w14:paraId="11A16824" w14:textId="2900118A" w:rsidR="00DD1612" w:rsidRDefault="00DD1612" w:rsidP="00DD1612">
      <w:pPr>
        <w:spacing w:after="160" w:line="259" w:lineRule="auto"/>
        <w:rPr>
          <w:rFonts w:cstheme="minorHAnsi"/>
          <w:sz w:val="24"/>
          <w:szCs w:val="20"/>
        </w:rPr>
      </w:pPr>
      <w:r w:rsidRPr="000059A2">
        <w:rPr>
          <w:rFonts w:cstheme="minorHAnsi"/>
          <w:sz w:val="24"/>
          <w:szCs w:val="20"/>
        </w:rPr>
        <w:t>The provisions of GASB No</w:t>
      </w:r>
      <w:r w:rsidRPr="00F273FD">
        <w:rPr>
          <w:rFonts w:cstheme="minorHAnsi"/>
          <w:sz w:val="24"/>
          <w:szCs w:val="20"/>
        </w:rPr>
        <w:t xml:space="preserve">. </w:t>
      </w:r>
      <w:r w:rsidR="00457B73" w:rsidRPr="00316B2A">
        <w:rPr>
          <w:rFonts w:cstheme="minorHAnsi"/>
          <w:iCs/>
          <w:smallCaps/>
          <w:sz w:val="24"/>
          <w:szCs w:val="20"/>
        </w:rPr>
        <w:t>96</w:t>
      </w:r>
      <w:r w:rsidRPr="00F273FD">
        <w:rPr>
          <w:rFonts w:cstheme="minorHAnsi"/>
          <w:iCs/>
          <w:smallCaps/>
          <w:sz w:val="24"/>
          <w:szCs w:val="20"/>
        </w:rPr>
        <w:t>,</w:t>
      </w:r>
      <w:r w:rsidR="00457B73" w:rsidRPr="00316B2A">
        <w:rPr>
          <w:rFonts w:cstheme="minorHAnsi"/>
          <w:iCs/>
          <w:smallCaps/>
          <w:sz w:val="24"/>
          <w:szCs w:val="20"/>
        </w:rPr>
        <w:t xml:space="preserve"> </w:t>
      </w:r>
      <w:r w:rsidR="0084640B" w:rsidRPr="00316B2A">
        <w:rPr>
          <w:rFonts w:cstheme="minorHAnsi"/>
          <w:i/>
          <w:sz w:val="24"/>
          <w:szCs w:val="20"/>
        </w:rPr>
        <w:t>Subscription-Based Information Technology Arrangements</w:t>
      </w:r>
      <w:r w:rsidR="00944022">
        <w:rPr>
          <w:rFonts w:cstheme="minorHAnsi"/>
          <w:i/>
          <w:sz w:val="24"/>
          <w:szCs w:val="20"/>
        </w:rPr>
        <w:t xml:space="preserve"> </w:t>
      </w:r>
      <w:r w:rsidR="00944022" w:rsidRPr="00C34BCE">
        <w:rPr>
          <w:rFonts w:cstheme="minorHAnsi"/>
          <w:sz w:val="24"/>
          <w:szCs w:val="20"/>
        </w:rPr>
        <w:t>(SBITAs)</w:t>
      </w:r>
      <w:r w:rsidR="0084640B" w:rsidRPr="00316B2A">
        <w:rPr>
          <w:rFonts w:cstheme="minorHAnsi"/>
          <w:i/>
          <w:sz w:val="24"/>
          <w:szCs w:val="20"/>
        </w:rPr>
        <w:t xml:space="preserve">, </w:t>
      </w:r>
      <w:r w:rsidRPr="0084640B">
        <w:rPr>
          <w:rFonts w:cstheme="minorHAnsi"/>
          <w:sz w:val="24"/>
          <w:szCs w:val="20"/>
        </w:rPr>
        <w:t xml:space="preserve">are </w:t>
      </w:r>
      <w:r w:rsidRPr="000059A2">
        <w:rPr>
          <w:rFonts w:cstheme="minorHAnsi"/>
          <w:sz w:val="24"/>
          <w:szCs w:val="20"/>
        </w:rPr>
        <w:t xml:space="preserve">effective for periods beginning </w:t>
      </w:r>
      <w:r w:rsidRPr="00F52FF6">
        <w:rPr>
          <w:rFonts w:cstheme="minorHAnsi"/>
          <w:sz w:val="24"/>
          <w:szCs w:val="20"/>
        </w:rPr>
        <w:t xml:space="preserve">after </w:t>
      </w:r>
      <w:r>
        <w:rPr>
          <w:rFonts w:cstheme="minorHAnsi"/>
          <w:sz w:val="24"/>
          <w:szCs w:val="20"/>
        </w:rPr>
        <w:t xml:space="preserve">June 15, </w:t>
      </w:r>
      <w:r w:rsidR="0084640B">
        <w:rPr>
          <w:rFonts w:cstheme="minorHAnsi"/>
          <w:sz w:val="24"/>
          <w:szCs w:val="20"/>
        </w:rPr>
        <w:t xml:space="preserve">2022 </w:t>
      </w:r>
      <w:r>
        <w:rPr>
          <w:rFonts w:cstheme="minorHAnsi"/>
          <w:sz w:val="24"/>
          <w:szCs w:val="20"/>
        </w:rPr>
        <w:t>and all reporting periods thereafter</w:t>
      </w:r>
      <w:r w:rsidRPr="00F52FF6">
        <w:rPr>
          <w:rFonts w:cstheme="minorHAnsi"/>
          <w:sz w:val="24"/>
          <w:szCs w:val="20"/>
        </w:rPr>
        <w:t xml:space="preserve">. </w:t>
      </w:r>
      <w:r w:rsidRPr="000059A2">
        <w:rPr>
          <w:rFonts w:cstheme="minorHAnsi"/>
          <w:sz w:val="24"/>
          <w:szCs w:val="20"/>
        </w:rPr>
        <w:t xml:space="preserve">This statement applies to the </w:t>
      </w:r>
      <w:r w:rsidRPr="00F52FF6">
        <w:rPr>
          <w:rFonts w:cstheme="minorHAnsi"/>
          <w:sz w:val="24"/>
          <w:szCs w:val="20"/>
        </w:rPr>
        <w:t xml:space="preserve">System’s </w:t>
      </w:r>
      <w:r w:rsidR="00944022">
        <w:rPr>
          <w:rFonts w:cstheme="minorHAnsi"/>
          <w:sz w:val="24"/>
          <w:szCs w:val="20"/>
        </w:rPr>
        <w:t xml:space="preserve">SBITA </w:t>
      </w:r>
      <w:r w:rsidR="0084640B">
        <w:rPr>
          <w:rFonts w:cstheme="minorHAnsi"/>
          <w:sz w:val="24"/>
          <w:szCs w:val="20"/>
        </w:rPr>
        <w:t xml:space="preserve">obligations and right of use assets </w:t>
      </w:r>
      <w:r>
        <w:rPr>
          <w:rFonts w:cstheme="minorHAnsi"/>
          <w:sz w:val="24"/>
          <w:szCs w:val="20"/>
        </w:rPr>
        <w:t xml:space="preserve">(see </w:t>
      </w:r>
      <w:r w:rsidRPr="006A442F">
        <w:rPr>
          <w:rFonts w:cstheme="minorHAnsi"/>
          <w:sz w:val="24"/>
          <w:szCs w:val="20"/>
        </w:rPr>
        <w:t>Note 1b</w:t>
      </w:r>
      <w:r>
        <w:rPr>
          <w:rFonts w:cstheme="minorHAnsi"/>
          <w:sz w:val="24"/>
          <w:szCs w:val="20"/>
        </w:rPr>
        <w:t xml:space="preserve">.) </w:t>
      </w:r>
      <w:r w:rsidRPr="000059A2">
        <w:rPr>
          <w:rFonts w:cstheme="minorHAnsi"/>
          <w:sz w:val="24"/>
          <w:szCs w:val="20"/>
        </w:rPr>
        <w:t xml:space="preserve">and the System adopted GASB No. </w:t>
      </w:r>
      <w:r w:rsidR="0084640B">
        <w:rPr>
          <w:rFonts w:cstheme="minorHAnsi"/>
          <w:iCs/>
          <w:smallCaps/>
          <w:sz w:val="24"/>
          <w:szCs w:val="20"/>
        </w:rPr>
        <w:t>96</w:t>
      </w:r>
      <w:r w:rsidR="0084640B" w:rsidRPr="000059A2">
        <w:rPr>
          <w:rFonts w:cstheme="minorHAnsi"/>
          <w:sz w:val="24"/>
          <w:szCs w:val="20"/>
        </w:rPr>
        <w:t xml:space="preserve"> </w:t>
      </w:r>
      <w:r w:rsidRPr="000059A2">
        <w:rPr>
          <w:rFonts w:cstheme="minorHAnsi"/>
          <w:sz w:val="24"/>
          <w:szCs w:val="20"/>
        </w:rPr>
        <w:t xml:space="preserve">for its June 30, </w:t>
      </w:r>
      <w:r w:rsidR="0084640B" w:rsidRPr="000059A2">
        <w:rPr>
          <w:rFonts w:cstheme="minorHAnsi"/>
          <w:sz w:val="24"/>
          <w:szCs w:val="20"/>
        </w:rPr>
        <w:t>20</w:t>
      </w:r>
      <w:r w:rsidR="0084640B" w:rsidRPr="0028129F">
        <w:rPr>
          <w:rFonts w:cstheme="minorHAnsi"/>
          <w:iCs/>
          <w:smallCaps/>
          <w:sz w:val="24"/>
          <w:szCs w:val="20"/>
        </w:rPr>
        <w:t>2</w:t>
      </w:r>
      <w:r w:rsidR="0084640B">
        <w:rPr>
          <w:rFonts w:cstheme="minorHAnsi"/>
          <w:iCs/>
          <w:smallCaps/>
          <w:sz w:val="24"/>
          <w:szCs w:val="20"/>
        </w:rPr>
        <w:t>3</w:t>
      </w:r>
      <w:r w:rsidR="0084640B" w:rsidRPr="000059A2">
        <w:rPr>
          <w:rFonts w:cstheme="minorHAnsi"/>
          <w:sz w:val="24"/>
          <w:szCs w:val="20"/>
        </w:rPr>
        <w:t xml:space="preserve"> </w:t>
      </w:r>
      <w:r w:rsidRPr="000059A2">
        <w:rPr>
          <w:rFonts w:cstheme="minorHAnsi"/>
          <w:sz w:val="24"/>
          <w:szCs w:val="20"/>
        </w:rPr>
        <w:t>financial statements. The change represents a change from one generally accepted accounting principle to another generally accepted accounting principle that is the current</w:t>
      </w:r>
      <w:r>
        <w:rPr>
          <w:rFonts w:cstheme="minorHAnsi"/>
          <w:sz w:val="24"/>
          <w:szCs w:val="20"/>
        </w:rPr>
        <w:t xml:space="preserve"> industry practice.</w:t>
      </w:r>
      <w:r w:rsidRPr="000059A2">
        <w:rPr>
          <w:rFonts w:cstheme="minorHAnsi"/>
          <w:sz w:val="24"/>
          <w:szCs w:val="20"/>
        </w:rPr>
        <w:t xml:space="preserve"> </w:t>
      </w:r>
    </w:p>
    <w:p w14:paraId="7824ED70" w14:textId="5EE8B1E6" w:rsidR="00DD1612" w:rsidRDefault="00DD1612" w:rsidP="00DD1612">
      <w:pPr>
        <w:spacing w:after="160" w:line="259" w:lineRule="auto"/>
        <w:rPr>
          <w:rFonts w:cstheme="minorHAnsi"/>
          <w:sz w:val="24"/>
          <w:szCs w:val="20"/>
        </w:rPr>
      </w:pPr>
      <w:r w:rsidRPr="000059A2">
        <w:rPr>
          <w:rFonts w:cstheme="minorHAnsi"/>
          <w:sz w:val="24"/>
          <w:szCs w:val="20"/>
        </w:rPr>
        <w:t xml:space="preserve">The changes adopted to conform to the provisions of GASB No. </w:t>
      </w:r>
      <w:r w:rsidR="001579C0">
        <w:rPr>
          <w:rFonts w:cstheme="minorHAnsi"/>
          <w:sz w:val="24"/>
          <w:szCs w:val="20"/>
        </w:rPr>
        <w:t>96</w:t>
      </w:r>
      <w:r w:rsidR="001579C0" w:rsidRPr="000059A2">
        <w:rPr>
          <w:rFonts w:cstheme="minorHAnsi"/>
          <w:sz w:val="24"/>
          <w:szCs w:val="20"/>
        </w:rPr>
        <w:t xml:space="preserve"> </w:t>
      </w:r>
      <w:r w:rsidRPr="000059A2">
        <w:rPr>
          <w:rFonts w:cstheme="minorHAnsi"/>
          <w:sz w:val="24"/>
          <w:szCs w:val="20"/>
        </w:rPr>
        <w:t xml:space="preserve">are applied retroactively by restating the </w:t>
      </w:r>
      <w:r w:rsidR="00B23078" w:rsidRPr="000059A2">
        <w:rPr>
          <w:rFonts w:cstheme="minorHAnsi"/>
          <w:sz w:val="24"/>
          <w:szCs w:val="20"/>
        </w:rPr>
        <w:t>FY</w:t>
      </w:r>
      <w:r w:rsidR="00B23078">
        <w:rPr>
          <w:rFonts w:cstheme="minorHAnsi"/>
          <w:sz w:val="24"/>
          <w:szCs w:val="20"/>
        </w:rPr>
        <w:t>22</w:t>
      </w:r>
      <w:r w:rsidR="00B23078" w:rsidRPr="000059A2">
        <w:rPr>
          <w:rFonts w:cstheme="minorHAnsi"/>
          <w:sz w:val="24"/>
          <w:szCs w:val="20"/>
        </w:rPr>
        <w:t xml:space="preserve"> </w:t>
      </w:r>
      <w:r w:rsidRPr="000059A2">
        <w:rPr>
          <w:rFonts w:cstheme="minorHAnsi"/>
          <w:sz w:val="24"/>
          <w:szCs w:val="20"/>
        </w:rPr>
        <w:t xml:space="preserve">financial statements. </w:t>
      </w:r>
      <w:r>
        <w:rPr>
          <w:rFonts w:cstheme="minorHAnsi"/>
          <w:sz w:val="24"/>
          <w:szCs w:val="20"/>
        </w:rPr>
        <w:t xml:space="preserve">The effect of the restatement was to reduce the beginning balance of net position (investment in capital assets), decrease the </w:t>
      </w:r>
      <w:r w:rsidR="0084640B">
        <w:rPr>
          <w:rFonts w:cstheme="minorHAnsi"/>
          <w:sz w:val="24"/>
          <w:szCs w:val="20"/>
        </w:rPr>
        <w:t xml:space="preserve">FY22 </w:t>
      </w:r>
      <w:r>
        <w:rPr>
          <w:rFonts w:cstheme="minorHAnsi"/>
          <w:sz w:val="24"/>
          <w:szCs w:val="20"/>
        </w:rPr>
        <w:t>change in net position and decrease ending net position (</w:t>
      </w:r>
      <w:r w:rsidR="00B46B7F">
        <w:rPr>
          <w:rFonts w:cstheme="minorHAnsi"/>
          <w:sz w:val="24"/>
          <w:szCs w:val="20"/>
        </w:rPr>
        <w:t>unrestricted</w:t>
      </w:r>
      <w:r>
        <w:rPr>
          <w:rFonts w:cstheme="minorHAnsi"/>
          <w:sz w:val="24"/>
          <w:szCs w:val="20"/>
        </w:rPr>
        <w:t xml:space="preserve">) by the </w:t>
      </w:r>
      <w:r w:rsidR="00EE45D4">
        <w:rPr>
          <w:rFonts w:cstheme="minorHAnsi"/>
          <w:sz w:val="24"/>
          <w:szCs w:val="20"/>
        </w:rPr>
        <w:t>following amounts</w:t>
      </w:r>
      <w:r w:rsidR="00E63A62">
        <w:rPr>
          <w:rFonts w:cstheme="minorHAnsi"/>
          <w:sz w:val="24"/>
          <w:szCs w:val="20"/>
        </w:rPr>
        <w:t>.</w:t>
      </w:r>
    </w:p>
    <w:p w14:paraId="26256942" w14:textId="29D6C38B" w:rsidR="006A2372" w:rsidRDefault="001E43EA" w:rsidP="00DD1612">
      <w:pPr>
        <w:spacing w:after="160" w:line="259" w:lineRule="auto"/>
        <w:rPr>
          <w:rFonts w:cstheme="minorHAnsi"/>
          <w:sz w:val="24"/>
          <w:szCs w:val="20"/>
        </w:rPr>
      </w:pPr>
      <w:r w:rsidRPr="001E43EA">
        <w:rPr>
          <w:noProof/>
        </w:rPr>
        <w:drawing>
          <wp:inline distT="0" distB="0" distL="0" distR="0" wp14:anchorId="6E546E55" wp14:editId="703E873B">
            <wp:extent cx="4945328" cy="3189605"/>
            <wp:effectExtent l="0" t="0" r="825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l="1743"/>
                    <a:stretch/>
                  </pic:blipFill>
                  <pic:spPr bwMode="auto">
                    <a:xfrm>
                      <a:off x="0" y="0"/>
                      <a:ext cx="4945328" cy="3189605"/>
                    </a:xfrm>
                    <a:prstGeom prst="rect">
                      <a:avLst/>
                    </a:prstGeom>
                    <a:noFill/>
                    <a:ln>
                      <a:noFill/>
                    </a:ln>
                    <a:extLst>
                      <a:ext uri="{53640926-AAD7-44D8-BBD7-CCE9431645EC}">
                        <a14:shadowObscured xmlns:a14="http://schemas.microsoft.com/office/drawing/2010/main"/>
                      </a:ext>
                    </a:extLst>
                  </pic:spPr>
                </pic:pic>
              </a:graphicData>
            </a:graphic>
          </wp:inline>
        </w:drawing>
      </w:r>
    </w:p>
    <w:p w14:paraId="3BB5E304" w14:textId="77777777" w:rsidR="00DD1612" w:rsidRDefault="00DD1612" w:rsidP="00DD1612">
      <w:pPr>
        <w:pStyle w:val="AFR4"/>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p>
    <w:p w14:paraId="6EDBFF49" w14:textId="2F94A876" w:rsidR="00DD1612" w:rsidRPr="00A150DE" w:rsidRDefault="00E54EA3" w:rsidP="00A150DE">
      <w:pPr>
        <w:pStyle w:val="AFR2"/>
        <w:rPr>
          <w:rFonts w:cstheme="minorHAnsi"/>
          <w:sz w:val="26"/>
          <w:szCs w:val="26"/>
        </w:rPr>
      </w:pPr>
      <w:r w:rsidRPr="00731B89">
        <w:rPr>
          <w:rFonts w:cstheme="minorHAnsi"/>
          <w:color w:val="auto"/>
          <w:sz w:val="26"/>
          <w:szCs w:val="26"/>
        </w:rPr>
        <w:lastRenderedPageBreak/>
        <w:t>1</w:t>
      </w:r>
      <w:r>
        <w:rPr>
          <w:rFonts w:cstheme="minorHAnsi"/>
          <w:color w:val="auto"/>
          <w:sz w:val="26"/>
          <w:szCs w:val="26"/>
        </w:rPr>
        <w:t>8</w:t>
      </w:r>
      <w:r w:rsidR="00DD1612" w:rsidRPr="00731B89">
        <w:rPr>
          <w:rFonts w:cstheme="minorHAnsi"/>
          <w:color w:val="auto"/>
          <w:sz w:val="26"/>
          <w:szCs w:val="26"/>
        </w:rPr>
        <w:t>. SUBSEQUENT EVENTS</w:t>
      </w:r>
    </w:p>
    <w:p w14:paraId="1BBEC98A" w14:textId="1B4E0CBE" w:rsidR="00A150DE" w:rsidRPr="00A150DE" w:rsidRDefault="003E72E3" w:rsidP="00B04D7E">
      <w:pPr>
        <w:rPr>
          <w:b/>
          <w:sz w:val="24"/>
          <w:szCs w:val="24"/>
        </w:rPr>
      </w:pPr>
      <w:r w:rsidRPr="00A150DE">
        <w:rPr>
          <w:b/>
          <w:sz w:val="24"/>
          <w:szCs w:val="24"/>
        </w:rPr>
        <w:t xml:space="preserve">Public, Private Partnership: </w:t>
      </w:r>
      <w:r w:rsidR="00A150DE" w:rsidRPr="00A150DE">
        <w:rPr>
          <w:sz w:val="24"/>
          <w:szCs w:val="24"/>
        </w:rPr>
        <w:t>On August 15, 2022, the System entered into a public private partnership (P3) with Radnor Property Group, LLC (RPG). The P3 agreement is</w:t>
      </w:r>
      <w:r w:rsidR="00E63A62">
        <w:rPr>
          <w:sz w:val="24"/>
          <w:szCs w:val="24"/>
        </w:rPr>
        <w:t xml:space="preserve"> for</w:t>
      </w:r>
      <w:r w:rsidR="00A150DE" w:rsidRPr="00A150DE">
        <w:rPr>
          <w:sz w:val="24"/>
          <w:szCs w:val="24"/>
        </w:rPr>
        <w:t xml:space="preserve"> a $28,000 project including the renovation of Coburn and Holmes Halls and the construction of a new 24,800-square-foot building adjacent to Holmes Hall for the creation of a boutique hotel ensemble and extended stay residence on the University of Maine campus in Orono. This project will provide 95 hotel rooms and a café. The hotel is expected to open in the spring of 2024 under the operation of Olympia Hotel Management, LLC.</w:t>
      </w:r>
    </w:p>
    <w:p w14:paraId="20F3E667" w14:textId="77777777" w:rsidR="00A150DE" w:rsidRPr="00A150DE" w:rsidRDefault="00A150DE" w:rsidP="00B04D7E">
      <w:pPr>
        <w:rPr>
          <w:sz w:val="24"/>
          <w:szCs w:val="24"/>
        </w:rPr>
      </w:pPr>
    </w:p>
    <w:p w14:paraId="01468496" w14:textId="4DBACB3C" w:rsidR="00A150DE" w:rsidRDefault="00A150DE" w:rsidP="00B04D7E">
      <w:pPr>
        <w:rPr>
          <w:sz w:val="24"/>
          <w:szCs w:val="24"/>
        </w:rPr>
      </w:pPr>
      <w:r w:rsidRPr="00A150DE">
        <w:rPr>
          <w:sz w:val="24"/>
          <w:szCs w:val="24"/>
        </w:rPr>
        <w:t xml:space="preserve">Under the 99-year arrangement, the System has agreed to a ground lease, a performance guarantee, and an income sharing arrangement. Commencing with the date of project stabilization, the System will lease ground and buildings to RPG at a base rent of $38 per annum to be paid quarterly. Base rent is scheduled to increase 5% each fifth year. Once the hotel is operational, revenues will be collected by RPG and to the extent the revenues fall below annual pro forma projections during the first 25 operating years of the arrangement, the System will supplement the shortfall as outlined in the contract. In consideration for services the System will provide under the arrangement the System will receive 20% of all net operating income, on a cumulative basis, earned annually </w:t>
      </w:r>
      <w:proofErr w:type="gramStart"/>
      <w:r w:rsidRPr="00A150DE">
        <w:rPr>
          <w:sz w:val="24"/>
          <w:szCs w:val="24"/>
        </w:rPr>
        <w:t>in excess of</w:t>
      </w:r>
      <w:proofErr w:type="gramEnd"/>
      <w:r w:rsidRPr="00A150DE">
        <w:rPr>
          <w:sz w:val="24"/>
          <w:szCs w:val="24"/>
        </w:rPr>
        <w:t xml:space="preserve"> annual amounts outlined in the contract and subject to an annual maximum of $600. Both the shortfall supplement and the income sharing are variable in nature and will be recognized as incurred. </w:t>
      </w:r>
    </w:p>
    <w:p w14:paraId="1213A686" w14:textId="77777777" w:rsidR="00A150DE" w:rsidRPr="00A150DE" w:rsidRDefault="00A150DE" w:rsidP="00B04D7E">
      <w:pPr>
        <w:rPr>
          <w:sz w:val="24"/>
          <w:szCs w:val="24"/>
        </w:rPr>
      </w:pPr>
    </w:p>
    <w:p w14:paraId="066229F9" w14:textId="77777777" w:rsidR="004202ED" w:rsidRDefault="00A150DE" w:rsidP="00B04D7E">
      <w:pPr>
        <w:rPr>
          <w:sz w:val="24"/>
          <w:szCs w:val="24"/>
        </w:rPr>
      </w:pPr>
      <w:r w:rsidRPr="00A150DE">
        <w:rPr>
          <w:sz w:val="24"/>
          <w:szCs w:val="24"/>
        </w:rPr>
        <w:t xml:space="preserve">The University commitment to the project is $3,000 with $1,180 disbursed at closing for the </w:t>
      </w:r>
      <w:proofErr w:type="gramStart"/>
      <w:r w:rsidRPr="00A150DE">
        <w:rPr>
          <w:sz w:val="24"/>
          <w:szCs w:val="24"/>
        </w:rPr>
        <w:t>aforementioned parking</w:t>
      </w:r>
      <w:proofErr w:type="gramEnd"/>
      <w:r w:rsidRPr="00A150DE">
        <w:rPr>
          <w:sz w:val="24"/>
          <w:szCs w:val="24"/>
        </w:rPr>
        <w:t xml:space="preserve"> lot and site improvements and the remaining $1,320 towards construction of the hotels to be paid following request by the operator. The University has further committed $515 as a tax reimbursement payment. Both remaining payments are anticipated to be made in December 2023. At the end of fiscal year 2023, UMS has recognized an asset of $1,180 for construction in progress related to the hotel parking lot.  Construction of the hotel is </w:t>
      </w:r>
      <w:proofErr w:type="gramStart"/>
      <w:r w:rsidRPr="00A150DE">
        <w:rPr>
          <w:sz w:val="24"/>
          <w:szCs w:val="24"/>
        </w:rPr>
        <w:t>ongoing</w:t>
      </w:r>
      <w:proofErr w:type="gramEnd"/>
      <w:r w:rsidRPr="00A150DE">
        <w:rPr>
          <w:sz w:val="24"/>
          <w:szCs w:val="24"/>
        </w:rPr>
        <w:t xml:space="preserve"> and the improvements were not yet placed into service at year end.</w:t>
      </w:r>
      <w:r>
        <w:rPr>
          <w:sz w:val="24"/>
          <w:szCs w:val="24"/>
        </w:rPr>
        <w:t xml:space="preserve"> </w:t>
      </w:r>
    </w:p>
    <w:p w14:paraId="2D233DC1" w14:textId="1F993C0B" w:rsidR="00DD1612" w:rsidRPr="00EC1143" w:rsidRDefault="00DD1612" w:rsidP="00B04D7E">
      <w:pPr>
        <w:rPr>
          <w:rFonts w:cstheme="minorHAnsi"/>
          <w:color w:val="FF0000"/>
          <w:sz w:val="24"/>
          <w:szCs w:val="20"/>
        </w:rPr>
      </w:pPr>
    </w:p>
    <w:p w14:paraId="3C04DF5E" w14:textId="77777777" w:rsidR="00DD1612" w:rsidRDefault="00DD1612" w:rsidP="00DD1612">
      <w:pPr>
        <w:rPr>
          <w:rFonts w:cstheme="minorHAnsi"/>
          <w:b/>
          <w:i/>
          <w:sz w:val="26"/>
          <w:szCs w:val="26"/>
          <w:u w:color="000000" w:themeColor="text1"/>
        </w:rPr>
        <w:sectPr w:rsidR="00DD1612" w:rsidSect="00BD375F">
          <w:headerReference w:type="default" r:id="rId80"/>
          <w:headerReference w:type="first" r:id="rId81"/>
          <w:footerReference w:type="first" r:id="rId82"/>
          <w:pgSz w:w="12240" w:h="15840" w:code="1"/>
          <w:pgMar w:top="1440" w:right="1440" w:bottom="1440" w:left="1440" w:header="720" w:footer="720" w:gutter="0"/>
          <w:cols w:space="0"/>
          <w:titlePg/>
          <w:docGrid w:linePitch="360"/>
        </w:sectPr>
      </w:pPr>
    </w:p>
    <w:p w14:paraId="21F9F337" w14:textId="77777777" w:rsidR="00DD1612" w:rsidRPr="00F54559" w:rsidRDefault="00DD1612" w:rsidP="00DD1612">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0CF44533" w14:textId="77777777" w:rsidR="00DD1612" w:rsidRPr="00F54559" w:rsidRDefault="00DD1612" w:rsidP="00DD1612">
      <w:pPr>
        <w:pStyle w:val="AFR1"/>
        <w:spacing w:after="0"/>
        <w:rPr>
          <w:rFonts w:asciiTheme="minorHAnsi" w:hAnsiTheme="minorHAnsi" w:cstheme="minorHAnsi"/>
          <w:sz w:val="20"/>
          <w:szCs w:val="24"/>
        </w:rPr>
      </w:pPr>
      <w:r w:rsidRPr="00F54559">
        <w:rPr>
          <w:rFonts w:asciiTheme="minorHAnsi" w:hAnsiTheme="minorHAnsi" w:cstheme="minorHAnsi"/>
        </w:rPr>
        <w:t>Required Supplemental Information – Retirement and opeb Plans</w:t>
      </w:r>
      <w:r w:rsidRPr="00F54559">
        <w:rPr>
          <w:rFonts w:asciiTheme="minorHAnsi" w:hAnsiTheme="minorHAnsi" w:cstheme="minorHAnsi"/>
          <w:sz w:val="20"/>
          <w:szCs w:val="24"/>
        </w:rPr>
        <w:t xml:space="preserve"> </w:t>
      </w:r>
    </w:p>
    <w:p w14:paraId="120F5C32" w14:textId="77777777" w:rsidR="00DD1612" w:rsidRPr="00F54559" w:rsidRDefault="00DD1612" w:rsidP="00DD1612">
      <w:pPr>
        <w:pBdr>
          <w:bottom w:val="single" w:sz="18" w:space="1" w:color="00688D"/>
        </w:pBdr>
        <w:rPr>
          <w:rFonts w:cstheme="minorHAnsi"/>
          <w:b/>
          <w:i/>
          <w:sz w:val="26"/>
          <w:szCs w:val="26"/>
        </w:rPr>
      </w:pPr>
      <w:r w:rsidRPr="00F54559">
        <w:rPr>
          <w:rFonts w:cstheme="minorHAnsi"/>
          <w:b/>
          <w:i/>
          <w:sz w:val="26"/>
          <w:szCs w:val="26"/>
        </w:rPr>
        <w:t>YEAR ENDED JUNE 30, 20</w:t>
      </w:r>
      <w:r>
        <w:rPr>
          <w:rFonts w:cstheme="minorHAnsi"/>
          <w:b/>
          <w:i/>
          <w:sz w:val="26"/>
          <w:szCs w:val="26"/>
        </w:rPr>
        <w:t>22</w:t>
      </w:r>
      <w:r w:rsidRPr="00F54559">
        <w:rPr>
          <w:rFonts w:cstheme="minorHAnsi"/>
          <w:b/>
          <w:i/>
          <w:sz w:val="26"/>
          <w:szCs w:val="26"/>
        </w:rPr>
        <w:t xml:space="preserve"> (UNAUDITED)</w:t>
      </w:r>
    </w:p>
    <w:p w14:paraId="72509326" w14:textId="77777777" w:rsidR="00DD1612" w:rsidRPr="00F54559" w:rsidRDefault="00DD1612" w:rsidP="00DD1612">
      <w:pPr>
        <w:pBdr>
          <w:bottom w:val="single" w:sz="18" w:space="1" w:color="00688D"/>
        </w:pBdr>
        <w:rPr>
          <w:rFonts w:cstheme="minorHAnsi"/>
          <w:b/>
          <w:i/>
          <w:sz w:val="24"/>
          <w:szCs w:val="24"/>
        </w:rPr>
      </w:pPr>
      <w:r w:rsidRPr="00F54559">
        <w:rPr>
          <w:rFonts w:cstheme="minorHAnsi"/>
          <w:b/>
          <w:i/>
          <w:sz w:val="24"/>
          <w:szCs w:val="24"/>
        </w:rPr>
        <w:t>(IN THOUSANDS)</w:t>
      </w:r>
    </w:p>
    <w:p w14:paraId="182A005C" w14:textId="77777777" w:rsidR="00DD1612" w:rsidRPr="009A3A6B" w:rsidRDefault="00DD1612" w:rsidP="00DD1612">
      <w:pPr>
        <w:pStyle w:val="AFR2"/>
        <w:spacing w:before="240" w:after="0"/>
        <w:rPr>
          <w:rFonts w:cstheme="minorHAnsi"/>
          <w:sz w:val="26"/>
          <w:szCs w:val="26"/>
        </w:rPr>
      </w:pPr>
      <w:r w:rsidRPr="009A3A6B">
        <w:rPr>
          <w:rFonts w:cstheme="minorHAnsi"/>
          <w:sz w:val="26"/>
          <w:szCs w:val="26"/>
        </w:rPr>
        <w:t>Incentive Retirement Plan:</w:t>
      </w:r>
    </w:p>
    <w:p w14:paraId="1E5C7E19" w14:textId="77777777" w:rsidR="00DD1612" w:rsidRPr="00924810" w:rsidRDefault="00DD1612" w:rsidP="00DD1612">
      <w:pPr>
        <w:spacing w:before="120"/>
        <w:jc w:val="center"/>
        <w:rPr>
          <w:rFonts w:eastAsia="Franklin Gothic Book" w:cstheme="minorHAnsi"/>
          <w:b/>
          <w:sz w:val="24"/>
          <w:szCs w:val="28"/>
        </w:rPr>
      </w:pPr>
      <w:r>
        <w:rPr>
          <w:rFonts w:ascii="Calibri" w:eastAsia="Times New Roman" w:hAnsi="Calibri" w:cs="Calibri"/>
          <w:b/>
          <w:bCs/>
          <w:color w:val="0D0D0D"/>
        </w:rPr>
        <w:fldChar w:fldCharType="begin"/>
      </w:r>
      <w:r>
        <w:rPr>
          <w:rFonts w:ascii="Calibri" w:eastAsia="Times New Roman" w:hAnsi="Calibri" w:cs="Calibri"/>
          <w:b/>
          <w:bCs/>
          <w:color w:val="0D0D0D"/>
        </w:rPr>
        <w:fldChar w:fldCharType="end"/>
      </w:r>
      <w:r w:rsidRPr="001B7651">
        <w:rPr>
          <w:rFonts w:ascii="Calibri" w:eastAsia="Times New Roman" w:hAnsi="Calibri" w:cs="Calibri"/>
          <w:b/>
          <w:bCs/>
          <w:color w:val="0D0D0D"/>
        </w:rPr>
        <w:t>Changes in Total Pension Liability and Related Ratios</w:t>
      </w:r>
    </w:p>
    <w:tbl>
      <w:tblPr>
        <w:tblW w:w="12780" w:type="dxa"/>
        <w:jc w:val="center"/>
        <w:tblLayout w:type="fixed"/>
        <w:tblCellMar>
          <w:left w:w="72" w:type="dxa"/>
          <w:right w:w="72" w:type="dxa"/>
        </w:tblCellMar>
        <w:tblLook w:val="04A0" w:firstRow="1" w:lastRow="0" w:firstColumn="1" w:lastColumn="0" w:noHBand="0" w:noVBand="1"/>
      </w:tblPr>
      <w:tblGrid>
        <w:gridCol w:w="4680"/>
        <w:gridCol w:w="877"/>
        <w:gridCol w:w="877"/>
        <w:gridCol w:w="877"/>
        <w:gridCol w:w="877"/>
        <w:gridCol w:w="992"/>
        <w:gridCol w:w="900"/>
        <w:gridCol w:w="900"/>
        <w:gridCol w:w="900"/>
        <w:gridCol w:w="900"/>
      </w:tblGrid>
      <w:tr w:rsidR="00BB2EE3" w:rsidRPr="001B7651" w14:paraId="20E66746" w14:textId="77777777" w:rsidTr="000A48AD">
        <w:trPr>
          <w:trHeight w:val="403"/>
          <w:tblHeader/>
          <w:jc w:val="center"/>
        </w:trPr>
        <w:tc>
          <w:tcPr>
            <w:tcW w:w="4680" w:type="dxa"/>
            <w:tcBorders>
              <w:top w:val="nil"/>
              <w:left w:val="nil"/>
              <w:bottom w:val="single" w:sz="12" w:space="0" w:color="00688D"/>
              <w:right w:val="nil"/>
            </w:tcBorders>
            <w:shd w:val="clear" w:color="000000" w:fill="FFFFFF"/>
            <w:vAlign w:val="bottom"/>
            <w:hideMark/>
          </w:tcPr>
          <w:p w14:paraId="5D5E5328" w14:textId="77777777" w:rsidR="00BB2EE3" w:rsidRPr="001B7651" w:rsidRDefault="00BB2EE3" w:rsidP="00BD375F">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77" w:type="dxa"/>
            <w:tcBorders>
              <w:top w:val="nil"/>
              <w:left w:val="nil"/>
              <w:bottom w:val="single" w:sz="12" w:space="0" w:color="00688D"/>
              <w:right w:val="nil"/>
            </w:tcBorders>
            <w:shd w:val="clear" w:color="auto" w:fill="F2F2F2" w:themeFill="background1" w:themeFillShade="F2"/>
            <w:vAlign w:val="bottom"/>
          </w:tcPr>
          <w:p w14:paraId="55D1AFB2" w14:textId="16F8AFD9" w:rsidR="00BB2EE3" w:rsidRDefault="00BB2EE3" w:rsidP="00E66875">
            <w:pPr>
              <w:jc w:val="center"/>
              <w:rPr>
                <w:rFonts w:ascii="Calibri" w:eastAsia="Times New Roman" w:hAnsi="Calibri" w:cs="Calibri"/>
                <w:b/>
                <w:bCs/>
                <w:color w:val="0D0D0D"/>
              </w:rPr>
            </w:pPr>
            <w:r>
              <w:rPr>
                <w:rFonts w:ascii="Calibri" w:eastAsia="Times New Roman" w:hAnsi="Calibri" w:cs="Calibri"/>
                <w:b/>
                <w:bCs/>
                <w:color w:val="0D0D0D"/>
              </w:rPr>
              <w:t>2023</w:t>
            </w:r>
          </w:p>
        </w:tc>
        <w:tc>
          <w:tcPr>
            <w:tcW w:w="877" w:type="dxa"/>
            <w:tcBorders>
              <w:top w:val="nil"/>
              <w:left w:val="nil"/>
              <w:bottom w:val="single" w:sz="12" w:space="0" w:color="00688D"/>
              <w:right w:val="nil"/>
            </w:tcBorders>
            <w:shd w:val="clear" w:color="auto" w:fill="FFFFFF" w:themeFill="background1"/>
            <w:vAlign w:val="bottom"/>
          </w:tcPr>
          <w:p w14:paraId="06A909B7" w14:textId="33A4D6D0" w:rsidR="00BB2EE3" w:rsidRDefault="00BB2EE3" w:rsidP="00BD375F">
            <w:pPr>
              <w:jc w:val="center"/>
              <w:rPr>
                <w:rFonts w:ascii="Calibri" w:eastAsia="Times New Roman" w:hAnsi="Calibri" w:cs="Calibri"/>
                <w:b/>
                <w:bCs/>
                <w:color w:val="0D0D0D"/>
              </w:rPr>
            </w:pPr>
            <w:r>
              <w:rPr>
                <w:rFonts w:ascii="Calibri" w:eastAsia="Times New Roman" w:hAnsi="Calibri" w:cs="Calibri"/>
                <w:b/>
                <w:bCs/>
                <w:color w:val="0D0D0D"/>
              </w:rPr>
              <w:t>2022</w:t>
            </w:r>
          </w:p>
        </w:tc>
        <w:tc>
          <w:tcPr>
            <w:tcW w:w="877" w:type="dxa"/>
            <w:tcBorders>
              <w:top w:val="nil"/>
              <w:left w:val="nil"/>
              <w:bottom w:val="single" w:sz="12" w:space="0" w:color="00688D"/>
              <w:right w:val="nil"/>
            </w:tcBorders>
            <w:shd w:val="clear" w:color="auto" w:fill="F2F2F2" w:themeFill="background1" w:themeFillShade="F2"/>
            <w:vAlign w:val="bottom"/>
          </w:tcPr>
          <w:p w14:paraId="1DE65F57" w14:textId="77777777" w:rsidR="00BB2EE3" w:rsidRPr="001B7651" w:rsidRDefault="00BB2EE3" w:rsidP="00BD375F">
            <w:pPr>
              <w:jc w:val="center"/>
              <w:rPr>
                <w:rFonts w:ascii="Calibri" w:eastAsia="Times New Roman" w:hAnsi="Calibri" w:cs="Calibri"/>
                <w:b/>
                <w:bCs/>
                <w:color w:val="0D0D0D"/>
              </w:rPr>
            </w:pPr>
            <w:r>
              <w:rPr>
                <w:rFonts w:ascii="Calibri" w:eastAsia="Times New Roman" w:hAnsi="Calibri" w:cs="Calibri"/>
                <w:b/>
                <w:bCs/>
                <w:color w:val="0D0D0D"/>
              </w:rPr>
              <w:t>2021</w:t>
            </w:r>
          </w:p>
        </w:tc>
        <w:tc>
          <w:tcPr>
            <w:tcW w:w="877" w:type="dxa"/>
            <w:tcBorders>
              <w:top w:val="nil"/>
              <w:left w:val="nil"/>
              <w:bottom w:val="single" w:sz="12" w:space="0" w:color="00688D"/>
              <w:right w:val="nil"/>
            </w:tcBorders>
            <w:shd w:val="clear" w:color="000000" w:fill="FFFFFF"/>
            <w:noWrap/>
            <w:vAlign w:val="bottom"/>
            <w:hideMark/>
          </w:tcPr>
          <w:p w14:paraId="29E44660"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92" w:type="dxa"/>
            <w:tcBorders>
              <w:top w:val="nil"/>
              <w:left w:val="nil"/>
              <w:bottom w:val="single" w:sz="12" w:space="0" w:color="00688D"/>
              <w:right w:val="nil"/>
            </w:tcBorders>
            <w:shd w:val="clear" w:color="auto" w:fill="F2F2F2" w:themeFill="background1" w:themeFillShade="F2"/>
            <w:noWrap/>
            <w:vAlign w:val="bottom"/>
            <w:hideMark/>
          </w:tcPr>
          <w:p w14:paraId="356CAC70"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25201D2E"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00" w:type="dxa"/>
            <w:tcBorders>
              <w:top w:val="nil"/>
              <w:left w:val="nil"/>
              <w:bottom w:val="single" w:sz="12" w:space="0" w:color="00688D"/>
              <w:right w:val="nil"/>
            </w:tcBorders>
            <w:shd w:val="clear" w:color="auto" w:fill="F2F2F2" w:themeFill="background1" w:themeFillShade="F2"/>
            <w:noWrap/>
            <w:vAlign w:val="bottom"/>
            <w:hideMark/>
          </w:tcPr>
          <w:p w14:paraId="5C0C350B"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00" w:type="dxa"/>
            <w:tcBorders>
              <w:top w:val="nil"/>
              <w:left w:val="nil"/>
              <w:bottom w:val="single" w:sz="12" w:space="0" w:color="00688D"/>
              <w:right w:val="nil"/>
            </w:tcBorders>
            <w:shd w:val="clear" w:color="000000" w:fill="FFFFFF"/>
            <w:noWrap/>
            <w:vAlign w:val="bottom"/>
            <w:hideMark/>
          </w:tcPr>
          <w:p w14:paraId="5B5BBDD6"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00" w:type="dxa"/>
            <w:tcBorders>
              <w:top w:val="nil"/>
              <w:left w:val="nil"/>
              <w:bottom w:val="single" w:sz="12" w:space="0" w:color="00688D"/>
              <w:right w:val="nil"/>
            </w:tcBorders>
            <w:shd w:val="clear" w:color="auto" w:fill="F2F2F2" w:themeFill="background1" w:themeFillShade="F2"/>
            <w:noWrap/>
            <w:vAlign w:val="bottom"/>
            <w:hideMark/>
          </w:tcPr>
          <w:p w14:paraId="698EA896"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BB2EE3" w:rsidRPr="001B7651" w14:paraId="52116F61" w14:textId="77777777" w:rsidTr="000A48AD">
        <w:trPr>
          <w:trHeight w:val="302"/>
          <w:jc w:val="center"/>
        </w:trPr>
        <w:tc>
          <w:tcPr>
            <w:tcW w:w="4680" w:type="dxa"/>
            <w:tcBorders>
              <w:top w:val="nil"/>
              <w:left w:val="nil"/>
              <w:bottom w:val="nil"/>
              <w:right w:val="nil"/>
            </w:tcBorders>
            <w:shd w:val="clear" w:color="000000" w:fill="FFFFFF"/>
            <w:vAlign w:val="bottom"/>
            <w:hideMark/>
          </w:tcPr>
          <w:p w14:paraId="4214A7AB"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Service cost</w:t>
            </w:r>
          </w:p>
        </w:tc>
        <w:tc>
          <w:tcPr>
            <w:tcW w:w="877" w:type="dxa"/>
            <w:tcBorders>
              <w:top w:val="nil"/>
              <w:left w:val="nil"/>
              <w:bottom w:val="nil"/>
              <w:right w:val="nil"/>
            </w:tcBorders>
            <w:shd w:val="clear" w:color="auto" w:fill="F2F2F2" w:themeFill="background1" w:themeFillShade="F2"/>
            <w:vAlign w:val="bottom"/>
          </w:tcPr>
          <w:p w14:paraId="174C3A81" w14:textId="2B95E92F" w:rsidR="00BB2EE3" w:rsidRPr="00316B2A" w:rsidRDefault="00BB2EE3" w:rsidP="00316B2A">
            <w:pPr>
              <w:rPr>
                <w:rFonts w:ascii="Calibri" w:eastAsia="Times New Roman" w:hAnsi="Calibri" w:cs="Calibri"/>
                <w:b/>
                <w:bCs/>
                <w:color w:val="0D0D0D"/>
              </w:rPr>
            </w:pPr>
            <w:r w:rsidRPr="00C606EB">
              <w:t>$</w:t>
            </w:r>
            <w:r w:rsidR="00B045CF">
              <w:t xml:space="preserve">     </w:t>
            </w:r>
            <w:r w:rsidRPr="00C606EB">
              <w:t xml:space="preserve">503 </w:t>
            </w:r>
          </w:p>
        </w:tc>
        <w:tc>
          <w:tcPr>
            <w:tcW w:w="877" w:type="dxa"/>
            <w:tcBorders>
              <w:top w:val="nil"/>
              <w:left w:val="nil"/>
              <w:bottom w:val="nil"/>
              <w:right w:val="nil"/>
            </w:tcBorders>
            <w:shd w:val="clear" w:color="auto" w:fill="FFFFFF" w:themeFill="background1"/>
            <w:vAlign w:val="bottom"/>
          </w:tcPr>
          <w:p w14:paraId="2D7130A6" w14:textId="684E1A1A" w:rsidR="00BB2EE3" w:rsidRPr="001C5FD8" w:rsidRDefault="00BB2EE3" w:rsidP="00BB2EE3">
            <w:pPr>
              <w:jc w:val="right"/>
              <w:rPr>
                <w:rFonts w:ascii="Calibri" w:eastAsia="Times New Roman" w:hAnsi="Calibri" w:cs="Calibri"/>
              </w:rPr>
            </w:pPr>
            <w:r w:rsidRPr="001C5FD8">
              <w:rPr>
                <w:rFonts w:ascii="Calibri" w:eastAsia="Times New Roman" w:hAnsi="Calibri" w:cs="Calibri"/>
              </w:rPr>
              <w:t>$     616</w:t>
            </w:r>
          </w:p>
        </w:tc>
        <w:tc>
          <w:tcPr>
            <w:tcW w:w="877" w:type="dxa"/>
            <w:tcBorders>
              <w:top w:val="nil"/>
              <w:left w:val="nil"/>
              <w:bottom w:val="nil"/>
              <w:right w:val="nil"/>
            </w:tcBorders>
            <w:shd w:val="clear" w:color="auto" w:fill="F2F2F2" w:themeFill="background1" w:themeFillShade="F2"/>
            <w:vAlign w:val="bottom"/>
          </w:tcPr>
          <w:p w14:paraId="6A642EDD"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xml:space="preserve">$     </w:t>
            </w:r>
            <w:r>
              <w:rPr>
                <w:rFonts w:ascii="Calibri" w:eastAsia="Times New Roman" w:hAnsi="Calibri" w:cs="Calibri"/>
                <w:color w:val="0D0D0D"/>
              </w:rPr>
              <w:t>692</w:t>
            </w:r>
          </w:p>
        </w:tc>
        <w:tc>
          <w:tcPr>
            <w:tcW w:w="877" w:type="dxa"/>
            <w:tcBorders>
              <w:top w:val="nil"/>
              <w:left w:val="nil"/>
              <w:bottom w:val="nil"/>
              <w:right w:val="nil"/>
            </w:tcBorders>
            <w:shd w:val="clear" w:color="000000" w:fill="FFFFFF"/>
            <w:noWrap/>
            <w:vAlign w:val="bottom"/>
            <w:hideMark/>
          </w:tcPr>
          <w:p w14:paraId="2066B6F8"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538</w:t>
            </w:r>
          </w:p>
        </w:tc>
        <w:tc>
          <w:tcPr>
            <w:tcW w:w="992" w:type="dxa"/>
            <w:tcBorders>
              <w:top w:val="nil"/>
              <w:left w:val="nil"/>
              <w:bottom w:val="nil"/>
              <w:right w:val="nil"/>
            </w:tcBorders>
            <w:shd w:val="clear" w:color="auto" w:fill="F2F2F2" w:themeFill="background1" w:themeFillShade="F2"/>
            <w:noWrap/>
            <w:vAlign w:val="bottom"/>
            <w:hideMark/>
          </w:tcPr>
          <w:p w14:paraId="1F86040A"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595</w:t>
            </w:r>
          </w:p>
        </w:tc>
        <w:tc>
          <w:tcPr>
            <w:tcW w:w="900" w:type="dxa"/>
            <w:tcBorders>
              <w:top w:val="nil"/>
              <w:left w:val="nil"/>
              <w:bottom w:val="nil"/>
              <w:right w:val="nil"/>
            </w:tcBorders>
            <w:shd w:val="clear" w:color="000000" w:fill="FFFFFF"/>
            <w:noWrap/>
            <w:vAlign w:val="bottom"/>
            <w:hideMark/>
          </w:tcPr>
          <w:p w14:paraId="7355B318"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604</w:t>
            </w:r>
          </w:p>
        </w:tc>
        <w:tc>
          <w:tcPr>
            <w:tcW w:w="900" w:type="dxa"/>
            <w:tcBorders>
              <w:top w:val="nil"/>
              <w:left w:val="nil"/>
              <w:bottom w:val="nil"/>
              <w:right w:val="nil"/>
            </w:tcBorders>
            <w:shd w:val="clear" w:color="auto" w:fill="F2F2F2" w:themeFill="background1" w:themeFillShade="F2"/>
            <w:noWrap/>
            <w:vAlign w:val="bottom"/>
            <w:hideMark/>
          </w:tcPr>
          <w:p w14:paraId="39C49A27"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862</w:t>
            </w:r>
          </w:p>
        </w:tc>
        <w:tc>
          <w:tcPr>
            <w:tcW w:w="900" w:type="dxa"/>
            <w:tcBorders>
              <w:top w:val="nil"/>
              <w:left w:val="nil"/>
              <w:bottom w:val="nil"/>
              <w:right w:val="nil"/>
            </w:tcBorders>
            <w:shd w:val="clear" w:color="000000" w:fill="FFFFFF"/>
            <w:noWrap/>
            <w:vAlign w:val="bottom"/>
            <w:hideMark/>
          </w:tcPr>
          <w:p w14:paraId="465A9C84"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718</w:t>
            </w:r>
          </w:p>
        </w:tc>
        <w:tc>
          <w:tcPr>
            <w:tcW w:w="900" w:type="dxa"/>
            <w:tcBorders>
              <w:top w:val="nil"/>
              <w:left w:val="nil"/>
              <w:bottom w:val="nil"/>
              <w:right w:val="nil"/>
            </w:tcBorders>
            <w:shd w:val="clear" w:color="auto" w:fill="F2F2F2" w:themeFill="background1" w:themeFillShade="F2"/>
            <w:noWrap/>
            <w:vAlign w:val="bottom"/>
            <w:hideMark/>
          </w:tcPr>
          <w:p w14:paraId="1D333F55"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880</w:t>
            </w:r>
          </w:p>
        </w:tc>
      </w:tr>
      <w:tr w:rsidR="00BB2EE3" w:rsidRPr="001B7651" w14:paraId="61CC53E0" w14:textId="77777777" w:rsidTr="000A48AD">
        <w:trPr>
          <w:trHeight w:val="290"/>
          <w:jc w:val="center"/>
        </w:trPr>
        <w:tc>
          <w:tcPr>
            <w:tcW w:w="4680" w:type="dxa"/>
            <w:tcBorders>
              <w:top w:val="nil"/>
              <w:left w:val="nil"/>
              <w:bottom w:val="nil"/>
              <w:right w:val="nil"/>
            </w:tcBorders>
            <w:shd w:val="clear" w:color="000000" w:fill="FFFFFF"/>
            <w:vAlign w:val="bottom"/>
            <w:hideMark/>
          </w:tcPr>
          <w:p w14:paraId="01EAAB5E"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Interest</w:t>
            </w:r>
          </w:p>
        </w:tc>
        <w:tc>
          <w:tcPr>
            <w:tcW w:w="877" w:type="dxa"/>
            <w:tcBorders>
              <w:top w:val="nil"/>
              <w:left w:val="nil"/>
              <w:bottom w:val="nil"/>
              <w:right w:val="nil"/>
            </w:tcBorders>
            <w:shd w:val="clear" w:color="auto" w:fill="F2F2F2" w:themeFill="background1" w:themeFillShade="F2"/>
            <w:vAlign w:val="bottom"/>
          </w:tcPr>
          <w:p w14:paraId="0F5604BF" w14:textId="77565892" w:rsidR="00BB2EE3" w:rsidRPr="00316B2A" w:rsidRDefault="00BB2EE3" w:rsidP="00E66875">
            <w:pPr>
              <w:jc w:val="right"/>
              <w:rPr>
                <w:rFonts w:ascii="Calibri" w:eastAsia="Times New Roman" w:hAnsi="Calibri" w:cs="Calibri"/>
                <w:b/>
                <w:bCs/>
                <w:color w:val="0D0D0D"/>
              </w:rPr>
            </w:pPr>
            <w:r w:rsidRPr="00C606EB">
              <w:t xml:space="preserve"> 645 </w:t>
            </w:r>
          </w:p>
        </w:tc>
        <w:tc>
          <w:tcPr>
            <w:tcW w:w="877" w:type="dxa"/>
            <w:tcBorders>
              <w:top w:val="nil"/>
              <w:left w:val="nil"/>
              <w:bottom w:val="nil"/>
              <w:right w:val="nil"/>
            </w:tcBorders>
            <w:shd w:val="clear" w:color="auto" w:fill="FFFFFF" w:themeFill="background1"/>
            <w:vAlign w:val="bottom"/>
          </w:tcPr>
          <w:p w14:paraId="22BCE16F" w14:textId="626D1F48" w:rsidR="00BB2EE3" w:rsidRPr="008D2FB7" w:rsidRDefault="00BB2EE3" w:rsidP="00BB2EE3">
            <w:pPr>
              <w:jc w:val="right"/>
              <w:rPr>
                <w:rFonts w:ascii="Calibri" w:hAnsi="Calibri" w:cs="Calibri"/>
              </w:rPr>
            </w:pPr>
            <w:r w:rsidRPr="00943CF1">
              <w:rPr>
                <w:rFonts w:ascii="Calibri" w:eastAsia="Times New Roman" w:hAnsi="Calibri" w:cs="Calibri"/>
              </w:rPr>
              <w:t>446</w:t>
            </w:r>
          </w:p>
        </w:tc>
        <w:tc>
          <w:tcPr>
            <w:tcW w:w="877" w:type="dxa"/>
            <w:tcBorders>
              <w:top w:val="nil"/>
              <w:left w:val="nil"/>
              <w:bottom w:val="nil"/>
              <w:right w:val="nil"/>
            </w:tcBorders>
            <w:shd w:val="clear" w:color="auto" w:fill="F2F2F2" w:themeFill="background1" w:themeFillShade="F2"/>
            <w:vAlign w:val="bottom"/>
          </w:tcPr>
          <w:p w14:paraId="43212037" w14:textId="77777777" w:rsidR="00BB2EE3" w:rsidRDefault="00BB2EE3" w:rsidP="00BB2EE3">
            <w:pPr>
              <w:jc w:val="right"/>
              <w:rPr>
                <w:rFonts w:ascii="Calibri" w:eastAsia="Times New Roman" w:hAnsi="Calibri" w:cs="Calibri"/>
                <w:color w:val="0D0D0D"/>
              </w:rPr>
            </w:pPr>
            <w:r>
              <w:rPr>
                <w:rFonts w:ascii="Calibri" w:hAnsi="Calibri" w:cs="Calibri"/>
              </w:rPr>
              <w:t xml:space="preserve">456 </w:t>
            </w:r>
          </w:p>
        </w:tc>
        <w:tc>
          <w:tcPr>
            <w:tcW w:w="877" w:type="dxa"/>
            <w:tcBorders>
              <w:top w:val="nil"/>
              <w:left w:val="nil"/>
              <w:bottom w:val="nil"/>
              <w:right w:val="nil"/>
            </w:tcBorders>
            <w:shd w:val="clear" w:color="000000" w:fill="FFFFFF"/>
            <w:noWrap/>
            <w:vAlign w:val="bottom"/>
            <w:hideMark/>
          </w:tcPr>
          <w:p w14:paraId="68DDB3FF" w14:textId="77777777" w:rsidR="00BB2EE3" w:rsidRPr="001B7651" w:rsidRDefault="00BB2EE3" w:rsidP="00BB2EE3">
            <w:pPr>
              <w:jc w:val="right"/>
              <w:rPr>
                <w:rFonts w:ascii="Calibri" w:eastAsia="Times New Roman" w:hAnsi="Calibri" w:cs="Calibri"/>
                <w:color w:val="0D0D0D"/>
              </w:rPr>
            </w:pPr>
            <w:r>
              <w:rPr>
                <w:rFonts w:ascii="Calibri" w:eastAsia="Times New Roman" w:hAnsi="Calibri" w:cs="Calibri"/>
                <w:color w:val="0D0D0D"/>
              </w:rPr>
              <w:t>719</w:t>
            </w:r>
          </w:p>
        </w:tc>
        <w:tc>
          <w:tcPr>
            <w:tcW w:w="992" w:type="dxa"/>
            <w:tcBorders>
              <w:top w:val="nil"/>
              <w:left w:val="nil"/>
              <w:bottom w:val="nil"/>
              <w:right w:val="nil"/>
            </w:tcBorders>
            <w:shd w:val="clear" w:color="auto" w:fill="F2F2F2" w:themeFill="background1" w:themeFillShade="F2"/>
            <w:noWrap/>
            <w:vAlign w:val="bottom"/>
            <w:hideMark/>
          </w:tcPr>
          <w:p w14:paraId="1C4F2B8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813</w:t>
            </w:r>
          </w:p>
        </w:tc>
        <w:tc>
          <w:tcPr>
            <w:tcW w:w="900" w:type="dxa"/>
            <w:tcBorders>
              <w:top w:val="nil"/>
              <w:left w:val="nil"/>
              <w:bottom w:val="nil"/>
              <w:right w:val="nil"/>
            </w:tcBorders>
            <w:shd w:val="clear" w:color="000000" w:fill="FFFFFF"/>
            <w:noWrap/>
            <w:vAlign w:val="bottom"/>
            <w:hideMark/>
          </w:tcPr>
          <w:p w14:paraId="2446D256"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785</w:t>
            </w:r>
          </w:p>
        </w:tc>
        <w:tc>
          <w:tcPr>
            <w:tcW w:w="900" w:type="dxa"/>
            <w:tcBorders>
              <w:top w:val="nil"/>
              <w:left w:val="nil"/>
              <w:bottom w:val="nil"/>
              <w:right w:val="nil"/>
            </w:tcBorders>
            <w:shd w:val="clear" w:color="auto" w:fill="F2F2F2" w:themeFill="background1" w:themeFillShade="F2"/>
            <w:noWrap/>
            <w:vAlign w:val="bottom"/>
            <w:hideMark/>
          </w:tcPr>
          <w:p w14:paraId="4BFFE85C"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629</w:t>
            </w:r>
          </w:p>
        </w:tc>
        <w:tc>
          <w:tcPr>
            <w:tcW w:w="900" w:type="dxa"/>
            <w:tcBorders>
              <w:top w:val="nil"/>
              <w:left w:val="nil"/>
              <w:bottom w:val="nil"/>
              <w:right w:val="nil"/>
            </w:tcBorders>
            <w:shd w:val="clear" w:color="000000" w:fill="FFFFFF"/>
            <w:noWrap/>
            <w:vAlign w:val="bottom"/>
            <w:hideMark/>
          </w:tcPr>
          <w:p w14:paraId="3381F753"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877</w:t>
            </w:r>
          </w:p>
        </w:tc>
        <w:tc>
          <w:tcPr>
            <w:tcW w:w="900" w:type="dxa"/>
            <w:tcBorders>
              <w:top w:val="nil"/>
              <w:left w:val="nil"/>
              <w:bottom w:val="nil"/>
              <w:right w:val="nil"/>
            </w:tcBorders>
            <w:shd w:val="clear" w:color="auto" w:fill="F2F2F2" w:themeFill="background1" w:themeFillShade="F2"/>
            <w:noWrap/>
            <w:vAlign w:val="bottom"/>
            <w:hideMark/>
          </w:tcPr>
          <w:p w14:paraId="1BFA0631"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1,110</w:t>
            </w:r>
          </w:p>
        </w:tc>
      </w:tr>
      <w:tr w:rsidR="00BB2EE3" w:rsidRPr="001B7651" w14:paraId="6E36724B" w14:textId="77777777" w:rsidTr="000A48AD">
        <w:trPr>
          <w:trHeight w:val="290"/>
          <w:jc w:val="center"/>
        </w:trPr>
        <w:tc>
          <w:tcPr>
            <w:tcW w:w="4680" w:type="dxa"/>
            <w:tcBorders>
              <w:top w:val="nil"/>
              <w:left w:val="nil"/>
              <w:bottom w:val="nil"/>
              <w:right w:val="nil"/>
            </w:tcBorders>
            <w:shd w:val="clear" w:color="000000" w:fill="FFFFFF"/>
            <w:vAlign w:val="bottom"/>
            <w:hideMark/>
          </w:tcPr>
          <w:p w14:paraId="76BA9C8D"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 xml:space="preserve">Differences between expected and actual experience </w:t>
            </w:r>
          </w:p>
        </w:tc>
        <w:tc>
          <w:tcPr>
            <w:tcW w:w="877" w:type="dxa"/>
            <w:tcBorders>
              <w:top w:val="nil"/>
              <w:left w:val="nil"/>
              <w:bottom w:val="nil"/>
              <w:right w:val="nil"/>
            </w:tcBorders>
            <w:shd w:val="clear" w:color="auto" w:fill="F2F2F2" w:themeFill="background1" w:themeFillShade="F2"/>
            <w:vAlign w:val="bottom"/>
          </w:tcPr>
          <w:p w14:paraId="224464AF" w14:textId="4690C742" w:rsidR="00BB2EE3" w:rsidRPr="00316B2A" w:rsidRDefault="00BB2EE3" w:rsidP="00E66875">
            <w:pPr>
              <w:jc w:val="right"/>
              <w:rPr>
                <w:rFonts w:ascii="Calibri" w:eastAsia="Times New Roman" w:hAnsi="Calibri" w:cs="Calibri"/>
                <w:b/>
                <w:bCs/>
                <w:color w:val="0D0D0D"/>
              </w:rPr>
            </w:pPr>
            <w:r w:rsidRPr="00C606EB">
              <w:t xml:space="preserve"> (216)</w:t>
            </w:r>
          </w:p>
        </w:tc>
        <w:tc>
          <w:tcPr>
            <w:tcW w:w="877" w:type="dxa"/>
            <w:tcBorders>
              <w:top w:val="nil"/>
              <w:left w:val="nil"/>
              <w:bottom w:val="nil"/>
              <w:right w:val="nil"/>
            </w:tcBorders>
            <w:shd w:val="clear" w:color="auto" w:fill="FFFFFF" w:themeFill="background1"/>
            <w:vAlign w:val="bottom"/>
          </w:tcPr>
          <w:p w14:paraId="7014C7CD" w14:textId="7200C2F7" w:rsidR="00BB2EE3" w:rsidRPr="008D2FB7" w:rsidRDefault="00BB2EE3" w:rsidP="00BB2EE3">
            <w:pPr>
              <w:jc w:val="right"/>
              <w:rPr>
                <w:rFonts w:ascii="Calibri" w:hAnsi="Calibri" w:cs="Calibri"/>
              </w:rPr>
            </w:pPr>
            <w:r w:rsidRPr="00943CF1">
              <w:rPr>
                <w:rFonts w:ascii="Calibri" w:eastAsia="Times New Roman" w:hAnsi="Calibri" w:cs="Calibri"/>
              </w:rPr>
              <w:t>-</w:t>
            </w:r>
          </w:p>
        </w:tc>
        <w:tc>
          <w:tcPr>
            <w:tcW w:w="877" w:type="dxa"/>
            <w:tcBorders>
              <w:top w:val="nil"/>
              <w:left w:val="nil"/>
              <w:bottom w:val="nil"/>
              <w:right w:val="nil"/>
            </w:tcBorders>
            <w:shd w:val="clear" w:color="auto" w:fill="F2F2F2" w:themeFill="background1" w:themeFillShade="F2"/>
            <w:vAlign w:val="bottom"/>
          </w:tcPr>
          <w:p w14:paraId="684209F8" w14:textId="77777777" w:rsidR="00BB2EE3" w:rsidRPr="001B7651" w:rsidRDefault="00BB2EE3" w:rsidP="00BB2EE3">
            <w:pPr>
              <w:jc w:val="right"/>
              <w:rPr>
                <w:rFonts w:ascii="Calibri" w:eastAsia="Times New Roman" w:hAnsi="Calibri" w:cs="Calibri"/>
                <w:color w:val="0D0D0D"/>
              </w:rPr>
            </w:pPr>
            <w:r>
              <w:rPr>
                <w:rFonts w:ascii="Calibri" w:hAnsi="Calibri" w:cs="Calibri"/>
              </w:rPr>
              <w:t xml:space="preserve">833 </w:t>
            </w:r>
          </w:p>
        </w:tc>
        <w:tc>
          <w:tcPr>
            <w:tcW w:w="877" w:type="dxa"/>
            <w:tcBorders>
              <w:top w:val="nil"/>
              <w:left w:val="nil"/>
              <w:bottom w:val="nil"/>
              <w:right w:val="nil"/>
            </w:tcBorders>
            <w:shd w:val="clear" w:color="000000" w:fill="FFFFFF"/>
            <w:noWrap/>
            <w:vAlign w:val="bottom"/>
            <w:hideMark/>
          </w:tcPr>
          <w:p w14:paraId="48854ABB"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w:t>
            </w:r>
          </w:p>
        </w:tc>
        <w:tc>
          <w:tcPr>
            <w:tcW w:w="992" w:type="dxa"/>
            <w:tcBorders>
              <w:top w:val="nil"/>
              <w:left w:val="nil"/>
              <w:bottom w:val="nil"/>
              <w:right w:val="nil"/>
            </w:tcBorders>
            <w:shd w:val="clear" w:color="auto" w:fill="F2F2F2" w:themeFill="background1" w:themeFillShade="F2"/>
            <w:noWrap/>
            <w:vAlign w:val="bottom"/>
            <w:hideMark/>
          </w:tcPr>
          <w:p w14:paraId="3C90C765"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(217)</w:t>
            </w:r>
          </w:p>
        </w:tc>
        <w:tc>
          <w:tcPr>
            <w:tcW w:w="900" w:type="dxa"/>
            <w:tcBorders>
              <w:top w:val="nil"/>
              <w:left w:val="nil"/>
              <w:bottom w:val="nil"/>
              <w:right w:val="nil"/>
            </w:tcBorders>
            <w:shd w:val="clear" w:color="000000" w:fill="FFFFFF"/>
            <w:noWrap/>
            <w:vAlign w:val="bottom"/>
            <w:hideMark/>
          </w:tcPr>
          <w:p w14:paraId="193E30E8"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w:t>
            </w:r>
          </w:p>
        </w:tc>
        <w:tc>
          <w:tcPr>
            <w:tcW w:w="900" w:type="dxa"/>
            <w:tcBorders>
              <w:top w:val="nil"/>
              <w:left w:val="nil"/>
              <w:bottom w:val="nil"/>
              <w:right w:val="nil"/>
            </w:tcBorders>
            <w:shd w:val="clear" w:color="auto" w:fill="F2F2F2" w:themeFill="background1" w:themeFillShade="F2"/>
            <w:noWrap/>
            <w:vAlign w:val="bottom"/>
            <w:hideMark/>
          </w:tcPr>
          <w:p w14:paraId="01E6E523" w14:textId="77777777" w:rsidR="00BB2EE3" w:rsidRPr="001B7651" w:rsidRDefault="00BB2EE3" w:rsidP="00BB2EE3">
            <w:pPr>
              <w:jc w:val="right"/>
              <w:rPr>
                <w:rFonts w:ascii="Calibri" w:eastAsia="Times New Roman" w:hAnsi="Calibri" w:cs="Calibri"/>
                <w:color w:val="0D0D0D"/>
              </w:rPr>
            </w:pPr>
            <w:r>
              <w:rPr>
                <w:rFonts w:ascii="Calibri" w:eastAsia="Times New Roman" w:hAnsi="Calibri" w:cs="Calibri"/>
                <w:color w:val="0D0D0D"/>
              </w:rPr>
              <w:t>1,287</w:t>
            </w:r>
          </w:p>
        </w:tc>
        <w:tc>
          <w:tcPr>
            <w:tcW w:w="900" w:type="dxa"/>
            <w:tcBorders>
              <w:top w:val="nil"/>
              <w:left w:val="nil"/>
              <w:bottom w:val="nil"/>
              <w:right w:val="nil"/>
            </w:tcBorders>
            <w:shd w:val="clear" w:color="000000" w:fill="FFFFFF"/>
            <w:noWrap/>
            <w:vAlign w:val="bottom"/>
            <w:hideMark/>
          </w:tcPr>
          <w:p w14:paraId="11F133AE"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w:t>
            </w:r>
          </w:p>
        </w:tc>
        <w:tc>
          <w:tcPr>
            <w:tcW w:w="900" w:type="dxa"/>
            <w:tcBorders>
              <w:top w:val="nil"/>
              <w:left w:val="nil"/>
              <w:bottom w:val="nil"/>
              <w:right w:val="nil"/>
            </w:tcBorders>
            <w:shd w:val="clear" w:color="auto" w:fill="F2F2F2" w:themeFill="background1" w:themeFillShade="F2"/>
            <w:noWrap/>
            <w:vAlign w:val="bottom"/>
            <w:hideMark/>
          </w:tcPr>
          <w:p w14:paraId="6D584405"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(1,831)</w:t>
            </w:r>
          </w:p>
        </w:tc>
      </w:tr>
      <w:tr w:rsidR="00BB2EE3" w:rsidRPr="001B7651" w14:paraId="49D1868B" w14:textId="77777777" w:rsidTr="000A48AD">
        <w:trPr>
          <w:trHeight w:val="290"/>
          <w:jc w:val="center"/>
        </w:trPr>
        <w:tc>
          <w:tcPr>
            <w:tcW w:w="4680" w:type="dxa"/>
            <w:tcBorders>
              <w:top w:val="nil"/>
              <w:left w:val="nil"/>
              <w:bottom w:val="nil"/>
              <w:right w:val="nil"/>
            </w:tcBorders>
            <w:shd w:val="clear" w:color="000000" w:fill="FFFFFF"/>
            <w:noWrap/>
            <w:vAlign w:val="bottom"/>
            <w:hideMark/>
          </w:tcPr>
          <w:p w14:paraId="39CB9877"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Changes of assumptions and other inputs</w:t>
            </w:r>
          </w:p>
        </w:tc>
        <w:tc>
          <w:tcPr>
            <w:tcW w:w="877" w:type="dxa"/>
            <w:tcBorders>
              <w:top w:val="nil"/>
              <w:left w:val="nil"/>
              <w:bottom w:val="nil"/>
              <w:right w:val="nil"/>
            </w:tcBorders>
            <w:shd w:val="clear" w:color="auto" w:fill="F2F2F2" w:themeFill="background1" w:themeFillShade="F2"/>
            <w:vAlign w:val="bottom"/>
          </w:tcPr>
          <w:p w14:paraId="443A3B1D" w14:textId="3B39104F" w:rsidR="00BB2EE3" w:rsidRPr="00316B2A" w:rsidRDefault="00BB2EE3" w:rsidP="00E66875">
            <w:pPr>
              <w:jc w:val="right"/>
              <w:rPr>
                <w:rFonts w:ascii="Calibri" w:eastAsia="Times New Roman" w:hAnsi="Calibri" w:cs="Calibri"/>
                <w:b/>
                <w:bCs/>
                <w:color w:val="0D0D0D"/>
              </w:rPr>
            </w:pPr>
            <w:r w:rsidRPr="00C606EB">
              <w:t xml:space="preserve"> (59)</w:t>
            </w:r>
          </w:p>
        </w:tc>
        <w:tc>
          <w:tcPr>
            <w:tcW w:w="877" w:type="dxa"/>
            <w:tcBorders>
              <w:top w:val="nil"/>
              <w:left w:val="nil"/>
              <w:bottom w:val="nil"/>
              <w:right w:val="nil"/>
            </w:tcBorders>
            <w:shd w:val="clear" w:color="auto" w:fill="FFFFFF" w:themeFill="background1"/>
            <w:vAlign w:val="bottom"/>
          </w:tcPr>
          <w:p w14:paraId="52A4D263" w14:textId="34D7573B" w:rsidR="00BB2EE3" w:rsidRPr="008D2FB7" w:rsidRDefault="00BB2EE3" w:rsidP="00BB2EE3">
            <w:pPr>
              <w:jc w:val="right"/>
              <w:rPr>
                <w:rFonts w:ascii="Calibri" w:hAnsi="Calibri" w:cs="Calibri"/>
              </w:rPr>
            </w:pPr>
            <w:r w:rsidRPr="00943CF1">
              <w:rPr>
                <w:rFonts w:ascii="Calibri" w:eastAsia="Times New Roman" w:hAnsi="Calibri" w:cs="Calibri"/>
              </w:rPr>
              <w:t>(792)</w:t>
            </w:r>
          </w:p>
        </w:tc>
        <w:tc>
          <w:tcPr>
            <w:tcW w:w="877" w:type="dxa"/>
            <w:tcBorders>
              <w:top w:val="nil"/>
              <w:left w:val="nil"/>
              <w:bottom w:val="nil"/>
              <w:right w:val="nil"/>
            </w:tcBorders>
            <w:shd w:val="clear" w:color="auto" w:fill="F2F2F2" w:themeFill="background1" w:themeFillShade="F2"/>
            <w:vAlign w:val="bottom"/>
          </w:tcPr>
          <w:p w14:paraId="182812E8" w14:textId="77777777" w:rsidR="00BB2EE3" w:rsidRPr="001B7651" w:rsidRDefault="00BB2EE3" w:rsidP="00BB2EE3">
            <w:pPr>
              <w:jc w:val="right"/>
              <w:rPr>
                <w:rFonts w:ascii="Calibri" w:eastAsia="Times New Roman" w:hAnsi="Calibri" w:cs="Calibri"/>
                <w:color w:val="0D0D0D"/>
              </w:rPr>
            </w:pPr>
            <w:r>
              <w:rPr>
                <w:rFonts w:ascii="Calibri" w:hAnsi="Calibri" w:cs="Calibri"/>
              </w:rPr>
              <w:t xml:space="preserve">376 </w:t>
            </w:r>
          </w:p>
        </w:tc>
        <w:tc>
          <w:tcPr>
            <w:tcW w:w="877" w:type="dxa"/>
            <w:tcBorders>
              <w:top w:val="nil"/>
              <w:left w:val="nil"/>
              <w:bottom w:val="nil"/>
              <w:right w:val="nil"/>
            </w:tcBorders>
            <w:shd w:val="clear" w:color="000000" w:fill="FFFFFF"/>
            <w:noWrap/>
            <w:vAlign w:val="bottom"/>
            <w:hideMark/>
          </w:tcPr>
          <w:p w14:paraId="546A1A2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851</w:t>
            </w:r>
          </w:p>
        </w:tc>
        <w:tc>
          <w:tcPr>
            <w:tcW w:w="992" w:type="dxa"/>
            <w:tcBorders>
              <w:top w:val="nil"/>
              <w:left w:val="nil"/>
              <w:bottom w:val="nil"/>
              <w:right w:val="nil"/>
            </w:tcBorders>
            <w:shd w:val="clear" w:color="auto" w:fill="F2F2F2" w:themeFill="background1" w:themeFillShade="F2"/>
            <w:noWrap/>
            <w:vAlign w:val="bottom"/>
            <w:hideMark/>
          </w:tcPr>
          <w:p w14:paraId="057B56FE"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562</w:t>
            </w:r>
          </w:p>
        </w:tc>
        <w:tc>
          <w:tcPr>
            <w:tcW w:w="900" w:type="dxa"/>
            <w:tcBorders>
              <w:top w:val="nil"/>
              <w:left w:val="nil"/>
              <w:bottom w:val="nil"/>
              <w:right w:val="nil"/>
            </w:tcBorders>
            <w:shd w:val="clear" w:color="000000" w:fill="FFFFFF"/>
            <w:noWrap/>
            <w:vAlign w:val="bottom"/>
            <w:hideMark/>
          </w:tcPr>
          <w:p w14:paraId="67C5008C"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(225)</w:t>
            </w:r>
          </w:p>
        </w:tc>
        <w:tc>
          <w:tcPr>
            <w:tcW w:w="900" w:type="dxa"/>
            <w:tcBorders>
              <w:top w:val="nil"/>
              <w:left w:val="nil"/>
              <w:bottom w:val="nil"/>
              <w:right w:val="nil"/>
            </w:tcBorders>
            <w:shd w:val="clear" w:color="auto" w:fill="F2F2F2" w:themeFill="background1" w:themeFillShade="F2"/>
            <w:noWrap/>
            <w:vAlign w:val="bottom"/>
            <w:hideMark/>
          </w:tcPr>
          <w:p w14:paraId="0BB2F67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(628)</w:t>
            </w:r>
          </w:p>
        </w:tc>
        <w:tc>
          <w:tcPr>
            <w:tcW w:w="900" w:type="dxa"/>
            <w:tcBorders>
              <w:top w:val="nil"/>
              <w:left w:val="nil"/>
              <w:bottom w:val="nil"/>
              <w:right w:val="nil"/>
            </w:tcBorders>
            <w:shd w:val="clear" w:color="000000" w:fill="FFFFFF"/>
            <w:noWrap/>
            <w:vAlign w:val="bottom"/>
            <w:hideMark/>
          </w:tcPr>
          <w:p w14:paraId="6BA70E5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921</w:t>
            </w:r>
          </w:p>
        </w:tc>
        <w:tc>
          <w:tcPr>
            <w:tcW w:w="900" w:type="dxa"/>
            <w:tcBorders>
              <w:top w:val="nil"/>
              <w:left w:val="nil"/>
              <w:bottom w:val="nil"/>
              <w:right w:val="nil"/>
            </w:tcBorders>
            <w:shd w:val="clear" w:color="auto" w:fill="F2F2F2" w:themeFill="background1" w:themeFillShade="F2"/>
            <w:noWrap/>
            <w:vAlign w:val="bottom"/>
            <w:hideMark/>
          </w:tcPr>
          <w:p w14:paraId="02DF411C"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505</w:t>
            </w:r>
          </w:p>
        </w:tc>
      </w:tr>
      <w:tr w:rsidR="00BB2EE3" w:rsidRPr="001B7651" w14:paraId="739BF28B" w14:textId="77777777" w:rsidTr="000A48AD">
        <w:trPr>
          <w:trHeight w:val="290"/>
          <w:jc w:val="center"/>
        </w:trPr>
        <w:tc>
          <w:tcPr>
            <w:tcW w:w="4680" w:type="dxa"/>
            <w:tcBorders>
              <w:top w:val="nil"/>
              <w:left w:val="nil"/>
              <w:bottom w:val="single" w:sz="4" w:space="0" w:color="5B9BD5"/>
              <w:right w:val="nil"/>
            </w:tcBorders>
            <w:shd w:val="clear" w:color="000000" w:fill="FFFFFF"/>
            <w:vAlign w:val="bottom"/>
            <w:hideMark/>
          </w:tcPr>
          <w:p w14:paraId="06236542"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Benefit payments</w:t>
            </w:r>
          </w:p>
        </w:tc>
        <w:tc>
          <w:tcPr>
            <w:tcW w:w="877" w:type="dxa"/>
            <w:tcBorders>
              <w:top w:val="nil"/>
              <w:left w:val="nil"/>
              <w:bottom w:val="single" w:sz="4" w:space="0" w:color="5B9BD5"/>
              <w:right w:val="nil"/>
            </w:tcBorders>
            <w:shd w:val="clear" w:color="auto" w:fill="F2F2F2" w:themeFill="background1" w:themeFillShade="F2"/>
            <w:vAlign w:val="bottom"/>
          </w:tcPr>
          <w:p w14:paraId="132764E0" w14:textId="17337EAB" w:rsidR="00BB2EE3" w:rsidRPr="00316B2A" w:rsidRDefault="00BB2EE3" w:rsidP="00E66875">
            <w:pPr>
              <w:jc w:val="right"/>
              <w:rPr>
                <w:rFonts w:ascii="Calibri" w:eastAsia="Times New Roman" w:hAnsi="Calibri" w:cs="Calibri"/>
                <w:b/>
                <w:bCs/>
                <w:color w:val="0D0D0D"/>
              </w:rPr>
            </w:pPr>
            <w:r w:rsidRPr="00C606EB">
              <w:t xml:space="preserve"> (2,757)</w:t>
            </w:r>
          </w:p>
        </w:tc>
        <w:tc>
          <w:tcPr>
            <w:tcW w:w="877" w:type="dxa"/>
            <w:tcBorders>
              <w:top w:val="nil"/>
              <w:left w:val="nil"/>
              <w:bottom w:val="single" w:sz="4" w:space="0" w:color="5B9BD5"/>
              <w:right w:val="nil"/>
            </w:tcBorders>
            <w:shd w:val="clear" w:color="auto" w:fill="FFFFFF" w:themeFill="background1"/>
            <w:vAlign w:val="bottom"/>
          </w:tcPr>
          <w:p w14:paraId="16F04888" w14:textId="08FAA8B9" w:rsidR="00BB2EE3" w:rsidRPr="008D2FB7" w:rsidRDefault="00BB2EE3" w:rsidP="00BB2EE3">
            <w:pPr>
              <w:jc w:val="right"/>
              <w:rPr>
                <w:rFonts w:ascii="Calibri" w:hAnsi="Calibri" w:cs="Calibri"/>
              </w:rPr>
            </w:pPr>
            <w:r w:rsidRPr="00943CF1">
              <w:rPr>
                <w:rFonts w:ascii="Calibri" w:eastAsia="Times New Roman" w:hAnsi="Calibri" w:cs="Calibri"/>
              </w:rPr>
              <w:t>(2,388)</w:t>
            </w:r>
          </w:p>
        </w:tc>
        <w:tc>
          <w:tcPr>
            <w:tcW w:w="877" w:type="dxa"/>
            <w:tcBorders>
              <w:top w:val="nil"/>
              <w:left w:val="nil"/>
              <w:bottom w:val="single" w:sz="4" w:space="0" w:color="5B9BD5"/>
              <w:right w:val="nil"/>
            </w:tcBorders>
            <w:shd w:val="clear" w:color="auto" w:fill="F2F2F2" w:themeFill="background1" w:themeFillShade="F2"/>
            <w:vAlign w:val="bottom"/>
          </w:tcPr>
          <w:p w14:paraId="1B1B3BB0" w14:textId="77777777" w:rsidR="00BB2EE3" w:rsidRPr="001B7651" w:rsidRDefault="00BB2EE3" w:rsidP="00BB2EE3">
            <w:pPr>
              <w:jc w:val="right"/>
              <w:rPr>
                <w:rFonts w:ascii="Calibri" w:eastAsia="Times New Roman" w:hAnsi="Calibri" w:cs="Calibri"/>
                <w:color w:val="0D0D0D"/>
              </w:rPr>
            </w:pPr>
            <w:r>
              <w:rPr>
                <w:rFonts w:ascii="Calibri" w:hAnsi="Calibri" w:cs="Calibri"/>
              </w:rPr>
              <w:t xml:space="preserve"> (2,198)</w:t>
            </w:r>
          </w:p>
        </w:tc>
        <w:tc>
          <w:tcPr>
            <w:tcW w:w="877" w:type="dxa"/>
            <w:tcBorders>
              <w:top w:val="nil"/>
              <w:left w:val="nil"/>
              <w:bottom w:val="single" w:sz="4" w:space="0" w:color="5B9BD5"/>
              <w:right w:val="nil"/>
            </w:tcBorders>
            <w:shd w:val="clear" w:color="000000" w:fill="FFFFFF"/>
            <w:noWrap/>
            <w:vAlign w:val="bottom"/>
            <w:hideMark/>
          </w:tcPr>
          <w:p w14:paraId="7ECD7DD7"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92" w:type="dxa"/>
            <w:tcBorders>
              <w:top w:val="nil"/>
              <w:left w:val="nil"/>
              <w:bottom w:val="single" w:sz="4" w:space="0" w:color="5B9BD5"/>
              <w:right w:val="nil"/>
            </w:tcBorders>
            <w:shd w:val="clear" w:color="auto" w:fill="F2F2F2" w:themeFill="background1" w:themeFillShade="F2"/>
            <w:noWrap/>
            <w:vAlign w:val="bottom"/>
            <w:hideMark/>
          </w:tcPr>
          <w:p w14:paraId="2C619612"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single" w:sz="4" w:space="0" w:color="5B9BD5"/>
              <w:right w:val="nil"/>
            </w:tcBorders>
            <w:shd w:val="clear" w:color="000000" w:fill="FFFFFF"/>
            <w:noWrap/>
            <w:vAlign w:val="bottom"/>
            <w:hideMark/>
          </w:tcPr>
          <w:p w14:paraId="36C6F8D9"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nil"/>
              <w:left w:val="nil"/>
              <w:bottom w:val="single" w:sz="4" w:space="0" w:color="5B9BD5"/>
              <w:right w:val="nil"/>
            </w:tcBorders>
            <w:shd w:val="clear" w:color="auto" w:fill="F2F2F2" w:themeFill="background1" w:themeFillShade="F2"/>
            <w:noWrap/>
            <w:vAlign w:val="bottom"/>
            <w:hideMark/>
          </w:tcPr>
          <w:p w14:paraId="0A455B2D"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nil"/>
              <w:left w:val="nil"/>
              <w:bottom w:val="single" w:sz="4" w:space="0" w:color="5B9BD5"/>
              <w:right w:val="nil"/>
            </w:tcBorders>
            <w:shd w:val="clear" w:color="000000" w:fill="FFFFFF"/>
            <w:noWrap/>
            <w:vAlign w:val="bottom"/>
            <w:hideMark/>
          </w:tcPr>
          <w:p w14:paraId="21C7859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nil"/>
              <w:left w:val="nil"/>
              <w:bottom w:val="single" w:sz="4" w:space="0" w:color="5B9BD5"/>
              <w:right w:val="nil"/>
            </w:tcBorders>
            <w:shd w:val="clear" w:color="auto" w:fill="F2F2F2" w:themeFill="background1" w:themeFillShade="F2"/>
            <w:noWrap/>
            <w:vAlign w:val="bottom"/>
            <w:hideMark/>
          </w:tcPr>
          <w:p w14:paraId="7E5DE80B"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BB2EE3" w:rsidRPr="001B7651" w14:paraId="4BD82354" w14:textId="77777777" w:rsidTr="000A48AD">
        <w:trPr>
          <w:trHeight w:val="290"/>
          <w:jc w:val="center"/>
        </w:trPr>
        <w:tc>
          <w:tcPr>
            <w:tcW w:w="4680" w:type="dxa"/>
            <w:tcBorders>
              <w:top w:val="nil"/>
              <w:left w:val="nil"/>
              <w:bottom w:val="nil"/>
              <w:right w:val="nil"/>
            </w:tcBorders>
            <w:shd w:val="clear" w:color="000000" w:fill="FFFFFF"/>
            <w:vAlign w:val="bottom"/>
            <w:hideMark/>
          </w:tcPr>
          <w:p w14:paraId="40B4A4C6"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Net change in total pension liability</w:t>
            </w:r>
          </w:p>
        </w:tc>
        <w:tc>
          <w:tcPr>
            <w:tcW w:w="877" w:type="dxa"/>
            <w:tcBorders>
              <w:top w:val="nil"/>
              <w:left w:val="nil"/>
              <w:bottom w:val="nil"/>
              <w:right w:val="nil"/>
            </w:tcBorders>
            <w:shd w:val="clear" w:color="auto" w:fill="F2F2F2" w:themeFill="background1" w:themeFillShade="F2"/>
            <w:vAlign w:val="bottom"/>
          </w:tcPr>
          <w:p w14:paraId="167C1659" w14:textId="2D8F230A" w:rsidR="00BB2EE3" w:rsidRPr="00316B2A" w:rsidRDefault="00BB2EE3" w:rsidP="00E66875">
            <w:pPr>
              <w:jc w:val="right"/>
              <w:rPr>
                <w:rFonts w:ascii="Calibri" w:eastAsia="Times New Roman" w:hAnsi="Calibri" w:cs="Calibri"/>
                <w:b/>
                <w:bCs/>
                <w:color w:val="0D0D0D"/>
              </w:rPr>
            </w:pPr>
            <w:r w:rsidRPr="00C606EB">
              <w:t xml:space="preserve"> (1,884)</w:t>
            </w:r>
          </w:p>
        </w:tc>
        <w:tc>
          <w:tcPr>
            <w:tcW w:w="877" w:type="dxa"/>
            <w:tcBorders>
              <w:top w:val="nil"/>
              <w:left w:val="nil"/>
              <w:bottom w:val="nil"/>
              <w:right w:val="nil"/>
            </w:tcBorders>
            <w:shd w:val="clear" w:color="auto" w:fill="FFFFFF" w:themeFill="background1"/>
            <w:vAlign w:val="bottom"/>
          </w:tcPr>
          <w:p w14:paraId="6D221785" w14:textId="6955AA88" w:rsidR="00BB2EE3" w:rsidRPr="003959B0" w:rsidRDefault="00BB2EE3" w:rsidP="00BB2EE3">
            <w:pPr>
              <w:jc w:val="right"/>
              <w:rPr>
                <w:rFonts w:ascii="Calibri" w:hAnsi="Calibri" w:cs="Calibri"/>
                <w:color w:val="FF0000"/>
              </w:rPr>
            </w:pPr>
            <w:r w:rsidRPr="003959B0">
              <w:rPr>
                <w:rFonts w:ascii="Calibri" w:eastAsia="Times New Roman" w:hAnsi="Calibri" w:cs="Calibri"/>
              </w:rPr>
              <w:t>(2,118)</w:t>
            </w:r>
          </w:p>
        </w:tc>
        <w:tc>
          <w:tcPr>
            <w:tcW w:w="877" w:type="dxa"/>
            <w:tcBorders>
              <w:top w:val="nil"/>
              <w:left w:val="nil"/>
              <w:bottom w:val="nil"/>
              <w:right w:val="nil"/>
            </w:tcBorders>
            <w:shd w:val="clear" w:color="auto" w:fill="F2F2F2" w:themeFill="background1" w:themeFillShade="F2"/>
            <w:vAlign w:val="bottom"/>
          </w:tcPr>
          <w:p w14:paraId="4FED301E" w14:textId="77777777" w:rsidR="00BB2EE3" w:rsidRPr="001B7651" w:rsidRDefault="00BB2EE3" w:rsidP="00BB2EE3">
            <w:pPr>
              <w:jc w:val="right"/>
              <w:rPr>
                <w:rFonts w:ascii="Calibri" w:eastAsia="Times New Roman" w:hAnsi="Calibri" w:cs="Calibri"/>
                <w:color w:val="0D0D0D"/>
              </w:rPr>
            </w:pPr>
            <w:r>
              <w:rPr>
                <w:rFonts w:ascii="Calibri" w:hAnsi="Calibri" w:cs="Calibri"/>
                <w:color w:val="0D0D0D"/>
              </w:rPr>
              <w:t xml:space="preserve">159 </w:t>
            </w:r>
          </w:p>
        </w:tc>
        <w:tc>
          <w:tcPr>
            <w:tcW w:w="877" w:type="dxa"/>
            <w:tcBorders>
              <w:top w:val="nil"/>
              <w:left w:val="nil"/>
              <w:bottom w:val="nil"/>
              <w:right w:val="nil"/>
            </w:tcBorders>
            <w:shd w:val="clear" w:color="000000" w:fill="FFFFFF"/>
            <w:noWrap/>
            <w:vAlign w:val="bottom"/>
            <w:hideMark/>
          </w:tcPr>
          <w:p w14:paraId="595BD0D4"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(33)</w:t>
            </w:r>
          </w:p>
        </w:tc>
        <w:tc>
          <w:tcPr>
            <w:tcW w:w="992" w:type="dxa"/>
            <w:tcBorders>
              <w:top w:val="nil"/>
              <w:left w:val="nil"/>
              <w:bottom w:val="nil"/>
              <w:right w:val="nil"/>
            </w:tcBorders>
            <w:shd w:val="clear" w:color="auto" w:fill="F2F2F2" w:themeFill="background1" w:themeFillShade="F2"/>
            <w:noWrap/>
            <w:vAlign w:val="bottom"/>
            <w:hideMark/>
          </w:tcPr>
          <w:p w14:paraId="32673E5E"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(422)</w:t>
            </w:r>
          </w:p>
        </w:tc>
        <w:tc>
          <w:tcPr>
            <w:tcW w:w="900" w:type="dxa"/>
            <w:tcBorders>
              <w:top w:val="nil"/>
              <w:left w:val="nil"/>
              <w:bottom w:val="nil"/>
              <w:right w:val="nil"/>
            </w:tcBorders>
            <w:shd w:val="clear" w:color="000000" w:fill="FFFFFF"/>
            <w:noWrap/>
            <w:vAlign w:val="bottom"/>
            <w:hideMark/>
          </w:tcPr>
          <w:p w14:paraId="3DD05E76"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(808)</w:t>
            </w:r>
          </w:p>
        </w:tc>
        <w:tc>
          <w:tcPr>
            <w:tcW w:w="900" w:type="dxa"/>
            <w:tcBorders>
              <w:top w:val="nil"/>
              <w:left w:val="nil"/>
              <w:bottom w:val="nil"/>
              <w:right w:val="nil"/>
            </w:tcBorders>
            <w:shd w:val="clear" w:color="auto" w:fill="F2F2F2" w:themeFill="background1" w:themeFillShade="F2"/>
            <w:noWrap/>
            <w:vAlign w:val="bottom"/>
            <w:hideMark/>
          </w:tcPr>
          <w:p w14:paraId="7DC4A530"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xml:space="preserve">66 </w:t>
            </w:r>
          </w:p>
        </w:tc>
        <w:tc>
          <w:tcPr>
            <w:tcW w:w="900" w:type="dxa"/>
            <w:tcBorders>
              <w:top w:val="nil"/>
              <w:left w:val="nil"/>
              <w:bottom w:val="nil"/>
              <w:right w:val="nil"/>
            </w:tcBorders>
            <w:shd w:val="clear" w:color="000000" w:fill="FFFFFF"/>
            <w:noWrap/>
            <w:vAlign w:val="bottom"/>
            <w:hideMark/>
          </w:tcPr>
          <w:p w14:paraId="7C0217D9"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 xml:space="preserve"> (2,744)</w:t>
            </w:r>
          </w:p>
        </w:tc>
        <w:tc>
          <w:tcPr>
            <w:tcW w:w="900" w:type="dxa"/>
            <w:tcBorders>
              <w:top w:val="nil"/>
              <w:left w:val="nil"/>
              <w:bottom w:val="nil"/>
              <w:right w:val="nil"/>
            </w:tcBorders>
            <w:shd w:val="clear" w:color="auto" w:fill="F2F2F2" w:themeFill="background1" w:themeFillShade="F2"/>
            <w:noWrap/>
            <w:vAlign w:val="bottom"/>
            <w:hideMark/>
          </w:tcPr>
          <w:p w14:paraId="7759D1F2"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(2,450)</w:t>
            </w:r>
          </w:p>
        </w:tc>
      </w:tr>
      <w:tr w:rsidR="00BB2EE3" w:rsidRPr="001B7651" w14:paraId="3CC77DA4" w14:textId="77777777" w:rsidTr="000A48AD">
        <w:trPr>
          <w:trHeight w:val="363"/>
          <w:jc w:val="center"/>
        </w:trPr>
        <w:tc>
          <w:tcPr>
            <w:tcW w:w="4680" w:type="dxa"/>
            <w:tcBorders>
              <w:top w:val="nil"/>
              <w:left w:val="nil"/>
              <w:bottom w:val="nil"/>
              <w:right w:val="nil"/>
            </w:tcBorders>
            <w:shd w:val="clear" w:color="000000" w:fill="FFFFFF"/>
            <w:vAlign w:val="bottom"/>
            <w:hideMark/>
          </w:tcPr>
          <w:p w14:paraId="3DD03571"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 xml:space="preserve">Total pension liability – beginning </w:t>
            </w:r>
          </w:p>
        </w:tc>
        <w:tc>
          <w:tcPr>
            <w:tcW w:w="877" w:type="dxa"/>
            <w:tcBorders>
              <w:top w:val="nil"/>
              <w:left w:val="nil"/>
              <w:bottom w:val="nil"/>
              <w:right w:val="nil"/>
            </w:tcBorders>
            <w:shd w:val="clear" w:color="auto" w:fill="F2F2F2" w:themeFill="background1" w:themeFillShade="F2"/>
            <w:vAlign w:val="bottom"/>
          </w:tcPr>
          <w:p w14:paraId="024B77B7" w14:textId="674003F5" w:rsidR="00BB2EE3" w:rsidRPr="00316B2A" w:rsidRDefault="00BB2EE3" w:rsidP="00E66875">
            <w:pPr>
              <w:jc w:val="right"/>
              <w:rPr>
                <w:rFonts w:ascii="Calibri" w:eastAsia="Times New Roman" w:hAnsi="Calibri" w:cs="Calibri"/>
                <w:b/>
                <w:bCs/>
                <w:color w:val="0D0D0D"/>
              </w:rPr>
            </w:pPr>
            <w:r w:rsidRPr="00C606EB">
              <w:t xml:space="preserve"> 19,090 </w:t>
            </w:r>
          </w:p>
        </w:tc>
        <w:tc>
          <w:tcPr>
            <w:tcW w:w="877" w:type="dxa"/>
            <w:tcBorders>
              <w:top w:val="nil"/>
              <w:left w:val="nil"/>
              <w:bottom w:val="nil"/>
              <w:right w:val="nil"/>
            </w:tcBorders>
            <w:shd w:val="clear" w:color="auto" w:fill="FFFFFF" w:themeFill="background1"/>
            <w:vAlign w:val="bottom"/>
          </w:tcPr>
          <w:p w14:paraId="779F076A" w14:textId="3172203C" w:rsidR="00BB2EE3" w:rsidRPr="003959B0" w:rsidRDefault="00BB2EE3" w:rsidP="00BB2EE3">
            <w:pPr>
              <w:jc w:val="right"/>
              <w:rPr>
                <w:rFonts w:ascii="Calibri" w:hAnsi="Calibri" w:cs="Calibri"/>
              </w:rPr>
            </w:pPr>
            <w:r w:rsidRPr="003959B0">
              <w:rPr>
                <w:rFonts w:ascii="Calibri" w:eastAsia="Times New Roman" w:hAnsi="Calibri" w:cs="Calibri"/>
              </w:rPr>
              <w:t>21,</w:t>
            </w:r>
            <w:r>
              <w:rPr>
                <w:rFonts w:ascii="Calibri" w:eastAsia="Times New Roman" w:hAnsi="Calibri" w:cs="Calibri"/>
              </w:rPr>
              <w:t>208</w:t>
            </w:r>
          </w:p>
        </w:tc>
        <w:tc>
          <w:tcPr>
            <w:tcW w:w="877" w:type="dxa"/>
            <w:tcBorders>
              <w:top w:val="nil"/>
              <w:left w:val="nil"/>
              <w:bottom w:val="nil"/>
              <w:right w:val="nil"/>
            </w:tcBorders>
            <w:shd w:val="clear" w:color="auto" w:fill="F2F2F2" w:themeFill="background1" w:themeFillShade="F2"/>
            <w:vAlign w:val="bottom"/>
          </w:tcPr>
          <w:p w14:paraId="2AEC65C5" w14:textId="77777777" w:rsidR="00BB2EE3" w:rsidRPr="001B7651" w:rsidRDefault="00BB2EE3" w:rsidP="00BB2EE3">
            <w:pPr>
              <w:jc w:val="right"/>
              <w:rPr>
                <w:rFonts w:ascii="Calibri" w:eastAsia="Times New Roman" w:hAnsi="Calibri" w:cs="Calibri"/>
                <w:color w:val="0D0D0D"/>
              </w:rPr>
            </w:pPr>
            <w:r>
              <w:rPr>
                <w:rFonts w:ascii="Calibri" w:hAnsi="Calibri" w:cs="Calibri"/>
                <w:color w:val="0D0D0D"/>
              </w:rPr>
              <w:t xml:space="preserve"> 21,049 </w:t>
            </w:r>
          </w:p>
        </w:tc>
        <w:tc>
          <w:tcPr>
            <w:tcW w:w="877" w:type="dxa"/>
            <w:tcBorders>
              <w:top w:val="nil"/>
              <w:left w:val="nil"/>
              <w:bottom w:val="nil"/>
              <w:right w:val="nil"/>
            </w:tcBorders>
            <w:shd w:val="clear" w:color="000000" w:fill="FFFFFF"/>
            <w:noWrap/>
            <w:vAlign w:val="bottom"/>
            <w:hideMark/>
          </w:tcPr>
          <w:p w14:paraId="4A08FE92"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992" w:type="dxa"/>
            <w:tcBorders>
              <w:top w:val="nil"/>
              <w:left w:val="nil"/>
              <w:bottom w:val="nil"/>
              <w:right w:val="nil"/>
            </w:tcBorders>
            <w:shd w:val="clear" w:color="auto" w:fill="F2F2F2" w:themeFill="background1" w:themeFillShade="F2"/>
            <w:noWrap/>
            <w:vAlign w:val="bottom"/>
            <w:hideMark/>
          </w:tcPr>
          <w:p w14:paraId="561B163B"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900" w:type="dxa"/>
            <w:tcBorders>
              <w:top w:val="nil"/>
              <w:left w:val="nil"/>
              <w:bottom w:val="nil"/>
              <w:right w:val="nil"/>
            </w:tcBorders>
            <w:shd w:val="clear" w:color="000000" w:fill="FFFFFF"/>
            <w:noWrap/>
            <w:vAlign w:val="bottom"/>
            <w:hideMark/>
          </w:tcPr>
          <w:p w14:paraId="6830C48D"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900" w:type="dxa"/>
            <w:tcBorders>
              <w:top w:val="nil"/>
              <w:left w:val="nil"/>
              <w:bottom w:val="nil"/>
              <w:right w:val="nil"/>
            </w:tcBorders>
            <w:shd w:val="clear" w:color="auto" w:fill="F2F2F2" w:themeFill="background1" w:themeFillShade="F2"/>
            <w:noWrap/>
            <w:vAlign w:val="bottom"/>
            <w:hideMark/>
          </w:tcPr>
          <w:p w14:paraId="31F13D60"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900" w:type="dxa"/>
            <w:tcBorders>
              <w:top w:val="nil"/>
              <w:left w:val="nil"/>
              <w:bottom w:val="nil"/>
              <w:right w:val="nil"/>
            </w:tcBorders>
            <w:shd w:val="clear" w:color="000000" w:fill="FFFFFF"/>
            <w:noWrap/>
            <w:vAlign w:val="bottom"/>
            <w:hideMark/>
          </w:tcPr>
          <w:p w14:paraId="0ECC51C9"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24,990</w:t>
            </w:r>
          </w:p>
        </w:tc>
        <w:tc>
          <w:tcPr>
            <w:tcW w:w="900" w:type="dxa"/>
            <w:tcBorders>
              <w:top w:val="nil"/>
              <w:left w:val="nil"/>
              <w:bottom w:val="nil"/>
              <w:right w:val="nil"/>
            </w:tcBorders>
            <w:shd w:val="clear" w:color="auto" w:fill="F2F2F2" w:themeFill="background1" w:themeFillShade="F2"/>
            <w:noWrap/>
            <w:vAlign w:val="bottom"/>
            <w:hideMark/>
          </w:tcPr>
          <w:p w14:paraId="4F6A518D" w14:textId="77777777" w:rsidR="00BB2EE3" w:rsidRPr="001B7651" w:rsidRDefault="00BB2EE3" w:rsidP="00BB2EE3">
            <w:pPr>
              <w:jc w:val="right"/>
              <w:rPr>
                <w:rFonts w:ascii="Calibri" w:eastAsia="Times New Roman" w:hAnsi="Calibri" w:cs="Calibri"/>
                <w:color w:val="0D0D0D"/>
              </w:rPr>
            </w:pPr>
            <w:r>
              <w:rPr>
                <w:rFonts w:ascii="Calibri" w:eastAsia="Times New Roman" w:hAnsi="Calibri" w:cs="Calibri"/>
                <w:color w:val="0D0D0D"/>
              </w:rPr>
              <w:t>27,440</w:t>
            </w:r>
          </w:p>
        </w:tc>
      </w:tr>
      <w:tr w:rsidR="00BB2EE3" w:rsidRPr="001B7651" w14:paraId="72B9F9E7" w14:textId="77777777" w:rsidTr="000A48AD">
        <w:trPr>
          <w:trHeight w:val="309"/>
          <w:jc w:val="center"/>
        </w:trPr>
        <w:tc>
          <w:tcPr>
            <w:tcW w:w="4680" w:type="dxa"/>
            <w:tcBorders>
              <w:top w:val="single" w:sz="4" w:space="0" w:color="00688D"/>
              <w:left w:val="nil"/>
              <w:bottom w:val="double" w:sz="6" w:space="0" w:color="00688D"/>
              <w:right w:val="nil"/>
            </w:tcBorders>
            <w:shd w:val="clear" w:color="000000" w:fill="FFFFFF"/>
            <w:vAlign w:val="bottom"/>
            <w:hideMark/>
          </w:tcPr>
          <w:p w14:paraId="4C2BDA3D"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Total pension liability – ending</w:t>
            </w:r>
          </w:p>
        </w:tc>
        <w:tc>
          <w:tcPr>
            <w:tcW w:w="877" w:type="dxa"/>
            <w:tcBorders>
              <w:top w:val="single" w:sz="4" w:space="0" w:color="00688D"/>
              <w:left w:val="nil"/>
              <w:bottom w:val="double" w:sz="6" w:space="0" w:color="00688D"/>
              <w:right w:val="nil"/>
            </w:tcBorders>
            <w:shd w:val="clear" w:color="auto" w:fill="F2F2F2" w:themeFill="background1" w:themeFillShade="F2"/>
            <w:vAlign w:val="bottom"/>
          </w:tcPr>
          <w:p w14:paraId="3A4C3CBF" w14:textId="65FEEF9C" w:rsidR="00BB2EE3" w:rsidRPr="00316B2A" w:rsidRDefault="00BB2EE3" w:rsidP="00316B2A">
            <w:pPr>
              <w:jc w:val="right"/>
              <w:rPr>
                <w:rFonts w:ascii="Calibri" w:eastAsia="Times New Roman" w:hAnsi="Calibri" w:cs="Calibri"/>
                <w:b/>
                <w:bCs/>
                <w:color w:val="0D0D0D"/>
              </w:rPr>
            </w:pPr>
            <w:r w:rsidRPr="00C606EB">
              <w:t xml:space="preserve">$17,206 </w:t>
            </w:r>
          </w:p>
        </w:tc>
        <w:tc>
          <w:tcPr>
            <w:tcW w:w="877" w:type="dxa"/>
            <w:tcBorders>
              <w:top w:val="single" w:sz="4" w:space="0" w:color="00688D"/>
              <w:left w:val="nil"/>
              <w:bottom w:val="double" w:sz="6" w:space="0" w:color="00688D"/>
              <w:right w:val="nil"/>
            </w:tcBorders>
            <w:shd w:val="clear" w:color="auto" w:fill="FFFFFF" w:themeFill="background1"/>
            <w:vAlign w:val="bottom"/>
          </w:tcPr>
          <w:p w14:paraId="496031F2" w14:textId="243C59C2" w:rsidR="00BB2EE3" w:rsidRPr="003959B0" w:rsidRDefault="00BB2EE3" w:rsidP="00BB2EE3">
            <w:pPr>
              <w:jc w:val="center"/>
              <w:rPr>
                <w:rFonts w:ascii="Calibri" w:hAnsi="Calibri" w:cs="Calibri"/>
              </w:rPr>
            </w:pPr>
            <w:r w:rsidRPr="003959B0">
              <w:rPr>
                <w:rFonts w:ascii="Calibri" w:eastAsia="Times New Roman" w:hAnsi="Calibri" w:cs="Calibri"/>
              </w:rPr>
              <w:t>$19,090</w:t>
            </w:r>
          </w:p>
        </w:tc>
        <w:tc>
          <w:tcPr>
            <w:tcW w:w="877" w:type="dxa"/>
            <w:tcBorders>
              <w:top w:val="single" w:sz="4" w:space="0" w:color="00688D"/>
              <w:left w:val="nil"/>
              <w:bottom w:val="double" w:sz="6" w:space="0" w:color="00688D"/>
              <w:right w:val="nil"/>
            </w:tcBorders>
            <w:shd w:val="clear" w:color="auto" w:fill="F2F2F2" w:themeFill="background1" w:themeFillShade="F2"/>
            <w:vAlign w:val="bottom"/>
          </w:tcPr>
          <w:p w14:paraId="0A68FE50" w14:textId="77777777" w:rsidR="00BB2EE3" w:rsidRPr="001B7651" w:rsidRDefault="00BB2EE3" w:rsidP="00BB2EE3">
            <w:pPr>
              <w:jc w:val="center"/>
              <w:rPr>
                <w:rFonts w:ascii="Calibri" w:eastAsia="Times New Roman" w:hAnsi="Calibri" w:cs="Calibri"/>
                <w:color w:val="0D0D0D"/>
              </w:rPr>
            </w:pPr>
            <w:r>
              <w:rPr>
                <w:rFonts w:ascii="Calibri" w:hAnsi="Calibri" w:cs="Calibri"/>
                <w:color w:val="0D0D0D"/>
              </w:rPr>
              <w:t xml:space="preserve">$21,208 </w:t>
            </w:r>
          </w:p>
        </w:tc>
        <w:tc>
          <w:tcPr>
            <w:tcW w:w="877" w:type="dxa"/>
            <w:tcBorders>
              <w:top w:val="single" w:sz="4" w:space="0" w:color="00688D"/>
              <w:left w:val="nil"/>
              <w:bottom w:val="double" w:sz="6" w:space="0" w:color="00688D"/>
              <w:right w:val="nil"/>
            </w:tcBorders>
            <w:shd w:val="clear" w:color="000000" w:fill="FFFFFF"/>
            <w:noWrap/>
            <w:vAlign w:val="bottom"/>
            <w:hideMark/>
          </w:tcPr>
          <w:p w14:paraId="78F0FE07"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$21,049</w:t>
            </w:r>
          </w:p>
        </w:tc>
        <w:tc>
          <w:tcPr>
            <w:tcW w:w="992"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504E50D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900" w:type="dxa"/>
            <w:tcBorders>
              <w:top w:val="single" w:sz="4" w:space="0" w:color="00688D"/>
              <w:left w:val="nil"/>
              <w:bottom w:val="double" w:sz="6" w:space="0" w:color="00688D"/>
              <w:right w:val="nil"/>
            </w:tcBorders>
            <w:shd w:val="clear" w:color="000000" w:fill="FFFFFF"/>
            <w:noWrap/>
            <w:vAlign w:val="bottom"/>
            <w:hideMark/>
          </w:tcPr>
          <w:p w14:paraId="67815E71"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90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6910F050"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900" w:type="dxa"/>
            <w:tcBorders>
              <w:top w:val="single" w:sz="4" w:space="0" w:color="00688D"/>
              <w:left w:val="nil"/>
              <w:bottom w:val="double" w:sz="6" w:space="0" w:color="00688D"/>
              <w:right w:val="nil"/>
            </w:tcBorders>
            <w:shd w:val="clear" w:color="000000" w:fill="FFFFFF"/>
            <w:noWrap/>
            <w:vAlign w:val="bottom"/>
            <w:hideMark/>
          </w:tcPr>
          <w:p w14:paraId="49E0100B"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90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3D44DD0"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$24,990</w:t>
            </w:r>
          </w:p>
        </w:tc>
      </w:tr>
      <w:tr w:rsidR="00BB2EE3" w:rsidRPr="001B7651" w14:paraId="02CE2B18" w14:textId="77777777" w:rsidTr="000A48AD">
        <w:trPr>
          <w:trHeight w:val="302"/>
          <w:jc w:val="center"/>
        </w:trPr>
        <w:tc>
          <w:tcPr>
            <w:tcW w:w="4680" w:type="dxa"/>
            <w:tcBorders>
              <w:top w:val="nil"/>
              <w:left w:val="nil"/>
              <w:bottom w:val="nil"/>
              <w:right w:val="nil"/>
            </w:tcBorders>
            <w:shd w:val="clear" w:color="000000" w:fill="FFFFFF"/>
            <w:noWrap/>
            <w:vAlign w:val="bottom"/>
            <w:hideMark/>
          </w:tcPr>
          <w:p w14:paraId="63B50ED9"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Covered payroll</w:t>
            </w:r>
          </w:p>
        </w:tc>
        <w:tc>
          <w:tcPr>
            <w:tcW w:w="877" w:type="dxa"/>
            <w:tcBorders>
              <w:top w:val="nil"/>
              <w:left w:val="nil"/>
              <w:bottom w:val="nil"/>
              <w:right w:val="nil"/>
            </w:tcBorders>
            <w:shd w:val="clear" w:color="auto" w:fill="F2F2F2" w:themeFill="background1" w:themeFillShade="F2"/>
            <w:vAlign w:val="bottom"/>
          </w:tcPr>
          <w:p w14:paraId="7506DF6F" w14:textId="3DAE394B" w:rsidR="00BB2EE3" w:rsidRPr="00316B2A" w:rsidRDefault="00BB2EE3" w:rsidP="00E66875">
            <w:pPr>
              <w:jc w:val="right"/>
              <w:rPr>
                <w:rFonts w:ascii="Calibri" w:eastAsia="Times New Roman" w:hAnsi="Calibri" w:cs="Calibri"/>
                <w:b/>
                <w:bCs/>
                <w:color w:val="0D0D0D"/>
              </w:rPr>
            </w:pPr>
            <w:r w:rsidRPr="00C606EB">
              <w:t xml:space="preserve">$51,931 </w:t>
            </w:r>
          </w:p>
        </w:tc>
        <w:tc>
          <w:tcPr>
            <w:tcW w:w="877" w:type="dxa"/>
            <w:tcBorders>
              <w:top w:val="nil"/>
              <w:left w:val="nil"/>
              <w:bottom w:val="nil"/>
              <w:right w:val="nil"/>
            </w:tcBorders>
            <w:shd w:val="clear" w:color="auto" w:fill="FFFFFF" w:themeFill="background1"/>
            <w:vAlign w:val="bottom"/>
          </w:tcPr>
          <w:p w14:paraId="34078575" w14:textId="19C350FE" w:rsidR="00BB2EE3" w:rsidRPr="008D2FB7" w:rsidRDefault="00BB2EE3" w:rsidP="00BB2EE3">
            <w:pPr>
              <w:jc w:val="right"/>
              <w:rPr>
                <w:rFonts w:ascii="Calibri" w:hAnsi="Calibri" w:cs="Calibri"/>
              </w:rPr>
            </w:pPr>
            <w:r w:rsidRPr="00943CF1">
              <w:rPr>
                <w:rFonts w:ascii="Calibri" w:eastAsia="Times New Roman" w:hAnsi="Calibri" w:cs="Calibri"/>
              </w:rPr>
              <w:t>$59,119</w:t>
            </w:r>
          </w:p>
        </w:tc>
        <w:tc>
          <w:tcPr>
            <w:tcW w:w="877" w:type="dxa"/>
            <w:tcBorders>
              <w:top w:val="nil"/>
              <w:left w:val="nil"/>
              <w:bottom w:val="nil"/>
              <w:right w:val="nil"/>
            </w:tcBorders>
            <w:shd w:val="clear" w:color="auto" w:fill="F2F2F2" w:themeFill="background1" w:themeFillShade="F2"/>
            <w:vAlign w:val="bottom"/>
          </w:tcPr>
          <w:p w14:paraId="1F979F31" w14:textId="77777777" w:rsidR="00BB2EE3" w:rsidRPr="001B7651" w:rsidRDefault="00BB2EE3" w:rsidP="00BB2EE3">
            <w:pPr>
              <w:jc w:val="right"/>
              <w:rPr>
                <w:rFonts w:ascii="Calibri" w:eastAsia="Times New Roman" w:hAnsi="Calibri" w:cs="Calibri"/>
                <w:color w:val="0D0D0D"/>
              </w:rPr>
            </w:pPr>
            <w:r>
              <w:rPr>
                <w:rFonts w:ascii="Calibri" w:hAnsi="Calibri" w:cs="Calibri"/>
              </w:rPr>
              <w:t xml:space="preserve">$62,646 </w:t>
            </w:r>
          </w:p>
        </w:tc>
        <w:tc>
          <w:tcPr>
            <w:tcW w:w="877" w:type="dxa"/>
            <w:tcBorders>
              <w:top w:val="nil"/>
              <w:left w:val="nil"/>
              <w:bottom w:val="nil"/>
              <w:right w:val="nil"/>
            </w:tcBorders>
            <w:shd w:val="clear" w:color="000000" w:fill="FFFFFF"/>
            <w:noWrap/>
            <w:vAlign w:val="bottom"/>
            <w:hideMark/>
          </w:tcPr>
          <w:p w14:paraId="16C2CB6F"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992" w:type="dxa"/>
            <w:tcBorders>
              <w:top w:val="nil"/>
              <w:left w:val="nil"/>
              <w:bottom w:val="nil"/>
              <w:right w:val="nil"/>
            </w:tcBorders>
            <w:shd w:val="clear" w:color="auto" w:fill="F2F2F2" w:themeFill="background1" w:themeFillShade="F2"/>
            <w:noWrap/>
            <w:vAlign w:val="bottom"/>
            <w:hideMark/>
          </w:tcPr>
          <w:p w14:paraId="4A031061"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729835C6"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900" w:type="dxa"/>
            <w:tcBorders>
              <w:top w:val="nil"/>
              <w:left w:val="nil"/>
              <w:bottom w:val="nil"/>
              <w:right w:val="nil"/>
            </w:tcBorders>
            <w:shd w:val="clear" w:color="auto" w:fill="F2F2F2" w:themeFill="background1" w:themeFillShade="F2"/>
            <w:noWrap/>
            <w:vAlign w:val="bottom"/>
            <w:hideMark/>
          </w:tcPr>
          <w:p w14:paraId="5453D348"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900" w:type="dxa"/>
            <w:tcBorders>
              <w:top w:val="nil"/>
              <w:left w:val="nil"/>
              <w:bottom w:val="nil"/>
              <w:right w:val="nil"/>
            </w:tcBorders>
            <w:shd w:val="clear" w:color="000000" w:fill="FFFFFF"/>
            <w:noWrap/>
            <w:vAlign w:val="bottom"/>
            <w:hideMark/>
          </w:tcPr>
          <w:p w14:paraId="2EDD4FCB"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900" w:type="dxa"/>
            <w:tcBorders>
              <w:top w:val="nil"/>
              <w:left w:val="nil"/>
              <w:bottom w:val="nil"/>
              <w:right w:val="nil"/>
            </w:tcBorders>
            <w:shd w:val="clear" w:color="auto" w:fill="F2F2F2" w:themeFill="background1" w:themeFillShade="F2"/>
            <w:noWrap/>
            <w:vAlign w:val="bottom"/>
            <w:hideMark/>
          </w:tcPr>
          <w:p w14:paraId="7B4AE207"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BB2EE3" w:rsidRPr="001B7651" w14:paraId="3A2F00A7" w14:textId="77777777" w:rsidTr="000A48AD">
        <w:trPr>
          <w:trHeight w:val="290"/>
          <w:jc w:val="center"/>
        </w:trPr>
        <w:tc>
          <w:tcPr>
            <w:tcW w:w="4680" w:type="dxa"/>
            <w:tcBorders>
              <w:top w:val="nil"/>
              <w:left w:val="nil"/>
              <w:bottom w:val="single" w:sz="4" w:space="0" w:color="00688D"/>
              <w:right w:val="nil"/>
            </w:tcBorders>
            <w:shd w:val="clear" w:color="000000" w:fill="FFFFFF"/>
            <w:vAlign w:val="bottom"/>
            <w:hideMark/>
          </w:tcPr>
          <w:p w14:paraId="3A57F7A2" w14:textId="77777777" w:rsidR="00BB2EE3" w:rsidRPr="001B7651" w:rsidRDefault="00BB2EE3" w:rsidP="00BB2EE3">
            <w:pPr>
              <w:rPr>
                <w:rFonts w:ascii="Calibri" w:eastAsia="Times New Roman" w:hAnsi="Calibri" w:cs="Calibri"/>
                <w:color w:val="0D0D0D"/>
              </w:rPr>
            </w:pPr>
            <w:r w:rsidRPr="001B7651">
              <w:rPr>
                <w:rFonts w:ascii="Calibri" w:eastAsia="Times New Roman" w:hAnsi="Calibri" w:cs="Calibri"/>
                <w:color w:val="0D0D0D"/>
              </w:rPr>
              <w:t>Total pension liability as a percentage of covered payroll</w:t>
            </w:r>
          </w:p>
        </w:tc>
        <w:tc>
          <w:tcPr>
            <w:tcW w:w="877" w:type="dxa"/>
            <w:tcBorders>
              <w:top w:val="nil"/>
              <w:left w:val="nil"/>
              <w:bottom w:val="single" w:sz="4" w:space="0" w:color="00688D"/>
              <w:right w:val="nil"/>
            </w:tcBorders>
            <w:shd w:val="clear" w:color="auto" w:fill="F2F2F2" w:themeFill="background1" w:themeFillShade="F2"/>
            <w:vAlign w:val="bottom"/>
          </w:tcPr>
          <w:p w14:paraId="31AE15B8" w14:textId="003EC41B" w:rsidR="00BB2EE3" w:rsidRPr="00316B2A" w:rsidRDefault="00BB2EE3" w:rsidP="00E66875">
            <w:pPr>
              <w:jc w:val="right"/>
              <w:rPr>
                <w:rFonts w:ascii="Calibri" w:eastAsia="Times New Roman" w:hAnsi="Calibri" w:cs="Calibri"/>
                <w:b/>
                <w:bCs/>
                <w:color w:val="0D0D0D"/>
              </w:rPr>
            </w:pPr>
            <w:r w:rsidRPr="00C606EB">
              <w:t>33.13%</w:t>
            </w:r>
          </w:p>
        </w:tc>
        <w:tc>
          <w:tcPr>
            <w:tcW w:w="877" w:type="dxa"/>
            <w:tcBorders>
              <w:top w:val="nil"/>
              <w:left w:val="nil"/>
              <w:bottom w:val="single" w:sz="4" w:space="0" w:color="00688D"/>
              <w:right w:val="nil"/>
            </w:tcBorders>
            <w:shd w:val="clear" w:color="auto" w:fill="FFFFFF" w:themeFill="background1"/>
            <w:vAlign w:val="bottom"/>
          </w:tcPr>
          <w:p w14:paraId="5BC3D95E" w14:textId="23B6AA40" w:rsidR="00BB2EE3" w:rsidRPr="003959B0" w:rsidRDefault="00BB2EE3" w:rsidP="00BB2EE3">
            <w:pPr>
              <w:jc w:val="right"/>
              <w:rPr>
                <w:rFonts w:ascii="Calibri" w:hAnsi="Calibri" w:cs="Calibri"/>
              </w:rPr>
            </w:pPr>
            <w:r w:rsidRPr="003959B0">
              <w:rPr>
                <w:rFonts w:ascii="Calibri" w:eastAsia="Times New Roman" w:hAnsi="Calibri" w:cs="Calibri"/>
              </w:rPr>
              <w:t>32.29%</w:t>
            </w:r>
          </w:p>
        </w:tc>
        <w:tc>
          <w:tcPr>
            <w:tcW w:w="877" w:type="dxa"/>
            <w:tcBorders>
              <w:top w:val="nil"/>
              <w:left w:val="nil"/>
              <w:bottom w:val="single" w:sz="4" w:space="0" w:color="00688D"/>
              <w:right w:val="nil"/>
            </w:tcBorders>
            <w:shd w:val="clear" w:color="auto" w:fill="F2F2F2" w:themeFill="background1" w:themeFillShade="F2"/>
            <w:vAlign w:val="bottom"/>
          </w:tcPr>
          <w:p w14:paraId="0376E1FD" w14:textId="77777777" w:rsidR="00BB2EE3" w:rsidRPr="001B7651" w:rsidRDefault="00BB2EE3" w:rsidP="00BB2EE3">
            <w:pPr>
              <w:jc w:val="right"/>
              <w:rPr>
                <w:rFonts w:ascii="Calibri" w:eastAsia="Times New Roman" w:hAnsi="Calibri" w:cs="Calibri"/>
                <w:color w:val="0D0D0D"/>
              </w:rPr>
            </w:pPr>
            <w:r>
              <w:rPr>
                <w:rFonts w:ascii="Calibri" w:hAnsi="Calibri" w:cs="Calibri"/>
                <w:color w:val="0D0D0D"/>
              </w:rPr>
              <w:t>33.85%</w:t>
            </w:r>
          </w:p>
        </w:tc>
        <w:tc>
          <w:tcPr>
            <w:tcW w:w="877" w:type="dxa"/>
            <w:tcBorders>
              <w:top w:val="nil"/>
              <w:left w:val="nil"/>
              <w:bottom w:val="single" w:sz="4" w:space="0" w:color="00688D"/>
              <w:right w:val="nil"/>
            </w:tcBorders>
            <w:shd w:val="clear" w:color="000000" w:fill="FFFFFF"/>
            <w:noWrap/>
            <w:vAlign w:val="bottom"/>
            <w:hideMark/>
          </w:tcPr>
          <w:p w14:paraId="02C85D89"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31.27%</w:t>
            </w:r>
          </w:p>
        </w:tc>
        <w:tc>
          <w:tcPr>
            <w:tcW w:w="992" w:type="dxa"/>
            <w:tcBorders>
              <w:top w:val="nil"/>
              <w:left w:val="nil"/>
              <w:bottom w:val="single" w:sz="4" w:space="0" w:color="00688D"/>
              <w:right w:val="nil"/>
            </w:tcBorders>
            <w:shd w:val="clear" w:color="auto" w:fill="F2F2F2" w:themeFill="background1" w:themeFillShade="F2"/>
            <w:noWrap/>
            <w:vAlign w:val="bottom"/>
            <w:hideMark/>
          </w:tcPr>
          <w:p w14:paraId="5BB91434"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30.69%</w:t>
            </w:r>
          </w:p>
        </w:tc>
        <w:tc>
          <w:tcPr>
            <w:tcW w:w="900" w:type="dxa"/>
            <w:tcBorders>
              <w:top w:val="nil"/>
              <w:left w:val="nil"/>
              <w:bottom w:val="single" w:sz="4" w:space="0" w:color="00688D"/>
              <w:right w:val="nil"/>
            </w:tcBorders>
            <w:shd w:val="clear" w:color="000000" w:fill="FFFFFF"/>
            <w:noWrap/>
            <w:vAlign w:val="bottom"/>
            <w:hideMark/>
          </w:tcPr>
          <w:p w14:paraId="6648FB03"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29.64%</w:t>
            </w:r>
          </w:p>
        </w:tc>
        <w:tc>
          <w:tcPr>
            <w:tcW w:w="900" w:type="dxa"/>
            <w:tcBorders>
              <w:top w:val="nil"/>
              <w:left w:val="nil"/>
              <w:bottom w:val="single" w:sz="4" w:space="0" w:color="00688D"/>
              <w:right w:val="nil"/>
            </w:tcBorders>
            <w:shd w:val="clear" w:color="auto" w:fill="F2F2F2" w:themeFill="background1" w:themeFillShade="F2"/>
            <w:noWrap/>
            <w:vAlign w:val="bottom"/>
            <w:hideMark/>
          </w:tcPr>
          <w:p w14:paraId="18D2970E"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28.74%</w:t>
            </w:r>
          </w:p>
        </w:tc>
        <w:tc>
          <w:tcPr>
            <w:tcW w:w="900" w:type="dxa"/>
            <w:tcBorders>
              <w:top w:val="nil"/>
              <w:left w:val="nil"/>
              <w:bottom w:val="single" w:sz="4" w:space="0" w:color="00688D"/>
              <w:right w:val="nil"/>
            </w:tcBorders>
            <w:shd w:val="clear" w:color="000000" w:fill="FFFFFF"/>
            <w:noWrap/>
            <w:vAlign w:val="bottom"/>
            <w:hideMark/>
          </w:tcPr>
          <w:p w14:paraId="61F9BC51"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23.26%</w:t>
            </w:r>
          </w:p>
        </w:tc>
        <w:tc>
          <w:tcPr>
            <w:tcW w:w="900" w:type="dxa"/>
            <w:tcBorders>
              <w:top w:val="nil"/>
              <w:left w:val="nil"/>
              <w:bottom w:val="single" w:sz="4" w:space="0" w:color="00688D"/>
              <w:right w:val="nil"/>
            </w:tcBorders>
            <w:shd w:val="clear" w:color="auto" w:fill="F2F2F2" w:themeFill="background1" w:themeFillShade="F2"/>
            <w:noWrap/>
            <w:vAlign w:val="bottom"/>
            <w:hideMark/>
          </w:tcPr>
          <w:p w14:paraId="44BA4D29" w14:textId="77777777" w:rsidR="00BB2EE3" w:rsidRPr="001B7651" w:rsidRDefault="00BB2EE3" w:rsidP="00BB2EE3">
            <w:pPr>
              <w:jc w:val="right"/>
              <w:rPr>
                <w:rFonts w:ascii="Calibri" w:eastAsia="Times New Roman" w:hAnsi="Calibri" w:cs="Calibri"/>
                <w:color w:val="0D0D0D"/>
              </w:rPr>
            </w:pPr>
            <w:r w:rsidRPr="001B7651">
              <w:rPr>
                <w:rFonts w:ascii="Calibri" w:eastAsia="Times New Roman" w:hAnsi="Calibri" w:cs="Calibri"/>
                <w:color w:val="0D0D0D"/>
              </w:rPr>
              <w:t>27.04%</w:t>
            </w:r>
          </w:p>
        </w:tc>
      </w:tr>
    </w:tbl>
    <w:p w14:paraId="3838C994" w14:textId="77777777" w:rsidR="00DD1612" w:rsidRPr="001E2C56" w:rsidRDefault="00DD1612" w:rsidP="00DD1612">
      <w:pPr>
        <w:spacing w:before="120"/>
        <w:jc w:val="center"/>
        <w:rPr>
          <w:sz w:val="28"/>
        </w:rPr>
      </w:pPr>
      <w:r w:rsidRPr="001B7651">
        <w:rPr>
          <w:rFonts w:ascii="Calibri" w:eastAsia="Times New Roman" w:hAnsi="Calibri" w:cs="Calibri"/>
          <w:b/>
          <w:bCs/>
          <w:color w:val="0D0D0D"/>
        </w:rPr>
        <w:t>Schedule of Employer Contributions</w:t>
      </w:r>
    </w:p>
    <w:tbl>
      <w:tblPr>
        <w:tblW w:w="12799" w:type="dxa"/>
        <w:jc w:val="center"/>
        <w:tblLayout w:type="fixed"/>
        <w:tblCellMar>
          <w:left w:w="72" w:type="dxa"/>
          <w:right w:w="72" w:type="dxa"/>
        </w:tblCellMar>
        <w:tblLook w:val="04A0" w:firstRow="1" w:lastRow="0" w:firstColumn="1" w:lastColumn="0" w:noHBand="0" w:noVBand="1"/>
      </w:tblPr>
      <w:tblGrid>
        <w:gridCol w:w="4680"/>
        <w:gridCol w:w="891"/>
        <w:gridCol w:w="891"/>
        <w:gridCol w:w="891"/>
        <w:gridCol w:w="927"/>
        <w:gridCol w:w="919"/>
        <w:gridCol w:w="900"/>
        <w:gridCol w:w="900"/>
        <w:gridCol w:w="900"/>
        <w:gridCol w:w="900"/>
      </w:tblGrid>
      <w:tr w:rsidR="00BB2EE3" w:rsidRPr="001B7651" w14:paraId="1A92E692" w14:textId="77777777" w:rsidTr="00C029A1">
        <w:trPr>
          <w:trHeight w:val="404"/>
          <w:tblHeader/>
          <w:jc w:val="center"/>
        </w:trPr>
        <w:tc>
          <w:tcPr>
            <w:tcW w:w="4680" w:type="dxa"/>
            <w:tcBorders>
              <w:top w:val="nil"/>
              <w:left w:val="nil"/>
              <w:bottom w:val="single" w:sz="12" w:space="0" w:color="00688D"/>
              <w:right w:val="nil"/>
            </w:tcBorders>
            <w:shd w:val="clear" w:color="000000" w:fill="FFFFFF"/>
            <w:vAlign w:val="bottom"/>
            <w:hideMark/>
          </w:tcPr>
          <w:p w14:paraId="759A1478" w14:textId="77777777" w:rsidR="00BB2EE3" w:rsidRPr="001B7651" w:rsidRDefault="00BB2EE3" w:rsidP="00BD375F">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91" w:type="dxa"/>
            <w:tcBorders>
              <w:top w:val="nil"/>
              <w:left w:val="nil"/>
              <w:bottom w:val="single" w:sz="12" w:space="0" w:color="00688D"/>
              <w:right w:val="nil"/>
            </w:tcBorders>
            <w:shd w:val="clear" w:color="auto" w:fill="F2F2F2" w:themeFill="background1" w:themeFillShade="F2"/>
            <w:vAlign w:val="bottom"/>
          </w:tcPr>
          <w:p w14:paraId="3B710793" w14:textId="2BFA1808" w:rsidR="00BB2EE3" w:rsidRPr="00943CF1" w:rsidRDefault="00BC5F7A" w:rsidP="00BD375F">
            <w:pPr>
              <w:jc w:val="center"/>
              <w:rPr>
                <w:rFonts w:ascii="Calibri" w:eastAsia="Times New Roman" w:hAnsi="Calibri" w:cs="Calibri"/>
                <w:b/>
                <w:bCs/>
                <w:color w:val="0D0D0D"/>
              </w:rPr>
            </w:pPr>
            <w:r>
              <w:rPr>
                <w:rFonts w:ascii="Calibri" w:eastAsia="Times New Roman" w:hAnsi="Calibri" w:cs="Calibri"/>
                <w:b/>
                <w:bCs/>
                <w:color w:val="0D0D0D"/>
              </w:rPr>
              <w:t>2023</w:t>
            </w:r>
          </w:p>
        </w:tc>
        <w:tc>
          <w:tcPr>
            <w:tcW w:w="891" w:type="dxa"/>
            <w:tcBorders>
              <w:top w:val="nil"/>
              <w:left w:val="nil"/>
              <w:bottom w:val="single" w:sz="12" w:space="0" w:color="00688D"/>
              <w:right w:val="nil"/>
            </w:tcBorders>
            <w:shd w:val="clear" w:color="auto" w:fill="auto"/>
            <w:vAlign w:val="bottom"/>
          </w:tcPr>
          <w:p w14:paraId="33103A67" w14:textId="7E6D1FFC" w:rsidR="00BB2EE3" w:rsidRPr="006D7D32" w:rsidRDefault="00BB2EE3" w:rsidP="00BD375F">
            <w:pPr>
              <w:jc w:val="center"/>
              <w:rPr>
                <w:rFonts w:ascii="Calibri" w:eastAsia="Times New Roman" w:hAnsi="Calibri" w:cs="Calibri"/>
                <w:b/>
                <w:bCs/>
                <w:color w:val="0D0D0D"/>
                <w:highlight w:val="lightGray"/>
              </w:rPr>
            </w:pPr>
            <w:r w:rsidRPr="00943CF1">
              <w:rPr>
                <w:rFonts w:ascii="Calibri" w:eastAsia="Times New Roman" w:hAnsi="Calibri" w:cs="Calibri"/>
                <w:b/>
                <w:bCs/>
                <w:color w:val="0D0D0D"/>
              </w:rPr>
              <w:t>2022</w:t>
            </w:r>
          </w:p>
        </w:tc>
        <w:tc>
          <w:tcPr>
            <w:tcW w:w="891" w:type="dxa"/>
            <w:tcBorders>
              <w:top w:val="nil"/>
              <w:left w:val="nil"/>
              <w:bottom w:val="single" w:sz="12" w:space="0" w:color="00688D"/>
              <w:right w:val="nil"/>
            </w:tcBorders>
            <w:shd w:val="clear" w:color="auto" w:fill="F2F2F2" w:themeFill="background1" w:themeFillShade="F2"/>
            <w:vAlign w:val="bottom"/>
          </w:tcPr>
          <w:p w14:paraId="109D502C" w14:textId="39F72272" w:rsidR="00BB2EE3" w:rsidRPr="001B7651" w:rsidRDefault="00BD06F5" w:rsidP="00BD06F5">
            <w:pPr>
              <w:jc w:val="center"/>
              <w:rPr>
                <w:rFonts w:ascii="Calibri" w:eastAsia="Times New Roman" w:hAnsi="Calibri" w:cs="Calibri"/>
                <w:b/>
                <w:bCs/>
                <w:color w:val="0D0D0D"/>
              </w:rPr>
            </w:pPr>
            <w:r>
              <w:rPr>
                <w:rFonts w:ascii="Calibri" w:eastAsia="Times New Roman" w:hAnsi="Calibri" w:cs="Calibri"/>
                <w:b/>
                <w:bCs/>
                <w:color w:val="0D0D0D"/>
              </w:rPr>
              <w:t>2021</w:t>
            </w:r>
          </w:p>
        </w:tc>
        <w:tc>
          <w:tcPr>
            <w:tcW w:w="927" w:type="dxa"/>
            <w:tcBorders>
              <w:top w:val="nil"/>
              <w:left w:val="nil"/>
              <w:bottom w:val="single" w:sz="12" w:space="0" w:color="00688D"/>
              <w:right w:val="nil"/>
            </w:tcBorders>
            <w:shd w:val="clear" w:color="000000" w:fill="FFFFFF"/>
            <w:noWrap/>
            <w:vAlign w:val="bottom"/>
            <w:hideMark/>
          </w:tcPr>
          <w:p w14:paraId="7E1957C9"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19" w:type="dxa"/>
            <w:tcBorders>
              <w:top w:val="nil"/>
              <w:left w:val="nil"/>
              <w:bottom w:val="single" w:sz="12" w:space="0" w:color="00688D"/>
              <w:right w:val="nil"/>
            </w:tcBorders>
            <w:shd w:val="clear" w:color="auto" w:fill="F2F2F2" w:themeFill="background1" w:themeFillShade="F2"/>
            <w:noWrap/>
            <w:vAlign w:val="bottom"/>
            <w:hideMark/>
          </w:tcPr>
          <w:p w14:paraId="2D49B5E1"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7FD335F3"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00" w:type="dxa"/>
            <w:tcBorders>
              <w:top w:val="nil"/>
              <w:left w:val="nil"/>
              <w:bottom w:val="single" w:sz="12" w:space="0" w:color="00688D"/>
              <w:right w:val="nil"/>
            </w:tcBorders>
            <w:shd w:val="clear" w:color="auto" w:fill="F2F2F2" w:themeFill="background1" w:themeFillShade="F2"/>
            <w:noWrap/>
            <w:vAlign w:val="bottom"/>
            <w:hideMark/>
          </w:tcPr>
          <w:p w14:paraId="64C9BAD7"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00" w:type="dxa"/>
            <w:tcBorders>
              <w:top w:val="nil"/>
              <w:left w:val="nil"/>
              <w:bottom w:val="single" w:sz="12" w:space="0" w:color="00688D"/>
              <w:right w:val="nil"/>
            </w:tcBorders>
            <w:shd w:val="clear" w:color="000000" w:fill="FFFFFF"/>
            <w:noWrap/>
            <w:vAlign w:val="bottom"/>
            <w:hideMark/>
          </w:tcPr>
          <w:p w14:paraId="2A11A4D8"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00" w:type="dxa"/>
            <w:tcBorders>
              <w:top w:val="nil"/>
              <w:left w:val="nil"/>
              <w:bottom w:val="single" w:sz="12" w:space="0" w:color="00688D"/>
              <w:right w:val="nil"/>
            </w:tcBorders>
            <w:shd w:val="clear" w:color="auto" w:fill="F2F2F2" w:themeFill="background1" w:themeFillShade="F2"/>
            <w:noWrap/>
            <w:vAlign w:val="bottom"/>
            <w:hideMark/>
          </w:tcPr>
          <w:p w14:paraId="01EDCB0A" w14:textId="77777777" w:rsidR="00BB2EE3" w:rsidRPr="001B7651" w:rsidRDefault="00BB2EE3" w:rsidP="00BD375F">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BC5F7A" w:rsidRPr="001B7651" w14:paraId="2C75D5B7" w14:textId="77777777" w:rsidTr="00C029A1">
        <w:trPr>
          <w:trHeight w:val="301"/>
          <w:jc w:val="center"/>
        </w:trPr>
        <w:tc>
          <w:tcPr>
            <w:tcW w:w="4680" w:type="dxa"/>
            <w:tcBorders>
              <w:top w:val="nil"/>
              <w:left w:val="nil"/>
              <w:bottom w:val="nil"/>
              <w:right w:val="nil"/>
            </w:tcBorders>
            <w:shd w:val="clear" w:color="000000" w:fill="FFFFFF"/>
            <w:vAlign w:val="center"/>
            <w:hideMark/>
          </w:tcPr>
          <w:p w14:paraId="10A441C4" w14:textId="77777777" w:rsidR="00BC5F7A" w:rsidRPr="001B7651" w:rsidRDefault="00BC5F7A" w:rsidP="00BC5F7A">
            <w:pPr>
              <w:ind w:right="-24"/>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891" w:type="dxa"/>
            <w:tcBorders>
              <w:top w:val="nil"/>
              <w:left w:val="nil"/>
              <w:bottom w:val="nil"/>
              <w:right w:val="nil"/>
            </w:tcBorders>
            <w:shd w:val="clear" w:color="auto" w:fill="F2F2F2" w:themeFill="background1" w:themeFillShade="F2"/>
            <w:vAlign w:val="bottom"/>
          </w:tcPr>
          <w:p w14:paraId="79DAE629" w14:textId="16863387" w:rsidR="00BC5F7A" w:rsidRPr="003959B0" w:rsidRDefault="00792D4D" w:rsidP="00316B2A">
            <w:pPr>
              <w:rPr>
                <w:rFonts w:ascii="Calibri" w:eastAsia="Times New Roman" w:hAnsi="Calibri" w:cs="Calibri"/>
              </w:rPr>
            </w:pPr>
            <w:r>
              <w:t xml:space="preserve"> </w:t>
            </w:r>
            <w:r w:rsidR="00BC5F7A" w:rsidRPr="00C07863">
              <w:t>$</w:t>
            </w:r>
            <w:r w:rsidR="00BC5F7A">
              <w:t xml:space="preserve">          </w:t>
            </w:r>
            <w:r w:rsidR="00BC5F7A" w:rsidRPr="00C07863">
              <w:t xml:space="preserve">- </w:t>
            </w:r>
          </w:p>
        </w:tc>
        <w:tc>
          <w:tcPr>
            <w:tcW w:w="891" w:type="dxa"/>
            <w:tcBorders>
              <w:top w:val="nil"/>
              <w:left w:val="nil"/>
              <w:bottom w:val="nil"/>
              <w:right w:val="nil"/>
            </w:tcBorders>
            <w:shd w:val="clear" w:color="auto" w:fill="auto"/>
            <w:vAlign w:val="bottom"/>
          </w:tcPr>
          <w:p w14:paraId="087BB4B4" w14:textId="7A3C6425" w:rsidR="00BC5F7A" w:rsidRPr="003959B0" w:rsidRDefault="00BC5F7A" w:rsidP="00BC5F7A">
            <w:pPr>
              <w:jc w:val="right"/>
              <w:rPr>
                <w:rFonts w:ascii="Calibri" w:eastAsia="Times New Roman" w:hAnsi="Calibri" w:cs="Calibri"/>
              </w:rPr>
            </w:pPr>
            <w:r w:rsidRPr="003959B0">
              <w:rPr>
                <w:rFonts w:ascii="Calibri" w:eastAsia="Times New Roman" w:hAnsi="Calibri" w:cs="Calibri"/>
              </w:rPr>
              <w:t>$           -</w:t>
            </w:r>
          </w:p>
        </w:tc>
        <w:tc>
          <w:tcPr>
            <w:tcW w:w="891" w:type="dxa"/>
            <w:tcBorders>
              <w:top w:val="nil"/>
              <w:left w:val="nil"/>
              <w:bottom w:val="nil"/>
              <w:right w:val="nil"/>
            </w:tcBorders>
            <w:shd w:val="clear" w:color="auto" w:fill="F2F2F2" w:themeFill="background1" w:themeFillShade="F2"/>
            <w:vAlign w:val="bottom"/>
          </w:tcPr>
          <w:p w14:paraId="0CD00F39" w14:textId="77777777" w:rsidR="00BC5F7A" w:rsidRDefault="00BC5F7A" w:rsidP="00BC5F7A">
            <w:pPr>
              <w:jc w:val="right"/>
              <w:rPr>
                <w:rFonts w:ascii="Calibri" w:eastAsia="Times New Roman" w:hAnsi="Calibri" w:cs="Calibri"/>
                <w:color w:val="0D0D0D"/>
              </w:rPr>
            </w:pPr>
            <w:r>
              <w:rPr>
                <w:rFonts w:ascii="Calibri" w:eastAsia="Times New Roman" w:hAnsi="Calibri" w:cs="Calibri"/>
                <w:color w:val="0D0D0D"/>
              </w:rPr>
              <w:t>$           -</w:t>
            </w:r>
          </w:p>
        </w:tc>
        <w:tc>
          <w:tcPr>
            <w:tcW w:w="927" w:type="dxa"/>
            <w:tcBorders>
              <w:top w:val="nil"/>
              <w:left w:val="nil"/>
              <w:bottom w:val="nil"/>
              <w:right w:val="nil"/>
            </w:tcBorders>
            <w:shd w:val="clear" w:color="000000" w:fill="FFFFFF"/>
            <w:noWrap/>
            <w:vAlign w:val="bottom"/>
            <w:hideMark/>
          </w:tcPr>
          <w:p w14:paraId="24E4A92B" w14:textId="77777777" w:rsidR="00BC5F7A" w:rsidRPr="001B7651" w:rsidRDefault="00BC5F7A" w:rsidP="00BC5F7A">
            <w:pPr>
              <w:jc w:val="right"/>
              <w:rPr>
                <w:rFonts w:ascii="Calibri" w:eastAsia="Times New Roman" w:hAnsi="Calibri" w:cs="Calibri"/>
                <w:color w:val="0D0D0D"/>
              </w:rPr>
            </w:pPr>
            <w:r>
              <w:rPr>
                <w:rFonts w:ascii="Calibri" w:eastAsia="Times New Roman" w:hAnsi="Calibri" w:cs="Calibri"/>
                <w:color w:val="0D0D0D"/>
              </w:rPr>
              <w:t>$           -</w:t>
            </w:r>
          </w:p>
        </w:tc>
        <w:tc>
          <w:tcPr>
            <w:tcW w:w="919" w:type="dxa"/>
            <w:tcBorders>
              <w:top w:val="nil"/>
              <w:left w:val="nil"/>
              <w:bottom w:val="nil"/>
              <w:right w:val="nil"/>
            </w:tcBorders>
            <w:shd w:val="clear" w:color="auto" w:fill="F2F2F2" w:themeFill="background1" w:themeFillShade="F2"/>
            <w:noWrap/>
            <w:vAlign w:val="bottom"/>
            <w:hideMark/>
          </w:tcPr>
          <w:p w14:paraId="733A9795"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29D61B7A"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auto" w:fill="F2F2F2" w:themeFill="background1" w:themeFillShade="F2"/>
            <w:noWrap/>
            <w:vAlign w:val="bottom"/>
            <w:hideMark/>
          </w:tcPr>
          <w:p w14:paraId="15E8E3FA"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227E9A54" w14:textId="77777777" w:rsidR="00BC5F7A" w:rsidRPr="001B7651" w:rsidRDefault="00BC5F7A" w:rsidP="00BC5F7A">
            <w:pPr>
              <w:jc w:val="right"/>
              <w:rPr>
                <w:rFonts w:ascii="Calibri" w:eastAsia="Times New Roman" w:hAnsi="Calibri" w:cs="Calibri"/>
                <w:color w:val="0D0D0D"/>
              </w:rPr>
            </w:pPr>
            <w:r>
              <w:rPr>
                <w:rFonts w:ascii="Calibri" w:eastAsia="Times New Roman" w:hAnsi="Calibri" w:cs="Calibri"/>
                <w:color w:val="0D0D0D"/>
              </w:rPr>
              <w:t>$           -</w:t>
            </w:r>
          </w:p>
        </w:tc>
        <w:tc>
          <w:tcPr>
            <w:tcW w:w="900" w:type="dxa"/>
            <w:tcBorders>
              <w:top w:val="nil"/>
              <w:left w:val="nil"/>
              <w:bottom w:val="nil"/>
              <w:right w:val="nil"/>
            </w:tcBorders>
            <w:shd w:val="clear" w:color="auto" w:fill="F2F2F2" w:themeFill="background1" w:themeFillShade="F2"/>
            <w:noWrap/>
            <w:vAlign w:val="bottom"/>
            <w:hideMark/>
          </w:tcPr>
          <w:p w14:paraId="6DF35E4E"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           -</w:t>
            </w:r>
          </w:p>
        </w:tc>
      </w:tr>
      <w:tr w:rsidR="00BC5F7A" w:rsidRPr="001B7651" w14:paraId="4C588B60" w14:textId="77777777" w:rsidTr="00C029A1">
        <w:trPr>
          <w:trHeight w:val="535"/>
          <w:jc w:val="center"/>
        </w:trPr>
        <w:tc>
          <w:tcPr>
            <w:tcW w:w="4680" w:type="dxa"/>
            <w:tcBorders>
              <w:top w:val="nil"/>
              <w:left w:val="nil"/>
              <w:bottom w:val="nil"/>
              <w:right w:val="nil"/>
            </w:tcBorders>
            <w:shd w:val="clear" w:color="000000" w:fill="FFFFFF"/>
            <w:vAlign w:val="center"/>
            <w:hideMark/>
          </w:tcPr>
          <w:p w14:paraId="3F949F3A" w14:textId="77777777" w:rsidR="00BC5F7A" w:rsidRPr="001B7651" w:rsidRDefault="00BC5F7A" w:rsidP="00BC5F7A">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891" w:type="dxa"/>
            <w:tcBorders>
              <w:top w:val="nil"/>
              <w:left w:val="nil"/>
              <w:bottom w:val="nil"/>
              <w:right w:val="nil"/>
            </w:tcBorders>
            <w:shd w:val="clear" w:color="auto" w:fill="F2F2F2" w:themeFill="background1" w:themeFillShade="F2"/>
            <w:vAlign w:val="bottom"/>
          </w:tcPr>
          <w:p w14:paraId="28D9B2BB" w14:textId="381EB791" w:rsidR="00BC5F7A" w:rsidRPr="003959B0" w:rsidRDefault="00BC5F7A" w:rsidP="00BC5F7A">
            <w:pPr>
              <w:jc w:val="right"/>
              <w:rPr>
                <w:rFonts w:ascii="Calibri" w:eastAsia="Times New Roman" w:hAnsi="Calibri" w:cs="Calibri"/>
              </w:rPr>
            </w:pPr>
            <w:r w:rsidRPr="00C07863">
              <w:t xml:space="preserve"> 2,757 </w:t>
            </w:r>
          </w:p>
        </w:tc>
        <w:tc>
          <w:tcPr>
            <w:tcW w:w="891" w:type="dxa"/>
            <w:tcBorders>
              <w:top w:val="nil"/>
              <w:left w:val="nil"/>
              <w:bottom w:val="nil"/>
              <w:right w:val="nil"/>
            </w:tcBorders>
            <w:shd w:val="clear" w:color="auto" w:fill="auto"/>
            <w:vAlign w:val="bottom"/>
          </w:tcPr>
          <w:p w14:paraId="43AD546E" w14:textId="5DBCA383" w:rsidR="00BC5F7A" w:rsidRPr="003959B0" w:rsidRDefault="00BC5F7A" w:rsidP="00BC5F7A">
            <w:pPr>
              <w:jc w:val="right"/>
              <w:rPr>
                <w:rFonts w:ascii="Calibri" w:eastAsia="Times New Roman" w:hAnsi="Calibri" w:cs="Calibri"/>
              </w:rPr>
            </w:pPr>
            <w:r w:rsidRPr="003959B0">
              <w:rPr>
                <w:rFonts w:ascii="Calibri" w:eastAsia="Times New Roman" w:hAnsi="Calibri" w:cs="Calibri"/>
              </w:rPr>
              <w:t>2,388</w:t>
            </w:r>
          </w:p>
        </w:tc>
        <w:tc>
          <w:tcPr>
            <w:tcW w:w="891" w:type="dxa"/>
            <w:tcBorders>
              <w:top w:val="nil"/>
              <w:left w:val="nil"/>
              <w:bottom w:val="nil"/>
              <w:right w:val="nil"/>
            </w:tcBorders>
            <w:shd w:val="clear" w:color="auto" w:fill="F2F2F2" w:themeFill="background1" w:themeFillShade="F2"/>
            <w:vAlign w:val="bottom"/>
          </w:tcPr>
          <w:p w14:paraId="6B8CCA10"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p>
        </w:tc>
        <w:tc>
          <w:tcPr>
            <w:tcW w:w="927" w:type="dxa"/>
            <w:tcBorders>
              <w:top w:val="nil"/>
              <w:left w:val="nil"/>
              <w:bottom w:val="nil"/>
              <w:right w:val="nil"/>
            </w:tcBorders>
            <w:shd w:val="clear" w:color="000000" w:fill="FFFFFF"/>
            <w:noWrap/>
            <w:vAlign w:val="bottom"/>
            <w:hideMark/>
          </w:tcPr>
          <w:p w14:paraId="1330BA4E"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19" w:type="dxa"/>
            <w:tcBorders>
              <w:top w:val="nil"/>
              <w:left w:val="nil"/>
              <w:bottom w:val="nil"/>
              <w:right w:val="nil"/>
            </w:tcBorders>
            <w:shd w:val="clear" w:color="auto" w:fill="F2F2F2" w:themeFill="background1" w:themeFillShade="F2"/>
            <w:noWrap/>
            <w:vAlign w:val="bottom"/>
            <w:hideMark/>
          </w:tcPr>
          <w:p w14:paraId="4F680ACA"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nil"/>
              <w:right w:val="nil"/>
            </w:tcBorders>
            <w:shd w:val="clear" w:color="000000" w:fill="FFFFFF"/>
            <w:noWrap/>
            <w:vAlign w:val="bottom"/>
            <w:hideMark/>
          </w:tcPr>
          <w:p w14:paraId="6572DA05"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nil"/>
              <w:left w:val="nil"/>
              <w:bottom w:val="nil"/>
              <w:right w:val="nil"/>
            </w:tcBorders>
            <w:shd w:val="clear" w:color="auto" w:fill="F2F2F2" w:themeFill="background1" w:themeFillShade="F2"/>
            <w:noWrap/>
            <w:vAlign w:val="bottom"/>
            <w:hideMark/>
          </w:tcPr>
          <w:p w14:paraId="0222EE93"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nil"/>
              <w:left w:val="nil"/>
              <w:bottom w:val="nil"/>
              <w:right w:val="nil"/>
            </w:tcBorders>
            <w:shd w:val="clear" w:color="000000" w:fill="FFFFFF"/>
            <w:noWrap/>
            <w:vAlign w:val="bottom"/>
            <w:hideMark/>
          </w:tcPr>
          <w:p w14:paraId="11274171"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nil"/>
              <w:left w:val="nil"/>
              <w:bottom w:val="nil"/>
              <w:right w:val="nil"/>
            </w:tcBorders>
            <w:shd w:val="clear" w:color="auto" w:fill="F2F2F2" w:themeFill="background1" w:themeFillShade="F2"/>
            <w:noWrap/>
            <w:vAlign w:val="bottom"/>
            <w:hideMark/>
          </w:tcPr>
          <w:p w14:paraId="2A063CD5"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BC5F7A" w:rsidRPr="001B7651" w14:paraId="2C1EAD66" w14:textId="77777777" w:rsidTr="00C029A1">
        <w:trPr>
          <w:trHeight w:val="301"/>
          <w:jc w:val="center"/>
        </w:trPr>
        <w:tc>
          <w:tcPr>
            <w:tcW w:w="4680" w:type="dxa"/>
            <w:tcBorders>
              <w:top w:val="single" w:sz="4" w:space="0" w:color="00688D"/>
              <w:left w:val="nil"/>
              <w:bottom w:val="double" w:sz="6" w:space="0" w:color="00688D"/>
              <w:right w:val="nil"/>
            </w:tcBorders>
            <w:shd w:val="clear" w:color="000000" w:fill="FFFFFF"/>
            <w:vAlign w:val="bottom"/>
            <w:hideMark/>
          </w:tcPr>
          <w:p w14:paraId="7BE7AD1A" w14:textId="77777777" w:rsidR="00BC5F7A" w:rsidRPr="001B7651" w:rsidRDefault="00BC5F7A" w:rsidP="00BC5F7A">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891" w:type="dxa"/>
            <w:tcBorders>
              <w:top w:val="single" w:sz="4" w:space="0" w:color="00688D"/>
              <w:left w:val="nil"/>
              <w:bottom w:val="double" w:sz="6" w:space="0" w:color="00688D"/>
              <w:right w:val="nil"/>
            </w:tcBorders>
            <w:shd w:val="clear" w:color="auto" w:fill="F2F2F2" w:themeFill="background1" w:themeFillShade="F2"/>
            <w:vAlign w:val="bottom"/>
          </w:tcPr>
          <w:p w14:paraId="20A882CE" w14:textId="3024B2DF" w:rsidR="00BC5F7A" w:rsidRPr="003959B0" w:rsidRDefault="00BC5F7A" w:rsidP="00BC5F7A">
            <w:pPr>
              <w:jc w:val="right"/>
              <w:rPr>
                <w:rFonts w:ascii="Calibri" w:eastAsia="Times New Roman" w:hAnsi="Calibri" w:cs="Calibri"/>
              </w:rPr>
            </w:pPr>
            <w:r w:rsidRPr="00C07863">
              <w:t>$(2,757)</w:t>
            </w:r>
          </w:p>
        </w:tc>
        <w:tc>
          <w:tcPr>
            <w:tcW w:w="891" w:type="dxa"/>
            <w:tcBorders>
              <w:top w:val="single" w:sz="4" w:space="0" w:color="00688D"/>
              <w:left w:val="nil"/>
              <w:bottom w:val="double" w:sz="6" w:space="0" w:color="00688D"/>
              <w:right w:val="nil"/>
            </w:tcBorders>
            <w:shd w:val="clear" w:color="auto" w:fill="auto"/>
            <w:vAlign w:val="bottom"/>
          </w:tcPr>
          <w:p w14:paraId="01E8A660" w14:textId="42AA771E" w:rsidR="00BC5F7A" w:rsidRPr="003959B0" w:rsidRDefault="00BC5F7A" w:rsidP="00BC5F7A">
            <w:pPr>
              <w:jc w:val="right"/>
              <w:rPr>
                <w:rFonts w:ascii="Calibri" w:eastAsia="Times New Roman" w:hAnsi="Calibri" w:cs="Calibri"/>
              </w:rPr>
            </w:pPr>
            <w:r w:rsidRPr="003959B0">
              <w:rPr>
                <w:rFonts w:ascii="Calibri" w:eastAsia="Times New Roman" w:hAnsi="Calibri" w:cs="Calibri"/>
              </w:rPr>
              <w:t>$(2,388)</w:t>
            </w:r>
          </w:p>
        </w:tc>
        <w:tc>
          <w:tcPr>
            <w:tcW w:w="891" w:type="dxa"/>
            <w:tcBorders>
              <w:top w:val="single" w:sz="4" w:space="0" w:color="00688D"/>
              <w:left w:val="nil"/>
              <w:bottom w:val="double" w:sz="6" w:space="0" w:color="00688D"/>
              <w:right w:val="nil"/>
            </w:tcBorders>
            <w:shd w:val="clear" w:color="auto" w:fill="F2F2F2" w:themeFill="background1" w:themeFillShade="F2"/>
            <w:vAlign w:val="bottom"/>
          </w:tcPr>
          <w:p w14:paraId="554361F4"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r w:rsidRPr="001B7651">
              <w:rPr>
                <w:rFonts w:ascii="Calibri" w:eastAsia="Times New Roman" w:hAnsi="Calibri" w:cs="Calibri"/>
                <w:color w:val="0D0D0D"/>
              </w:rPr>
              <w:t>)</w:t>
            </w:r>
          </w:p>
        </w:tc>
        <w:tc>
          <w:tcPr>
            <w:tcW w:w="927" w:type="dxa"/>
            <w:tcBorders>
              <w:top w:val="single" w:sz="4" w:space="0" w:color="00688D"/>
              <w:left w:val="nil"/>
              <w:bottom w:val="double" w:sz="6" w:space="0" w:color="00688D"/>
              <w:right w:val="nil"/>
            </w:tcBorders>
            <w:shd w:val="clear" w:color="000000" w:fill="FFFFFF"/>
            <w:noWrap/>
            <w:vAlign w:val="bottom"/>
            <w:hideMark/>
          </w:tcPr>
          <w:p w14:paraId="1511A683"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19"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612DA40A"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single" w:sz="4" w:space="0" w:color="00688D"/>
              <w:left w:val="nil"/>
              <w:bottom w:val="double" w:sz="6" w:space="0" w:color="00688D"/>
              <w:right w:val="nil"/>
            </w:tcBorders>
            <w:shd w:val="clear" w:color="000000" w:fill="FFFFFF"/>
            <w:noWrap/>
            <w:vAlign w:val="bottom"/>
            <w:hideMark/>
          </w:tcPr>
          <w:p w14:paraId="2EFAF32B"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6C4F82CC"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single" w:sz="4" w:space="0" w:color="00688D"/>
              <w:left w:val="nil"/>
              <w:bottom w:val="double" w:sz="6" w:space="0" w:color="00688D"/>
              <w:right w:val="nil"/>
            </w:tcBorders>
            <w:shd w:val="clear" w:color="000000" w:fill="FFFFFF"/>
            <w:noWrap/>
            <w:vAlign w:val="bottom"/>
            <w:hideMark/>
          </w:tcPr>
          <w:p w14:paraId="4159C592"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2BFD3673"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BC5F7A" w:rsidRPr="001B7651" w14:paraId="7A45257C" w14:textId="77777777" w:rsidTr="00C029A1">
        <w:trPr>
          <w:trHeight w:val="301"/>
          <w:jc w:val="center"/>
        </w:trPr>
        <w:tc>
          <w:tcPr>
            <w:tcW w:w="4680" w:type="dxa"/>
            <w:tcBorders>
              <w:top w:val="nil"/>
              <w:left w:val="nil"/>
              <w:bottom w:val="nil"/>
              <w:right w:val="nil"/>
            </w:tcBorders>
            <w:shd w:val="clear" w:color="000000" w:fill="FFFFFF"/>
            <w:noWrap/>
            <w:vAlign w:val="bottom"/>
            <w:hideMark/>
          </w:tcPr>
          <w:p w14:paraId="2FEEF0CE" w14:textId="77777777" w:rsidR="00BC5F7A" w:rsidRPr="001B7651" w:rsidRDefault="00BC5F7A" w:rsidP="00BC5F7A">
            <w:pPr>
              <w:rPr>
                <w:rFonts w:ascii="Calibri" w:eastAsia="Times New Roman" w:hAnsi="Calibri" w:cs="Calibri"/>
                <w:color w:val="0D0D0D"/>
              </w:rPr>
            </w:pPr>
            <w:r w:rsidRPr="001B7651">
              <w:rPr>
                <w:rFonts w:ascii="Calibri" w:eastAsia="Times New Roman" w:hAnsi="Calibri" w:cs="Calibri"/>
                <w:color w:val="0D0D0D"/>
              </w:rPr>
              <w:t>Covered payroll</w:t>
            </w:r>
          </w:p>
        </w:tc>
        <w:tc>
          <w:tcPr>
            <w:tcW w:w="891" w:type="dxa"/>
            <w:tcBorders>
              <w:top w:val="nil"/>
              <w:left w:val="nil"/>
              <w:bottom w:val="nil"/>
              <w:right w:val="nil"/>
            </w:tcBorders>
            <w:shd w:val="clear" w:color="auto" w:fill="F2F2F2" w:themeFill="background1" w:themeFillShade="F2"/>
          </w:tcPr>
          <w:p w14:paraId="001C99FC" w14:textId="497CDFD3" w:rsidR="00BC5F7A" w:rsidRPr="003959B0" w:rsidRDefault="00BC5F7A" w:rsidP="00BC5F7A">
            <w:pPr>
              <w:jc w:val="right"/>
              <w:rPr>
                <w:rFonts w:ascii="Calibri" w:eastAsia="Times New Roman" w:hAnsi="Calibri" w:cs="Calibri"/>
              </w:rPr>
            </w:pPr>
            <w:r w:rsidRPr="00C07863">
              <w:t xml:space="preserve">$51,931 </w:t>
            </w:r>
          </w:p>
        </w:tc>
        <w:tc>
          <w:tcPr>
            <w:tcW w:w="891" w:type="dxa"/>
            <w:tcBorders>
              <w:top w:val="nil"/>
              <w:left w:val="nil"/>
              <w:bottom w:val="nil"/>
              <w:right w:val="nil"/>
            </w:tcBorders>
            <w:shd w:val="clear" w:color="auto" w:fill="auto"/>
            <w:vAlign w:val="bottom"/>
          </w:tcPr>
          <w:p w14:paraId="7C98E500" w14:textId="7BAEE88E" w:rsidR="00BC5F7A" w:rsidRPr="003959B0" w:rsidRDefault="00BC5F7A" w:rsidP="00BC5F7A">
            <w:pPr>
              <w:jc w:val="right"/>
              <w:rPr>
                <w:rFonts w:ascii="Calibri" w:eastAsia="Times New Roman" w:hAnsi="Calibri" w:cs="Calibri"/>
              </w:rPr>
            </w:pPr>
            <w:r w:rsidRPr="003959B0">
              <w:rPr>
                <w:rFonts w:ascii="Calibri" w:eastAsia="Times New Roman" w:hAnsi="Calibri" w:cs="Calibri"/>
              </w:rPr>
              <w:t>$59,119</w:t>
            </w:r>
          </w:p>
        </w:tc>
        <w:tc>
          <w:tcPr>
            <w:tcW w:w="891" w:type="dxa"/>
            <w:tcBorders>
              <w:top w:val="nil"/>
              <w:left w:val="nil"/>
              <w:bottom w:val="nil"/>
              <w:right w:val="nil"/>
            </w:tcBorders>
            <w:shd w:val="clear" w:color="auto" w:fill="F2F2F2" w:themeFill="background1" w:themeFillShade="F2"/>
            <w:vAlign w:val="bottom"/>
          </w:tcPr>
          <w:p w14:paraId="10962CDC"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$6</w:t>
            </w:r>
            <w:r>
              <w:rPr>
                <w:rFonts w:ascii="Calibri" w:eastAsia="Times New Roman" w:hAnsi="Calibri" w:cs="Calibri"/>
                <w:color w:val="0D0D0D"/>
              </w:rPr>
              <w:t>2</w:t>
            </w:r>
            <w:r w:rsidRPr="001B7651">
              <w:rPr>
                <w:rFonts w:ascii="Calibri" w:eastAsia="Times New Roman" w:hAnsi="Calibri" w:cs="Calibri"/>
                <w:color w:val="0D0D0D"/>
              </w:rPr>
              <w:t>,</w:t>
            </w:r>
            <w:r>
              <w:rPr>
                <w:rFonts w:ascii="Calibri" w:eastAsia="Times New Roman" w:hAnsi="Calibri" w:cs="Calibri"/>
                <w:color w:val="0D0D0D"/>
              </w:rPr>
              <w:t>646</w:t>
            </w:r>
          </w:p>
        </w:tc>
        <w:tc>
          <w:tcPr>
            <w:tcW w:w="927" w:type="dxa"/>
            <w:tcBorders>
              <w:top w:val="nil"/>
              <w:left w:val="nil"/>
              <w:bottom w:val="nil"/>
              <w:right w:val="nil"/>
            </w:tcBorders>
            <w:shd w:val="clear" w:color="000000" w:fill="FFFFFF"/>
            <w:noWrap/>
            <w:vAlign w:val="bottom"/>
            <w:hideMark/>
          </w:tcPr>
          <w:p w14:paraId="6C43B123"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919" w:type="dxa"/>
            <w:tcBorders>
              <w:top w:val="nil"/>
              <w:left w:val="nil"/>
              <w:bottom w:val="nil"/>
              <w:right w:val="nil"/>
            </w:tcBorders>
            <w:shd w:val="clear" w:color="auto" w:fill="F2F2F2" w:themeFill="background1" w:themeFillShade="F2"/>
            <w:noWrap/>
            <w:vAlign w:val="bottom"/>
            <w:hideMark/>
          </w:tcPr>
          <w:p w14:paraId="7BEF74E9"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2C650FBF"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900" w:type="dxa"/>
            <w:tcBorders>
              <w:top w:val="nil"/>
              <w:left w:val="nil"/>
              <w:bottom w:val="nil"/>
              <w:right w:val="nil"/>
            </w:tcBorders>
            <w:shd w:val="clear" w:color="auto" w:fill="F2F2F2" w:themeFill="background1" w:themeFillShade="F2"/>
            <w:noWrap/>
            <w:vAlign w:val="bottom"/>
            <w:hideMark/>
          </w:tcPr>
          <w:p w14:paraId="3C19EB07"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900" w:type="dxa"/>
            <w:tcBorders>
              <w:top w:val="nil"/>
              <w:left w:val="nil"/>
              <w:bottom w:val="nil"/>
              <w:right w:val="nil"/>
            </w:tcBorders>
            <w:shd w:val="clear" w:color="000000" w:fill="FFFFFF"/>
            <w:noWrap/>
            <w:vAlign w:val="bottom"/>
            <w:hideMark/>
          </w:tcPr>
          <w:p w14:paraId="495A40D0"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900" w:type="dxa"/>
            <w:tcBorders>
              <w:top w:val="nil"/>
              <w:left w:val="nil"/>
              <w:bottom w:val="nil"/>
              <w:right w:val="nil"/>
            </w:tcBorders>
            <w:shd w:val="clear" w:color="auto" w:fill="F2F2F2" w:themeFill="background1" w:themeFillShade="F2"/>
            <w:noWrap/>
            <w:vAlign w:val="bottom"/>
            <w:hideMark/>
          </w:tcPr>
          <w:p w14:paraId="26753A2A" w14:textId="77777777" w:rsidR="00BC5F7A" w:rsidRPr="001B7651" w:rsidRDefault="00BC5F7A" w:rsidP="00BC5F7A">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BB2EE3" w:rsidRPr="001B7651" w14:paraId="44F2A43A" w14:textId="77777777" w:rsidTr="00C029A1">
        <w:trPr>
          <w:trHeight w:val="289"/>
          <w:jc w:val="center"/>
        </w:trPr>
        <w:tc>
          <w:tcPr>
            <w:tcW w:w="4680" w:type="dxa"/>
            <w:tcBorders>
              <w:top w:val="nil"/>
              <w:left w:val="nil"/>
              <w:bottom w:val="single" w:sz="4" w:space="0" w:color="00688D"/>
              <w:right w:val="nil"/>
            </w:tcBorders>
            <w:shd w:val="clear" w:color="000000" w:fill="FFFFFF"/>
            <w:vAlign w:val="center"/>
            <w:hideMark/>
          </w:tcPr>
          <w:p w14:paraId="49BC0A25" w14:textId="77777777" w:rsidR="00BB2EE3" w:rsidRPr="001B7651" w:rsidRDefault="00BB2EE3" w:rsidP="00BD375F">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891" w:type="dxa"/>
            <w:tcBorders>
              <w:top w:val="nil"/>
              <w:left w:val="nil"/>
              <w:bottom w:val="single" w:sz="4" w:space="0" w:color="00688D"/>
              <w:right w:val="nil"/>
            </w:tcBorders>
            <w:shd w:val="clear" w:color="auto" w:fill="F2F2F2" w:themeFill="background1" w:themeFillShade="F2"/>
          </w:tcPr>
          <w:p w14:paraId="518AB57A" w14:textId="4DA8E123" w:rsidR="00BB2EE3" w:rsidRPr="003959B0" w:rsidRDefault="00DF323B" w:rsidP="00BD375F">
            <w:pPr>
              <w:jc w:val="right"/>
              <w:rPr>
                <w:rFonts w:ascii="Calibri" w:eastAsia="Times New Roman" w:hAnsi="Calibri" w:cs="Calibri"/>
              </w:rPr>
            </w:pPr>
            <w:r w:rsidRPr="00DF323B">
              <w:rPr>
                <w:rFonts w:ascii="Calibri" w:eastAsia="Times New Roman" w:hAnsi="Calibri" w:cs="Calibri"/>
              </w:rPr>
              <w:t>5.31%</w:t>
            </w:r>
          </w:p>
        </w:tc>
        <w:tc>
          <w:tcPr>
            <w:tcW w:w="891" w:type="dxa"/>
            <w:tcBorders>
              <w:top w:val="nil"/>
              <w:left w:val="nil"/>
              <w:bottom w:val="single" w:sz="4" w:space="0" w:color="00688D"/>
              <w:right w:val="nil"/>
            </w:tcBorders>
            <w:shd w:val="clear" w:color="auto" w:fill="auto"/>
            <w:vAlign w:val="bottom"/>
          </w:tcPr>
          <w:p w14:paraId="4DDE1045" w14:textId="644BF88A" w:rsidR="00BB2EE3" w:rsidRPr="003959B0" w:rsidRDefault="00BB2EE3" w:rsidP="00BD375F">
            <w:pPr>
              <w:jc w:val="right"/>
              <w:rPr>
                <w:rFonts w:ascii="Calibri" w:eastAsia="Times New Roman" w:hAnsi="Calibri" w:cs="Calibri"/>
              </w:rPr>
            </w:pPr>
            <w:r w:rsidRPr="003959B0">
              <w:rPr>
                <w:rFonts w:ascii="Calibri" w:eastAsia="Times New Roman" w:hAnsi="Calibri" w:cs="Calibri"/>
              </w:rPr>
              <w:t>4.04%</w:t>
            </w:r>
          </w:p>
        </w:tc>
        <w:tc>
          <w:tcPr>
            <w:tcW w:w="891" w:type="dxa"/>
            <w:tcBorders>
              <w:top w:val="nil"/>
              <w:left w:val="nil"/>
              <w:bottom w:val="single" w:sz="4" w:space="0" w:color="00688D"/>
              <w:right w:val="nil"/>
            </w:tcBorders>
            <w:shd w:val="clear" w:color="auto" w:fill="F2F2F2" w:themeFill="background1" w:themeFillShade="F2"/>
            <w:vAlign w:val="bottom"/>
          </w:tcPr>
          <w:p w14:paraId="5B23174F"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3.</w:t>
            </w:r>
            <w:r>
              <w:rPr>
                <w:rFonts w:ascii="Calibri" w:eastAsia="Times New Roman" w:hAnsi="Calibri" w:cs="Calibri"/>
                <w:color w:val="0D0D0D"/>
              </w:rPr>
              <w:t>51</w:t>
            </w:r>
            <w:r w:rsidRPr="001B7651">
              <w:rPr>
                <w:rFonts w:ascii="Calibri" w:eastAsia="Times New Roman" w:hAnsi="Calibri" w:cs="Calibri"/>
                <w:color w:val="0D0D0D"/>
              </w:rPr>
              <w:t>%</w:t>
            </w:r>
          </w:p>
        </w:tc>
        <w:tc>
          <w:tcPr>
            <w:tcW w:w="927" w:type="dxa"/>
            <w:tcBorders>
              <w:top w:val="nil"/>
              <w:left w:val="nil"/>
              <w:bottom w:val="single" w:sz="4" w:space="0" w:color="00688D"/>
              <w:right w:val="nil"/>
            </w:tcBorders>
            <w:shd w:val="clear" w:color="000000" w:fill="FFFFFF"/>
            <w:noWrap/>
            <w:vAlign w:val="bottom"/>
            <w:hideMark/>
          </w:tcPr>
          <w:p w14:paraId="6C420F48"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3.18%</w:t>
            </w:r>
          </w:p>
        </w:tc>
        <w:tc>
          <w:tcPr>
            <w:tcW w:w="919" w:type="dxa"/>
            <w:tcBorders>
              <w:top w:val="nil"/>
              <w:left w:val="nil"/>
              <w:bottom w:val="single" w:sz="4" w:space="0" w:color="00688D"/>
              <w:right w:val="nil"/>
            </w:tcBorders>
            <w:shd w:val="clear" w:color="auto" w:fill="F2F2F2" w:themeFill="background1" w:themeFillShade="F2"/>
            <w:noWrap/>
            <w:vAlign w:val="bottom"/>
            <w:hideMark/>
          </w:tcPr>
          <w:p w14:paraId="3D513857"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3.17%</w:t>
            </w:r>
          </w:p>
        </w:tc>
        <w:tc>
          <w:tcPr>
            <w:tcW w:w="900" w:type="dxa"/>
            <w:tcBorders>
              <w:top w:val="nil"/>
              <w:left w:val="nil"/>
              <w:bottom w:val="single" w:sz="4" w:space="0" w:color="00688D"/>
              <w:right w:val="nil"/>
            </w:tcBorders>
            <w:shd w:val="clear" w:color="000000" w:fill="FFFFFF"/>
            <w:noWrap/>
            <w:vAlign w:val="bottom"/>
            <w:hideMark/>
          </w:tcPr>
          <w:p w14:paraId="6FEB2CC2"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2.72%</w:t>
            </w:r>
          </w:p>
        </w:tc>
        <w:tc>
          <w:tcPr>
            <w:tcW w:w="900" w:type="dxa"/>
            <w:tcBorders>
              <w:top w:val="nil"/>
              <w:left w:val="nil"/>
              <w:bottom w:val="single" w:sz="4" w:space="0" w:color="00688D"/>
              <w:right w:val="nil"/>
            </w:tcBorders>
            <w:shd w:val="clear" w:color="auto" w:fill="F2F2F2" w:themeFill="background1" w:themeFillShade="F2"/>
            <w:noWrap/>
            <w:vAlign w:val="bottom"/>
            <w:hideMark/>
          </w:tcPr>
          <w:p w14:paraId="2C20EF6F"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2.68%</w:t>
            </w:r>
          </w:p>
        </w:tc>
        <w:tc>
          <w:tcPr>
            <w:tcW w:w="900" w:type="dxa"/>
            <w:tcBorders>
              <w:top w:val="nil"/>
              <w:left w:val="nil"/>
              <w:bottom w:val="single" w:sz="4" w:space="0" w:color="00688D"/>
              <w:right w:val="nil"/>
            </w:tcBorders>
            <w:shd w:val="clear" w:color="000000" w:fill="FFFFFF"/>
            <w:noWrap/>
            <w:vAlign w:val="bottom"/>
            <w:hideMark/>
          </w:tcPr>
          <w:p w14:paraId="068E50F7"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5.50%</w:t>
            </w:r>
          </w:p>
        </w:tc>
        <w:tc>
          <w:tcPr>
            <w:tcW w:w="900" w:type="dxa"/>
            <w:tcBorders>
              <w:top w:val="nil"/>
              <w:left w:val="nil"/>
              <w:bottom w:val="single" w:sz="4" w:space="0" w:color="00688D"/>
              <w:right w:val="nil"/>
            </w:tcBorders>
            <w:shd w:val="clear" w:color="auto" w:fill="F2F2F2" w:themeFill="background1" w:themeFillShade="F2"/>
            <w:noWrap/>
            <w:vAlign w:val="bottom"/>
            <w:hideMark/>
          </w:tcPr>
          <w:p w14:paraId="1CC4CCD4" w14:textId="77777777" w:rsidR="00BB2EE3" w:rsidRPr="001B7651" w:rsidRDefault="00BB2EE3" w:rsidP="00BD375F">
            <w:pPr>
              <w:jc w:val="right"/>
              <w:rPr>
                <w:rFonts w:ascii="Calibri" w:eastAsia="Times New Roman" w:hAnsi="Calibri" w:cs="Calibri"/>
                <w:color w:val="0D0D0D"/>
              </w:rPr>
            </w:pPr>
            <w:r w:rsidRPr="001B7651">
              <w:rPr>
                <w:rFonts w:ascii="Calibri" w:eastAsia="Times New Roman" w:hAnsi="Calibri" w:cs="Calibri"/>
                <w:color w:val="0D0D0D"/>
              </w:rPr>
              <w:t>3.37%</w:t>
            </w:r>
          </w:p>
        </w:tc>
      </w:tr>
    </w:tbl>
    <w:p w14:paraId="2B931C4A" w14:textId="77777777" w:rsidR="00DD1612" w:rsidRPr="00877A9B" w:rsidRDefault="00DD1612" w:rsidP="00DD1612">
      <w:pPr>
        <w:rPr>
          <w:rFonts w:eastAsia="Franklin Gothic Book" w:cstheme="minorHAnsi"/>
          <w:b/>
          <w:sz w:val="2"/>
          <w:szCs w:val="28"/>
        </w:rPr>
        <w:sectPr w:rsidR="00DD1612" w:rsidRPr="00877A9B" w:rsidSect="00BD375F">
          <w:headerReference w:type="default" r:id="rId83"/>
          <w:headerReference w:type="first" r:id="rId84"/>
          <w:footerReference w:type="first" r:id="rId85"/>
          <w:pgSz w:w="15840" w:h="12240" w:orient="landscape" w:code="1"/>
          <w:pgMar w:top="1440" w:right="1440" w:bottom="1440" w:left="1440" w:header="720" w:footer="720" w:gutter="0"/>
          <w:cols w:space="0"/>
          <w:titlePg/>
          <w:docGrid w:linePitch="360"/>
        </w:sectPr>
      </w:pPr>
    </w:p>
    <w:p w14:paraId="45B106D8" w14:textId="77777777" w:rsidR="00DD1612" w:rsidRPr="0023665A" w:rsidRDefault="00DD1612" w:rsidP="00DD1612">
      <w:pPr>
        <w:pStyle w:val="AFR4"/>
        <w:spacing w:after="240"/>
        <w:rPr>
          <w:rFonts w:eastAsiaTheme="majorEastAsia" w:cstheme="minorHAnsi"/>
          <w:sz w:val="26"/>
          <w:szCs w:val="26"/>
        </w:rPr>
      </w:pPr>
      <w:r w:rsidRPr="0023665A">
        <w:rPr>
          <w:rFonts w:eastAsiaTheme="majorEastAsia" w:cstheme="minorHAnsi"/>
          <w:i/>
          <w:iCs/>
          <w:smallCaps/>
          <w:noProof/>
          <w:color w:val="000000" w:themeColor="text1"/>
          <w:sz w:val="26"/>
          <w:szCs w:val="26"/>
          <w:u w:val="none" w:color="5B9BD5"/>
        </w:rPr>
        <w:lastRenderedPageBreak/>
        <w:t>Incentive Retirement Plan – continued:</w:t>
      </w:r>
    </w:p>
    <w:p w14:paraId="33605CA5" w14:textId="77777777" w:rsidR="00DD1612" w:rsidRDefault="00DD1612" w:rsidP="00DD1612">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12CEE70F" w14:textId="77777777" w:rsidR="00DD1612" w:rsidRDefault="00DD1612" w:rsidP="00DD1612">
      <w:pPr>
        <w:rPr>
          <w:rFonts w:cstheme="minorHAnsi"/>
          <w:sz w:val="24"/>
          <w:szCs w:val="24"/>
        </w:rPr>
      </w:pPr>
      <w:r w:rsidRPr="00BC1813">
        <w:rPr>
          <w:rFonts w:cstheme="minorHAnsi"/>
          <w:i/>
          <w:sz w:val="24"/>
          <w:szCs w:val="24"/>
        </w:rPr>
        <w:t>Changes of benefit terms:</w:t>
      </w:r>
      <w:r w:rsidRPr="00BC1813">
        <w:rPr>
          <w:rFonts w:cstheme="minorHAnsi"/>
          <w:sz w:val="24"/>
          <w:szCs w:val="24"/>
        </w:rPr>
        <w:t xml:space="preserve"> None</w:t>
      </w:r>
      <w:r>
        <w:rPr>
          <w:rFonts w:cstheme="minorHAnsi"/>
          <w:sz w:val="24"/>
          <w:szCs w:val="24"/>
        </w:rPr>
        <w:t>.</w:t>
      </w:r>
    </w:p>
    <w:p w14:paraId="2682D802" w14:textId="77777777" w:rsidR="00DD1612" w:rsidRDefault="00DD1612" w:rsidP="00DD1612">
      <w:pPr>
        <w:rPr>
          <w:rFonts w:cstheme="minorHAnsi"/>
          <w:sz w:val="24"/>
          <w:szCs w:val="24"/>
        </w:rPr>
      </w:pPr>
    </w:p>
    <w:p w14:paraId="04A588FD" w14:textId="77777777" w:rsidR="00DD1612" w:rsidRPr="009877EB" w:rsidRDefault="00DD1612" w:rsidP="00DD1612">
      <w:pPr>
        <w:rPr>
          <w:rFonts w:cstheme="minorHAnsi"/>
          <w:i/>
          <w:sz w:val="24"/>
          <w:szCs w:val="24"/>
        </w:rPr>
      </w:pPr>
      <w:r w:rsidRPr="009877EB">
        <w:rPr>
          <w:rFonts w:cstheme="minorHAnsi"/>
          <w:i/>
          <w:sz w:val="24"/>
          <w:szCs w:val="24"/>
        </w:rPr>
        <w:t>Changes of assumptions and other inputs:</w:t>
      </w:r>
    </w:p>
    <w:p w14:paraId="5D851798" w14:textId="77777777" w:rsidR="00DD1612" w:rsidRPr="009877EB" w:rsidRDefault="00DD1612" w:rsidP="00DD1612">
      <w:pPr>
        <w:rPr>
          <w:rFonts w:cstheme="minorHAnsi"/>
          <w:sz w:val="12"/>
          <w:szCs w:val="24"/>
        </w:rPr>
      </w:pPr>
    </w:p>
    <w:p w14:paraId="5CBC1D75" w14:textId="7F95C3AE" w:rsidR="00607B27" w:rsidRDefault="00607B27" w:rsidP="00DD1612">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202</w:t>
      </w:r>
      <w:r>
        <w:rPr>
          <w:rFonts w:eastAsia="Franklin Gothic Book" w:cstheme="minorHAnsi"/>
          <w:spacing w:val="-1"/>
          <w:sz w:val="24"/>
          <w:szCs w:val="24"/>
        </w:rPr>
        <w:t>3</w:t>
      </w:r>
      <w:r w:rsidRPr="009877EB">
        <w:rPr>
          <w:rFonts w:eastAsia="Franklin Gothic Book" w:cstheme="minorHAnsi"/>
          <w:spacing w:val="-1"/>
          <w:sz w:val="24"/>
          <w:szCs w:val="24"/>
        </w:rPr>
        <w:t>:</w:t>
      </w:r>
      <w:r w:rsidRPr="009877EB">
        <w:rPr>
          <w:rFonts w:eastAsia="Franklin Gothic Book" w:cstheme="minorHAnsi"/>
          <w:spacing w:val="-1"/>
          <w:sz w:val="24"/>
          <w:szCs w:val="24"/>
        </w:rPr>
        <w:tab/>
      </w:r>
      <w:r w:rsidRPr="003959B0">
        <w:rPr>
          <w:rFonts w:eastAsia="Franklin Gothic Book" w:cstheme="minorHAnsi"/>
          <w:spacing w:val="-1"/>
          <w:sz w:val="24"/>
          <w:szCs w:val="24"/>
        </w:rPr>
        <w:t xml:space="preserve">The discount rate changed from </w:t>
      </w:r>
      <w:r>
        <w:rPr>
          <w:rFonts w:eastAsia="Franklin Gothic Book" w:cstheme="minorHAnsi"/>
          <w:spacing w:val="-1"/>
          <w:sz w:val="24"/>
          <w:szCs w:val="24"/>
        </w:rPr>
        <w:t>3.54</w:t>
      </w:r>
      <w:r w:rsidRPr="003959B0">
        <w:rPr>
          <w:rFonts w:eastAsia="Franklin Gothic Book" w:cstheme="minorHAnsi"/>
          <w:spacing w:val="-1"/>
          <w:sz w:val="24"/>
          <w:szCs w:val="24"/>
        </w:rPr>
        <w:t>% as of the beginning of the measurement period to 3.</w:t>
      </w:r>
      <w:r>
        <w:rPr>
          <w:rFonts w:eastAsia="Franklin Gothic Book" w:cstheme="minorHAnsi"/>
          <w:spacing w:val="-1"/>
          <w:sz w:val="24"/>
          <w:szCs w:val="24"/>
        </w:rPr>
        <w:t>65</w:t>
      </w:r>
      <w:r w:rsidRPr="003959B0">
        <w:rPr>
          <w:rFonts w:eastAsia="Franklin Gothic Book" w:cstheme="minorHAnsi"/>
          <w:spacing w:val="-1"/>
          <w:sz w:val="24"/>
          <w:szCs w:val="24"/>
        </w:rPr>
        <w:t>% as of the end of the measurement period.</w:t>
      </w:r>
      <w:r>
        <w:rPr>
          <w:rFonts w:eastAsia="Franklin Gothic Book" w:cstheme="minorHAnsi"/>
          <w:spacing w:val="-1"/>
          <w:sz w:val="24"/>
          <w:szCs w:val="24"/>
        </w:rPr>
        <w:t xml:space="preserve"> The </w:t>
      </w:r>
      <w:r w:rsidR="00E63A62">
        <w:rPr>
          <w:rFonts w:eastAsia="Franklin Gothic Book" w:cstheme="minorHAnsi"/>
          <w:spacing w:val="-1"/>
          <w:sz w:val="24"/>
          <w:szCs w:val="24"/>
        </w:rPr>
        <w:t>mortality</w:t>
      </w:r>
      <w:r>
        <w:rPr>
          <w:rFonts w:eastAsia="Franklin Gothic Book" w:cstheme="minorHAnsi"/>
          <w:spacing w:val="-1"/>
          <w:sz w:val="24"/>
          <w:szCs w:val="24"/>
        </w:rPr>
        <w:t xml:space="preserve"> improvement table was updated from MP-2020 to MP-2021.</w:t>
      </w:r>
    </w:p>
    <w:p w14:paraId="55E6F936" w14:textId="41F7DBE8" w:rsidR="00DD1612" w:rsidRPr="009877EB" w:rsidRDefault="00DD1612" w:rsidP="00DD1612">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2022:</w:t>
      </w:r>
      <w:r w:rsidRPr="009877EB">
        <w:rPr>
          <w:rFonts w:eastAsia="Franklin Gothic Book" w:cstheme="minorHAnsi"/>
          <w:spacing w:val="-1"/>
          <w:sz w:val="24"/>
          <w:szCs w:val="24"/>
        </w:rPr>
        <w:tab/>
      </w:r>
      <w:r w:rsidRPr="003959B0">
        <w:rPr>
          <w:rFonts w:eastAsia="Franklin Gothic Book" w:cstheme="minorHAnsi"/>
          <w:spacing w:val="-1"/>
          <w:sz w:val="24"/>
          <w:szCs w:val="24"/>
        </w:rPr>
        <w:t>The discount rate changed from 2.16% as of the beginning of the measurement period to 3.54% as of the end of the measurement period.</w:t>
      </w:r>
    </w:p>
    <w:p w14:paraId="18F3620A" w14:textId="77777777" w:rsidR="00DD1612" w:rsidRPr="009877EB" w:rsidRDefault="00DD1612" w:rsidP="00DD1612">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2021:</w:t>
      </w:r>
      <w:r w:rsidRPr="009877EB">
        <w:rPr>
          <w:rFonts w:eastAsia="Franklin Gothic Book" w:cstheme="minorHAnsi"/>
          <w:spacing w:val="-1"/>
          <w:sz w:val="24"/>
          <w:szCs w:val="24"/>
        </w:rPr>
        <w:tab/>
        <w:t>The discount rate changed from 2.21% as of the beginning of the measurement period to 2.16% as of the end of the measurement period. In addition, th</w:t>
      </w:r>
      <w:r w:rsidRPr="009877EB">
        <w:rPr>
          <w:rFonts w:cstheme="minorHAnsi"/>
          <w:sz w:val="24"/>
          <w:szCs w:val="24"/>
        </w:rPr>
        <w:t>e mortality tables were updated to the Pub-2010 mortality tables with mortality improvement scale MP-2020.</w:t>
      </w:r>
    </w:p>
    <w:p w14:paraId="4C04CFCE" w14:textId="77777777" w:rsidR="00DD1612" w:rsidRPr="009877EB" w:rsidRDefault="00DD1612" w:rsidP="00DD1612">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 xml:space="preserve">2020: </w:t>
      </w:r>
      <w:r w:rsidRPr="009877EB">
        <w:rPr>
          <w:rFonts w:eastAsia="Franklin Gothic Book" w:cstheme="minorHAnsi"/>
          <w:spacing w:val="-1"/>
          <w:sz w:val="24"/>
          <w:szCs w:val="24"/>
        </w:rPr>
        <w:tab/>
        <w:t>The discount rate changed from 3.5% as of the beginning of the measurement period to 2.21% as of the end of the measurement period.</w:t>
      </w:r>
    </w:p>
    <w:p w14:paraId="6FA4F82F" w14:textId="77777777" w:rsidR="00DD1612" w:rsidRPr="009877EB" w:rsidRDefault="00DD1612" w:rsidP="00DD1612">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 xml:space="preserve">2019: </w:t>
      </w:r>
      <w:r w:rsidRPr="009877EB">
        <w:rPr>
          <w:rFonts w:eastAsia="Franklin Gothic Book" w:cstheme="minorHAnsi"/>
          <w:spacing w:val="-1"/>
          <w:sz w:val="24"/>
          <w:szCs w:val="24"/>
        </w:rPr>
        <w:tab/>
        <w:t>The discount rate changed from 3.87% as of the beginning of the measurement period to 3.5% as of the end of the measurement period.</w:t>
      </w:r>
    </w:p>
    <w:p w14:paraId="26D227ED" w14:textId="77777777" w:rsidR="00DD1612" w:rsidRPr="009877EB" w:rsidRDefault="00DD1612" w:rsidP="00DD1612">
      <w:pPr>
        <w:widowControl w:val="0"/>
        <w:tabs>
          <w:tab w:val="left" w:pos="810"/>
        </w:tabs>
        <w:ind w:left="720" w:hanging="720"/>
        <w:rPr>
          <w:rFonts w:eastAsia="Franklin Gothic Book" w:cstheme="minorHAnsi"/>
          <w:sz w:val="24"/>
          <w:szCs w:val="24"/>
        </w:rPr>
      </w:pPr>
      <w:r w:rsidRPr="009877EB">
        <w:rPr>
          <w:rFonts w:eastAsia="Franklin Gothic Book" w:cstheme="minorHAnsi"/>
          <w:spacing w:val="-1"/>
          <w:sz w:val="24"/>
          <w:szCs w:val="24"/>
        </w:rPr>
        <w:t xml:space="preserve">2018: </w:t>
      </w:r>
      <w:r w:rsidRPr="009877EB">
        <w:rPr>
          <w:rFonts w:eastAsia="Franklin Gothic Book" w:cstheme="minorHAnsi"/>
          <w:spacing w:val="-1"/>
          <w:sz w:val="24"/>
          <w:szCs w:val="24"/>
        </w:rPr>
        <w:tab/>
        <w:t>T</w:t>
      </w:r>
      <w:r w:rsidRPr="009877EB">
        <w:rPr>
          <w:rFonts w:eastAsia="Franklin Gothic Book" w:cstheme="minorHAnsi"/>
          <w:sz w:val="24"/>
          <w:szCs w:val="24"/>
        </w:rPr>
        <w:t>he</w:t>
      </w:r>
      <w:r w:rsidRPr="009877EB">
        <w:rPr>
          <w:rFonts w:eastAsia="Franklin Gothic Book" w:cstheme="minorHAnsi"/>
          <w:spacing w:val="9"/>
          <w:sz w:val="24"/>
          <w:szCs w:val="24"/>
        </w:rPr>
        <w:t xml:space="preserve"> </w:t>
      </w:r>
      <w:r w:rsidRPr="009877EB">
        <w:rPr>
          <w:rFonts w:eastAsia="Franklin Gothic Book" w:cstheme="minorHAnsi"/>
          <w:sz w:val="24"/>
          <w:szCs w:val="24"/>
        </w:rPr>
        <w:t>discount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r</w:t>
      </w:r>
      <w:r w:rsidRPr="009877EB">
        <w:rPr>
          <w:rFonts w:eastAsia="Franklin Gothic Book" w:cstheme="minorHAnsi"/>
          <w:sz w:val="24"/>
          <w:szCs w:val="24"/>
        </w:rPr>
        <w:t>a</w:t>
      </w:r>
      <w:r w:rsidRPr="009877EB">
        <w:rPr>
          <w:rFonts w:eastAsia="Franklin Gothic Book" w:cstheme="minorHAnsi"/>
          <w:spacing w:val="1"/>
          <w:sz w:val="24"/>
          <w:szCs w:val="24"/>
        </w:rPr>
        <w:t>t</w:t>
      </w:r>
      <w:r w:rsidRPr="009877EB">
        <w:rPr>
          <w:rFonts w:eastAsia="Franklin Gothic Book" w:cstheme="minorHAnsi"/>
          <w:sz w:val="24"/>
          <w:szCs w:val="24"/>
        </w:rPr>
        <w:t>e</w:t>
      </w:r>
      <w:r w:rsidRPr="009877EB">
        <w:rPr>
          <w:rFonts w:eastAsia="Franklin Gothic Book" w:cstheme="minorHAnsi"/>
          <w:spacing w:val="9"/>
          <w:sz w:val="24"/>
          <w:szCs w:val="24"/>
        </w:rPr>
        <w:t xml:space="preserve"> </w:t>
      </w:r>
      <w:r w:rsidRPr="009877EB">
        <w:rPr>
          <w:rFonts w:eastAsia="Franklin Gothic Book" w:cstheme="minorHAnsi"/>
          <w:sz w:val="24"/>
          <w:szCs w:val="24"/>
        </w:rPr>
        <w:t>changed</w:t>
      </w:r>
      <w:r w:rsidRPr="009877EB">
        <w:rPr>
          <w:rFonts w:eastAsia="Franklin Gothic Book" w:cstheme="minorHAnsi"/>
          <w:spacing w:val="11"/>
          <w:sz w:val="24"/>
          <w:szCs w:val="24"/>
        </w:rPr>
        <w:t xml:space="preserve"> </w:t>
      </w:r>
      <w:r w:rsidRPr="009877EB">
        <w:rPr>
          <w:rFonts w:eastAsia="Franklin Gothic Book" w:cstheme="minorHAnsi"/>
          <w:sz w:val="24"/>
          <w:szCs w:val="24"/>
        </w:rPr>
        <w:t>f</w:t>
      </w:r>
      <w:r w:rsidRPr="009877EB">
        <w:rPr>
          <w:rFonts w:eastAsia="Franklin Gothic Book" w:cstheme="minorHAnsi"/>
          <w:spacing w:val="-1"/>
          <w:sz w:val="24"/>
          <w:szCs w:val="24"/>
        </w:rPr>
        <w:t>r</w:t>
      </w:r>
      <w:r w:rsidRPr="009877EB">
        <w:rPr>
          <w:rFonts w:eastAsia="Franklin Gothic Book" w:cstheme="minorHAnsi"/>
          <w:sz w:val="24"/>
          <w:szCs w:val="24"/>
        </w:rPr>
        <w:t>om</w:t>
      </w:r>
      <w:r w:rsidRPr="009877EB">
        <w:rPr>
          <w:rFonts w:eastAsia="Franklin Gothic Book" w:cstheme="minorHAnsi"/>
          <w:spacing w:val="11"/>
          <w:sz w:val="24"/>
          <w:szCs w:val="24"/>
        </w:rPr>
        <w:t xml:space="preserve"> </w:t>
      </w:r>
      <w:r w:rsidRPr="009877EB">
        <w:rPr>
          <w:rFonts w:eastAsia="Franklin Gothic Book" w:cstheme="minorHAnsi"/>
          <w:sz w:val="24"/>
          <w:szCs w:val="24"/>
        </w:rPr>
        <w:t>3.58%</w:t>
      </w:r>
      <w:r w:rsidRPr="009877EB">
        <w:rPr>
          <w:rFonts w:eastAsia="Franklin Gothic Book" w:cstheme="minorHAnsi"/>
          <w:spacing w:val="12"/>
          <w:sz w:val="24"/>
          <w:szCs w:val="24"/>
        </w:rPr>
        <w:t xml:space="preserve"> </w:t>
      </w:r>
      <w:r w:rsidRPr="009877EB">
        <w:rPr>
          <w:rFonts w:eastAsia="Franklin Gothic Book" w:cstheme="minorHAnsi"/>
          <w:sz w:val="24"/>
          <w:szCs w:val="24"/>
        </w:rPr>
        <w:t>as</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1"/>
          <w:sz w:val="24"/>
          <w:szCs w:val="24"/>
        </w:rPr>
        <w:t xml:space="preserve"> </w:t>
      </w:r>
      <w:r w:rsidRPr="009877EB">
        <w:rPr>
          <w:rFonts w:eastAsia="Franklin Gothic Book" w:cstheme="minorHAnsi"/>
          <w:sz w:val="24"/>
          <w:szCs w:val="24"/>
        </w:rPr>
        <w:t>the</w:t>
      </w:r>
      <w:r w:rsidRPr="009877EB">
        <w:rPr>
          <w:rFonts w:eastAsia="Franklin Gothic Book" w:cstheme="minorHAnsi"/>
          <w:spacing w:val="10"/>
          <w:sz w:val="24"/>
          <w:szCs w:val="24"/>
        </w:rPr>
        <w:t xml:space="preserve"> </w:t>
      </w:r>
      <w:r w:rsidRPr="009877EB">
        <w:rPr>
          <w:rFonts w:eastAsia="Franklin Gothic Book" w:cstheme="minorHAnsi"/>
          <w:sz w:val="24"/>
          <w:szCs w:val="24"/>
        </w:rPr>
        <w:t>beginning</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0"/>
          <w:sz w:val="24"/>
          <w:szCs w:val="24"/>
        </w:rPr>
        <w:t xml:space="preserve"> </w:t>
      </w:r>
      <w:r w:rsidRPr="009877EB">
        <w:rPr>
          <w:rFonts w:eastAsia="Franklin Gothic Book" w:cstheme="minorHAnsi"/>
          <w:sz w:val="24"/>
          <w:szCs w:val="24"/>
        </w:rPr>
        <w:t>the</w:t>
      </w:r>
      <w:r w:rsidRPr="009877EB">
        <w:rPr>
          <w:rFonts w:eastAsia="Franklin Gothic Book" w:cstheme="minorHAnsi"/>
          <w:spacing w:val="8"/>
          <w:sz w:val="24"/>
          <w:szCs w:val="24"/>
        </w:rPr>
        <w:t xml:space="preserve"> </w:t>
      </w:r>
      <w:r w:rsidRPr="009877EB">
        <w:rPr>
          <w:rFonts w:eastAsia="Franklin Gothic Book" w:cstheme="minorHAnsi"/>
          <w:sz w:val="24"/>
          <w:szCs w:val="24"/>
        </w:rPr>
        <w:t>measu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r w:rsidRPr="009877EB">
        <w:rPr>
          <w:rFonts w:eastAsia="Franklin Gothic Book" w:cstheme="minorHAnsi"/>
          <w:spacing w:val="8"/>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o</w:t>
      </w:r>
      <w:r w:rsidRPr="009877EB">
        <w:rPr>
          <w:rFonts w:eastAsia="Franklin Gothic Book" w:cstheme="minorHAnsi"/>
          <w:spacing w:val="10"/>
          <w:sz w:val="24"/>
          <w:szCs w:val="24"/>
        </w:rPr>
        <w:t xml:space="preserve"> </w:t>
      </w:r>
      <w:r w:rsidRPr="009877EB">
        <w:rPr>
          <w:rFonts w:eastAsia="Franklin Gothic Book" w:cstheme="minorHAnsi"/>
          <w:sz w:val="24"/>
          <w:szCs w:val="24"/>
        </w:rPr>
        <w:t>3.87%</w:t>
      </w:r>
      <w:r w:rsidRPr="009877EB">
        <w:rPr>
          <w:rFonts w:eastAsia="Franklin Gothic Book" w:cstheme="minorHAnsi"/>
          <w:spacing w:val="8"/>
          <w:sz w:val="24"/>
          <w:szCs w:val="24"/>
        </w:rPr>
        <w:t xml:space="preserve"> </w:t>
      </w:r>
      <w:r w:rsidRPr="009877EB">
        <w:rPr>
          <w:rFonts w:eastAsia="Franklin Gothic Book" w:cstheme="minorHAnsi"/>
          <w:sz w:val="24"/>
          <w:szCs w:val="24"/>
        </w:rPr>
        <w:t>as</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8"/>
          <w:sz w:val="24"/>
          <w:szCs w:val="24"/>
        </w:rPr>
        <w:t xml:space="preserve"> </w:t>
      </w:r>
      <w:r w:rsidRPr="009877EB">
        <w:rPr>
          <w:rFonts w:eastAsia="Franklin Gothic Book" w:cstheme="minorHAnsi"/>
          <w:sz w:val="24"/>
          <w:szCs w:val="24"/>
        </w:rPr>
        <w:t>the</w:t>
      </w:r>
      <w:r w:rsidRPr="009877EB">
        <w:rPr>
          <w:rFonts w:eastAsia="Franklin Gothic Book" w:cstheme="minorHAnsi"/>
          <w:w w:val="99"/>
          <w:sz w:val="24"/>
          <w:szCs w:val="24"/>
        </w:rPr>
        <w:t xml:space="preserve"> </w:t>
      </w:r>
      <w:r w:rsidRPr="009877EB">
        <w:rPr>
          <w:rFonts w:eastAsia="Franklin Gothic Book" w:cstheme="minorHAnsi"/>
          <w:sz w:val="24"/>
          <w:szCs w:val="24"/>
        </w:rPr>
        <w:t>end</w:t>
      </w:r>
      <w:r w:rsidRPr="009877EB">
        <w:rPr>
          <w:rFonts w:eastAsia="Franklin Gothic Book" w:cstheme="minorHAnsi"/>
          <w:spacing w:val="-7"/>
          <w:sz w:val="24"/>
          <w:szCs w:val="24"/>
        </w:rPr>
        <w:t xml:space="preserve"> </w:t>
      </w:r>
      <w:r w:rsidRPr="009877EB">
        <w:rPr>
          <w:rFonts w:eastAsia="Franklin Gothic Book" w:cstheme="minorHAnsi"/>
          <w:sz w:val="24"/>
          <w:szCs w:val="24"/>
        </w:rPr>
        <w:t>of</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he</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m</w:t>
      </w:r>
      <w:r w:rsidRPr="009877EB">
        <w:rPr>
          <w:rFonts w:eastAsia="Franklin Gothic Book" w:cstheme="minorHAnsi"/>
          <w:sz w:val="24"/>
          <w:szCs w:val="24"/>
        </w:rPr>
        <w:t>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6"/>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p>
    <w:p w14:paraId="67526485" w14:textId="77777777" w:rsidR="00DD1612" w:rsidRPr="009877EB" w:rsidRDefault="00DD1612" w:rsidP="00DD1612">
      <w:pPr>
        <w:ind w:left="720" w:hanging="720"/>
        <w:rPr>
          <w:rFonts w:eastAsia="Franklin Gothic Book" w:cstheme="minorHAnsi"/>
          <w:sz w:val="24"/>
          <w:szCs w:val="24"/>
        </w:rPr>
      </w:pPr>
      <w:r w:rsidRPr="009877EB">
        <w:rPr>
          <w:rFonts w:eastAsia="Franklin Gothic Book" w:cstheme="minorHAnsi"/>
          <w:spacing w:val="-1"/>
          <w:sz w:val="24"/>
          <w:szCs w:val="24"/>
        </w:rPr>
        <w:t xml:space="preserve">2017: </w:t>
      </w:r>
      <w:r w:rsidRPr="009877EB">
        <w:rPr>
          <w:rFonts w:eastAsia="Franklin Gothic Book" w:cstheme="minorHAnsi"/>
          <w:spacing w:val="-1"/>
          <w:sz w:val="24"/>
          <w:szCs w:val="24"/>
        </w:rPr>
        <w:tab/>
        <w:t>T</w:t>
      </w:r>
      <w:r w:rsidRPr="009877EB">
        <w:rPr>
          <w:rFonts w:eastAsia="Franklin Gothic Book" w:cstheme="minorHAnsi"/>
          <w:sz w:val="24"/>
          <w:szCs w:val="24"/>
        </w:rPr>
        <w:t>he</w:t>
      </w:r>
      <w:r w:rsidRPr="009877EB">
        <w:rPr>
          <w:rFonts w:eastAsia="Franklin Gothic Book" w:cstheme="minorHAnsi"/>
          <w:spacing w:val="9"/>
          <w:sz w:val="24"/>
          <w:szCs w:val="24"/>
        </w:rPr>
        <w:t xml:space="preserve"> </w:t>
      </w:r>
      <w:r w:rsidRPr="009877EB">
        <w:rPr>
          <w:rFonts w:eastAsia="Franklin Gothic Book" w:cstheme="minorHAnsi"/>
          <w:sz w:val="24"/>
          <w:szCs w:val="24"/>
        </w:rPr>
        <w:t>discount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r</w:t>
      </w:r>
      <w:r w:rsidRPr="009877EB">
        <w:rPr>
          <w:rFonts w:eastAsia="Franklin Gothic Book" w:cstheme="minorHAnsi"/>
          <w:sz w:val="24"/>
          <w:szCs w:val="24"/>
        </w:rPr>
        <w:t>a</w:t>
      </w:r>
      <w:r w:rsidRPr="009877EB">
        <w:rPr>
          <w:rFonts w:eastAsia="Franklin Gothic Book" w:cstheme="minorHAnsi"/>
          <w:spacing w:val="1"/>
          <w:sz w:val="24"/>
          <w:szCs w:val="24"/>
        </w:rPr>
        <w:t>t</w:t>
      </w:r>
      <w:r w:rsidRPr="009877EB">
        <w:rPr>
          <w:rFonts w:eastAsia="Franklin Gothic Book" w:cstheme="minorHAnsi"/>
          <w:sz w:val="24"/>
          <w:szCs w:val="24"/>
        </w:rPr>
        <w:t>e</w:t>
      </w:r>
      <w:r w:rsidRPr="009877EB">
        <w:rPr>
          <w:rFonts w:eastAsia="Franklin Gothic Book" w:cstheme="minorHAnsi"/>
          <w:spacing w:val="9"/>
          <w:sz w:val="24"/>
          <w:szCs w:val="24"/>
        </w:rPr>
        <w:t xml:space="preserve"> </w:t>
      </w:r>
      <w:r w:rsidRPr="009877EB">
        <w:rPr>
          <w:rFonts w:eastAsia="Franklin Gothic Book" w:cstheme="minorHAnsi"/>
          <w:sz w:val="24"/>
          <w:szCs w:val="24"/>
        </w:rPr>
        <w:t>changed</w:t>
      </w:r>
      <w:r w:rsidRPr="009877EB">
        <w:rPr>
          <w:rFonts w:eastAsia="Franklin Gothic Book" w:cstheme="minorHAnsi"/>
          <w:spacing w:val="11"/>
          <w:sz w:val="24"/>
          <w:szCs w:val="24"/>
        </w:rPr>
        <w:t xml:space="preserve"> </w:t>
      </w:r>
      <w:r w:rsidRPr="009877EB">
        <w:rPr>
          <w:rFonts w:eastAsia="Franklin Gothic Book" w:cstheme="minorHAnsi"/>
          <w:sz w:val="24"/>
          <w:szCs w:val="24"/>
        </w:rPr>
        <w:t>f</w:t>
      </w:r>
      <w:r w:rsidRPr="009877EB">
        <w:rPr>
          <w:rFonts w:eastAsia="Franklin Gothic Book" w:cstheme="minorHAnsi"/>
          <w:spacing w:val="-1"/>
          <w:sz w:val="24"/>
          <w:szCs w:val="24"/>
        </w:rPr>
        <w:t>r</w:t>
      </w:r>
      <w:r w:rsidRPr="009877EB">
        <w:rPr>
          <w:rFonts w:eastAsia="Franklin Gothic Book" w:cstheme="minorHAnsi"/>
          <w:sz w:val="24"/>
          <w:szCs w:val="24"/>
        </w:rPr>
        <w:t>om</w:t>
      </w:r>
      <w:r w:rsidRPr="009877EB">
        <w:rPr>
          <w:rFonts w:eastAsia="Franklin Gothic Book" w:cstheme="minorHAnsi"/>
          <w:spacing w:val="11"/>
          <w:sz w:val="24"/>
          <w:szCs w:val="24"/>
        </w:rPr>
        <w:t xml:space="preserve"> </w:t>
      </w:r>
      <w:r w:rsidRPr="009877EB">
        <w:rPr>
          <w:rFonts w:eastAsia="Franklin Gothic Book" w:cstheme="minorHAnsi"/>
          <w:sz w:val="24"/>
          <w:szCs w:val="24"/>
        </w:rPr>
        <w:t>2.85%</w:t>
      </w:r>
      <w:r w:rsidRPr="009877EB">
        <w:rPr>
          <w:rFonts w:eastAsia="Franklin Gothic Book" w:cstheme="minorHAnsi"/>
          <w:spacing w:val="12"/>
          <w:sz w:val="24"/>
          <w:szCs w:val="24"/>
        </w:rPr>
        <w:t xml:space="preserve"> </w:t>
      </w:r>
      <w:r w:rsidRPr="009877EB">
        <w:rPr>
          <w:rFonts w:eastAsia="Franklin Gothic Book" w:cstheme="minorHAnsi"/>
          <w:sz w:val="24"/>
          <w:szCs w:val="24"/>
        </w:rPr>
        <w:t>as</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1"/>
          <w:sz w:val="24"/>
          <w:szCs w:val="24"/>
        </w:rPr>
        <w:t xml:space="preserve"> </w:t>
      </w:r>
      <w:r w:rsidRPr="009877EB">
        <w:rPr>
          <w:rFonts w:eastAsia="Franklin Gothic Book" w:cstheme="minorHAnsi"/>
          <w:sz w:val="24"/>
          <w:szCs w:val="24"/>
        </w:rPr>
        <w:t>the</w:t>
      </w:r>
      <w:r w:rsidRPr="009877EB">
        <w:rPr>
          <w:rFonts w:eastAsia="Franklin Gothic Book" w:cstheme="minorHAnsi"/>
          <w:spacing w:val="10"/>
          <w:sz w:val="24"/>
          <w:szCs w:val="24"/>
        </w:rPr>
        <w:t xml:space="preserve"> </w:t>
      </w:r>
      <w:r w:rsidRPr="009877EB">
        <w:rPr>
          <w:rFonts w:eastAsia="Franklin Gothic Book" w:cstheme="minorHAnsi"/>
          <w:sz w:val="24"/>
          <w:szCs w:val="24"/>
        </w:rPr>
        <w:t>beginning</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0"/>
          <w:sz w:val="24"/>
          <w:szCs w:val="24"/>
        </w:rPr>
        <w:t xml:space="preserve"> </w:t>
      </w:r>
      <w:r w:rsidRPr="009877EB">
        <w:rPr>
          <w:rFonts w:eastAsia="Franklin Gothic Book" w:cstheme="minorHAnsi"/>
          <w:sz w:val="24"/>
          <w:szCs w:val="24"/>
        </w:rPr>
        <w:t>the</w:t>
      </w:r>
      <w:r w:rsidRPr="009877EB">
        <w:rPr>
          <w:rFonts w:eastAsia="Franklin Gothic Book" w:cstheme="minorHAnsi"/>
          <w:spacing w:val="8"/>
          <w:sz w:val="24"/>
          <w:szCs w:val="24"/>
        </w:rPr>
        <w:t xml:space="preserve"> </w:t>
      </w:r>
      <w:r w:rsidRPr="009877EB">
        <w:rPr>
          <w:rFonts w:eastAsia="Franklin Gothic Book" w:cstheme="minorHAnsi"/>
          <w:sz w:val="24"/>
          <w:szCs w:val="24"/>
        </w:rPr>
        <w:t>measu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r w:rsidRPr="009877EB">
        <w:rPr>
          <w:rFonts w:eastAsia="Franklin Gothic Book" w:cstheme="minorHAnsi"/>
          <w:spacing w:val="8"/>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o</w:t>
      </w:r>
      <w:r w:rsidRPr="009877EB">
        <w:rPr>
          <w:rFonts w:eastAsia="Franklin Gothic Book" w:cstheme="minorHAnsi"/>
          <w:spacing w:val="10"/>
          <w:sz w:val="24"/>
          <w:szCs w:val="24"/>
        </w:rPr>
        <w:t xml:space="preserve"> </w:t>
      </w:r>
      <w:r w:rsidRPr="009877EB">
        <w:rPr>
          <w:rFonts w:eastAsia="Franklin Gothic Book" w:cstheme="minorHAnsi"/>
          <w:sz w:val="24"/>
          <w:szCs w:val="24"/>
        </w:rPr>
        <w:t>3.58%</w:t>
      </w:r>
      <w:r w:rsidRPr="009877EB">
        <w:rPr>
          <w:rFonts w:eastAsia="Franklin Gothic Book" w:cstheme="minorHAnsi"/>
          <w:spacing w:val="8"/>
          <w:sz w:val="24"/>
          <w:szCs w:val="24"/>
        </w:rPr>
        <w:t xml:space="preserve"> </w:t>
      </w:r>
      <w:r w:rsidRPr="009877EB">
        <w:rPr>
          <w:rFonts w:eastAsia="Franklin Gothic Book" w:cstheme="minorHAnsi"/>
          <w:sz w:val="24"/>
          <w:szCs w:val="24"/>
        </w:rPr>
        <w:t>as</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8"/>
          <w:sz w:val="24"/>
          <w:szCs w:val="24"/>
        </w:rPr>
        <w:t xml:space="preserve"> </w:t>
      </w:r>
      <w:r w:rsidRPr="009877EB">
        <w:rPr>
          <w:rFonts w:eastAsia="Franklin Gothic Book" w:cstheme="minorHAnsi"/>
          <w:sz w:val="24"/>
          <w:szCs w:val="24"/>
        </w:rPr>
        <w:t>the</w:t>
      </w:r>
      <w:r w:rsidRPr="009877EB">
        <w:rPr>
          <w:rFonts w:eastAsia="Franklin Gothic Book" w:cstheme="minorHAnsi"/>
          <w:w w:val="99"/>
          <w:sz w:val="24"/>
          <w:szCs w:val="24"/>
        </w:rPr>
        <w:t xml:space="preserve"> </w:t>
      </w:r>
      <w:r w:rsidRPr="009877EB">
        <w:rPr>
          <w:rFonts w:eastAsia="Franklin Gothic Book" w:cstheme="minorHAnsi"/>
          <w:sz w:val="24"/>
          <w:szCs w:val="24"/>
        </w:rPr>
        <w:t>end</w:t>
      </w:r>
      <w:r w:rsidRPr="009877EB">
        <w:rPr>
          <w:rFonts w:eastAsia="Franklin Gothic Book" w:cstheme="minorHAnsi"/>
          <w:spacing w:val="-7"/>
          <w:sz w:val="24"/>
          <w:szCs w:val="24"/>
        </w:rPr>
        <w:t xml:space="preserve"> </w:t>
      </w:r>
      <w:r w:rsidRPr="009877EB">
        <w:rPr>
          <w:rFonts w:eastAsia="Franklin Gothic Book" w:cstheme="minorHAnsi"/>
          <w:sz w:val="24"/>
          <w:szCs w:val="24"/>
        </w:rPr>
        <w:t>of</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he</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m</w:t>
      </w:r>
      <w:r w:rsidRPr="009877EB">
        <w:rPr>
          <w:rFonts w:eastAsia="Franklin Gothic Book" w:cstheme="minorHAnsi"/>
          <w:sz w:val="24"/>
          <w:szCs w:val="24"/>
        </w:rPr>
        <w:t>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6"/>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p>
    <w:p w14:paraId="5EE72FB6" w14:textId="77777777" w:rsidR="00DD1612" w:rsidRDefault="00DD1612" w:rsidP="00DD1612">
      <w:pPr>
        <w:ind w:left="720" w:hanging="720"/>
        <w:rPr>
          <w:rFonts w:eastAsia="Franklin Gothic Book" w:cstheme="minorHAnsi"/>
          <w:sz w:val="24"/>
          <w:szCs w:val="24"/>
        </w:rPr>
      </w:pPr>
    </w:p>
    <w:p w14:paraId="661E3A72" w14:textId="77777777" w:rsidR="00DD1612" w:rsidRDefault="00DD1612" w:rsidP="00DD1612">
      <w:pPr>
        <w:ind w:left="720" w:hanging="720"/>
        <w:rPr>
          <w:rFonts w:eastAsia="Franklin Gothic Book" w:cstheme="minorHAnsi"/>
          <w:i/>
          <w:sz w:val="24"/>
          <w:szCs w:val="24"/>
        </w:rPr>
      </w:pPr>
      <w:r w:rsidRPr="00F54559">
        <w:rPr>
          <w:rFonts w:eastAsia="Franklin Gothic Book" w:cstheme="minorHAnsi"/>
          <w:i/>
          <w:sz w:val="24"/>
          <w:szCs w:val="24"/>
        </w:rPr>
        <w:t>Me</w:t>
      </w:r>
      <w:r w:rsidRPr="00F54559">
        <w:rPr>
          <w:rFonts w:eastAsia="Franklin Gothic Book" w:cstheme="minorHAnsi"/>
          <w:i/>
          <w:spacing w:val="-2"/>
          <w:sz w:val="24"/>
          <w:szCs w:val="24"/>
        </w:rPr>
        <w:t>t</w:t>
      </w:r>
      <w:r w:rsidRPr="00F54559">
        <w:rPr>
          <w:rFonts w:eastAsia="Franklin Gothic Book" w:cstheme="minorHAnsi"/>
          <w:i/>
          <w:sz w:val="24"/>
          <w:szCs w:val="24"/>
        </w:rPr>
        <w:t>h</w:t>
      </w:r>
      <w:r w:rsidRPr="00F54559">
        <w:rPr>
          <w:rFonts w:eastAsia="Franklin Gothic Book" w:cstheme="minorHAnsi"/>
          <w:i/>
          <w:spacing w:val="-1"/>
          <w:sz w:val="24"/>
          <w:szCs w:val="24"/>
        </w:rPr>
        <w:t>o</w:t>
      </w:r>
      <w:r w:rsidRPr="00F54559">
        <w:rPr>
          <w:rFonts w:eastAsia="Franklin Gothic Book" w:cstheme="minorHAnsi"/>
          <w:i/>
          <w:sz w:val="24"/>
          <w:szCs w:val="24"/>
        </w:rPr>
        <w:t>ds</w:t>
      </w:r>
      <w:r w:rsidRPr="00F54559">
        <w:rPr>
          <w:rFonts w:eastAsia="Franklin Gothic Book" w:cstheme="minorHAnsi"/>
          <w:i/>
          <w:spacing w:val="-9"/>
          <w:sz w:val="24"/>
          <w:szCs w:val="24"/>
        </w:rPr>
        <w:t xml:space="preserve"> </w:t>
      </w:r>
      <w:r w:rsidRPr="00F54559">
        <w:rPr>
          <w:rFonts w:eastAsia="Franklin Gothic Book" w:cstheme="minorHAnsi"/>
          <w:i/>
          <w:spacing w:val="-2"/>
          <w:sz w:val="24"/>
          <w:szCs w:val="24"/>
        </w:rPr>
        <w:t>an</w:t>
      </w:r>
      <w:r w:rsidRPr="00F54559">
        <w:rPr>
          <w:rFonts w:eastAsia="Franklin Gothic Book" w:cstheme="minorHAnsi"/>
          <w:i/>
          <w:sz w:val="24"/>
          <w:szCs w:val="24"/>
        </w:rPr>
        <w:t>d</w:t>
      </w:r>
      <w:r w:rsidRPr="00F54559">
        <w:rPr>
          <w:rFonts w:eastAsia="Franklin Gothic Book" w:cstheme="minorHAnsi"/>
          <w:i/>
          <w:spacing w:val="-8"/>
          <w:sz w:val="24"/>
          <w:szCs w:val="24"/>
        </w:rPr>
        <w:t xml:space="preserve"> </w:t>
      </w:r>
      <w:r w:rsidRPr="00F54559">
        <w:rPr>
          <w:rFonts w:eastAsia="Franklin Gothic Book" w:cstheme="minorHAnsi"/>
          <w:i/>
          <w:spacing w:val="-2"/>
          <w:sz w:val="24"/>
          <w:szCs w:val="24"/>
        </w:rPr>
        <w:t>a</w:t>
      </w:r>
      <w:r w:rsidRPr="00F54559">
        <w:rPr>
          <w:rFonts w:eastAsia="Franklin Gothic Book" w:cstheme="minorHAnsi"/>
          <w:i/>
          <w:spacing w:val="-1"/>
          <w:sz w:val="24"/>
          <w:szCs w:val="24"/>
        </w:rPr>
        <w:t>ss</w:t>
      </w:r>
      <w:r w:rsidRPr="00F54559">
        <w:rPr>
          <w:rFonts w:eastAsia="Franklin Gothic Book" w:cstheme="minorHAnsi"/>
          <w:i/>
          <w:sz w:val="24"/>
          <w:szCs w:val="24"/>
        </w:rPr>
        <w:t>um</w:t>
      </w:r>
      <w:r w:rsidRPr="00F54559">
        <w:rPr>
          <w:rFonts w:eastAsia="Franklin Gothic Book" w:cstheme="minorHAnsi"/>
          <w:i/>
          <w:spacing w:val="-1"/>
          <w:sz w:val="24"/>
          <w:szCs w:val="24"/>
        </w:rPr>
        <w:t>p</w:t>
      </w:r>
      <w:r w:rsidRPr="00F54559">
        <w:rPr>
          <w:rFonts w:eastAsia="Franklin Gothic Book" w:cstheme="minorHAnsi"/>
          <w:i/>
          <w:spacing w:val="-2"/>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u</w:t>
      </w:r>
      <w:r w:rsidRPr="00F54559">
        <w:rPr>
          <w:rFonts w:eastAsia="Franklin Gothic Book" w:cstheme="minorHAnsi"/>
          <w:i/>
          <w:spacing w:val="-1"/>
          <w:sz w:val="24"/>
          <w:szCs w:val="24"/>
        </w:rPr>
        <w:t>s</w:t>
      </w:r>
      <w:r w:rsidRPr="00F54559">
        <w:rPr>
          <w:rFonts w:eastAsia="Franklin Gothic Book" w:cstheme="minorHAnsi"/>
          <w:i/>
          <w:sz w:val="24"/>
          <w:szCs w:val="24"/>
        </w:rPr>
        <w:t>ed</w:t>
      </w:r>
      <w:r w:rsidRPr="00F54559">
        <w:rPr>
          <w:rFonts w:eastAsia="Franklin Gothic Book" w:cstheme="minorHAnsi"/>
          <w:i/>
          <w:spacing w:val="-7"/>
          <w:sz w:val="24"/>
          <w:szCs w:val="24"/>
        </w:rPr>
        <w:t xml:space="preserve"> </w:t>
      </w:r>
      <w:r w:rsidRPr="00F54559">
        <w:rPr>
          <w:rFonts w:eastAsia="Franklin Gothic Book" w:cstheme="minorHAnsi"/>
          <w:i/>
          <w:sz w:val="24"/>
          <w:szCs w:val="24"/>
        </w:rPr>
        <w:t>in</w:t>
      </w:r>
      <w:r w:rsidRPr="00F54559">
        <w:rPr>
          <w:rFonts w:eastAsia="Franklin Gothic Book" w:cstheme="minorHAnsi"/>
          <w:i/>
          <w:spacing w:val="-10"/>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pacing w:val="-2"/>
          <w:sz w:val="24"/>
          <w:szCs w:val="24"/>
        </w:rPr>
        <w:t>a</w:t>
      </w:r>
      <w:r w:rsidRPr="00F54559">
        <w:rPr>
          <w:rFonts w:eastAsia="Franklin Gothic Book" w:cstheme="minorHAnsi"/>
          <w:i/>
          <w:sz w:val="24"/>
          <w:szCs w:val="24"/>
        </w:rPr>
        <w:t>l</w:t>
      </w:r>
      <w:r w:rsidRPr="00F54559">
        <w:rPr>
          <w:rFonts w:eastAsia="Franklin Gothic Book" w:cstheme="minorHAnsi"/>
          <w:i/>
          <w:spacing w:val="-1"/>
          <w:sz w:val="24"/>
          <w:szCs w:val="24"/>
        </w:rPr>
        <w:t>c</w:t>
      </w:r>
      <w:r w:rsidRPr="00F54559">
        <w:rPr>
          <w:rFonts w:eastAsia="Franklin Gothic Book" w:cstheme="minorHAnsi"/>
          <w:i/>
          <w:sz w:val="24"/>
          <w:szCs w:val="24"/>
        </w:rPr>
        <w:t>ul</w:t>
      </w:r>
      <w:r w:rsidRPr="00F54559">
        <w:rPr>
          <w:rFonts w:eastAsia="Franklin Gothic Book" w:cstheme="minorHAnsi"/>
          <w:i/>
          <w:spacing w:val="-2"/>
          <w:sz w:val="24"/>
          <w:szCs w:val="24"/>
        </w:rPr>
        <w:t>at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of</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ac</w:t>
      </w:r>
      <w:r w:rsidRPr="00F54559">
        <w:rPr>
          <w:rFonts w:eastAsia="Franklin Gothic Book" w:cstheme="minorHAnsi"/>
          <w:i/>
          <w:spacing w:val="-2"/>
          <w:sz w:val="24"/>
          <w:szCs w:val="24"/>
        </w:rPr>
        <w:t>t</w:t>
      </w:r>
      <w:r w:rsidRPr="00F54559">
        <w:rPr>
          <w:rFonts w:eastAsia="Franklin Gothic Book" w:cstheme="minorHAnsi"/>
          <w:i/>
          <w:sz w:val="24"/>
          <w:szCs w:val="24"/>
        </w:rPr>
        <w:t>u</w:t>
      </w:r>
      <w:r w:rsidRPr="00F54559">
        <w:rPr>
          <w:rFonts w:eastAsia="Franklin Gothic Book" w:cstheme="minorHAnsi"/>
          <w:i/>
          <w:spacing w:val="-2"/>
          <w:sz w:val="24"/>
          <w:szCs w:val="24"/>
        </w:rPr>
        <w:t>a</w:t>
      </w:r>
      <w:r w:rsidRPr="00F54559">
        <w:rPr>
          <w:rFonts w:eastAsia="Franklin Gothic Book" w:cstheme="minorHAnsi"/>
          <w:i/>
          <w:sz w:val="24"/>
          <w:szCs w:val="24"/>
        </w:rPr>
        <w:t>ri</w:t>
      </w:r>
      <w:r w:rsidRPr="00F54559">
        <w:rPr>
          <w:rFonts w:eastAsia="Franklin Gothic Book" w:cstheme="minorHAnsi"/>
          <w:i/>
          <w:spacing w:val="-2"/>
          <w:sz w:val="24"/>
          <w:szCs w:val="24"/>
        </w:rPr>
        <w:t>a</w:t>
      </w:r>
      <w:r w:rsidRPr="00F54559">
        <w:rPr>
          <w:rFonts w:eastAsia="Franklin Gothic Book" w:cstheme="minorHAnsi"/>
          <w:i/>
          <w:sz w:val="24"/>
          <w:szCs w:val="24"/>
        </w:rPr>
        <w:t>lly</w:t>
      </w:r>
      <w:r w:rsidRPr="00F54559">
        <w:rPr>
          <w:rFonts w:eastAsia="Franklin Gothic Book" w:cstheme="minorHAnsi"/>
          <w:i/>
          <w:spacing w:val="-9"/>
          <w:sz w:val="24"/>
          <w:szCs w:val="24"/>
        </w:rPr>
        <w:t xml:space="preserve"> </w:t>
      </w:r>
      <w:r w:rsidRPr="00F54559">
        <w:rPr>
          <w:rFonts w:eastAsia="Franklin Gothic Book" w:cstheme="minorHAnsi"/>
          <w:i/>
          <w:sz w:val="24"/>
          <w:szCs w:val="24"/>
        </w:rPr>
        <w:t>de</w:t>
      </w:r>
      <w:r w:rsidRPr="00F54559">
        <w:rPr>
          <w:rFonts w:eastAsia="Franklin Gothic Book" w:cstheme="minorHAnsi"/>
          <w:i/>
          <w:spacing w:val="-2"/>
          <w:sz w:val="24"/>
          <w:szCs w:val="24"/>
        </w:rPr>
        <w:t>t</w:t>
      </w:r>
      <w:r w:rsidRPr="00F54559">
        <w:rPr>
          <w:rFonts w:eastAsia="Franklin Gothic Book" w:cstheme="minorHAnsi"/>
          <w:i/>
          <w:sz w:val="24"/>
          <w:szCs w:val="24"/>
        </w:rPr>
        <w:t>e</w:t>
      </w:r>
      <w:r w:rsidRPr="00F54559">
        <w:rPr>
          <w:rFonts w:eastAsia="Franklin Gothic Book" w:cstheme="minorHAnsi"/>
          <w:i/>
          <w:spacing w:val="-1"/>
          <w:sz w:val="24"/>
          <w:szCs w:val="24"/>
        </w:rPr>
        <w:t>r</w:t>
      </w:r>
      <w:r w:rsidRPr="00F54559">
        <w:rPr>
          <w:rFonts w:eastAsia="Franklin Gothic Book" w:cstheme="minorHAnsi"/>
          <w:i/>
          <w:sz w:val="24"/>
          <w:szCs w:val="24"/>
        </w:rPr>
        <w:t>mi</w:t>
      </w:r>
      <w:r w:rsidRPr="00F54559">
        <w:rPr>
          <w:rFonts w:eastAsia="Franklin Gothic Book" w:cstheme="minorHAnsi"/>
          <w:i/>
          <w:spacing w:val="-1"/>
          <w:sz w:val="24"/>
          <w:szCs w:val="24"/>
        </w:rPr>
        <w:t>n</w:t>
      </w:r>
      <w:r w:rsidRPr="00F54559">
        <w:rPr>
          <w:rFonts w:eastAsia="Franklin Gothic Book" w:cstheme="minorHAnsi"/>
          <w:i/>
          <w:sz w:val="24"/>
          <w:szCs w:val="24"/>
        </w:rPr>
        <w:t>ed</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z w:val="24"/>
          <w:szCs w:val="24"/>
        </w:rPr>
        <w:t>o</w:t>
      </w:r>
      <w:r w:rsidRPr="00F54559">
        <w:rPr>
          <w:rFonts w:eastAsia="Franklin Gothic Book" w:cstheme="minorHAnsi"/>
          <w:i/>
          <w:spacing w:val="-2"/>
          <w:sz w:val="24"/>
          <w:szCs w:val="24"/>
        </w:rPr>
        <w:t>nt</w:t>
      </w:r>
      <w:r w:rsidRPr="00F54559">
        <w:rPr>
          <w:rFonts w:eastAsia="Franklin Gothic Book" w:cstheme="minorHAnsi"/>
          <w:i/>
          <w:sz w:val="24"/>
          <w:szCs w:val="24"/>
        </w:rPr>
        <w:t>ribu</w:t>
      </w:r>
      <w:r w:rsidRPr="00F54559">
        <w:rPr>
          <w:rFonts w:eastAsia="Franklin Gothic Book" w:cstheme="minorHAnsi"/>
          <w:i/>
          <w:spacing w:val="-1"/>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pacing w:val="-1"/>
          <w:sz w:val="24"/>
          <w:szCs w:val="24"/>
        </w:rPr>
        <w:t>s</w:t>
      </w:r>
      <w:r w:rsidRPr="00F54559">
        <w:rPr>
          <w:rFonts w:eastAsia="Franklin Gothic Book" w:cstheme="minorHAnsi"/>
          <w:i/>
          <w:sz w:val="24"/>
          <w:szCs w:val="24"/>
        </w:rPr>
        <w:t>:</w:t>
      </w:r>
    </w:p>
    <w:p w14:paraId="30B525BF" w14:textId="77777777" w:rsidR="00DD1612" w:rsidRPr="00BC1813" w:rsidRDefault="00DD1612" w:rsidP="00DD1612">
      <w:pPr>
        <w:ind w:left="720" w:hanging="720"/>
        <w:rPr>
          <w:rFonts w:eastAsia="Franklin Gothic Book" w:cstheme="minorHAnsi"/>
          <w:sz w:val="24"/>
          <w:szCs w:val="24"/>
        </w:rPr>
      </w:pPr>
    </w:p>
    <w:p w14:paraId="3075CD4E" w14:textId="77777777" w:rsidR="00DD1612" w:rsidRDefault="00DD1612" w:rsidP="00DD1612">
      <w:pPr>
        <w:rPr>
          <w:rFonts w:eastAsia="Franklin Gothic Book" w:cstheme="minorHAnsi"/>
          <w:sz w:val="24"/>
          <w:szCs w:val="24"/>
        </w:rPr>
      </w:pP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U</w:t>
      </w:r>
      <w:r w:rsidRPr="00F54559">
        <w:rPr>
          <w:rFonts w:eastAsia="Franklin Gothic Book" w:cstheme="minorHAnsi"/>
          <w:sz w:val="24"/>
          <w:szCs w:val="24"/>
        </w:rPr>
        <w:t>ni</w:t>
      </w:r>
      <w:r w:rsidRPr="00F54559">
        <w:rPr>
          <w:rFonts w:eastAsia="Franklin Gothic Book" w:cstheme="minorHAnsi"/>
          <w:spacing w:val="-1"/>
          <w:sz w:val="24"/>
          <w:szCs w:val="24"/>
        </w:rPr>
        <w:t>v</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pacing w:val="1"/>
          <w:sz w:val="24"/>
          <w:szCs w:val="24"/>
        </w:rPr>
        <w:t>s</w:t>
      </w:r>
      <w:r w:rsidRPr="00F54559">
        <w:rPr>
          <w:rFonts w:eastAsia="Franklin Gothic Book" w:cstheme="minorHAnsi"/>
          <w:sz w:val="24"/>
          <w:szCs w:val="24"/>
        </w:rPr>
        <w:t>ity</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7"/>
          <w:sz w:val="24"/>
          <w:szCs w:val="24"/>
        </w:rPr>
        <w:t xml:space="preserve"> </w:t>
      </w:r>
      <w:r w:rsidRPr="00F54559">
        <w:rPr>
          <w:rFonts w:eastAsia="Franklin Gothic Book" w:cstheme="minorHAnsi"/>
          <w:sz w:val="24"/>
          <w:szCs w:val="24"/>
        </w:rPr>
        <w:t>Maine</w:t>
      </w:r>
      <w:r w:rsidRPr="00F54559">
        <w:rPr>
          <w:rFonts w:eastAsia="Franklin Gothic Book" w:cstheme="minorHAnsi"/>
          <w:spacing w:val="16"/>
          <w:sz w:val="24"/>
          <w:szCs w:val="24"/>
        </w:rPr>
        <w:t xml:space="preserve"> </w:t>
      </w:r>
      <w:r w:rsidRPr="00F54559">
        <w:rPr>
          <w:rFonts w:eastAsia="Franklin Gothic Book" w:cstheme="minorHAnsi"/>
          <w:sz w:val="24"/>
          <w:szCs w:val="24"/>
        </w:rPr>
        <w:t>S</w:t>
      </w:r>
      <w:r w:rsidRPr="00F54559">
        <w:rPr>
          <w:rFonts w:eastAsia="Franklin Gothic Book" w:cstheme="minorHAnsi"/>
          <w:spacing w:val="-2"/>
          <w:sz w:val="24"/>
          <w:szCs w:val="24"/>
        </w:rPr>
        <w:t>y</w:t>
      </w:r>
      <w:r w:rsidRPr="00F54559">
        <w:rPr>
          <w:rFonts w:eastAsia="Franklin Gothic Book" w:cstheme="minorHAnsi"/>
          <w:spacing w:val="1"/>
          <w:sz w:val="24"/>
          <w:szCs w:val="24"/>
        </w:rPr>
        <w:t>s</w:t>
      </w:r>
      <w:r w:rsidRPr="00F54559">
        <w:rPr>
          <w:rFonts w:eastAsia="Franklin Gothic Book" w:cstheme="minorHAnsi"/>
          <w:sz w:val="24"/>
          <w:szCs w:val="24"/>
        </w:rPr>
        <w:t>tem</w:t>
      </w:r>
      <w:r w:rsidRPr="00F54559">
        <w:rPr>
          <w:rFonts w:eastAsia="Franklin Gothic Book" w:cstheme="minorHAnsi"/>
          <w:spacing w:val="20"/>
          <w:sz w:val="24"/>
          <w:szCs w:val="24"/>
        </w:rPr>
        <w:t xml:space="preserve"> </w:t>
      </w:r>
      <w:r w:rsidRPr="00F54559">
        <w:rPr>
          <w:rFonts w:eastAsia="Franklin Gothic Book" w:cstheme="minorHAnsi"/>
          <w:sz w:val="24"/>
          <w:szCs w:val="24"/>
        </w:rPr>
        <w:t>Incentive</w:t>
      </w:r>
      <w:r w:rsidRPr="00F54559">
        <w:rPr>
          <w:rFonts w:eastAsia="Franklin Gothic Book" w:cstheme="minorHAnsi"/>
          <w:spacing w:val="16"/>
          <w:sz w:val="24"/>
          <w:szCs w:val="24"/>
        </w:rPr>
        <w:t xml:space="preserve"> </w:t>
      </w:r>
      <w:r w:rsidRPr="00F54559">
        <w:rPr>
          <w:rFonts w:eastAsia="Franklin Gothic Book" w:cstheme="minorHAnsi"/>
          <w:sz w:val="24"/>
          <w:szCs w:val="24"/>
        </w:rPr>
        <w:t>Reti</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20"/>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lan</w:t>
      </w:r>
      <w:r w:rsidRPr="00F54559">
        <w:rPr>
          <w:rFonts w:eastAsia="Franklin Gothic Book" w:cstheme="minorHAnsi"/>
          <w:spacing w:val="17"/>
          <w:sz w:val="24"/>
          <w:szCs w:val="24"/>
        </w:rPr>
        <w:t xml:space="preserve"> </w:t>
      </w:r>
      <w:r w:rsidRPr="00F54559">
        <w:rPr>
          <w:rFonts w:eastAsia="Franklin Gothic Book" w:cstheme="minorHAnsi"/>
          <w:sz w:val="24"/>
          <w:szCs w:val="24"/>
        </w:rPr>
        <w:t>is</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spacing w:val="17"/>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n</w:t>
      </w:r>
      <w:r w:rsidRPr="00F54559">
        <w:rPr>
          <w:rFonts w:eastAsia="Franklin Gothic Book" w:cstheme="minorHAnsi"/>
          <w:spacing w:val="19"/>
          <w:sz w:val="24"/>
          <w:szCs w:val="24"/>
        </w:rPr>
        <w:t xml:space="preserve"> </w:t>
      </w:r>
      <w:r w:rsidRPr="00F54559">
        <w:rPr>
          <w:rFonts w:eastAsia="Franklin Gothic Book" w:cstheme="minorHAnsi"/>
          <w:sz w:val="24"/>
          <w:szCs w:val="24"/>
        </w:rPr>
        <w:t>a</w:t>
      </w:r>
      <w:r w:rsidRPr="00F54559">
        <w:rPr>
          <w:rFonts w:eastAsia="Franklin Gothic Book" w:cstheme="minorHAnsi"/>
          <w:spacing w:val="17"/>
          <w:sz w:val="24"/>
          <w:szCs w:val="24"/>
        </w:rPr>
        <w:t xml:space="preserve"> </w:t>
      </w:r>
      <w:r w:rsidRPr="00F54559">
        <w:rPr>
          <w:rFonts w:eastAsia="Franklin Gothic Book" w:cstheme="minorHAnsi"/>
          <w:sz w:val="24"/>
          <w:szCs w:val="24"/>
        </w:rPr>
        <w:t>te</w:t>
      </w:r>
      <w:r w:rsidRPr="00F54559">
        <w:rPr>
          <w:rFonts w:eastAsia="Franklin Gothic Book" w:cstheme="minorHAnsi"/>
          <w:spacing w:val="-2"/>
          <w:sz w:val="24"/>
          <w:szCs w:val="24"/>
        </w:rPr>
        <w:t>r</w:t>
      </w:r>
      <w:r w:rsidRPr="00F54559">
        <w:rPr>
          <w:rFonts w:eastAsia="Franklin Gothic Book" w:cstheme="minorHAnsi"/>
          <w:sz w:val="24"/>
          <w:szCs w:val="24"/>
        </w:rPr>
        <w:t>minal</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ing</w:t>
      </w:r>
      <w:r>
        <w:rPr>
          <w:rFonts w:eastAsia="Franklin Gothic Book" w:cstheme="minorHAnsi"/>
          <w:spacing w:val="17"/>
          <w:sz w:val="24"/>
          <w:szCs w:val="24"/>
        </w:rPr>
        <w:t xml:space="preserve"> </w:t>
      </w:r>
      <w:r w:rsidRPr="00F54559">
        <w:rPr>
          <w:rFonts w:eastAsia="Franklin Gothic Book" w:cstheme="minorHAnsi"/>
          <w:sz w:val="24"/>
          <w:szCs w:val="24"/>
        </w:rPr>
        <w:t>ba</w:t>
      </w:r>
      <w:r w:rsidRPr="00F54559">
        <w:rPr>
          <w:rFonts w:eastAsia="Franklin Gothic Book" w:cstheme="minorHAnsi"/>
          <w:spacing w:val="1"/>
          <w:sz w:val="24"/>
          <w:szCs w:val="24"/>
        </w:rPr>
        <w:t>s</w:t>
      </w:r>
      <w:r w:rsidRPr="00F54559">
        <w:rPr>
          <w:rFonts w:eastAsia="Franklin Gothic Book" w:cstheme="minorHAnsi"/>
          <w:sz w:val="24"/>
          <w:szCs w:val="24"/>
        </w:rPr>
        <w:t>is</w:t>
      </w:r>
      <w:r w:rsidRPr="00F54559">
        <w:rPr>
          <w:rFonts w:eastAsia="Franklin Gothic Book" w:cstheme="minorHAnsi"/>
          <w:spacing w:val="19"/>
          <w:sz w:val="24"/>
          <w:szCs w:val="24"/>
        </w:rPr>
        <w:t xml:space="preserve"> </w:t>
      </w:r>
      <w:r w:rsidRPr="00F54559">
        <w:rPr>
          <w:rFonts w:eastAsia="Franklin Gothic Book" w:cstheme="minorHAnsi"/>
          <w:sz w:val="24"/>
          <w:szCs w:val="24"/>
        </w:rPr>
        <w:t>-</w:t>
      </w:r>
      <w:r w:rsidRPr="00F54559">
        <w:rPr>
          <w:rFonts w:eastAsia="Franklin Gothic Book" w:cstheme="minorHAnsi"/>
          <w:spacing w:val="18"/>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w w:val="99"/>
          <w:sz w:val="24"/>
          <w:szCs w:val="24"/>
        </w:rPr>
        <w:t xml:space="preserve"> </w:t>
      </w:r>
      <w:r w:rsidRPr="00F54559">
        <w:rPr>
          <w:rFonts w:eastAsia="Franklin Gothic Book" w:cstheme="minorHAnsi"/>
          <w:sz w:val="24"/>
          <w:szCs w:val="24"/>
        </w:rPr>
        <w:t>when</w:t>
      </w:r>
      <w:r w:rsidRPr="00F54559">
        <w:rPr>
          <w:rFonts w:eastAsia="Franklin Gothic Book" w:cstheme="minorHAnsi"/>
          <w:spacing w:val="-7"/>
          <w:sz w:val="24"/>
          <w:szCs w:val="24"/>
        </w:rPr>
        <w:t xml:space="preserve"> </w:t>
      </w:r>
      <w:r w:rsidRPr="00F54559">
        <w:rPr>
          <w:rFonts w:eastAsia="Franklin Gothic Book" w:cstheme="minorHAnsi"/>
          <w:sz w:val="24"/>
          <w:szCs w:val="24"/>
        </w:rPr>
        <w:t>costs</w:t>
      </w:r>
      <w:r w:rsidRPr="00F54559">
        <w:rPr>
          <w:rFonts w:eastAsia="Franklin Gothic Book" w:cstheme="minorHAnsi"/>
          <w:spacing w:val="-5"/>
          <w:sz w:val="24"/>
          <w:szCs w:val="24"/>
        </w:rPr>
        <w:t xml:space="preserve"> </w:t>
      </w:r>
      <w:r w:rsidRPr="00F54559">
        <w:rPr>
          <w:rFonts w:eastAsia="Franklin Gothic Book" w:cstheme="minorHAnsi"/>
          <w:sz w:val="24"/>
          <w:szCs w:val="24"/>
        </w:rPr>
        <w:t>become</w:t>
      </w:r>
      <w:r w:rsidRPr="00F54559">
        <w:rPr>
          <w:rFonts w:eastAsia="Franklin Gothic Book" w:cstheme="minorHAnsi"/>
          <w:spacing w:val="-7"/>
          <w:sz w:val="24"/>
          <w:szCs w:val="24"/>
        </w:rPr>
        <w:t xml:space="preserve"> </w:t>
      </w:r>
      <w:r w:rsidRPr="00F54559">
        <w:rPr>
          <w:rFonts w:eastAsia="Franklin Gothic Book" w:cstheme="minorHAnsi"/>
          <w:sz w:val="24"/>
          <w:szCs w:val="24"/>
        </w:rPr>
        <w:t>due</w:t>
      </w:r>
      <w:r w:rsidRPr="00F54559">
        <w:rPr>
          <w:rFonts w:eastAsia="Franklin Gothic Book" w:cstheme="minorHAnsi"/>
          <w:spacing w:val="-6"/>
          <w:sz w:val="24"/>
          <w:szCs w:val="24"/>
        </w:rPr>
        <w:t xml:space="preserve"> </w:t>
      </w:r>
      <w:r w:rsidRPr="00F54559">
        <w:rPr>
          <w:rFonts w:eastAsia="Franklin Gothic Book" w:cstheme="minorHAnsi"/>
          <w:sz w:val="24"/>
          <w:szCs w:val="24"/>
        </w:rPr>
        <w:t>and</w:t>
      </w:r>
      <w:r w:rsidRPr="00F54559">
        <w:rPr>
          <w:rFonts w:eastAsia="Franklin Gothic Book" w:cstheme="minorHAnsi"/>
          <w:spacing w:val="-5"/>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a</w:t>
      </w:r>
      <w:r w:rsidRPr="00F54559">
        <w:rPr>
          <w:rFonts w:eastAsia="Franklin Gothic Book" w:cstheme="minorHAnsi"/>
          <w:spacing w:val="-1"/>
          <w:sz w:val="24"/>
          <w:szCs w:val="24"/>
        </w:rPr>
        <w:t>y</w:t>
      </w:r>
      <w:r w:rsidRPr="00F54559">
        <w:rPr>
          <w:rFonts w:eastAsia="Franklin Gothic Book" w:cstheme="minorHAnsi"/>
          <w:sz w:val="24"/>
          <w:szCs w:val="24"/>
        </w:rPr>
        <w:t>a</w:t>
      </w:r>
      <w:r w:rsidRPr="00F54559">
        <w:rPr>
          <w:rFonts w:eastAsia="Franklin Gothic Book" w:cstheme="minorHAnsi"/>
          <w:spacing w:val="1"/>
          <w:sz w:val="24"/>
          <w:szCs w:val="24"/>
        </w:rPr>
        <w:t>b</w:t>
      </w:r>
      <w:r w:rsidRPr="00F54559">
        <w:rPr>
          <w:rFonts w:eastAsia="Franklin Gothic Book" w:cstheme="minorHAnsi"/>
          <w:sz w:val="24"/>
          <w:szCs w:val="24"/>
        </w:rPr>
        <w:t>l</w:t>
      </w:r>
      <w:r w:rsidRPr="00F54559">
        <w:rPr>
          <w:rFonts w:eastAsia="Franklin Gothic Book" w:cstheme="minorHAnsi"/>
          <w:spacing w:val="-1"/>
          <w:sz w:val="24"/>
          <w:szCs w:val="24"/>
        </w:rPr>
        <w:t>e</w:t>
      </w:r>
      <w:r w:rsidRPr="00F54559">
        <w:rPr>
          <w:rFonts w:eastAsia="Franklin Gothic Book" w:cstheme="minorHAnsi"/>
          <w:sz w:val="24"/>
          <w:szCs w:val="24"/>
        </w:rPr>
        <w:t>.</w:t>
      </w:r>
    </w:p>
    <w:p w14:paraId="3251F6AA" w14:textId="77777777" w:rsidR="00DD1612" w:rsidRDefault="00DD1612" w:rsidP="00DD1612">
      <w:pPr>
        <w:rPr>
          <w:rFonts w:eastAsia="Franklin Gothic Book" w:cstheme="minorHAnsi"/>
          <w:sz w:val="24"/>
          <w:szCs w:val="24"/>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89"/>
        <w:gridCol w:w="6122"/>
      </w:tblGrid>
      <w:tr w:rsidR="00DD1612" w:rsidRPr="00A454B4" w14:paraId="7791219D" w14:textId="77777777" w:rsidTr="00BD375F">
        <w:trPr>
          <w:trHeight w:val="246"/>
          <w:tblHeader/>
          <w:jc w:val="center"/>
        </w:trPr>
        <w:tc>
          <w:tcPr>
            <w:tcW w:w="1565" w:type="pct"/>
          </w:tcPr>
          <w:p w14:paraId="0D709C9F" w14:textId="77777777" w:rsidR="00DD1612" w:rsidRPr="00F54559" w:rsidRDefault="00DD1612" w:rsidP="00BD375F">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5" w:type="pct"/>
          </w:tcPr>
          <w:p w14:paraId="34353077" w14:textId="77777777" w:rsidR="00DD1612" w:rsidRPr="003959B0" w:rsidRDefault="00DD1612" w:rsidP="00BD375F">
            <w:pPr>
              <w:widowControl w:val="0"/>
              <w:rPr>
                <w:rFonts w:cstheme="minorHAnsi"/>
                <w:sz w:val="16"/>
                <w:szCs w:val="16"/>
              </w:rPr>
            </w:pPr>
            <w:r w:rsidRPr="009967EF">
              <w:rPr>
                <w:rFonts w:eastAsia="Franklin Gothic Book" w:cstheme="minorHAnsi"/>
                <w:spacing w:val="-2"/>
                <w:sz w:val="24"/>
              </w:rPr>
              <w:t>E</w:t>
            </w:r>
            <w:r w:rsidRPr="009967EF">
              <w:rPr>
                <w:rFonts w:eastAsia="Franklin Gothic Book" w:cstheme="minorHAnsi"/>
                <w:sz w:val="24"/>
              </w:rPr>
              <w:t>nt</w:t>
            </w:r>
            <w:r w:rsidRPr="009967EF">
              <w:rPr>
                <w:rFonts w:eastAsia="Franklin Gothic Book" w:cstheme="minorHAnsi"/>
                <w:spacing w:val="-1"/>
                <w:sz w:val="24"/>
              </w:rPr>
              <w:t>r</w:t>
            </w:r>
            <w:r w:rsidRPr="009967EF">
              <w:rPr>
                <w:rFonts w:eastAsia="Franklin Gothic Book" w:cstheme="minorHAnsi"/>
                <w:sz w:val="24"/>
              </w:rPr>
              <w:t>y</w:t>
            </w:r>
            <w:r w:rsidRPr="009967EF">
              <w:rPr>
                <w:rFonts w:eastAsia="Franklin Gothic Book" w:cstheme="minorHAnsi"/>
                <w:spacing w:val="-8"/>
                <w:sz w:val="24"/>
              </w:rPr>
              <w:t xml:space="preserve"> a</w:t>
            </w:r>
            <w:r w:rsidRPr="009967EF">
              <w:rPr>
                <w:rFonts w:eastAsia="Franklin Gothic Book" w:cstheme="minorHAnsi"/>
                <w:sz w:val="24"/>
              </w:rPr>
              <w:t>ge</w:t>
            </w:r>
            <w:r w:rsidRPr="009967EF">
              <w:rPr>
                <w:rFonts w:eastAsia="Franklin Gothic Book" w:cstheme="minorHAnsi"/>
                <w:spacing w:val="-6"/>
                <w:sz w:val="24"/>
              </w:rPr>
              <w:t xml:space="preserve"> n</w:t>
            </w:r>
            <w:r w:rsidRPr="009967EF">
              <w:rPr>
                <w:rFonts w:eastAsia="Franklin Gothic Book" w:cstheme="minorHAnsi"/>
                <w:sz w:val="24"/>
              </w:rPr>
              <w:t>o</w:t>
            </w:r>
            <w:r w:rsidRPr="009967EF">
              <w:rPr>
                <w:rFonts w:eastAsia="Franklin Gothic Book" w:cstheme="minorHAnsi"/>
                <w:spacing w:val="-2"/>
                <w:sz w:val="24"/>
              </w:rPr>
              <w:t>r</w:t>
            </w:r>
            <w:r w:rsidRPr="009967EF">
              <w:rPr>
                <w:rFonts w:eastAsia="Franklin Gothic Book" w:cstheme="minorHAnsi"/>
                <w:sz w:val="24"/>
              </w:rPr>
              <w:t>mal</w:t>
            </w:r>
          </w:p>
        </w:tc>
      </w:tr>
      <w:tr w:rsidR="00DD1612" w:rsidRPr="00A454B4" w14:paraId="70418DD8" w14:textId="77777777" w:rsidTr="00BD375F">
        <w:trPr>
          <w:trHeight w:val="246"/>
          <w:jc w:val="center"/>
        </w:trPr>
        <w:tc>
          <w:tcPr>
            <w:tcW w:w="1565" w:type="pct"/>
          </w:tcPr>
          <w:p w14:paraId="15C382D1" w14:textId="77777777" w:rsidR="00DD1612" w:rsidRPr="00F54559" w:rsidRDefault="00DD1612" w:rsidP="00BD375F">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5" w:type="pct"/>
          </w:tcPr>
          <w:p w14:paraId="087E4C4B" w14:textId="77777777" w:rsidR="00DD1612" w:rsidRPr="003959B0" w:rsidRDefault="00DD1612" w:rsidP="00BD375F">
            <w:pPr>
              <w:widowControl w:val="0"/>
              <w:rPr>
                <w:rFonts w:cstheme="minorHAnsi"/>
                <w:sz w:val="16"/>
                <w:szCs w:val="16"/>
              </w:rPr>
            </w:pPr>
            <w:r w:rsidRPr="009967EF">
              <w:rPr>
                <w:rFonts w:eastAsia="Franklin Gothic Book" w:cstheme="minorHAnsi"/>
                <w:sz w:val="24"/>
              </w:rPr>
              <w:t xml:space="preserve">Not explicitly assumed </w:t>
            </w:r>
          </w:p>
        </w:tc>
      </w:tr>
      <w:tr w:rsidR="00DD1612" w:rsidRPr="00A454B4" w14:paraId="175C1621" w14:textId="77777777" w:rsidTr="00BD375F">
        <w:trPr>
          <w:trHeight w:val="246"/>
          <w:jc w:val="center"/>
        </w:trPr>
        <w:tc>
          <w:tcPr>
            <w:tcW w:w="1565" w:type="pct"/>
          </w:tcPr>
          <w:p w14:paraId="1DEB84F1" w14:textId="77777777" w:rsidR="00DD1612" w:rsidRPr="00F54559" w:rsidRDefault="00DD1612" w:rsidP="00BD375F">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5" w:type="pct"/>
          </w:tcPr>
          <w:p w14:paraId="6F57D38F" w14:textId="77777777" w:rsidR="00DD1612" w:rsidRPr="009967EF" w:rsidRDefault="00DD1612" w:rsidP="00BD375F">
            <w:pPr>
              <w:widowControl w:val="0"/>
              <w:rPr>
                <w:rFonts w:cstheme="minorHAnsi"/>
                <w:sz w:val="16"/>
                <w:szCs w:val="16"/>
              </w:rPr>
            </w:pPr>
            <w:r w:rsidRPr="009967EF">
              <w:rPr>
                <w:rFonts w:eastAsia="Franklin Gothic Book" w:cstheme="minorHAnsi"/>
                <w:sz w:val="24"/>
              </w:rPr>
              <w:t>3.5%</w:t>
            </w:r>
            <w:r w:rsidRPr="009967EF">
              <w:rPr>
                <w:rFonts w:eastAsia="Franklin Gothic Book" w:cstheme="minorHAnsi"/>
                <w:spacing w:val="-6"/>
                <w:sz w:val="24"/>
              </w:rPr>
              <w:t xml:space="preserve"> </w:t>
            </w:r>
            <w:r w:rsidRPr="009967EF">
              <w:rPr>
                <w:rFonts w:eastAsia="Franklin Gothic Book" w:cstheme="minorHAnsi"/>
                <w:spacing w:val="-1"/>
                <w:sz w:val="24"/>
              </w:rPr>
              <w:t>p</w:t>
            </w:r>
            <w:r w:rsidRPr="009967EF">
              <w:rPr>
                <w:rFonts w:eastAsia="Franklin Gothic Book" w:cstheme="minorHAnsi"/>
                <w:sz w:val="24"/>
              </w:rPr>
              <w:t>er</w:t>
            </w:r>
            <w:r w:rsidRPr="009967EF">
              <w:rPr>
                <w:rFonts w:eastAsia="Franklin Gothic Book" w:cstheme="minorHAnsi"/>
                <w:spacing w:val="-7"/>
                <w:sz w:val="24"/>
              </w:rPr>
              <w:t xml:space="preserve"> </w:t>
            </w:r>
            <w:r w:rsidRPr="009967EF">
              <w:rPr>
                <w:rFonts w:eastAsia="Franklin Gothic Book" w:cstheme="minorHAnsi"/>
                <w:spacing w:val="-1"/>
                <w:sz w:val="24"/>
              </w:rPr>
              <w:t>y</w:t>
            </w:r>
            <w:r w:rsidRPr="009967EF">
              <w:rPr>
                <w:rFonts w:eastAsia="Franklin Gothic Book" w:cstheme="minorHAnsi"/>
                <w:sz w:val="24"/>
              </w:rPr>
              <w:t>ea</w:t>
            </w:r>
            <w:r w:rsidRPr="009967EF">
              <w:rPr>
                <w:rFonts w:eastAsia="Franklin Gothic Book" w:cstheme="minorHAnsi"/>
                <w:spacing w:val="-2"/>
                <w:sz w:val="24"/>
              </w:rPr>
              <w:t>r, including longevity</w:t>
            </w:r>
          </w:p>
        </w:tc>
      </w:tr>
      <w:tr w:rsidR="00DD1612" w:rsidRPr="00A454B4" w14:paraId="29853000" w14:textId="77777777" w:rsidTr="00BD375F">
        <w:trPr>
          <w:trHeight w:val="246"/>
          <w:jc w:val="center"/>
        </w:trPr>
        <w:tc>
          <w:tcPr>
            <w:tcW w:w="1565" w:type="pct"/>
          </w:tcPr>
          <w:p w14:paraId="42C9A929" w14:textId="77777777" w:rsidR="00DD1612" w:rsidRPr="00F54559" w:rsidRDefault="00DD1612" w:rsidP="00BD375F">
            <w:pPr>
              <w:widowControl w:val="0"/>
              <w:rPr>
                <w:rFonts w:cstheme="minorHAnsi"/>
                <w:sz w:val="24"/>
                <w:szCs w:val="20"/>
              </w:rPr>
            </w:pPr>
            <w:r w:rsidRPr="00F54559">
              <w:rPr>
                <w:rFonts w:eastAsia="Franklin Gothic Book" w:cstheme="minorHAnsi"/>
                <w:spacing w:val="-2"/>
                <w:sz w:val="24"/>
              </w:rPr>
              <w:t>Payroll increases</w:t>
            </w:r>
          </w:p>
        </w:tc>
        <w:tc>
          <w:tcPr>
            <w:tcW w:w="3435" w:type="pct"/>
          </w:tcPr>
          <w:p w14:paraId="4D6B5413" w14:textId="77777777" w:rsidR="00DD1612" w:rsidRPr="009967EF" w:rsidRDefault="00DD1612" w:rsidP="00BD375F">
            <w:pPr>
              <w:widowControl w:val="0"/>
              <w:rPr>
                <w:rFonts w:cstheme="minorHAnsi"/>
                <w:sz w:val="16"/>
                <w:szCs w:val="16"/>
              </w:rPr>
            </w:pPr>
            <w:r w:rsidRPr="009967EF">
              <w:rPr>
                <w:rFonts w:eastAsia="Franklin Gothic Book" w:cstheme="minorHAnsi"/>
                <w:spacing w:val="-2"/>
                <w:sz w:val="24"/>
              </w:rPr>
              <w:t>3.5% per year</w:t>
            </w:r>
          </w:p>
        </w:tc>
      </w:tr>
      <w:tr w:rsidR="00DD1612" w:rsidRPr="00A454B4" w14:paraId="16518B24" w14:textId="77777777" w:rsidTr="00BD375F">
        <w:trPr>
          <w:trHeight w:val="246"/>
          <w:jc w:val="center"/>
        </w:trPr>
        <w:tc>
          <w:tcPr>
            <w:tcW w:w="1565" w:type="pct"/>
          </w:tcPr>
          <w:p w14:paraId="758F3455" w14:textId="77777777" w:rsidR="00DD1612" w:rsidRPr="00F54559" w:rsidRDefault="00DD1612" w:rsidP="00BD375F">
            <w:pPr>
              <w:widowControl w:val="0"/>
              <w:tabs>
                <w:tab w:val="left" w:pos="4264"/>
              </w:tabs>
              <w:rPr>
                <w:rFonts w:cstheme="minorHAnsi"/>
                <w:sz w:val="24"/>
                <w:szCs w:val="20"/>
              </w:rPr>
            </w:pPr>
            <w:r>
              <w:rPr>
                <w:rFonts w:eastAsia="Franklin Gothic Book" w:cstheme="minorHAnsi"/>
                <w:sz w:val="24"/>
              </w:rPr>
              <w:t>Assets</w:t>
            </w:r>
            <w:r w:rsidRPr="00F54559">
              <w:rPr>
                <w:rFonts w:eastAsia="Franklin Gothic Book" w:cstheme="minorHAnsi"/>
                <w:spacing w:val="-2"/>
                <w:sz w:val="24"/>
              </w:rPr>
              <w:t xml:space="preserve"> </w:t>
            </w:r>
          </w:p>
        </w:tc>
        <w:tc>
          <w:tcPr>
            <w:tcW w:w="3435" w:type="pct"/>
          </w:tcPr>
          <w:p w14:paraId="11D793E6" w14:textId="77777777" w:rsidR="00DD1612" w:rsidRPr="003959B0" w:rsidRDefault="00DD1612" w:rsidP="00BD375F">
            <w:pPr>
              <w:widowControl w:val="0"/>
              <w:rPr>
                <w:rFonts w:eastAsia="Franklin Gothic Book" w:cstheme="minorHAnsi"/>
                <w:sz w:val="24"/>
              </w:rPr>
            </w:pPr>
            <w:r w:rsidRPr="009967EF">
              <w:rPr>
                <w:rFonts w:eastAsia="Franklin Gothic Book" w:cstheme="minorHAnsi"/>
                <w:sz w:val="24"/>
                <w:szCs w:val="24"/>
              </w:rPr>
              <w:t>There are no assets accumulated in a trust that meets the criteria in paragraph 4 of GASB Statement No. 73.</w:t>
            </w:r>
          </w:p>
        </w:tc>
      </w:tr>
    </w:tbl>
    <w:p w14:paraId="51539A7A" w14:textId="77777777" w:rsidR="00DD1612" w:rsidRPr="00F54559" w:rsidRDefault="00DD1612" w:rsidP="00DD1612">
      <w:pPr>
        <w:rPr>
          <w:rFonts w:cstheme="minorHAnsi"/>
          <w:sz w:val="24"/>
          <w:szCs w:val="24"/>
        </w:rPr>
      </w:pPr>
      <w:r w:rsidRPr="00F54559">
        <w:rPr>
          <w:rFonts w:eastAsia="Franklin Gothic Book" w:cstheme="minorHAnsi"/>
          <w:b/>
          <w:spacing w:val="1"/>
          <w:sz w:val="24"/>
          <w:szCs w:val="24"/>
        </w:rPr>
        <w:br w:type="page"/>
      </w:r>
    </w:p>
    <w:p w14:paraId="0F5A0F38" w14:textId="77777777" w:rsidR="00DD1612" w:rsidRDefault="00DD1612" w:rsidP="00DD1612">
      <w:pPr>
        <w:pStyle w:val="AFR2"/>
        <w:rPr>
          <w:rFonts w:eastAsia="Franklin Gothic Book" w:cstheme="minorHAnsi"/>
          <w:sz w:val="28"/>
        </w:rPr>
        <w:sectPr w:rsidR="00DD1612" w:rsidSect="00BD375F">
          <w:headerReference w:type="first" r:id="rId86"/>
          <w:pgSz w:w="12240" w:h="15840" w:code="1"/>
          <w:pgMar w:top="1440" w:right="1440" w:bottom="1440" w:left="1440" w:header="720" w:footer="720" w:gutter="0"/>
          <w:cols w:space="0"/>
          <w:titlePg/>
          <w:docGrid w:linePitch="360"/>
        </w:sectPr>
      </w:pPr>
    </w:p>
    <w:p w14:paraId="0D06831B" w14:textId="77777777" w:rsidR="00DD1612" w:rsidRPr="0023665A" w:rsidRDefault="00DD1612" w:rsidP="00DD1612">
      <w:pPr>
        <w:pStyle w:val="AFR2"/>
        <w:rPr>
          <w:rFonts w:eastAsia="Franklin Gothic Book" w:cstheme="minorHAnsi"/>
          <w:sz w:val="26"/>
          <w:szCs w:val="26"/>
        </w:rPr>
      </w:pPr>
      <w:r w:rsidRPr="0023665A">
        <w:rPr>
          <w:rFonts w:eastAsia="Franklin Gothic Book" w:cstheme="minorHAnsi"/>
          <w:sz w:val="26"/>
          <w:szCs w:val="26"/>
        </w:rPr>
        <w:lastRenderedPageBreak/>
        <w:t>Defined Benefit Pension Plan:</w:t>
      </w:r>
    </w:p>
    <w:tbl>
      <w:tblPr>
        <w:tblW w:w="0" w:type="auto"/>
        <w:tblLook w:val="04A0" w:firstRow="1" w:lastRow="0" w:firstColumn="1" w:lastColumn="0" w:noHBand="0" w:noVBand="1"/>
      </w:tblPr>
      <w:tblGrid>
        <w:gridCol w:w="2677"/>
        <w:gridCol w:w="1029"/>
        <w:gridCol w:w="1029"/>
        <w:gridCol w:w="1029"/>
        <w:gridCol w:w="1029"/>
        <w:gridCol w:w="1008"/>
        <w:gridCol w:w="1008"/>
        <w:gridCol w:w="1008"/>
        <w:gridCol w:w="1008"/>
        <w:gridCol w:w="1008"/>
        <w:gridCol w:w="1008"/>
      </w:tblGrid>
      <w:tr w:rsidR="005A7564" w:rsidRPr="005A7564" w14:paraId="0DDFAE36" w14:textId="77777777" w:rsidTr="00316B2A">
        <w:trPr>
          <w:gridAfter w:val="1"/>
          <w:wAfter w:w="1008" w:type="dxa"/>
          <w:trHeight w:val="312"/>
        </w:trPr>
        <w:tc>
          <w:tcPr>
            <w:tcW w:w="11812" w:type="dxa"/>
            <w:gridSpan w:val="10"/>
            <w:tcBorders>
              <w:top w:val="nil"/>
              <w:left w:val="nil"/>
              <w:bottom w:val="nil"/>
              <w:right w:val="nil"/>
            </w:tcBorders>
            <w:shd w:val="clear" w:color="000000" w:fill="FFFFFF"/>
            <w:noWrap/>
            <w:vAlign w:val="bottom"/>
            <w:hideMark/>
          </w:tcPr>
          <w:p w14:paraId="4346CAD2"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Changes in Total Pension Liability and Related Ratios</w:t>
            </w:r>
          </w:p>
        </w:tc>
      </w:tr>
      <w:tr w:rsidR="00AE08EB" w:rsidRPr="005A7564" w14:paraId="0AC8BCEB" w14:textId="77777777" w:rsidTr="00316B2A">
        <w:trPr>
          <w:trHeight w:val="480"/>
        </w:trPr>
        <w:tc>
          <w:tcPr>
            <w:tcW w:w="2677" w:type="dxa"/>
            <w:tcBorders>
              <w:top w:val="nil"/>
              <w:left w:val="nil"/>
              <w:bottom w:val="single" w:sz="12" w:space="0" w:color="00688D"/>
              <w:right w:val="nil"/>
            </w:tcBorders>
            <w:shd w:val="clear" w:color="000000" w:fill="FFFFFF"/>
            <w:vAlign w:val="bottom"/>
            <w:hideMark/>
          </w:tcPr>
          <w:p w14:paraId="592B11E0" w14:textId="77777777" w:rsidR="005A7564" w:rsidRPr="00316B2A" w:rsidRDefault="005A7564" w:rsidP="00316B2A">
            <w:pPr>
              <w:ind w:left="-113"/>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Fiscal Year Ended June 30</w:t>
            </w:r>
          </w:p>
        </w:tc>
        <w:tc>
          <w:tcPr>
            <w:tcW w:w="1008" w:type="dxa"/>
            <w:tcBorders>
              <w:top w:val="nil"/>
              <w:left w:val="nil"/>
              <w:bottom w:val="single" w:sz="12" w:space="0" w:color="00688D"/>
              <w:right w:val="nil"/>
            </w:tcBorders>
            <w:shd w:val="clear" w:color="000000" w:fill="F2F2F2"/>
            <w:noWrap/>
            <w:vAlign w:val="bottom"/>
            <w:hideMark/>
          </w:tcPr>
          <w:p w14:paraId="6459AA6B"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2023</w:t>
            </w:r>
          </w:p>
        </w:tc>
        <w:tc>
          <w:tcPr>
            <w:tcW w:w="1029" w:type="dxa"/>
            <w:tcBorders>
              <w:top w:val="nil"/>
              <w:left w:val="nil"/>
              <w:bottom w:val="single" w:sz="12" w:space="0" w:color="00688D"/>
              <w:right w:val="nil"/>
            </w:tcBorders>
            <w:shd w:val="clear" w:color="000000" w:fill="FFFFFF"/>
            <w:noWrap/>
            <w:vAlign w:val="bottom"/>
            <w:hideMark/>
          </w:tcPr>
          <w:p w14:paraId="5EEBC839"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2022</w:t>
            </w:r>
          </w:p>
        </w:tc>
        <w:tc>
          <w:tcPr>
            <w:tcW w:w="1029" w:type="dxa"/>
            <w:tcBorders>
              <w:top w:val="nil"/>
              <w:left w:val="nil"/>
              <w:bottom w:val="single" w:sz="12" w:space="0" w:color="00688D"/>
              <w:right w:val="nil"/>
            </w:tcBorders>
            <w:shd w:val="clear" w:color="000000" w:fill="F2F2F2"/>
            <w:noWrap/>
            <w:vAlign w:val="bottom"/>
            <w:hideMark/>
          </w:tcPr>
          <w:p w14:paraId="166D2E7E"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2021</w:t>
            </w:r>
          </w:p>
        </w:tc>
        <w:tc>
          <w:tcPr>
            <w:tcW w:w="1029" w:type="dxa"/>
            <w:tcBorders>
              <w:top w:val="nil"/>
              <w:left w:val="nil"/>
              <w:bottom w:val="single" w:sz="12" w:space="0" w:color="00688D"/>
              <w:right w:val="nil"/>
            </w:tcBorders>
            <w:shd w:val="clear" w:color="000000" w:fill="FFFFFF"/>
            <w:noWrap/>
            <w:vAlign w:val="bottom"/>
            <w:hideMark/>
          </w:tcPr>
          <w:p w14:paraId="759D4DF2"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2020</w:t>
            </w:r>
          </w:p>
        </w:tc>
        <w:tc>
          <w:tcPr>
            <w:tcW w:w="1008" w:type="dxa"/>
            <w:tcBorders>
              <w:top w:val="nil"/>
              <w:left w:val="nil"/>
              <w:bottom w:val="single" w:sz="12" w:space="0" w:color="00688D"/>
              <w:right w:val="nil"/>
            </w:tcBorders>
            <w:shd w:val="clear" w:color="000000" w:fill="F2F2F2"/>
            <w:noWrap/>
            <w:vAlign w:val="bottom"/>
            <w:hideMark/>
          </w:tcPr>
          <w:p w14:paraId="2EC42344"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2019</w:t>
            </w:r>
          </w:p>
        </w:tc>
        <w:tc>
          <w:tcPr>
            <w:tcW w:w="1008" w:type="dxa"/>
            <w:tcBorders>
              <w:top w:val="nil"/>
              <w:left w:val="nil"/>
              <w:bottom w:val="single" w:sz="12" w:space="0" w:color="00688D"/>
              <w:right w:val="nil"/>
            </w:tcBorders>
            <w:shd w:val="clear" w:color="000000" w:fill="FFFFFF"/>
            <w:noWrap/>
            <w:vAlign w:val="bottom"/>
            <w:hideMark/>
          </w:tcPr>
          <w:p w14:paraId="3589C657"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2018</w:t>
            </w:r>
          </w:p>
        </w:tc>
        <w:tc>
          <w:tcPr>
            <w:tcW w:w="1008" w:type="dxa"/>
            <w:tcBorders>
              <w:top w:val="nil"/>
              <w:left w:val="nil"/>
              <w:bottom w:val="single" w:sz="12" w:space="0" w:color="00688D"/>
              <w:right w:val="nil"/>
            </w:tcBorders>
            <w:shd w:val="clear" w:color="000000" w:fill="F2F2F2"/>
            <w:noWrap/>
            <w:vAlign w:val="bottom"/>
            <w:hideMark/>
          </w:tcPr>
          <w:p w14:paraId="018ABAE5"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2017</w:t>
            </w:r>
          </w:p>
        </w:tc>
        <w:tc>
          <w:tcPr>
            <w:tcW w:w="1008" w:type="dxa"/>
            <w:tcBorders>
              <w:top w:val="nil"/>
              <w:left w:val="nil"/>
              <w:bottom w:val="single" w:sz="12" w:space="0" w:color="00688D"/>
              <w:right w:val="nil"/>
            </w:tcBorders>
            <w:shd w:val="clear" w:color="000000" w:fill="FFFFFF"/>
            <w:noWrap/>
            <w:vAlign w:val="bottom"/>
            <w:hideMark/>
          </w:tcPr>
          <w:p w14:paraId="42309B03"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2016</w:t>
            </w:r>
          </w:p>
        </w:tc>
        <w:tc>
          <w:tcPr>
            <w:tcW w:w="1008" w:type="dxa"/>
            <w:tcBorders>
              <w:top w:val="nil"/>
              <w:left w:val="nil"/>
              <w:bottom w:val="single" w:sz="12" w:space="0" w:color="00688D"/>
              <w:right w:val="nil"/>
            </w:tcBorders>
            <w:shd w:val="clear" w:color="000000" w:fill="F2F2F2"/>
            <w:noWrap/>
            <w:vAlign w:val="bottom"/>
            <w:hideMark/>
          </w:tcPr>
          <w:p w14:paraId="5DB7A84B"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2015</w:t>
            </w:r>
          </w:p>
        </w:tc>
        <w:tc>
          <w:tcPr>
            <w:tcW w:w="1008" w:type="dxa"/>
            <w:tcBorders>
              <w:top w:val="nil"/>
              <w:left w:val="nil"/>
              <w:bottom w:val="single" w:sz="12" w:space="0" w:color="00688D"/>
              <w:right w:val="nil"/>
            </w:tcBorders>
            <w:shd w:val="clear" w:color="000000" w:fill="FFFFFF"/>
            <w:noWrap/>
            <w:vAlign w:val="bottom"/>
            <w:hideMark/>
          </w:tcPr>
          <w:p w14:paraId="69C02141" w14:textId="77777777" w:rsidR="005A7564" w:rsidRPr="00316B2A" w:rsidRDefault="005A7564" w:rsidP="005A7564">
            <w:pPr>
              <w:jc w:val="center"/>
              <w:rPr>
                <w:rFonts w:ascii="Calibri" w:eastAsia="Times New Roman" w:hAnsi="Calibri" w:cs="Calibri"/>
                <w:b/>
                <w:bCs/>
                <w:color w:val="0D0D0D"/>
                <w:sz w:val="20"/>
                <w:szCs w:val="20"/>
              </w:rPr>
            </w:pPr>
            <w:r w:rsidRPr="00316B2A">
              <w:rPr>
                <w:rFonts w:ascii="Calibri" w:eastAsia="Times New Roman" w:hAnsi="Calibri" w:cs="Calibri"/>
                <w:b/>
                <w:bCs/>
                <w:color w:val="0D0D0D"/>
                <w:sz w:val="20"/>
                <w:szCs w:val="20"/>
              </w:rPr>
              <w:t>2014</w:t>
            </w:r>
            <w:r w:rsidRPr="00316B2A">
              <w:rPr>
                <w:rFonts w:ascii="Calibri" w:eastAsia="Times New Roman" w:hAnsi="Calibri" w:cs="Calibri"/>
                <w:b/>
                <w:bCs/>
                <w:color w:val="0D0D0D"/>
                <w:sz w:val="20"/>
                <w:szCs w:val="20"/>
                <w:vertAlign w:val="superscript"/>
              </w:rPr>
              <w:t>**</w:t>
            </w:r>
          </w:p>
        </w:tc>
      </w:tr>
      <w:tr w:rsidR="00AE08EB" w:rsidRPr="00956B56" w14:paraId="7AC23DB8" w14:textId="77777777" w:rsidTr="00316B2A">
        <w:trPr>
          <w:trHeight w:val="20"/>
        </w:trPr>
        <w:tc>
          <w:tcPr>
            <w:tcW w:w="2677" w:type="dxa"/>
            <w:tcBorders>
              <w:top w:val="nil"/>
              <w:left w:val="nil"/>
              <w:bottom w:val="nil"/>
              <w:right w:val="nil"/>
            </w:tcBorders>
            <w:shd w:val="clear" w:color="000000" w:fill="FFFFFF"/>
            <w:vAlign w:val="bottom"/>
            <w:hideMark/>
          </w:tcPr>
          <w:p w14:paraId="520431FA"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Changes for the year:</w:t>
            </w:r>
          </w:p>
        </w:tc>
        <w:tc>
          <w:tcPr>
            <w:tcW w:w="1008" w:type="dxa"/>
            <w:tcBorders>
              <w:top w:val="nil"/>
              <w:left w:val="nil"/>
              <w:bottom w:val="nil"/>
              <w:right w:val="nil"/>
            </w:tcBorders>
            <w:shd w:val="clear" w:color="000000" w:fill="F2F2F2"/>
            <w:noWrap/>
            <w:vAlign w:val="bottom"/>
            <w:hideMark/>
          </w:tcPr>
          <w:p w14:paraId="05FE1CEA"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29" w:type="dxa"/>
            <w:tcBorders>
              <w:top w:val="nil"/>
              <w:left w:val="nil"/>
              <w:bottom w:val="nil"/>
              <w:right w:val="nil"/>
            </w:tcBorders>
            <w:shd w:val="clear" w:color="000000" w:fill="FFFFFF"/>
            <w:noWrap/>
            <w:vAlign w:val="bottom"/>
            <w:hideMark/>
          </w:tcPr>
          <w:p w14:paraId="00A7EF5D"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29" w:type="dxa"/>
            <w:tcBorders>
              <w:top w:val="nil"/>
              <w:left w:val="nil"/>
              <w:bottom w:val="nil"/>
              <w:right w:val="nil"/>
            </w:tcBorders>
            <w:shd w:val="clear" w:color="000000" w:fill="F2F2F2"/>
            <w:noWrap/>
            <w:vAlign w:val="bottom"/>
            <w:hideMark/>
          </w:tcPr>
          <w:p w14:paraId="459678A9"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29" w:type="dxa"/>
            <w:tcBorders>
              <w:top w:val="nil"/>
              <w:left w:val="nil"/>
              <w:bottom w:val="nil"/>
              <w:right w:val="nil"/>
            </w:tcBorders>
            <w:shd w:val="clear" w:color="000000" w:fill="FFFFFF"/>
            <w:noWrap/>
            <w:vAlign w:val="bottom"/>
            <w:hideMark/>
          </w:tcPr>
          <w:p w14:paraId="389FB5E0"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2F2F2"/>
            <w:noWrap/>
            <w:vAlign w:val="bottom"/>
            <w:hideMark/>
          </w:tcPr>
          <w:p w14:paraId="62112671"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46FCB59C"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2F2F2"/>
            <w:noWrap/>
            <w:vAlign w:val="bottom"/>
            <w:hideMark/>
          </w:tcPr>
          <w:p w14:paraId="67D00579"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326EF110"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2F2F2"/>
            <w:noWrap/>
            <w:vAlign w:val="bottom"/>
            <w:hideMark/>
          </w:tcPr>
          <w:p w14:paraId="6522C130"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015A2821" w14:textId="77777777" w:rsidR="005A7564" w:rsidRPr="00316B2A" w:rsidRDefault="005A7564" w:rsidP="005A7564">
            <w:pPr>
              <w:ind w:firstLineChars="100" w:firstLine="160"/>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r>
      <w:tr w:rsidR="00AE08EB" w:rsidRPr="00956B56" w14:paraId="0D039258" w14:textId="77777777" w:rsidTr="00316B2A">
        <w:trPr>
          <w:trHeight w:val="20"/>
        </w:trPr>
        <w:tc>
          <w:tcPr>
            <w:tcW w:w="2677" w:type="dxa"/>
            <w:tcBorders>
              <w:top w:val="nil"/>
              <w:left w:val="nil"/>
              <w:bottom w:val="nil"/>
              <w:right w:val="nil"/>
            </w:tcBorders>
            <w:shd w:val="clear" w:color="000000" w:fill="FFFFFF"/>
            <w:vAlign w:val="bottom"/>
            <w:hideMark/>
          </w:tcPr>
          <w:p w14:paraId="08C6C3D8"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Service cost</w:t>
            </w:r>
          </w:p>
        </w:tc>
        <w:tc>
          <w:tcPr>
            <w:tcW w:w="1008" w:type="dxa"/>
            <w:tcBorders>
              <w:top w:val="nil"/>
              <w:left w:val="nil"/>
              <w:bottom w:val="nil"/>
              <w:right w:val="nil"/>
            </w:tcBorders>
            <w:shd w:val="clear" w:color="000000" w:fill="F2F2F2"/>
            <w:noWrap/>
            <w:vAlign w:val="bottom"/>
            <w:hideMark/>
          </w:tcPr>
          <w:p w14:paraId="4C53E832" w14:textId="7B2FDBE0" w:rsidR="005A7564" w:rsidRPr="00316B2A" w:rsidRDefault="005A7564" w:rsidP="00316B2A">
            <w:pPr>
              <w:jc w:val="right"/>
              <w:rPr>
                <w:rFonts w:ascii="Calibri" w:eastAsia="Times New Roman" w:hAnsi="Calibri" w:cs="Calibri"/>
                <w:sz w:val="18"/>
                <w:szCs w:val="18"/>
              </w:rPr>
            </w:pPr>
            <w:r w:rsidRPr="00316B2A">
              <w:rPr>
                <w:rFonts w:ascii="Calibri" w:eastAsia="Times New Roman" w:hAnsi="Calibri" w:cs="Calibri"/>
                <w:sz w:val="18"/>
                <w:szCs w:val="18"/>
              </w:rPr>
              <w:t xml:space="preserve"> $   </w:t>
            </w:r>
            <w:r w:rsidR="00CA55E3">
              <w:rPr>
                <w:rFonts w:ascii="Calibri" w:eastAsia="Times New Roman" w:hAnsi="Calibri" w:cs="Calibri"/>
                <w:sz w:val="18"/>
                <w:szCs w:val="18"/>
              </w:rPr>
              <w:t xml:space="preserve">    </w:t>
            </w:r>
            <w:r w:rsidRPr="00316B2A">
              <w:rPr>
                <w:rFonts w:ascii="Calibri" w:eastAsia="Times New Roman" w:hAnsi="Calibri" w:cs="Calibri"/>
                <w:sz w:val="18"/>
                <w:szCs w:val="18"/>
              </w:rPr>
              <w:t xml:space="preserve">    1 </w:t>
            </w:r>
          </w:p>
        </w:tc>
        <w:tc>
          <w:tcPr>
            <w:tcW w:w="1029" w:type="dxa"/>
            <w:tcBorders>
              <w:top w:val="nil"/>
              <w:left w:val="nil"/>
              <w:bottom w:val="nil"/>
              <w:right w:val="nil"/>
            </w:tcBorders>
            <w:shd w:val="clear" w:color="000000" w:fill="FFFFFF"/>
            <w:noWrap/>
            <w:vAlign w:val="bottom"/>
            <w:hideMark/>
          </w:tcPr>
          <w:p w14:paraId="49FF9EE1" w14:textId="77C1D2C9"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 </w:t>
            </w:r>
            <w:r w:rsidR="005A7564" w:rsidRPr="00316B2A">
              <w:rPr>
                <w:rFonts w:ascii="Calibri" w:eastAsia="Times New Roman" w:hAnsi="Calibri" w:cs="Calibri"/>
                <w:sz w:val="18"/>
                <w:szCs w:val="18"/>
              </w:rPr>
              <w:t xml:space="preserve">  </w:t>
            </w:r>
            <w:r w:rsidR="00CA55E3">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1 </w:t>
            </w:r>
          </w:p>
        </w:tc>
        <w:tc>
          <w:tcPr>
            <w:tcW w:w="1029" w:type="dxa"/>
            <w:tcBorders>
              <w:top w:val="nil"/>
              <w:left w:val="nil"/>
              <w:bottom w:val="nil"/>
              <w:right w:val="nil"/>
            </w:tcBorders>
            <w:shd w:val="clear" w:color="000000" w:fill="F2F2F2"/>
            <w:noWrap/>
            <w:vAlign w:val="bottom"/>
            <w:hideMark/>
          </w:tcPr>
          <w:p w14:paraId="6E7EF9F9" w14:textId="759904C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E47AA" w:rsidRPr="00316B2A">
              <w:rPr>
                <w:rFonts w:ascii="Calibri" w:eastAsia="Times New Roman" w:hAnsi="Calibri" w:cs="Calibri"/>
                <w:sz w:val="18"/>
                <w:szCs w:val="18"/>
              </w:rPr>
              <w:t>$</w:t>
            </w:r>
            <w:r w:rsidR="00CA55E3">
              <w:rPr>
                <w:rFonts w:ascii="Calibri" w:eastAsia="Times New Roman" w:hAnsi="Calibri" w:cs="Calibri"/>
                <w:sz w:val="18"/>
                <w:szCs w:val="18"/>
              </w:rPr>
              <w:t xml:space="preserve"> </w:t>
            </w:r>
            <w:r w:rsidRPr="00316B2A">
              <w:rPr>
                <w:rFonts w:ascii="Calibri" w:eastAsia="Times New Roman" w:hAnsi="Calibri" w:cs="Calibri"/>
                <w:sz w:val="18"/>
                <w:szCs w:val="18"/>
              </w:rPr>
              <w:t xml:space="preserve">   </w:t>
            </w:r>
            <w:r w:rsidR="00CA55E3">
              <w:rPr>
                <w:rFonts w:ascii="Calibri" w:eastAsia="Times New Roman" w:hAnsi="Calibri" w:cs="Calibri"/>
                <w:sz w:val="18"/>
                <w:szCs w:val="18"/>
              </w:rPr>
              <w:t xml:space="preserve">   </w:t>
            </w:r>
            <w:r w:rsidR="005F5B9A" w:rsidRPr="005F5B9A">
              <w:rPr>
                <w:rFonts w:ascii="Calibri" w:eastAsia="Times New Roman" w:hAnsi="Calibri" w:cs="Calibri"/>
                <w:sz w:val="18"/>
                <w:szCs w:val="18"/>
              </w:rPr>
              <w:t xml:space="preserve">   </w:t>
            </w:r>
            <w:r w:rsidRPr="00316B2A">
              <w:rPr>
                <w:rFonts w:ascii="Calibri" w:eastAsia="Times New Roman" w:hAnsi="Calibri" w:cs="Calibri"/>
                <w:sz w:val="18"/>
                <w:szCs w:val="18"/>
              </w:rPr>
              <w:t xml:space="preserve">1 </w:t>
            </w:r>
          </w:p>
        </w:tc>
        <w:tc>
          <w:tcPr>
            <w:tcW w:w="1029" w:type="dxa"/>
            <w:tcBorders>
              <w:top w:val="nil"/>
              <w:left w:val="nil"/>
              <w:bottom w:val="nil"/>
              <w:right w:val="nil"/>
            </w:tcBorders>
            <w:shd w:val="clear" w:color="000000" w:fill="FFFFFF"/>
            <w:noWrap/>
            <w:vAlign w:val="bottom"/>
            <w:hideMark/>
          </w:tcPr>
          <w:p w14:paraId="1848B64D" w14:textId="0690DA58" w:rsidR="005A7564" w:rsidRPr="00316B2A" w:rsidRDefault="005E47AA"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r w:rsidR="00CA55E3">
              <w:rPr>
                <w:rFonts w:ascii="Calibri" w:eastAsia="Times New Roman" w:hAnsi="Calibri" w:cs="Calibri"/>
                <w:color w:val="0D0D0D"/>
                <w:sz w:val="18"/>
                <w:szCs w:val="18"/>
              </w:rPr>
              <w:t xml:space="preserve">    </w:t>
            </w:r>
            <w:r w:rsidR="005F5B9A" w:rsidRPr="005F5B9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 </w:t>
            </w:r>
          </w:p>
        </w:tc>
        <w:tc>
          <w:tcPr>
            <w:tcW w:w="1008" w:type="dxa"/>
            <w:tcBorders>
              <w:top w:val="nil"/>
              <w:left w:val="nil"/>
              <w:bottom w:val="nil"/>
              <w:right w:val="nil"/>
            </w:tcBorders>
            <w:shd w:val="clear" w:color="000000" w:fill="F2F2F2"/>
            <w:noWrap/>
            <w:vAlign w:val="bottom"/>
            <w:hideMark/>
          </w:tcPr>
          <w:p w14:paraId="388670BB" w14:textId="1287424A"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E47AA" w:rsidRPr="00316B2A">
              <w:rPr>
                <w:rFonts w:ascii="Calibri" w:eastAsia="Times New Roman" w:hAnsi="Calibri" w:cs="Calibri"/>
                <w:color w:val="0D0D0D"/>
                <w:sz w:val="18"/>
                <w:szCs w:val="18"/>
              </w:rPr>
              <w:t xml:space="preserve">$ </w:t>
            </w:r>
            <w:r w:rsidRPr="00316B2A">
              <w:rPr>
                <w:rFonts w:ascii="Calibri" w:eastAsia="Times New Roman" w:hAnsi="Calibri" w:cs="Calibri"/>
                <w:color w:val="0D0D0D"/>
                <w:sz w:val="18"/>
                <w:szCs w:val="18"/>
              </w:rPr>
              <w:t xml:space="preserve"> </w:t>
            </w:r>
            <w:r w:rsidR="00CA55E3">
              <w:rPr>
                <w:rFonts w:ascii="Calibri" w:eastAsia="Times New Roman" w:hAnsi="Calibri" w:cs="Calibri"/>
                <w:color w:val="0D0D0D"/>
                <w:sz w:val="18"/>
                <w:szCs w:val="18"/>
              </w:rPr>
              <w:t xml:space="preserve">   </w:t>
            </w:r>
            <w:r w:rsidRPr="00316B2A">
              <w:rPr>
                <w:rFonts w:ascii="Calibri" w:eastAsia="Times New Roman" w:hAnsi="Calibri" w:cs="Calibri"/>
                <w:color w:val="0D0D0D"/>
                <w:sz w:val="18"/>
                <w:szCs w:val="18"/>
              </w:rPr>
              <w:t xml:space="preserve">    1 </w:t>
            </w:r>
          </w:p>
        </w:tc>
        <w:tc>
          <w:tcPr>
            <w:tcW w:w="1008" w:type="dxa"/>
            <w:tcBorders>
              <w:top w:val="nil"/>
              <w:left w:val="nil"/>
              <w:bottom w:val="nil"/>
              <w:right w:val="nil"/>
            </w:tcBorders>
            <w:shd w:val="clear" w:color="000000" w:fill="FFFFFF"/>
            <w:noWrap/>
            <w:vAlign w:val="bottom"/>
            <w:hideMark/>
          </w:tcPr>
          <w:p w14:paraId="189F77B9" w14:textId="7232D012" w:rsidR="005A7564" w:rsidRPr="00316B2A" w:rsidRDefault="005E47AA"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  </w:t>
            </w:r>
            <w:r w:rsidR="00CA55E3">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1 </w:t>
            </w:r>
          </w:p>
        </w:tc>
        <w:tc>
          <w:tcPr>
            <w:tcW w:w="1008" w:type="dxa"/>
            <w:tcBorders>
              <w:top w:val="nil"/>
              <w:left w:val="nil"/>
              <w:bottom w:val="nil"/>
              <w:right w:val="nil"/>
            </w:tcBorders>
            <w:shd w:val="clear" w:color="000000" w:fill="F2F2F2"/>
            <w:noWrap/>
            <w:vAlign w:val="bottom"/>
            <w:hideMark/>
          </w:tcPr>
          <w:p w14:paraId="38C0BA1E" w14:textId="11A5E2FB" w:rsidR="005A7564" w:rsidRPr="00316B2A" w:rsidRDefault="005E47AA"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r w:rsidR="00CA55E3">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6 </w:t>
            </w:r>
          </w:p>
        </w:tc>
        <w:tc>
          <w:tcPr>
            <w:tcW w:w="1008" w:type="dxa"/>
            <w:tcBorders>
              <w:top w:val="nil"/>
              <w:left w:val="nil"/>
              <w:bottom w:val="nil"/>
              <w:right w:val="nil"/>
            </w:tcBorders>
            <w:shd w:val="clear" w:color="000000" w:fill="FFFFFF"/>
            <w:noWrap/>
            <w:vAlign w:val="bottom"/>
            <w:hideMark/>
          </w:tcPr>
          <w:p w14:paraId="54B0D66E" w14:textId="13CAF229"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 </w:t>
            </w:r>
            <w:r w:rsidR="005A7564" w:rsidRPr="00316B2A">
              <w:rPr>
                <w:rFonts w:ascii="Calibri" w:eastAsia="Times New Roman" w:hAnsi="Calibri" w:cs="Calibri"/>
                <w:sz w:val="18"/>
                <w:szCs w:val="18"/>
              </w:rPr>
              <w:t xml:space="preserve">     </w:t>
            </w:r>
            <w:r w:rsidR="00CA55E3">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5 </w:t>
            </w:r>
          </w:p>
        </w:tc>
        <w:tc>
          <w:tcPr>
            <w:tcW w:w="1008" w:type="dxa"/>
            <w:tcBorders>
              <w:top w:val="nil"/>
              <w:left w:val="nil"/>
              <w:bottom w:val="nil"/>
              <w:right w:val="nil"/>
            </w:tcBorders>
            <w:shd w:val="clear" w:color="000000" w:fill="F2F2F2"/>
            <w:noWrap/>
            <w:vAlign w:val="bottom"/>
            <w:hideMark/>
          </w:tcPr>
          <w:p w14:paraId="1F1F2962" w14:textId="05C626C4" w:rsidR="005A7564" w:rsidRPr="00316B2A" w:rsidRDefault="005E47AA"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 </w:t>
            </w:r>
            <w:r w:rsidR="00CA55E3">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40 </w:t>
            </w:r>
          </w:p>
        </w:tc>
        <w:tc>
          <w:tcPr>
            <w:tcW w:w="1008" w:type="dxa"/>
            <w:tcBorders>
              <w:top w:val="nil"/>
              <w:left w:val="nil"/>
              <w:bottom w:val="nil"/>
              <w:right w:val="nil"/>
            </w:tcBorders>
            <w:shd w:val="clear" w:color="000000" w:fill="FFFFFF"/>
            <w:noWrap/>
            <w:vAlign w:val="bottom"/>
            <w:hideMark/>
          </w:tcPr>
          <w:p w14:paraId="09834BE7" w14:textId="0A33F2D5" w:rsidR="005A7564" w:rsidRPr="00316B2A" w:rsidRDefault="00045DD1" w:rsidP="00316B2A">
            <w:pPr>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w:t>
            </w:r>
            <w:r w:rsidR="001041E9"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p>
        </w:tc>
      </w:tr>
      <w:tr w:rsidR="00AE08EB" w:rsidRPr="00956B56" w14:paraId="2DABEFF7" w14:textId="77777777" w:rsidTr="00316B2A">
        <w:trPr>
          <w:trHeight w:val="20"/>
        </w:trPr>
        <w:tc>
          <w:tcPr>
            <w:tcW w:w="2677" w:type="dxa"/>
            <w:tcBorders>
              <w:top w:val="nil"/>
              <w:left w:val="nil"/>
              <w:bottom w:val="nil"/>
              <w:right w:val="nil"/>
            </w:tcBorders>
            <w:shd w:val="clear" w:color="000000" w:fill="FFFFFF"/>
            <w:vAlign w:val="bottom"/>
            <w:hideMark/>
          </w:tcPr>
          <w:p w14:paraId="5D120100"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Interest</w:t>
            </w:r>
          </w:p>
        </w:tc>
        <w:tc>
          <w:tcPr>
            <w:tcW w:w="1008" w:type="dxa"/>
            <w:tcBorders>
              <w:top w:val="nil"/>
              <w:left w:val="nil"/>
              <w:bottom w:val="nil"/>
              <w:right w:val="nil"/>
            </w:tcBorders>
            <w:shd w:val="clear" w:color="000000" w:fill="F2F2F2"/>
            <w:noWrap/>
            <w:vAlign w:val="bottom"/>
            <w:hideMark/>
          </w:tcPr>
          <w:p w14:paraId="16BD3E56" w14:textId="763CEE2C" w:rsidR="005A7564" w:rsidRPr="00316B2A" w:rsidRDefault="00956B5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1,891 </w:t>
            </w:r>
          </w:p>
        </w:tc>
        <w:tc>
          <w:tcPr>
            <w:tcW w:w="1029" w:type="dxa"/>
            <w:tcBorders>
              <w:top w:val="nil"/>
              <w:left w:val="nil"/>
              <w:bottom w:val="nil"/>
              <w:right w:val="nil"/>
            </w:tcBorders>
            <w:shd w:val="clear" w:color="000000" w:fill="FFFFFF"/>
            <w:noWrap/>
            <w:vAlign w:val="bottom"/>
            <w:hideMark/>
          </w:tcPr>
          <w:p w14:paraId="750D1AD8" w14:textId="2405F826" w:rsidR="005A7564" w:rsidRPr="00316B2A" w:rsidRDefault="005A7564" w:rsidP="00316B2A">
            <w:pPr>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956B56" w:rsidRPr="00316B2A">
              <w:rPr>
                <w:rFonts w:ascii="Calibri" w:eastAsia="Times New Roman" w:hAnsi="Calibri" w:cs="Calibri"/>
                <w:sz w:val="18"/>
                <w:szCs w:val="18"/>
              </w:rPr>
              <w:t xml:space="preserve">      </w:t>
            </w:r>
            <w:r w:rsidR="00045DD1" w:rsidRPr="00045DD1">
              <w:rPr>
                <w:rFonts w:ascii="Calibri" w:eastAsia="Times New Roman" w:hAnsi="Calibri" w:cs="Calibri"/>
                <w:sz w:val="18"/>
                <w:szCs w:val="18"/>
              </w:rPr>
              <w:t xml:space="preserve"> </w:t>
            </w:r>
            <w:r w:rsidRPr="00316B2A">
              <w:rPr>
                <w:rFonts w:ascii="Calibri" w:eastAsia="Times New Roman" w:hAnsi="Calibri" w:cs="Calibri"/>
                <w:sz w:val="18"/>
                <w:szCs w:val="18"/>
              </w:rPr>
              <w:t xml:space="preserve">1,996 </w:t>
            </w:r>
          </w:p>
        </w:tc>
        <w:tc>
          <w:tcPr>
            <w:tcW w:w="1029" w:type="dxa"/>
            <w:tcBorders>
              <w:top w:val="nil"/>
              <w:left w:val="nil"/>
              <w:bottom w:val="nil"/>
              <w:right w:val="nil"/>
            </w:tcBorders>
            <w:shd w:val="clear" w:color="000000" w:fill="F2F2F2"/>
            <w:noWrap/>
            <w:vAlign w:val="bottom"/>
            <w:hideMark/>
          </w:tcPr>
          <w:p w14:paraId="12CBB3C0" w14:textId="5AE4852A" w:rsidR="005A7564" w:rsidRPr="00316B2A" w:rsidRDefault="00956B5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2,148 </w:t>
            </w:r>
          </w:p>
        </w:tc>
        <w:tc>
          <w:tcPr>
            <w:tcW w:w="1029" w:type="dxa"/>
            <w:tcBorders>
              <w:top w:val="nil"/>
              <w:left w:val="nil"/>
              <w:bottom w:val="nil"/>
              <w:right w:val="nil"/>
            </w:tcBorders>
            <w:shd w:val="clear" w:color="000000" w:fill="FFFFFF"/>
            <w:noWrap/>
            <w:vAlign w:val="bottom"/>
            <w:hideMark/>
          </w:tcPr>
          <w:p w14:paraId="2BBB9A27" w14:textId="71679010" w:rsidR="005A7564" w:rsidRPr="00316B2A" w:rsidRDefault="00956B5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2,255 </w:t>
            </w:r>
          </w:p>
        </w:tc>
        <w:tc>
          <w:tcPr>
            <w:tcW w:w="1008" w:type="dxa"/>
            <w:tcBorders>
              <w:top w:val="nil"/>
              <w:left w:val="nil"/>
              <w:bottom w:val="nil"/>
              <w:right w:val="nil"/>
            </w:tcBorders>
            <w:shd w:val="clear" w:color="000000" w:fill="F2F2F2"/>
            <w:noWrap/>
            <w:vAlign w:val="bottom"/>
            <w:hideMark/>
          </w:tcPr>
          <w:p w14:paraId="571595FF" w14:textId="54C3156B" w:rsidR="005A7564" w:rsidRPr="00316B2A" w:rsidRDefault="00956B56" w:rsidP="00316B2A">
            <w:pPr>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2,270 </w:t>
            </w:r>
          </w:p>
        </w:tc>
        <w:tc>
          <w:tcPr>
            <w:tcW w:w="1008" w:type="dxa"/>
            <w:tcBorders>
              <w:top w:val="nil"/>
              <w:left w:val="nil"/>
              <w:bottom w:val="nil"/>
              <w:right w:val="nil"/>
            </w:tcBorders>
            <w:shd w:val="clear" w:color="000000" w:fill="FFFFFF"/>
            <w:noWrap/>
            <w:vAlign w:val="bottom"/>
            <w:hideMark/>
          </w:tcPr>
          <w:p w14:paraId="72282A94" w14:textId="0CDD780D" w:rsidR="005A7564" w:rsidRPr="00316B2A" w:rsidRDefault="00956B5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2,385 </w:t>
            </w:r>
          </w:p>
        </w:tc>
        <w:tc>
          <w:tcPr>
            <w:tcW w:w="1008" w:type="dxa"/>
            <w:tcBorders>
              <w:top w:val="nil"/>
              <w:left w:val="nil"/>
              <w:bottom w:val="nil"/>
              <w:right w:val="nil"/>
            </w:tcBorders>
            <w:shd w:val="clear" w:color="000000" w:fill="F2F2F2"/>
            <w:noWrap/>
            <w:vAlign w:val="bottom"/>
            <w:hideMark/>
          </w:tcPr>
          <w:p w14:paraId="09F672E5" w14:textId="3D4B3AE4" w:rsidR="005A7564" w:rsidRPr="00316B2A" w:rsidRDefault="00956B56" w:rsidP="00316B2A">
            <w:pPr>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E47AA" w:rsidRPr="00316B2A">
              <w:rPr>
                <w:rFonts w:ascii="Calibri" w:eastAsia="Times New Roman" w:hAnsi="Calibri" w:cs="Calibri"/>
                <w:sz w:val="18"/>
                <w:szCs w:val="18"/>
              </w:rPr>
              <w:t xml:space="preserve"> 2,545</w:t>
            </w:r>
          </w:p>
        </w:tc>
        <w:tc>
          <w:tcPr>
            <w:tcW w:w="1008" w:type="dxa"/>
            <w:tcBorders>
              <w:top w:val="nil"/>
              <w:left w:val="nil"/>
              <w:bottom w:val="nil"/>
              <w:right w:val="nil"/>
            </w:tcBorders>
            <w:shd w:val="clear" w:color="000000" w:fill="FFFFFF"/>
            <w:noWrap/>
            <w:vAlign w:val="bottom"/>
            <w:hideMark/>
          </w:tcPr>
          <w:p w14:paraId="4EA269DF" w14:textId="641BE000" w:rsidR="005A7564" w:rsidRPr="00316B2A" w:rsidRDefault="00956B5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2,769 </w:t>
            </w:r>
          </w:p>
        </w:tc>
        <w:tc>
          <w:tcPr>
            <w:tcW w:w="1008" w:type="dxa"/>
            <w:tcBorders>
              <w:top w:val="nil"/>
              <w:left w:val="nil"/>
              <w:bottom w:val="nil"/>
              <w:right w:val="nil"/>
            </w:tcBorders>
            <w:shd w:val="clear" w:color="000000" w:fill="F2F2F2"/>
            <w:noWrap/>
            <w:vAlign w:val="bottom"/>
            <w:hideMark/>
          </w:tcPr>
          <w:p w14:paraId="47C47012" w14:textId="526AB995" w:rsidR="005A7564" w:rsidRPr="00316B2A" w:rsidRDefault="00956B5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2,884 </w:t>
            </w:r>
          </w:p>
        </w:tc>
        <w:tc>
          <w:tcPr>
            <w:tcW w:w="1008" w:type="dxa"/>
            <w:tcBorders>
              <w:top w:val="nil"/>
              <w:left w:val="nil"/>
              <w:bottom w:val="nil"/>
              <w:right w:val="nil"/>
            </w:tcBorders>
            <w:shd w:val="clear" w:color="000000" w:fill="FFFFFF"/>
            <w:noWrap/>
            <w:vAlign w:val="bottom"/>
            <w:hideMark/>
          </w:tcPr>
          <w:p w14:paraId="560C3722"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247D3881" w14:textId="77777777" w:rsidTr="00316B2A">
        <w:trPr>
          <w:trHeight w:val="20"/>
        </w:trPr>
        <w:tc>
          <w:tcPr>
            <w:tcW w:w="2677" w:type="dxa"/>
            <w:tcBorders>
              <w:top w:val="nil"/>
              <w:left w:val="nil"/>
              <w:bottom w:val="nil"/>
              <w:right w:val="nil"/>
            </w:tcBorders>
            <w:shd w:val="clear" w:color="000000" w:fill="FFFFFF"/>
            <w:vAlign w:val="bottom"/>
            <w:hideMark/>
          </w:tcPr>
          <w:p w14:paraId="45B75DDF" w14:textId="77777777" w:rsidR="00AE08EB"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Differences between expected and</w:t>
            </w:r>
          </w:p>
          <w:p w14:paraId="38219DB0" w14:textId="37F50E04" w:rsidR="005A7564" w:rsidRPr="00316B2A" w:rsidRDefault="00AE08EB" w:rsidP="00316B2A">
            <w:pPr>
              <w:ind w:left="-113" w:right="-951"/>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actual experience </w:t>
            </w:r>
          </w:p>
        </w:tc>
        <w:tc>
          <w:tcPr>
            <w:tcW w:w="1008" w:type="dxa"/>
            <w:tcBorders>
              <w:top w:val="nil"/>
              <w:left w:val="nil"/>
              <w:bottom w:val="nil"/>
              <w:right w:val="nil"/>
            </w:tcBorders>
            <w:shd w:val="clear" w:color="000000" w:fill="F2F2F2"/>
            <w:noWrap/>
            <w:vAlign w:val="bottom"/>
            <w:hideMark/>
          </w:tcPr>
          <w:p w14:paraId="7CAB434C" w14:textId="40394B7F"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(748)</w:t>
            </w:r>
          </w:p>
        </w:tc>
        <w:tc>
          <w:tcPr>
            <w:tcW w:w="1029" w:type="dxa"/>
            <w:tcBorders>
              <w:top w:val="nil"/>
              <w:left w:val="nil"/>
              <w:bottom w:val="nil"/>
              <w:right w:val="nil"/>
            </w:tcBorders>
            <w:shd w:val="clear" w:color="000000" w:fill="FFFFFF"/>
            <w:noWrap/>
            <w:vAlign w:val="bottom"/>
            <w:hideMark/>
          </w:tcPr>
          <w:p w14:paraId="5141BD0F" w14:textId="33B2DD8D"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w:t>
            </w:r>
          </w:p>
        </w:tc>
        <w:tc>
          <w:tcPr>
            <w:tcW w:w="1029" w:type="dxa"/>
            <w:tcBorders>
              <w:top w:val="nil"/>
              <w:left w:val="nil"/>
              <w:bottom w:val="nil"/>
              <w:right w:val="nil"/>
            </w:tcBorders>
            <w:shd w:val="clear" w:color="000000" w:fill="F2F2F2"/>
            <w:noWrap/>
            <w:vAlign w:val="bottom"/>
            <w:hideMark/>
          </w:tcPr>
          <w:p w14:paraId="61FECB6E" w14:textId="529504AF"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(285)</w:t>
            </w:r>
          </w:p>
        </w:tc>
        <w:tc>
          <w:tcPr>
            <w:tcW w:w="1029" w:type="dxa"/>
            <w:tcBorders>
              <w:top w:val="nil"/>
              <w:left w:val="nil"/>
              <w:bottom w:val="nil"/>
              <w:right w:val="nil"/>
            </w:tcBorders>
            <w:shd w:val="clear" w:color="000000" w:fill="FFFFFF"/>
            <w:noWrap/>
            <w:vAlign w:val="bottom"/>
            <w:hideMark/>
          </w:tcPr>
          <w:p w14:paraId="06CF12C8" w14:textId="14714A18"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r w:rsidR="005E47AA" w:rsidRPr="00316B2A">
              <w:rPr>
                <w:rFonts w:ascii="Calibri" w:eastAsia="Times New Roman" w:hAnsi="Calibri" w:cs="Calibri"/>
                <w:sz w:val="18"/>
                <w:szCs w:val="18"/>
              </w:rPr>
              <w:t xml:space="preserve">          -</w:t>
            </w:r>
          </w:p>
        </w:tc>
        <w:tc>
          <w:tcPr>
            <w:tcW w:w="1008" w:type="dxa"/>
            <w:tcBorders>
              <w:top w:val="nil"/>
              <w:left w:val="nil"/>
              <w:bottom w:val="nil"/>
              <w:right w:val="nil"/>
            </w:tcBorders>
            <w:shd w:val="clear" w:color="000000" w:fill="F2F2F2"/>
            <w:noWrap/>
            <w:vAlign w:val="bottom"/>
            <w:hideMark/>
          </w:tcPr>
          <w:p w14:paraId="511031A3" w14:textId="206BEBE6" w:rsidR="005A7564" w:rsidRPr="00316B2A" w:rsidRDefault="005A7564" w:rsidP="00316B2A">
            <w:pPr>
              <w:jc w:val="right"/>
              <w:rPr>
                <w:rFonts w:ascii="Calibri" w:eastAsia="Times New Roman" w:hAnsi="Calibri" w:cs="Calibri"/>
                <w:sz w:val="18"/>
                <w:szCs w:val="18"/>
              </w:rPr>
            </w:pPr>
            <w:r w:rsidRPr="00316B2A">
              <w:rPr>
                <w:rFonts w:ascii="Calibri" w:eastAsia="Times New Roman" w:hAnsi="Calibri" w:cs="Calibri"/>
                <w:sz w:val="18"/>
                <w:szCs w:val="18"/>
              </w:rPr>
              <w:t>(1,238)</w:t>
            </w:r>
          </w:p>
        </w:tc>
        <w:tc>
          <w:tcPr>
            <w:tcW w:w="1008" w:type="dxa"/>
            <w:tcBorders>
              <w:top w:val="nil"/>
              <w:left w:val="nil"/>
              <w:bottom w:val="nil"/>
              <w:right w:val="nil"/>
            </w:tcBorders>
            <w:shd w:val="clear" w:color="000000" w:fill="FFFFFF"/>
            <w:noWrap/>
            <w:vAlign w:val="bottom"/>
            <w:hideMark/>
          </w:tcPr>
          <w:p w14:paraId="754D0FC8" w14:textId="08E64342" w:rsidR="005A7564" w:rsidRPr="00316B2A" w:rsidRDefault="005E47AA"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p>
        </w:tc>
        <w:tc>
          <w:tcPr>
            <w:tcW w:w="1008" w:type="dxa"/>
            <w:tcBorders>
              <w:top w:val="nil"/>
              <w:left w:val="nil"/>
              <w:bottom w:val="nil"/>
              <w:right w:val="nil"/>
            </w:tcBorders>
            <w:shd w:val="clear" w:color="000000" w:fill="F2F2F2"/>
            <w:noWrap/>
            <w:vAlign w:val="bottom"/>
            <w:hideMark/>
          </w:tcPr>
          <w:p w14:paraId="28635622" w14:textId="336BC847"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(759)</w:t>
            </w:r>
          </w:p>
        </w:tc>
        <w:tc>
          <w:tcPr>
            <w:tcW w:w="1008" w:type="dxa"/>
            <w:tcBorders>
              <w:top w:val="nil"/>
              <w:left w:val="nil"/>
              <w:bottom w:val="nil"/>
              <w:right w:val="nil"/>
            </w:tcBorders>
            <w:shd w:val="clear" w:color="000000" w:fill="FFFFFF"/>
            <w:noWrap/>
            <w:vAlign w:val="bottom"/>
            <w:hideMark/>
          </w:tcPr>
          <w:p w14:paraId="05EC0E2D" w14:textId="21BCC397"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w:t>
            </w:r>
          </w:p>
        </w:tc>
        <w:tc>
          <w:tcPr>
            <w:tcW w:w="1008" w:type="dxa"/>
            <w:tcBorders>
              <w:top w:val="nil"/>
              <w:left w:val="nil"/>
              <w:bottom w:val="nil"/>
              <w:right w:val="nil"/>
            </w:tcBorders>
            <w:shd w:val="clear" w:color="000000" w:fill="F2F2F2"/>
            <w:noWrap/>
            <w:vAlign w:val="bottom"/>
            <w:hideMark/>
          </w:tcPr>
          <w:p w14:paraId="4BE89430" w14:textId="781CD816" w:rsidR="005A7564" w:rsidRPr="00316B2A" w:rsidRDefault="005E47AA"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12 </w:t>
            </w:r>
          </w:p>
        </w:tc>
        <w:tc>
          <w:tcPr>
            <w:tcW w:w="1008" w:type="dxa"/>
            <w:tcBorders>
              <w:top w:val="nil"/>
              <w:left w:val="nil"/>
              <w:bottom w:val="nil"/>
              <w:right w:val="nil"/>
            </w:tcBorders>
            <w:shd w:val="clear" w:color="000000" w:fill="FFFFFF"/>
            <w:noWrap/>
            <w:vAlign w:val="bottom"/>
            <w:hideMark/>
          </w:tcPr>
          <w:p w14:paraId="3489C5FD"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76F63EE0" w14:textId="77777777" w:rsidTr="00316B2A">
        <w:trPr>
          <w:trHeight w:val="20"/>
        </w:trPr>
        <w:tc>
          <w:tcPr>
            <w:tcW w:w="2677" w:type="dxa"/>
            <w:tcBorders>
              <w:top w:val="nil"/>
              <w:left w:val="nil"/>
              <w:bottom w:val="nil"/>
              <w:right w:val="nil"/>
            </w:tcBorders>
            <w:shd w:val="clear" w:color="000000" w:fill="FFFFFF"/>
            <w:noWrap/>
            <w:vAlign w:val="bottom"/>
            <w:hideMark/>
          </w:tcPr>
          <w:p w14:paraId="72ED6C2D"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Changes of assumptions</w:t>
            </w:r>
          </w:p>
        </w:tc>
        <w:tc>
          <w:tcPr>
            <w:tcW w:w="1008" w:type="dxa"/>
            <w:tcBorders>
              <w:top w:val="nil"/>
              <w:left w:val="nil"/>
              <w:bottom w:val="nil"/>
              <w:right w:val="nil"/>
            </w:tcBorders>
            <w:shd w:val="clear" w:color="000000" w:fill="F2F2F2"/>
            <w:noWrap/>
            <w:vAlign w:val="bottom"/>
            <w:hideMark/>
          </w:tcPr>
          <w:p w14:paraId="195BE6D9" w14:textId="12CEADC8"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95 </w:t>
            </w:r>
          </w:p>
        </w:tc>
        <w:tc>
          <w:tcPr>
            <w:tcW w:w="1029" w:type="dxa"/>
            <w:tcBorders>
              <w:top w:val="nil"/>
              <w:left w:val="nil"/>
              <w:bottom w:val="nil"/>
              <w:right w:val="nil"/>
            </w:tcBorders>
            <w:shd w:val="clear" w:color="000000" w:fill="FFFFFF"/>
            <w:noWrap/>
            <w:vAlign w:val="bottom"/>
            <w:hideMark/>
          </w:tcPr>
          <w:p w14:paraId="75B3C6E7" w14:textId="0CCB6F72"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w:t>
            </w:r>
          </w:p>
        </w:tc>
        <w:tc>
          <w:tcPr>
            <w:tcW w:w="1029" w:type="dxa"/>
            <w:tcBorders>
              <w:top w:val="nil"/>
              <w:left w:val="nil"/>
              <w:bottom w:val="nil"/>
              <w:right w:val="nil"/>
            </w:tcBorders>
            <w:shd w:val="clear" w:color="000000" w:fill="F2F2F2"/>
            <w:noWrap/>
            <w:vAlign w:val="bottom"/>
            <w:hideMark/>
          </w:tcPr>
          <w:p w14:paraId="0CE29557" w14:textId="2AF388BD"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(426)</w:t>
            </w:r>
          </w:p>
        </w:tc>
        <w:tc>
          <w:tcPr>
            <w:tcW w:w="1029" w:type="dxa"/>
            <w:tcBorders>
              <w:top w:val="nil"/>
              <w:left w:val="nil"/>
              <w:bottom w:val="nil"/>
              <w:right w:val="nil"/>
            </w:tcBorders>
            <w:shd w:val="clear" w:color="000000" w:fill="FFFFFF"/>
            <w:noWrap/>
            <w:vAlign w:val="bottom"/>
            <w:hideMark/>
          </w:tcPr>
          <w:p w14:paraId="6B87E32D" w14:textId="2DA79E19"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p>
        </w:tc>
        <w:tc>
          <w:tcPr>
            <w:tcW w:w="1008" w:type="dxa"/>
            <w:tcBorders>
              <w:top w:val="nil"/>
              <w:left w:val="nil"/>
              <w:bottom w:val="nil"/>
              <w:right w:val="nil"/>
            </w:tcBorders>
            <w:shd w:val="clear" w:color="000000" w:fill="F2F2F2"/>
            <w:noWrap/>
            <w:vAlign w:val="bottom"/>
            <w:hideMark/>
          </w:tcPr>
          <w:p w14:paraId="57231481" w14:textId="5ED98D8D"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2,828 </w:t>
            </w:r>
          </w:p>
        </w:tc>
        <w:tc>
          <w:tcPr>
            <w:tcW w:w="1008" w:type="dxa"/>
            <w:tcBorders>
              <w:top w:val="nil"/>
              <w:left w:val="nil"/>
              <w:bottom w:val="nil"/>
              <w:right w:val="nil"/>
            </w:tcBorders>
            <w:shd w:val="clear" w:color="000000" w:fill="FFFFFF"/>
            <w:noWrap/>
            <w:vAlign w:val="bottom"/>
            <w:hideMark/>
          </w:tcPr>
          <w:p w14:paraId="77D68D13" w14:textId="546A779A"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 </w:t>
            </w:r>
          </w:p>
        </w:tc>
        <w:tc>
          <w:tcPr>
            <w:tcW w:w="1008" w:type="dxa"/>
            <w:tcBorders>
              <w:top w:val="nil"/>
              <w:left w:val="nil"/>
              <w:bottom w:val="nil"/>
              <w:right w:val="nil"/>
            </w:tcBorders>
            <w:shd w:val="clear" w:color="000000" w:fill="F2F2F2"/>
            <w:noWrap/>
            <w:vAlign w:val="bottom"/>
            <w:hideMark/>
          </w:tcPr>
          <w:p w14:paraId="7CEF0789" w14:textId="3E874EFC"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w:t>
            </w:r>
          </w:p>
        </w:tc>
        <w:tc>
          <w:tcPr>
            <w:tcW w:w="1008" w:type="dxa"/>
            <w:tcBorders>
              <w:top w:val="nil"/>
              <w:left w:val="nil"/>
              <w:bottom w:val="nil"/>
              <w:right w:val="nil"/>
            </w:tcBorders>
            <w:shd w:val="clear" w:color="000000" w:fill="FFFFFF"/>
            <w:noWrap/>
            <w:vAlign w:val="bottom"/>
            <w:hideMark/>
          </w:tcPr>
          <w:p w14:paraId="790119DD" w14:textId="07A897C4"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1,427 </w:t>
            </w:r>
          </w:p>
        </w:tc>
        <w:tc>
          <w:tcPr>
            <w:tcW w:w="1008" w:type="dxa"/>
            <w:tcBorders>
              <w:top w:val="nil"/>
              <w:left w:val="nil"/>
              <w:bottom w:val="nil"/>
              <w:right w:val="nil"/>
            </w:tcBorders>
            <w:shd w:val="clear" w:color="000000" w:fill="F2F2F2"/>
            <w:noWrap/>
            <w:vAlign w:val="bottom"/>
            <w:hideMark/>
          </w:tcPr>
          <w:p w14:paraId="3A4A204E" w14:textId="2F54C96C"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 </w:t>
            </w:r>
          </w:p>
        </w:tc>
        <w:tc>
          <w:tcPr>
            <w:tcW w:w="1008" w:type="dxa"/>
            <w:tcBorders>
              <w:top w:val="nil"/>
              <w:left w:val="nil"/>
              <w:bottom w:val="nil"/>
              <w:right w:val="nil"/>
            </w:tcBorders>
            <w:shd w:val="clear" w:color="000000" w:fill="FFFFFF"/>
            <w:noWrap/>
            <w:vAlign w:val="bottom"/>
            <w:hideMark/>
          </w:tcPr>
          <w:p w14:paraId="48C63544"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12C64D37"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5FD71B06" w14:textId="77777777" w:rsidR="005A7564" w:rsidRPr="00316B2A" w:rsidRDefault="005A7564" w:rsidP="00316B2A">
            <w:pPr>
              <w:ind w:left="-113" w:right="-1081"/>
              <w:rPr>
                <w:rFonts w:ascii="Calibri" w:eastAsia="Times New Roman" w:hAnsi="Calibri" w:cs="Calibri"/>
                <w:color w:val="0D0D0D"/>
                <w:sz w:val="18"/>
                <w:szCs w:val="18"/>
              </w:rPr>
            </w:pPr>
            <w:r w:rsidRPr="00316B2A">
              <w:rPr>
                <w:rFonts w:ascii="Calibri" w:eastAsia="Times New Roman" w:hAnsi="Calibri" w:cs="Calibri"/>
                <w:color w:val="0D0D0D"/>
                <w:sz w:val="18"/>
                <w:szCs w:val="18"/>
              </w:rPr>
              <w:t>Benefit payments</w:t>
            </w:r>
          </w:p>
        </w:tc>
        <w:tc>
          <w:tcPr>
            <w:tcW w:w="1008" w:type="dxa"/>
            <w:tcBorders>
              <w:top w:val="nil"/>
              <w:left w:val="nil"/>
              <w:bottom w:val="single" w:sz="4" w:space="0" w:color="00688D"/>
              <w:right w:val="nil"/>
            </w:tcBorders>
            <w:shd w:val="clear" w:color="000000" w:fill="F2F2F2"/>
            <w:noWrap/>
            <w:vAlign w:val="bottom"/>
            <w:hideMark/>
          </w:tcPr>
          <w:p w14:paraId="5A349490" w14:textId="021389DB"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(3,585)</w:t>
            </w:r>
          </w:p>
        </w:tc>
        <w:tc>
          <w:tcPr>
            <w:tcW w:w="1029" w:type="dxa"/>
            <w:tcBorders>
              <w:top w:val="nil"/>
              <w:left w:val="nil"/>
              <w:bottom w:val="single" w:sz="4" w:space="0" w:color="00688D"/>
              <w:right w:val="nil"/>
            </w:tcBorders>
            <w:shd w:val="clear" w:color="000000" w:fill="FFFFFF"/>
            <w:noWrap/>
            <w:vAlign w:val="bottom"/>
            <w:hideMark/>
          </w:tcPr>
          <w:p w14:paraId="2E343AEB" w14:textId="05D1B352"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(3,793)</w:t>
            </w:r>
          </w:p>
        </w:tc>
        <w:tc>
          <w:tcPr>
            <w:tcW w:w="1029" w:type="dxa"/>
            <w:tcBorders>
              <w:top w:val="nil"/>
              <w:left w:val="nil"/>
              <w:bottom w:val="single" w:sz="4" w:space="0" w:color="00688D"/>
              <w:right w:val="nil"/>
            </w:tcBorders>
            <w:shd w:val="clear" w:color="000000" w:fill="F2F2F2"/>
            <w:noWrap/>
            <w:vAlign w:val="bottom"/>
            <w:hideMark/>
          </w:tcPr>
          <w:p w14:paraId="24C524B6" w14:textId="500846E8"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(3,916)</w:t>
            </w:r>
          </w:p>
        </w:tc>
        <w:tc>
          <w:tcPr>
            <w:tcW w:w="1029" w:type="dxa"/>
            <w:tcBorders>
              <w:top w:val="nil"/>
              <w:left w:val="nil"/>
              <w:bottom w:val="single" w:sz="4" w:space="0" w:color="00688D"/>
              <w:right w:val="nil"/>
            </w:tcBorders>
            <w:shd w:val="clear" w:color="000000" w:fill="FFFFFF"/>
            <w:noWrap/>
            <w:vAlign w:val="bottom"/>
            <w:hideMark/>
          </w:tcPr>
          <w:p w14:paraId="3A1E1DB4" w14:textId="0086FA52"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(4,043)</w:t>
            </w:r>
          </w:p>
        </w:tc>
        <w:tc>
          <w:tcPr>
            <w:tcW w:w="1008" w:type="dxa"/>
            <w:tcBorders>
              <w:top w:val="nil"/>
              <w:left w:val="nil"/>
              <w:bottom w:val="single" w:sz="4" w:space="0" w:color="00688D"/>
              <w:right w:val="nil"/>
            </w:tcBorders>
            <w:shd w:val="clear" w:color="000000" w:fill="F2F2F2"/>
            <w:noWrap/>
            <w:vAlign w:val="bottom"/>
            <w:hideMark/>
          </w:tcPr>
          <w:p w14:paraId="30665616" w14:textId="67377154"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(4,153)</w:t>
            </w:r>
          </w:p>
        </w:tc>
        <w:tc>
          <w:tcPr>
            <w:tcW w:w="1008" w:type="dxa"/>
            <w:tcBorders>
              <w:top w:val="nil"/>
              <w:left w:val="nil"/>
              <w:bottom w:val="single" w:sz="4" w:space="0" w:color="00688D"/>
              <w:right w:val="nil"/>
            </w:tcBorders>
            <w:shd w:val="clear" w:color="000000" w:fill="FFFFFF"/>
            <w:noWrap/>
            <w:vAlign w:val="bottom"/>
            <w:hideMark/>
          </w:tcPr>
          <w:p w14:paraId="61015FB5" w14:textId="140948DD"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(4,280)</w:t>
            </w:r>
          </w:p>
        </w:tc>
        <w:tc>
          <w:tcPr>
            <w:tcW w:w="1008" w:type="dxa"/>
            <w:tcBorders>
              <w:top w:val="nil"/>
              <w:left w:val="nil"/>
              <w:bottom w:val="single" w:sz="4" w:space="0" w:color="00688D"/>
              <w:right w:val="nil"/>
            </w:tcBorders>
            <w:shd w:val="clear" w:color="000000" w:fill="F2F2F2"/>
            <w:noWrap/>
            <w:vAlign w:val="bottom"/>
            <w:hideMark/>
          </w:tcPr>
          <w:p w14:paraId="0CC19B2B" w14:textId="3737EA0E"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(4,435)</w:t>
            </w:r>
          </w:p>
        </w:tc>
        <w:tc>
          <w:tcPr>
            <w:tcW w:w="1008" w:type="dxa"/>
            <w:tcBorders>
              <w:top w:val="nil"/>
              <w:left w:val="nil"/>
              <w:bottom w:val="single" w:sz="4" w:space="0" w:color="00688D"/>
              <w:right w:val="nil"/>
            </w:tcBorders>
            <w:shd w:val="clear" w:color="000000" w:fill="FFFFFF"/>
            <w:noWrap/>
            <w:vAlign w:val="bottom"/>
            <w:hideMark/>
          </w:tcPr>
          <w:p w14:paraId="7A6A701F" w14:textId="1F5D8045"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(4,585)</w:t>
            </w:r>
          </w:p>
        </w:tc>
        <w:tc>
          <w:tcPr>
            <w:tcW w:w="1008" w:type="dxa"/>
            <w:tcBorders>
              <w:top w:val="nil"/>
              <w:left w:val="nil"/>
              <w:bottom w:val="single" w:sz="4" w:space="0" w:color="00688D"/>
              <w:right w:val="nil"/>
            </w:tcBorders>
            <w:shd w:val="clear" w:color="000000" w:fill="F2F2F2"/>
            <w:noWrap/>
            <w:vAlign w:val="bottom"/>
            <w:hideMark/>
          </w:tcPr>
          <w:p w14:paraId="605C5B9B" w14:textId="006710C1"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(4,693)</w:t>
            </w:r>
          </w:p>
        </w:tc>
        <w:tc>
          <w:tcPr>
            <w:tcW w:w="1008" w:type="dxa"/>
            <w:tcBorders>
              <w:top w:val="nil"/>
              <w:left w:val="nil"/>
              <w:bottom w:val="nil"/>
              <w:right w:val="nil"/>
            </w:tcBorders>
            <w:shd w:val="clear" w:color="000000" w:fill="FFFFFF"/>
            <w:noWrap/>
            <w:vAlign w:val="bottom"/>
            <w:hideMark/>
          </w:tcPr>
          <w:p w14:paraId="52333D5F"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370B9CB7" w14:textId="77777777" w:rsidTr="00316B2A">
        <w:trPr>
          <w:trHeight w:val="20"/>
        </w:trPr>
        <w:tc>
          <w:tcPr>
            <w:tcW w:w="2677" w:type="dxa"/>
            <w:tcBorders>
              <w:top w:val="nil"/>
              <w:left w:val="nil"/>
              <w:bottom w:val="nil"/>
              <w:right w:val="nil"/>
            </w:tcBorders>
            <w:shd w:val="clear" w:color="000000" w:fill="FFFFFF"/>
            <w:vAlign w:val="bottom"/>
            <w:hideMark/>
          </w:tcPr>
          <w:p w14:paraId="5C8CF971"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Net change in total pension liability</w:t>
            </w:r>
          </w:p>
        </w:tc>
        <w:tc>
          <w:tcPr>
            <w:tcW w:w="1008" w:type="dxa"/>
            <w:tcBorders>
              <w:top w:val="nil"/>
              <w:left w:val="nil"/>
              <w:bottom w:val="nil"/>
              <w:right w:val="nil"/>
            </w:tcBorders>
            <w:shd w:val="clear" w:color="000000" w:fill="F2F2F2"/>
            <w:noWrap/>
            <w:vAlign w:val="bottom"/>
            <w:hideMark/>
          </w:tcPr>
          <w:p w14:paraId="274A4250" w14:textId="089F1B04"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(2,346)</w:t>
            </w:r>
          </w:p>
        </w:tc>
        <w:tc>
          <w:tcPr>
            <w:tcW w:w="1029" w:type="dxa"/>
            <w:tcBorders>
              <w:top w:val="nil"/>
              <w:left w:val="nil"/>
              <w:bottom w:val="nil"/>
              <w:right w:val="nil"/>
            </w:tcBorders>
            <w:shd w:val="clear" w:color="auto" w:fill="auto"/>
            <w:noWrap/>
            <w:vAlign w:val="bottom"/>
            <w:hideMark/>
          </w:tcPr>
          <w:p w14:paraId="66DEBDDE" w14:textId="4AB208CF"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(1,796)</w:t>
            </w:r>
          </w:p>
        </w:tc>
        <w:tc>
          <w:tcPr>
            <w:tcW w:w="1029" w:type="dxa"/>
            <w:tcBorders>
              <w:top w:val="nil"/>
              <w:left w:val="nil"/>
              <w:bottom w:val="nil"/>
              <w:right w:val="nil"/>
            </w:tcBorders>
            <w:shd w:val="clear" w:color="000000" w:fill="F2F2F2"/>
            <w:noWrap/>
            <w:vAlign w:val="bottom"/>
            <w:hideMark/>
          </w:tcPr>
          <w:p w14:paraId="0A26E071" w14:textId="1925A074"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(2,478)</w:t>
            </w:r>
          </w:p>
        </w:tc>
        <w:tc>
          <w:tcPr>
            <w:tcW w:w="1029" w:type="dxa"/>
            <w:tcBorders>
              <w:top w:val="nil"/>
              <w:left w:val="nil"/>
              <w:bottom w:val="nil"/>
              <w:right w:val="nil"/>
            </w:tcBorders>
            <w:shd w:val="clear" w:color="000000" w:fill="FFFFFF"/>
            <w:noWrap/>
            <w:vAlign w:val="bottom"/>
            <w:hideMark/>
          </w:tcPr>
          <w:p w14:paraId="107D0D05" w14:textId="39C7C7F4" w:rsidR="005A7564" w:rsidRPr="00316B2A" w:rsidRDefault="00F56E75" w:rsidP="00316B2A">
            <w:pPr>
              <w:ind w:firstLineChars="100" w:firstLine="180"/>
              <w:jc w:val="right"/>
              <w:rPr>
                <w:rFonts w:ascii="Calibri" w:eastAsia="Times New Roman" w:hAnsi="Calibri" w:cs="Calibri"/>
                <w:color w:val="0D0D0D"/>
                <w:sz w:val="18"/>
                <w:szCs w:val="18"/>
              </w:rPr>
            </w:pPr>
            <w:r w:rsidRPr="00F56E75">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(1,787)</w:t>
            </w:r>
          </w:p>
        </w:tc>
        <w:tc>
          <w:tcPr>
            <w:tcW w:w="1008" w:type="dxa"/>
            <w:tcBorders>
              <w:top w:val="nil"/>
              <w:left w:val="nil"/>
              <w:bottom w:val="nil"/>
              <w:right w:val="nil"/>
            </w:tcBorders>
            <w:shd w:val="clear" w:color="000000" w:fill="F2F2F2"/>
            <w:noWrap/>
            <w:vAlign w:val="bottom"/>
            <w:hideMark/>
          </w:tcPr>
          <w:p w14:paraId="2869349C" w14:textId="3222AAE1" w:rsidR="005A7564" w:rsidRPr="00316B2A" w:rsidRDefault="00F56E75" w:rsidP="00316B2A">
            <w:pPr>
              <w:ind w:firstLineChars="100" w:firstLine="180"/>
              <w:jc w:val="right"/>
              <w:rPr>
                <w:rFonts w:ascii="Calibri" w:eastAsia="Times New Roman" w:hAnsi="Calibri" w:cs="Calibri"/>
                <w:color w:val="0D0D0D"/>
                <w:sz w:val="18"/>
                <w:szCs w:val="18"/>
              </w:rPr>
            </w:pPr>
            <w:r w:rsidRPr="00F56E75">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(292)</w:t>
            </w:r>
          </w:p>
        </w:tc>
        <w:tc>
          <w:tcPr>
            <w:tcW w:w="1008" w:type="dxa"/>
            <w:tcBorders>
              <w:top w:val="nil"/>
              <w:left w:val="nil"/>
              <w:bottom w:val="nil"/>
              <w:right w:val="nil"/>
            </w:tcBorders>
            <w:shd w:val="clear" w:color="000000" w:fill="FFFFFF"/>
            <w:noWrap/>
            <w:vAlign w:val="bottom"/>
            <w:hideMark/>
          </w:tcPr>
          <w:p w14:paraId="67141C90" w14:textId="5119E321" w:rsidR="005A7564" w:rsidRPr="00316B2A" w:rsidRDefault="006378D0" w:rsidP="00316B2A">
            <w:pPr>
              <w:ind w:firstLineChars="100" w:firstLine="180"/>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(1,894)</w:t>
            </w:r>
          </w:p>
        </w:tc>
        <w:tc>
          <w:tcPr>
            <w:tcW w:w="1008" w:type="dxa"/>
            <w:tcBorders>
              <w:top w:val="nil"/>
              <w:left w:val="nil"/>
              <w:bottom w:val="nil"/>
              <w:right w:val="nil"/>
            </w:tcBorders>
            <w:shd w:val="clear" w:color="000000" w:fill="F2F2F2"/>
            <w:noWrap/>
            <w:vAlign w:val="bottom"/>
            <w:hideMark/>
          </w:tcPr>
          <w:p w14:paraId="09989CA1" w14:textId="165611AA" w:rsidR="005A7564" w:rsidRPr="00316B2A" w:rsidRDefault="006378D0" w:rsidP="00316B2A">
            <w:pPr>
              <w:ind w:firstLineChars="100" w:firstLine="180"/>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(2,643)</w:t>
            </w:r>
          </w:p>
        </w:tc>
        <w:tc>
          <w:tcPr>
            <w:tcW w:w="1008" w:type="dxa"/>
            <w:tcBorders>
              <w:top w:val="nil"/>
              <w:left w:val="nil"/>
              <w:bottom w:val="nil"/>
              <w:right w:val="nil"/>
            </w:tcBorders>
            <w:shd w:val="clear" w:color="000000" w:fill="FFFFFF"/>
            <w:noWrap/>
            <w:vAlign w:val="bottom"/>
            <w:hideMark/>
          </w:tcPr>
          <w:p w14:paraId="3EBD7793" w14:textId="221D1F9F" w:rsidR="005A7564" w:rsidRPr="00316B2A" w:rsidRDefault="00F56E75" w:rsidP="00316B2A">
            <w:pPr>
              <w:ind w:firstLineChars="100" w:firstLine="180"/>
              <w:jc w:val="right"/>
              <w:rPr>
                <w:rFonts w:ascii="Calibri" w:eastAsia="Times New Roman" w:hAnsi="Calibri" w:cs="Calibri"/>
                <w:color w:val="0D0D0D"/>
                <w:sz w:val="18"/>
                <w:szCs w:val="18"/>
              </w:rPr>
            </w:pPr>
            <w:r w:rsidRPr="00F56E75">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(384)</w:t>
            </w:r>
          </w:p>
        </w:tc>
        <w:tc>
          <w:tcPr>
            <w:tcW w:w="1008" w:type="dxa"/>
            <w:tcBorders>
              <w:top w:val="nil"/>
              <w:left w:val="nil"/>
              <w:bottom w:val="nil"/>
              <w:right w:val="nil"/>
            </w:tcBorders>
            <w:shd w:val="clear" w:color="000000" w:fill="F2F2F2"/>
            <w:noWrap/>
            <w:vAlign w:val="bottom"/>
            <w:hideMark/>
          </w:tcPr>
          <w:p w14:paraId="05A106E4" w14:textId="023DA5E3"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(1,757)</w:t>
            </w:r>
          </w:p>
        </w:tc>
        <w:tc>
          <w:tcPr>
            <w:tcW w:w="1008" w:type="dxa"/>
            <w:tcBorders>
              <w:top w:val="nil"/>
              <w:left w:val="nil"/>
              <w:bottom w:val="nil"/>
              <w:right w:val="nil"/>
            </w:tcBorders>
            <w:shd w:val="clear" w:color="000000" w:fill="FFFFFF"/>
            <w:noWrap/>
            <w:vAlign w:val="bottom"/>
            <w:hideMark/>
          </w:tcPr>
          <w:p w14:paraId="0D920D0E"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5CE6D551"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5387EF06"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Total pension liability – beginning </w:t>
            </w:r>
          </w:p>
        </w:tc>
        <w:tc>
          <w:tcPr>
            <w:tcW w:w="1008" w:type="dxa"/>
            <w:tcBorders>
              <w:top w:val="nil"/>
              <w:left w:val="nil"/>
              <w:bottom w:val="single" w:sz="4" w:space="0" w:color="00688D"/>
              <w:right w:val="nil"/>
            </w:tcBorders>
            <w:shd w:val="clear" w:color="000000" w:fill="F2F2F2"/>
            <w:noWrap/>
            <w:vAlign w:val="bottom"/>
            <w:hideMark/>
          </w:tcPr>
          <w:p w14:paraId="20E98B27" w14:textId="15E6EC68"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32,044 </w:t>
            </w:r>
          </w:p>
        </w:tc>
        <w:tc>
          <w:tcPr>
            <w:tcW w:w="1029" w:type="dxa"/>
            <w:tcBorders>
              <w:top w:val="nil"/>
              <w:left w:val="nil"/>
              <w:bottom w:val="single" w:sz="4" w:space="0" w:color="00688D"/>
              <w:right w:val="nil"/>
            </w:tcBorders>
            <w:shd w:val="clear" w:color="000000" w:fill="FFFFFF"/>
            <w:noWrap/>
            <w:vAlign w:val="bottom"/>
            <w:hideMark/>
          </w:tcPr>
          <w:p w14:paraId="3A8C2611" w14:textId="53765826"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33,840 </w:t>
            </w:r>
          </w:p>
        </w:tc>
        <w:tc>
          <w:tcPr>
            <w:tcW w:w="1029" w:type="dxa"/>
            <w:tcBorders>
              <w:top w:val="nil"/>
              <w:left w:val="nil"/>
              <w:bottom w:val="single" w:sz="4" w:space="0" w:color="00688D"/>
              <w:right w:val="nil"/>
            </w:tcBorders>
            <w:shd w:val="clear" w:color="000000" w:fill="F2F2F2"/>
            <w:noWrap/>
            <w:vAlign w:val="bottom"/>
            <w:hideMark/>
          </w:tcPr>
          <w:p w14:paraId="2D9D3E48" w14:textId="789D7324"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36,318 </w:t>
            </w:r>
          </w:p>
        </w:tc>
        <w:tc>
          <w:tcPr>
            <w:tcW w:w="1029" w:type="dxa"/>
            <w:tcBorders>
              <w:top w:val="nil"/>
              <w:left w:val="nil"/>
              <w:bottom w:val="single" w:sz="4" w:space="0" w:color="00688D"/>
              <w:right w:val="nil"/>
            </w:tcBorders>
            <w:shd w:val="clear" w:color="000000" w:fill="FFFFFF"/>
            <w:noWrap/>
            <w:vAlign w:val="bottom"/>
            <w:hideMark/>
          </w:tcPr>
          <w:p w14:paraId="046B1D69" w14:textId="7902C585"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38,105 </w:t>
            </w:r>
          </w:p>
        </w:tc>
        <w:tc>
          <w:tcPr>
            <w:tcW w:w="1008" w:type="dxa"/>
            <w:tcBorders>
              <w:top w:val="nil"/>
              <w:left w:val="nil"/>
              <w:bottom w:val="single" w:sz="4" w:space="0" w:color="00688D"/>
              <w:right w:val="nil"/>
            </w:tcBorders>
            <w:shd w:val="clear" w:color="000000" w:fill="F2F2F2"/>
            <w:noWrap/>
            <w:vAlign w:val="bottom"/>
            <w:hideMark/>
          </w:tcPr>
          <w:p w14:paraId="1C54030A" w14:textId="26530428"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38,397 </w:t>
            </w:r>
          </w:p>
        </w:tc>
        <w:tc>
          <w:tcPr>
            <w:tcW w:w="1008" w:type="dxa"/>
            <w:tcBorders>
              <w:top w:val="nil"/>
              <w:left w:val="nil"/>
              <w:bottom w:val="single" w:sz="4" w:space="0" w:color="00688D"/>
              <w:right w:val="nil"/>
            </w:tcBorders>
            <w:shd w:val="clear" w:color="000000" w:fill="FFFFFF"/>
            <w:noWrap/>
            <w:vAlign w:val="bottom"/>
            <w:hideMark/>
          </w:tcPr>
          <w:p w14:paraId="5E054B75" w14:textId="3E563121"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40,291 </w:t>
            </w:r>
          </w:p>
        </w:tc>
        <w:tc>
          <w:tcPr>
            <w:tcW w:w="1008" w:type="dxa"/>
            <w:tcBorders>
              <w:top w:val="nil"/>
              <w:left w:val="nil"/>
              <w:bottom w:val="single" w:sz="4" w:space="0" w:color="00688D"/>
              <w:right w:val="nil"/>
            </w:tcBorders>
            <w:shd w:val="clear" w:color="000000" w:fill="F2F2F2"/>
            <w:noWrap/>
            <w:vAlign w:val="bottom"/>
            <w:hideMark/>
          </w:tcPr>
          <w:p w14:paraId="0C2CA385" w14:textId="3589FFCE" w:rsidR="005A7564" w:rsidRPr="00316B2A" w:rsidRDefault="006378D0"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42,934 </w:t>
            </w:r>
          </w:p>
        </w:tc>
        <w:tc>
          <w:tcPr>
            <w:tcW w:w="1008" w:type="dxa"/>
            <w:tcBorders>
              <w:top w:val="nil"/>
              <w:left w:val="nil"/>
              <w:bottom w:val="single" w:sz="4" w:space="0" w:color="00688D"/>
              <w:right w:val="nil"/>
            </w:tcBorders>
            <w:shd w:val="clear" w:color="000000" w:fill="FFFFFF"/>
            <w:noWrap/>
            <w:vAlign w:val="bottom"/>
            <w:hideMark/>
          </w:tcPr>
          <w:p w14:paraId="2789DAE4" w14:textId="263454AA" w:rsidR="005A7564" w:rsidRPr="00316B2A" w:rsidRDefault="006378D0"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43,318 </w:t>
            </w:r>
          </w:p>
        </w:tc>
        <w:tc>
          <w:tcPr>
            <w:tcW w:w="1008" w:type="dxa"/>
            <w:tcBorders>
              <w:top w:val="nil"/>
              <w:left w:val="nil"/>
              <w:bottom w:val="single" w:sz="4" w:space="0" w:color="00688D"/>
              <w:right w:val="nil"/>
            </w:tcBorders>
            <w:shd w:val="clear" w:color="000000" w:fill="F2F2F2"/>
            <w:noWrap/>
            <w:vAlign w:val="bottom"/>
            <w:hideMark/>
          </w:tcPr>
          <w:p w14:paraId="6E9F31CB" w14:textId="6716132E"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45,075 </w:t>
            </w:r>
          </w:p>
        </w:tc>
        <w:tc>
          <w:tcPr>
            <w:tcW w:w="1008" w:type="dxa"/>
            <w:tcBorders>
              <w:top w:val="nil"/>
              <w:left w:val="nil"/>
              <w:bottom w:val="nil"/>
              <w:right w:val="nil"/>
            </w:tcBorders>
            <w:shd w:val="clear" w:color="000000" w:fill="FFFFFF"/>
            <w:noWrap/>
            <w:vAlign w:val="bottom"/>
            <w:hideMark/>
          </w:tcPr>
          <w:p w14:paraId="6C463832"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12728AD4"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1E9267B5"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Total pension liability – ending (a)</w:t>
            </w:r>
          </w:p>
        </w:tc>
        <w:tc>
          <w:tcPr>
            <w:tcW w:w="1008" w:type="dxa"/>
            <w:tcBorders>
              <w:top w:val="nil"/>
              <w:left w:val="nil"/>
              <w:bottom w:val="single" w:sz="4" w:space="0" w:color="00688D"/>
              <w:right w:val="nil"/>
            </w:tcBorders>
            <w:shd w:val="clear" w:color="000000" w:fill="F2F2F2"/>
            <w:noWrap/>
            <w:vAlign w:val="bottom"/>
            <w:hideMark/>
          </w:tcPr>
          <w:p w14:paraId="71A15814" w14:textId="7777777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29,698 </w:t>
            </w:r>
          </w:p>
        </w:tc>
        <w:tc>
          <w:tcPr>
            <w:tcW w:w="1029" w:type="dxa"/>
            <w:tcBorders>
              <w:top w:val="nil"/>
              <w:left w:val="nil"/>
              <w:bottom w:val="single" w:sz="4" w:space="0" w:color="00688D"/>
              <w:right w:val="nil"/>
            </w:tcBorders>
            <w:shd w:val="clear" w:color="auto" w:fill="auto"/>
            <w:noWrap/>
            <w:vAlign w:val="bottom"/>
            <w:hideMark/>
          </w:tcPr>
          <w:p w14:paraId="55BCE27D" w14:textId="7777777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32,044 </w:t>
            </w:r>
          </w:p>
        </w:tc>
        <w:tc>
          <w:tcPr>
            <w:tcW w:w="1029" w:type="dxa"/>
            <w:tcBorders>
              <w:top w:val="nil"/>
              <w:left w:val="nil"/>
              <w:bottom w:val="single" w:sz="4" w:space="0" w:color="00688D"/>
              <w:right w:val="nil"/>
            </w:tcBorders>
            <w:shd w:val="clear" w:color="000000" w:fill="F2F2F2"/>
            <w:noWrap/>
            <w:vAlign w:val="bottom"/>
            <w:hideMark/>
          </w:tcPr>
          <w:p w14:paraId="4A49AC8D"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33,840 </w:t>
            </w:r>
          </w:p>
        </w:tc>
        <w:tc>
          <w:tcPr>
            <w:tcW w:w="1029" w:type="dxa"/>
            <w:tcBorders>
              <w:top w:val="nil"/>
              <w:left w:val="nil"/>
              <w:bottom w:val="single" w:sz="4" w:space="0" w:color="00688D"/>
              <w:right w:val="nil"/>
            </w:tcBorders>
            <w:shd w:val="clear" w:color="000000" w:fill="FFFFFF"/>
            <w:noWrap/>
            <w:vAlign w:val="bottom"/>
            <w:hideMark/>
          </w:tcPr>
          <w:p w14:paraId="076D8095"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36,318 </w:t>
            </w:r>
          </w:p>
        </w:tc>
        <w:tc>
          <w:tcPr>
            <w:tcW w:w="1008" w:type="dxa"/>
            <w:tcBorders>
              <w:top w:val="nil"/>
              <w:left w:val="nil"/>
              <w:bottom w:val="single" w:sz="4" w:space="0" w:color="00688D"/>
              <w:right w:val="nil"/>
            </w:tcBorders>
            <w:shd w:val="clear" w:color="000000" w:fill="F2F2F2"/>
            <w:noWrap/>
            <w:vAlign w:val="bottom"/>
            <w:hideMark/>
          </w:tcPr>
          <w:p w14:paraId="0EEA8210"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38,105 </w:t>
            </w:r>
          </w:p>
        </w:tc>
        <w:tc>
          <w:tcPr>
            <w:tcW w:w="1008" w:type="dxa"/>
            <w:tcBorders>
              <w:top w:val="nil"/>
              <w:left w:val="nil"/>
              <w:bottom w:val="single" w:sz="4" w:space="0" w:color="00688D"/>
              <w:right w:val="nil"/>
            </w:tcBorders>
            <w:shd w:val="clear" w:color="000000" w:fill="FFFFFF"/>
            <w:noWrap/>
            <w:vAlign w:val="bottom"/>
            <w:hideMark/>
          </w:tcPr>
          <w:p w14:paraId="558C608D"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38,397 </w:t>
            </w:r>
          </w:p>
        </w:tc>
        <w:tc>
          <w:tcPr>
            <w:tcW w:w="1008" w:type="dxa"/>
            <w:tcBorders>
              <w:top w:val="nil"/>
              <w:left w:val="nil"/>
              <w:bottom w:val="single" w:sz="4" w:space="0" w:color="00688D"/>
              <w:right w:val="nil"/>
            </w:tcBorders>
            <w:shd w:val="clear" w:color="000000" w:fill="F2F2F2"/>
            <w:noWrap/>
            <w:vAlign w:val="bottom"/>
            <w:hideMark/>
          </w:tcPr>
          <w:p w14:paraId="0560D8AB"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40,291 </w:t>
            </w:r>
          </w:p>
        </w:tc>
        <w:tc>
          <w:tcPr>
            <w:tcW w:w="1008" w:type="dxa"/>
            <w:tcBorders>
              <w:top w:val="nil"/>
              <w:left w:val="nil"/>
              <w:bottom w:val="single" w:sz="4" w:space="0" w:color="00688D"/>
              <w:right w:val="nil"/>
            </w:tcBorders>
            <w:shd w:val="clear" w:color="000000" w:fill="FFFFFF"/>
            <w:noWrap/>
            <w:vAlign w:val="bottom"/>
            <w:hideMark/>
          </w:tcPr>
          <w:p w14:paraId="6F64CA9F"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42,934 </w:t>
            </w:r>
          </w:p>
        </w:tc>
        <w:tc>
          <w:tcPr>
            <w:tcW w:w="1008" w:type="dxa"/>
            <w:tcBorders>
              <w:top w:val="nil"/>
              <w:left w:val="nil"/>
              <w:bottom w:val="single" w:sz="4" w:space="0" w:color="00688D"/>
              <w:right w:val="nil"/>
            </w:tcBorders>
            <w:shd w:val="clear" w:color="000000" w:fill="F2F2F2"/>
            <w:noWrap/>
            <w:vAlign w:val="bottom"/>
            <w:hideMark/>
          </w:tcPr>
          <w:p w14:paraId="08BE1FF0"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43,318 </w:t>
            </w:r>
          </w:p>
        </w:tc>
        <w:tc>
          <w:tcPr>
            <w:tcW w:w="1008" w:type="dxa"/>
            <w:tcBorders>
              <w:top w:val="nil"/>
              <w:left w:val="nil"/>
              <w:bottom w:val="single" w:sz="4" w:space="0" w:color="00688D"/>
              <w:right w:val="nil"/>
            </w:tcBorders>
            <w:shd w:val="clear" w:color="000000" w:fill="FFFFFF"/>
            <w:noWrap/>
            <w:vAlign w:val="bottom"/>
            <w:hideMark/>
          </w:tcPr>
          <w:p w14:paraId="00DBFC81"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45,075 </w:t>
            </w:r>
          </w:p>
        </w:tc>
      </w:tr>
      <w:tr w:rsidR="00AE08EB" w:rsidRPr="00956B56" w14:paraId="1DFB995D" w14:textId="77777777" w:rsidTr="00316B2A">
        <w:trPr>
          <w:trHeight w:val="20"/>
        </w:trPr>
        <w:tc>
          <w:tcPr>
            <w:tcW w:w="2677" w:type="dxa"/>
            <w:tcBorders>
              <w:top w:val="nil"/>
              <w:left w:val="nil"/>
              <w:bottom w:val="nil"/>
              <w:right w:val="nil"/>
            </w:tcBorders>
            <w:shd w:val="clear" w:color="000000" w:fill="FFFFFF"/>
            <w:vAlign w:val="bottom"/>
            <w:hideMark/>
          </w:tcPr>
          <w:p w14:paraId="4F448FB4"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Contributions – employer</w:t>
            </w:r>
          </w:p>
        </w:tc>
        <w:tc>
          <w:tcPr>
            <w:tcW w:w="1008" w:type="dxa"/>
            <w:tcBorders>
              <w:top w:val="nil"/>
              <w:left w:val="nil"/>
              <w:bottom w:val="nil"/>
              <w:right w:val="nil"/>
            </w:tcBorders>
            <w:shd w:val="clear" w:color="000000" w:fill="F2F2F2"/>
            <w:noWrap/>
            <w:vAlign w:val="bottom"/>
            <w:hideMark/>
          </w:tcPr>
          <w:p w14:paraId="1449C393" w14:textId="4C384A27"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948 </w:t>
            </w:r>
          </w:p>
        </w:tc>
        <w:tc>
          <w:tcPr>
            <w:tcW w:w="1029" w:type="dxa"/>
            <w:tcBorders>
              <w:top w:val="nil"/>
              <w:left w:val="nil"/>
              <w:bottom w:val="nil"/>
              <w:right w:val="nil"/>
            </w:tcBorders>
            <w:shd w:val="clear" w:color="000000" w:fill="FFFFFF"/>
            <w:noWrap/>
            <w:vAlign w:val="bottom"/>
            <w:hideMark/>
          </w:tcPr>
          <w:p w14:paraId="6CE08BA8" w14:textId="6BE28CFE"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672 </w:t>
            </w:r>
          </w:p>
        </w:tc>
        <w:tc>
          <w:tcPr>
            <w:tcW w:w="1029" w:type="dxa"/>
            <w:tcBorders>
              <w:top w:val="nil"/>
              <w:left w:val="nil"/>
              <w:bottom w:val="nil"/>
              <w:right w:val="nil"/>
            </w:tcBorders>
            <w:shd w:val="clear" w:color="000000" w:fill="F2F2F2"/>
            <w:noWrap/>
            <w:vAlign w:val="bottom"/>
            <w:hideMark/>
          </w:tcPr>
          <w:p w14:paraId="7D5AA124" w14:textId="16E5C45E"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907 </w:t>
            </w:r>
          </w:p>
        </w:tc>
        <w:tc>
          <w:tcPr>
            <w:tcW w:w="1029" w:type="dxa"/>
            <w:tcBorders>
              <w:top w:val="nil"/>
              <w:left w:val="nil"/>
              <w:bottom w:val="nil"/>
              <w:right w:val="nil"/>
            </w:tcBorders>
            <w:shd w:val="clear" w:color="000000" w:fill="FFFFFF"/>
            <w:noWrap/>
            <w:vAlign w:val="bottom"/>
            <w:hideMark/>
          </w:tcPr>
          <w:p w14:paraId="18E4DEB0" w14:textId="2C621D76"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896 </w:t>
            </w:r>
          </w:p>
        </w:tc>
        <w:tc>
          <w:tcPr>
            <w:tcW w:w="1008" w:type="dxa"/>
            <w:tcBorders>
              <w:top w:val="nil"/>
              <w:left w:val="nil"/>
              <w:bottom w:val="nil"/>
              <w:right w:val="nil"/>
            </w:tcBorders>
            <w:shd w:val="clear" w:color="000000" w:fill="F2F2F2"/>
            <w:noWrap/>
            <w:vAlign w:val="bottom"/>
            <w:hideMark/>
          </w:tcPr>
          <w:p w14:paraId="1F3FBC1D" w14:textId="3D412DE3"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714 </w:t>
            </w:r>
          </w:p>
        </w:tc>
        <w:tc>
          <w:tcPr>
            <w:tcW w:w="1008" w:type="dxa"/>
            <w:tcBorders>
              <w:top w:val="nil"/>
              <w:left w:val="nil"/>
              <w:bottom w:val="nil"/>
              <w:right w:val="nil"/>
            </w:tcBorders>
            <w:shd w:val="clear" w:color="000000" w:fill="FFFFFF"/>
            <w:noWrap/>
            <w:vAlign w:val="bottom"/>
            <w:hideMark/>
          </w:tcPr>
          <w:p w14:paraId="6B206486" w14:textId="07440A5A"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695 </w:t>
            </w:r>
          </w:p>
        </w:tc>
        <w:tc>
          <w:tcPr>
            <w:tcW w:w="1008" w:type="dxa"/>
            <w:tcBorders>
              <w:top w:val="nil"/>
              <w:left w:val="nil"/>
              <w:bottom w:val="nil"/>
              <w:right w:val="nil"/>
            </w:tcBorders>
            <w:shd w:val="clear" w:color="000000" w:fill="F2F2F2"/>
            <w:noWrap/>
            <w:vAlign w:val="bottom"/>
            <w:hideMark/>
          </w:tcPr>
          <w:p w14:paraId="54BD472A" w14:textId="6DA243B4"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6378D0" w:rsidRPr="006378D0">
              <w:rPr>
                <w:rFonts w:ascii="Calibri" w:eastAsia="Times New Roman" w:hAnsi="Calibri" w:cs="Calibri"/>
                <w:sz w:val="18"/>
                <w:szCs w:val="18"/>
              </w:rPr>
              <w:t xml:space="preserve">  </w:t>
            </w:r>
            <w:r w:rsidRPr="00316B2A">
              <w:rPr>
                <w:rFonts w:ascii="Calibri" w:eastAsia="Times New Roman" w:hAnsi="Calibri" w:cs="Calibri"/>
                <w:sz w:val="18"/>
                <w:szCs w:val="18"/>
              </w:rPr>
              <w:t xml:space="preserve">735 </w:t>
            </w:r>
          </w:p>
        </w:tc>
        <w:tc>
          <w:tcPr>
            <w:tcW w:w="1008" w:type="dxa"/>
            <w:tcBorders>
              <w:top w:val="nil"/>
              <w:left w:val="nil"/>
              <w:bottom w:val="nil"/>
              <w:right w:val="nil"/>
            </w:tcBorders>
            <w:shd w:val="clear" w:color="000000" w:fill="FFFFFF"/>
            <w:noWrap/>
            <w:vAlign w:val="bottom"/>
            <w:hideMark/>
          </w:tcPr>
          <w:p w14:paraId="7C5FF20B" w14:textId="22E46BEC"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538 </w:t>
            </w:r>
          </w:p>
        </w:tc>
        <w:tc>
          <w:tcPr>
            <w:tcW w:w="1008" w:type="dxa"/>
            <w:tcBorders>
              <w:top w:val="nil"/>
              <w:left w:val="nil"/>
              <w:bottom w:val="nil"/>
              <w:right w:val="nil"/>
            </w:tcBorders>
            <w:shd w:val="clear" w:color="000000" w:fill="F2F2F2"/>
            <w:noWrap/>
            <w:vAlign w:val="bottom"/>
            <w:hideMark/>
          </w:tcPr>
          <w:p w14:paraId="07D57D65" w14:textId="0C64451B"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1,100 </w:t>
            </w:r>
          </w:p>
        </w:tc>
        <w:tc>
          <w:tcPr>
            <w:tcW w:w="1008" w:type="dxa"/>
            <w:tcBorders>
              <w:top w:val="nil"/>
              <w:left w:val="nil"/>
              <w:bottom w:val="nil"/>
              <w:right w:val="nil"/>
            </w:tcBorders>
            <w:shd w:val="clear" w:color="000000" w:fill="FFFFFF"/>
            <w:noWrap/>
            <w:vAlign w:val="bottom"/>
            <w:hideMark/>
          </w:tcPr>
          <w:p w14:paraId="243846A9"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0782753B" w14:textId="77777777" w:rsidTr="00316B2A">
        <w:trPr>
          <w:trHeight w:val="20"/>
        </w:trPr>
        <w:tc>
          <w:tcPr>
            <w:tcW w:w="2677" w:type="dxa"/>
            <w:tcBorders>
              <w:top w:val="nil"/>
              <w:left w:val="nil"/>
              <w:bottom w:val="nil"/>
              <w:right w:val="nil"/>
            </w:tcBorders>
            <w:shd w:val="clear" w:color="000000" w:fill="FFFFFF"/>
            <w:vAlign w:val="bottom"/>
            <w:hideMark/>
          </w:tcPr>
          <w:p w14:paraId="583741B3"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Net investment income</w:t>
            </w:r>
          </w:p>
        </w:tc>
        <w:tc>
          <w:tcPr>
            <w:tcW w:w="1008" w:type="dxa"/>
            <w:tcBorders>
              <w:top w:val="nil"/>
              <w:left w:val="nil"/>
              <w:bottom w:val="nil"/>
              <w:right w:val="nil"/>
            </w:tcBorders>
            <w:shd w:val="clear" w:color="000000" w:fill="F2F2F2"/>
            <w:noWrap/>
            <w:vAlign w:val="bottom"/>
            <w:hideMark/>
          </w:tcPr>
          <w:p w14:paraId="5AE063B7" w14:textId="36B3AD79"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1,241 </w:t>
            </w:r>
          </w:p>
        </w:tc>
        <w:tc>
          <w:tcPr>
            <w:tcW w:w="1029" w:type="dxa"/>
            <w:tcBorders>
              <w:top w:val="nil"/>
              <w:left w:val="nil"/>
              <w:bottom w:val="nil"/>
              <w:right w:val="nil"/>
            </w:tcBorders>
            <w:shd w:val="clear" w:color="000000" w:fill="FFFFFF"/>
            <w:noWrap/>
            <w:vAlign w:val="bottom"/>
            <w:hideMark/>
          </w:tcPr>
          <w:p w14:paraId="6D5E4EB3" w14:textId="360906BC"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(1,760)</w:t>
            </w:r>
          </w:p>
        </w:tc>
        <w:tc>
          <w:tcPr>
            <w:tcW w:w="1029" w:type="dxa"/>
            <w:tcBorders>
              <w:top w:val="nil"/>
              <w:left w:val="nil"/>
              <w:bottom w:val="nil"/>
              <w:right w:val="nil"/>
            </w:tcBorders>
            <w:shd w:val="clear" w:color="000000" w:fill="F2F2F2"/>
            <w:noWrap/>
            <w:vAlign w:val="bottom"/>
            <w:hideMark/>
          </w:tcPr>
          <w:p w14:paraId="55FE2675" w14:textId="6BAF75E9"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3,704 </w:t>
            </w:r>
          </w:p>
        </w:tc>
        <w:tc>
          <w:tcPr>
            <w:tcW w:w="1029" w:type="dxa"/>
            <w:tcBorders>
              <w:top w:val="nil"/>
              <w:left w:val="nil"/>
              <w:bottom w:val="nil"/>
              <w:right w:val="nil"/>
            </w:tcBorders>
            <w:shd w:val="clear" w:color="000000" w:fill="FFFFFF"/>
            <w:noWrap/>
            <w:vAlign w:val="bottom"/>
            <w:hideMark/>
          </w:tcPr>
          <w:p w14:paraId="1216330B" w14:textId="461F5E3D"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1,213 </w:t>
            </w:r>
          </w:p>
        </w:tc>
        <w:tc>
          <w:tcPr>
            <w:tcW w:w="1008" w:type="dxa"/>
            <w:tcBorders>
              <w:top w:val="nil"/>
              <w:left w:val="nil"/>
              <w:bottom w:val="nil"/>
              <w:right w:val="nil"/>
            </w:tcBorders>
            <w:shd w:val="clear" w:color="000000" w:fill="F2F2F2"/>
            <w:noWrap/>
            <w:vAlign w:val="bottom"/>
            <w:hideMark/>
          </w:tcPr>
          <w:p w14:paraId="78B0ECFB" w14:textId="021FE171"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1,112 </w:t>
            </w:r>
          </w:p>
        </w:tc>
        <w:tc>
          <w:tcPr>
            <w:tcW w:w="1008" w:type="dxa"/>
            <w:tcBorders>
              <w:top w:val="nil"/>
              <w:left w:val="nil"/>
              <w:bottom w:val="nil"/>
              <w:right w:val="nil"/>
            </w:tcBorders>
            <w:shd w:val="clear" w:color="000000" w:fill="FFFFFF"/>
            <w:noWrap/>
            <w:vAlign w:val="bottom"/>
            <w:hideMark/>
          </w:tcPr>
          <w:p w14:paraId="36805E08" w14:textId="6F0C4165"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1,335 </w:t>
            </w:r>
          </w:p>
        </w:tc>
        <w:tc>
          <w:tcPr>
            <w:tcW w:w="1008" w:type="dxa"/>
            <w:tcBorders>
              <w:top w:val="nil"/>
              <w:left w:val="nil"/>
              <w:bottom w:val="nil"/>
              <w:right w:val="nil"/>
            </w:tcBorders>
            <w:shd w:val="clear" w:color="000000" w:fill="F2F2F2"/>
            <w:noWrap/>
            <w:vAlign w:val="bottom"/>
            <w:hideMark/>
          </w:tcPr>
          <w:p w14:paraId="75A434B1" w14:textId="646DC224"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2,173 </w:t>
            </w:r>
          </w:p>
        </w:tc>
        <w:tc>
          <w:tcPr>
            <w:tcW w:w="1008" w:type="dxa"/>
            <w:tcBorders>
              <w:top w:val="nil"/>
              <w:left w:val="nil"/>
              <w:bottom w:val="nil"/>
              <w:right w:val="nil"/>
            </w:tcBorders>
            <w:shd w:val="clear" w:color="000000" w:fill="FFFFFF"/>
            <w:noWrap/>
            <w:vAlign w:val="bottom"/>
            <w:hideMark/>
          </w:tcPr>
          <w:p w14:paraId="378657B2" w14:textId="6715CE69"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202 </w:t>
            </w:r>
          </w:p>
        </w:tc>
        <w:tc>
          <w:tcPr>
            <w:tcW w:w="1008" w:type="dxa"/>
            <w:tcBorders>
              <w:top w:val="nil"/>
              <w:left w:val="nil"/>
              <w:bottom w:val="nil"/>
              <w:right w:val="nil"/>
            </w:tcBorders>
            <w:shd w:val="clear" w:color="000000" w:fill="F2F2F2"/>
            <w:noWrap/>
            <w:vAlign w:val="bottom"/>
            <w:hideMark/>
          </w:tcPr>
          <w:p w14:paraId="37DF28FF" w14:textId="4E72E194"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27 </w:t>
            </w:r>
          </w:p>
        </w:tc>
        <w:tc>
          <w:tcPr>
            <w:tcW w:w="1008" w:type="dxa"/>
            <w:tcBorders>
              <w:top w:val="nil"/>
              <w:left w:val="nil"/>
              <w:bottom w:val="nil"/>
              <w:right w:val="nil"/>
            </w:tcBorders>
            <w:shd w:val="clear" w:color="000000" w:fill="FFFFFF"/>
            <w:noWrap/>
            <w:vAlign w:val="bottom"/>
            <w:hideMark/>
          </w:tcPr>
          <w:p w14:paraId="0734969B"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6A507B0A" w14:textId="77777777" w:rsidTr="00316B2A">
        <w:trPr>
          <w:trHeight w:val="20"/>
        </w:trPr>
        <w:tc>
          <w:tcPr>
            <w:tcW w:w="2677" w:type="dxa"/>
            <w:tcBorders>
              <w:top w:val="nil"/>
              <w:left w:val="nil"/>
              <w:bottom w:val="nil"/>
              <w:right w:val="nil"/>
            </w:tcBorders>
            <w:shd w:val="clear" w:color="000000" w:fill="FFFFFF"/>
            <w:vAlign w:val="bottom"/>
            <w:hideMark/>
          </w:tcPr>
          <w:p w14:paraId="32D7FF66"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Benefit payments</w:t>
            </w:r>
          </w:p>
        </w:tc>
        <w:tc>
          <w:tcPr>
            <w:tcW w:w="1008" w:type="dxa"/>
            <w:tcBorders>
              <w:top w:val="nil"/>
              <w:left w:val="nil"/>
              <w:bottom w:val="nil"/>
              <w:right w:val="nil"/>
            </w:tcBorders>
            <w:shd w:val="clear" w:color="000000" w:fill="F2F2F2"/>
            <w:noWrap/>
            <w:vAlign w:val="bottom"/>
            <w:hideMark/>
          </w:tcPr>
          <w:p w14:paraId="236DB0EA" w14:textId="0CC52AF8"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(3,585)</w:t>
            </w:r>
          </w:p>
        </w:tc>
        <w:tc>
          <w:tcPr>
            <w:tcW w:w="1029" w:type="dxa"/>
            <w:tcBorders>
              <w:top w:val="nil"/>
              <w:left w:val="nil"/>
              <w:bottom w:val="nil"/>
              <w:right w:val="nil"/>
            </w:tcBorders>
            <w:shd w:val="clear" w:color="000000" w:fill="FFFFFF"/>
            <w:noWrap/>
            <w:vAlign w:val="bottom"/>
            <w:hideMark/>
          </w:tcPr>
          <w:p w14:paraId="4228D813" w14:textId="34B8FBC5"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(3,793)</w:t>
            </w:r>
          </w:p>
        </w:tc>
        <w:tc>
          <w:tcPr>
            <w:tcW w:w="1029" w:type="dxa"/>
            <w:tcBorders>
              <w:top w:val="nil"/>
              <w:left w:val="nil"/>
              <w:bottom w:val="nil"/>
              <w:right w:val="nil"/>
            </w:tcBorders>
            <w:shd w:val="clear" w:color="000000" w:fill="F2F2F2"/>
            <w:noWrap/>
            <w:vAlign w:val="bottom"/>
            <w:hideMark/>
          </w:tcPr>
          <w:p w14:paraId="33F62D4A" w14:textId="15958502" w:rsidR="005A7564" w:rsidRPr="00316B2A" w:rsidRDefault="005F5B9A" w:rsidP="00316B2A">
            <w:pPr>
              <w:ind w:firstLineChars="100" w:firstLine="180"/>
              <w:jc w:val="right"/>
              <w:rPr>
                <w:rFonts w:ascii="Calibri" w:eastAsia="Times New Roman" w:hAnsi="Calibri" w:cs="Calibri"/>
                <w:sz w:val="18"/>
                <w:szCs w:val="18"/>
              </w:rPr>
            </w:pPr>
            <w:r>
              <w:rPr>
                <w:rFonts w:ascii="Calibri" w:eastAsia="Times New Roman" w:hAnsi="Calibri" w:cs="Calibri"/>
                <w:sz w:val="18"/>
                <w:szCs w:val="18"/>
              </w:rPr>
              <w:t xml:space="preserve"> </w:t>
            </w:r>
            <w:r w:rsidR="005A7564" w:rsidRPr="00316B2A">
              <w:rPr>
                <w:rFonts w:ascii="Calibri" w:eastAsia="Times New Roman" w:hAnsi="Calibri" w:cs="Calibri"/>
                <w:sz w:val="18"/>
                <w:szCs w:val="18"/>
              </w:rPr>
              <w:t>(3,916)</w:t>
            </w:r>
          </w:p>
        </w:tc>
        <w:tc>
          <w:tcPr>
            <w:tcW w:w="1029" w:type="dxa"/>
            <w:tcBorders>
              <w:top w:val="nil"/>
              <w:left w:val="nil"/>
              <w:bottom w:val="nil"/>
              <w:right w:val="nil"/>
            </w:tcBorders>
            <w:shd w:val="clear" w:color="000000" w:fill="FFFFFF"/>
            <w:noWrap/>
            <w:vAlign w:val="bottom"/>
            <w:hideMark/>
          </w:tcPr>
          <w:p w14:paraId="0634484D" w14:textId="31973CB9"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(4,043)</w:t>
            </w:r>
          </w:p>
        </w:tc>
        <w:tc>
          <w:tcPr>
            <w:tcW w:w="1008" w:type="dxa"/>
            <w:tcBorders>
              <w:top w:val="nil"/>
              <w:left w:val="nil"/>
              <w:bottom w:val="nil"/>
              <w:right w:val="nil"/>
            </w:tcBorders>
            <w:shd w:val="clear" w:color="000000" w:fill="F2F2F2"/>
            <w:noWrap/>
            <w:vAlign w:val="bottom"/>
            <w:hideMark/>
          </w:tcPr>
          <w:p w14:paraId="1EC67257" w14:textId="37D4356B"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(4,153)</w:t>
            </w:r>
          </w:p>
        </w:tc>
        <w:tc>
          <w:tcPr>
            <w:tcW w:w="1008" w:type="dxa"/>
            <w:tcBorders>
              <w:top w:val="nil"/>
              <w:left w:val="nil"/>
              <w:bottom w:val="nil"/>
              <w:right w:val="nil"/>
            </w:tcBorders>
            <w:shd w:val="clear" w:color="000000" w:fill="FFFFFF"/>
            <w:noWrap/>
            <w:vAlign w:val="bottom"/>
            <w:hideMark/>
          </w:tcPr>
          <w:p w14:paraId="3E1D2835" w14:textId="5CB09078"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(4,280)</w:t>
            </w:r>
          </w:p>
        </w:tc>
        <w:tc>
          <w:tcPr>
            <w:tcW w:w="1008" w:type="dxa"/>
            <w:tcBorders>
              <w:top w:val="nil"/>
              <w:left w:val="nil"/>
              <w:bottom w:val="nil"/>
              <w:right w:val="nil"/>
            </w:tcBorders>
            <w:shd w:val="clear" w:color="000000" w:fill="F2F2F2"/>
            <w:noWrap/>
            <w:vAlign w:val="bottom"/>
            <w:hideMark/>
          </w:tcPr>
          <w:p w14:paraId="7F9C405B" w14:textId="0154B8D7"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(4,435)</w:t>
            </w:r>
          </w:p>
        </w:tc>
        <w:tc>
          <w:tcPr>
            <w:tcW w:w="1008" w:type="dxa"/>
            <w:tcBorders>
              <w:top w:val="nil"/>
              <w:left w:val="nil"/>
              <w:bottom w:val="nil"/>
              <w:right w:val="nil"/>
            </w:tcBorders>
            <w:shd w:val="clear" w:color="000000" w:fill="FFFFFF"/>
            <w:noWrap/>
            <w:vAlign w:val="bottom"/>
            <w:hideMark/>
          </w:tcPr>
          <w:p w14:paraId="285DF1B9" w14:textId="7F97D7B3" w:rsidR="005A7564" w:rsidRPr="00316B2A" w:rsidRDefault="006378D0" w:rsidP="00316B2A">
            <w:pPr>
              <w:ind w:firstLineChars="100" w:firstLine="180"/>
              <w:jc w:val="right"/>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(4,585)</w:t>
            </w:r>
          </w:p>
        </w:tc>
        <w:tc>
          <w:tcPr>
            <w:tcW w:w="1008" w:type="dxa"/>
            <w:tcBorders>
              <w:top w:val="nil"/>
              <w:left w:val="nil"/>
              <w:bottom w:val="nil"/>
              <w:right w:val="nil"/>
            </w:tcBorders>
            <w:shd w:val="clear" w:color="000000" w:fill="F2F2F2"/>
            <w:noWrap/>
            <w:vAlign w:val="bottom"/>
            <w:hideMark/>
          </w:tcPr>
          <w:p w14:paraId="370F1A0D" w14:textId="09D7A518" w:rsidR="005A7564" w:rsidRPr="00316B2A" w:rsidRDefault="006378D0" w:rsidP="00316B2A">
            <w:pPr>
              <w:ind w:firstLineChars="100" w:firstLine="180"/>
              <w:jc w:val="right"/>
              <w:rPr>
                <w:rFonts w:ascii="Calibri" w:eastAsia="Times New Roman" w:hAnsi="Calibri" w:cs="Calibri"/>
                <w:sz w:val="18"/>
                <w:szCs w:val="18"/>
              </w:rPr>
            </w:pPr>
            <w:r w:rsidRPr="006378D0">
              <w:rPr>
                <w:rFonts w:ascii="Calibri" w:eastAsia="Times New Roman" w:hAnsi="Calibri" w:cs="Calibri"/>
                <w:sz w:val="18"/>
                <w:szCs w:val="18"/>
              </w:rPr>
              <w:t xml:space="preserve">  </w:t>
            </w:r>
            <w:r w:rsidR="005A7564" w:rsidRPr="00316B2A">
              <w:rPr>
                <w:rFonts w:ascii="Calibri" w:eastAsia="Times New Roman" w:hAnsi="Calibri" w:cs="Calibri"/>
                <w:sz w:val="18"/>
                <w:szCs w:val="18"/>
              </w:rPr>
              <w:t>(4,693)</w:t>
            </w:r>
          </w:p>
        </w:tc>
        <w:tc>
          <w:tcPr>
            <w:tcW w:w="1008" w:type="dxa"/>
            <w:tcBorders>
              <w:top w:val="nil"/>
              <w:left w:val="nil"/>
              <w:bottom w:val="nil"/>
              <w:right w:val="nil"/>
            </w:tcBorders>
            <w:shd w:val="clear" w:color="000000" w:fill="FFFFFF"/>
            <w:noWrap/>
            <w:vAlign w:val="bottom"/>
            <w:hideMark/>
          </w:tcPr>
          <w:p w14:paraId="59674860"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565001D7"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2C8D2B9D"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Administrative expenses </w:t>
            </w:r>
          </w:p>
        </w:tc>
        <w:tc>
          <w:tcPr>
            <w:tcW w:w="1008" w:type="dxa"/>
            <w:tcBorders>
              <w:top w:val="nil"/>
              <w:left w:val="nil"/>
              <w:bottom w:val="single" w:sz="4" w:space="0" w:color="00688D"/>
              <w:right w:val="nil"/>
            </w:tcBorders>
            <w:shd w:val="clear" w:color="000000" w:fill="F2F2F2"/>
            <w:noWrap/>
            <w:vAlign w:val="bottom"/>
            <w:hideMark/>
          </w:tcPr>
          <w:p w14:paraId="3ECEFEFA" w14:textId="5C70FC8A" w:rsidR="005A7564" w:rsidRPr="00316B2A" w:rsidRDefault="00AE08EB" w:rsidP="00316B2A">
            <w:pPr>
              <w:ind w:firstLineChars="100" w:firstLine="180"/>
              <w:jc w:val="right"/>
              <w:rPr>
                <w:rFonts w:ascii="Calibri" w:eastAsia="Times New Roman" w:hAnsi="Calibri" w:cs="Calibri"/>
                <w:sz w:val="18"/>
                <w:szCs w:val="18"/>
              </w:rPr>
            </w:pP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(9)</w:t>
            </w:r>
          </w:p>
        </w:tc>
        <w:tc>
          <w:tcPr>
            <w:tcW w:w="1029" w:type="dxa"/>
            <w:tcBorders>
              <w:top w:val="nil"/>
              <w:left w:val="nil"/>
              <w:bottom w:val="single" w:sz="4" w:space="0" w:color="00688D"/>
              <w:right w:val="nil"/>
            </w:tcBorders>
            <w:shd w:val="clear" w:color="000000" w:fill="FFFFFF"/>
            <w:noWrap/>
            <w:vAlign w:val="bottom"/>
            <w:hideMark/>
          </w:tcPr>
          <w:p w14:paraId="2618879A" w14:textId="09DCD9A2" w:rsidR="005A7564" w:rsidRPr="00316B2A" w:rsidRDefault="00AE08EB" w:rsidP="00316B2A">
            <w:pPr>
              <w:ind w:firstLineChars="100" w:firstLine="180"/>
              <w:jc w:val="right"/>
              <w:rPr>
                <w:rFonts w:ascii="Calibri" w:eastAsia="Times New Roman" w:hAnsi="Calibri" w:cs="Calibri"/>
                <w:sz w:val="18"/>
                <w:szCs w:val="18"/>
              </w:rPr>
            </w:pP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(18)</w:t>
            </w:r>
          </w:p>
        </w:tc>
        <w:tc>
          <w:tcPr>
            <w:tcW w:w="1029" w:type="dxa"/>
            <w:tcBorders>
              <w:top w:val="nil"/>
              <w:left w:val="nil"/>
              <w:bottom w:val="single" w:sz="4" w:space="0" w:color="00688D"/>
              <w:right w:val="nil"/>
            </w:tcBorders>
            <w:shd w:val="clear" w:color="000000" w:fill="F2F2F2"/>
            <w:noWrap/>
            <w:vAlign w:val="bottom"/>
            <w:hideMark/>
          </w:tcPr>
          <w:p w14:paraId="1616DD10" w14:textId="13B7A5AF" w:rsidR="005A7564" w:rsidRPr="00316B2A" w:rsidRDefault="00AE08EB" w:rsidP="00316B2A">
            <w:pPr>
              <w:ind w:firstLineChars="100" w:firstLine="180"/>
              <w:jc w:val="right"/>
              <w:rPr>
                <w:rFonts w:ascii="Calibri" w:eastAsia="Times New Roman" w:hAnsi="Calibri" w:cs="Calibri"/>
                <w:sz w:val="18"/>
                <w:szCs w:val="18"/>
              </w:rPr>
            </w:pPr>
            <w:r>
              <w:rPr>
                <w:rFonts w:ascii="Calibri" w:eastAsia="Times New Roman" w:hAnsi="Calibri" w:cs="Calibri"/>
                <w:sz w:val="18"/>
                <w:szCs w:val="18"/>
              </w:rPr>
              <w:t xml:space="preserve">   </w:t>
            </w: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(13)</w:t>
            </w:r>
          </w:p>
        </w:tc>
        <w:tc>
          <w:tcPr>
            <w:tcW w:w="1029" w:type="dxa"/>
            <w:tcBorders>
              <w:top w:val="nil"/>
              <w:left w:val="nil"/>
              <w:bottom w:val="single" w:sz="4" w:space="0" w:color="00688D"/>
              <w:right w:val="nil"/>
            </w:tcBorders>
            <w:shd w:val="clear" w:color="000000" w:fill="FFFFFF"/>
            <w:noWrap/>
            <w:vAlign w:val="bottom"/>
            <w:hideMark/>
          </w:tcPr>
          <w:p w14:paraId="062B788C" w14:textId="1F897FBF" w:rsidR="005A7564" w:rsidRPr="00316B2A" w:rsidRDefault="00AE08EB" w:rsidP="00316B2A">
            <w:pPr>
              <w:ind w:firstLineChars="100" w:firstLine="180"/>
              <w:jc w:val="right"/>
              <w:rPr>
                <w:rFonts w:ascii="Calibri" w:eastAsia="Times New Roman" w:hAnsi="Calibri" w:cs="Calibri"/>
                <w:color w:val="0D0D0D"/>
                <w:sz w:val="18"/>
                <w:szCs w:val="18"/>
              </w:rPr>
            </w:pPr>
            <w:r w:rsidRPr="00AE08EB">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(33)</w:t>
            </w:r>
          </w:p>
        </w:tc>
        <w:tc>
          <w:tcPr>
            <w:tcW w:w="1008" w:type="dxa"/>
            <w:tcBorders>
              <w:top w:val="nil"/>
              <w:left w:val="nil"/>
              <w:bottom w:val="single" w:sz="4" w:space="0" w:color="00688D"/>
              <w:right w:val="nil"/>
            </w:tcBorders>
            <w:shd w:val="clear" w:color="000000" w:fill="F2F2F2"/>
            <w:noWrap/>
            <w:vAlign w:val="bottom"/>
            <w:hideMark/>
          </w:tcPr>
          <w:p w14:paraId="4CBC3C25" w14:textId="7513A8C5" w:rsidR="005A7564" w:rsidRPr="00316B2A" w:rsidRDefault="00AE08EB" w:rsidP="00316B2A">
            <w:pPr>
              <w:ind w:firstLineChars="100" w:firstLine="180"/>
              <w:jc w:val="right"/>
              <w:rPr>
                <w:rFonts w:ascii="Calibri" w:eastAsia="Times New Roman" w:hAnsi="Calibri" w:cs="Calibri"/>
                <w:sz w:val="18"/>
                <w:szCs w:val="18"/>
              </w:rPr>
            </w:pP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(27)</w:t>
            </w:r>
          </w:p>
        </w:tc>
        <w:tc>
          <w:tcPr>
            <w:tcW w:w="1008" w:type="dxa"/>
            <w:tcBorders>
              <w:top w:val="nil"/>
              <w:left w:val="nil"/>
              <w:bottom w:val="single" w:sz="4" w:space="0" w:color="00688D"/>
              <w:right w:val="nil"/>
            </w:tcBorders>
            <w:shd w:val="clear" w:color="000000" w:fill="FFFFFF"/>
            <w:noWrap/>
            <w:vAlign w:val="bottom"/>
            <w:hideMark/>
          </w:tcPr>
          <w:p w14:paraId="6C5C3480" w14:textId="2A800780" w:rsidR="005A7564" w:rsidRPr="00316B2A" w:rsidRDefault="00AE08EB" w:rsidP="00316B2A">
            <w:pPr>
              <w:ind w:firstLineChars="100" w:firstLine="180"/>
              <w:jc w:val="right"/>
              <w:rPr>
                <w:rFonts w:ascii="Calibri" w:eastAsia="Times New Roman" w:hAnsi="Calibri" w:cs="Calibri"/>
                <w:color w:val="0D0D0D"/>
                <w:sz w:val="18"/>
                <w:szCs w:val="18"/>
              </w:rPr>
            </w:pPr>
            <w:r w:rsidRPr="00AE08EB">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(36)</w:t>
            </w:r>
          </w:p>
        </w:tc>
        <w:tc>
          <w:tcPr>
            <w:tcW w:w="1008" w:type="dxa"/>
            <w:tcBorders>
              <w:top w:val="nil"/>
              <w:left w:val="nil"/>
              <w:bottom w:val="single" w:sz="4" w:space="0" w:color="00688D"/>
              <w:right w:val="nil"/>
            </w:tcBorders>
            <w:shd w:val="clear" w:color="000000" w:fill="F2F2F2"/>
            <w:noWrap/>
            <w:vAlign w:val="bottom"/>
            <w:hideMark/>
          </w:tcPr>
          <w:p w14:paraId="28570345" w14:textId="6C750BFB" w:rsidR="005A7564" w:rsidRPr="00316B2A" w:rsidRDefault="00AE08EB" w:rsidP="00316B2A">
            <w:pPr>
              <w:ind w:firstLineChars="100" w:firstLine="180"/>
              <w:jc w:val="right"/>
              <w:rPr>
                <w:rFonts w:ascii="Calibri" w:eastAsia="Times New Roman" w:hAnsi="Calibri" w:cs="Calibri"/>
                <w:sz w:val="18"/>
                <w:szCs w:val="18"/>
              </w:rPr>
            </w:pP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(20)</w:t>
            </w:r>
          </w:p>
        </w:tc>
        <w:tc>
          <w:tcPr>
            <w:tcW w:w="1008" w:type="dxa"/>
            <w:tcBorders>
              <w:top w:val="nil"/>
              <w:left w:val="nil"/>
              <w:bottom w:val="single" w:sz="4" w:space="0" w:color="00688D"/>
              <w:right w:val="nil"/>
            </w:tcBorders>
            <w:shd w:val="clear" w:color="000000" w:fill="FFFFFF"/>
            <w:noWrap/>
            <w:vAlign w:val="bottom"/>
            <w:hideMark/>
          </w:tcPr>
          <w:p w14:paraId="2D252FC8" w14:textId="24C601D9" w:rsidR="005A7564" w:rsidRPr="00316B2A" w:rsidRDefault="00AE08EB" w:rsidP="00316B2A">
            <w:pPr>
              <w:ind w:firstLineChars="100" w:firstLine="180"/>
              <w:jc w:val="right"/>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(19)</w:t>
            </w:r>
          </w:p>
        </w:tc>
        <w:tc>
          <w:tcPr>
            <w:tcW w:w="1008" w:type="dxa"/>
            <w:tcBorders>
              <w:top w:val="nil"/>
              <w:left w:val="nil"/>
              <w:bottom w:val="single" w:sz="4" w:space="0" w:color="00688D"/>
              <w:right w:val="nil"/>
            </w:tcBorders>
            <w:shd w:val="clear" w:color="000000" w:fill="F2F2F2"/>
            <w:noWrap/>
            <w:vAlign w:val="bottom"/>
            <w:hideMark/>
          </w:tcPr>
          <w:p w14:paraId="06A6CA9A" w14:textId="6079FA52" w:rsidR="005A7564" w:rsidRPr="00316B2A" w:rsidRDefault="00AE08EB" w:rsidP="00316B2A">
            <w:pPr>
              <w:ind w:firstLineChars="100" w:firstLine="180"/>
              <w:jc w:val="right"/>
              <w:rPr>
                <w:rFonts w:ascii="Calibri" w:eastAsia="Times New Roman" w:hAnsi="Calibri" w:cs="Calibri"/>
                <w:sz w:val="18"/>
                <w:szCs w:val="18"/>
              </w:rPr>
            </w:pPr>
            <w:r w:rsidRPr="00AE08EB">
              <w:rPr>
                <w:rFonts w:ascii="Calibri" w:eastAsia="Times New Roman" w:hAnsi="Calibri" w:cs="Calibri"/>
                <w:sz w:val="18"/>
                <w:szCs w:val="18"/>
              </w:rPr>
              <w:t xml:space="preserve">         </w:t>
            </w:r>
            <w:r w:rsidR="005A7564" w:rsidRPr="00316B2A">
              <w:rPr>
                <w:rFonts w:ascii="Calibri" w:eastAsia="Times New Roman" w:hAnsi="Calibri" w:cs="Calibri"/>
                <w:sz w:val="18"/>
                <w:szCs w:val="18"/>
              </w:rPr>
              <w:t>(8)</w:t>
            </w:r>
          </w:p>
        </w:tc>
        <w:tc>
          <w:tcPr>
            <w:tcW w:w="1008" w:type="dxa"/>
            <w:tcBorders>
              <w:top w:val="nil"/>
              <w:left w:val="nil"/>
              <w:bottom w:val="nil"/>
              <w:right w:val="nil"/>
            </w:tcBorders>
            <w:shd w:val="clear" w:color="000000" w:fill="FFFFFF"/>
            <w:noWrap/>
            <w:vAlign w:val="bottom"/>
            <w:hideMark/>
          </w:tcPr>
          <w:p w14:paraId="47B7193D"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4D297B11" w14:textId="77777777" w:rsidTr="00316B2A">
        <w:trPr>
          <w:trHeight w:val="20"/>
        </w:trPr>
        <w:tc>
          <w:tcPr>
            <w:tcW w:w="2677" w:type="dxa"/>
            <w:tcBorders>
              <w:top w:val="nil"/>
              <w:left w:val="nil"/>
              <w:bottom w:val="nil"/>
              <w:right w:val="nil"/>
            </w:tcBorders>
            <w:shd w:val="clear" w:color="000000" w:fill="FFFFFF"/>
            <w:vAlign w:val="bottom"/>
            <w:hideMark/>
          </w:tcPr>
          <w:p w14:paraId="56292CCF" w14:textId="77777777" w:rsidR="00AE08EB"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Net change in plan fiduciary net</w:t>
            </w:r>
          </w:p>
          <w:p w14:paraId="56637649" w14:textId="19036AAA" w:rsidR="005A7564" w:rsidRPr="00316B2A" w:rsidRDefault="00AE08EB" w:rsidP="00316B2A">
            <w:pPr>
              <w:ind w:left="-113" w:right="-951"/>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position</w:t>
            </w:r>
          </w:p>
        </w:tc>
        <w:tc>
          <w:tcPr>
            <w:tcW w:w="1008" w:type="dxa"/>
            <w:tcBorders>
              <w:top w:val="nil"/>
              <w:left w:val="nil"/>
              <w:bottom w:val="nil"/>
              <w:right w:val="nil"/>
            </w:tcBorders>
            <w:shd w:val="clear" w:color="000000" w:fill="F2F2F2"/>
            <w:noWrap/>
            <w:vAlign w:val="bottom"/>
            <w:hideMark/>
          </w:tcPr>
          <w:p w14:paraId="40BDBEEA" w14:textId="73DF0909"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(1,405)</w:t>
            </w:r>
          </w:p>
        </w:tc>
        <w:tc>
          <w:tcPr>
            <w:tcW w:w="1029" w:type="dxa"/>
            <w:tcBorders>
              <w:top w:val="nil"/>
              <w:left w:val="nil"/>
              <w:bottom w:val="nil"/>
              <w:right w:val="nil"/>
            </w:tcBorders>
            <w:shd w:val="clear" w:color="auto" w:fill="auto"/>
            <w:noWrap/>
            <w:vAlign w:val="bottom"/>
            <w:hideMark/>
          </w:tcPr>
          <w:p w14:paraId="4A51DC2B" w14:textId="75F6D7DC" w:rsidR="005A7564" w:rsidRPr="00316B2A" w:rsidRDefault="002F363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(4,899)</w:t>
            </w:r>
          </w:p>
        </w:tc>
        <w:tc>
          <w:tcPr>
            <w:tcW w:w="1029" w:type="dxa"/>
            <w:tcBorders>
              <w:top w:val="nil"/>
              <w:left w:val="nil"/>
              <w:bottom w:val="nil"/>
              <w:right w:val="nil"/>
            </w:tcBorders>
            <w:shd w:val="clear" w:color="000000" w:fill="F2F2F2"/>
            <w:noWrap/>
            <w:vAlign w:val="bottom"/>
            <w:hideMark/>
          </w:tcPr>
          <w:p w14:paraId="41782A33" w14:textId="140C5B84"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682 </w:t>
            </w:r>
          </w:p>
        </w:tc>
        <w:tc>
          <w:tcPr>
            <w:tcW w:w="1029" w:type="dxa"/>
            <w:tcBorders>
              <w:top w:val="nil"/>
              <w:left w:val="nil"/>
              <w:bottom w:val="nil"/>
              <w:right w:val="nil"/>
            </w:tcBorders>
            <w:shd w:val="clear" w:color="000000" w:fill="FFFFFF"/>
            <w:noWrap/>
            <w:vAlign w:val="bottom"/>
            <w:hideMark/>
          </w:tcPr>
          <w:p w14:paraId="39F7B26E" w14:textId="36AFA0DE" w:rsidR="005A7564" w:rsidRPr="00316B2A" w:rsidRDefault="009E6241" w:rsidP="00EC1896">
            <w:pPr>
              <w:ind w:firstLineChars="100" w:firstLine="180"/>
              <w:jc w:val="center"/>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(1,967)</w:t>
            </w:r>
          </w:p>
        </w:tc>
        <w:tc>
          <w:tcPr>
            <w:tcW w:w="1008" w:type="dxa"/>
            <w:tcBorders>
              <w:top w:val="nil"/>
              <w:left w:val="nil"/>
              <w:bottom w:val="nil"/>
              <w:right w:val="nil"/>
            </w:tcBorders>
            <w:shd w:val="clear" w:color="000000" w:fill="F2F2F2"/>
            <w:noWrap/>
            <w:vAlign w:val="bottom"/>
            <w:hideMark/>
          </w:tcPr>
          <w:p w14:paraId="6E84FFDF" w14:textId="5A2411B6"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(2,354)</w:t>
            </w:r>
          </w:p>
        </w:tc>
        <w:tc>
          <w:tcPr>
            <w:tcW w:w="1008" w:type="dxa"/>
            <w:tcBorders>
              <w:top w:val="nil"/>
              <w:left w:val="nil"/>
              <w:bottom w:val="nil"/>
              <w:right w:val="nil"/>
            </w:tcBorders>
            <w:shd w:val="clear" w:color="000000" w:fill="FFFFFF"/>
            <w:noWrap/>
            <w:vAlign w:val="bottom"/>
            <w:hideMark/>
          </w:tcPr>
          <w:p w14:paraId="7F590D03" w14:textId="72DB94BD" w:rsidR="005A7564" w:rsidRPr="00316B2A" w:rsidRDefault="001041E9"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(2,286)</w:t>
            </w:r>
          </w:p>
        </w:tc>
        <w:tc>
          <w:tcPr>
            <w:tcW w:w="1008" w:type="dxa"/>
            <w:tcBorders>
              <w:top w:val="nil"/>
              <w:left w:val="nil"/>
              <w:bottom w:val="nil"/>
              <w:right w:val="nil"/>
            </w:tcBorders>
            <w:shd w:val="clear" w:color="000000" w:fill="F2F2F2"/>
            <w:noWrap/>
            <w:vAlign w:val="bottom"/>
            <w:hideMark/>
          </w:tcPr>
          <w:p w14:paraId="165527CD" w14:textId="5FEB6C1E" w:rsidR="005A7564" w:rsidRPr="00316B2A" w:rsidRDefault="001041E9"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(1,547)</w:t>
            </w:r>
          </w:p>
        </w:tc>
        <w:tc>
          <w:tcPr>
            <w:tcW w:w="1008" w:type="dxa"/>
            <w:tcBorders>
              <w:top w:val="nil"/>
              <w:left w:val="nil"/>
              <w:bottom w:val="nil"/>
              <w:right w:val="nil"/>
            </w:tcBorders>
            <w:shd w:val="clear" w:color="000000" w:fill="FFFFFF"/>
            <w:noWrap/>
            <w:vAlign w:val="bottom"/>
            <w:hideMark/>
          </w:tcPr>
          <w:p w14:paraId="5BE492C0" w14:textId="333B5BFA" w:rsidR="005A7564" w:rsidRPr="00316B2A" w:rsidRDefault="001041E9"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(3,864)</w:t>
            </w:r>
          </w:p>
        </w:tc>
        <w:tc>
          <w:tcPr>
            <w:tcW w:w="1008" w:type="dxa"/>
            <w:tcBorders>
              <w:top w:val="nil"/>
              <w:left w:val="nil"/>
              <w:bottom w:val="nil"/>
              <w:right w:val="nil"/>
            </w:tcBorders>
            <w:shd w:val="clear" w:color="000000" w:fill="F2F2F2"/>
            <w:noWrap/>
            <w:vAlign w:val="bottom"/>
            <w:hideMark/>
          </w:tcPr>
          <w:p w14:paraId="6ADEC130" w14:textId="1763DC0A" w:rsidR="005A7564" w:rsidRPr="00316B2A" w:rsidRDefault="001041E9"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(3,574)</w:t>
            </w:r>
          </w:p>
        </w:tc>
        <w:tc>
          <w:tcPr>
            <w:tcW w:w="1008" w:type="dxa"/>
            <w:tcBorders>
              <w:top w:val="nil"/>
              <w:left w:val="nil"/>
              <w:bottom w:val="nil"/>
              <w:right w:val="nil"/>
            </w:tcBorders>
            <w:shd w:val="clear" w:color="000000" w:fill="FFFFFF"/>
            <w:noWrap/>
            <w:vAlign w:val="bottom"/>
            <w:hideMark/>
          </w:tcPr>
          <w:p w14:paraId="7EA64EC9"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2B50F06E"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4B63135E"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Fiduciary net position – beginning </w:t>
            </w:r>
          </w:p>
        </w:tc>
        <w:tc>
          <w:tcPr>
            <w:tcW w:w="1008" w:type="dxa"/>
            <w:tcBorders>
              <w:top w:val="nil"/>
              <w:left w:val="nil"/>
              <w:bottom w:val="single" w:sz="4" w:space="0" w:color="00688D"/>
              <w:right w:val="nil"/>
            </w:tcBorders>
            <w:shd w:val="clear" w:color="000000" w:fill="F2F2F2"/>
            <w:noWrap/>
            <w:vAlign w:val="bottom"/>
            <w:hideMark/>
          </w:tcPr>
          <w:p w14:paraId="32EACEF9" w14:textId="5A37B4EE" w:rsidR="005A7564" w:rsidRPr="00316B2A" w:rsidRDefault="002F363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20,392 </w:t>
            </w:r>
          </w:p>
        </w:tc>
        <w:tc>
          <w:tcPr>
            <w:tcW w:w="1029" w:type="dxa"/>
            <w:tcBorders>
              <w:top w:val="nil"/>
              <w:left w:val="nil"/>
              <w:bottom w:val="single" w:sz="4" w:space="0" w:color="00688D"/>
              <w:right w:val="nil"/>
            </w:tcBorders>
            <w:shd w:val="clear" w:color="000000" w:fill="FFFFFF"/>
            <w:noWrap/>
            <w:vAlign w:val="bottom"/>
            <w:hideMark/>
          </w:tcPr>
          <w:p w14:paraId="7512E76B" w14:textId="7D85711A" w:rsidR="005A7564" w:rsidRPr="00316B2A" w:rsidRDefault="002F363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25,291 </w:t>
            </w:r>
          </w:p>
        </w:tc>
        <w:tc>
          <w:tcPr>
            <w:tcW w:w="1029" w:type="dxa"/>
            <w:tcBorders>
              <w:top w:val="nil"/>
              <w:left w:val="nil"/>
              <w:bottom w:val="single" w:sz="4" w:space="0" w:color="00688D"/>
              <w:right w:val="nil"/>
            </w:tcBorders>
            <w:shd w:val="clear" w:color="000000" w:fill="F2F2F2"/>
            <w:noWrap/>
            <w:vAlign w:val="bottom"/>
            <w:hideMark/>
          </w:tcPr>
          <w:p w14:paraId="7144E037" w14:textId="3D11AD4A" w:rsidR="005A7564" w:rsidRPr="00316B2A" w:rsidRDefault="002F363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24,609 </w:t>
            </w:r>
          </w:p>
        </w:tc>
        <w:tc>
          <w:tcPr>
            <w:tcW w:w="1029" w:type="dxa"/>
            <w:tcBorders>
              <w:top w:val="nil"/>
              <w:left w:val="nil"/>
              <w:bottom w:val="single" w:sz="4" w:space="0" w:color="00688D"/>
              <w:right w:val="nil"/>
            </w:tcBorders>
            <w:shd w:val="clear" w:color="000000" w:fill="FFFFFF"/>
            <w:noWrap/>
            <w:vAlign w:val="bottom"/>
            <w:hideMark/>
          </w:tcPr>
          <w:p w14:paraId="7A5A90FE" w14:textId="2939A00F"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26,576 </w:t>
            </w:r>
          </w:p>
        </w:tc>
        <w:tc>
          <w:tcPr>
            <w:tcW w:w="1008" w:type="dxa"/>
            <w:tcBorders>
              <w:top w:val="nil"/>
              <w:left w:val="nil"/>
              <w:bottom w:val="single" w:sz="4" w:space="0" w:color="00688D"/>
              <w:right w:val="nil"/>
            </w:tcBorders>
            <w:shd w:val="clear" w:color="000000" w:fill="F2F2F2"/>
            <w:noWrap/>
            <w:vAlign w:val="bottom"/>
            <w:hideMark/>
          </w:tcPr>
          <w:p w14:paraId="7F795994" w14:textId="3EE9C5C3"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28,930 </w:t>
            </w:r>
          </w:p>
        </w:tc>
        <w:tc>
          <w:tcPr>
            <w:tcW w:w="1008" w:type="dxa"/>
            <w:tcBorders>
              <w:top w:val="nil"/>
              <w:left w:val="nil"/>
              <w:bottom w:val="single" w:sz="4" w:space="0" w:color="00688D"/>
              <w:right w:val="nil"/>
            </w:tcBorders>
            <w:shd w:val="clear" w:color="000000" w:fill="FFFFFF"/>
            <w:noWrap/>
            <w:vAlign w:val="bottom"/>
            <w:hideMark/>
          </w:tcPr>
          <w:p w14:paraId="6D6E85F6" w14:textId="483D44E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31,216 </w:t>
            </w:r>
          </w:p>
        </w:tc>
        <w:tc>
          <w:tcPr>
            <w:tcW w:w="1008" w:type="dxa"/>
            <w:tcBorders>
              <w:top w:val="nil"/>
              <w:left w:val="nil"/>
              <w:bottom w:val="single" w:sz="4" w:space="0" w:color="00688D"/>
              <w:right w:val="nil"/>
            </w:tcBorders>
            <w:shd w:val="clear" w:color="000000" w:fill="F2F2F2"/>
            <w:noWrap/>
            <w:vAlign w:val="bottom"/>
            <w:hideMark/>
          </w:tcPr>
          <w:p w14:paraId="441630AB" w14:textId="72ABB720"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32,763 </w:t>
            </w:r>
          </w:p>
        </w:tc>
        <w:tc>
          <w:tcPr>
            <w:tcW w:w="1008" w:type="dxa"/>
            <w:tcBorders>
              <w:top w:val="nil"/>
              <w:left w:val="nil"/>
              <w:bottom w:val="single" w:sz="4" w:space="0" w:color="00688D"/>
              <w:right w:val="nil"/>
            </w:tcBorders>
            <w:shd w:val="clear" w:color="000000" w:fill="FFFFFF"/>
            <w:noWrap/>
            <w:vAlign w:val="bottom"/>
            <w:hideMark/>
          </w:tcPr>
          <w:p w14:paraId="2255E52B" w14:textId="4C47CA5F"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36,627 </w:t>
            </w:r>
          </w:p>
        </w:tc>
        <w:tc>
          <w:tcPr>
            <w:tcW w:w="1008" w:type="dxa"/>
            <w:tcBorders>
              <w:top w:val="nil"/>
              <w:left w:val="nil"/>
              <w:bottom w:val="single" w:sz="4" w:space="0" w:color="00688D"/>
              <w:right w:val="nil"/>
            </w:tcBorders>
            <w:shd w:val="clear" w:color="000000" w:fill="F2F2F2"/>
            <w:noWrap/>
            <w:vAlign w:val="bottom"/>
            <w:hideMark/>
          </w:tcPr>
          <w:p w14:paraId="54455C51" w14:textId="1EB712A5"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40,201 </w:t>
            </w:r>
          </w:p>
        </w:tc>
        <w:tc>
          <w:tcPr>
            <w:tcW w:w="1008" w:type="dxa"/>
            <w:tcBorders>
              <w:top w:val="nil"/>
              <w:left w:val="nil"/>
              <w:bottom w:val="single" w:sz="4" w:space="0" w:color="00688D"/>
              <w:right w:val="nil"/>
            </w:tcBorders>
            <w:shd w:val="clear" w:color="000000" w:fill="FFFFFF"/>
            <w:noWrap/>
            <w:vAlign w:val="bottom"/>
            <w:hideMark/>
          </w:tcPr>
          <w:p w14:paraId="03F36406"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w:t>
            </w:r>
          </w:p>
        </w:tc>
      </w:tr>
      <w:tr w:rsidR="00AE08EB" w:rsidRPr="00956B56" w14:paraId="540BCECA" w14:textId="77777777" w:rsidTr="00316B2A">
        <w:trPr>
          <w:trHeight w:val="20"/>
        </w:trPr>
        <w:tc>
          <w:tcPr>
            <w:tcW w:w="2677" w:type="dxa"/>
            <w:tcBorders>
              <w:top w:val="nil"/>
              <w:left w:val="nil"/>
              <w:bottom w:val="single" w:sz="4" w:space="0" w:color="00688D"/>
              <w:right w:val="nil"/>
            </w:tcBorders>
            <w:shd w:val="clear" w:color="000000" w:fill="FFFFFF"/>
            <w:vAlign w:val="bottom"/>
            <w:hideMark/>
          </w:tcPr>
          <w:p w14:paraId="5B2472EB"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Fiduciary net position – ending (b)</w:t>
            </w:r>
          </w:p>
        </w:tc>
        <w:tc>
          <w:tcPr>
            <w:tcW w:w="1008" w:type="dxa"/>
            <w:tcBorders>
              <w:top w:val="nil"/>
              <w:left w:val="nil"/>
              <w:bottom w:val="single" w:sz="4" w:space="0" w:color="00688D"/>
              <w:right w:val="nil"/>
            </w:tcBorders>
            <w:shd w:val="clear" w:color="000000" w:fill="F2F2F2"/>
            <w:noWrap/>
            <w:vAlign w:val="bottom"/>
            <w:hideMark/>
          </w:tcPr>
          <w:p w14:paraId="20597BBD" w14:textId="771EFCFA" w:rsidR="005A7564" w:rsidRPr="00316B2A" w:rsidRDefault="005F5B9A" w:rsidP="00316B2A">
            <w:pPr>
              <w:ind w:firstLineChars="100" w:firstLine="180"/>
              <w:jc w:val="right"/>
              <w:rPr>
                <w:rFonts w:ascii="Calibri" w:eastAsia="Times New Roman" w:hAnsi="Calibri" w:cs="Calibri"/>
                <w:sz w:val="18"/>
                <w:szCs w:val="18"/>
              </w:rPr>
            </w:pPr>
            <w:r w:rsidRPr="005F5B9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18,987 </w:t>
            </w:r>
          </w:p>
        </w:tc>
        <w:tc>
          <w:tcPr>
            <w:tcW w:w="1029" w:type="dxa"/>
            <w:tcBorders>
              <w:top w:val="nil"/>
              <w:left w:val="nil"/>
              <w:bottom w:val="single" w:sz="4" w:space="0" w:color="00688D"/>
              <w:right w:val="nil"/>
            </w:tcBorders>
            <w:shd w:val="clear" w:color="000000" w:fill="FFFFFF"/>
            <w:noWrap/>
            <w:vAlign w:val="bottom"/>
            <w:hideMark/>
          </w:tcPr>
          <w:p w14:paraId="23ECB763" w14:textId="309179E9" w:rsidR="005A7564" w:rsidRPr="00316B2A" w:rsidRDefault="002F3636"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20,392 </w:t>
            </w:r>
          </w:p>
        </w:tc>
        <w:tc>
          <w:tcPr>
            <w:tcW w:w="1029" w:type="dxa"/>
            <w:tcBorders>
              <w:top w:val="nil"/>
              <w:left w:val="nil"/>
              <w:bottom w:val="single" w:sz="4" w:space="0" w:color="00688D"/>
              <w:right w:val="nil"/>
            </w:tcBorders>
            <w:shd w:val="clear" w:color="000000" w:fill="F2F2F2"/>
            <w:noWrap/>
            <w:vAlign w:val="bottom"/>
            <w:hideMark/>
          </w:tcPr>
          <w:p w14:paraId="4B440D82" w14:textId="37D9A9A0"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25,291 </w:t>
            </w:r>
          </w:p>
        </w:tc>
        <w:tc>
          <w:tcPr>
            <w:tcW w:w="1029" w:type="dxa"/>
            <w:tcBorders>
              <w:top w:val="nil"/>
              <w:left w:val="nil"/>
              <w:bottom w:val="single" w:sz="4" w:space="0" w:color="00688D"/>
              <w:right w:val="nil"/>
            </w:tcBorders>
            <w:shd w:val="clear" w:color="000000" w:fill="FFFFFF"/>
            <w:noWrap/>
            <w:vAlign w:val="bottom"/>
            <w:hideMark/>
          </w:tcPr>
          <w:p w14:paraId="0CC70514" w14:textId="7BC9F125"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24,609 </w:t>
            </w:r>
          </w:p>
        </w:tc>
        <w:tc>
          <w:tcPr>
            <w:tcW w:w="1008" w:type="dxa"/>
            <w:tcBorders>
              <w:top w:val="nil"/>
              <w:left w:val="nil"/>
              <w:bottom w:val="single" w:sz="4" w:space="0" w:color="00688D"/>
              <w:right w:val="nil"/>
            </w:tcBorders>
            <w:shd w:val="clear" w:color="000000" w:fill="F2F2F2"/>
            <w:noWrap/>
            <w:vAlign w:val="bottom"/>
            <w:hideMark/>
          </w:tcPr>
          <w:p w14:paraId="4A1A835E" w14:textId="48506042"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26,576 </w:t>
            </w:r>
          </w:p>
        </w:tc>
        <w:tc>
          <w:tcPr>
            <w:tcW w:w="1008" w:type="dxa"/>
            <w:tcBorders>
              <w:top w:val="nil"/>
              <w:left w:val="nil"/>
              <w:bottom w:val="single" w:sz="4" w:space="0" w:color="00688D"/>
              <w:right w:val="nil"/>
            </w:tcBorders>
            <w:shd w:val="clear" w:color="000000" w:fill="FFFFFF"/>
            <w:noWrap/>
            <w:vAlign w:val="bottom"/>
            <w:hideMark/>
          </w:tcPr>
          <w:p w14:paraId="762E8257" w14:textId="7EC26DBB"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28,930 </w:t>
            </w:r>
          </w:p>
        </w:tc>
        <w:tc>
          <w:tcPr>
            <w:tcW w:w="1008" w:type="dxa"/>
            <w:tcBorders>
              <w:top w:val="nil"/>
              <w:left w:val="nil"/>
              <w:bottom w:val="single" w:sz="4" w:space="0" w:color="00688D"/>
              <w:right w:val="nil"/>
            </w:tcBorders>
            <w:shd w:val="clear" w:color="000000" w:fill="F2F2F2"/>
            <w:noWrap/>
            <w:vAlign w:val="bottom"/>
            <w:hideMark/>
          </w:tcPr>
          <w:p w14:paraId="714B3199" w14:textId="2F025810"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31,216 </w:t>
            </w:r>
          </w:p>
        </w:tc>
        <w:tc>
          <w:tcPr>
            <w:tcW w:w="1008" w:type="dxa"/>
            <w:tcBorders>
              <w:top w:val="nil"/>
              <w:left w:val="nil"/>
              <w:bottom w:val="single" w:sz="4" w:space="0" w:color="00688D"/>
              <w:right w:val="nil"/>
            </w:tcBorders>
            <w:shd w:val="clear" w:color="000000" w:fill="FFFFFF"/>
            <w:noWrap/>
            <w:vAlign w:val="bottom"/>
            <w:hideMark/>
          </w:tcPr>
          <w:p w14:paraId="6CBAAD4B" w14:textId="4C7DBE89"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32,763 </w:t>
            </w:r>
          </w:p>
        </w:tc>
        <w:tc>
          <w:tcPr>
            <w:tcW w:w="1008" w:type="dxa"/>
            <w:tcBorders>
              <w:top w:val="nil"/>
              <w:left w:val="nil"/>
              <w:bottom w:val="single" w:sz="4" w:space="0" w:color="00688D"/>
              <w:right w:val="nil"/>
            </w:tcBorders>
            <w:shd w:val="clear" w:color="000000" w:fill="F2F2F2"/>
            <w:noWrap/>
            <w:vAlign w:val="bottom"/>
            <w:hideMark/>
          </w:tcPr>
          <w:p w14:paraId="50971A0B" w14:textId="524BF0D9"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36,627 </w:t>
            </w:r>
          </w:p>
        </w:tc>
        <w:tc>
          <w:tcPr>
            <w:tcW w:w="1008" w:type="dxa"/>
            <w:tcBorders>
              <w:top w:val="nil"/>
              <w:left w:val="nil"/>
              <w:bottom w:val="single" w:sz="4" w:space="0" w:color="00688D"/>
              <w:right w:val="nil"/>
            </w:tcBorders>
            <w:shd w:val="clear" w:color="000000" w:fill="FFFFFF"/>
            <w:noWrap/>
            <w:vAlign w:val="bottom"/>
            <w:hideMark/>
          </w:tcPr>
          <w:p w14:paraId="4FCF0551" w14:textId="165B0B46" w:rsidR="005A7564" w:rsidRPr="00316B2A" w:rsidRDefault="005A7564" w:rsidP="00316B2A">
            <w:pPr>
              <w:ind w:firstLineChars="100" w:firstLine="180"/>
              <w:jc w:val="center"/>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40,201 </w:t>
            </w:r>
          </w:p>
        </w:tc>
      </w:tr>
      <w:tr w:rsidR="00AE08EB" w:rsidRPr="00956B56" w14:paraId="3A75F0FB" w14:textId="77777777" w:rsidTr="00316B2A">
        <w:trPr>
          <w:trHeight w:val="20"/>
        </w:trPr>
        <w:tc>
          <w:tcPr>
            <w:tcW w:w="2677" w:type="dxa"/>
            <w:tcBorders>
              <w:top w:val="nil"/>
              <w:left w:val="nil"/>
              <w:bottom w:val="double" w:sz="6" w:space="0" w:color="00688D"/>
              <w:right w:val="nil"/>
            </w:tcBorders>
            <w:shd w:val="clear" w:color="000000" w:fill="FFFFFF"/>
            <w:vAlign w:val="bottom"/>
            <w:hideMark/>
          </w:tcPr>
          <w:p w14:paraId="6408F778"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Net pension liability – ending (a)-(b)</w:t>
            </w:r>
          </w:p>
        </w:tc>
        <w:tc>
          <w:tcPr>
            <w:tcW w:w="1008" w:type="dxa"/>
            <w:tcBorders>
              <w:top w:val="nil"/>
              <w:left w:val="nil"/>
              <w:bottom w:val="double" w:sz="6" w:space="0" w:color="00688D"/>
              <w:right w:val="nil"/>
            </w:tcBorders>
            <w:shd w:val="clear" w:color="000000" w:fill="F2F2F2"/>
            <w:noWrap/>
            <w:vAlign w:val="bottom"/>
            <w:hideMark/>
          </w:tcPr>
          <w:p w14:paraId="470A9980" w14:textId="0B56A5EA" w:rsidR="005A7564" w:rsidRPr="00316B2A" w:rsidRDefault="00DF781C" w:rsidP="00316B2A">
            <w:pPr>
              <w:ind w:firstLineChars="100" w:firstLine="180"/>
              <w:jc w:val="right"/>
              <w:rPr>
                <w:rFonts w:ascii="Calibri" w:eastAsia="Times New Roman" w:hAnsi="Calibri" w:cs="Calibri"/>
                <w:sz w:val="18"/>
                <w:szCs w:val="18"/>
              </w:rPr>
            </w:pPr>
            <w:r>
              <w:rPr>
                <w:rFonts w:ascii="Calibri" w:eastAsia="Times New Roman" w:hAnsi="Calibri" w:cs="Calibri"/>
                <w:sz w:val="18"/>
                <w:szCs w:val="18"/>
              </w:rPr>
              <w:t>$</w:t>
            </w:r>
            <w:r w:rsidR="005A7564" w:rsidRPr="00316B2A">
              <w:rPr>
                <w:rFonts w:ascii="Calibri" w:eastAsia="Times New Roman" w:hAnsi="Calibri" w:cs="Calibri"/>
                <w:sz w:val="18"/>
                <w:szCs w:val="18"/>
              </w:rPr>
              <w:t xml:space="preserve">10,711 </w:t>
            </w:r>
          </w:p>
        </w:tc>
        <w:tc>
          <w:tcPr>
            <w:tcW w:w="1029" w:type="dxa"/>
            <w:tcBorders>
              <w:top w:val="nil"/>
              <w:left w:val="nil"/>
              <w:bottom w:val="double" w:sz="6" w:space="0" w:color="00688D"/>
              <w:right w:val="nil"/>
            </w:tcBorders>
            <w:shd w:val="clear" w:color="auto" w:fill="auto"/>
            <w:noWrap/>
            <w:vAlign w:val="bottom"/>
            <w:hideMark/>
          </w:tcPr>
          <w:p w14:paraId="7CAF9458" w14:textId="2E9BAA95" w:rsidR="005A7564" w:rsidRPr="00316B2A" w:rsidRDefault="00CA55E3" w:rsidP="00316B2A">
            <w:pPr>
              <w:ind w:firstLineChars="100" w:firstLine="180"/>
              <w:jc w:val="right"/>
              <w:rPr>
                <w:rFonts w:ascii="Calibri" w:eastAsia="Times New Roman" w:hAnsi="Calibri" w:cs="Calibri"/>
                <w:sz w:val="18"/>
                <w:szCs w:val="18"/>
              </w:rPr>
            </w:pPr>
            <w:r w:rsidRPr="00CA55E3">
              <w:rPr>
                <w:rFonts w:ascii="Calibri" w:eastAsia="Times New Roman" w:hAnsi="Calibri" w:cs="Calibri"/>
                <w:sz w:val="18"/>
                <w:szCs w:val="18"/>
              </w:rPr>
              <w:t xml:space="preserve"> $</w:t>
            </w:r>
            <w:r w:rsidR="005A7564" w:rsidRPr="00316B2A">
              <w:rPr>
                <w:rFonts w:ascii="Calibri" w:eastAsia="Times New Roman" w:hAnsi="Calibri" w:cs="Calibri"/>
                <w:sz w:val="18"/>
                <w:szCs w:val="18"/>
              </w:rPr>
              <w:t xml:space="preserve">11,652 </w:t>
            </w:r>
          </w:p>
        </w:tc>
        <w:tc>
          <w:tcPr>
            <w:tcW w:w="1029" w:type="dxa"/>
            <w:tcBorders>
              <w:top w:val="nil"/>
              <w:left w:val="nil"/>
              <w:bottom w:val="double" w:sz="6" w:space="0" w:color="00688D"/>
              <w:right w:val="nil"/>
            </w:tcBorders>
            <w:shd w:val="clear" w:color="000000" w:fill="F2F2F2"/>
            <w:noWrap/>
            <w:vAlign w:val="bottom"/>
            <w:hideMark/>
          </w:tcPr>
          <w:p w14:paraId="76DAF3CB" w14:textId="5C6BBA2A" w:rsidR="005A7564" w:rsidRPr="00316B2A" w:rsidRDefault="00CA55E3" w:rsidP="00316B2A">
            <w:pPr>
              <w:ind w:firstLineChars="100" w:firstLine="180"/>
              <w:jc w:val="right"/>
              <w:rPr>
                <w:rFonts w:ascii="Calibri" w:eastAsia="Times New Roman" w:hAnsi="Calibri" w:cs="Calibri"/>
                <w:color w:val="0D0D0D"/>
                <w:sz w:val="18"/>
                <w:szCs w:val="18"/>
              </w:rPr>
            </w:pPr>
            <w:r w:rsidRPr="00CA55E3">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8,549 </w:t>
            </w:r>
          </w:p>
        </w:tc>
        <w:tc>
          <w:tcPr>
            <w:tcW w:w="1029" w:type="dxa"/>
            <w:tcBorders>
              <w:top w:val="nil"/>
              <w:left w:val="nil"/>
              <w:bottom w:val="double" w:sz="6" w:space="0" w:color="00688D"/>
              <w:right w:val="nil"/>
            </w:tcBorders>
            <w:shd w:val="clear" w:color="000000" w:fill="FFFFFF"/>
            <w:noWrap/>
            <w:vAlign w:val="bottom"/>
            <w:hideMark/>
          </w:tcPr>
          <w:p w14:paraId="48C7AE74" w14:textId="5E369BFA" w:rsidR="005A7564" w:rsidRPr="00316B2A" w:rsidRDefault="00CA55E3" w:rsidP="00316B2A">
            <w:pPr>
              <w:ind w:firstLineChars="100" w:firstLine="180"/>
              <w:jc w:val="right"/>
              <w:rPr>
                <w:rFonts w:ascii="Calibri" w:eastAsia="Times New Roman" w:hAnsi="Calibri" w:cs="Calibri"/>
                <w:color w:val="0D0D0D"/>
                <w:sz w:val="18"/>
                <w:szCs w:val="18"/>
              </w:rPr>
            </w:pPr>
            <w:r w:rsidRPr="00CA55E3">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11,709 </w:t>
            </w:r>
          </w:p>
        </w:tc>
        <w:tc>
          <w:tcPr>
            <w:tcW w:w="1008" w:type="dxa"/>
            <w:tcBorders>
              <w:top w:val="nil"/>
              <w:left w:val="nil"/>
              <w:bottom w:val="double" w:sz="6" w:space="0" w:color="00688D"/>
              <w:right w:val="nil"/>
            </w:tcBorders>
            <w:shd w:val="clear" w:color="000000" w:fill="F2F2F2"/>
            <w:noWrap/>
            <w:vAlign w:val="bottom"/>
            <w:hideMark/>
          </w:tcPr>
          <w:p w14:paraId="2F7C6DC9" w14:textId="3DEC2FD8"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w:t>
            </w:r>
            <w:r w:rsidR="005A7564" w:rsidRPr="00316B2A">
              <w:rPr>
                <w:rFonts w:ascii="Calibri" w:eastAsia="Times New Roman" w:hAnsi="Calibri" w:cs="Calibri"/>
                <w:color w:val="0D0D0D"/>
                <w:sz w:val="18"/>
                <w:szCs w:val="18"/>
              </w:rPr>
              <w:t xml:space="preserve">11,529 </w:t>
            </w:r>
          </w:p>
        </w:tc>
        <w:tc>
          <w:tcPr>
            <w:tcW w:w="1008" w:type="dxa"/>
            <w:tcBorders>
              <w:top w:val="nil"/>
              <w:left w:val="nil"/>
              <w:bottom w:val="double" w:sz="6" w:space="0" w:color="00688D"/>
              <w:right w:val="nil"/>
            </w:tcBorders>
            <w:shd w:val="clear" w:color="000000" w:fill="FFFFFF"/>
            <w:noWrap/>
            <w:vAlign w:val="bottom"/>
            <w:hideMark/>
          </w:tcPr>
          <w:p w14:paraId="538C8319" w14:textId="29C9962D"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CA55E3" w:rsidRPr="00CA55E3">
              <w:rPr>
                <w:rFonts w:ascii="Calibri" w:eastAsia="Times New Roman" w:hAnsi="Calibri" w:cs="Calibri"/>
                <w:color w:val="0D0D0D"/>
                <w:sz w:val="18"/>
                <w:szCs w:val="18"/>
              </w:rPr>
              <w:t xml:space="preserve">$ </w:t>
            </w:r>
            <w:r w:rsidRPr="00316B2A">
              <w:rPr>
                <w:rFonts w:ascii="Calibri" w:eastAsia="Times New Roman" w:hAnsi="Calibri" w:cs="Calibri"/>
                <w:color w:val="0D0D0D"/>
                <w:sz w:val="18"/>
                <w:szCs w:val="18"/>
              </w:rPr>
              <w:t xml:space="preserve">9,467 </w:t>
            </w:r>
          </w:p>
        </w:tc>
        <w:tc>
          <w:tcPr>
            <w:tcW w:w="1008" w:type="dxa"/>
            <w:tcBorders>
              <w:top w:val="nil"/>
              <w:left w:val="nil"/>
              <w:bottom w:val="double" w:sz="6" w:space="0" w:color="00688D"/>
              <w:right w:val="nil"/>
            </w:tcBorders>
            <w:shd w:val="clear" w:color="000000" w:fill="F2F2F2"/>
            <w:noWrap/>
            <w:vAlign w:val="bottom"/>
            <w:hideMark/>
          </w:tcPr>
          <w:p w14:paraId="508E3012" w14:textId="7EC83724" w:rsidR="005A7564" w:rsidRPr="00316B2A" w:rsidRDefault="00CA55E3" w:rsidP="00316B2A">
            <w:pPr>
              <w:ind w:firstLineChars="100" w:firstLine="180"/>
              <w:jc w:val="right"/>
              <w:rPr>
                <w:rFonts w:ascii="Calibri" w:eastAsia="Times New Roman" w:hAnsi="Calibri" w:cs="Calibri"/>
                <w:color w:val="0D0D0D"/>
                <w:sz w:val="18"/>
                <w:szCs w:val="18"/>
              </w:rPr>
            </w:pPr>
            <w:r w:rsidRPr="00CA55E3">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9,075 </w:t>
            </w:r>
          </w:p>
        </w:tc>
        <w:tc>
          <w:tcPr>
            <w:tcW w:w="1008" w:type="dxa"/>
            <w:tcBorders>
              <w:top w:val="nil"/>
              <w:left w:val="nil"/>
              <w:bottom w:val="double" w:sz="6" w:space="0" w:color="00688D"/>
              <w:right w:val="nil"/>
            </w:tcBorders>
            <w:shd w:val="clear" w:color="000000" w:fill="FFFFFF"/>
            <w:noWrap/>
            <w:vAlign w:val="bottom"/>
            <w:hideMark/>
          </w:tcPr>
          <w:p w14:paraId="79D70225" w14:textId="553E8D26" w:rsidR="005A7564" w:rsidRPr="00316B2A" w:rsidRDefault="002F3636"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w:t>
            </w:r>
            <w:r w:rsidR="005A7564" w:rsidRPr="00316B2A">
              <w:rPr>
                <w:rFonts w:ascii="Calibri" w:eastAsia="Times New Roman" w:hAnsi="Calibri" w:cs="Calibri"/>
                <w:color w:val="0D0D0D"/>
                <w:sz w:val="18"/>
                <w:szCs w:val="18"/>
              </w:rPr>
              <w:t xml:space="preserve">10,171 </w:t>
            </w:r>
          </w:p>
        </w:tc>
        <w:tc>
          <w:tcPr>
            <w:tcW w:w="1008" w:type="dxa"/>
            <w:tcBorders>
              <w:top w:val="nil"/>
              <w:left w:val="nil"/>
              <w:bottom w:val="double" w:sz="6" w:space="0" w:color="00688D"/>
              <w:right w:val="nil"/>
            </w:tcBorders>
            <w:shd w:val="clear" w:color="000000" w:fill="F2F2F2"/>
            <w:noWrap/>
            <w:vAlign w:val="bottom"/>
            <w:hideMark/>
          </w:tcPr>
          <w:p w14:paraId="487A3CF4" w14:textId="4734FA5D" w:rsidR="005A7564" w:rsidRPr="00316B2A" w:rsidRDefault="00CA55E3" w:rsidP="00316B2A">
            <w:pPr>
              <w:ind w:firstLineChars="100" w:firstLine="180"/>
              <w:jc w:val="right"/>
              <w:rPr>
                <w:rFonts w:ascii="Calibri" w:eastAsia="Times New Roman" w:hAnsi="Calibri" w:cs="Calibri"/>
                <w:color w:val="0D0D0D"/>
                <w:sz w:val="18"/>
                <w:szCs w:val="18"/>
              </w:rPr>
            </w:pPr>
            <w:r w:rsidRPr="00CA55E3">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6,691 </w:t>
            </w:r>
          </w:p>
        </w:tc>
        <w:tc>
          <w:tcPr>
            <w:tcW w:w="1008" w:type="dxa"/>
            <w:tcBorders>
              <w:top w:val="nil"/>
              <w:left w:val="nil"/>
              <w:bottom w:val="double" w:sz="6" w:space="0" w:color="00688D"/>
              <w:right w:val="nil"/>
            </w:tcBorders>
            <w:shd w:val="clear" w:color="000000" w:fill="FFFFFF"/>
            <w:noWrap/>
            <w:vAlign w:val="bottom"/>
            <w:hideMark/>
          </w:tcPr>
          <w:p w14:paraId="14812BB1" w14:textId="48CC7287" w:rsidR="005A7564" w:rsidRPr="00316B2A" w:rsidRDefault="00045DD1" w:rsidP="00316B2A">
            <w:pPr>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CA55E3" w:rsidRPr="00CA55E3">
              <w:rPr>
                <w:rFonts w:ascii="Calibri" w:eastAsia="Times New Roman" w:hAnsi="Calibri" w:cs="Calibri"/>
                <w:color w:val="0D0D0D"/>
                <w:sz w:val="18"/>
                <w:szCs w:val="18"/>
              </w:rPr>
              <w:t>$</w:t>
            </w: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4,874 </w:t>
            </w:r>
          </w:p>
        </w:tc>
      </w:tr>
      <w:tr w:rsidR="00AE08EB" w:rsidRPr="00956B56" w14:paraId="3E5930C2" w14:textId="77777777" w:rsidTr="00316B2A">
        <w:trPr>
          <w:trHeight w:val="20"/>
        </w:trPr>
        <w:tc>
          <w:tcPr>
            <w:tcW w:w="2677" w:type="dxa"/>
            <w:tcBorders>
              <w:top w:val="nil"/>
              <w:left w:val="nil"/>
              <w:bottom w:val="nil"/>
              <w:right w:val="nil"/>
            </w:tcBorders>
            <w:shd w:val="clear" w:color="000000" w:fill="FFFFFF"/>
            <w:vAlign w:val="bottom"/>
            <w:hideMark/>
          </w:tcPr>
          <w:p w14:paraId="3A03C02E" w14:textId="77777777" w:rsidR="00AE08EB"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Plan fiduciary net position as a </w:t>
            </w:r>
          </w:p>
          <w:p w14:paraId="4BAFBF32" w14:textId="7DC022C8" w:rsidR="00AE08EB" w:rsidRDefault="00AE08EB" w:rsidP="00316B2A">
            <w:pPr>
              <w:ind w:left="-113" w:right="-951"/>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percentage of the total pension</w:t>
            </w:r>
          </w:p>
          <w:p w14:paraId="59AA9231" w14:textId="6E87BA2A" w:rsidR="005A7564" w:rsidRPr="00316B2A" w:rsidRDefault="00AE08EB" w:rsidP="00316B2A">
            <w:pPr>
              <w:ind w:left="-113" w:right="-951"/>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liability</w:t>
            </w:r>
          </w:p>
        </w:tc>
        <w:tc>
          <w:tcPr>
            <w:tcW w:w="1008" w:type="dxa"/>
            <w:tcBorders>
              <w:top w:val="nil"/>
              <w:left w:val="nil"/>
              <w:bottom w:val="nil"/>
              <w:right w:val="nil"/>
            </w:tcBorders>
            <w:shd w:val="clear" w:color="000000" w:fill="F2F2F2"/>
            <w:noWrap/>
            <w:vAlign w:val="bottom"/>
            <w:hideMark/>
          </w:tcPr>
          <w:p w14:paraId="7FB746CD" w14:textId="7777777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63.93%</w:t>
            </w:r>
          </w:p>
        </w:tc>
        <w:tc>
          <w:tcPr>
            <w:tcW w:w="1029" w:type="dxa"/>
            <w:tcBorders>
              <w:top w:val="nil"/>
              <w:left w:val="nil"/>
              <w:bottom w:val="nil"/>
              <w:right w:val="nil"/>
            </w:tcBorders>
            <w:shd w:val="clear" w:color="000000" w:fill="FFFFFF"/>
            <w:noWrap/>
            <w:vAlign w:val="bottom"/>
            <w:hideMark/>
          </w:tcPr>
          <w:p w14:paraId="352420FB" w14:textId="7777777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63.64%</w:t>
            </w:r>
          </w:p>
        </w:tc>
        <w:tc>
          <w:tcPr>
            <w:tcW w:w="1029" w:type="dxa"/>
            <w:tcBorders>
              <w:top w:val="nil"/>
              <w:left w:val="nil"/>
              <w:bottom w:val="nil"/>
              <w:right w:val="nil"/>
            </w:tcBorders>
            <w:shd w:val="clear" w:color="000000" w:fill="F2F2F2"/>
            <w:noWrap/>
            <w:vAlign w:val="bottom"/>
            <w:hideMark/>
          </w:tcPr>
          <w:p w14:paraId="4612166C" w14:textId="77777777" w:rsidR="005A7564" w:rsidRPr="00316B2A" w:rsidRDefault="005A7564" w:rsidP="00316B2A">
            <w:pPr>
              <w:ind w:firstLineChars="100" w:firstLine="180"/>
              <w:jc w:val="right"/>
              <w:rPr>
                <w:rFonts w:ascii="Calibri" w:eastAsia="Times New Roman" w:hAnsi="Calibri" w:cs="Calibri"/>
                <w:sz w:val="18"/>
                <w:szCs w:val="18"/>
              </w:rPr>
            </w:pPr>
            <w:r w:rsidRPr="00316B2A">
              <w:rPr>
                <w:rFonts w:ascii="Calibri" w:eastAsia="Times New Roman" w:hAnsi="Calibri" w:cs="Calibri"/>
                <w:sz w:val="18"/>
                <w:szCs w:val="18"/>
              </w:rPr>
              <w:t>74.74%</w:t>
            </w:r>
          </w:p>
        </w:tc>
        <w:tc>
          <w:tcPr>
            <w:tcW w:w="1029" w:type="dxa"/>
            <w:tcBorders>
              <w:top w:val="nil"/>
              <w:left w:val="nil"/>
              <w:bottom w:val="nil"/>
              <w:right w:val="nil"/>
            </w:tcBorders>
            <w:shd w:val="clear" w:color="000000" w:fill="FFFFFF"/>
            <w:noWrap/>
            <w:vAlign w:val="bottom"/>
            <w:hideMark/>
          </w:tcPr>
          <w:p w14:paraId="3EF313E3"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67.76%</w:t>
            </w:r>
          </w:p>
        </w:tc>
        <w:tc>
          <w:tcPr>
            <w:tcW w:w="1008" w:type="dxa"/>
            <w:tcBorders>
              <w:top w:val="nil"/>
              <w:left w:val="nil"/>
              <w:bottom w:val="nil"/>
              <w:right w:val="nil"/>
            </w:tcBorders>
            <w:shd w:val="clear" w:color="000000" w:fill="F2F2F2"/>
            <w:noWrap/>
            <w:vAlign w:val="bottom"/>
            <w:hideMark/>
          </w:tcPr>
          <w:p w14:paraId="0E4EBF76"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69.74%</w:t>
            </w:r>
          </w:p>
        </w:tc>
        <w:tc>
          <w:tcPr>
            <w:tcW w:w="1008" w:type="dxa"/>
            <w:tcBorders>
              <w:top w:val="nil"/>
              <w:left w:val="nil"/>
              <w:bottom w:val="nil"/>
              <w:right w:val="nil"/>
            </w:tcBorders>
            <w:shd w:val="clear" w:color="000000" w:fill="FFFFFF"/>
            <w:noWrap/>
            <w:vAlign w:val="bottom"/>
            <w:hideMark/>
          </w:tcPr>
          <w:p w14:paraId="7E13DD17"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75.34%</w:t>
            </w:r>
          </w:p>
        </w:tc>
        <w:tc>
          <w:tcPr>
            <w:tcW w:w="1008" w:type="dxa"/>
            <w:tcBorders>
              <w:top w:val="nil"/>
              <w:left w:val="nil"/>
              <w:bottom w:val="nil"/>
              <w:right w:val="nil"/>
            </w:tcBorders>
            <w:shd w:val="clear" w:color="000000" w:fill="F2F2F2"/>
            <w:noWrap/>
            <w:vAlign w:val="bottom"/>
            <w:hideMark/>
          </w:tcPr>
          <w:p w14:paraId="5B15C9A5"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77.48%</w:t>
            </w:r>
          </w:p>
        </w:tc>
        <w:tc>
          <w:tcPr>
            <w:tcW w:w="1008" w:type="dxa"/>
            <w:tcBorders>
              <w:top w:val="nil"/>
              <w:left w:val="nil"/>
              <w:bottom w:val="nil"/>
              <w:right w:val="nil"/>
            </w:tcBorders>
            <w:shd w:val="clear" w:color="000000" w:fill="FFFFFF"/>
            <w:noWrap/>
            <w:vAlign w:val="bottom"/>
            <w:hideMark/>
          </w:tcPr>
          <w:p w14:paraId="6DE59661"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76.31%</w:t>
            </w:r>
          </w:p>
        </w:tc>
        <w:tc>
          <w:tcPr>
            <w:tcW w:w="1008" w:type="dxa"/>
            <w:tcBorders>
              <w:top w:val="nil"/>
              <w:left w:val="nil"/>
              <w:bottom w:val="nil"/>
              <w:right w:val="nil"/>
            </w:tcBorders>
            <w:shd w:val="clear" w:color="000000" w:fill="F2F2F2"/>
            <w:noWrap/>
            <w:vAlign w:val="bottom"/>
            <w:hideMark/>
          </w:tcPr>
          <w:p w14:paraId="1BC70678"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84.56%</w:t>
            </w:r>
          </w:p>
        </w:tc>
        <w:tc>
          <w:tcPr>
            <w:tcW w:w="1008" w:type="dxa"/>
            <w:tcBorders>
              <w:top w:val="nil"/>
              <w:left w:val="nil"/>
              <w:bottom w:val="nil"/>
              <w:right w:val="nil"/>
            </w:tcBorders>
            <w:shd w:val="clear" w:color="000000" w:fill="FFFFFF"/>
            <w:noWrap/>
            <w:vAlign w:val="bottom"/>
            <w:hideMark/>
          </w:tcPr>
          <w:p w14:paraId="3D4FED8E" w14:textId="77777777" w:rsidR="005A7564" w:rsidRPr="00316B2A" w:rsidRDefault="005A7564" w:rsidP="00316B2A">
            <w:pPr>
              <w:ind w:firstLineChars="100" w:firstLine="180"/>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89.19%</w:t>
            </w:r>
          </w:p>
        </w:tc>
      </w:tr>
      <w:tr w:rsidR="00AE08EB" w:rsidRPr="00956B56" w14:paraId="6285452B" w14:textId="77777777" w:rsidTr="00316B2A">
        <w:trPr>
          <w:trHeight w:val="20"/>
        </w:trPr>
        <w:tc>
          <w:tcPr>
            <w:tcW w:w="2677" w:type="dxa"/>
            <w:tcBorders>
              <w:top w:val="nil"/>
              <w:left w:val="nil"/>
              <w:bottom w:val="nil"/>
              <w:right w:val="nil"/>
            </w:tcBorders>
            <w:shd w:val="clear" w:color="000000" w:fill="FFFFFF"/>
            <w:noWrap/>
            <w:vAlign w:val="bottom"/>
            <w:hideMark/>
          </w:tcPr>
          <w:p w14:paraId="7EB069F3" w14:textId="77777777" w:rsidR="005A7564" w:rsidRPr="00316B2A"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Covered payroll*</w:t>
            </w:r>
          </w:p>
        </w:tc>
        <w:tc>
          <w:tcPr>
            <w:tcW w:w="1008" w:type="dxa"/>
            <w:tcBorders>
              <w:top w:val="nil"/>
              <w:left w:val="nil"/>
              <w:bottom w:val="nil"/>
              <w:right w:val="nil"/>
            </w:tcBorders>
            <w:shd w:val="clear" w:color="000000" w:fill="F2F2F2"/>
            <w:noWrap/>
            <w:vAlign w:val="bottom"/>
            <w:hideMark/>
          </w:tcPr>
          <w:p w14:paraId="50DD898F" w14:textId="754A6D9D" w:rsidR="005A7564" w:rsidRPr="00316B2A" w:rsidRDefault="005A7564" w:rsidP="00316B2A">
            <w:pPr>
              <w:rPr>
                <w:rFonts w:ascii="Calibri" w:eastAsia="Times New Roman" w:hAnsi="Calibri" w:cs="Calibri"/>
                <w:sz w:val="18"/>
                <w:szCs w:val="18"/>
              </w:rPr>
            </w:pPr>
            <w:r w:rsidRPr="00316B2A">
              <w:rPr>
                <w:rFonts w:ascii="Calibri" w:eastAsia="Times New Roman" w:hAnsi="Calibri" w:cs="Calibri"/>
                <w:sz w:val="18"/>
                <w:szCs w:val="18"/>
              </w:rPr>
              <w:t xml:space="preserve"> </w:t>
            </w:r>
            <w:r w:rsidR="00546375">
              <w:rPr>
                <w:rFonts w:ascii="Calibri" w:eastAsia="Times New Roman" w:hAnsi="Calibri" w:cs="Calibri"/>
                <w:sz w:val="18"/>
                <w:szCs w:val="18"/>
              </w:rPr>
              <w:t xml:space="preserve"> </w:t>
            </w:r>
            <w:r w:rsidRPr="00316B2A">
              <w:rPr>
                <w:rFonts w:ascii="Calibri" w:eastAsia="Times New Roman" w:hAnsi="Calibri" w:cs="Calibri"/>
                <w:sz w:val="18"/>
                <w:szCs w:val="18"/>
              </w:rPr>
              <w:t xml:space="preserve">$ </w:t>
            </w:r>
            <w:r w:rsidR="00546375">
              <w:rPr>
                <w:rFonts w:ascii="Calibri" w:eastAsia="Times New Roman" w:hAnsi="Calibri" w:cs="Calibri"/>
                <w:sz w:val="18"/>
                <w:szCs w:val="18"/>
              </w:rPr>
              <w:t xml:space="preserve"> </w:t>
            </w:r>
            <w:r w:rsidR="00546375" w:rsidRPr="002B5282">
              <w:rPr>
                <w:rFonts w:ascii="Calibri" w:eastAsia="Times New Roman" w:hAnsi="Calibri" w:cs="Calibri"/>
                <w:sz w:val="18"/>
                <w:szCs w:val="18"/>
              </w:rPr>
              <w:t xml:space="preserve">   </w:t>
            </w:r>
            <w:r w:rsidRPr="00316B2A">
              <w:rPr>
                <w:rFonts w:ascii="Calibri" w:eastAsia="Times New Roman" w:hAnsi="Calibri" w:cs="Calibri"/>
                <w:sz w:val="18"/>
                <w:szCs w:val="18"/>
              </w:rPr>
              <w:t xml:space="preserve">   59 </w:t>
            </w:r>
          </w:p>
        </w:tc>
        <w:tc>
          <w:tcPr>
            <w:tcW w:w="1029" w:type="dxa"/>
            <w:tcBorders>
              <w:top w:val="nil"/>
              <w:left w:val="nil"/>
              <w:bottom w:val="nil"/>
              <w:right w:val="nil"/>
            </w:tcBorders>
            <w:shd w:val="clear" w:color="000000" w:fill="FFFFFF"/>
            <w:noWrap/>
            <w:vAlign w:val="bottom"/>
            <w:hideMark/>
          </w:tcPr>
          <w:p w14:paraId="5DF31D92" w14:textId="0058AD54" w:rsidR="005A7564" w:rsidRPr="00316B2A" w:rsidRDefault="005A7564" w:rsidP="00316B2A">
            <w:pPr>
              <w:rPr>
                <w:rFonts w:ascii="Calibri" w:eastAsia="Times New Roman" w:hAnsi="Calibri" w:cs="Calibri"/>
                <w:sz w:val="18"/>
                <w:szCs w:val="18"/>
              </w:rPr>
            </w:pPr>
            <w:r w:rsidRPr="00316B2A">
              <w:rPr>
                <w:rFonts w:ascii="Calibri" w:eastAsia="Times New Roman" w:hAnsi="Calibri" w:cs="Calibri"/>
                <w:sz w:val="18"/>
                <w:szCs w:val="18"/>
              </w:rPr>
              <w:t xml:space="preserve"> </w:t>
            </w:r>
            <w:r w:rsidR="00546375" w:rsidRPr="002B5282">
              <w:rPr>
                <w:rFonts w:ascii="Calibri" w:eastAsia="Times New Roman" w:hAnsi="Calibri" w:cs="Calibri"/>
                <w:sz w:val="18"/>
                <w:szCs w:val="18"/>
              </w:rPr>
              <w:t xml:space="preserve">$   </w:t>
            </w:r>
            <w:r w:rsidRPr="00316B2A">
              <w:rPr>
                <w:rFonts w:ascii="Calibri" w:eastAsia="Times New Roman" w:hAnsi="Calibri" w:cs="Calibri"/>
                <w:sz w:val="18"/>
                <w:szCs w:val="18"/>
              </w:rPr>
              <w:t xml:space="preserve">       48 </w:t>
            </w:r>
          </w:p>
        </w:tc>
        <w:tc>
          <w:tcPr>
            <w:tcW w:w="1029" w:type="dxa"/>
            <w:tcBorders>
              <w:top w:val="nil"/>
              <w:left w:val="nil"/>
              <w:bottom w:val="nil"/>
              <w:right w:val="nil"/>
            </w:tcBorders>
            <w:shd w:val="clear" w:color="000000" w:fill="F2F2F2"/>
            <w:noWrap/>
            <w:vAlign w:val="bottom"/>
            <w:hideMark/>
          </w:tcPr>
          <w:p w14:paraId="52C25616" w14:textId="0AF22A34" w:rsidR="005A7564" w:rsidRPr="00316B2A" w:rsidRDefault="00546375" w:rsidP="00316B2A">
            <w:pPr>
              <w:rPr>
                <w:rFonts w:ascii="Calibri" w:eastAsia="Times New Roman" w:hAnsi="Calibri" w:cs="Calibri"/>
                <w:sz w:val="18"/>
                <w:szCs w:val="18"/>
              </w:rPr>
            </w:pPr>
            <w:r w:rsidRPr="002B5282">
              <w:rPr>
                <w:rFonts w:ascii="Calibri" w:eastAsia="Times New Roman" w:hAnsi="Calibri" w:cs="Calibri"/>
                <w:sz w:val="18"/>
                <w:szCs w:val="18"/>
              </w:rPr>
              <w:t xml:space="preserve"> $     </w:t>
            </w:r>
            <w:r w:rsidR="005A7564" w:rsidRPr="00316B2A">
              <w:rPr>
                <w:rFonts w:ascii="Calibri" w:eastAsia="Times New Roman" w:hAnsi="Calibri" w:cs="Calibri"/>
                <w:sz w:val="18"/>
                <w:szCs w:val="18"/>
              </w:rPr>
              <w:t xml:space="preserve">     65 </w:t>
            </w:r>
          </w:p>
        </w:tc>
        <w:tc>
          <w:tcPr>
            <w:tcW w:w="1029" w:type="dxa"/>
            <w:tcBorders>
              <w:top w:val="nil"/>
              <w:left w:val="nil"/>
              <w:bottom w:val="nil"/>
              <w:right w:val="nil"/>
            </w:tcBorders>
            <w:shd w:val="clear" w:color="000000" w:fill="FFFFFF"/>
            <w:noWrap/>
            <w:vAlign w:val="bottom"/>
            <w:hideMark/>
          </w:tcPr>
          <w:p w14:paraId="046D60FD" w14:textId="009BA1D7" w:rsidR="005A7564" w:rsidRPr="00316B2A" w:rsidRDefault="00546375" w:rsidP="00316B2A">
            <w:pPr>
              <w:rPr>
                <w:rFonts w:ascii="Calibri" w:eastAsia="Times New Roman" w:hAnsi="Calibri" w:cs="Calibri"/>
                <w:color w:val="0D0D0D"/>
                <w:sz w:val="18"/>
                <w:szCs w:val="18"/>
              </w:rPr>
            </w:pPr>
            <w:r w:rsidRPr="002B5282">
              <w:rPr>
                <w:rFonts w:ascii="Calibri" w:eastAsia="Times New Roman" w:hAnsi="Calibri" w:cs="Calibri"/>
                <w:color w:val="0D0D0D"/>
                <w:sz w:val="18"/>
                <w:szCs w:val="18"/>
              </w:rPr>
              <w:t xml:space="preserve"> $    </w:t>
            </w:r>
            <w:r w:rsidR="005A7564" w:rsidRPr="00316B2A">
              <w:rPr>
                <w:rFonts w:ascii="Calibri" w:eastAsia="Times New Roman" w:hAnsi="Calibri" w:cs="Calibri"/>
                <w:color w:val="0D0D0D"/>
                <w:sz w:val="18"/>
                <w:szCs w:val="18"/>
              </w:rPr>
              <w:t xml:space="preserve">     68 </w:t>
            </w:r>
          </w:p>
        </w:tc>
        <w:tc>
          <w:tcPr>
            <w:tcW w:w="1008" w:type="dxa"/>
            <w:tcBorders>
              <w:top w:val="nil"/>
              <w:left w:val="nil"/>
              <w:bottom w:val="nil"/>
              <w:right w:val="nil"/>
            </w:tcBorders>
            <w:shd w:val="clear" w:color="000000" w:fill="F2F2F2"/>
            <w:noWrap/>
            <w:vAlign w:val="bottom"/>
            <w:hideMark/>
          </w:tcPr>
          <w:p w14:paraId="732E78F6" w14:textId="77777777" w:rsidR="005A7564" w:rsidRPr="00316B2A" w:rsidRDefault="005A7564" w:rsidP="00316B2A">
            <w:pPr>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       156 </w:t>
            </w:r>
          </w:p>
        </w:tc>
        <w:tc>
          <w:tcPr>
            <w:tcW w:w="1008" w:type="dxa"/>
            <w:tcBorders>
              <w:top w:val="nil"/>
              <w:left w:val="nil"/>
              <w:bottom w:val="nil"/>
              <w:right w:val="nil"/>
            </w:tcBorders>
            <w:shd w:val="clear" w:color="000000" w:fill="FFFFFF"/>
            <w:noWrap/>
            <w:vAlign w:val="bottom"/>
            <w:hideMark/>
          </w:tcPr>
          <w:p w14:paraId="58E37844" w14:textId="0B65F71E" w:rsidR="005A7564" w:rsidRPr="00316B2A" w:rsidRDefault="006378D0" w:rsidP="00316B2A">
            <w:pPr>
              <w:ind w:firstLineChars="100" w:firstLine="180"/>
              <w:jc w:val="center"/>
              <w:rPr>
                <w:rFonts w:ascii="Calibri" w:eastAsia="Times New Roman" w:hAnsi="Calibri" w:cs="Calibri"/>
                <w:color w:val="0D0D0D"/>
                <w:sz w:val="18"/>
                <w:szCs w:val="18"/>
              </w:rPr>
            </w:pPr>
            <w:r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105 </w:t>
            </w:r>
          </w:p>
        </w:tc>
        <w:tc>
          <w:tcPr>
            <w:tcW w:w="1008" w:type="dxa"/>
            <w:tcBorders>
              <w:top w:val="nil"/>
              <w:left w:val="nil"/>
              <w:bottom w:val="nil"/>
              <w:right w:val="nil"/>
            </w:tcBorders>
            <w:shd w:val="clear" w:color="000000" w:fill="F2F2F2"/>
            <w:noWrap/>
            <w:vAlign w:val="bottom"/>
            <w:hideMark/>
          </w:tcPr>
          <w:p w14:paraId="2989AF22" w14:textId="6513BC6B" w:rsidR="005A7564" w:rsidRPr="00316B2A" w:rsidRDefault="00546375" w:rsidP="00316B2A">
            <w:pPr>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006378D0" w:rsidRPr="006378D0">
              <w:rPr>
                <w:rFonts w:ascii="Calibri" w:eastAsia="Times New Roman" w:hAnsi="Calibri" w:cs="Calibri"/>
                <w:color w:val="0D0D0D"/>
                <w:sz w:val="18"/>
                <w:szCs w:val="18"/>
              </w:rPr>
              <w:t xml:space="preserve">$   </w:t>
            </w:r>
            <w:r>
              <w:rPr>
                <w:rFonts w:ascii="Calibri" w:eastAsia="Times New Roman" w:hAnsi="Calibri" w:cs="Calibri"/>
                <w:color w:val="0D0D0D"/>
                <w:sz w:val="18"/>
                <w:szCs w:val="18"/>
              </w:rPr>
              <w:t xml:space="preserve">  </w:t>
            </w:r>
            <w:r w:rsidR="006378D0" w:rsidRPr="006378D0">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 xml:space="preserve">168 </w:t>
            </w:r>
          </w:p>
        </w:tc>
        <w:tc>
          <w:tcPr>
            <w:tcW w:w="1008" w:type="dxa"/>
            <w:tcBorders>
              <w:top w:val="nil"/>
              <w:left w:val="nil"/>
              <w:bottom w:val="nil"/>
              <w:right w:val="nil"/>
            </w:tcBorders>
            <w:shd w:val="clear" w:color="000000" w:fill="FFFFFF"/>
            <w:noWrap/>
            <w:vAlign w:val="bottom"/>
            <w:hideMark/>
          </w:tcPr>
          <w:p w14:paraId="22106A71" w14:textId="77777777" w:rsidR="005A7564" w:rsidRPr="00316B2A" w:rsidRDefault="005A7564" w:rsidP="00316B2A">
            <w:pPr>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       312 </w:t>
            </w:r>
          </w:p>
        </w:tc>
        <w:tc>
          <w:tcPr>
            <w:tcW w:w="1008" w:type="dxa"/>
            <w:tcBorders>
              <w:top w:val="nil"/>
              <w:left w:val="nil"/>
              <w:bottom w:val="nil"/>
              <w:right w:val="nil"/>
            </w:tcBorders>
            <w:shd w:val="clear" w:color="000000" w:fill="F2F2F2"/>
            <w:noWrap/>
            <w:vAlign w:val="bottom"/>
            <w:hideMark/>
          </w:tcPr>
          <w:p w14:paraId="6AD048A4" w14:textId="640EF0A4" w:rsidR="005A7564" w:rsidRPr="00316B2A" w:rsidRDefault="005A7564" w:rsidP="00316B2A">
            <w:pPr>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w:t>
            </w:r>
            <w:r w:rsidR="00546375">
              <w:rPr>
                <w:rFonts w:ascii="Calibri" w:eastAsia="Times New Roman" w:hAnsi="Calibri" w:cs="Calibri"/>
                <w:color w:val="0D0D0D"/>
                <w:sz w:val="18"/>
                <w:szCs w:val="18"/>
              </w:rPr>
              <w:t xml:space="preserve"> </w:t>
            </w:r>
            <w:r w:rsidRPr="00316B2A">
              <w:rPr>
                <w:rFonts w:ascii="Calibri" w:eastAsia="Times New Roman" w:hAnsi="Calibri" w:cs="Calibri"/>
                <w:color w:val="0D0D0D"/>
                <w:sz w:val="18"/>
                <w:szCs w:val="18"/>
              </w:rPr>
              <w:t xml:space="preserve">     301 </w:t>
            </w:r>
          </w:p>
        </w:tc>
        <w:tc>
          <w:tcPr>
            <w:tcW w:w="1008" w:type="dxa"/>
            <w:tcBorders>
              <w:top w:val="nil"/>
              <w:left w:val="nil"/>
              <w:bottom w:val="nil"/>
              <w:right w:val="nil"/>
            </w:tcBorders>
            <w:shd w:val="clear" w:color="000000" w:fill="FFFFFF"/>
            <w:noWrap/>
            <w:vAlign w:val="bottom"/>
            <w:hideMark/>
          </w:tcPr>
          <w:p w14:paraId="537FA261" w14:textId="77777777" w:rsidR="005A7564" w:rsidRPr="00316B2A" w:rsidRDefault="005A7564" w:rsidP="00316B2A">
            <w:pPr>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 $       692 </w:t>
            </w:r>
          </w:p>
        </w:tc>
      </w:tr>
      <w:tr w:rsidR="00AE08EB" w:rsidRPr="00956B56" w14:paraId="0C13EFC4" w14:textId="77777777" w:rsidTr="00316B2A">
        <w:trPr>
          <w:trHeight w:val="20"/>
        </w:trPr>
        <w:tc>
          <w:tcPr>
            <w:tcW w:w="2677" w:type="dxa"/>
            <w:tcBorders>
              <w:top w:val="nil"/>
              <w:left w:val="nil"/>
              <w:bottom w:val="nil"/>
              <w:right w:val="nil"/>
            </w:tcBorders>
            <w:shd w:val="clear" w:color="000000" w:fill="FFFFFF"/>
            <w:vAlign w:val="bottom"/>
            <w:hideMark/>
          </w:tcPr>
          <w:p w14:paraId="717DC2FD" w14:textId="77777777" w:rsidR="00AE08EB" w:rsidRDefault="005A7564" w:rsidP="00316B2A">
            <w:pPr>
              <w:ind w:left="-113" w:right="-951"/>
              <w:rPr>
                <w:rFonts w:ascii="Calibri" w:eastAsia="Times New Roman" w:hAnsi="Calibri" w:cs="Calibri"/>
                <w:color w:val="0D0D0D"/>
                <w:sz w:val="18"/>
                <w:szCs w:val="18"/>
              </w:rPr>
            </w:pPr>
            <w:r w:rsidRPr="00316B2A">
              <w:rPr>
                <w:rFonts w:ascii="Calibri" w:eastAsia="Times New Roman" w:hAnsi="Calibri" w:cs="Calibri"/>
                <w:color w:val="0D0D0D"/>
                <w:sz w:val="18"/>
                <w:szCs w:val="18"/>
              </w:rPr>
              <w:t xml:space="preserve">Net pension liability as a </w:t>
            </w:r>
          </w:p>
          <w:p w14:paraId="2DBB6BF9" w14:textId="5E23B727" w:rsidR="005A7564" w:rsidRPr="00316B2A" w:rsidRDefault="00AE08EB" w:rsidP="00316B2A">
            <w:pPr>
              <w:ind w:left="-113" w:right="-951"/>
              <w:rPr>
                <w:rFonts w:ascii="Calibri" w:eastAsia="Times New Roman" w:hAnsi="Calibri" w:cs="Calibri"/>
                <w:color w:val="0D0D0D"/>
                <w:sz w:val="18"/>
                <w:szCs w:val="18"/>
              </w:rPr>
            </w:pPr>
            <w:r>
              <w:rPr>
                <w:rFonts w:ascii="Calibri" w:eastAsia="Times New Roman" w:hAnsi="Calibri" w:cs="Calibri"/>
                <w:color w:val="0D0D0D"/>
                <w:sz w:val="18"/>
                <w:szCs w:val="18"/>
              </w:rPr>
              <w:t xml:space="preserve">  </w:t>
            </w:r>
            <w:r w:rsidRPr="00AE08EB">
              <w:rPr>
                <w:rFonts w:ascii="Calibri" w:eastAsia="Times New Roman" w:hAnsi="Calibri" w:cs="Calibri"/>
                <w:color w:val="0D0D0D"/>
                <w:sz w:val="18"/>
                <w:szCs w:val="18"/>
              </w:rPr>
              <w:t>P</w:t>
            </w:r>
            <w:r w:rsidR="005A7564" w:rsidRPr="00316B2A">
              <w:rPr>
                <w:rFonts w:ascii="Calibri" w:eastAsia="Times New Roman" w:hAnsi="Calibri" w:cs="Calibri"/>
                <w:color w:val="0D0D0D"/>
                <w:sz w:val="18"/>
                <w:szCs w:val="18"/>
              </w:rPr>
              <w:t>ercentage</w:t>
            </w:r>
            <w:r>
              <w:rPr>
                <w:rFonts w:ascii="Calibri" w:eastAsia="Times New Roman" w:hAnsi="Calibri" w:cs="Calibri"/>
                <w:color w:val="0D0D0D"/>
                <w:sz w:val="18"/>
                <w:szCs w:val="18"/>
              </w:rPr>
              <w:t xml:space="preserve"> </w:t>
            </w:r>
            <w:r w:rsidR="005A7564" w:rsidRPr="00316B2A">
              <w:rPr>
                <w:rFonts w:ascii="Calibri" w:eastAsia="Times New Roman" w:hAnsi="Calibri" w:cs="Calibri"/>
                <w:color w:val="0D0D0D"/>
                <w:sz w:val="18"/>
                <w:szCs w:val="18"/>
              </w:rPr>
              <w:t>of covered payroll</w:t>
            </w:r>
          </w:p>
        </w:tc>
        <w:tc>
          <w:tcPr>
            <w:tcW w:w="1008" w:type="dxa"/>
            <w:tcBorders>
              <w:top w:val="nil"/>
              <w:left w:val="nil"/>
              <w:bottom w:val="nil"/>
              <w:right w:val="nil"/>
            </w:tcBorders>
            <w:shd w:val="clear" w:color="000000" w:fill="F2F2F2"/>
            <w:noWrap/>
            <w:vAlign w:val="bottom"/>
            <w:hideMark/>
          </w:tcPr>
          <w:p w14:paraId="0A29F1C6" w14:textId="6BD510A6" w:rsidR="005A7564" w:rsidRPr="00316B2A" w:rsidRDefault="00F45B50" w:rsidP="00316B2A">
            <w:pPr>
              <w:jc w:val="right"/>
              <w:rPr>
                <w:rFonts w:ascii="Calibri" w:eastAsia="Times New Roman" w:hAnsi="Calibri" w:cs="Calibri"/>
                <w:sz w:val="18"/>
                <w:szCs w:val="18"/>
              </w:rPr>
            </w:pPr>
            <w:r w:rsidRPr="00F45B50">
              <w:rPr>
                <w:rFonts w:ascii="Calibri" w:eastAsia="Times New Roman" w:hAnsi="Calibri" w:cs="Calibri"/>
                <w:sz w:val="18"/>
                <w:szCs w:val="18"/>
              </w:rPr>
              <w:t>18283.2</w:t>
            </w:r>
            <w:r w:rsidR="009E6241">
              <w:rPr>
                <w:rFonts w:ascii="Calibri" w:eastAsia="Times New Roman" w:hAnsi="Calibri" w:cs="Calibri"/>
                <w:sz w:val="18"/>
                <w:szCs w:val="18"/>
              </w:rPr>
              <w:t>8</w:t>
            </w:r>
            <w:r w:rsidR="005A7564" w:rsidRPr="00316B2A">
              <w:rPr>
                <w:rFonts w:ascii="Calibri" w:eastAsia="Times New Roman" w:hAnsi="Calibri" w:cs="Calibri"/>
                <w:sz w:val="18"/>
                <w:szCs w:val="18"/>
              </w:rPr>
              <w:t>%</w:t>
            </w:r>
          </w:p>
        </w:tc>
        <w:tc>
          <w:tcPr>
            <w:tcW w:w="1029" w:type="dxa"/>
            <w:tcBorders>
              <w:top w:val="nil"/>
              <w:left w:val="nil"/>
              <w:bottom w:val="nil"/>
              <w:right w:val="nil"/>
            </w:tcBorders>
            <w:shd w:val="clear" w:color="000000" w:fill="FFFFFF"/>
            <w:noWrap/>
            <w:vAlign w:val="bottom"/>
            <w:hideMark/>
          </w:tcPr>
          <w:p w14:paraId="062CE2E5" w14:textId="77777777" w:rsidR="005A7564" w:rsidRPr="00316B2A" w:rsidRDefault="005A7564" w:rsidP="00316B2A">
            <w:pPr>
              <w:jc w:val="right"/>
              <w:rPr>
                <w:rFonts w:ascii="Calibri" w:eastAsia="Times New Roman" w:hAnsi="Calibri" w:cs="Calibri"/>
                <w:sz w:val="18"/>
                <w:szCs w:val="18"/>
              </w:rPr>
            </w:pPr>
            <w:r w:rsidRPr="00316B2A">
              <w:rPr>
                <w:rFonts w:ascii="Calibri" w:eastAsia="Times New Roman" w:hAnsi="Calibri" w:cs="Calibri"/>
                <w:sz w:val="18"/>
                <w:szCs w:val="18"/>
              </w:rPr>
              <w:t>24138.26%</w:t>
            </w:r>
          </w:p>
        </w:tc>
        <w:tc>
          <w:tcPr>
            <w:tcW w:w="1029" w:type="dxa"/>
            <w:tcBorders>
              <w:top w:val="nil"/>
              <w:left w:val="nil"/>
              <w:bottom w:val="nil"/>
              <w:right w:val="nil"/>
            </w:tcBorders>
            <w:shd w:val="clear" w:color="000000" w:fill="F2F2F2"/>
            <w:noWrap/>
            <w:vAlign w:val="bottom"/>
            <w:hideMark/>
          </w:tcPr>
          <w:p w14:paraId="030913E2"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13158.91%</w:t>
            </w:r>
          </w:p>
        </w:tc>
        <w:tc>
          <w:tcPr>
            <w:tcW w:w="1029" w:type="dxa"/>
            <w:tcBorders>
              <w:top w:val="nil"/>
              <w:left w:val="nil"/>
              <w:bottom w:val="nil"/>
              <w:right w:val="nil"/>
            </w:tcBorders>
            <w:shd w:val="clear" w:color="000000" w:fill="FFFFFF"/>
            <w:noWrap/>
            <w:vAlign w:val="bottom"/>
            <w:hideMark/>
          </w:tcPr>
          <w:p w14:paraId="0E4C6A6B"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17284.43%</w:t>
            </w:r>
          </w:p>
        </w:tc>
        <w:tc>
          <w:tcPr>
            <w:tcW w:w="1008" w:type="dxa"/>
            <w:tcBorders>
              <w:top w:val="nil"/>
              <w:left w:val="nil"/>
              <w:bottom w:val="nil"/>
              <w:right w:val="nil"/>
            </w:tcBorders>
            <w:shd w:val="clear" w:color="000000" w:fill="F2F2F2"/>
            <w:noWrap/>
            <w:vAlign w:val="bottom"/>
            <w:hideMark/>
          </w:tcPr>
          <w:p w14:paraId="249B4FE2"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7396.21%</w:t>
            </w:r>
          </w:p>
        </w:tc>
        <w:tc>
          <w:tcPr>
            <w:tcW w:w="1008" w:type="dxa"/>
            <w:tcBorders>
              <w:top w:val="nil"/>
              <w:left w:val="nil"/>
              <w:bottom w:val="nil"/>
              <w:right w:val="nil"/>
            </w:tcBorders>
            <w:shd w:val="clear" w:color="000000" w:fill="FFFFFF"/>
            <w:noWrap/>
            <w:vAlign w:val="bottom"/>
            <w:hideMark/>
          </w:tcPr>
          <w:p w14:paraId="755466BE"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9052.65%</w:t>
            </w:r>
          </w:p>
        </w:tc>
        <w:tc>
          <w:tcPr>
            <w:tcW w:w="1008" w:type="dxa"/>
            <w:tcBorders>
              <w:top w:val="nil"/>
              <w:left w:val="nil"/>
              <w:bottom w:val="nil"/>
              <w:right w:val="nil"/>
            </w:tcBorders>
            <w:shd w:val="clear" w:color="000000" w:fill="F2F2F2"/>
            <w:noWrap/>
            <w:vAlign w:val="bottom"/>
            <w:hideMark/>
          </w:tcPr>
          <w:p w14:paraId="41F67877"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5400.37%</w:t>
            </w:r>
          </w:p>
        </w:tc>
        <w:tc>
          <w:tcPr>
            <w:tcW w:w="1008" w:type="dxa"/>
            <w:tcBorders>
              <w:top w:val="nil"/>
              <w:left w:val="nil"/>
              <w:bottom w:val="nil"/>
              <w:right w:val="nil"/>
            </w:tcBorders>
            <w:shd w:val="clear" w:color="000000" w:fill="FFFFFF"/>
            <w:noWrap/>
            <w:vAlign w:val="bottom"/>
            <w:hideMark/>
          </w:tcPr>
          <w:p w14:paraId="2778475F"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3259.34%</w:t>
            </w:r>
          </w:p>
        </w:tc>
        <w:tc>
          <w:tcPr>
            <w:tcW w:w="1008" w:type="dxa"/>
            <w:tcBorders>
              <w:top w:val="nil"/>
              <w:left w:val="nil"/>
              <w:bottom w:val="nil"/>
              <w:right w:val="nil"/>
            </w:tcBorders>
            <w:shd w:val="clear" w:color="000000" w:fill="F2F2F2"/>
            <w:noWrap/>
            <w:vAlign w:val="bottom"/>
            <w:hideMark/>
          </w:tcPr>
          <w:p w14:paraId="4C56CEB1"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2219.09%</w:t>
            </w:r>
          </w:p>
        </w:tc>
        <w:tc>
          <w:tcPr>
            <w:tcW w:w="1008" w:type="dxa"/>
            <w:tcBorders>
              <w:top w:val="nil"/>
              <w:left w:val="nil"/>
              <w:bottom w:val="nil"/>
              <w:right w:val="nil"/>
            </w:tcBorders>
            <w:shd w:val="clear" w:color="000000" w:fill="FFFFFF"/>
            <w:noWrap/>
            <w:vAlign w:val="bottom"/>
            <w:hideMark/>
          </w:tcPr>
          <w:p w14:paraId="39444B92" w14:textId="77777777" w:rsidR="005A7564" w:rsidRPr="00316B2A" w:rsidRDefault="005A7564" w:rsidP="00316B2A">
            <w:pPr>
              <w:jc w:val="right"/>
              <w:rPr>
                <w:rFonts w:ascii="Calibri" w:eastAsia="Times New Roman" w:hAnsi="Calibri" w:cs="Calibri"/>
                <w:color w:val="0D0D0D"/>
                <w:sz w:val="18"/>
                <w:szCs w:val="18"/>
              </w:rPr>
            </w:pPr>
            <w:r w:rsidRPr="00316B2A">
              <w:rPr>
                <w:rFonts w:ascii="Calibri" w:eastAsia="Times New Roman" w:hAnsi="Calibri" w:cs="Calibri"/>
                <w:color w:val="0D0D0D"/>
                <w:sz w:val="18"/>
                <w:szCs w:val="18"/>
              </w:rPr>
              <w:t>704.23%</w:t>
            </w:r>
          </w:p>
        </w:tc>
      </w:tr>
      <w:tr w:rsidR="006378D0" w:rsidRPr="006378D0" w14:paraId="492A4A68" w14:textId="77777777" w:rsidTr="00316B2A">
        <w:trPr>
          <w:gridAfter w:val="1"/>
          <w:wAfter w:w="1008" w:type="dxa"/>
          <w:trHeight w:val="444"/>
        </w:trPr>
        <w:tc>
          <w:tcPr>
            <w:tcW w:w="4714" w:type="dxa"/>
            <w:gridSpan w:val="3"/>
            <w:tcBorders>
              <w:top w:val="nil"/>
              <w:left w:val="nil"/>
              <w:bottom w:val="nil"/>
              <w:right w:val="nil"/>
            </w:tcBorders>
            <w:shd w:val="clear" w:color="000000" w:fill="FFFFFF"/>
            <w:noWrap/>
            <w:vAlign w:val="bottom"/>
            <w:hideMark/>
          </w:tcPr>
          <w:p w14:paraId="60ECA3F9" w14:textId="77777777" w:rsidR="00546375" w:rsidRDefault="00546375" w:rsidP="005A7564">
            <w:pPr>
              <w:rPr>
                <w:rFonts w:ascii="Calibri" w:eastAsia="Times New Roman" w:hAnsi="Calibri" w:cs="Calibri"/>
                <w:sz w:val="16"/>
                <w:szCs w:val="16"/>
              </w:rPr>
            </w:pPr>
          </w:p>
          <w:p w14:paraId="17552D87" w14:textId="77777777" w:rsidR="00546375" w:rsidRDefault="00546375" w:rsidP="005A7564">
            <w:pPr>
              <w:rPr>
                <w:rFonts w:ascii="Calibri" w:eastAsia="Times New Roman" w:hAnsi="Calibri" w:cs="Calibri"/>
                <w:sz w:val="16"/>
                <w:szCs w:val="16"/>
              </w:rPr>
            </w:pPr>
          </w:p>
          <w:p w14:paraId="73E1EFDE" w14:textId="4A06005F" w:rsidR="005A7564" w:rsidRPr="00316B2A" w:rsidRDefault="003E72E3" w:rsidP="005A7564">
            <w:pPr>
              <w:rPr>
                <w:rFonts w:ascii="Calibri" w:eastAsia="Times New Roman" w:hAnsi="Calibri" w:cs="Calibri"/>
                <w:sz w:val="16"/>
                <w:szCs w:val="16"/>
              </w:rPr>
            </w:pPr>
            <w:r>
              <w:rPr>
                <w:rFonts w:ascii="Calibri" w:eastAsia="Times New Roman" w:hAnsi="Calibri" w:cs="Calibri"/>
                <w:sz w:val="16"/>
                <w:szCs w:val="16"/>
              </w:rPr>
              <w:t xml:space="preserve">* </w:t>
            </w:r>
            <w:r w:rsidR="005A7564" w:rsidRPr="00316B2A">
              <w:rPr>
                <w:rFonts w:ascii="Calibri" w:eastAsia="Times New Roman" w:hAnsi="Calibri" w:cs="Calibri"/>
                <w:sz w:val="16"/>
                <w:szCs w:val="16"/>
              </w:rPr>
              <w:t>Covered payroll for 2016 is the 2015 covered payroll, increased by payroll growth of 3.5%</w:t>
            </w:r>
          </w:p>
        </w:tc>
        <w:tc>
          <w:tcPr>
            <w:tcW w:w="1029" w:type="dxa"/>
            <w:tcBorders>
              <w:top w:val="nil"/>
              <w:left w:val="nil"/>
              <w:bottom w:val="nil"/>
              <w:right w:val="nil"/>
            </w:tcBorders>
            <w:shd w:val="clear" w:color="000000" w:fill="FFFFFF"/>
            <w:noWrap/>
            <w:vAlign w:val="bottom"/>
            <w:hideMark/>
          </w:tcPr>
          <w:p w14:paraId="3DBC044C"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29" w:type="dxa"/>
            <w:tcBorders>
              <w:top w:val="nil"/>
              <w:left w:val="nil"/>
              <w:bottom w:val="nil"/>
              <w:right w:val="nil"/>
            </w:tcBorders>
            <w:shd w:val="clear" w:color="000000" w:fill="FFFFFF"/>
            <w:noWrap/>
            <w:vAlign w:val="bottom"/>
            <w:hideMark/>
          </w:tcPr>
          <w:p w14:paraId="70FD99C5"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4C010351"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5DE911DE"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515F4A83"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4FBA6DC3"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3E11BA71"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r>
      <w:tr w:rsidR="00AE08EB" w:rsidRPr="00AE08EB" w14:paraId="60BA56BB" w14:textId="77777777" w:rsidTr="00316B2A">
        <w:trPr>
          <w:gridAfter w:val="1"/>
          <w:wAfter w:w="1008" w:type="dxa"/>
          <w:trHeight w:val="312"/>
        </w:trPr>
        <w:tc>
          <w:tcPr>
            <w:tcW w:w="7780" w:type="dxa"/>
            <w:gridSpan w:val="6"/>
            <w:tcBorders>
              <w:top w:val="nil"/>
              <w:left w:val="nil"/>
              <w:bottom w:val="nil"/>
              <w:right w:val="nil"/>
            </w:tcBorders>
            <w:shd w:val="clear" w:color="000000" w:fill="FFFFFF"/>
            <w:noWrap/>
            <w:vAlign w:val="bottom"/>
            <w:hideMark/>
          </w:tcPr>
          <w:p w14:paraId="76754AF3" w14:textId="3A3B73A0"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Detailed information regarding the change in the total pension liability for FY14 has not bee</w:t>
            </w:r>
            <w:r w:rsidR="00D11C40" w:rsidRPr="00D11C40">
              <w:rPr>
                <w:rFonts w:ascii="Calibri" w:eastAsia="Times New Roman" w:hAnsi="Calibri" w:cs="Calibri"/>
                <w:color w:val="0D0D0D"/>
                <w:sz w:val="16"/>
                <w:szCs w:val="16"/>
              </w:rPr>
              <w:t xml:space="preserve">n presented as that information </w:t>
            </w:r>
            <w:r w:rsidRPr="00316B2A">
              <w:rPr>
                <w:rFonts w:ascii="Calibri" w:eastAsia="Times New Roman" w:hAnsi="Calibri" w:cs="Calibri"/>
                <w:color w:val="0D0D0D"/>
                <w:sz w:val="16"/>
                <w:szCs w:val="16"/>
              </w:rPr>
              <w:t>was not available.</w:t>
            </w:r>
          </w:p>
        </w:tc>
        <w:tc>
          <w:tcPr>
            <w:tcW w:w="1008" w:type="dxa"/>
            <w:tcBorders>
              <w:top w:val="nil"/>
              <w:left w:val="nil"/>
              <w:bottom w:val="nil"/>
              <w:right w:val="nil"/>
            </w:tcBorders>
            <w:shd w:val="clear" w:color="000000" w:fill="FFFFFF"/>
            <w:noWrap/>
            <w:vAlign w:val="bottom"/>
            <w:hideMark/>
          </w:tcPr>
          <w:p w14:paraId="0CC93DF2"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1F5A3586"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62C40987"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c>
          <w:tcPr>
            <w:tcW w:w="1008" w:type="dxa"/>
            <w:tcBorders>
              <w:top w:val="nil"/>
              <w:left w:val="nil"/>
              <w:bottom w:val="nil"/>
              <w:right w:val="nil"/>
            </w:tcBorders>
            <w:shd w:val="clear" w:color="000000" w:fill="FFFFFF"/>
            <w:noWrap/>
            <w:vAlign w:val="bottom"/>
            <w:hideMark/>
          </w:tcPr>
          <w:p w14:paraId="15AE748F" w14:textId="77777777" w:rsidR="005A7564" w:rsidRPr="00316B2A" w:rsidRDefault="005A7564" w:rsidP="005A7564">
            <w:pPr>
              <w:rPr>
                <w:rFonts w:ascii="Calibri" w:eastAsia="Times New Roman" w:hAnsi="Calibri" w:cs="Calibri"/>
                <w:color w:val="0D0D0D"/>
                <w:sz w:val="16"/>
                <w:szCs w:val="16"/>
              </w:rPr>
            </w:pPr>
            <w:r w:rsidRPr="00316B2A">
              <w:rPr>
                <w:rFonts w:ascii="Calibri" w:eastAsia="Times New Roman" w:hAnsi="Calibri" w:cs="Calibri"/>
                <w:color w:val="0D0D0D"/>
                <w:sz w:val="16"/>
                <w:szCs w:val="16"/>
              </w:rPr>
              <w:t> </w:t>
            </w:r>
          </w:p>
        </w:tc>
      </w:tr>
    </w:tbl>
    <w:p w14:paraId="32CDFB05" w14:textId="77777777" w:rsidR="00DD1612" w:rsidRDefault="00DD1612" w:rsidP="00DD1612">
      <w:pPr>
        <w:pStyle w:val="AFR4"/>
        <w:spacing w:after="240"/>
        <w:rPr>
          <w:rFonts w:ascii="Calibri" w:eastAsia="Times New Roman" w:hAnsi="Calibri" w:cs="Calibri"/>
          <w:bCs/>
          <w:color w:val="0D0D0D"/>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2323BCD2" w14:textId="77777777" w:rsidR="00DD1612" w:rsidRDefault="00DD1612" w:rsidP="00DD1612">
      <w:pPr>
        <w:widowControl w:val="0"/>
        <w:spacing w:after="240"/>
        <w:jc w:val="center"/>
        <w:rPr>
          <w:rFonts w:eastAsia="Franklin Gothic Book" w:cstheme="minorHAnsi"/>
          <w:b/>
          <w:spacing w:val="1"/>
          <w:sz w:val="28"/>
          <w:szCs w:val="28"/>
        </w:rPr>
      </w:pPr>
      <w:r w:rsidRPr="001B7651">
        <w:rPr>
          <w:rFonts w:ascii="Calibri" w:eastAsia="Times New Roman" w:hAnsi="Calibri" w:cs="Calibri"/>
          <w:b/>
          <w:bCs/>
          <w:color w:val="0D0D0D"/>
        </w:rPr>
        <w:t>Schedule of Employer Contributions</w:t>
      </w:r>
      <w:r>
        <w:rPr>
          <w:rFonts w:eastAsia="Franklin Gothic Book" w:cstheme="minorHAnsi"/>
          <w:b/>
          <w:spacing w:val="1"/>
          <w:szCs w:val="28"/>
        </w:rPr>
        <w:fldChar w:fldCharType="begin"/>
      </w:r>
      <w:r>
        <w:rPr>
          <w:rFonts w:eastAsia="Franklin Gothic Book" w:cstheme="minorHAnsi"/>
          <w:b/>
          <w:spacing w:val="1"/>
          <w:szCs w:val="28"/>
        </w:rPr>
        <w:fldChar w:fldCharType="end"/>
      </w:r>
      <w:r>
        <w:rPr>
          <w:rFonts w:eastAsia="Franklin Gothic Book" w:cstheme="minorHAnsi"/>
          <w:b/>
          <w:spacing w:val="1"/>
          <w:sz w:val="28"/>
          <w:szCs w:val="28"/>
        </w:rPr>
        <w:fldChar w:fldCharType="begin"/>
      </w:r>
      <w:r>
        <w:rPr>
          <w:rFonts w:eastAsia="Franklin Gothic Book" w:cstheme="minorHAnsi"/>
          <w:b/>
          <w:spacing w:val="1"/>
          <w:sz w:val="28"/>
          <w:szCs w:val="28"/>
        </w:rPr>
        <w:fldChar w:fldCharType="end"/>
      </w:r>
    </w:p>
    <w:tbl>
      <w:tblPr>
        <w:tblW w:w="14024" w:type="dxa"/>
        <w:jc w:val="center"/>
        <w:tblLayout w:type="fixed"/>
        <w:tblCellMar>
          <w:left w:w="72" w:type="dxa"/>
          <w:right w:w="72" w:type="dxa"/>
        </w:tblCellMar>
        <w:tblLook w:val="04A0" w:firstRow="1" w:lastRow="0" w:firstColumn="1" w:lastColumn="0" w:noHBand="0" w:noVBand="1"/>
      </w:tblPr>
      <w:tblGrid>
        <w:gridCol w:w="4013"/>
        <w:gridCol w:w="1027"/>
        <w:gridCol w:w="1027"/>
        <w:gridCol w:w="1027"/>
        <w:gridCol w:w="1080"/>
        <w:gridCol w:w="990"/>
        <w:gridCol w:w="990"/>
        <w:gridCol w:w="990"/>
        <w:gridCol w:w="990"/>
        <w:gridCol w:w="990"/>
        <w:gridCol w:w="900"/>
      </w:tblGrid>
      <w:tr w:rsidR="003917AA" w:rsidRPr="001B7651" w14:paraId="23111B95" w14:textId="77777777" w:rsidTr="00316B2A">
        <w:trPr>
          <w:trHeight w:val="207"/>
          <w:tblHeader/>
          <w:jc w:val="center"/>
        </w:trPr>
        <w:tc>
          <w:tcPr>
            <w:tcW w:w="4013" w:type="dxa"/>
            <w:tcBorders>
              <w:top w:val="nil"/>
              <w:left w:val="nil"/>
              <w:bottom w:val="single" w:sz="12" w:space="0" w:color="00688D"/>
              <w:right w:val="nil"/>
            </w:tcBorders>
            <w:shd w:val="clear" w:color="000000" w:fill="FFFFFF"/>
            <w:vAlign w:val="bottom"/>
            <w:hideMark/>
          </w:tcPr>
          <w:p w14:paraId="2D0F7B23" w14:textId="77777777" w:rsidR="003917AA" w:rsidRPr="001B7651" w:rsidRDefault="003917AA" w:rsidP="003917AA">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1027" w:type="dxa"/>
            <w:tcBorders>
              <w:top w:val="nil"/>
              <w:left w:val="nil"/>
              <w:bottom w:val="single" w:sz="12" w:space="0" w:color="00688D"/>
              <w:right w:val="nil"/>
            </w:tcBorders>
            <w:shd w:val="clear" w:color="auto" w:fill="F2F2F2" w:themeFill="background1" w:themeFillShade="F2"/>
            <w:vAlign w:val="bottom"/>
          </w:tcPr>
          <w:p w14:paraId="5679DD4C" w14:textId="4EEAD92F" w:rsidR="003917AA" w:rsidRPr="00943CF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w:t>
            </w:r>
            <w:r>
              <w:rPr>
                <w:rFonts w:ascii="Calibri" w:eastAsia="Times New Roman" w:hAnsi="Calibri" w:cs="Calibri"/>
                <w:b/>
                <w:bCs/>
                <w:color w:val="0D0D0D"/>
              </w:rPr>
              <w:t>23</w:t>
            </w:r>
          </w:p>
        </w:tc>
        <w:tc>
          <w:tcPr>
            <w:tcW w:w="1027" w:type="dxa"/>
            <w:tcBorders>
              <w:top w:val="nil"/>
              <w:left w:val="nil"/>
              <w:bottom w:val="single" w:sz="12" w:space="0" w:color="00688D"/>
              <w:right w:val="nil"/>
            </w:tcBorders>
            <w:shd w:val="clear" w:color="auto" w:fill="auto"/>
            <w:vAlign w:val="bottom"/>
          </w:tcPr>
          <w:p w14:paraId="45F3C60E" w14:textId="06506D32" w:rsidR="003917AA" w:rsidRDefault="003917AA" w:rsidP="003917AA">
            <w:pPr>
              <w:jc w:val="center"/>
              <w:rPr>
                <w:rFonts w:ascii="Calibri" w:eastAsia="Times New Roman" w:hAnsi="Calibri" w:cs="Calibri"/>
                <w:b/>
                <w:bCs/>
                <w:color w:val="0D0D0D"/>
                <w:highlight w:val="lightGray"/>
              </w:rPr>
            </w:pPr>
            <w:r w:rsidRPr="00943CF1">
              <w:rPr>
                <w:rFonts w:ascii="Calibri" w:eastAsia="Times New Roman" w:hAnsi="Calibri" w:cs="Calibri"/>
                <w:b/>
                <w:bCs/>
                <w:color w:val="0D0D0D"/>
              </w:rPr>
              <w:t>2022</w:t>
            </w:r>
          </w:p>
        </w:tc>
        <w:tc>
          <w:tcPr>
            <w:tcW w:w="1027" w:type="dxa"/>
            <w:tcBorders>
              <w:top w:val="nil"/>
              <w:left w:val="nil"/>
              <w:bottom w:val="single" w:sz="12" w:space="0" w:color="00688D"/>
              <w:right w:val="nil"/>
            </w:tcBorders>
            <w:shd w:val="clear" w:color="auto" w:fill="F2F2F2" w:themeFill="background1" w:themeFillShade="F2"/>
            <w:vAlign w:val="bottom"/>
          </w:tcPr>
          <w:p w14:paraId="3401E6D8"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w:t>
            </w:r>
            <w:r>
              <w:rPr>
                <w:rFonts w:ascii="Calibri" w:eastAsia="Times New Roman" w:hAnsi="Calibri" w:cs="Calibri"/>
                <w:b/>
                <w:bCs/>
                <w:color w:val="0D0D0D"/>
              </w:rPr>
              <w:t>21</w:t>
            </w:r>
          </w:p>
        </w:tc>
        <w:tc>
          <w:tcPr>
            <w:tcW w:w="1080" w:type="dxa"/>
            <w:tcBorders>
              <w:top w:val="nil"/>
              <w:left w:val="nil"/>
              <w:bottom w:val="single" w:sz="12" w:space="0" w:color="00688D"/>
              <w:right w:val="nil"/>
            </w:tcBorders>
            <w:shd w:val="clear" w:color="000000" w:fill="FFFFFF"/>
            <w:noWrap/>
            <w:vAlign w:val="bottom"/>
            <w:hideMark/>
          </w:tcPr>
          <w:p w14:paraId="4801CB8D"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07EACD52"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90" w:type="dxa"/>
            <w:tcBorders>
              <w:top w:val="nil"/>
              <w:left w:val="nil"/>
              <w:bottom w:val="single" w:sz="12" w:space="0" w:color="00688D"/>
              <w:right w:val="nil"/>
            </w:tcBorders>
            <w:shd w:val="clear" w:color="000000" w:fill="FFFFFF"/>
            <w:noWrap/>
            <w:vAlign w:val="bottom"/>
            <w:hideMark/>
          </w:tcPr>
          <w:p w14:paraId="55D3883F"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2F1EC157"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90" w:type="dxa"/>
            <w:tcBorders>
              <w:top w:val="nil"/>
              <w:left w:val="nil"/>
              <w:bottom w:val="single" w:sz="12" w:space="0" w:color="00688D"/>
              <w:right w:val="nil"/>
            </w:tcBorders>
            <w:shd w:val="clear" w:color="000000" w:fill="FFFFFF"/>
            <w:noWrap/>
            <w:vAlign w:val="bottom"/>
            <w:hideMark/>
          </w:tcPr>
          <w:p w14:paraId="49EBE206"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794ADB97" w14:textId="77777777" w:rsidR="003917AA" w:rsidRPr="001B7651" w:rsidRDefault="003917AA" w:rsidP="003917AA">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c>
          <w:tcPr>
            <w:tcW w:w="900" w:type="dxa"/>
            <w:tcBorders>
              <w:top w:val="nil"/>
              <w:left w:val="nil"/>
              <w:bottom w:val="single" w:sz="12" w:space="0" w:color="00688D"/>
              <w:right w:val="nil"/>
            </w:tcBorders>
            <w:shd w:val="clear" w:color="auto" w:fill="auto"/>
            <w:vAlign w:val="bottom"/>
          </w:tcPr>
          <w:p w14:paraId="47D720C6" w14:textId="77777777" w:rsidR="003917AA" w:rsidRPr="001B7651" w:rsidRDefault="003917AA" w:rsidP="003917AA">
            <w:pPr>
              <w:jc w:val="center"/>
              <w:rPr>
                <w:rFonts w:ascii="Calibri" w:eastAsia="Times New Roman" w:hAnsi="Calibri" w:cs="Calibri"/>
                <w:b/>
                <w:bCs/>
                <w:color w:val="0D0D0D"/>
              </w:rPr>
            </w:pPr>
            <w:r w:rsidRPr="00D02584">
              <w:rPr>
                <w:rFonts w:ascii="Calibri" w:eastAsia="Times New Roman" w:hAnsi="Calibri" w:cs="Calibri"/>
                <w:b/>
                <w:bCs/>
              </w:rPr>
              <w:t>2014</w:t>
            </w:r>
          </w:p>
        </w:tc>
      </w:tr>
      <w:tr w:rsidR="003917AA" w:rsidRPr="001B7651" w14:paraId="2FB1246B" w14:textId="77777777" w:rsidTr="00316B2A">
        <w:trPr>
          <w:trHeight w:val="301"/>
          <w:jc w:val="center"/>
        </w:trPr>
        <w:tc>
          <w:tcPr>
            <w:tcW w:w="4013" w:type="dxa"/>
            <w:tcBorders>
              <w:top w:val="nil"/>
              <w:left w:val="nil"/>
              <w:bottom w:val="nil"/>
              <w:right w:val="nil"/>
            </w:tcBorders>
            <w:shd w:val="clear" w:color="000000" w:fill="FFFFFF"/>
            <w:vAlign w:val="center"/>
            <w:hideMark/>
          </w:tcPr>
          <w:p w14:paraId="625BD9D3" w14:textId="77777777" w:rsidR="003917AA" w:rsidRPr="001B7651" w:rsidRDefault="003917AA" w:rsidP="003917AA">
            <w:pPr>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1027" w:type="dxa"/>
            <w:tcBorders>
              <w:top w:val="nil"/>
              <w:left w:val="nil"/>
              <w:bottom w:val="nil"/>
              <w:right w:val="nil"/>
            </w:tcBorders>
            <w:shd w:val="clear" w:color="auto" w:fill="F2F2F2" w:themeFill="background1" w:themeFillShade="F2"/>
            <w:vAlign w:val="bottom"/>
          </w:tcPr>
          <w:p w14:paraId="4CE8BA6A" w14:textId="78EB464C" w:rsidR="003917AA" w:rsidRPr="003959B0" w:rsidRDefault="003917AA" w:rsidP="003917AA">
            <w:pPr>
              <w:jc w:val="right"/>
              <w:rPr>
                <w:rFonts w:ascii="Calibri" w:eastAsia="Times New Roman" w:hAnsi="Calibri" w:cs="Calibri"/>
              </w:rPr>
            </w:pPr>
            <w:r>
              <w:rPr>
                <w:rFonts w:ascii="Calibri" w:eastAsia="Times New Roman" w:hAnsi="Calibri" w:cs="Calibri"/>
                <w:color w:val="0D0D0D"/>
              </w:rPr>
              <w:t>$948</w:t>
            </w:r>
          </w:p>
        </w:tc>
        <w:tc>
          <w:tcPr>
            <w:tcW w:w="1027" w:type="dxa"/>
            <w:tcBorders>
              <w:top w:val="nil"/>
              <w:left w:val="nil"/>
              <w:bottom w:val="nil"/>
              <w:right w:val="nil"/>
            </w:tcBorders>
            <w:shd w:val="clear" w:color="auto" w:fill="auto"/>
            <w:vAlign w:val="bottom"/>
          </w:tcPr>
          <w:p w14:paraId="78C0646B" w14:textId="1C2B870D" w:rsidR="003917AA" w:rsidRPr="003959B0" w:rsidRDefault="003917AA" w:rsidP="003917AA">
            <w:pPr>
              <w:jc w:val="right"/>
              <w:rPr>
                <w:rFonts w:ascii="Calibri" w:eastAsia="Times New Roman" w:hAnsi="Calibri" w:cs="Calibri"/>
              </w:rPr>
            </w:pPr>
            <w:r w:rsidRPr="003959B0">
              <w:rPr>
                <w:rFonts w:ascii="Calibri" w:eastAsia="Times New Roman" w:hAnsi="Calibri" w:cs="Calibri"/>
              </w:rPr>
              <w:t>$672</w:t>
            </w:r>
          </w:p>
        </w:tc>
        <w:tc>
          <w:tcPr>
            <w:tcW w:w="1027" w:type="dxa"/>
            <w:tcBorders>
              <w:top w:val="nil"/>
              <w:left w:val="nil"/>
              <w:bottom w:val="nil"/>
              <w:right w:val="nil"/>
            </w:tcBorders>
            <w:shd w:val="clear" w:color="auto" w:fill="F2F2F2" w:themeFill="background1" w:themeFillShade="F2"/>
            <w:vAlign w:val="bottom"/>
          </w:tcPr>
          <w:p w14:paraId="07D944E0" w14:textId="77777777" w:rsidR="003917AA" w:rsidRDefault="003917AA" w:rsidP="003917AA">
            <w:pPr>
              <w:jc w:val="right"/>
              <w:rPr>
                <w:rFonts w:ascii="Calibri" w:eastAsia="Times New Roman" w:hAnsi="Calibri" w:cs="Calibri"/>
                <w:color w:val="0D0D0D"/>
              </w:rPr>
            </w:pPr>
            <w:r>
              <w:rPr>
                <w:rFonts w:ascii="Calibri" w:eastAsia="Times New Roman" w:hAnsi="Calibri" w:cs="Calibri"/>
                <w:color w:val="0D0D0D"/>
              </w:rPr>
              <w:t>$907</w:t>
            </w:r>
          </w:p>
        </w:tc>
        <w:tc>
          <w:tcPr>
            <w:tcW w:w="1080" w:type="dxa"/>
            <w:tcBorders>
              <w:top w:val="nil"/>
              <w:left w:val="nil"/>
              <w:bottom w:val="nil"/>
              <w:right w:val="nil"/>
            </w:tcBorders>
            <w:shd w:val="clear" w:color="000000" w:fill="FFFFFF"/>
            <w:noWrap/>
            <w:vAlign w:val="bottom"/>
            <w:hideMark/>
          </w:tcPr>
          <w:p w14:paraId="3533FD59"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$896</w:t>
            </w:r>
          </w:p>
        </w:tc>
        <w:tc>
          <w:tcPr>
            <w:tcW w:w="990" w:type="dxa"/>
            <w:tcBorders>
              <w:top w:val="nil"/>
              <w:left w:val="nil"/>
              <w:bottom w:val="nil"/>
              <w:right w:val="nil"/>
            </w:tcBorders>
            <w:shd w:val="clear" w:color="auto" w:fill="F2F2F2" w:themeFill="background1" w:themeFillShade="F2"/>
            <w:noWrap/>
            <w:vAlign w:val="bottom"/>
            <w:hideMark/>
          </w:tcPr>
          <w:p w14:paraId="268B0D1C"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714</w:t>
            </w:r>
          </w:p>
        </w:tc>
        <w:tc>
          <w:tcPr>
            <w:tcW w:w="990" w:type="dxa"/>
            <w:tcBorders>
              <w:top w:val="nil"/>
              <w:left w:val="nil"/>
              <w:bottom w:val="nil"/>
              <w:right w:val="nil"/>
            </w:tcBorders>
            <w:shd w:val="clear" w:color="000000" w:fill="FFFFFF"/>
            <w:noWrap/>
            <w:vAlign w:val="bottom"/>
            <w:hideMark/>
          </w:tcPr>
          <w:p w14:paraId="3F82B37A"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695</w:t>
            </w:r>
          </w:p>
        </w:tc>
        <w:tc>
          <w:tcPr>
            <w:tcW w:w="990" w:type="dxa"/>
            <w:tcBorders>
              <w:top w:val="nil"/>
              <w:left w:val="nil"/>
              <w:bottom w:val="nil"/>
              <w:right w:val="nil"/>
            </w:tcBorders>
            <w:shd w:val="clear" w:color="auto" w:fill="F2F2F2" w:themeFill="background1" w:themeFillShade="F2"/>
            <w:noWrap/>
            <w:vAlign w:val="bottom"/>
            <w:hideMark/>
          </w:tcPr>
          <w:p w14:paraId="142C3407"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735</w:t>
            </w:r>
          </w:p>
        </w:tc>
        <w:tc>
          <w:tcPr>
            <w:tcW w:w="990" w:type="dxa"/>
            <w:tcBorders>
              <w:top w:val="nil"/>
              <w:left w:val="nil"/>
              <w:bottom w:val="nil"/>
              <w:right w:val="nil"/>
            </w:tcBorders>
            <w:shd w:val="clear" w:color="000000" w:fill="FFFFFF"/>
            <w:noWrap/>
            <w:vAlign w:val="bottom"/>
            <w:hideMark/>
          </w:tcPr>
          <w:p w14:paraId="7ED4A8D0"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$538</w:t>
            </w:r>
          </w:p>
        </w:tc>
        <w:tc>
          <w:tcPr>
            <w:tcW w:w="990" w:type="dxa"/>
            <w:tcBorders>
              <w:top w:val="nil"/>
              <w:left w:val="nil"/>
              <w:bottom w:val="nil"/>
              <w:right w:val="nil"/>
            </w:tcBorders>
            <w:shd w:val="clear" w:color="auto" w:fill="F2F2F2" w:themeFill="background1" w:themeFillShade="F2"/>
            <w:noWrap/>
            <w:vAlign w:val="bottom"/>
            <w:hideMark/>
          </w:tcPr>
          <w:p w14:paraId="3F5D1D36" w14:textId="42C5BC3E"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550</w:t>
            </w:r>
          </w:p>
        </w:tc>
        <w:tc>
          <w:tcPr>
            <w:tcW w:w="900" w:type="dxa"/>
            <w:tcBorders>
              <w:top w:val="nil"/>
              <w:left w:val="nil"/>
              <w:bottom w:val="nil"/>
              <w:right w:val="nil"/>
            </w:tcBorders>
            <w:shd w:val="clear" w:color="auto" w:fill="auto"/>
            <w:vAlign w:val="bottom"/>
          </w:tcPr>
          <w:p w14:paraId="72367EF3"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$550</w:t>
            </w:r>
          </w:p>
        </w:tc>
      </w:tr>
      <w:tr w:rsidR="003917AA" w:rsidRPr="001B7651" w14:paraId="163F73EF" w14:textId="77777777" w:rsidTr="00316B2A">
        <w:trPr>
          <w:trHeight w:val="535"/>
          <w:jc w:val="center"/>
        </w:trPr>
        <w:tc>
          <w:tcPr>
            <w:tcW w:w="4013" w:type="dxa"/>
            <w:tcBorders>
              <w:top w:val="nil"/>
              <w:left w:val="nil"/>
              <w:bottom w:val="nil"/>
              <w:right w:val="nil"/>
            </w:tcBorders>
            <w:shd w:val="clear" w:color="000000" w:fill="FFFFFF"/>
            <w:vAlign w:val="center"/>
            <w:hideMark/>
          </w:tcPr>
          <w:p w14:paraId="39CEE554" w14:textId="77777777" w:rsidR="003917AA" w:rsidRPr="001B7651" w:rsidRDefault="003917AA" w:rsidP="003917AA">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1027" w:type="dxa"/>
            <w:tcBorders>
              <w:top w:val="nil"/>
              <w:left w:val="nil"/>
              <w:bottom w:val="nil"/>
              <w:right w:val="nil"/>
            </w:tcBorders>
            <w:shd w:val="clear" w:color="auto" w:fill="F2F2F2" w:themeFill="background1" w:themeFillShade="F2"/>
            <w:vAlign w:val="bottom"/>
          </w:tcPr>
          <w:p w14:paraId="333C3578" w14:textId="63EA87E8" w:rsidR="003917AA" w:rsidRPr="003959B0" w:rsidRDefault="003917AA" w:rsidP="003917AA">
            <w:pPr>
              <w:jc w:val="right"/>
              <w:rPr>
                <w:rFonts w:ascii="Calibri" w:eastAsia="Times New Roman" w:hAnsi="Calibri" w:cs="Calibri"/>
              </w:rPr>
            </w:pPr>
            <w:r>
              <w:rPr>
                <w:rFonts w:ascii="Calibri" w:eastAsia="Times New Roman" w:hAnsi="Calibri" w:cs="Calibri"/>
                <w:color w:val="0D0D0D"/>
              </w:rPr>
              <w:t>948</w:t>
            </w:r>
          </w:p>
        </w:tc>
        <w:tc>
          <w:tcPr>
            <w:tcW w:w="1027" w:type="dxa"/>
            <w:tcBorders>
              <w:top w:val="nil"/>
              <w:left w:val="nil"/>
              <w:bottom w:val="nil"/>
              <w:right w:val="nil"/>
            </w:tcBorders>
            <w:shd w:val="clear" w:color="auto" w:fill="auto"/>
            <w:vAlign w:val="bottom"/>
          </w:tcPr>
          <w:p w14:paraId="514093CB" w14:textId="1744534B" w:rsidR="003917AA" w:rsidRPr="003959B0" w:rsidRDefault="003917AA" w:rsidP="003917AA">
            <w:pPr>
              <w:jc w:val="right"/>
              <w:rPr>
                <w:rFonts w:ascii="Calibri" w:eastAsia="Times New Roman" w:hAnsi="Calibri" w:cs="Calibri"/>
              </w:rPr>
            </w:pPr>
            <w:r w:rsidRPr="003959B0">
              <w:rPr>
                <w:rFonts w:ascii="Calibri" w:eastAsia="Times New Roman" w:hAnsi="Calibri" w:cs="Calibri"/>
              </w:rPr>
              <w:t>672</w:t>
            </w:r>
          </w:p>
        </w:tc>
        <w:tc>
          <w:tcPr>
            <w:tcW w:w="1027" w:type="dxa"/>
            <w:tcBorders>
              <w:top w:val="nil"/>
              <w:left w:val="nil"/>
              <w:bottom w:val="nil"/>
              <w:right w:val="nil"/>
            </w:tcBorders>
            <w:shd w:val="clear" w:color="auto" w:fill="F2F2F2" w:themeFill="background1" w:themeFillShade="F2"/>
            <w:vAlign w:val="bottom"/>
          </w:tcPr>
          <w:p w14:paraId="3572A924"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907</w:t>
            </w:r>
          </w:p>
        </w:tc>
        <w:tc>
          <w:tcPr>
            <w:tcW w:w="1080" w:type="dxa"/>
            <w:tcBorders>
              <w:top w:val="nil"/>
              <w:left w:val="nil"/>
              <w:bottom w:val="nil"/>
              <w:right w:val="nil"/>
            </w:tcBorders>
            <w:shd w:val="clear" w:color="000000" w:fill="FFFFFF"/>
            <w:noWrap/>
            <w:vAlign w:val="bottom"/>
            <w:hideMark/>
          </w:tcPr>
          <w:p w14:paraId="0ACF8E1E"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896</w:t>
            </w:r>
          </w:p>
        </w:tc>
        <w:tc>
          <w:tcPr>
            <w:tcW w:w="990" w:type="dxa"/>
            <w:tcBorders>
              <w:top w:val="nil"/>
              <w:left w:val="nil"/>
              <w:bottom w:val="nil"/>
              <w:right w:val="nil"/>
            </w:tcBorders>
            <w:shd w:val="clear" w:color="auto" w:fill="F2F2F2" w:themeFill="background1" w:themeFillShade="F2"/>
            <w:noWrap/>
            <w:vAlign w:val="bottom"/>
            <w:hideMark/>
          </w:tcPr>
          <w:p w14:paraId="578BC5AD"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714</w:t>
            </w:r>
          </w:p>
        </w:tc>
        <w:tc>
          <w:tcPr>
            <w:tcW w:w="990" w:type="dxa"/>
            <w:tcBorders>
              <w:top w:val="nil"/>
              <w:left w:val="nil"/>
              <w:bottom w:val="nil"/>
              <w:right w:val="nil"/>
            </w:tcBorders>
            <w:shd w:val="clear" w:color="000000" w:fill="FFFFFF"/>
            <w:noWrap/>
            <w:vAlign w:val="bottom"/>
            <w:hideMark/>
          </w:tcPr>
          <w:p w14:paraId="282B6134"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695</w:t>
            </w:r>
          </w:p>
        </w:tc>
        <w:tc>
          <w:tcPr>
            <w:tcW w:w="990" w:type="dxa"/>
            <w:tcBorders>
              <w:top w:val="nil"/>
              <w:left w:val="nil"/>
              <w:bottom w:val="nil"/>
              <w:right w:val="nil"/>
            </w:tcBorders>
            <w:shd w:val="clear" w:color="auto" w:fill="F2F2F2" w:themeFill="background1" w:themeFillShade="F2"/>
            <w:noWrap/>
            <w:vAlign w:val="bottom"/>
            <w:hideMark/>
          </w:tcPr>
          <w:p w14:paraId="233CDC30"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735</w:t>
            </w:r>
          </w:p>
        </w:tc>
        <w:tc>
          <w:tcPr>
            <w:tcW w:w="990" w:type="dxa"/>
            <w:tcBorders>
              <w:top w:val="nil"/>
              <w:left w:val="nil"/>
              <w:bottom w:val="nil"/>
              <w:right w:val="nil"/>
            </w:tcBorders>
            <w:shd w:val="clear" w:color="000000" w:fill="FFFFFF"/>
            <w:noWrap/>
            <w:vAlign w:val="bottom"/>
            <w:hideMark/>
          </w:tcPr>
          <w:p w14:paraId="70D7DE2C"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538</w:t>
            </w:r>
          </w:p>
        </w:tc>
        <w:tc>
          <w:tcPr>
            <w:tcW w:w="990" w:type="dxa"/>
            <w:tcBorders>
              <w:top w:val="nil"/>
              <w:left w:val="nil"/>
              <w:bottom w:val="nil"/>
              <w:right w:val="nil"/>
            </w:tcBorders>
            <w:shd w:val="clear" w:color="auto" w:fill="F2F2F2" w:themeFill="background1" w:themeFillShade="F2"/>
            <w:noWrap/>
            <w:vAlign w:val="bottom"/>
            <w:hideMark/>
          </w:tcPr>
          <w:p w14:paraId="24733BCA"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1,100</w:t>
            </w:r>
          </w:p>
        </w:tc>
        <w:tc>
          <w:tcPr>
            <w:tcW w:w="900" w:type="dxa"/>
            <w:tcBorders>
              <w:top w:val="nil"/>
              <w:left w:val="nil"/>
              <w:bottom w:val="nil"/>
              <w:right w:val="nil"/>
            </w:tcBorders>
            <w:shd w:val="clear" w:color="auto" w:fill="auto"/>
            <w:vAlign w:val="bottom"/>
          </w:tcPr>
          <w:p w14:paraId="73C98D52"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550</w:t>
            </w:r>
          </w:p>
        </w:tc>
      </w:tr>
      <w:tr w:rsidR="003917AA" w:rsidRPr="001B7651" w14:paraId="223D554E" w14:textId="77777777" w:rsidTr="00316B2A">
        <w:trPr>
          <w:trHeight w:val="301"/>
          <w:jc w:val="center"/>
        </w:trPr>
        <w:tc>
          <w:tcPr>
            <w:tcW w:w="4013" w:type="dxa"/>
            <w:tcBorders>
              <w:top w:val="single" w:sz="4" w:space="0" w:color="00688D"/>
              <w:left w:val="nil"/>
              <w:bottom w:val="double" w:sz="6" w:space="0" w:color="00688D"/>
              <w:right w:val="nil"/>
            </w:tcBorders>
            <w:shd w:val="clear" w:color="000000" w:fill="FFFFFF"/>
            <w:vAlign w:val="bottom"/>
            <w:hideMark/>
          </w:tcPr>
          <w:p w14:paraId="1B4F5618" w14:textId="77777777" w:rsidR="003917AA" w:rsidRPr="001B7651" w:rsidRDefault="003917AA" w:rsidP="003917AA">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1027" w:type="dxa"/>
            <w:tcBorders>
              <w:top w:val="single" w:sz="4" w:space="0" w:color="00688D"/>
              <w:left w:val="nil"/>
              <w:bottom w:val="double" w:sz="6" w:space="0" w:color="00688D"/>
              <w:right w:val="nil"/>
            </w:tcBorders>
            <w:shd w:val="clear" w:color="auto" w:fill="F2F2F2" w:themeFill="background1" w:themeFillShade="F2"/>
            <w:vAlign w:val="bottom"/>
          </w:tcPr>
          <w:p w14:paraId="40BFF8B9" w14:textId="5E44E006" w:rsidR="003917AA" w:rsidRPr="003959B0" w:rsidRDefault="003917AA" w:rsidP="003917AA">
            <w:pPr>
              <w:jc w:val="right"/>
              <w:rPr>
                <w:rFonts w:ascii="Calibri" w:eastAsia="Times New Roman" w:hAnsi="Calibri" w:cs="Calibri"/>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1027" w:type="dxa"/>
            <w:tcBorders>
              <w:top w:val="single" w:sz="4" w:space="0" w:color="00688D"/>
              <w:left w:val="nil"/>
              <w:bottom w:val="double" w:sz="6" w:space="0" w:color="00688D"/>
              <w:right w:val="nil"/>
            </w:tcBorders>
            <w:shd w:val="clear" w:color="auto" w:fill="auto"/>
          </w:tcPr>
          <w:p w14:paraId="4DA68805" w14:textId="27DC128A" w:rsidR="003917AA" w:rsidRPr="003959B0" w:rsidRDefault="003917AA" w:rsidP="003917AA">
            <w:pPr>
              <w:jc w:val="right"/>
              <w:rPr>
                <w:rFonts w:ascii="Calibri" w:eastAsia="Times New Roman" w:hAnsi="Calibri" w:cs="Calibri"/>
              </w:rPr>
            </w:pPr>
            <w:r w:rsidRPr="003959B0">
              <w:rPr>
                <w:rFonts w:ascii="Calibri" w:eastAsia="Times New Roman" w:hAnsi="Calibri" w:cs="Calibri"/>
              </w:rPr>
              <w:t>$     -</w:t>
            </w:r>
          </w:p>
        </w:tc>
        <w:tc>
          <w:tcPr>
            <w:tcW w:w="1027" w:type="dxa"/>
            <w:tcBorders>
              <w:top w:val="single" w:sz="4" w:space="0" w:color="00688D"/>
              <w:left w:val="nil"/>
              <w:bottom w:val="double" w:sz="6" w:space="0" w:color="00688D"/>
              <w:right w:val="nil"/>
            </w:tcBorders>
            <w:shd w:val="clear" w:color="auto" w:fill="F2F2F2" w:themeFill="background1" w:themeFillShade="F2"/>
            <w:vAlign w:val="bottom"/>
          </w:tcPr>
          <w:p w14:paraId="08BD1597"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1080" w:type="dxa"/>
            <w:tcBorders>
              <w:top w:val="single" w:sz="4" w:space="0" w:color="00688D"/>
              <w:left w:val="nil"/>
              <w:bottom w:val="double" w:sz="6" w:space="0" w:color="00688D"/>
              <w:right w:val="nil"/>
            </w:tcBorders>
            <w:shd w:val="clear" w:color="000000" w:fill="FFFFFF"/>
            <w:noWrap/>
            <w:hideMark/>
          </w:tcPr>
          <w:p w14:paraId="58F1F94D" w14:textId="77777777" w:rsidR="003917AA" w:rsidRPr="001B7651" w:rsidRDefault="003917AA" w:rsidP="003917AA">
            <w:pPr>
              <w:jc w:val="right"/>
              <w:rPr>
                <w:rFonts w:ascii="Calibri" w:eastAsia="Times New Roman" w:hAnsi="Calibri" w:cs="Calibri"/>
                <w:color w:val="0D0D0D"/>
              </w:rPr>
            </w:pPr>
            <w:r w:rsidRPr="00AF5AF9">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55F5E8B2" w14:textId="77777777" w:rsidR="003917AA" w:rsidRPr="001B7651" w:rsidRDefault="003917AA" w:rsidP="003917AA">
            <w:pPr>
              <w:jc w:val="right"/>
              <w:rPr>
                <w:rFonts w:ascii="Calibri" w:eastAsia="Times New Roman" w:hAnsi="Calibri" w:cs="Calibri"/>
                <w:color w:val="0D0D0D"/>
              </w:rPr>
            </w:pPr>
            <w:r w:rsidRPr="00AF5AF9">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000000" w:fill="FFFFFF"/>
            <w:noWrap/>
            <w:hideMark/>
          </w:tcPr>
          <w:p w14:paraId="55ECD9D1" w14:textId="77777777" w:rsidR="003917AA" w:rsidRPr="001B7651" w:rsidRDefault="003917AA" w:rsidP="003917AA">
            <w:pPr>
              <w:jc w:val="right"/>
              <w:rPr>
                <w:rFonts w:ascii="Calibri" w:eastAsia="Times New Roman" w:hAnsi="Calibri" w:cs="Calibri"/>
                <w:color w:val="0D0D0D"/>
              </w:rPr>
            </w:pPr>
            <w:r w:rsidRPr="00CD5016">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7A6D0901" w14:textId="77777777" w:rsidR="003917AA" w:rsidRPr="001B7651" w:rsidRDefault="003917AA" w:rsidP="003917AA">
            <w:pPr>
              <w:jc w:val="right"/>
              <w:rPr>
                <w:rFonts w:ascii="Calibri" w:eastAsia="Times New Roman" w:hAnsi="Calibri" w:cs="Calibri"/>
                <w:color w:val="0D0D0D"/>
              </w:rPr>
            </w:pPr>
            <w:r w:rsidRPr="00CD5016">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43FF62A6"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99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7785ABD"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$(550)</w:t>
            </w:r>
          </w:p>
        </w:tc>
        <w:tc>
          <w:tcPr>
            <w:tcW w:w="900" w:type="dxa"/>
            <w:tcBorders>
              <w:top w:val="single" w:sz="4" w:space="0" w:color="00688D"/>
              <w:left w:val="nil"/>
              <w:bottom w:val="double" w:sz="6" w:space="0" w:color="00688D"/>
              <w:right w:val="nil"/>
            </w:tcBorders>
            <w:shd w:val="clear" w:color="auto" w:fill="auto"/>
            <w:vAlign w:val="bottom"/>
          </w:tcPr>
          <w:p w14:paraId="1F3DD5BC" w14:textId="77777777" w:rsidR="003917AA" w:rsidRPr="001B7651" w:rsidRDefault="003917AA" w:rsidP="003917AA">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r>
      <w:tr w:rsidR="003917AA" w:rsidRPr="001B7651" w14:paraId="71C81531" w14:textId="77777777" w:rsidTr="00316B2A">
        <w:trPr>
          <w:trHeight w:val="301"/>
          <w:jc w:val="center"/>
        </w:trPr>
        <w:tc>
          <w:tcPr>
            <w:tcW w:w="4013" w:type="dxa"/>
            <w:tcBorders>
              <w:top w:val="nil"/>
              <w:left w:val="nil"/>
              <w:bottom w:val="nil"/>
              <w:right w:val="nil"/>
            </w:tcBorders>
            <w:shd w:val="clear" w:color="000000" w:fill="FFFFFF"/>
            <w:noWrap/>
            <w:vAlign w:val="bottom"/>
            <w:hideMark/>
          </w:tcPr>
          <w:p w14:paraId="25FE5A2B" w14:textId="77777777" w:rsidR="003917AA" w:rsidRPr="001B7651" w:rsidRDefault="003917AA" w:rsidP="003917AA">
            <w:pPr>
              <w:rPr>
                <w:rFonts w:ascii="Calibri" w:eastAsia="Times New Roman" w:hAnsi="Calibri" w:cs="Calibri"/>
                <w:color w:val="0D0D0D"/>
              </w:rPr>
            </w:pPr>
            <w:r w:rsidRPr="001B7651">
              <w:rPr>
                <w:rFonts w:ascii="Calibri" w:eastAsia="Times New Roman" w:hAnsi="Calibri" w:cs="Calibri"/>
                <w:color w:val="0D0D0D"/>
              </w:rPr>
              <w:t>Covered payroll</w:t>
            </w:r>
          </w:p>
        </w:tc>
        <w:tc>
          <w:tcPr>
            <w:tcW w:w="1027" w:type="dxa"/>
            <w:tcBorders>
              <w:top w:val="nil"/>
              <w:left w:val="nil"/>
              <w:bottom w:val="nil"/>
              <w:right w:val="nil"/>
            </w:tcBorders>
            <w:shd w:val="clear" w:color="auto" w:fill="F2F2F2" w:themeFill="background1" w:themeFillShade="F2"/>
            <w:vAlign w:val="bottom"/>
          </w:tcPr>
          <w:p w14:paraId="14FD193A" w14:textId="6B475230" w:rsidR="003917AA" w:rsidRPr="003959B0" w:rsidRDefault="003917AA" w:rsidP="003917AA">
            <w:pPr>
              <w:jc w:val="right"/>
              <w:rPr>
                <w:rFonts w:ascii="Calibri" w:eastAsia="Times New Roman" w:hAnsi="Calibri" w:cs="Calibri"/>
              </w:rPr>
            </w:pPr>
            <w:r w:rsidRPr="001B7651">
              <w:rPr>
                <w:rFonts w:ascii="Calibri" w:eastAsia="Times New Roman" w:hAnsi="Calibri" w:cs="Calibri"/>
                <w:color w:val="0D0D0D"/>
              </w:rPr>
              <w:t>$</w:t>
            </w:r>
            <w:r>
              <w:rPr>
                <w:rFonts w:ascii="Calibri" w:eastAsia="Times New Roman" w:hAnsi="Calibri" w:cs="Calibri"/>
                <w:color w:val="0D0D0D"/>
              </w:rPr>
              <w:t xml:space="preserve">   59</w:t>
            </w:r>
          </w:p>
        </w:tc>
        <w:tc>
          <w:tcPr>
            <w:tcW w:w="1027" w:type="dxa"/>
            <w:tcBorders>
              <w:top w:val="nil"/>
              <w:left w:val="nil"/>
              <w:bottom w:val="nil"/>
              <w:right w:val="nil"/>
            </w:tcBorders>
            <w:shd w:val="clear" w:color="auto" w:fill="auto"/>
            <w:vAlign w:val="bottom"/>
          </w:tcPr>
          <w:p w14:paraId="29D5EC61" w14:textId="1FB59AB7" w:rsidR="003917AA" w:rsidRPr="003959B0" w:rsidRDefault="003917AA" w:rsidP="003917AA">
            <w:pPr>
              <w:jc w:val="right"/>
              <w:rPr>
                <w:rFonts w:ascii="Calibri" w:eastAsia="Times New Roman" w:hAnsi="Calibri" w:cs="Calibri"/>
              </w:rPr>
            </w:pPr>
            <w:r w:rsidRPr="003959B0">
              <w:rPr>
                <w:rFonts w:ascii="Calibri" w:eastAsia="Times New Roman" w:hAnsi="Calibri" w:cs="Calibri"/>
              </w:rPr>
              <w:t>$  48</w:t>
            </w:r>
          </w:p>
        </w:tc>
        <w:tc>
          <w:tcPr>
            <w:tcW w:w="1027" w:type="dxa"/>
            <w:tcBorders>
              <w:top w:val="nil"/>
              <w:left w:val="nil"/>
              <w:bottom w:val="nil"/>
              <w:right w:val="nil"/>
            </w:tcBorders>
            <w:shd w:val="clear" w:color="auto" w:fill="F2F2F2" w:themeFill="background1" w:themeFillShade="F2"/>
            <w:vAlign w:val="bottom"/>
          </w:tcPr>
          <w:p w14:paraId="0EDA0707"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65</w:t>
            </w:r>
          </w:p>
        </w:tc>
        <w:tc>
          <w:tcPr>
            <w:tcW w:w="1080" w:type="dxa"/>
            <w:tcBorders>
              <w:top w:val="nil"/>
              <w:left w:val="nil"/>
              <w:bottom w:val="nil"/>
              <w:right w:val="nil"/>
            </w:tcBorders>
            <w:shd w:val="clear" w:color="000000" w:fill="FFFFFF"/>
            <w:noWrap/>
            <w:vAlign w:val="bottom"/>
            <w:hideMark/>
          </w:tcPr>
          <w:p w14:paraId="5D4C5D73"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68</w:t>
            </w:r>
          </w:p>
        </w:tc>
        <w:tc>
          <w:tcPr>
            <w:tcW w:w="990" w:type="dxa"/>
            <w:tcBorders>
              <w:top w:val="nil"/>
              <w:left w:val="nil"/>
              <w:bottom w:val="nil"/>
              <w:right w:val="nil"/>
            </w:tcBorders>
            <w:shd w:val="clear" w:color="auto" w:fill="F2F2F2" w:themeFill="background1" w:themeFillShade="F2"/>
            <w:noWrap/>
            <w:vAlign w:val="bottom"/>
            <w:hideMark/>
          </w:tcPr>
          <w:p w14:paraId="55A9F0AC"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156</w:t>
            </w:r>
          </w:p>
        </w:tc>
        <w:tc>
          <w:tcPr>
            <w:tcW w:w="990" w:type="dxa"/>
            <w:tcBorders>
              <w:top w:val="nil"/>
              <w:left w:val="nil"/>
              <w:bottom w:val="nil"/>
              <w:right w:val="nil"/>
            </w:tcBorders>
            <w:shd w:val="clear" w:color="000000" w:fill="FFFFFF"/>
            <w:noWrap/>
            <w:vAlign w:val="bottom"/>
            <w:hideMark/>
          </w:tcPr>
          <w:p w14:paraId="7382E5E6"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105</w:t>
            </w:r>
          </w:p>
        </w:tc>
        <w:tc>
          <w:tcPr>
            <w:tcW w:w="990" w:type="dxa"/>
            <w:tcBorders>
              <w:top w:val="nil"/>
              <w:left w:val="nil"/>
              <w:bottom w:val="nil"/>
              <w:right w:val="nil"/>
            </w:tcBorders>
            <w:shd w:val="clear" w:color="auto" w:fill="F2F2F2" w:themeFill="background1" w:themeFillShade="F2"/>
            <w:noWrap/>
            <w:vAlign w:val="bottom"/>
            <w:hideMark/>
          </w:tcPr>
          <w:p w14:paraId="7FBAAC93"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168</w:t>
            </w:r>
          </w:p>
        </w:tc>
        <w:tc>
          <w:tcPr>
            <w:tcW w:w="990" w:type="dxa"/>
            <w:tcBorders>
              <w:top w:val="nil"/>
              <w:left w:val="nil"/>
              <w:bottom w:val="nil"/>
              <w:right w:val="nil"/>
            </w:tcBorders>
            <w:shd w:val="clear" w:color="000000" w:fill="FFFFFF"/>
            <w:noWrap/>
            <w:vAlign w:val="bottom"/>
            <w:hideMark/>
          </w:tcPr>
          <w:p w14:paraId="377B85B4"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312</w:t>
            </w:r>
          </w:p>
        </w:tc>
        <w:tc>
          <w:tcPr>
            <w:tcW w:w="990" w:type="dxa"/>
            <w:tcBorders>
              <w:top w:val="nil"/>
              <w:left w:val="nil"/>
              <w:bottom w:val="nil"/>
              <w:right w:val="nil"/>
            </w:tcBorders>
            <w:shd w:val="clear" w:color="auto" w:fill="F2F2F2" w:themeFill="background1" w:themeFillShade="F2"/>
            <w:noWrap/>
            <w:vAlign w:val="bottom"/>
            <w:hideMark/>
          </w:tcPr>
          <w:p w14:paraId="18C51F70" w14:textId="47586BC6"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301</w:t>
            </w:r>
          </w:p>
        </w:tc>
        <w:tc>
          <w:tcPr>
            <w:tcW w:w="900" w:type="dxa"/>
            <w:tcBorders>
              <w:top w:val="nil"/>
              <w:left w:val="nil"/>
              <w:bottom w:val="nil"/>
              <w:right w:val="nil"/>
            </w:tcBorders>
            <w:shd w:val="clear" w:color="auto" w:fill="auto"/>
            <w:vAlign w:val="bottom"/>
          </w:tcPr>
          <w:p w14:paraId="5D53C561" w14:textId="77777777" w:rsidR="003917AA" w:rsidRPr="001B7651" w:rsidRDefault="003917AA" w:rsidP="003917AA">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692</w:t>
            </w:r>
          </w:p>
        </w:tc>
      </w:tr>
      <w:tr w:rsidR="003917AA" w:rsidRPr="001B7651" w14:paraId="544ADCE1" w14:textId="77777777" w:rsidTr="00316B2A">
        <w:trPr>
          <w:trHeight w:val="289"/>
          <w:jc w:val="center"/>
        </w:trPr>
        <w:tc>
          <w:tcPr>
            <w:tcW w:w="4013" w:type="dxa"/>
            <w:tcBorders>
              <w:top w:val="nil"/>
              <w:left w:val="nil"/>
              <w:bottom w:val="single" w:sz="4" w:space="0" w:color="00688D"/>
              <w:right w:val="nil"/>
            </w:tcBorders>
            <w:shd w:val="clear" w:color="000000" w:fill="FFFFFF"/>
            <w:vAlign w:val="center"/>
            <w:hideMark/>
          </w:tcPr>
          <w:p w14:paraId="23E1FBC7" w14:textId="77777777" w:rsidR="003917AA" w:rsidRPr="001B7651" w:rsidRDefault="003917AA" w:rsidP="003917AA">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1027" w:type="dxa"/>
            <w:tcBorders>
              <w:top w:val="nil"/>
              <w:left w:val="nil"/>
              <w:bottom w:val="single" w:sz="4" w:space="0" w:color="00688D"/>
              <w:right w:val="nil"/>
            </w:tcBorders>
            <w:shd w:val="clear" w:color="auto" w:fill="F2F2F2" w:themeFill="background1" w:themeFillShade="F2"/>
            <w:vAlign w:val="bottom"/>
          </w:tcPr>
          <w:p w14:paraId="1E42A6A2" w14:textId="7470CB4F" w:rsidR="003917AA" w:rsidRPr="00943CF1" w:rsidRDefault="003917AA" w:rsidP="003917AA">
            <w:pPr>
              <w:jc w:val="right"/>
              <w:rPr>
                <w:rFonts w:ascii="Calibri" w:hAnsi="Calibri" w:cs="Calibri"/>
              </w:rPr>
            </w:pPr>
            <w:r>
              <w:rPr>
                <w:rFonts w:ascii="Calibri" w:hAnsi="Calibri" w:cs="Calibri"/>
              </w:rPr>
              <w:t>1618.13%</w:t>
            </w:r>
          </w:p>
        </w:tc>
        <w:tc>
          <w:tcPr>
            <w:tcW w:w="1027" w:type="dxa"/>
            <w:tcBorders>
              <w:top w:val="nil"/>
              <w:left w:val="nil"/>
              <w:bottom w:val="single" w:sz="4" w:space="0" w:color="00688D"/>
              <w:right w:val="nil"/>
            </w:tcBorders>
            <w:shd w:val="clear" w:color="auto" w:fill="auto"/>
            <w:vAlign w:val="bottom"/>
          </w:tcPr>
          <w:p w14:paraId="2F84C840" w14:textId="4CBD8921" w:rsidR="003917AA" w:rsidRPr="00552DB3" w:rsidRDefault="003917AA" w:rsidP="003917AA">
            <w:pPr>
              <w:jc w:val="right"/>
              <w:rPr>
                <w:rFonts w:ascii="Calibri" w:hAnsi="Calibri" w:cs="Calibri"/>
              </w:rPr>
            </w:pPr>
            <w:r w:rsidRPr="00943CF1">
              <w:rPr>
                <w:rFonts w:ascii="Calibri" w:hAnsi="Calibri" w:cs="Calibri"/>
              </w:rPr>
              <w:t>1392.86%</w:t>
            </w:r>
          </w:p>
        </w:tc>
        <w:tc>
          <w:tcPr>
            <w:tcW w:w="1027" w:type="dxa"/>
            <w:tcBorders>
              <w:top w:val="nil"/>
              <w:left w:val="nil"/>
              <w:bottom w:val="single" w:sz="4" w:space="0" w:color="00688D"/>
              <w:right w:val="nil"/>
            </w:tcBorders>
            <w:shd w:val="clear" w:color="auto" w:fill="F2F2F2" w:themeFill="background1" w:themeFillShade="F2"/>
            <w:vAlign w:val="bottom"/>
          </w:tcPr>
          <w:p w14:paraId="1403199E" w14:textId="77777777" w:rsidR="003917AA" w:rsidRPr="001B7651" w:rsidRDefault="003917AA" w:rsidP="003917AA">
            <w:pPr>
              <w:jc w:val="right"/>
              <w:rPr>
                <w:rFonts w:ascii="Calibri" w:eastAsia="Times New Roman" w:hAnsi="Calibri" w:cs="Calibri"/>
                <w:color w:val="0D0D0D"/>
              </w:rPr>
            </w:pPr>
            <w:r>
              <w:rPr>
                <w:rFonts w:ascii="Calibri" w:hAnsi="Calibri" w:cs="Calibri"/>
              </w:rPr>
              <w:t>1396.00%</w:t>
            </w:r>
          </w:p>
        </w:tc>
        <w:tc>
          <w:tcPr>
            <w:tcW w:w="1080" w:type="dxa"/>
            <w:tcBorders>
              <w:top w:val="nil"/>
              <w:left w:val="nil"/>
              <w:bottom w:val="single" w:sz="4" w:space="0" w:color="00688D"/>
              <w:right w:val="nil"/>
            </w:tcBorders>
            <w:shd w:val="clear" w:color="000000" w:fill="FFFFFF"/>
            <w:noWrap/>
            <w:vAlign w:val="bottom"/>
            <w:hideMark/>
          </w:tcPr>
          <w:p w14:paraId="55FA781F"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1322.06%</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04DF202C"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458.23%</w:t>
            </w:r>
          </w:p>
        </w:tc>
        <w:tc>
          <w:tcPr>
            <w:tcW w:w="990" w:type="dxa"/>
            <w:tcBorders>
              <w:top w:val="nil"/>
              <w:left w:val="nil"/>
              <w:bottom w:val="single" w:sz="4" w:space="0" w:color="00688D"/>
              <w:right w:val="nil"/>
            </w:tcBorders>
            <w:shd w:val="clear" w:color="000000" w:fill="FFFFFF"/>
            <w:noWrap/>
            <w:vAlign w:val="bottom"/>
            <w:hideMark/>
          </w:tcPr>
          <w:p w14:paraId="7EE1E277"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664.54%</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3AB9EF0F"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437.48%</w:t>
            </w:r>
          </w:p>
        </w:tc>
        <w:tc>
          <w:tcPr>
            <w:tcW w:w="990" w:type="dxa"/>
            <w:tcBorders>
              <w:top w:val="nil"/>
              <w:left w:val="nil"/>
              <w:bottom w:val="single" w:sz="4" w:space="0" w:color="00688D"/>
              <w:right w:val="nil"/>
            </w:tcBorders>
            <w:shd w:val="clear" w:color="000000" w:fill="FFFFFF"/>
            <w:noWrap/>
            <w:vAlign w:val="bottom"/>
            <w:hideMark/>
          </w:tcPr>
          <w:p w14:paraId="0A14E7CC"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172.49%</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5F0D2C50"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364.84%</w:t>
            </w:r>
          </w:p>
        </w:tc>
        <w:tc>
          <w:tcPr>
            <w:tcW w:w="900" w:type="dxa"/>
            <w:tcBorders>
              <w:top w:val="nil"/>
              <w:left w:val="nil"/>
              <w:bottom w:val="single" w:sz="4" w:space="0" w:color="00688D"/>
              <w:right w:val="nil"/>
            </w:tcBorders>
            <w:shd w:val="clear" w:color="auto" w:fill="auto"/>
            <w:vAlign w:val="bottom"/>
          </w:tcPr>
          <w:p w14:paraId="1769E38A" w14:textId="77777777" w:rsidR="003917AA" w:rsidRPr="001B7651" w:rsidRDefault="003917AA" w:rsidP="003917AA">
            <w:pPr>
              <w:jc w:val="right"/>
              <w:rPr>
                <w:rFonts w:ascii="Calibri" w:eastAsia="Times New Roman" w:hAnsi="Calibri" w:cs="Calibri"/>
                <w:color w:val="0D0D0D"/>
              </w:rPr>
            </w:pPr>
            <w:r>
              <w:rPr>
                <w:rFonts w:ascii="Calibri" w:hAnsi="Calibri" w:cs="Calibri"/>
                <w:color w:val="0D0D0D"/>
              </w:rPr>
              <w:t>79.47%</w:t>
            </w:r>
          </w:p>
        </w:tc>
      </w:tr>
    </w:tbl>
    <w:p w14:paraId="570882F9" w14:textId="77777777" w:rsidR="00DD1612" w:rsidRPr="00F54559" w:rsidRDefault="00DD1612" w:rsidP="00DD1612">
      <w:pPr>
        <w:widowControl w:val="0"/>
        <w:spacing w:after="240"/>
        <w:rPr>
          <w:rFonts w:eastAsia="Franklin Gothic Book" w:cstheme="minorHAnsi"/>
          <w:b/>
          <w:spacing w:val="1"/>
          <w:sz w:val="28"/>
          <w:szCs w:val="28"/>
        </w:rPr>
      </w:pPr>
    </w:p>
    <w:tbl>
      <w:tblPr>
        <w:tblW w:w="13910" w:type="dxa"/>
        <w:tblInd w:w="-410" w:type="dxa"/>
        <w:tblLayout w:type="fixed"/>
        <w:tblLook w:val="04A0" w:firstRow="1" w:lastRow="0" w:firstColumn="1" w:lastColumn="0" w:noHBand="0" w:noVBand="1"/>
      </w:tblPr>
      <w:tblGrid>
        <w:gridCol w:w="3920"/>
        <w:gridCol w:w="990"/>
        <w:gridCol w:w="1080"/>
        <w:gridCol w:w="990"/>
        <w:gridCol w:w="1080"/>
        <w:gridCol w:w="990"/>
        <w:gridCol w:w="990"/>
        <w:gridCol w:w="990"/>
        <w:gridCol w:w="990"/>
        <w:gridCol w:w="990"/>
        <w:gridCol w:w="900"/>
      </w:tblGrid>
      <w:tr w:rsidR="00EC1896" w:rsidRPr="00FE01A8" w14:paraId="4A344FC3" w14:textId="77777777" w:rsidTr="00EC1896">
        <w:trPr>
          <w:trHeight w:val="612"/>
          <w:tblHeader/>
        </w:trPr>
        <w:tc>
          <w:tcPr>
            <w:tcW w:w="3920" w:type="dxa"/>
            <w:tcBorders>
              <w:top w:val="nil"/>
              <w:left w:val="nil"/>
              <w:bottom w:val="single" w:sz="12" w:space="0" w:color="00688D"/>
              <w:right w:val="nil"/>
            </w:tcBorders>
            <w:shd w:val="clear" w:color="auto" w:fill="FFFFFF" w:themeFill="background1"/>
            <w:vAlign w:val="bottom"/>
            <w:hideMark/>
          </w:tcPr>
          <w:p w14:paraId="5D05798C" w14:textId="77777777" w:rsidR="00CA2E42" w:rsidRPr="00FE01A8" w:rsidRDefault="00CA2E42" w:rsidP="00CA2E42">
            <w:pPr>
              <w:rPr>
                <w:rFonts w:ascii="Calibri" w:eastAsia="Times New Roman" w:hAnsi="Calibri" w:cs="Calibri"/>
                <w:b/>
                <w:bCs/>
                <w:color w:val="0D0D0D"/>
              </w:rPr>
            </w:pPr>
            <w:r w:rsidRPr="00FE01A8">
              <w:rPr>
                <w:rFonts w:ascii="Calibri" w:eastAsia="Times New Roman" w:hAnsi="Calibri" w:cs="Calibri"/>
                <w:b/>
                <w:bCs/>
                <w:color w:val="0D0D0D"/>
              </w:rPr>
              <w:t>Investment Returns:</w:t>
            </w:r>
            <w:r w:rsidRPr="00FE01A8">
              <w:rPr>
                <w:rFonts w:ascii="Calibri" w:eastAsia="Times New Roman" w:hAnsi="Calibri" w:cs="Calibri"/>
                <w:b/>
                <w:bCs/>
                <w:color w:val="0D0D0D"/>
              </w:rPr>
              <w:br/>
              <w:t>Fiscal Year Ended June 30</w:t>
            </w:r>
          </w:p>
        </w:tc>
        <w:tc>
          <w:tcPr>
            <w:tcW w:w="990" w:type="dxa"/>
            <w:tcBorders>
              <w:top w:val="nil"/>
              <w:left w:val="nil"/>
              <w:bottom w:val="single" w:sz="12" w:space="0" w:color="00688D"/>
              <w:right w:val="nil"/>
            </w:tcBorders>
            <w:shd w:val="clear" w:color="auto" w:fill="F2F2F2" w:themeFill="background1" w:themeFillShade="F2"/>
            <w:vAlign w:val="bottom"/>
          </w:tcPr>
          <w:p w14:paraId="3614E63F"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202</w:t>
            </w:r>
            <w:r>
              <w:rPr>
                <w:rFonts w:ascii="Calibri" w:eastAsia="Times New Roman" w:hAnsi="Calibri" w:cs="Calibri"/>
                <w:b/>
                <w:bCs/>
                <w:color w:val="0D0D0D"/>
              </w:rPr>
              <w:t>3</w:t>
            </w:r>
          </w:p>
        </w:tc>
        <w:tc>
          <w:tcPr>
            <w:tcW w:w="1080" w:type="dxa"/>
            <w:tcBorders>
              <w:top w:val="nil"/>
              <w:left w:val="nil"/>
              <w:bottom w:val="single" w:sz="12" w:space="0" w:color="00688D"/>
              <w:right w:val="nil"/>
            </w:tcBorders>
            <w:vAlign w:val="bottom"/>
          </w:tcPr>
          <w:p w14:paraId="5AD1D86D" w14:textId="77777777" w:rsidR="00CA2E42" w:rsidRPr="00FE01A8" w:rsidRDefault="00CA2E42" w:rsidP="00CA2E42">
            <w:pPr>
              <w:jc w:val="center"/>
              <w:rPr>
                <w:rFonts w:ascii="Calibri" w:eastAsia="Times New Roman" w:hAnsi="Calibri" w:cs="Calibri"/>
                <w:b/>
                <w:bCs/>
                <w:color w:val="0D0D0D"/>
              </w:rPr>
            </w:pPr>
            <w:r>
              <w:rPr>
                <w:rFonts w:ascii="Calibri" w:eastAsia="Times New Roman" w:hAnsi="Calibri" w:cs="Calibri"/>
                <w:b/>
                <w:bCs/>
                <w:color w:val="0D0D0D"/>
              </w:rPr>
              <w:t>2022</w:t>
            </w:r>
          </w:p>
        </w:tc>
        <w:tc>
          <w:tcPr>
            <w:tcW w:w="990" w:type="dxa"/>
            <w:tcBorders>
              <w:top w:val="nil"/>
              <w:left w:val="nil"/>
              <w:bottom w:val="single" w:sz="12" w:space="0" w:color="00688D"/>
              <w:right w:val="nil"/>
            </w:tcBorders>
            <w:shd w:val="clear" w:color="auto" w:fill="F2F2F2" w:themeFill="background1" w:themeFillShade="F2"/>
            <w:vAlign w:val="bottom"/>
          </w:tcPr>
          <w:p w14:paraId="3F68A9C3"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202</w:t>
            </w:r>
            <w:r>
              <w:rPr>
                <w:rFonts w:ascii="Calibri" w:eastAsia="Times New Roman" w:hAnsi="Calibri" w:cs="Calibri"/>
                <w:b/>
                <w:bCs/>
                <w:color w:val="0D0D0D"/>
              </w:rPr>
              <w:t>1</w:t>
            </w:r>
          </w:p>
        </w:tc>
        <w:tc>
          <w:tcPr>
            <w:tcW w:w="1080" w:type="dxa"/>
            <w:tcBorders>
              <w:top w:val="nil"/>
              <w:left w:val="nil"/>
              <w:bottom w:val="single" w:sz="12" w:space="0" w:color="00688D"/>
              <w:right w:val="nil"/>
            </w:tcBorders>
            <w:shd w:val="clear" w:color="auto" w:fill="FFFFFF" w:themeFill="background1"/>
            <w:noWrap/>
            <w:vAlign w:val="bottom"/>
            <w:hideMark/>
          </w:tcPr>
          <w:p w14:paraId="2D45615A"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2020</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59B4866C"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2019</w:t>
            </w:r>
          </w:p>
        </w:tc>
        <w:tc>
          <w:tcPr>
            <w:tcW w:w="990" w:type="dxa"/>
            <w:tcBorders>
              <w:top w:val="nil"/>
              <w:left w:val="nil"/>
              <w:bottom w:val="single" w:sz="12" w:space="0" w:color="00688D"/>
              <w:right w:val="nil"/>
            </w:tcBorders>
            <w:shd w:val="clear" w:color="auto" w:fill="FFFFFF" w:themeFill="background1"/>
            <w:noWrap/>
            <w:vAlign w:val="bottom"/>
            <w:hideMark/>
          </w:tcPr>
          <w:p w14:paraId="7D95B712"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2018</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739D2592"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2017</w:t>
            </w:r>
          </w:p>
        </w:tc>
        <w:tc>
          <w:tcPr>
            <w:tcW w:w="990" w:type="dxa"/>
            <w:tcBorders>
              <w:top w:val="nil"/>
              <w:left w:val="nil"/>
              <w:bottom w:val="single" w:sz="12" w:space="0" w:color="00688D"/>
              <w:right w:val="nil"/>
            </w:tcBorders>
            <w:shd w:val="clear" w:color="auto" w:fill="FFFFFF" w:themeFill="background1"/>
            <w:noWrap/>
            <w:vAlign w:val="bottom"/>
            <w:hideMark/>
          </w:tcPr>
          <w:p w14:paraId="6EB751F0"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2016</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09CF66CB"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2015</w:t>
            </w:r>
          </w:p>
        </w:tc>
        <w:tc>
          <w:tcPr>
            <w:tcW w:w="900" w:type="dxa"/>
            <w:tcBorders>
              <w:top w:val="nil"/>
              <w:left w:val="nil"/>
              <w:bottom w:val="single" w:sz="12" w:space="0" w:color="00688D"/>
              <w:right w:val="nil"/>
            </w:tcBorders>
            <w:shd w:val="clear" w:color="auto" w:fill="FFFFFF" w:themeFill="background1"/>
            <w:noWrap/>
            <w:vAlign w:val="bottom"/>
            <w:hideMark/>
          </w:tcPr>
          <w:p w14:paraId="74A71DEF" w14:textId="77777777" w:rsidR="00CA2E42" w:rsidRPr="00FE01A8" w:rsidRDefault="00CA2E42" w:rsidP="00CA2E42">
            <w:pPr>
              <w:jc w:val="center"/>
              <w:rPr>
                <w:rFonts w:ascii="Calibri" w:eastAsia="Times New Roman" w:hAnsi="Calibri" w:cs="Calibri"/>
                <w:b/>
                <w:bCs/>
                <w:color w:val="0D0D0D"/>
              </w:rPr>
            </w:pPr>
            <w:r w:rsidRPr="00FE01A8">
              <w:rPr>
                <w:rFonts w:ascii="Calibri" w:eastAsia="Times New Roman" w:hAnsi="Calibri" w:cs="Calibri"/>
                <w:b/>
                <w:bCs/>
                <w:color w:val="0D0D0D"/>
              </w:rPr>
              <w:t>2014</w:t>
            </w:r>
          </w:p>
        </w:tc>
      </w:tr>
      <w:tr w:rsidR="00EC1896" w:rsidRPr="00FE01A8" w14:paraId="0E19CD3D" w14:textId="77777777" w:rsidTr="00EC1896">
        <w:trPr>
          <w:trHeight w:val="612"/>
        </w:trPr>
        <w:tc>
          <w:tcPr>
            <w:tcW w:w="3920" w:type="dxa"/>
            <w:tcBorders>
              <w:top w:val="nil"/>
              <w:left w:val="nil"/>
              <w:bottom w:val="nil"/>
              <w:right w:val="nil"/>
            </w:tcBorders>
            <w:shd w:val="clear" w:color="auto" w:fill="FFFFFF" w:themeFill="background1"/>
            <w:vAlign w:val="bottom"/>
            <w:hideMark/>
          </w:tcPr>
          <w:p w14:paraId="53E4C215" w14:textId="77777777" w:rsidR="00CA2E42" w:rsidRPr="00FE01A8" w:rsidRDefault="00CA2E42" w:rsidP="00CA2E42">
            <w:pPr>
              <w:rPr>
                <w:rFonts w:ascii="Calibri" w:eastAsia="Times New Roman" w:hAnsi="Calibri" w:cs="Calibri"/>
                <w:color w:val="0D0D0D"/>
              </w:rPr>
            </w:pPr>
            <w:r w:rsidRPr="00FE01A8">
              <w:rPr>
                <w:rFonts w:ascii="Calibri" w:eastAsia="Times New Roman" w:hAnsi="Calibri" w:cs="Calibri"/>
                <w:color w:val="0D0D0D"/>
              </w:rPr>
              <w:t>Annual money-weighted rate of return, net of investment expenses</w:t>
            </w:r>
          </w:p>
        </w:tc>
        <w:tc>
          <w:tcPr>
            <w:tcW w:w="990" w:type="dxa"/>
            <w:tcBorders>
              <w:top w:val="single" w:sz="12" w:space="0" w:color="00688D"/>
              <w:left w:val="nil"/>
              <w:bottom w:val="nil"/>
              <w:right w:val="nil"/>
            </w:tcBorders>
            <w:shd w:val="clear" w:color="auto" w:fill="F2F2F2" w:themeFill="background1" w:themeFillShade="F2"/>
            <w:vAlign w:val="bottom"/>
          </w:tcPr>
          <w:p w14:paraId="09F67C18" w14:textId="4E0E2076" w:rsidR="00CA2E42" w:rsidRPr="003959B0" w:rsidRDefault="00CA2E42" w:rsidP="006002A3">
            <w:pPr>
              <w:jc w:val="center"/>
              <w:rPr>
                <w:rFonts w:ascii="Calibri" w:eastAsia="Times New Roman" w:hAnsi="Calibri" w:cs="Calibri"/>
                <w:color w:val="FF0000"/>
              </w:rPr>
            </w:pPr>
            <w:r>
              <w:rPr>
                <w:rFonts w:ascii="Calibri" w:eastAsia="Times New Roman" w:hAnsi="Calibri" w:cs="Calibri"/>
              </w:rPr>
              <w:t>6.53</w:t>
            </w:r>
            <w:r w:rsidRPr="003959B0">
              <w:rPr>
                <w:rFonts w:ascii="Calibri" w:eastAsia="Times New Roman" w:hAnsi="Calibri" w:cs="Calibri"/>
              </w:rPr>
              <w:t>%</w:t>
            </w:r>
          </w:p>
        </w:tc>
        <w:tc>
          <w:tcPr>
            <w:tcW w:w="1080" w:type="dxa"/>
            <w:tcBorders>
              <w:top w:val="single" w:sz="12" w:space="0" w:color="00688D"/>
              <w:left w:val="nil"/>
              <w:bottom w:val="nil"/>
              <w:right w:val="nil"/>
            </w:tcBorders>
            <w:vAlign w:val="bottom"/>
          </w:tcPr>
          <w:p w14:paraId="50035DBD" w14:textId="77777777" w:rsidR="00CA2E42" w:rsidRDefault="00CA2E42" w:rsidP="006002A3">
            <w:pPr>
              <w:jc w:val="center"/>
              <w:rPr>
                <w:rFonts w:ascii="Calibri" w:eastAsia="Times New Roman" w:hAnsi="Calibri" w:cs="Calibri"/>
                <w:color w:val="0D0D0D"/>
              </w:rPr>
            </w:pPr>
            <w:r w:rsidRPr="003959B0">
              <w:rPr>
                <w:rFonts w:ascii="Calibri" w:eastAsia="Times New Roman" w:hAnsi="Calibri" w:cs="Calibri"/>
              </w:rPr>
              <w:t>-7.21%</w:t>
            </w:r>
          </w:p>
        </w:tc>
        <w:tc>
          <w:tcPr>
            <w:tcW w:w="990" w:type="dxa"/>
            <w:tcBorders>
              <w:top w:val="single" w:sz="12" w:space="0" w:color="00688D"/>
              <w:left w:val="nil"/>
              <w:bottom w:val="nil"/>
              <w:right w:val="nil"/>
            </w:tcBorders>
            <w:shd w:val="clear" w:color="auto" w:fill="F2F2F2" w:themeFill="background1" w:themeFillShade="F2"/>
            <w:vAlign w:val="bottom"/>
          </w:tcPr>
          <w:p w14:paraId="2C2FFE44" w14:textId="77777777" w:rsidR="00CA2E42" w:rsidRPr="00FE01A8" w:rsidRDefault="00CA2E42" w:rsidP="006002A3">
            <w:pPr>
              <w:jc w:val="center"/>
              <w:rPr>
                <w:rFonts w:ascii="Calibri" w:eastAsia="Times New Roman" w:hAnsi="Calibri" w:cs="Calibri"/>
                <w:color w:val="0D0D0D"/>
              </w:rPr>
            </w:pPr>
            <w:r>
              <w:rPr>
                <w:rFonts w:ascii="Calibri" w:eastAsia="Times New Roman" w:hAnsi="Calibri" w:cs="Calibri"/>
                <w:color w:val="0D0D0D"/>
              </w:rPr>
              <w:t>15.86</w:t>
            </w:r>
            <w:r w:rsidRPr="00FE01A8">
              <w:rPr>
                <w:rFonts w:ascii="Calibri" w:eastAsia="Times New Roman" w:hAnsi="Calibri" w:cs="Calibri"/>
                <w:color w:val="0D0D0D"/>
              </w:rPr>
              <w:t>%</w:t>
            </w:r>
          </w:p>
        </w:tc>
        <w:tc>
          <w:tcPr>
            <w:tcW w:w="1080" w:type="dxa"/>
            <w:tcBorders>
              <w:top w:val="nil"/>
              <w:left w:val="nil"/>
              <w:bottom w:val="nil"/>
              <w:right w:val="nil"/>
            </w:tcBorders>
            <w:shd w:val="clear" w:color="auto" w:fill="FFFFFF" w:themeFill="background1"/>
            <w:noWrap/>
            <w:vAlign w:val="bottom"/>
            <w:hideMark/>
          </w:tcPr>
          <w:p w14:paraId="483A520A"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4.48%</w:t>
            </w:r>
          </w:p>
        </w:tc>
        <w:tc>
          <w:tcPr>
            <w:tcW w:w="990" w:type="dxa"/>
            <w:tcBorders>
              <w:top w:val="nil"/>
              <w:left w:val="nil"/>
              <w:bottom w:val="nil"/>
              <w:right w:val="nil"/>
            </w:tcBorders>
            <w:shd w:val="clear" w:color="auto" w:fill="F2F2F2" w:themeFill="background1" w:themeFillShade="F2"/>
            <w:noWrap/>
            <w:vAlign w:val="bottom"/>
            <w:hideMark/>
          </w:tcPr>
          <w:p w14:paraId="006A3396"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4.03%</w:t>
            </w:r>
          </w:p>
        </w:tc>
        <w:tc>
          <w:tcPr>
            <w:tcW w:w="990" w:type="dxa"/>
            <w:tcBorders>
              <w:top w:val="nil"/>
              <w:left w:val="nil"/>
              <w:bottom w:val="nil"/>
              <w:right w:val="nil"/>
            </w:tcBorders>
            <w:shd w:val="clear" w:color="auto" w:fill="FFFFFF" w:themeFill="background1"/>
            <w:noWrap/>
            <w:vAlign w:val="bottom"/>
            <w:hideMark/>
          </w:tcPr>
          <w:p w14:paraId="0549AED4"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4.80%</w:t>
            </w:r>
          </w:p>
        </w:tc>
        <w:tc>
          <w:tcPr>
            <w:tcW w:w="990" w:type="dxa"/>
            <w:tcBorders>
              <w:top w:val="nil"/>
              <w:left w:val="nil"/>
              <w:bottom w:val="nil"/>
              <w:right w:val="nil"/>
            </w:tcBorders>
            <w:shd w:val="clear" w:color="auto" w:fill="F2F2F2" w:themeFill="background1" w:themeFillShade="F2"/>
            <w:noWrap/>
            <w:vAlign w:val="bottom"/>
            <w:hideMark/>
          </w:tcPr>
          <w:p w14:paraId="76C4AA5E"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7.04%</w:t>
            </w:r>
          </w:p>
        </w:tc>
        <w:tc>
          <w:tcPr>
            <w:tcW w:w="990" w:type="dxa"/>
            <w:tcBorders>
              <w:top w:val="nil"/>
              <w:left w:val="nil"/>
              <w:bottom w:val="nil"/>
              <w:right w:val="nil"/>
            </w:tcBorders>
            <w:shd w:val="clear" w:color="auto" w:fill="FFFFFF" w:themeFill="background1"/>
            <w:noWrap/>
            <w:vAlign w:val="bottom"/>
            <w:hideMark/>
          </w:tcPr>
          <w:p w14:paraId="71C8DC0D"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0.64%</w:t>
            </w:r>
          </w:p>
        </w:tc>
        <w:tc>
          <w:tcPr>
            <w:tcW w:w="990" w:type="dxa"/>
            <w:tcBorders>
              <w:top w:val="nil"/>
              <w:left w:val="nil"/>
              <w:bottom w:val="nil"/>
              <w:right w:val="nil"/>
            </w:tcBorders>
            <w:shd w:val="clear" w:color="auto" w:fill="F2F2F2" w:themeFill="background1" w:themeFillShade="F2"/>
            <w:noWrap/>
            <w:vAlign w:val="bottom"/>
            <w:hideMark/>
          </w:tcPr>
          <w:p w14:paraId="41AEE212"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0.12%</w:t>
            </w:r>
          </w:p>
        </w:tc>
        <w:tc>
          <w:tcPr>
            <w:tcW w:w="900" w:type="dxa"/>
            <w:tcBorders>
              <w:top w:val="nil"/>
              <w:left w:val="nil"/>
              <w:bottom w:val="nil"/>
              <w:right w:val="nil"/>
            </w:tcBorders>
            <w:shd w:val="clear" w:color="auto" w:fill="FFFFFF" w:themeFill="background1"/>
            <w:noWrap/>
            <w:vAlign w:val="bottom"/>
            <w:hideMark/>
          </w:tcPr>
          <w:p w14:paraId="6D23B669" w14:textId="77777777" w:rsidR="00CA2E42" w:rsidRPr="00FE01A8" w:rsidRDefault="00CA2E42" w:rsidP="00CA2E42">
            <w:pPr>
              <w:jc w:val="center"/>
              <w:rPr>
                <w:rFonts w:ascii="Calibri" w:eastAsia="Times New Roman" w:hAnsi="Calibri" w:cs="Calibri"/>
                <w:color w:val="0D0D0D"/>
              </w:rPr>
            </w:pPr>
            <w:r w:rsidRPr="00FE01A8">
              <w:rPr>
                <w:rFonts w:ascii="Calibri" w:eastAsia="Times New Roman" w:hAnsi="Calibri" w:cs="Calibri"/>
                <w:color w:val="0D0D0D"/>
              </w:rPr>
              <w:t>14.27%</w:t>
            </w:r>
          </w:p>
        </w:tc>
      </w:tr>
    </w:tbl>
    <w:p w14:paraId="30D778EB" w14:textId="0A379D99" w:rsidR="00CA2E42" w:rsidRPr="00F54559" w:rsidRDefault="00CA2E42" w:rsidP="00EC1896">
      <w:pPr>
        <w:tabs>
          <w:tab w:val="left" w:pos="1440"/>
          <w:tab w:val="left" w:pos="7200"/>
        </w:tabs>
        <w:spacing w:before="240"/>
        <w:ind w:left="-450"/>
        <w:rPr>
          <w:rFonts w:eastAsia="Franklin Gothic Book" w:cstheme="minorHAnsi"/>
          <w:b/>
          <w:spacing w:val="1"/>
          <w:sz w:val="28"/>
          <w:szCs w:val="28"/>
        </w:rPr>
      </w:pPr>
      <w:r w:rsidRPr="00F54559">
        <w:rPr>
          <w:rFonts w:cstheme="minorHAnsi"/>
          <w:sz w:val="24"/>
          <w:szCs w:val="20"/>
        </w:rPr>
        <w:t>The money-weighted rate of return considers the changing amounts actually invested during a period and weights the amount of pension plan investments by the proportion of time they are available to earn a return during that period. The rate of return is then calculated by solving, through an iterative process, for the rate that equates the sum of the weighted external cash flows into and out of the pension plan investments to the ending fair value of pension plan investments.</w:t>
      </w:r>
      <w:r w:rsidRPr="007D03B3">
        <w:rPr>
          <w:rFonts w:eastAsia="Franklin Gothic Book" w:cstheme="minorHAnsi"/>
          <w:b/>
          <w:spacing w:val="1"/>
          <w:sz w:val="28"/>
          <w:szCs w:val="28"/>
        </w:rPr>
        <w:t xml:space="preserve"> </w:t>
      </w:r>
      <w:r w:rsidRPr="00F54559">
        <w:rPr>
          <w:rFonts w:eastAsia="Franklin Gothic Book" w:cstheme="minorHAnsi"/>
          <w:b/>
          <w:spacing w:val="1"/>
          <w:sz w:val="28"/>
          <w:szCs w:val="28"/>
        </w:rPr>
        <w:br w:type="page"/>
      </w:r>
    </w:p>
    <w:p w14:paraId="07510AFB" w14:textId="77777777" w:rsidR="00CA2E42" w:rsidRPr="0028129F" w:rsidRDefault="00CA2E42" w:rsidP="00DD1612">
      <w:pPr>
        <w:pStyle w:val="AFR4"/>
        <w:spacing w:after="240"/>
        <w:rPr>
          <w:rFonts w:eastAsiaTheme="majorEastAsia" w:cstheme="minorHAnsi"/>
          <w:b w:val="0"/>
          <w:iCs/>
          <w:smallCaps/>
          <w:noProof/>
          <w:color w:val="000000" w:themeColor="text1"/>
          <w:sz w:val="26"/>
          <w:szCs w:val="26"/>
          <w:u w:val="none" w:color="5B9BD5"/>
        </w:rPr>
        <w:sectPr w:rsidR="00CA2E42" w:rsidRPr="0028129F" w:rsidSect="00BD375F">
          <w:pgSz w:w="15840" w:h="12240" w:orient="landscape" w:code="1"/>
          <w:pgMar w:top="1440" w:right="1440" w:bottom="1440" w:left="1440" w:header="720" w:footer="720" w:gutter="0"/>
          <w:cols w:space="0"/>
          <w:titlePg/>
          <w:docGrid w:linePitch="360"/>
        </w:sectPr>
      </w:pPr>
    </w:p>
    <w:p w14:paraId="096F3235" w14:textId="77777777" w:rsidR="00DD1612" w:rsidRDefault="00DD1612" w:rsidP="00DD1612">
      <w:pPr>
        <w:pStyle w:val="AFR4"/>
        <w:spacing w:after="240"/>
        <w:rPr>
          <w:rFonts w:eastAsiaTheme="majorEastAsia" w:cstheme="minorHAnsi"/>
          <w:iCs/>
          <w:smallCaps/>
          <w:noProof/>
          <w:color w:val="000000" w:themeColor="text1"/>
          <w:sz w:val="26"/>
          <w:szCs w:val="26"/>
          <w:u w:val="none" w:color="5B9BD5"/>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09E5DE2B" w14:textId="77777777" w:rsidR="00DD1612" w:rsidRPr="00F54559" w:rsidRDefault="00DD1612" w:rsidP="00DD1612">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6612222C" w14:textId="684CAAFB" w:rsidR="00DD1612" w:rsidRPr="00F54559" w:rsidRDefault="00DD1612" w:rsidP="00DD1612">
      <w:pPr>
        <w:rPr>
          <w:rFonts w:cstheme="minorHAnsi"/>
          <w:sz w:val="16"/>
          <w:szCs w:val="16"/>
        </w:rPr>
      </w:pPr>
      <w:r w:rsidRPr="00F54559">
        <w:rPr>
          <w:rFonts w:cstheme="minorHAnsi"/>
          <w:i/>
          <w:sz w:val="24"/>
          <w:szCs w:val="24"/>
        </w:rPr>
        <w:t>Changes of benefit terms:</w:t>
      </w:r>
      <w:r>
        <w:rPr>
          <w:rFonts w:cstheme="minorHAnsi"/>
          <w:sz w:val="24"/>
          <w:szCs w:val="24"/>
        </w:rPr>
        <w:t xml:space="preserve"> </w:t>
      </w:r>
      <w:r w:rsidRPr="00F54559">
        <w:rPr>
          <w:rFonts w:cstheme="minorHAnsi"/>
          <w:sz w:val="24"/>
          <w:szCs w:val="24"/>
        </w:rPr>
        <w:t>None.</w:t>
      </w:r>
    </w:p>
    <w:p w14:paraId="60B5E705" w14:textId="77777777" w:rsidR="00DD1612" w:rsidRDefault="00DD1612" w:rsidP="00DD1612">
      <w:pPr>
        <w:rPr>
          <w:rFonts w:cstheme="minorHAnsi"/>
          <w:i/>
          <w:sz w:val="24"/>
          <w:szCs w:val="24"/>
        </w:rPr>
      </w:pPr>
      <w:r w:rsidRPr="00F54559">
        <w:rPr>
          <w:rFonts w:cstheme="minorHAnsi"/>
          <w:i/>
          <w:sz w:val="24"/>
          <w:szCs w:val="24"/>
        </w:rPr>
        <w:t>Changes of assumptions</w:t>
      </w:r>
      <w:r>
        <w:rPr>
          <w:rFonts w:cstheme="minorHAnsi"/>
          <w:i/>
          <w:sz w:val="24"/>
          <w:szCs w:val="24"/>
        </w:rPr>
        <w:t xml:space="preserve"> and other inputs</w:t>
      </w:r>
      <w:r w:rsidRPr="00F54559">
        <w:rPr>
          <w:rFonts w:cstheme="minorHAnsi"/>
          <w:i/>
          <w:sz w:val="24"/>
          <w:szCs w:val="24"/>
        </w:rPr>
        <w:t>:</w:t>
      </w:r>
    </w:p>
    <w:p w14:paraId="3D6CA061" w14:textId="77777777" w:rsidR="00DD1612" w:rsidRPr="00E96223" w:rsidRDefault="00DD1612" w:rsidP="00DD1612">
      <w:pPr>
        <w:rPr>
          <w:rFonts w:cstheme="minorHAnsi"/>
          <w:i/>
          <w:sz w:val="12"/>
          <w:szCs w:val="12"/>
        </w:rPr>
      </w:pPr>
    </w:p>
    <w:p w14:paraId="06798615" w14:textId="118A4A2E" w:rsidR="005F7C23" w:rsidRDefault="003E72E3" w:rsidP="005F7C23">
      <w:pPr>
        <w:widowControl w:val="0"/>
        <w:tabs>
          <w:tab w:val="left" w:pos="810"/>
        </w:tabs>
        <w:ind w:left="720" w:hanging="720"/>
        <w:rPr>
          <w:rFonts w:eastAsia="Franklin Gothic Book" w:cstheme="minorHAnsi"/>
          <w:spacing w:val="-1"/>
          <w:sz w:val="24"/>
          <w:szCs w:val="24"/>
        </w:rPr>
      </w:pPr>
      <w:r>
        <w:rPr>
          <w:rFonts w:cstheme="minorHAnsi"/>
          <w:sz w:val="24"/>
          <w:szCs w:val="24"/>
        </w:rPr>
        <w:t xml:space="preserve">2023: </w:t>
      </w:r>
      <w:r w:rsidR="005F7C23">
        <w:rPr>
          <w:rFonts w:cstheme="minorHAnsi"/>
          <w:sz w:val="24"/>
          <w:szCs w:val="24"/>
        </w:rPr>
        <w:t xml:space="preserve"> </w:t>
      </w:r>
      <w:r w:rsidR="00D2519B">
        <w:rPr>
          <w:rFonts w:cstheme="minorHAnsi"/>
          <w:sz w:val="24"/>
          <w:szCs w:val="24"/>
        </w:rPr>
        <w:t xml:space="preserve"> </w:t>
      </w:r>
      <w:r w:rsidR="005F7C23">
        <w:rPr>
          <w:rFonts w:eastAsia="Franklin Gothic Book" w:cstheme="minorHAnsi"/>
          <w:spacing w:val="-1"/>
          <w:sz w:val="24"/>
          <w:szCs w:val="24"/>
        </w:rPr>
        <w:t xml:space="preserve">The </w:t>
      </w:r>
      <w:r w:rsidR="00E63A62">
        <w:rPr>
          <w:rFonts w:eastAsia="Franklin Gothic Book" w:cstheme="minorHAnsi"/>
          <w:spacing w:val="-1"/>
          <w:sz w:val="24"/>
          <w:szCs w:val="24"/>
        </w:rPr>
        <w:t>mortality</w:t>
      </w:r>
      <w:r w:rsidR="005F7C23">
        <w:rPr>
          <w:rFonts w:eastAsia="Franklin Gothic Book" w:cstheme="minorHAnsi"/>
          <w:spacing w:val="-1"/>
          <w:sz w:val="24"/>
          <w:szCs w:val="24"/>
        </w:rPr>
        <w:t xml:space="preserve"> improvement table was updated from </w:t>
      </w:r>
      <w:r w:rsidR="00D10E16">
        <w:rPr>
          <w:rFonts w:eastAsia="Franklin Gothic Book" w:cstheme="minorHAnsi"/>
          <w:spacing w:val="-1"/>
          <w:sz w:val="24"/>
          <w:szCs w:val="24"/>
        </w:rPr>
        <w:t xml:space="preserve">scale </w:t>
      </w:r>
      <w:r w:rsidR="005F7C23">
        <w:rPr>
          <w:rFonts w:eastAsia="Franklin Gothic Book" w:cstheme="minorHAnsi"/>
          <w:spacing w:val="-1"/>
          <w:sz w:val="24"/>
          <w:szCs w:val="24"/>
        </w:rPr>
        <w:t xml:space="preserve">MP-2020 to </w:t>
      </w:r>
      <w:r w:rsidR="00D10E16">
        <w:rPr>
          <w:rFonts w:eastAsia="Franklin Gothic Book" w:cstheme="minorHAnsi"/>
          <w:spacing w:val="-1"/>
          <w:sz w:val="24"/>
          <w:szCs w:val="24"/>
        </w:rPr>
        <w:t xml:space="preserve">scale </w:t>
      </w:r>
      <w:r w:rsidR="005F7C23">
        <w:rPr>
          <w:rFonts w:eastAsia="Franklin Gothic Book" w:cstheme="minorHAnsi"/>
          <w:spacing w:val="-1"/>
          <w:sz w:val="24"/>
          <w:szCs w:val="24"/>
        </w:rPr>
        <w:t>MP-2021.</w:t>
      </w:r>
    </w:p>
    <w:p w14:paraId="0B5182DB" w14:textId="49FAE2FA" w:rsidR="00DD1612" w:rsidRPr="00CE58EC" w:rsidRDefault="00DD1612" w:rsidP="00DD1612">
      <w:pPr>
        <w:ind w:left="720" w:hanging="720"/>
        <w:rPr>
          <w:rFonts w:cstheme="minorHAnsi"/>
          <w:sz w:val="24"/>
          <w:szCs w:val="24"/>
        </w:rPr>
      </w:pPr>
      <w:r w:rsidRPr="00CE58EC">
        <w:rPr>
          <w:rFonts w:cstheme="minorHAnsi"/>
          <w:sz w:val="24"/>
          <w:szCs w:val="24"/>
        </w:rPr>
        <w:t>2022</w:t>
      </w:r>
      <w:r w:rsidRPr="003959B0">
        <w:rPr>
          <w:rFonts w:cstheme="minorHAnsi"/>
          <w:sz w:val="24"/>
          <w:szCs w:val="24"/>
        </w:rPr>
        <w:t>:</w:t>
      </w:r>
      <w:r w:rsidRPr="003959B0">
        <w:rPr>
          <w:rFonts w:cstheme="minorHAnsi"/>
          <w:sz w:val="24"/>
          <w:szCs w:val="24"/>
        </w:rPr>
        <w:tab/>
        <w:t>None</w:t>
      </w:r>
    </w:p>
    <w:p w14:paraId="5115C853" w14:textId="77777777" w:rsidR="00DD1612" w:rsidRPr="002749F4" w:rsidRDefault="00DD1612" w:rsidP="00DD1612">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p>
    <w:p w14:paraId="4BB2FDE8" w14:textId="77777777" w:rsidR="00DD1612" w:rsidRPr="002749F4" w:rsidRDefault="00DD1612" w:rsidP="00DD1612">
      <w:pPr>
        <w:ind w:left="720" w:hanging="720"/>
        <w:rPr>
          <w:rFonts w:cstheme="minorHAnsi"/>
          <w:sz w:val="24"/>
          <w:szCs w:val="24"/>
        </w:rPr>
      </w:pPr>
      <w:r w:rsidRPr="002749F4">
        <w:rPr>
          <w:rFonts w:cstheme="minorHAnsi"/>
          <w:sz w:val="24"/>
          <w:szCs w:val="24"/>
        </w:rPr>
        <w:t>2020:</w:t>
      </w:r>
      <w:r w:rsidRPr="002749F4">
        <w:rPr>
          <w:rFonts w:cstheme="minorHAnsi"/>
          <w:sz w:val="24"/>
          <w:szCs w:val="24"/>
        </w:rPr>
        <w:tab/>
        <w:t>None</w:t>
      </w:r>
    </w:p>
    <w:p w14:paraId="2CC37A62" w14:textId="77777777" w:rsidR="00DD1612" w:rsidRPr="002749F4" w:rsidRDefault="00DD1612" w:rsidP="00DD1612">
      <w:pPr>
        <w:ind w:left="720" w:hanging="720"/>
        <w:rPr>
          <w:rFonts w:cstheme="minorHAnsi"/>
          <w:sz w:val="24"/>
          <w:szCs w:val="24"/>
        </w:rPr>
      </w:pPr>
      <w:r w:rsidRPr="002749F4">
        <w:rPr>
          <w:rFonts w:cstheme="minorHAnsi"/>
          <w:sz w:val="24"/>
          <w:szCs w:val="24"/>
        </w:rPr>
        <w:t>2019:</w:t>
      </w:r>
      <w:r w:rsidRPr="002749F4">
        <w:rPr>
          <w:rFonts w:cstheme="minorHAnsi"/>
          <w:sz w:val="24"/>
          <w:szCs w:val="24"/>
        </w:rPr>
        <w:tab/>
        <w:t>The mortality tables were updated to reflect more recent mortality tables and generational mortality improvement.</w:t>
      </w:r>
    </w:p>
    <w:p w14:paraId="3F593423" w14:textId="77777777" w:rsidR="000F78CF" w:rsidRDefault="00CA2E42" w:rsidP="00DD1612">
      <w:pPr>
        <w:rPr>
          <w:rFonts w:cstheme="minorHAnsi"/>
          <w:sz w:val="24"/>
          <w:szCs w:val="24"/>
        </w:rPr>
      </w:pPr>
      <w:r w:rsidRPr="002749F4">
        <w:rPr>
          <w:rFonts w:cstheme="minorHAnsi"/>
          <w:sz w:val="24"/>
          <w:szCs w:val="24"/>
        </w:rPr>
        <w:t>201</w:t>
      </w:r>
      <w:r>
        <w:rPr>
          <w:rFonts w:cstheme="minorHAnsi"/>
          <w:sz w:val="24"/>
          <w:szCs w:val="24"/>
        </w:rPr>
        <w:t>7</w:t>
      </w:r>
      <w:r w:rsidR="000F78CF">
        <w:rPr>
          <w:rFonts w:cstheme="minorHAnsi"/>
          <w:sz w:val="24"/>
          <w:szCs w:val="24"/>
        </w:rPr>
        <w:t>:</w:t>
      </w:r>
      <w:r w:rsidR="000F78CF">
        <w:rPr>
          <w:rFonts w:cstheme="minorHAnsi"/>
          <w:sz w:val="24"/>
          <w:szCs w:val="24"/>
        </w:rPr>
        <w:tab/>
        <w:t>None</w:t>
      </w:r>
    </w:p>
    <w:p w14:paraId="623AD7EB" w14:textId="2F195A13" w:rsidR="00DD1612" w:rsidRPr="002749F4" w:rsidRDefault="00CA2E42" w:rsidP="00DD1612">
      <w:pPr>
        <w:rPr>
          <w:rFonts w:cstheme="minorHAnsi"/>
          <w:sz w:val="24"/>
          <w:szCs w:val="24"/>
        </w:rPr>
      </w:pPr>
      <w:r>
        <w:rPr>
          <w:rFonts w:cstheme="minorHAnsi"/>
          <w:sz w:val="24"/>
          <w:szCs w:val="24"/>
        </w:rPr>
        <w:t>2018</w:t>
      </w:r>
      <w:r w:rsidR="00DD1612" w:rsidRPr="002749F4">
        <w:rPr>
          <w:rFonts w:cstheme="minorHAnsi"/>
          <w:sz w:val="24"/>
          <w:szCs w:val="24"/>
        </w:rPr>
        <w:t xml:space="preserve">: </w:t>
      </w:r>
      <w:r w:rsidR="00DD1612" w:rsidRPr="002749F4">
        <w:rPr>
          <w:rFonts w:cstheme="minorHAnsi"/>
          <w:sz w:val="24"/>
          <w:szCs w:val="24"/>
        </w:rPr>
        <w:tab/>
        <w:t>None</w:t>
      </w:r>
    </w:p>
    <w:p w14:paraId="196ED4BD" w14:textId="77777777" w:rsidR="00DD1612" w:rsidRPr="002749F4" w:rsidRDefault="00DD1612" w:rsidP="00DD1612">
      <w:pPr>
        <w:ind w:left="720" w:hanging="720"/>
        <w:rPr>
          <w:rFonts w:cstheme="minorHAnsi"/>
          <w:sz w:val="24"/>
          <w:szCs w:val="24"/>
        </w:rPr>
      </w:pPr>
      <w:r w:rsidRPr="002749F4">
        <w:rPr>
          <w:rFonts w:cstheme="minorHAnsi"/>
          <w:sz w:val="24"/>
          <w:szCs w:val="24"/>
        </w:rPr>
        <w:t xml:space="preserve">2016: </w:t>
      </w:r>
      <w:r w:rsidRPr="002749F4">
        <w:rPr>
          <w:rFonts w:cstheme="minorHAnsi"/>
          <w:sz w:val="24"/>
          <w:szCs w:val="24"/>
        </w:rPr>
        <w:tab/>
        <w:t>The investment return rate was changed from 6.75% to 6.25% and the administrative expense assumption was changed from $50, increasing by 3% per year, to $30, increasing by 2% per year up to a maximum of $70.</w:t>
      </w:r>
    </w:p>
    <w:p w14:paraId="4BE41347" w14:textId="55F34914" w:rsidR="00DD1612" w:rsidRPr="00F54559" w:rsidRDefault="00DD1612" w:rsidP="00DD1612">
      <w:pPr>
        <w:ind w:left="720" w:hanging="720"/>
        <w:rPr>
          <w:rFonts w:cstheme="minorHAnsi"/>
          <w:sz w:val="24"/>
          <w:szCs w:val="24"/>
        </w:rPr>
      </w:pPr>
      <w:r w:rsidRPr="002749F4">
        <w:rPr>
          <w:rFonts w:cstheme="minorHAnsi"/>
          <w:sz w:val="24"/>
          <w:szCs w:val="24"/>
        </w:rPr>
        <w:t>2015:</w:t>
      </w:r>
      <w:r w:rsidRPr="002749F4">
        <w:rPr>
          <w:rFonts w:cstheme="minorHAnsi"/>
          <w:sz w:val="24"/>
          <w:szCs w:val="24"/>
        </w:rPr>
        <w:tab/>
        <w:t>The actuarial funding method was changed from Projected Unit Credit to Entry Age</w:t>
      </w:r>
      <w:r w:rsidRPr="00F54559">
        <w:rPr>
          <w:rFonts w:cstheme="minorHAnsi"/>
          <w:sz w:val="24"/>
          <w:szCs w:val="24"/>
        </w:rPr>
        <w:t xml:space="preserve"> Normal, the investment return rate was changed from 7.25% to 6.75% and the administrative expense assumption was changed from $90 per year to $50 per year. </w:t>
      </w:r>
    </w:p>
    <w:p w14:paraId="07C4629D" w14:textId="77777777" w:rsidR="00DD1612" w:rsidRPr="00F54559" w:rsidRDefault="00DD1612" w:rsidP="00DD1612">
      <w:pPr>
        <w:ind w:left="720" w:hanging="720"/>
        <w:rPr>
          <w:rFonts w:cstheme="minorHAnsi"/>
          <w:sz w:val="24"/>
          <w:szCs w:val="24"/>
        </w:rPr>
      </w:pPr>
    </w:p>
    <w:p w14:paraId="1407D005" w14:textId="77777777" w:rsidR="00DD1612" w:rsidRPr="00F54559" w:rsidRDefault="00DD1612" w:rsidP="00DD1612">
      <w:pPr>
        <w:rPr>
          <w:rFonts w:cstheme="minorHAnsi"/>
          <w:i/>
          <w:sz w:val="24"/>
          <w:szCs w:val="24"/>
        </w:rPr>
      </w:pPr>
      <w:r w:rsidRPr="00F54559">
        <w:rPr>
          <w:rFonts w:cstheme="minorHAnsi"/>
          <w:i/>
          <w:sz w:val="24"/>
          <w:szCs w:val="24"/>
        </w:rPr>
        <w:t>Methods and assumptions used in calculations of actuarially determined contributions:</w:t>
      </w:r>
    </w:p>
    <w:p w14:paraId="0AC3FF06" w14:textId="77777777" w:rsidR="00DD1612" w:rsidRPr="00F54559" w:rsidRDefault="00DD1612" w:rsidP="00DD1612">
      <w:pPr>
        <w:widowControl w:val="0"/>
        <w:spacing w:before="120"/>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p>
    <w:p w14:paraId="1C1B4D4B" w14:textId="77777777" w:rsidR="00DD1612" w:rsidRPr="00F54559" w:rsidRDefault="00DD1612" w:rsidP="00DD1612">
      <w:pPr>
        <w:ind w:left="720" w:hanging="720"/>
        <w:rPr>
          <w:rFonts w:cstheme="minorHAnsi"/>
          <w:sz w:val="24"/>
          <w:szCs w:val="24"/>
        </w:rPr>
      </w:pPr>
    </w:p>
    <w:tbl>
      <w:tblPr>
        <w:tblStyle w:val="TableGrid2"/>
        <w:tblW w:w="47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98"/>
        <w:gridCol w:w="6135"/>
      </w:tblGrid>
      <w:tr w:rsidR="00DD1612" w:rsidRPr="00A454B4" w14:paraId="70732FC5" w14:textId="77777777" w:rsidTr="00BD375F">
        <w:trPr>
          <w:trHeight w:val="252"/>
          <w:tblHeader/>
          <w:jc w:val="center"/>
        </w:trPr>
        <w:tc>
          <w:tcPr>
            <w:tcW w:w="1566" w:type="pct"/>
          </w:tcPr>
          <w:p w14:paraId="5E70EDFE" w14:textId="77777777" w:rsidR="00DD1612" w:rsidRPr="00F54559" w:rsidRDefault="00DD1612" w:rsidP="00BD375F">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4" w:type="pct"/>
          </w:tcPr>
          <w:p w14:paraId="2D670882" w14:textId="7FB63DCF" w:rsidR="00DD1612" w:rsidRPr="00A4427D" w:rsidRDefault="00DD1612" w:rsidP="00BD375F">
            <w:pPr>
              <w:widowControl w:val="0"/>
              <w:rPr>
                <w:rFonts w:eastAsia="Franklin Gothic Book" w:cstheme="minorHAnsi"/>
                <w:spacing w:val="-2"/>
                <w:sz w:val="24"/>
              </w:rPr>
            </w:pPr>
            <w:r w:rsidRPr="00A4427D">
              <w:rPr>
                <w:rFonts w:eastAsia="Franklin Gothic Book" w:cstheme="minorHAnsi"/>
                <w:spacing w:val="-2"/>
                <w:sz w:val="24"/>
              </w:rPr>
              <w:t xml:space="preserve">2015 to </w:t>
            </w:r>
            <w:r w:rsidR="005F7C23" w:rsidRPr="00A4427D">
              <w:rPr>
                <w:rFonts w:eastAsia="Franklin Gothic Book" w:cstheme="minorHAnsi"/>
                <w:spacing w:val="-2"/>
                <w:sz w:val="24"/>
              </w:rPr>
              <w:t>202</w:t>
            </w:r>
            <w:r w:rsidR="005F7C23">
              <w:rPr>
                <w:rFonts w:eastAsia="Franklin Gothic Book" w:cstheme="minorHAnsi"/>
                <w:spacing w:val="-2"/>
                <w:sz w:val="24"/>
              </w:rPr>
              <w:t>3</w:t>
            </w:r>
            <w:r w:rsidR="003E72E3">
              <w:rPr>
                <w:rFonts w:eastAsia="Franklin Gothic Book" w:cstheme="minorHAnsi"/>
                <w:spacing w:val="-2"/>
                <w:sz w:val="24"/>
              </w:rPr>
              <w:t>:</w:t>
            </w:r>
            <w:r w:rsidRPr="00A4427D">
              <w:rPr>
                <w:rFonts w:eastAsia="Franklin Gothic Book" w:cstheme="minorHAnsi"/>
                <w:spacing w:val="-2"/>
                <w:sz w:val="24"/>
              </w:rPr>
              <w:t xml:space="preserve"> E</w:t>
            </w:r>
            <w:r w:rsidRPr="00A4427D">
              <w:rPr>
                <w:rFonts w:eastAsia="Franklin Gothic Book" w:cstheme="minorHAnsi"/>
                <w:sz w:val="24"/>
              </w:rPr>
              <w:t>nt</w:t>
            </w:r>
            <w:r w:rsidRPr="00A4427D">
              <w:rPr>
                <w:rFonts w:eastAsia="Franklin Gothic Book" w:cstheme="minorHAnsi"/>
                <w:spacing w:val="-1"/>
                <w:sz w:val="24"/>
              </w:rPr>
              <w:t>r</w:t>
            </w:r>
            <w:r w:rsidRPr="00A4427D">
              <w:rPr>
                <w:rFonts w:eastAsia="Franklin Gothic Book" w:cstheme="minorHAnsi"/>
                <w:sz w:val="24"/>
              </w:rPr>
              <w:t>y</w:t>
            </w:r>
            <w:r w:rsidRPr="00A4427D">
              <w:rPr>
                <w:rFonts w:eastAsia="Franklin Gothic Book" w:cstheme="minorHAnsi"/>
                <w:spacing w:val="-8"/>
                <w:sz w:val="24"/>
              </w:rPr>
              <w:t xml:space="preserve"> a</w:t>
            </w:r>
            <w:r w:rsidRPr="00A4427D">
              <w:rPr>
                <w:rFonts w:eastAsia="Franklin Gothic Book" w:cstheme="minorHAnsi"/>
                <w:sz w:val="24"/>
              </w:rPr>
              <w:t>ge</w:t>
            </w:r>
            <w:r w:rsidRPr="00A4427D">
              <w:rPr>
                <w:rFonts w:eastAsia="Franklin Gothic Book" w:cstheme="minorHAnsi"/>
                <w:spacing w:val="-6"/>
                <w:sz w:val="24"/>
              </w:rPr>
              <w:t xml:space="preserve"> n</w:t>
            </w:r>
            <w:r w:rsidRPr="00A4427D">
              <w:rPr>
                <w:rFonts w:eastAsia="Franklin Gothic Book" w:cstheme="minorHAnsi"/>
                <w:sz w:val="24"/>
              </w:rPr>
              <w:t>o</w:t>
            </w:r>
            <w:r w:rsidRPr="00A4427D">
              <w:rPr>
                <w:rFonts w:eastAsia="Franklin Gothic Book" w:cstheme="minorHAnsi"/>
                <w:spacing w:val="-2"/>
                <w:sz w:val="24"/>
              </w:rPr>
              <w:t>r</w:t>
            </w:r>
            <w:r w:rsidRPr="00A4427D">
              <w:rPr>
                <w:rFonts w:eastAsia="Franklin Gothic Book" w:cstheme="minorHAnsi"/>
                <w:sz w:val="24"/>
              </w:rPr>
              <w:t>mal</w:t>
            </w:r>
          </w:p>
          <w:p w14:paraId="64BE37E5" w14:textId="2346540C" w:rsidR="00DD1612" w:rsidRPr="003959B0" w:rsidRDefault="003E72E3" w:rsidP="00BD375F">
            <w:pPr>
              <w:widowControl w:val="0"/>
              <w:rPr>
                <w:rFonts w:cstheme="minorHAnsi"/>
                <w:sz w:val="16"/>
                <w:szCs w:val="16"/>
              </w:rPr>
            </w:pPr>
            <w:r>
              <w:rPr>
                <w:rFonts w:eastAsia="Franklin Gothic Book" w:cstheme="minorHAnsi"/>
                <w:spacing w:val="-2"/>
                <w:sz w:val="24"/>
              </w:rPr>
              <w:t xml:space="preserve">2014: </w:t>
            </w:r>
            <w:r w:rsidR="00DD1612" w:rsidRPr="00A4427D">
              <w:rPr>
                <w:rFonts w:eastAsia="Franklin Gothic Book" w:cstheme="minorHAnsi"/>
                <w:spacing w:val="-2"/>
                <w:sz w:val="24"/>
              </w:rPr>
              <w:t>Projected Unit Credit</w:t>
            </w:r>
          </w:p>
        </w:tc>
      </w:tr>
      <w:tr w:rsidR="00DD1612" w:rsidRPr="00A454B4" w14:paraId="637BF41D" w14:textId="77777777" w:rsidTr="00BD375F">
        <w:trPr>
          <w:trHeight w:val="252"/>
          <w:jc w:val="center"/>
        </w:trPr>
        <w:tc>
          <w:tcPr>
            <w:tcW w:w="1566" w:type="pct"/>
          </w:tcPr>
          <w:p w14:paraId="0DFC81C5" w14:textId="77777777" w:rsidR="00DD1612" w:rsidRPr="00F54559" w:rsidRDefault="00DD1612" w:rsidP="00BD375F">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34" w:type="pct"/>
          </w:tcPr>
          <w:p w14:paraId="2B0B16F1" w14:textId="77777777" w:rsidR="00DD1612" w:rsidRPr="00A4427D" w:rsidRDefault="00DD1612" w:rsidP="00BD375F">
            <w:pPr>
              <w:widowControl w:val="0"/>
              <w:rPr>
                <w:rFonts w:cstheme="minorHAnsi"/>
                <w:sz w:val="24"/>
                <w:szCs w:val="20"/>
              </w:rPr>
            </w:pPr>
            <w:r w:rsidRPr="00A4427D">
              <w:rPr>
                <w:rFonts w:eastAsia="Franklin Gothic Book" w:cstheme="minorHAnsi"/>
                <w:sz w:val="24"/>
              </w:rPr>
              <w:t>The actuarial value of assets is the market value of assets.</w:t>
            </w:r>
          </w:p>
        </w:tc>
      </w:tr>
      <w:tr w:rsidR="00DD1612" w:rsidRPr="00A454B4" w14:paraId="7DCAAEEA" w14:textId="77777777" w:rsidTr="00BD375F">
        <w:trPr>
          <w:trHeight w:val="252"/>
          <w:jc w:val="center"/>
        </w:trPr>
        <w:tc>
          <w:tcPr>
            <w:tcW w:w="1566" w:type="pct"/>
          </w:tcPr>
          <w:p w14:paraId="2550F133" w14:textId="77777777" w:rsidR="00DD1612" w:rsidRPr="00F54559" w:rsidRDefault="00DD1612" w:rsidP="00BD375F">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4" w:type="pct"/>
          </w:tcPr>
          <w:p w14:paraId="7019A634" w14:textId="5E665D9C" w:rsidR="009331E0" w:rsidRDefault="009331E0" w:rsidP="00BD375F">
            <w:pPr>
              <w:widowControl w:val="0"/>
              <w:rPr>
                <w:rFonts w:eastAsia="Franklin Gothic Book" w:cstheme="minorHAnsi"/>
                <w:sz w:val="24"/>
              </w:rPr>
            </w:pPr>
            <w:r>
              <w:rPr>
                <w:rFonts w:eastAsia="Franklin Gothic Book" w:cstheme="minorHAnsi"/>
                <w:sz w:val="24"/>
              </w:rPr>
              <w:t>2023: 2.7</w:t>
            </w:r>
            <w:r w:rsidR="000F78CF">
              <w:rPr>
                <w:rFonts w:eastAsia="Franklin Gothic Book" w:cstheme="minorHAnsi"/>
                <w:sz w:val="24"/>
              </w:rPr>
              <w:t>%</w:t>
            </w:r>
            <w:r>
              <w:rPr>
                <w:rFonts w:eastAsia="Franklin Gothic Book" w:cstheme="minorHAnsi"/>
                <w:sz w:val="24"/>
              </w:rPr>
              <w:t xml:space="preserve"> per year</w:t>
            </w:r>
          </w:p>
          <w:p w14:paraId="2D420440" w14:textId="1CD34563" w:rsidR="00DD1612" w:rsidRPr="00A4427D" w:rsidRDefault="00DD1612" w:rsidP="00BD375F">
            <w:pPr>
              <w:widowControl w:val="0"/>
              <w:rPr>
                <w:rFonts w:eastAsia="Franklin Gothic Book" w:cstheme="minorHAnsi"/>
                <w:sz w:val="24"/>
              </w:rPr>
            </w:pPr>
            <w:r w:rsidRPr="00A4427D">
              <w:rPr>
                <w:rFonts w:eastAsia="Franklin Gothic Book" w:cstheme="minorHAnsi"/>
                <w:sz w:val="24"/>
              </w:rPr>
              <w:t>202</w:t>
            </w:r>
            <w:r>
              <w:rPr>
                <w:rFonts w:eastAsia="Franklin Gothic Book" w:cstheme="minorHAnsi"/>
                <w:sz w:val="24"/>
              </w:rPr>
              <w:t>1</w:t>
            </w:r>
            <w:r w:rsidRPr="003959B0">
              <w:rPr>
                <w:rFonts w:eastAsia="Franklin Gothic Book" w:cstheme="minorHAnsi"/>
                <w:sz w:val="24"/>
              </w:rPr>
              <w:t xml:space="preserve"> to 2022</w:t>
            </w:r>
            <w:r w:rsidRPr="00A4427D">
              <w:rPr>
                <w:rFonts w:eastAsia="Franklin Gothic Book" w:cstheme="minorHAnsi"/>
                <w:sz w:val="24"/>
              </w:rPr>
              <w:t xml:space="preserve">: 2.5% per year </w:t>
            </w:r>
          </w:p>
          <w:p w14:paraId="58A9D31B" w14:textId="77777777" w:rsidR="00DD1612" w:rsidRPr="00A4427D" w:rsidRDefault="00DD1612" w:rsidP="00BD375F">
            <w:pPr>
              <w:widowControl w:val="0"/>
              <w:rPr>
                <w:rFonts w:eastAsia="Franklin Gothic Book" w:cstheme="minorHAnsi"/>
                <w:sz w:val="24"/>
              </w:rPr>
            </w:pPr>
            <w:r w:rsidRPr="00A4427D">
              <w:rPr>
                <w:rFonts w:eastAsia="Franklin Gothic Book" w:cstheme="minorHAnsi"/>
                <w:sz w:val="24"/>
              </w:rPr>
              <w:t>2020: 2.4% per year</w:t>
            </w:r>
          </w:p>
          <w:p w14:paraId="06149412" w14:textId="77777777" w:rsidR="00DD1612" w:rsidRPr="00A4427D" w:rsidRDefault="00DD1612" w:rsidP="00BD375F">
            <w:pPr>
              <w:widowControl w:val="0"/>
              <w:rPr>
                <w:rFonts w:eastAsia="Franklin Gothic Book" w:cstheme="minorHAnsi"/>
                <w:sz w:val="24"/>
              </w:rPr>
            </w:pPr>
            <w:r w:rsidRPr="00A4427D">
              <w:rPr>
                <w:rFonts w:eastAsia="Franklin Gothic Book" w:cstheme="minorHAnsi"/>
                <w:sz w:val="24"/>
              </w:rPr>
              <w:t>2019: 2.6% per year</w:t>
            </w:r>
          </w:p>
          <w:p w14:paraId="5E81212C" w14:textId="35EDC9B1" w:rsidR="00DD1612" w:rsidRPr="00A4427D" w:rsidRDefault="003E72E3" w:rsidP="00BD375F">
            <w:pPr>
              <w:widowControl w:val="0"/>
              <w:rPr>
                <w:rFonts w:eastAsia="Franklin Gothic Book" w:cstheme="minorHAnsi"/>
                <w:sz w:val="24"/>
              </w:rPr>
            </w:pPr>
            <w:r>
              <w:rPr>
                <w:rFonts w:eastAsia="Franklin Gothic Book" w:cstheme="minorHAnsi"/>
                <w:sz w:val="24"/>
              </w:rPr>
              <w:t xml:space="preserve">2016 to 2018: </w:t>
            </w:r>
            <w:r w:rsidR="00DD1612" w:rsidRPr="00A4427D">
              <w:rPr>
                <w:rFonts w:eastAsia="Franklin Gothic Book" w:cstheme="minorHAnsi"/>
                <w:sz w:val="24"/>
              </w:rPr>
              <w:t>3% per year</w:t>
            </w:r>
          </w:p>
          <w:p w14:paraId="1AE27C63" w14:textId="77777777" w:rsidR="00DD1612" w:rsidRPr="003959B0" w:rsidRDefault="00DD1612" w:rsidP="00BD375F">
            <w:pPr>
              <w:widowControl w:val="0"/>
              <w:rPr>
                <w:rFonts w:cstheme="minorHAnsi"/>
                <w:sz w:val="16"/>
                <w:szCs w:val="16"/>
              </w:rPr>
            </w:pPr>
            <w:r w:rsidRPr="00A4427D">
              <w:rPr>
                <w:rFonts w:eastAsia="Franklin Gothic Book" w:cstheme="minorHAnsi"/>
                <w:sz w:val="24"/>
              </w:rPr>
              <w:t>2015: 3.25% per year</w:t>
            </w:r>
          </w:p>
        </w:tc>
      </w:tr>
      <w:tr w:rsidR="00DD1612" w:rsidRPr="00A454B4" w14:paraId="6965B37D" w14:textId="77777777" w:rsidTr="00BD375F">
        <w:trPr>
          <w:trHeight w:val="252"/>
          <w:jc w:val="center"/>
        </w:trPr>
        <w:tc>
          <w:tcPr>
            <w:tcW w:w="1566" w:type="pct"/>
          </w:tcPr>
          <w:p w14:paraId="63A535C0" w14:textId="77777777" w:rsidR="00DD1612" w:rsidRPr="00F54559" w:rsidRDefault="00DD1612" w:rsidP="00BD375F">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4" w:type="pct"/>
          </w:tcPr>
          <w:p w14:paraId="540BF292" w14:textId="77777777" w:rsidR="00DD1612" w:rsidRPr="00A4427D" w:rsidRDefault="00DD1612" w:rsidP="00BD375F">
            <w:pPr>
              <w:widowControl w:val="0"/>
              <w:rPr>
                <w:rFonts w:cstheme="minorHAnsi"/>
                <w:sz w:val="16"/>
                <w:szCs w:val="16"/>
              </w:rPr>
            </w:pPr>
            <w:r w:rsidRPr="00A4427D">
              <w:rPr>
                <w:rFonts w:eastAsia="Franklin Gothic Book" w:cstheme="minorHAnsi"/>
                <w:sz w:val="24"/>
              </w:rPr>
              <w:t>3.5%</w:t>
            </w:r>
            <w:r w:rsidRPr="00A4427D">
              <w:rPr>
                <w:rFonts w:eastAsia="Franklin Gothic Book" w:cstheme="minorHAnsi"/>
                <w:spacing w:val="-6"/>
                <w:sz w:val="24"/>
              </w:rPr>
              <w:t xml:space="preserve"> </w:t>
            </w:r>
            <w:r w:rsidRPr="00A4427D">
              <w:rPr>
                <w:rFonts w:eastAsia="Franklin Gothic Book" w:cstheme="minorHAnsi"/>
                <w:spacing w:val="-1"/>
                <w:sz w:val="24"/>
              </w:rPr>
              <w:t>p</w:t>
            </w:r>
            <w:r w:rsidRPr="00A4427D">
              <w:rPr>
                <w:rFonts w:eastAsia="Franklin Gothic Book" w:cstheme="minorHAnsi"/>
                <w:sz w:val="24"/>
              </w:rPr>
              <w:t>er</w:t>
            </w:r>
            <w:r w:rsidRPr="00A4427D">
              <w:rPr>
                <w:rFonts w:eastAsia="Franklin Gothic Book" w:cstheme="minorHAnsi"/>
                <w:spacing w:val="-7"/>
                <w:sz w:val="24"/>
              </w:rPr>
              <w:t xml:space="preserve"> </w:t>
            </w:r>
            <w:r w:rsidRPr="00A4427D">
              <w:rPr>
                <w:rFonts w:eastAsia="Franklin Gothic Book" w:cstheme="minorHAnsi"/>
                <w:spacing w:val="-1"/>
                <w:sz w:val="24"/>
              </w:rPr>
              <w:t>y</w:t>
            </w:r>
            <w:r w:rsidRPr="00A4427D">
              <w:rPr>
                <w:rFonts w:eastAsia="Franklin Gothic Book" w:cstheme="minorHAnsi"/>
                <w:sz w:val="24"/>
              </w:rPr>
              <w:t>ea</w:t>
            </w:r>
            <w:r w:rsidRPr="00A4427D">
              <w:rPr>
                <w:rFonts w:eastAsia="Franklin Gothic Book" w:cstheme="minorHAnsi"/>
                <w:spacing w:val="-2"/>
                <w:sz w:val="24"/>
              </w:rPr>
              <w:t>r</w:t>
            </w:r>
          </w:p>
        </w:tc>
      </w:tr>
      <w:tr w:rsidR="00DD1612" w:rsidRPr="00A454B4" w14:paraId="428D5389" w14:textId="77777777" w:rsidTr="00BD375F">
        <w:trPr>
          <w:trHeight w:val="252"/>
          <w:jc w:val="center"/>
        </w:trPr>
        <w:tc>
          <w:tcPr>
            <w:tcW w:w="1566" w:type="pct"/>
          </w:tcPr>
          <w:p w14:paraId="7DA3A430" w14:textId="77777777" w:rsidR="00DD1612" w:rsidRPr="00F54559" w:rsidRDefault="00DD1612" w:rsidP="00BD375F">
            <w:pPr>
              <w:widowControl w:val="0"/>
              <w:rPr>
                <w:rFonts w:cstheme="minorHAnsi"/>
                <w:sz w:val="24"/>
                <w:szCs w:val="20"/>
              </w:rPr>
            </w:pPr>
            <w:r w:rsidRPr="00F54559">
              <w:rPr>
                <w:rFonts w:eastAsia="Franklin Gothic Book" w:cstheme="minorHAnsi"/>
                <w:spacing w:val="-2"/>
                <w:sz w:val="24"/>
              </w:rPr>
              <w:t>Payroll increases</w:t>
            </w:r>
          </w:p>
        </w:tc>
        <w:tc>
          <w:tcPr>
            <w:tcW w:w="3434" w:type="pct"/>
          </w:tcPr>
          <w:p w14:paraId="09DEC738" w14:textId="77777777" w:rsidR="00DD1612" w:rsidRPr="00A4427D" w:rsidRDefault="00DD1612" w:rsidP="00BD375F">
            <w:pPr>
              <w:widowControl w:val="0"/>
              <w:rPr>
                <w:rFonts w:cstheme="minorHAnsi"/>
                <w:sz w:val="16"/>
                <w:szCs w:val="16"/>
              </w:rPr>
            </w:pPr>
            <w:r w:rsidRPr="00A4427D">
              <w:rPr>
                <w:rFonts w:eastAsia="Franklin Gothic Book" w:cstheme="minorHAnsi"/>
                <w:spacing w:val="-2"/>
                <w:sz w:val="24"/>
              </w:rPr>
              <w:t>3.5% per year</w:t>
            </w:r>
          </w:p>
        </w:tc>
      </w:tr>
      <w:tr w:rsidR="00DD1612" w:rsidRPr="00A454B4" w14:paraId="1A115882" w14:textId="77777777" w:rsidTr="00BD375F">
        <w:trPr>
          <w:trHeight w:val="252"/>
          <w:jc w:val="center"/>
        </w:trPr>
        <w:tc>
          <w:tcPr>
            <w:tcW w:w="1566" w:type="pct"/>
          </w:tcPr>
          <w:p w14:paraId="42CA7E58" w14:textId="77777777" w:rsidR="00DD1612" w:rsidRPr="00F54559" w:rsidRDefault="00DD1612" w:rsidP="00BD375F">
            <w:pPr>
              <w:widowControl w:val="0"/>
              <w:tabs>
                <w:tab w:val="left" w:pos="4264"/>
              </w:tabs>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w:t>
            </w:r>
            <w:r>
              <w:rPr>
                <w:rFonts w:eastAsia="Franklin Gothic Book" w:cstheme="minorHAnsi"/>
                <w:sz w:val="24"/>
              </w:rPr>
              <w:t xml:space="preserve">/ </w:t>
            </w:r>
            <w:r w:rsidRPr="00F54559">
              <w:rPr>
                <w:rFonts w:eastAsia="Franklin Gothic Book" w:cstheme="minorHAnsi"/>
                <w:spacing w:val="-7"/>
                <w:sz w:val="24"/>
              </w:rPr>
              <w:t>discount rate</w:t>
            </w:r>
          </w:p>
        </w:tc>
        <w:tc>
          <w:tcPr>
            <w:tcW w:w="3434" w:type="pct"/>
          </w:tcPr>
          <w:p w14:paraId="6D5DCC0F" w14:textId="610C720C" w:rsidR="00DD1612" w:rsidRPr="00A4427D" w:rsidRDefault="00DD1612" w:rsidP="00BD375F">
            <w:pPr>
              <w:widowControl w:val="0"/>
              <w:rPr>
                <w:rFonts w:eastAsia="Franklin Gothic Book" w:cstheme="minorHAnsi"/>
                <w:sz w:val="24"/>
              </w:rPr>
            </w:pPr>
            <w:r w:rsidRPr="00A4427D">
              <w:rPr>
                <w:rFonts w:eastAsia="Franklin Gothic Book" w:cstheme="minorHAnsi"/>
                <w:sz w:val="24"/>
              </w:rPr>
              <w:t xml:space="preserve">2016 to </w:t>
            </w:r>
            <w:r w:rsidR="009331E0" w:rsidRPr="00A4427D">
              <w:rPr>
                <w:rFonts w:eastAsia="Franklin Gothic Book" w:cstheme="minorHAnsi"/>
                <w:sz w:val="24"/>
              </w:rPr>
              <w:t>202</w:t>
            </w:r>
            <w:r w:rsidR="009331E0">
              <w:rPr>
                <w:rFonts w:eastAsia="Franklin Gothic Book" w:cstheme="minorHAnsi"/>
                <w:sz w:val="24"/>
              </w:rPr>
              <w:t>3</w:t>
            </w:r>
            <w:r w:rsidR="003E72E3">
              <w:rPr>
                <w:rFonts w:eastAsia="Franklin Gothic Book" w:cstheme="minorHAnsi"/>
                <w:sz w:val="24"/>
              </w:rPr>
              <w:t xml:space="preserve">: </w:t>
            </w:r>
            <w:r w:rsidRPr="00A4427D">
              <w:rPr>
                <w:rFonts w:eastAsia="Franklin Gothic Book" w:cstheme="minorHAnsi"/>
                <w:sz w:val="24"/>
              </w:rPr>
              <w:t>6.25%,</w:t>
            </w:r>
            <w:r w:rsidRPr="00A4427D">
              <w:rPr>
                <w:rFonts w:eastAsia="Franklin Gothic Book" w:cstheme="minorHAnsi"/>
                <w:spacing w:val="-7"/>
                <w:sz w:val="24"/>
              </w:rPr>
              <w:t xml:space="preserve"> </w:t>
            </w:r>
            <w:r w:rsidRPr="00A4427D">
              <w:rPr>
                <w:rFonts w:eastAsia="Franklin Gothic Book" w:cstheme="minorHAnsi"/>
                <w:sz w:val="24"/>
              </w:rPr>
              <w:t>net</w:t>
            </w:r>
            <w:r w:rsidRPr="00A4427D">
              <w:rPr>
                <w:rFonts w:eastAsia="Franklin Gothic Book" w:cstheme="minorHAnsi"/>
                <w:spacing w:val="-8"/>
                <w:sz w:val="24"/>
              </w:rPr>
              <w:t xml:space="preserve"> </w:t>
            </w:r>
            <w:r w:rsidRPr="00A4427D">
              <w:rPr>
                <w:rFonts w:eastAsia="Franklin Gothic Book" w:cstheme="minorHAnsi"/>
                <w:sz w:val="24"/>
              </w:rPr>
              <w:t>of</w:t>
            </w:r>
            <w:r w:rsidRPr="00A4427D">
              <w:rPr>
                <w:rFonts w:eastAsia="Franklin Gothic Book" w:cstheme="minorHAnsi"/>
                <w:spacing w:val="-8"/>
                <w:sz w:val="24"/>
              </w:rPr>
              <w:t xml:space="preserve"> </w:t>
            </w:r>
            <w:r w:rsidRPr="00A4427D">
              <w:rPr>
                <w:rFonts w:eastAsia="Franklin Gothic Book" w:cstheme="minorHAnsi"/>
                <w:sz w:val="24"/>
              </w:rPr>
              <w:t>inv</w:t>
            </w:r>
            <w:r w:rsidRPr="00A4427D">
              <w:rPr>
                <w:rFonts w:eastAsia="Franklin Gothic Book" w:cstheme="minorHAnsi"/>
                <w:spacing w:val="-2"/>
                <w:sz w:val="24"/>
              </w:rPr>
              <w:t>e</w:t>
            </w:r>
            <w:r w:rsidRPr="00A4427D">
              <w:rPr>
                <w:rFonts w:eastAsia="Franklin Gothic Book" w:cstheme="minorHAnsi"/>
                <w:spacing w:val="1"/>
                <w:sz w:val="24"/>
              </w:rPr>
              <w:t>s</w:t>
            </w:r>
            <w:r w:rsidRPr="00A4427D">
              <w:rPr>
                <w:rFonts w:eastAsia="Franklin Gothic Book" w:cstheme="minorHAnsi"/>
                <w:sz w:val="24"/>
              </w:rPr>
              <w:t>tment</w:t>
            </w:r>
            <w:r w:rsidRPr="00A4427D">
              <w:rPr>
                <w:rFonts w:eastAsia="Franklin Gothic Book" w:cstheme="minorHAnsi"/>
                <w:spacing w:val="-8"/>
                <w:sz w:val="24"/>
              </w:rPr>
              <w:t xml:space="preserve"> </w:t>
            </w:r>
            <w:r w:rsidRPr="00A4427D">
              <w:rPr>
                <w:rFonts w:eastAsia="Franklin Gothic Book" w:cstheme="minorHAnsi"/>
                <w:sz w:val="24"/>
              </w:rPr>
              <w:t>e</w:t>
            </w:r>
            <w:r w:rsidRPr="00A4427D">
              <w:rPr>
                <w:rFonts w:eastAsia="Franklin Gothic Book" w:cstheme="minorHAnsi"/>
                <w:spacing w:val="-1"/>
                <w:sz w:val="24"/>
              </w:rPr>
              <w:t>xp</w:t>
            </w:r>
            <w:r w:rsidRPr="00A4427D">
              <w:rPr>
                <w:rFonts w:eastAsia="Franklin Gothic Book" w:cstheme="minorHAnsi"/>
                <w:sz w:val="24"/>
              </w:rPr>
              <w:t>enses, compounded annually</w:t>
            </w:r>
          </w:p>
          <w:p w14:paraId="426A5056" w14:textId="0A4D9A9F" w:rsidR="00DD1612" w:rsidRPr="00A4427D" w:rsidRDefault="003E72E3" w:rsidP="00BD375F">
            <w:pPr>
              <w:widowControl w:val="0"/>
              <w:rPr>
                <w:rFonts w:eastAsia="Franklin Gothic Book" w:cstheme="minorHAnsi"/>
                <w:sz w:val="24"/>
              </w:rPr>
            </w:pPr>
            <w:r>
              <w:rPr>
                <w:rFonts w:eastAsia="Franklin Gothic Book" w:cstheme="minorHAnsi"/>
                <w:sz w:val="24"/>
              </w:rPr>
              <w:t xml:space="preserve">2015: </w:t>
            </w:r>
            <w:r w:rsidR="00DD1612" w:rsidRPr="00A4427D">
              <w:rPr>
                <w:rFonts w:eastAsia="Franklin Gothic Book" w:cstheme="minorHAnsi"/>
                <w:sz w:val="24"/>
              </w:rPr>
              <w:t>6.75%,</w:t>
            </w:r>
            <w:r w:rsidR="00DD1612" w:rsidRPr="00A4427D">
              <w:rPr>
                <w:rFonts w:eastAsia="Franklin Gothic Book" w:cstheme="minorHAnsi"/>
                <w:spacing w:val="-7"/>
                <w:sz w:val="24"/>
              </w:rPr>
              <w:t xml:space="preserve"> </w:t>
            </w:r>
            <w:r w:rsidR="00DD1612" w:rsidRPr="00A4427D">
              <w:rPr>
                <w:rFonts w:eastAsia="Franklin Gothic Book" w:cstheme="minorHAnsi"/>
                <w:sz w:val="24"/>
              </w:rPr>
              <w:t>net</w:t>
            </w:r>
            <w:r w:rsidR="00DD1612" w:rsidRPr="00A4427D">
              <w:rPr>
                <w:rFonts w:eastAsia="Franklin Gothic Book" w:cstheme="minorHAnsi"/>
                <w:spacing w:val="-8"/>
                <w:sz w:val="24"/>
              </w:rPr>
              <w:t xml:space="preserve"> </w:t>
            </w:r>
            <w:r w:rsidR="00DD1612" w:rsidRPr="00A4427D">
              <w:rPr>
                <w:rFonts w:eastAsia="Franklin Gothic Book" w:cstheme="minorHAnsi"/>
                <w:sz w:val="24"/>
              </w:rPr>
              <w:t>of</w:t>
            </w:r>
            <w:r w:rsidR="00DD1612" w:rsidRPr="00A4427D">
              <w:rPr>
                <w:rFonts w:eastAsia="Franklin Gothic Book" w:cstheme="minorHAnsi"/>
                <w:spacing w:val="-8"/>
                <w:sz w:val="24"/>
              </w:rPr>
              <w:t xml:space="preserve"> </w:t>
            </w:r>
            <w:r w:rsidR="00DD1612" w:rsidRPr="00A4427D">
              <w:rPr>
                <w:rFonts w:eastAsia="Franklin Gothic Book" w:cstheme="minorHAnsi"/>
                <w:sz w:val="24"/>
              </w:rPr>
              <w:t>inv</w:t>
            </w:r>
            <w:r w:rsidR="00DD1612" w:rsidRPr="00A4427D">
              <w:rPr>
                <w:rFonts w:eastAsia="Franklin Gothic Book" w:cstheme="minorHAnsi"/>
                <w:spacing w:val="-2"/>
                <w:sz w:val="24"/>
              </w:rPr>
              <w:t>e</w:t>
            </w:r>
            <w:r w:rsidR="00DD1612" w:rsidRPr="00A4427D">
              <w:rPr>
                <w:rFonts w:eastAsia="Franklin Gothic Book" w:cstheme="minorHAnsi"/>
                <w:spacing w:val="1"/>
                <w:sz w:val="24"/>
              </w:rPr>
              <w:t>s</w:t>
            </w:r>
            <w:r w:rsidR="00DD1612" w:rsidRPr="00A4427D">
              <w:rPr>
                <w:rFonts w:eastAsia="Franklin Gothic Book" w:cstheme="minorHAnsi"/>
                <w:sz w:val="24"/>
              </w:rPr>
              <w:t>tment</w:t>
            </w:r>
            <w:r w:rsidR="00DD1612" w:rsidRPr="00A4427D">
              <w:rPr>
                <w:rFonts w:eastAsia="Franklin Gothic Book" w:cstheme="minorHAnsi"/>
                <w:spacing w:val="-8"/>
                <w:sz w:val="24"/>
              </w:rPr>
              <w:t xml:space="preserve"> </w:t>
            </w:r>
            <w:r w:rsidR="00DD1612" w:rsidRPr="00A4427D">
              <w:rPr>
                <w:rFonts w:eastAsia="Franklin Gothic Book" w:cstheme="minorHAnsi"/>
                <w:sz w:val="24"/>
              </w:rPr>
              <w:t>e</w:t>
            </w:r>
            <w:r w:rsidR="00DD1612" w:rsidRPr="00A4427D">
              <w:rPr>
                <w:rFonts w:eastAsia="Franklin Gothic Book" w:cstheme="minorHAnsi"/>
                <w:spacing w:val="-1"/>
                <w:sz w:val="24"/>
              </w:rPr>
              <w:t>xp</w:t>
            </w:r>
            <w:r w:rsidR="00DD1612" w:rsidRPr="00A4427D">
              <w:rPr>
                <w:rFonts w:eastAsia="Franklin Gothic Book" w:cstheme="minorHAnsi"/>
                <w:sz w:val="24"/>
              </w:rPr>
              <w:t>enses, compounded annually</w:t>
            </w:r>
          </w:p>
          <w:p w14:paraId="0398DADF" w14:textId="00C268F0" w:rsidR="00DD1612" w:rsidRPr="003959B0" w:rsidRDefault="00DD1612" w:rsidP="00CA2E42">
            <w:pPr>
              <w:widowControl w:val="0"/>
              <w:rPr>
                <w:rFonts w:eastAsia="Franklin Gothic Book" w:cstheme="minorHAnsi"/>
                <w:sz w:val="24"/>
              </w:rPr>
            </w:pPr>
            <w:r w:rsidRPr="00A4427D">
              <w:rPr>
                <w:rFonts w:eastAsia="Franklin Gothic Book" w:cstheme="minorHAnsi"/>
                <w:sz w:val="24"/>
              </w:rPr>
              <w:t>2014: 7.25%, net of investment expenses, compounded</w:t>
            </w:r>
          </w:p>
        </w:tc>
      </w:tr>
    </w:tbl>
    <w:p w14:paraId="40CD7CF5" w14:textId="35D2FB13" w:rsidR="00DD1612" w:rsidRDefault="00DD1612" w:rsidP="00DD1612">
      <w:pPr>
        <w:tabs>
          <w:tab w:val="left" w:pos="1440"/>
          <w:tab w:val="left" w:pos="7200"/>
        </w:tabs>
        <w:spacing w:before="240"/>
        <w:rPr>
          <w:rFonts w:cstheme="minorHAnsi"/>
          <w:sz w:val="24"/>
          <w:szCs w:val="20"/>
        </w:rPr>
        <w:sectPr w:rsidR="00DD1612" w:rsidSect="00BD375F">
          <w:pgSz w:w="12240" w:h="15840" w:code="1"/>
          <w:pgMar w:top="1440" w:right="1440" w:bottom="1440" w:left="1440" w:header="720" w:footer="720" w:gutter="0"/>
          <w:cols w:space="0"/>
          <w:titlePg/>
          <w:docGrid w:linePitch="360"/>
        </w:sectPr>
      </w:pPr>
    </w:p>
    <w:p w14:paraId="263FA850" w14:textId="77777777" w:rsidR="00DD1612" w:rsidRPr="0023665A" w:rsidRDefault="00DD1612" w:rsidP="00DD1612">
      <w:pPr>
        <w:pStyle w:val="AFR2"/>
        <w:rPr>
          <w:b w:val="0"/>
          <w:i w:val="0"/>
          <w:iCs w:val="0"/>
          <w:smallCaps w:val="0"/>
          <w:sz w:val="26"/>
          <w:szCs w:val="26"/>
        </w:rPr>
      </w:pPr>
      <w:r w:rsidRPr="0023665A">
        <w:rPr>
          <w:sz w:val="26"/>
          <w:szCs w:val="26"/>
        </w:rPr>
        <w:lastRenderedPageBreak/>
        <w:t>OPEB Plan:</w:t>
      </w:r>
      <w:r w:rsidRPr="0023665A">
        <w:rPr>
          <w:b w:val="0"/>
          <w:i w:val="0"/>
          <w:iCs w:val="0"/>
          <w:smallCaps w:val="0"/>
          <w:sz w:val="26"/>
          <w:szCs w:val="26"/>
        </w:rPr>
        <w:t xml:space="preserve"> </w:t>
      </w:r>
    </w:p>
    <w:p w14:paraId="7328BF5B" w14:textId="2B36B758" w:rsidR="00DD1612" w:rsidRDefault="00824E5C" w:rsidP="00DD1612">
      <w:pPr>
        <w:pStyle w:val="AFR2"/>
        <w:pBdr>
          <w:bottom w:val="none" w:sz="0" w:space="0" w:color="auto"/>
        </w:pBdr>
      </w:pPr>
      <w:r>
        <w:rPr>
          <w14:ligatures w14:val="standardContextual"/>
        </w:rPr>
        <w:drawing>
          <wp:inline distT="0" distB="0" distL="0" distR="0" wp14:anchorId="6D2487A7" wp14:editId="721E5F53">
            <wp:extent cx="8229600" cy="522224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7"/>
                    <a:stretch>
                      <a:fillRect/>
                    </a:stretch>
                  </pic:blipFill>
                  <pic:spPr>
                    <a:xfrm>
                      <a:off x="0" y="0"/>
                      <a:ext cx="8229600" cy="5222240"/>
                    </a:xfrm>
                    <a:prstGeom prst="rect">
                      <a:avLst/>
                    </a:prstGeom>
                  </pic:spPr>
                </pic:pic>
              </a:graphicData>
            </a:graphic>
          </wp:inline>
        </w:drawing>
      </w:r>
    </w:p>
    <w:p w14:paraId="7D41EC08" w14:textId="77777777" w:rsidR="00DD1612" w:rsidRPr="00FE714D" w:rsidRDefault="00DD1612" w:rsidP="00DD1612">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6508F759" w14:textId="77777777" w:rsidR="00DD1612" w:rsidRPr="001A18A6" w:rsidRDefault="00DD1612" w:rsidP="00DD1612">
      <w:pPr>
        <w:spacing w:before="120" w:line="259" w:lineRule="auto"/>
        <w:jc w:val="center"/>
        <w:rPr>
          <w:rFonts w:cstheme="minorHAnsi"/>
          <w:b/>
          <w:sz w:val="12"/>
          <w:szCs w:val="28"/>
        </w:rPr>
      </w:pPr>
      <w:r w:rsidRPr="003B0D41">
        <w:rPr>
          <w:rFonts w:ascii="Calibri" w:eastAsia="Times New Roman" w:hAnsi="Calibri" w:cs="Calibri"/>
          <w:b/>
          <w:bCs/>
          <w:color w:val="0D0D0D"/>
        </w:rPr>
        <w:t>Schedule of Employer Contributions</w:t>
      </w:r>
    </w:p>
    <w:tbl>
      <w:tblPr>
        <w:tblW w:w="12960" w:type="dxa"/>
        <w:tblLook w:val="04A0" w:firstRow="1" w:lastRow="0" w:firstColumn="1" w:lastColumn="0" w:noHBand="0" w:noVBand="1"/>
      </w:tblPr>
      <w:tblGrid>
        <w:gridCol w:w="4140"/>
        <w:gridCol w:w="1354"/>
        <w:gridCol w:w="1201"/>
        <w:gridCol w:w="1266"/>
        <w:gridCol w:w="1201"/>
        <w:gridCol w:w="1266"/>
        <w:gridCol w:w="1266"/>
        <w:gridCol w:w="1266"/>
      </w:tblGrid>
      <w:tr w:rsidR="00163B27" w:rsidRPr="003B0D41" w14:paraId="4A1F2FB8" w14:textId="77777777" w:rsidTr="001106B0">
        <w:trPr>
          <w:trHeight w:val="339"/>
          <w:tblHeader/>
        </w:trPr>
        <w:tc>
          <w:tcPr>
            <w:tcW w:w="4140" w:type="dxa"/>
            <w:tcBorders>
              <w:top w:val="nil"/>
              <w:left w:val="nil"/>
              <w:bottom w:val="single" w:sz="8" w:space="0" w:color="00688D"/>
              <w:right w:val="nil"/>
            </w:tcBorders>
            <w:shd w:val="clear" w:color="000000" w:fill="FFFFFF"/>
            <w:vAlign w:val="center"/>
            <w:hideMark/>
          </w:tcPr>
          <w:p w14:paraId="240608B2" w14:textId="77777777" w:rsidR="00163B27" w:rsidRPr="00D02584" w:rsidRDefault="00163B27" w:rsidP="00163B27">
            <w:pP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Fiscal Year Ended June 30</w:t>
            </w:r>
          </w:p>
        </w:tc>
        <w:tc>
          <w:tcPr>
            <w:tcW w:w="1354" w:type="dxa"/>
            <w:tcBorders>
              <w:top w:val="nil"/>
              <w:left w:val="nil"/>
              <w:bottom w:val="single" w:sz="8" w:space="0" w:color="00688D"/>
              <w:right w:val="nil"/>
            </w:tcBorders>
            <w:shd w:val="clear" w:color="auto" w:fill="F2F2F2" w:themeFill="background1" w:themeFillShade="F2"/>
            <w:vAlign w:val="bottom"/>
          </w:tcPr>
          <w:p w14:paraId="07AA64A5" w14:textId="1A96D162" w:rsidR="00163B27" w:rsidRDefault="00163B27" w:rsidP="00163B27">
            <w:pPr>
              <w:jc w:val="center"/>
              <w:rPr>
                <w:rFonts w:ascii="Calibri" w:eastAsia="Times New Roman" w:hAnsi="Calibri" w:cs="Calibri"/>
                <w:b/>
                <w:bCs/>
                <w:color w:val="0D0D0D"/>
                <w:sz w:val="20"/>
                <w:szCs w:val="20"/>
              </w:rPr>
            </w:pPr>
            <w:r>
              <w:rPr>
                <w:rFonts w:ascii="Calibri" w:eastAsia="Times New Roman" w:hAnsi="Calibri" w:cs="Calibri"/>
                <w:b/>
                <w:bCs/>
                <w:color w:val="0D0D0D"/>
                <w:sz w:val="20"/>
                <w:szCs w:val="20"/>
              </w:rPr>
              <w:t>2023</w:t>
            </w:r>
          </w:p>
        </w:tc>
        <w:tc>
          <w:tcPr>
            <w:tcW w:w="1201" w:type="dxa"/>
            <w:tcBorders>
              <w:top w:val="nil"/>
              <w:left w:val="nil"/>
              <w:bottom w:val="single" w:sz="8" w:space="0" w:color="00688D"/>
              <w:right w:val="nil"/>
            </w:tcBorders>
            <w:shd w:val="clear" w:color="auto" w:fill="auto"/>
            <w:vAlign w:val="bottom"/>
          </w:tcPr>
          <w:p w14:paraId="168855B4" w14:textId="04748B20" w:rsidR="00163B27" w:rsidRPr="00D02584" w:rsidRDefault="00163B27" w:rsidP="00163B27">
            <w:pPr>
              <w:jc w:val="center"/>
              <w:rPr>
                <w:rFonts w:ascii="Calibri" w:eastAsia="Times New Roman" w:hAnsi="Calibri" w:cs="Calibri"/>
                <w:b/>
                <w:bCs/>
                <w:color w:val="0D0D0D"/>
                <w:sz w:val="20"/>
                <w:szCs w:val="20"/>
              </w:rPr>
            </w:pPr>
            <w:r>
              <w:rPr>
                <w:rFonts w:ascii="Calibri" w:eastAsia="Times New Roman" w:hAnsi="Calibri" w:cs="Calibri"/>
                <w:b/>
                <w:bCs/>
                <w:color w:val="0D0D0D"/>
                <w:sz w:val="20"/>
                <w:szCs w:val="20"/>
              </w:rPr>
              <w:t>2022</w:t>
            </w:r>
          </w:p>
        </w:tc>
        <w:tc>
          <w:tcPr>
            <w:tcW w:w="1266" w:type="dxa"/>
            <w:tcBorders>
              <w:top w:val="nil"/>
              <w:left w:val="nil"/>
              <w:bottom w:val="single" w:sz="8" w:space="0" w:color="00688D"/>
              <w:right w:val="nil"/>
            </w:tcBorders>
            <w:shd w:val="clear" w:color="auto" w:fill="F2F2F2" w:themeFill="background1" w:themeFillShade="F2"/>
            <w:noWrap/>
            <w:vAlign w:val="bottom"/>
            <w:hideMark/>
          </w:tcPr>
          <w:p w14:paraId="074CA759" w14:textId="77777777" w:rsidR="00163B27" w:rsidRPr="00D02584" w:rsidRDefault="00163B27" w:rsidP="00163B27">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2021</w:t>
            </w:r>
          </w:p>
        </w:tc>
        <w:tc>
          <w:tcPr>
            <w:tcW w:w="1201" w:type="dxa"/>
            <w:tcBorders>
              <w:top w:val="nil"/>
              <w:left w:val="nil"/>
              <w:bottom w:val="single" w:sz="8" w:space="0" w:color="00688D"/>
              <w:right w:val="nil"/>
            </w:tcBorders>
            <w:shd w:val="clear" w:color="auto" w:fill="auto"/>
            <w:vAlign w:val="bottom"/>
          </w:tcPr>
          <w:p w14:paraId="22BCA35A" w14:textId="77777777" w:rsidR="00163B27" w:rsidRPr="00D02584" w:rsidRDefault="00163B27" w:rsidP="00163B27">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2020</w:t>
            </w:r>
          </w:p>
        </w:tc>
        <w:tc>
          <w:tcPr>
            <w:tcW w:w="1266" w:type="dxa"/>
            <w:tcBorders>
              <w:top w:val="nil"/>
              <w:left w:val="nil"/>
              <w:bottom w:val="single" w:sz="8" w:space="0" w:color="00688D"/>
              <w:right w:val="nil"/>
            </w:tcBorders>
            <w:shd w:val="clear" w:color="auto" w:fill="F2F2F2" w:themeFill="background1" w:themeFillShade="F2"/>
            <w:noWrap/>
            <w:vAlign w:val="bottom"/>
            <w:hideMark/>
          </w:tcPr>
          <w:p w14:paraId="39D37901" w14:textId="77777777" w:rsidR="00163B27" w:rsidRPr="00D02584" w:rsidRDefault="00163B27" w:rsidP="00163B27">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2019</w:t>
            </w:r>
          </w:p>
        </w:tc>
        <w:tc>
          <w:tcPr>
            <w:tcW w:w="1266" w:type="dxa"/>
            <w:tcBorders>
              <w:top w:val="nil"/>
              <w:left w:val="nil"/>
              <w:bottom w:val="single" w:sz="8" w:space="0" w:color="00688D"/>
              <w:right w:val="nil"/>
            </w:tcBorders>
            <w:shd w:val="clear" w:color="000000" w:fill="FFFFFF"/>
            <w:noWrap/>
            <w:vAlign w:val="bottom"/>
            <w:hideMark/>
          </w:tcPr>
          <w:p w14:paraId="00D5F5E1" w14:textId="77777777" w:rsidR="00163B27" w:rsidRPr="00D02584" w:rsidRDefault="00163B27" w:rsidP="00163B27">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2018</w:t>
            </w:r>
          </w:p>
        </w:tc>
        <w:tc>
          <w:tcPr>
            <w:tcW w:w="1266" w:type="dxa"/>
            <w:tcBorders>
              <w:top w:val="nil"/>
              <w:left w:val="nil"/>
              <w:bottom w:val="single" w:sz="8" w:space="0" w:color="00688D"/>
              <w:right w:val="nil"/>
            </w:tcBorders>
            <w:shd w:val="clear" w:color="auto" w:fill="F2F2F2" w:themeFill="background1" w:themeFillShade="F2"/>
            <w:noWrap/>
            <w:vAlign w:val="bottom"/>
            <w:hideMark/>
          </w:tcPr>
          <w:p w14:paraId="2B467C66" w14:textId="77777777" w:rsidR="00163B27" w:rsidRPr="00D02584" w:rsidRDefault="00163B27" w:rsidP="00163B27">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2017</w:t>
            </w:r>
          </w:p>
        </w:tc>
      </w:tr>
      <w:tr w:rsidR="00163B27" w:rsidRPr="003B0D41" w14:paraId="6F43E9FE" w14:textId="77777777" w:rsidTr="001106B0">
        <w:trPr>
          <w:trHeight w:val="315"/>
        </w:trPr>
        <w:tc>
          <w:tcPr>
            <w:tcW w:w="4140" w:type="dxa"/>
            <w:tcBorders>
              <w:top w:val="nil"/>
              <w:left w:val="nil"/>
              <w:bottom w:val="nil"/>
              <w:right w:val="nil"/>
            </w:tcBorders>
            <w:shd w:val="clear" w:color="000000" w:fill="FFFFFF"/>
            <w:vAlign w:val="center"/>
            <w:hideMark/>
          </w:tcPr>
          <w:p w14:paraId="297682F2" w14:textId="77777777" w:rsidR="00163B27" w:rsidRPr="00D02584" w:rsidRDefault="00163B27" w:rsidP="00163B27">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Actuarially determined contribution</w:t>
            </w:r>
          </w:p>
        </w:tc>
        <w:tc>
          <w:tcPr>
            <w:tcW w:w="1354" w:type="dxa"/>
            <w:tcBorders>
              <w:top w:val="nil"/>
              <w:left w:val="nil"/>
              <w:bottom w:val="nil"/>
              <w:right w:val="nil"/>
            </w:tcBorders>
            <w:shd w:val="clear" w:color="auto" w:fill="F2F2F2" w:themeFill="background1" w:themeFillShade="F2"/>
            <w:vAlign w:val="bottom"/>
          </w:tcPr>
          <w:p w14:paraId="731850B0" w14:textId="290035C9"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w:t>
            </w:r>
            <w:r w:rsidR="00467D76">
              <w:rPr>
                <w:rFonts w:ascii="Calibri" w:eastAsia="Times New Roman" w:hAnsi="Calibri" w:cs="Calibri"/>
                <w:sz w:val="20"/>
                <w:szCs w:val="20"/>
              </w:rPr>
              <w:t xml:space="preserve">   </w:t>
            </w:r>
            <w:r w:rsidRPr="003959B0">
              <w:rPr>
                <w:rFonts w:ascii="Calibri" w:eastAsia="Times New Roman" w:hAnsi="Calibri" w:cs="Calibri"/>
                <w:sz w:val="20"/>
                <w:szCs w:val="20"/>
              </w:rPr>
              <w:t xml:space="preserve">  </w:t>
            </w:r>
            <w:r>
              <w:rPr>
                <w:rFonts w:ascii="Calibri" w:eastAsia="Times New Roman" w:hAnsi="Calibri" w:cs="Calibri"/>
                <w:sz w:val="20"/>
                <w:szCs w:val="20"/>
              </w:rPr>
              <w:t>8</w:t>
            </w:r>
            <w:r w:rsidRPr="003959B0">
              <w:rPr>
                <w:rFonts w:ascii="Calibri" w:eastAsia="Times New Roman" w:hAnsi="Calibri" w:cs="Calibri"/>
                <w:sz w:val="20"/>
                <w:szCs w:val="20"/>
              </w:rPr>
              <w:t>,</w:t>
            </w:r>
            <w:r>
              <w:rPr>
                <w:rFonts w:ascii="Calibri" w:eastAsia="Times New Roman" w:hAnsi="Calibri" w:cs="Calibri"/>
                <w:sz w:val="20"/>
                <w:szCs w:val="20"/>
              </w:rPr>
              <w:t>009</w:t>
            </w:r>
          </w:p>
        </w:tc>
        <w:tc>
          <w:tcPr>
            <w:tcW w:w="1201" w:type="dxa"/>
            <w:tcBorders>
              <w:top w:val="nil"/>
              <w:left w:val="nil"/>
              <w:bottom w:val="nil"/>
              <w:right w:val="nil"/>
            </w:tcBorders>
            <w:shd w:val="clear" w:color="auto" w:fill="auto"/>
            <w:vAlign w:val="bottom"/>
          </w:tcPr>
          <w:p w14:paraId="428A38A8" w14:textId="24B4574C"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w:t>
            </w:r>
            <w:r w:rsidR="00C15078">
              <w:rPr>
                <w:rFonts w:ascii="Calibri" w:eastAsia="Times New Roman" w:hAnsi="Calibri" w:cs="Calibri"/>
                <w:sz w:val="20"/>
                <w:szCs w:val="20"/>
              </w:rPr>
              <w:t xml:space="preserve">  </w:t>
            </w:r>
            <w:r w:rsidRPr="003959B0">
              <w:rPr>
                <w:rFonts w:ascii="Calibri" w:eastAsia="Times New Roman" w:hAnsi="Calibri" w:cs="Calibri"/>
                <w:sz w:val="20"/>
                <w:szCs w:val="20"/>
              </w:rPr>
              <w:t xml:space="preserve">  6,595</w:t>
            </w:r>
          </w:p>
        </w:tc>
        <w:tc>
          <w:tcPr>
            <w:tcW w:w="1266" w:type="dxa"/>
            <w:tcBorders>
              <w:top w:val="nil"/>
              <w:left w:val="nil"/>
              <w:bottom w:val="nil"/>
              <w:right w:val="nil"/>
            </w:tcBorders>
            <w:shd w:val="clear" w:color="auto" w:fill="F2F2F2" w:themeFill="background1" w:themeFillShade="F2"/>
            <w:noWrap/>
            <w:vAlign w:val="bottom"/>
            <w:hideMark/>
          </w:tcPr>
          <w:p w14:paraId="4BAC6E74" w14:textId="3D396672"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13,564</w:t>
            </w:r>
          </w:p>
        </w:tc>
        <w:tc>
          <w:tcPr>
            <w:tcW w:w="1201" w:type="dxa"/>
            <w:tcBorders>
              <w:top w:val="nil"/>
              <w:left w:val="nil"/>
              <w:bottom w:val="nil"/>
              <w:right w:val="nil"/>
            </w:tcBorders>
            <w:shd w:val="clear" w:color="auto" w:fill="auto"/>
            <w:vAlign w:val="bottom"/>
          </w:tcPr>
          <w:p w14:paraId="311647C9"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11,942</w:t>
            </w:r>
          </w:p>
        </w:tc>
        <w:tc>
          <w:tcPr>
            <w:tcW w:w="1266" w:type="dxa"/>
            <w:tcBorders>
              <w:top w:val="nil"/>
              <w:left w:val="nil"/>
              <w:bottom w:val="nil"/>
              <w:right w:val="nil"/>
            </w:tcBorders>
            <w:shd w:val="clear" w:color="auto" w:fill="F2F2F2" w:themeFill="background1" w:themeFillShade="F2"/>
            <w:noWrap/>
            <w:vAlign w:val="bottom"/>
            <w:hideMark/>
          </w:tcPr>
          <w:p w14:paraId="3ECCB639" w14:textId="3585B41C"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13,216</w:t>
            </w:r>
          </w:p>
        </w:tc>
        <w:tc>
          <w:tcPr>
            <w:tcW w:w="1266" w:type="dxa"/>
            <w:tcBorders>
              <w:top w:val="nil"/>
              <w:left w:val="nil"/>
              <w:bottom w:val="nil"/>
              <w:right w:val="nil"/>
            </w:tcBorders>
            <w:shd w:val="clear" w:color="000000" w:fill="FFFFFF"/>
            <w:noWrap/>
            <w:vAlign w:val="bottom"/>
            <w:hideMark/>
          </w:tcPr>
          <w:p w14:paraId="4E777821" w14:textId="5EE164B9"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xml:space="preserve">$ </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12,819</w:t>
            </w:r>
          </w:p>
        </w:tc>
        <w:tc>
          <w:tcPr>
            <w:tcW w:w="1266" w:type="dxa"/>
            <w:tcBorders>
              <w:top w:val="nil"/>
              <w:left w:val="nil"/>
              <w:bottom w:val="nil"/>
              <w:right w:val="nil"/>
            </w:tcBorders>
            <w:shd w:val="clear" w:color="auto" w:fill="F2F2F2" w:themeFill="background1" w:themeFillShade="F2"/>
            <w:noWrap/>
            <w:vAlign w:val="bottom"/>
            <w:hideMark/>
          </w:tcPr>
          <w:p w14:paraId="58487882" w14:textId="655B642C"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xml:space="preserve">$  </w:t>
            </w:r>
            <w:r w:rsidR="00C15078">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14,970</w:t>
            </w:r>
          </w:p>
        </w:tc>
      </w:tr>
      <w:tr w:rsidR="00163B27" w:rsidRPr="003B0D41" w14:paraId="2272FA58" w14:textId="77777777" w:rsidTr="001106B0">
        <w:trPr>
          <w:trHeight w:val="582"/>
        </w:trPr>
        <w:tc>
          <w:tcPr>
            <w:tcW w:w="4140" w:type="dxa"/>
            <w:tcBorders>
              <w:top w:val="nil"/>
              <w:left w:val="nil"/>
              <w:bottom w:val="nil"/>
              <w:right w:val="nil"/>
            </w:tcBorders>
            <w:shd w:val="clear" w:color="000000" w:fill="FFFFFF"/>
            <w:vAlign w:val="center"/>
            <w:hideMark/>
          </w:tcPr>
          <w:p w14:paraId="1B749C27" w14:textId="77777777" w:rsidR="00163B27" w:rsidRPr="00D02584" w:rsidRDefault="00163B27" w:rsidP="00163B27">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in relation to the actuarially determined contribution</w:t>
            </w:r>
          </w:p>
        </w:tc>
        <w:tc>
          <w:tcPr>
            <w:tcW w:w="1354" w:type="dxa"/>
            <w:tcBorders>
              <w:top w:val="nil"/>
              <w:left w:val="nil"/>
              <w:bottom w:val="nil"/>
              <w:right w:val="nil"/>
            </w:tcBorders>
            <w:shd w:val="clear" w:color="auto" w:fill="F2F2F2" w:themeFill="background1" w:themeFillShade="F2"/>
            <w:vAlign w:val="bottom"/>
          </w:tcPr>
          <w:p w14:paraId="4DB93596" w14:textId="4F7B02CA" w:rsidR="00163B27" w:rsidRPr="003959B0" w:rsidRDefault="00163B27" w:rsidP="00163B27">
            <w:pPr>
              <w:jc w:val="right"/>
              <w:rPr>
                <w:rFonts w:ascii="Calibri" w:eastAsia="Times New Roman" w:hAnsi="Calibri" w:cs="Calibri"/>
                <w:sz w:val="20"/>
                <w:szCs w:val="20"/>
              </w:rPr>
            </w:pPr>
            <w:r>
              <w:rPr>
                <w:rFonts w:ascii="Calibri" w:eastAsia="Times New Roman" w:hAnsi="Calibri" w:cs="Calibri"/>
                <w:sz w:val="20"/>
                <w:szCs w:val="20"/>
              </w:rPr>
              <w:t>8</w:t>
            </w:r>
            <w:r w:rsidRPr="003959B0">
              <w:rPr>
                <w:rFonts w:ascii="Calibri" w:eastAsia="Times New Roman" w:hAnsi="Calibri" w:cs="Calibri"/>
                <w:sz w:val="20"/>
                <w:szCs w:val="20"/>
              </w:rPr>
              <w:t>,</w:t>
            </w:r>
            <w:r>
              <w:rPr>
                <w:rFonts w:ascii="Calibri" w:eastAsia="Times New Roman" w:hAnsi="Calibri" w:cs="Calibri"/>
                <w:sz w:val="20"/>
                <w:szCs w:val="20"/>
              </w:rPr>
              <w:t>774</w:t>
            </w:r>
          </w:p>
        </w:tc>
        <w:tc>
          <w:tcPr>
            <w:tcW w:w="1201" w:type="dxa"/>
            <w:tcBorders>
              <w:top w:val="nil"/>
              <w:left w:val="nil"/>
              <w:bottom w:val="nil"/>
              <w:right w:val="nil"/>
            </w:tcBorders>
            <w:shd w:val="clear" w:color="auto" w:fill="auto"/>
            <w:vAlign w:val="bottom"/>
          </w:tcPr>
          <w:p w14:paraId="639746C7" w14:textId="150E02AA" w:rsidR="00163B27" w:rsidRPr="003959B0" w:rsidRDefault="009B0F3A" w:rsidP="00163B27">
            <w:pPr>
              <w:jc w:val="right"/>
              <w:rPr>
                <w:rFonts w:ascii="Calibri" w:eastAsia="Times New Roman" w:hAnsi="Calibri" w:cs="Calibri"/>
                <w:sz w:val="20"/>
                <w:szCs w:val="20"/>
              </w:rPr>
            </w:pPr>
            <w:r>
              <w:rPr>
                <w:rFonts w:ascii="Calibri" w:eastAsia="Times New Roman" w:hAnsi="Calibri" w:cs="Calibri"/>
                <w:sz w:val="20"/>
                <w:szCs w:val="20"/>
              </w:rPr>
              <w:t>4,937</w:t>
            </w:r>
          </w:p>
        </w:tc>
        <w:tc>
          <w:tcPr>
            <w:tcW w:w="1266" w:type="dxa"/>
            <w:tcBorders>
              <w:top w:val="nil"/>
              <w:left w:val="nil"/>
              <w:bottom w:val="nil"/>
              <w:right w:val="nil"/>
            </w:tcBorders>
            <w:shd w:val="clear" w:color="auto" w:fill="F2F2F2" w:themeFill="background1" w:themeFillShade="F2"/>
            <w:noWrap/>
            <w:vAlign w:val="bottom"/>
            <w:hideMark/>
          </w:tcPr>
          <w:p w14:paraId="3D832C7D"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12,473</w:t>
            </w:r>
          </w:p>
        </w:tc>
        <w:tc>
          <w:tcPr>
            <w:tcW w:w="1201" w:type="dxa"/>
            <w:tcBorders>
              <w:top w:val="nil"/>
              <w:left w:val="nil"/>
              <w:bottom w:val="nil"/>
              <w:right w:val="nil"/>
            </w:tcBorders>
            <w:shd w:val="clear" w:color="auto" w:fill="auto"/>
            <w:vAlign w:val="bottom"/>
          </w:tcPr>
          <w:p w14:paraId="6C4E9C56"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12,694</w:t>
            </w:r>
          </w:p>
        </w:tc>
        <w:tc>
          <w:tcPr>
            <w:tcW w:w="1266" w:type="dxa"/>
            <w:tcBorders>
              <w:top w:val="nil"/>
              <w:left w:val="nil"/>
              <w:bottom w:val="nil"/>
              <w:right w:val="nil"/>
            </w:tcBorders>
            <w:shd w:val="clear" w:color="auto" w:fill="F2F2F2" w:themeFill="background1" w:themeFillShade="F2"/>
            <w:noWrap/>
            <w:vAlign w:val="bottom"/>
            <w:hideMark/>
          </w:tcPr>
          <w:p w14:paraId="1ED082C9"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11,868</w:t>
            </w:r>
          </w:p>
        </w:tc>
        <w:tc>
          <w:tcPr>
            <w:tcW w:w="1266" w:type="dxa"/>
            <w:tcBorders>
              <w:top w:val="nil"/>
              <w:left w:val="nil"/>
              <w:bottom w:val="nil"/>
              <w:right w:val="nil"/>
            </w:tcBorders>
            <w:shd w:val="clear" w:color="auto" w:fill="auto"/>
            <w:noWrap/>
            <w:vAlign w:val="bottom"/>
            <w:hideMark/>
          </w:tcPr>
          <w:p w14:paraId="40361018"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11,942</w:t>
            </w:r>
          </w:p>
        </w:tc>
        <w:tc>
          <w:tcPr>
            <w:tcW w:w="1266" w:type="dxa"/>
            <w:tcBorders>
              <w:top w:val="nil"/>
              <w:left w:val="nil"/>
              <w:bottom w:val="nil"/>
              <w:right w:val="nil"/>
            </w:tcBorders>
            <w:shd w:val="clear" w:color="auto" w:fill="F2F2F2" w:themeFill="background1" w:themeFillShade="F2"/>
            <w:noWrap/>
            <w:vAlign w:val="bottom"/>
            <w:hideMark/>
          </w:tcPr>
          <w:p w14:paraId="75142F99"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16,146</w:t>
            </w:r>
          </w:p>
        </w:tc>
      </w:tr>
      <w:tr w:rsidR="00163B27" w:rsidRPr="003B0D41" w14:paraId="59C35538" w14:textId="77777777" w:rsidTr="001106B0">
        <w:trPr>
          <w:trHeight w:val="379"/>
        </w:trPr>
        <w:tc>
          <w:tcPr>
            <w:tcW w:w="4140" w:type="dxa"/>
            <w:tcBorders>
              <w:top w:val="single" w:sz="4" w:space="0" w:color="00688D"/>
              <w:left w:val="nil"/>
              <w:bottom w:val="double" w:sz="6" w:space="0" w:color="00688D"/>
              <w:right w:val="nil"/>
            </w:tcBorders>
            <w:shd w:val="clear" w:color="000000" w:fill="FFFFFF"/>
            <w:vAlign w:val="bottom"/>
            <w:hideMark/>
          </w:tcPr>
          <w:p w14:paraId="2FFABBE4" w14:textId="77777777" w:rsidR="00163B27" w:rsidRPr="00D02584" w:rsidRDefault="00163B27" w:rsidP="00163B27">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 deficiency (excess)</w:t>
            </w:r>
          </w:p>
        </w:tc>
        <w:tc>
          <w:tcPr>
            <w:tcW w:w="1354" w:type="dxa"/>
            <w:tcBorders>
              <w:top w:val="single" w:sz="4" w:space="0" w:color="00688D"/>
              <w:left w:val="nil"/>
              <w:bottom w:val="double" w:sz="6" w:space="0" w:color="00688D"/>
              <w:right w:val="nil"/>
            </w:tcBorders>
            <w:shd w:val="clear" w:color="auto" w:fill="F2F2F2" w:themeFill="background1" w:themeFillShade="F2"/>
            <w:vAlign w:val="bottom"/>
          </w:tcPr>
          <w:p w14:paraId="03B346E4" w14:textId="13BC845F"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w:t>
            </w:r>
            <w:r w:rsidR="00467D76">
              <w:rPr>
                <w:rFonts w:ascii="Calibri" w:eastAsia="Times New Roman" w:hAnsi="Calibri" w:cs="Calibri"/>
                <w:sz w:val="20"/>
                <w:szCs w:val="20"/>
              </w:rPr>
              <w:t xml:space="preserve">    </w:t>
            </w:r>
            <w:r w:rsidRPr="003959B0">
              <w:rPr>
                <w:rFonts w:ascii="Calibri" w:eastAsia="Times New Roman" w:hAnsi="Calibri" w:cs="Calibri"/>
                <w:sz w:val="20"/>
                <w:szCs w:val="20"/>
              </w:rPr>
              <w:t xml:space="preserve"> </w:t>
            </w:r>
            <w:r>
              <w:rPr>
                <w:rFonts w:ascii="Calibri" w:eastAsia="Times New Roman" w:hAnsi="Calibri" w:cs="Calibri"/>
                <w:sz w:val="20"/>
                <w:szCs w:val="20"/>
              </w:rPr>
              <w:t>(765)</w:t>
            </w:r>
          </w:p>
        </w:tc>
        <w:tc>
          <w:tcPr>
            <w:tcW w:w="1201" w:type="dxa"/>
            <w:tcBorders>
              <w:top w:val="single" w:sz="4" w:space="0" w:color="00688D"/>
              <w:left w:val="nil"/>
              <w:bottom w:val="double" w:sz="6" w:space="0" w:color="00688D"/>
              <w:right w:val="nil"/>
            </w:tcBorders>
            <w:shd w:val="clear" w:color="auto" w:fill="auto"/>
            <w:vAlign w:val="bottom"/>
          </w:tcPr>
          <w:p w14:paraId="4106DCF7" w14:textId="2905E2A2"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 xml:space="preserve">$ </w:t>
            </w:r>
            <w:r w:rsidR="00467D76">
              <w:rPr>
                <w:rFonts w:ascii="Calibri" w:eastAsia="Times New Roman" w:hAnsi="Calibri" w:cs="Calibri"/>
                <w:sz w:val="20"/>
                <w:szCs w:val="20"/>
              </w:rPr>
              <w:t xml:space="preserve">   </w:t>
            </w:r>
            <w:r w:rsidR="009B0F3A">
              <w:rPr>
                <w:rFonts w:ascii="Calibri" w:eastAsia="Times New Roman" w:hAnsi="Calibri" w:cs="Calibri"/>
                <w:sz w:val="20"/>
                <w:szCs w:val="20"/>
              </w:rPr>
              <w:t>1,</w:t>
            </w:r>
            <w:r w:rsidR="009B0F3A" w:rsidRPr="004018A5">
              <w:rPr>
                <w:rFonts w:ascii="Calibri" w:eastAsia="Times New Roman" w:hAnsi="Calibri" w:cs="Calibri"/>
                <w:color w:val="0D0D0D"/>
                <w:sz w:val="20"/>
                <w:szCs w:val="20"/>
              </w:rPr>
              <w:t>6</w:t>
            </w:r>
            <w:r w:rsidRPr="004018A5">
              <w:rPr>
                <w:rFonts w:ascii="Calibri" w:eastAsia="Times New Roman" w:hAnsi="Calibri" w:cs="Calibri"/>
                <w:color w:val="0D0D0D"/>
                <w:sz w:val="20"/>
                <w:szCs w:val="20"/>
              </w:rPr>
              <w:t>58</w:t>
            </w:r>
          </w:p>
        </w:tc>
        <w:tc>
          <w:tcPr>
            <w:tcW w:w="1266"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3F57BFFB" w14:textId="72E0B782"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xml:space="preserve">$ </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1,091</w:t>
            </w:r>
          </w:p>
        </w:tc>
        <w:tc>
          <w:tcPr>
            <w:tcW w:w="1201" w:type="dxa"/>
            <w:tcBorders>
              <w:top w:val="single" w:sz="4" w:space="0" w:color="00688D"/>
              <w:left w:val="nil"/>
              <w:bottom w:val="double" w:sz="6" w:space="0" w:color="00688D"/>
              <w:right w:val="nil"/>
            </w:tcBorders>
            <w:shd w:val="clear" w:color="auto" w:fill="auto"/>
            <w:vAlign w:val="bottom"/>
          </w:tcPr>
          <w:p w14:paraId="246CC844"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(752)</w:t>
            </w:r>
          </w:p>
        </w:tc>
        <w:tc>
          <w:tcPr>
            <w:tcW w:w="1266"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7C4BA880" w14:textId="31ECDD41"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xml:space="preserve">$ </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1,348</w:t>
            </w:r>
          </w:p>
        </w:tc>
        <w:tc>
          <w:tcPr>
            <w:tcW w:w="1266" w:type="dxa"/>
            <w:tcBorders>
              <w:top w:val="single" w:sz="4" w:space="0" w:color="00688D"/>
              <w:left w:val="nil"/>
              <w:bottom w:val="double" w:sz="6" w:space="0" w:color="00688D"/>
              <w:right w:val="nil"/>
            </w:tcBorders>
            <w:shd w:val="clear" w:color="auto" w:fill="auto"/>
            <w:noWrap/>
            <w:vAlign w:val="bottom"/>
            <w:hideMark/>
          </w:tcPr>
          <w:p w14:paraId="7D8C217F" w14:textId="454D1CB6"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xml:space="preserve">$ </w:t>
            </w:r>
            <w:r w:rsidR="00C15078">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877</w:t>
            </w:r>
          </w:p>
        </w:tc>
        <w:tc>
          <w:tcPr>
            <w:tcW w:w="1266"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03EDEDAA" w14:textId="07E1E7A6"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w:t>
            </w:r>
            <w:r w:rsidR="00467D76">
              <w:rPr>
                <w:rFonts w:ascii="Calibri" w:eastAsia="Times New Roman" w:hAnsi="Calibri" w:cs="Calibri"/>
                <w:color w:val="0D0D0D"/>
                <w:sz w:val="20"/>
                <w:szCs w:val="20"/>
              </w:rPr>
              <w:t xml:space="preserve"> </w:t>
            </w:r>
            <w:r w:rsidRPr="00D02584">
              <w:rPr>
                <w:rFonts w:ascii="Calibri" w:eastAsia="Times New Roman" w:hAnsi="Calibri" w:cs="Calibri"/>
                <w:color w:val="0D0D0D"/>
                <w:sz w:val="20"/>
                <w:szCs w:val="20"/>
              </w:rPr>
              <w:t xml:space="preserve"> (1,176)</w:t>
            </w:r>
          </w:p>
        </w:tc>
      </w:tr>
      <w:tr w:rsidR="00163B27" w:rsidRPr="003B0D41" w14:paraId="5FD867ED" w14:textId="77777777" w:rsidTr="001106B0">
        <w:trPr>
          <w:trHeight w:val="327"/>
        </w:trPr>
        <w:tc>
          <w:tcPr>
            <w:tcW w:w="4140" w:type="dxa"/>
            <w:tcBorders>
              <w:top w:val="nil"/>
              <w:left w:val="nil"/>
              <w:bottom w:val="nil"/>
              <w:right w:val="nil"/>
            </w:tcBorders>
            <w:shd w:val="clear" w:color="000000" w:fill="FFFFFF"/>
            <w:vAlign w:val="bottom"/>
            <w:hideMark/>
          </w:tcPr>
          <w:p w14:paraId="35A9239B" w14:textId="77777777" w:rsidR="00163B27" w:rsidRPr="00D02584" w:rsidRDefault="00163B27" w:rsidP="00163B27">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Covered payroll</w:t>
            </w:r>
          </w:p>
        </w:tc>
        <w:tc>
          <w:tcPr>
            <w:tcW w:w="1354" w:type="dxa"/>
            <w:tcBorders>
              <w:top w:val="nil"/>
              <w:left w:val="nil"/>
              <w:bottom w:val="nil"/>
              <w:right w:val="nil"/>
            </w:tcBorders>
            <w:shd w:val="clear" w:color="auto" w:fill="F2F2F2" w:themeFill="background1" w:themeFillShade="F2"/>
            <w:vAlign w:val="bottom"/>
          </w:tcPr>
          <w:p w14:paraId="6B4F8BD8" w14:textId="58E3D0EA"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$2</w:t>
            </w:r>
            <w:r>
              <w:rPr>
                <w:rFonts w:ascii="Calibri" w:eastAsia="Times New Roman" w:hAnsi="Calibri" w:cs="Calibri"/>
                <w:sz w:val="20"/>
                <w:szCs w:val="20"/>
              </w:rPr>
              <w:t>92</w:t>
            </w:r>
            <w:r w:rsidRPr="003959B0">
              <w:rPr>
                <w:rFonts w:ascii="Calibri" w:eastAsia="Times New Roman" w:hAnsi="Calibri" w:cs="Calibri"/>
                <w:sz w:val="20"/>
                <w:szCs w:val="20"/>
              </w:rPr>
              <w:t>,</w:t>
            </w:r>
            <w:r>
              <w:rPr>
                <w:rFonts w:ascii="Calibri" w:eastAsia="Times New Roman" w:hAnsi="Calibri" w:cs="Calibri"/>
                <w:sz w:val="20"/>
                <w:szCs w:val="20"/>
              </w:rPr>
              <w:t>603</w:t>
            </w:r>
          </w:p>
        </w:tc>
        <w:tc>
          <w:tcPr>
            <w:tcW w:w="1201" w:type="dxa"/>
            <w:tcBorders>
              <w:top w:val="nil"/>
              <w:left w:val="nil"/>
              <w:bottom w:val="nil"/>
              <w:right w:val="nil"/>
            </w:tcBorders>
            <w:shd w:val="clear" w:color="auto" w:fill="auto"/>
            <w:vAlign w:val="bottom"/>
          </w:tcPr>
          <w:p w14:paraId="34C7B81E" w14:textId="00ECF2EC" w:rsidR="00163B27" w:rsidRPr="003959B0" w:rsidRDefault="00163B27" w:rsidP="00163B27">
            <w:pPr>
              <w:jc w:val="right"/>
              <w:rPr>
                <w:rFonts w:ascii="Calibri" w:eastAsia="Times New Roman" w:hAnsi="Calibri" w:cs="Calibri"/>
                <w:sz w:val="20"/>
                <w:szCs w:val="20"/>
              </w:rPr>
            </w:pPr>
            <w:r w:rsidRPr="003959B0">
              <w:rPr>
                <w:rFonts w:ascii="Calibri" w:eastAsia="Times New Roman" w:hAnsi="Calibri" w:cs="Calibri"/>
                <w:sz w:val="20"/>
                <w:szCs w:val="20"/>
              </w:rPr>
              <w:t>$267,061</w:t>
            </w:r>
          </w:p>
        </w:tc>
        <w:tc>
          <w:tcPr>
            <w:tcW w:w="1266" w:type="dxa"/>
            <w:tcBorders>
              <w:top w:val="nil"/>
              <w:left w:val="nil"/>
              <w:bottom w:val="nil"/>
              <w:right w:val="nil"/>
            </w:tcBorders>
            <w:shd w:val="clear" w:color="auto" w:fill="F2F2F2" w:themeFill="background1" w:themeFillShade="F2"/>
            <w:noWrap/>
            <w:vAlign w:val="bottom"/>
            <w:hideMark/>
          </w:tcPr>
          <w:p w14:paraId="6CEF2353"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$258,827</w:t>
            </w:r>
          </w:p>
        </w:tc>
        <w:tc>
          <w:tcPr>
            <w:tcW w:w="1201" w:type="dxa"/>
            <w:tcBorders>
              <w:top w:val="nil"/>
              <w:left w:val="nil"/>
              <w:bottom w:val="nil"/>
              <w:right w:val="nil"/>
            </w:tcBorders>
            <w:shd w:val="clear" w:color="auto" w:fill="auto"/>
            <w:vAlign w:val="bottom"/>
          </w:tcPr>
          <w:p w14:paraId="2D2B0B7C"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$241,501</w:t>
            </w:r>
          </w:p>
        </w:tc>
        <w:tc>
          <w:tcPr>
            <w:tcW w:w="1266" w:type="dxa"/>
            <w:tcBorders>
              <w:top w:val="nil"/>
              <w:left w:val="nil"/>
              <w:bottom w:val="nil"/>
              <w:right w:val="nil"/>
            </w:tcBorders>
            <w:shd w:val="clear" w:color="auto" w:fill="F2F2F2" w:themeFill="background1" w:themeFillShade="F2"/>
            <w:noWrap/>
            <w:vAlign w:val="bottom"/>
            <w:hideMark/>
          </w:tcPr>
          <w:p w14:paraId="67644FEA"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$237,125</w:t>
            </w:r>
          </w:p>
        </w:tc>
        <w:tc>
          <w:tcPr>
            <w:tcW w:w="1266" w:type="dxa"/>
            <w:tcBorders>
              <w:top w:val="nil"/>
              <w:left w:val="nil"/>
              <w:bottom w:val="nil"/>
              <w:right w:val="nil"/>
            </w:tcBorders>
            <w:shd w:val="clear" w:color="auto" w:fill="auto"/>
            <w:noWrap/>
            <w:vAlign w:val="bottom"/>
            <w:hideMark/>
          </w:tcPr>
          <w:p w14:paraId="0E5AA2DF"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$220,849</w:t>
            </w:r>
          </w:p>
        </w:tc>
        <w:tc>
          <w:tcPr>
            <w:tcW w:w="1266" w:type="dxa"/>
            <w:tcBorders>
              <w:top w:val="nil"/>
              <w:left w:val="nil"/>
              <w:bottom w:val="nil"/>
              <w:right w:val="nil"/>
            </w:tcBorders>
            <w:shd w:val="clear" w:color="auto" w:fill="F2F2F2" w:themeFill="background1" w:themeFillShade="F2"/>
            <w:noWrap/>
            <w:vAlign w:val="bottom"/>
            <w:hideMark/>
          </w:tcPr>
          <w:p w14:paraId="4626F6D7"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$214,956</w:t>
            </w:r>
          </w:p>
        </w:tc>
      </w:tr>
      <w:tr w:rsidR="00163B27" w:rsidRPr="003B0D41" w14:paraId="5DEB4F53" w14:textId="77777777" w:rsidTr="001106B0">
        <w:trPr>
          <w:trHeight w:val="315"/>
        </w:trPr>
        <w:tc>
          <w:tcPr>
            <w:tcW w:w="4140" w:type="dxa"/>
            <w:tcBorders>
              <w:top w:val="nil"/>
              <w:left w:val="nil"/>
              <w:bottom w:val="single" w:sz="4" w:space="0" w:color="00688D"/>
              <w:right w:val="nil"/>
            </w:tcBorders>
            <w:shd w:val="clear" w:color="000000" w:fill="FFFFFF"/>
            <w:vAlign w:val="center"/>
            <w:hideMark/>
          </w:tcPr>
          <w:p w14:paraId="0C17D66D" w14:textId="77777777" w:rsidR="00163B27" w:rsidRPr="00D02584" w:rsidRDefault="00163B27" w:rsidP="00163B27">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as a percentage of covered payroll</w:t>
            </w:r>
          </w:p>
        </w:tc>
        <w:tc>
          <w:tcPr>
            <w:tcW w:w="1354" w:type="dxa"/>
            <w:tcBorders>
              <w:top w:val="nil"/>
              <w:left w:val="nil"/>
              <w:bottom w:val="single" w:sz="4" w:space="0" w:color="00688D"/>
              <w:right w:val="nil"/>
            </w:tcBorders>
            <w:shd w:val="clear" w:color="auto" w:fill="F2F2F2" w:themeFill="background1" w:themeFillShade="F2"/>
            <w:vAlign w:val="bottom"/>
          </w:tcPr>
          <w:p w14:paraId="63AF2393" w14:textId="7C15D34A" w:rsidR="00163B27" w:rsidRPr="003959B0" w:rsidRDefault="00163B27" w:rsidP="00163B27">
            <w:pPr>
              <w:jc w:val="right"/>
              <w:rPr>
                <w:rFonts w:ascii="Calibri" w:eastAsia="Times New Roman" w:hAnsi="Calibri" w:cs="Calibri"/>
                <w:sz w:val="20"/>
                <w:szCs w:val="20"/>
              </w:rPr>
            </w:pPr>
            <w:r>
              <w:rPr>
                <w:rFonts w:ascii="Calibri" w:eastAsia="Times New Roman" w:hAnsi="Calibri" w:cs="Calibri"/>
                <w:sz w:val="20"/>
                <w:szCs w:val="20"/>
              </w:rPr>
              <w:t>3.00</w:t>
            </w:r>
            <w:r w:rsidRPr="003959B0">
              <w:rPr>
                <w:rFonts w:ascii="Calibri" w:eastAsia="Times New Roman" w:hAnsi="Calibri" w:cs="Calibri"/>
                <w:sz w:val="20"/>
                <w:szCs w:val="20"/>
              </w:rPr>
              <w:t>%</w:t>
            </w:r>
          </w:p>
        </w:tc>
        <w:tc>
          <w:tcPr>
            <w:tcW w:w="1201" w:type="dxa"/>
            <w:tcBorders>
              <w:top w:val="nil"/>
              <w:left w:val="nil"/>
              <w:bottom w:val="single" w:sz="4" w:space="0" w:color="00688D"/>
              <w:right w:val="nil"/>
            </w:tcBorders>
            <w:shd w:val="clear" w:color="auto" w:fill="auto"/>
            <w:vAlign w:val="bottom"/>
          </w:tcPr>
          <w:p w14:paraId="0989D996" w14:textId="06A018F9" w:rsidR="00163B27" w:rsidRPr="003959B0" w:rsidRDefault="009B0F3A" w:rsidP="00163B27">
            <w:pPr>
              <w:jc w:val="right"/>
              <w:rPr>
                <w:rFonts w:ascii="Calibri" w:eastAsia="Times New Roman" w:hAnsi="Calibri" w:cs="Calibri"/>
                <w:sz w:val="20"/>
                <w:szCs w:val="20"/>
              </w:rPr>
            </w:pPr>
            <w:r>
              <w:rPr>
                <w:rFonts w:ascii="Calibri" w:eastAsia="Times New Roman" w:hAnsi="Calibri" w:cs="Calibri"/>
                <w:sz w:val="20"/>
                <w:szCs w:val="20"/>
              </w:rPr>
              <w:t>1.85</w:t>
            </w:r>
            <w:r w:rsidR="00163B27" w:rsidRPr="003959B0">
              <w:rPr>
                <w:rFonts w:ascii="Calibri" w:eastAsia="Times New Roman" w:hAnsi="Calibri" w:cs="Calibri"/>
                <w:sz w:val="20"/>
                <w:szCs w:val="20"/>
              </w:rPr>
              <w:t>%</w:t>
            </w:r>
          </w:p>
        </w:tc>
        <w:tc>
          <w:tcPr>
            <w:tcW w:w="1266" w:type="dxa"/>
            <w:tcBorders>
              <w:top w:val="nil"/>
              <w:left w:val="nil"/>
              <w:bottom w:val="single" w:sz="4" w:space="0" w:color="00688D"/>
              <w:right w:val="nil"/>
            </w:tcBorders>
            <w:shd w:val="clear" w:color="auto" w:fill="F2F2F2" w:themeFill="background1" w:themeFillShade="F2"/>
            <w:noWrap/>
            <w:vAlign w:val="bottom"/>
            <w:hideMark/>
          </w:tcPr>
          <w:p w14:paraId="086CF5A2"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4.82%</w:t>
            </w:r>
          </w:p>
        </w:tc>
        <w:tc>
          <w:tcPr>
            <w:tcW w:w="1201" w:type="dxa"/>
            <w:tcBorders>
              <w:top w:val="nil"/>
              <w:left w:val="nil"/>
              <w:bottom w:val="single" w:sz="4" w:space="0" w:color="00688D"/>
              <w:right w:val="nil"/>
            </w:tcBorders>
            <w:shd w:val="clear" w:color="auto" w:fill="auto"/>
            <w:vAlign w:val="bottom"/>
          </w:tcPr>
          <w:p w14:paraId="57180CC9"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5.26%</w:t>
            </w:r>
          </w:p>
        </w:tc>
        <w:tc>
          <w:tcPr>
            <w:tcW w:w="1266" w:type="dxa"/>
            <w:tcBorders>
              <w:top w:val="nil"/>
              <w:left w:val="nil"/>
              <w:bottom w:val="single" w:sz="4" w:space="0" w:color="00688D"/>
              <w:right w:val="nil"/>
            </w:tcBorders>
            <w:shd w:val="clear" w:color="auto" w:fill="F2F2F2" w:themeFill="background1" w:themeFillShade="F2"/>
            <w:noWrap/>
            <w:vAlign w:val="bottom"/>
            <w:hideMark/>
          </w:tcPr>
          <w:p w14:paraId="50AF590E"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5.00%</w:t>
            </w:r>
          </w:p>
        </w:tc>
        <w:tc>
          <w:tcPr>
            <w:tcW w:w="1266" w:type="dxa"/>
            <w:tcBorders>
              <w:top w:val="nil"/>
              <w:left w:val="nil"/>
              <w:bottom w:val="single" w:sz="4" w:space="0" w:color="00688D"/>
              <w:right w:val="nil"/>
            </w:tcBorders>
            <w:shd w:val="clear" w:color="000000" w:fill="FFFFFF"/>
            <w:noWrap/>
            <w:vAlign w:val="bottom"/>
            <w:hideMark/>
          </w:tcPr>
          <w:p w14:paraId="71F84659"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5.41%</w:t>
            </w:r>
          </w:p>
        </w:tc>
        <w:tc>
          <w:tcPr>
            <w:tcW w:w="1266" w:type="dxa"/>
            <w:tcBorders>
              <w:top w:val="nil"/>
              <w:left w:val="nil"/>
              <w:bottom w:val="single" w:sz="4" w:space="0" w:color="00688D"/>
              <w:right w:val="nil"/>
            </w:tcBorders>
            <w:shd w:val="clear" w:color="auto" w:fill="F2F2F2" w:themeFill="background1" w:themeFillShade="F2"/>
            <w:noWrap/>
            <w:vAlign w:val="bottom"/>
            <w:hideMark/>
          </w:tcPr>
          <w:p w14:paraId="5CAFC37C" w14:textId="77777777" w:rsidR="00163B27" w:rsidRPr="00D02584" w:rsidRDefault="00163B27" w:rsidP="00163B27">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7.51%</w:t>
            </w:r>
          </w:p>
        </w:tc>
      </w:tr>
    </w:tbl>
    <w:p w14:paraId="274F16D8" w14:textId="77777777" w:rsidR="00DD1612" w:rsidRDefault="00DD1612" w:rsidP="00DD1612">
      <w:pPr>
        <w:pStyle w:val="AFR4"/>
        <w:spacing w:after="240"/>
        <w:rPr>
          <w:rFonts w:cstheme="minorHAnsi"/>
          <w:sz w:val="28"/>
          <w:szCs w:val="28"/>
        </w:rPr>
        <w:sectPr w:rsidR="00DD1612" w:rsidSect="00BD375F">
          <w:pgSz w:w="15840" w:h="12240" w:orient="landscape" w:code="1"/>
          <w:pgMar w:top="1440" w:right="1440" w:bottom="1440" w:left="1440" w:header="720" w:footer="720" w:gutter="0"/>
          <w:cols w:space="0"/>
          <w:titlePg/>
          <w:docGrid w:linePitch="360"/>
        </w:sectPr>
      </w:pPr>
      <w:r>
        <w:rPr>
          <w:rFonts w:cstheme="minorHAnsi"/>
          <w:sz w:val="28"/>
          <w:szCs w:val="28"/>
        </w:rPr>
        <w:br w:type="page"/>
      </w:r>
    </w:p>
    <w:p w14:paraId="202C2155" w14:textId="77777777" w:rsidR="00DD1612" w:rsidRPr="00FE714D" w:rsidRDefault="00DD1612" w:rsidP="00DD1612">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58076A95" w14:textId="77777777" w:rsidR="00DD1612" w:rsidRDefault="00DD1612" w:rsidP="00DD1612">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2F90B284" w14:textId="77777777" w:rsidR="00DD1612" w:rsidRDefault="00DD1612" w:rsidP="00DD1612">
      <w:pPr>
        <w:rPr>
          <w:rFonts w:cstheme="minorHAnsi"/>
          <w:sz w:val="24"/>
          <w:szCs w:val="24"/>
        </w:rPr>
      </w:pPr>
      <w:r w:rsidRPr="00F54559">
        <w:rPr>
          <w:rFonts w:cstheme="minorHAnsi"/>
          <w:i/>
          <w:sz w:val="24"/>
          <w:szCs w:val="24"/>
        </w:rPr>
        <w:t>Changes of benefit terms:</w:t>
      </w:r>
      <w:r>
        <w:rPr>
          <w:rFonts w:cstheme="minorHAnsi"/>
          <w:sz w:val="24"/>
          <w:szCs w:val="24"/>
        </w:rPr>
        <w:t xml:space="preserve"> </w:t>
      </w:r>
    </w:p>
    <w:p w14:paraId="44F78523" w14:textId="44F58899" w:rsidR="00987FDC" w:rsidRDefault="00987FDC" w:rsidP="001106B0">
      <w:pPr>
        <w:ind w:left="720" w:hanging="720"/>
        <w:rPr>
          <w:sz w:val="24"/>
          <w:szCs w:val="24"/>
        </w:rPr>
      </w:pPr>
      <w:r>
        <w:rPr>
          <w:sz w:val="24"/>
          <w:szCs w:val="24"/>
        </w:rPr>
        <w:t>2023:</w:t>
      </w:r>
      <w:r>
        <w:rPr>
          <w:sz w:val="24"/>
          <w:szCs w:val="24"/>
        </w:rPr>
        <w:tab/>
      </w:r>
      <w:r w:rsidR="00353507">
        <w:rPr>
          <w:sz w:val="24"/>
          <w:szCs w:val="24"/>
        </w:rPr>
        <w:t xml:space="preserve">A Special Retirement </w:t>
      </w:r>
      <w:r w:rsidR="006D2A06">
        <w:rPr>
          <w:sz w:val="24"/>
          <w:szCs w:val="24"/>
        </w:rPr>
        <w:t xml:space="preserve">Incentive </w:t>
      </w:r>
      <w:r w:rsidR="00353507">
        <w:rPr>
          <w:sz w:val="24"/>
          <w:szCs w:val="24"/>
        </w:rPr>
        <w:t xml:space="preserve">Plan was offered to faculty age 62 with 10 full-time years of service or age 60 with 20 full-time consecutive years of service. In addition to a lump sum contribution to the 403(b) retirement plan, benefits included continuation of medical insurance coverage at the active employee rate for individuals not yet Medicare eligible, until reaching age 65 and/or becoming Medicare eligible, whichever is earlier. </w:t>
      </w:r>
    </w:p>
    <w:p w14:paraId="5D1D4A5E" w14:textId="5E06C66F" w:rsidR="00DD1612" w:rsidRDefault="00AC0EF2" w:rsidP="00DD1612">
      <w:pPr>
        <w:rPr>
          <w:sz w:val="24"/>
          <w:szCs w:val="24"/>
        </w:rPr>
      </w:pPr>
      <w:r>
        <w:rPr>
          <w:sz w:val="24"/>
          <w:szCs w:val="24"/>
        </w:rPr>
        <w:t>2022:</w:t>
      </w:r>
      <w:r>
        <w:rPr>
          <w:sz w:val="24"/>
          <w:szCs w:val="24"/>
        </w:rPr>
        <w:tab/>
      </w:r>
      <w:r w:rsidR="00DD1612">
        <w:rPr>
          <w:sz w:val="24"/>
          <w:szCs w:val="24"/>
        </w:rPr>
        <w:t>None</w:t>
      </w:r>
    </w:p>
    <w:p w14:paraId="47BADEE0" w14:textId="77777777" w:rsidR="00DD1612" w:rsidRPr="009C0A89" w:rsidRDefault="00DD1612" w:rsidP="00DD1612">
      <w:pPr>
        <w:ind w:left="720" w:hanging="720"/>
        <w:rPr>
          <w:sz w:val="24"/>
          <w:szCs w:val="24"/>
        </w:rPr>
      </w:pPr>
      <w:r>
        <w:rPr>
          <w:sz w:val="24"/>
          <w:szCs w:val="24"/>
        </w:rPr>
        <w:t>2021:</w:t>
      </w:r>
      <w:r>
        <w:rPr>
          <w:sz w:val="24"/>
          <w:szCs w:val="24"/>
        </w:rPr>
        <w:tab/>
      </w:r>
      <w:r w:rsidRPr="009C0A89">
        <w:rPr>
          <w:sz w:val="24"/>
          <w:szCs w:val="24"/>
        </w:rPr>
        <w:t>Effective</w:t>
      </w:r>
      <w:r>
        <w:rPr>
          <w:sz w:val="24"/>
          <w:szCs w:val="24"/>
        </w:rPr>
        <w:t xml:space="preserve"> </w:t>
      </w:r>
      <w:r w:rsidRPr="008F45FE">
        <w:rPr>
          <w:sz w:val="24"/>
          <w:szCs w:val="24"/>
        </w:rPr>
        <w:t xml:space="preserve">January 1, </w:t>
      </w:r>
      <w:proofErr w:type="gramStart"/>
      <w:r w:rsidRPr="008F45FE">
        <w:rPr>
          <w:sz w:val="24"/>
          <w:szCs w:val="24"/>
        </w:rPr>
        <w:t>2021</w:t>
      </w:r>
      <w:proofErr w:type="gramEnd"/>
      <w:r w:rsidRPr="008F45FE">
        <w:rPr>
          <w:sz w:val="24"/>
          <w:szCs w:val="24"/>
        </w:rPr>
        <w:t xml:space="preserve"> </w:t>
      </w:r>
      <w:r w:rsidRPr="009C0A89">
        <w:rPr>
          <w:sz w:val="24"/>
          <w:szCs w:val="24"/>
        </w:rPr>
        <w:t>UMS offered a funded Health Reimbursement Account (HRA) through a retiree health exchange. Retirees can choose from various individual Medicare coverages</w:t>
      </w:r>
      <w:r>
        <w:rPr>
          <w:sz w:val="24"/>
          <w:szCs w:val="24"/>
        </w:rPr>
        <w:t xml:space="preserve"> or the</w:t>
      </w:r>
      <w:r w:rsidRPr="009C0A89">
        <w:rPr>
          <w:sz w:val="24"/>
          <w:szCs w:val="24"/>
        </w:rPr>
        <w:t xml:space="preserve"> UMS sponsored group coverage. </w:t>
      </w:r>
      <w:r>
        <w:rPr>
          <w:sz w:val="24"/>
          <w:szCs w:val="24"/>
        </w:rPr>
        <w:t>The total OPEB liability decreased $51,219 from the prior year including changes of benefit terms of $49,469</w:t>
      </w:r>
      <w:r w:rsidRPr="009C0A89">
        <w:rPr>
          <w:sz w:val="24"/>
          <w:szCs w:val="24"/>
        </w:rPr>
        <w:t>.</w:t>
      </w:r>
    </w:p>
    <w:p w14:paraId="67051256" w14:textId="77777777" w:rsidR="00DD1612" w:rsidRPr="009C0A89" w:rsidRDefault="00DD1612" w:rsidP="00DD1612"/>
    <w:p w14:paraId="489D5AB6" w14:textId="77777777" w:rsidR="00DD1612" w:rsidRPr="00F54559" w:rsidRDefault="00DD1612" w:rsidP="00DD1612">
      <w:pPr>
        <w:rPr>
          <w:rFonts w:cstheme="minorHAnsi"/>
          <w:sz w:val="24"/>
          <w:szCs w:val="20"/>
        </w:rPr>
      </w:pPr>
      <w:r w:rsidRPr="00F54559">
        <w:rPr>
          <w:rFonts w:cstheme="minorHAnsi"/>
          <w:i/>
          <w:sz w:val="24"/>
          <w:szCs w:val="20"/>
        </w:rPr>
        <w:t>Changes of assumptions</w:t>
      </w:r>
      <w:r w:rsidRPr="00F54559">
        <w:rPr>
          <w:rFonts w:cstheme="minorHAnsi"/>
          <w:sz w:val="24"/>
          <w:szCs w:val="20"/>
        </w:rPr>
        <w:t>:</w:t>
      </w:r>
    </w:p>
    <w:p w14:paraId="4CD9204B" w14:textId="45785FDE" w:rsidR="00353507" w:rsidRDefault="00353507" w:rsidP="00DD1612">
      <w:pPr>
        <w:ind w:left="720" w:hanging="720"/>
        <w:rPr>
          <w:rFonts w:cstheme="minorHAnsi"/>
          <w:sz w:val="24"/>
          <w:szCs w:val="24"/>
        </w:rPr>
      </w:pPr>
      <w:r>
        <w:rPr>
          <w:rFonts w:cstheme="minorHAnsi"/>
          <w:sz w:val="24"/>
          <w:szCs w:val="24"/>
        </w:rPr>
        <w:t>2023:</w:t>
      </w:r>
      <w:r>
        <w:rPr>
          <w:rFonts w:cstheme="minorHAnsi"/>
          <w:sz w:val="24"/>
          <w:szCs w:val="24"/>
        </w:rPr>
        <w:tab/>
        <w:t xml:space="preserve">The inflation assumption was increased from 2.2% per year to 2.5% per year, based on current economic data; analyses from economists and other experts, and professional judgement. The medical trend rates were increased in the short term to reflect expected future increases in the Cigna group plans and updated to the recent Getzen trend rates reflecting the adjusted inflation rate. The medical trend rates were reduced for the Aetna Medicare Advantage plan to reflect plan design changes that have impacted the premium rates. Mortality improvement scales were updated to the MP-2021 tables. </w:t>
      </w:r>
    </w:p>
    <w:p w14:paraId="57ADE06B" w14:textId="4167F970" w:rsidR="00DD1612" w:rsidRPr="008F45FE" w:rsidRDefault="00DD1612" w:rsidP="00DD1612">
      <w:pPr>
        <w:ind w:left="720" w:hanging="720"/>
        <w:rPr>
          <w:rFonts w:cstheme="minorHAnsi"/>
          <w:sz w:val="24"/>
          <w:szCs w:val="24"/>
        </w:rPr>
      </w:pPr>
      <w:r w:rsidRPr="008F45FE">
        <w:rPr>
          <w:rFonts w:cstheme="minorHAnsi"/>
          <w:sz w:val="24"/>
          <w:szCs w:val="24"/>
        </w:rPr>
        <w:t>2022</w:t>
      </w:r>
      <w:r w:rsidR="00AC0EF2">
        <w:rPr>
          <w:rFonts w:cstheme="minorHAnsi"/>
          <w:sz w:val="24"/>
          <w:szCs w:val="24"/>
        </w:rPr>
        <w:t xml:space="preserve">:   </w:t>
      </w:r>
      <w:r>
        <w:rPr>
          <w:rFonts w:cstheme="minorHAnsi"/>
          <w:sz w:val="24"/>
          <w:szCs w:val="24"/>
        </w:rPr>
        <w:t xml:space="preserve">The amortization method was changed from the level dollar amount over 30 years on a closed period to level dollar amount over 30 years on an open amortization period. The amortization period was reset at 30 years starting in FY23. </w:t>
      </w:r>
    </w:p>
    <w:p w14:paraId="44873CB7" w14:textId="77777777" w:rsidR="00DD1612" w:rsidRPr="002749F4" w:rsidRDefault="00DD1612" w:rsidP="00DD1612">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r>
        <w:rPr>
          <w:rFonts w:cstheme="minorHAnsi"/>
          <w:sz w:val="24"/>
          <w:szCs w:val="24"/>
        </w:rPr>
        <w:t xml:space="preserve">. </w:t>
      </w:r>
      <w:r w:rsidRPr="00F54559">
        <w:rPr>
          <w:rFonts w:cstheme="minorHAnsi"/>
          <w:sz w:val="24"/>
          <w:szCs w:val="24"/>
        </w:rPr>
        <w:t>The health care cost rate was updated to reflect more recent trends.</w:t>
      </w:r>
      <w:r>
        <w:rPr>
          <w:rFonts w:cstheme="minorHAnsi"/>
          <w:sz w:val="24"/>
          <w:szCs w:val="24"/>
        </w:rPr>
        <w:t xml:space="preserve"> The inflation rate was changed from 2.4% to 2.2%.</w:t>
      </w:r>
    </w:p>
    <w:p w14:paraId="13311C23" w14:textId="77777777" w:rsidR="00DD1612" w:rsidRDefault="00DD1612" w:rsidP="00DD1612">
      <w:pPr>
        <w:ind w:left="720" w:hanging="720"/>
        <w:rPr>
          <w:rFonts w:cstheme="minorHAnsi"/>
          <w:sz w:val="24"/>
          <w:szCs w:val="20"/>
        </w:rPr>
      </w:pPr>
      <w:r>
        <w:rPr>
          <w:rFonts w:cstheme="minorHAnsi"/>
          <w:sz w:val="24"/>
          <w:szCs w:val="20"/>
        </w:rPr>
        <w:t>2020:</w:t>
      </w:r>
      <w:r>
        <w:rPr>
          <w:rFonts w:cstheme="minorHAnsi"/>
          <w:sz w:val="24"/>
          <w:szCs w:val="20"/>
        </w:rPr>
        <w:tab/>
      </w:r>
      <w:r w:rsidRPr="00F54559">
        <w:rPr>
          <w:rFonts w:cstheme="minorHAnsi"/>
          <w:sz w:val="24"/>
          <w:szCs w:val="20"/>
        </w:rPr>
        <w:t>The investment rate of return/discount rate was changed from 7.</w:t>
      </w:r>
      <w:r>
        <w:rPr>
          <w:rFonts w:cstheme="minorHAnsi"/>
          <w:sz w:val="24"/>
          <w:szCs w:val="20"/>
        </w:rPr>
        <w:t>5</w:t>
      </w:r>
      <w:r w:rsidRPr="00F54559">
        <w:rPr>
          <w:rFonts w:cstheme="minorHAnsi"/>
          <w:sz w:val="24"/>
          <w:szCs w:val="20"/>
        </w:rPr>
        <w:t>% to 7.</w:t>
      </w:r>
      <w:r>
        <w:rPr>
          <w:rFonts w:cstheme="minorHAnsi"/>
          <w:sz w:val="24"/>
          <w:szCs w:val="20"/>
        </w:rPr>
        <w:t>25</w:t>
      </w:r>
      <w:r w:rsidRPr="00F54559">
        <w:rPr>
          <w:rFonts w:cstheme="minorHAnsi"/>
          <w:sz w:val="24"/>
          <w:szCs w:val="20"/>
        </w:rPr>
        <w:t>%</w:t>
      </w:r>
    </w:p>
    <w:p w14:paraId="5E113485" w14:textId="77777777" w:rsidR="00DD1612" w:rsidRPr="00F54559" w:rsidRDefault="00DD1612" w:rsidP="00DD1612">
      <w:pPr>
        <w:ind w:left="720" w:hanging="720"/>
        <w:rPr>
          <w:rFonts w:cstheme="minorHAnsi"/>
          <w:sz w:val="24"/>
          <w:szCs w:val="20"/>
        </w:rPr>
      </w:pPr>
      <w:r w:rsidRPr="00F54559">
        <w:rPr>
          <w:rFonts w:cstheme="minorHAnsi"/>
          <w:sz w:val="24"/>
          <w:szCs w:val="20"/>
        </w:rPr>
        <w:t>2019:</w:t>
      </w:r>
      <w:r w:rsidRPr="00F54559">
        <w:rPr>
          <w:rFonts w:cstheme="minorHAnsi"/>
          <w:sz w:val="24"/>
          <w:szCs w:val="20"/>
        </w:rPr>
        <w:tab/>
      </w:r>
      <w:r w:rsidRPr="00F54559">
        <w:rPr>
          <w:rFonts w:cstheme="minorHAnsi"/>
          <w:sz w:val="24"/>
          <w:szCs w:val="24"/>
        </w:rPr>
        <w:t>The mortality tables were updated to reflect more recent mortality tables and generational mortality improvement. The health care cost rate was updated to reflect more recent trends.</w:t>
      </w:r>
    </w:p>
    <w:p w14:paraId="5518A8EF" w14:textId="77777777" w:rsidR="00DD1612" w:rsidRPr="00F54559" w:rsidRDefault="00DD1612" w:rsidP="00DD1612">
      <w:pPr>
        <w:rPr>
          <w:rFonts w:cstheme="minorHAnsi"/>
          <w:sz w:val="24"/>
          <w:szCs w:val="20"/>
        </w:rPr>
      </w:pPr>
      <w:r w:rsidRPr="00F54559">
        <w:rPr>
          <w:rFonts w:cstheme="minorHAnsi"/>
          <w:sz w:val="24"/>
          <w:szCs w:val="20"/>
        </w:rPr>
        <w:t>2018:</w:t>
      </w:r>
      <w:r w:rsidRPr="00F54559">
        <w:rPr>
          <w:rFonts w:cstheme="minorHAnsi"/>
          <w:sz w:val="24"/>
          <w:szCs w:val="20"/>
        </w:rPr>
        <w:tab/>
      </w:r>
      <w:r w:rsidRPr="00F54559">
        <w:rPr>
          <w:rFonts w:cstheme="minorHAnsi"/>
          <w:i/>
          <w:sz w:val="24"/>
          <w:szCs w:val="20"/>
        </w:rPr>
        <w:t>None</w:t>
      </w:r>
    </w:p>
    <w:p w14:paraId="2E15B1C4" w14:textId="77777777" w:rsidR="00DD1612" w:rsidRPr="00F54559" w:rsidRDefault="00DD1612" w:rsidP="00DD1612">
      <w:pPr>
        <w:ind w:left="720" w:hanging="720"/>
        <w:rPr>
          <w:rFonts w:cstheme="minorHAnsi"/>
          <w:sz w:val="24"/>
          <w:szCs w:val="20"/>
        </w:rPr>
      </w:pPr>
      <w:r w:rsidRPr="00F54559">
        <w:rPr>
          <w:rFonts w:cstheme="minorHAnsi"/>
          <w:sz w:val="24"/>
          <w:szCs w:val="20"/>
        </w:rPr>
        <w:t>2017:</w:t>
      </w:r>
      <w:r w:rsidRPr="00F54559">
        <w:rPr>
          <w:rFonts w:cstheme="minorHAnsi"/>
          <w:sz w:val="24"/>
          <w:szCs w:val="20"/>
        </w:rPr>
        <w:tab/>
        <w:t>The investment rate of return/discount rate was changed from 7.75% to 7.5% and the actuarial funding method was changed from Projected Unit Credit to Entry Age Normal.</w:t>
      </w:r>
    </w:p>
    <w:p w14:paraId="115176FC" w14:textId="77777777" w:rsidR="00DD1612" w:rsidRPr="00F54559" w:rsidRDefault="00DD1612" w:rsidP="00DD1612">
      <w:pPr>
        <w:rPr>
          <w:rFonts w:cstheme="minorHAnsi"/>
          <w:sz w:val="24"/>
          <w:szCs w:val="20"/>
        </w:rPr>
      </w:pPr>
    </w:p>
    <w:p w14:paraId="3FA73BD4" w14:textId="77777777" w:rsidR="0085724B" w:rsidRDefault="0085724B">
      <w:pPr>
        <w:spacing w:after="160" w:line="259" w:lineRule="auto"/>
        <w:rPr>
          <w:rFonts w:cstheme="minorHAnsi"/>
          <w:i/>
          <w:sz w:val="24"/>
          <w:szCs w:val="24"/>
        </w:rPr>
      </w:pPr>
      <w:r>
        <w:rPr>
          <w:rFonts w:cstheme="minorHAnsi"/>
          <w:i/>
          <w:sz w:val="24"/>
          <w:szCs w:val="24"/>
        </w:rPr>
        <w:br w:type="page"/>
      </w:r>
    </w:p>
    <w:p w14:paraId="02C35331" w14:textId="77777777" w:rsidR="0085724B" w:rsidRPr="00FE714D" w:rsidRDefault="0085724B" w:rsidP="0085724B">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7D4E5FA9" w14:textId="1F3B1CF9" w:rsidR="00DD1612" w:rsidRPr="00F54559" w:rsidRDefault="00DD1612" w:rsidP="00DD1612">
      <w:pPr>
        <w:rPr>
          <w:rFonts w:cstheme="minorHAnsi"/>
          <w:i/>
          <w:sz w:val="24"/>
          <w:szCs w:val="24"/>
        </w:rPr>
      </w:pPr>
      <w:r w:rsidRPr="00F54559">
        <w:rPr>
          <w:rFonts w:cstheme="minorHAnsi"/>
          <w:i/>
          <w:sz w:val="24"/>
          <w:szCs w:val="24"/>
        </w:rPr>
        <w:t>Methods and assumptions used in calculations of actuarially determined contributions:</w:t>
      </w:r>
    </w:p>
    <w:p w14:paraId="42B8C67D" w14:textId="77777777" w:rsidR="00DD1612" w:rsidRPr="00F54559" w:rsidRDefault="00DD1612" w:rsidP="00DD1612">
      <w:pPr>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r>
        <w:rPr>
          <w:rFonts w:cstheme="minorHAnsi"/>
          <w:sz w:val="24"/>
          <w:szCs w:val="20"/>
        </w:rPr>
        <w:t xml:space="preserve"> </w:t>
      </w:r>
    </w:p>
    <w:p w14:paraId="45A3790F" w14:textId="77777777" w:rsidR="00DD1612" w:rsidRPr="00A74468" w:rsidRDefault="00DD1612" w:rsidP="00DD1612">
      <w:pPr>
        <w:rPr>
          <w:rFonts w:cstheme="minorHAnsi"/>
          <w:szCs w:val="20"/>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DD1612" w:rsidRPr="00A454B4" w14:paraId="472ECBC4" w14:textId="77777777" w:rsidTr="00BD375F">
        <w:trPr>
          <w:trHeight w:val="246"/>
          <w:jc w:val="center"/>
        </w:trPr>
        <w:tc>
          <w:tcPr>
            <w:tcW w:w="1576" w:type="pct"/>
          </w:tcPr>
          <w:p w14:paraId="2B681183" w14:textId="77777777" w:rsidR="00DD1612" w:rsidRPr="00D9538A" w:rsidRDefault="00DD1612" w:rsidP="00BD375F">
            <w:pPr>
              <w:widowControl w:val="0"/>
              <w:rPr>
                <w:rFonts w:cstheme="minorHAnsi"/>
                <w:sz w:val="24"/>
                <w:szCs w:val="20"/>
              </w:rPr>
            </w:pPr>
            <w:r w:rsidRPr="00D9538A">
              <w:rPr>
                <w:rFonts w:eastAsia="Franklin Gothic Book" w:cstheme="minorHAnsi"/>
                <w:spacing w:val="-2"/>
                <w:sz w:val="24"/>
              </w:rPr>
              <w:t>A</w:t>
            </w:r>
            <w:r w:rsidRPr="00D9538A">
              <w:rPr>
                <w:rFonts w:eastAsia="Franklin Gothic Book" w:cstheme="minorHAnsi"/>
                <w:sz w:val="24"/>
              </w:rPr>
              <w:t>ctua</w:t>
            </w:r>
            <w:r w:rsidRPr="00D9538A">
              <w:rPr>
                <w:rFonts w:eastAsia="Franklin Gothic Book" w:cstheme="minorHAnsi"/>
                <w:spacing w:val="-1"/>
                <w:sz w:val="24"/>
              </w:rPr>
              <w:t>r</w:t>
            </w:r>
            <w:r w:rsidRPr="00D9538A">
              <w:rPr>
                <w:rFonts w:eastAsia="Franklin Gothic Book" w:cstheme="minorHAnsi"/>
                <w:sz w:val="24"/>
              </w:rPr>
              <w:t>ial</w:t>
            </w:r>
            <w:r w:rsidRPr="00D9538A">
              <w:rPr>
                <w:rFonts w:eastAsia="Franklin Gothic Book" w:cstheme="minorHAnsi"/>
                <w:spacing w:val="-2"/>
                <w:sz w:val="24"/>
              </w:rPr>
              <w:t xml:space="preserve"> </w:t>
            </w:r>
            <w:r w:rsidRPr="00D9538A">
              <w:rPr>
                <w:rFonts w:eastAsia="Franklin Gothic Book" w:cstheme="minorHAnsi"/>
                <w:spacing w:val="1"/>
                <w:sz w:val="24"/>
              </w:rPr>
              <w:t>c</w:t>
            </w:r>
            <w:r w:rsidRPr="00D9538A">
              <w:rPr>
                <w:rFonts w:eastAsia="Franklin Gothic Book" w:cstheme="minorHAnsi"/>
                <w:sz w:val="24"/>
              </w:rPr>
              <w:t>ost method</w:t>
            </w:r>
          </w:p>
        </w:tc>
        <w:tc>
          <w:tcPr>
            <w:tcW w:w="3424" w:type="pct"/>
          </w:tcPr>
          <w:p w14:paraId="527498FE" w14:textId="2BCE0809" w:rsidR="00DD1612" w:rsidRPr="00FB0A60" w:rsidRDefault="00DD1612" w:rsidP="00BD375F">
            <w:pPr>
              <w:widowControl w:val="0"/>
              <w:rPr>
                <w:rFonts w:eastAsia="Franklin Gothic Book" w:cstheme="minorHAnsi"/>
                <w:sz w:val="24"/>
              </w:rPr>
            </w:pPr>
            <w:r w:rsidRPr="00FB0A60">
              <w:rPr>
                <w:rFonts w:eastAsia="Franklin Gothic Book" w:cstheme="minorHAnsi"/>
                <w:spacing w:val="-2"/>
                <w:sz w:val="24"/>
              </w:rPr>
              <w:t xml:space="preserve">2017 to </w:t>
            </w:r>
            <w:r w:rsidR="00353507" w:rsidRPr="00FB0A60">
              <w:rPr>
                <w:rFonts w:eastAsia="Franklin Gothic Book" w:cstheme="minorHAnsi"/>
                <w:spacing w:val="-2"/>
                <w:sz w:val="24"/>
              </w:rPr>
              <w:t>202</w:t>
            </w:r>
            <w:r w:rsidR="00353507">
              <w:rPr>
                <w:rFonts w:eastAsia="Franklin Gothic Book" w:cstheme="minorHAnsi"/>
                <w:spacing w:val="-2"/>
                <w:sz w:val="24"/>
              </w:rPr>
              <w:t>3</w:t>
            </w:r>
            <w:r w:rsidRPr="00FB0A60">
              <w:rPr>
                <w:rFonts w:eastAsia="Franklin Gothic Book" w:cstheme="minorHAnsi"/>
                <w:spacing w:val="-2"/>
                <w:sz w:val="24"/>
              </w:rPr>
              <w:t>: E</w:t>
            </w:r>
            <w:r w:rsidRPr="00FB0A60">
              <w:rPr>
                <w:rFonts w:eastAsia="Franklin Gothic Book" w:cstheme="minorHAnsi"/>
                <w:sz w:val="24"/>
              </w:rPr>
              <w:t>nt</w:t>
            </w:r>
            <w:r w:rsidRPr="00FB0A60">
              <w:rPr>
                <w:rFonts w:eastAsia="Franklin Gothic Book" w:cstheme="minorHAnsi"/>
                <w:spacing w:val="-1"/>
                <w:sz w:val="24"/>
              </w:rPr>
              <w:t>r</w:t>
            </w:r>
            <w:r w:rsidRPr="00FB0A60">
              <w:rPr>
                <w:rFonts w:eastAsia="Franklin Gothic Book" w:cstheme="minorHAnsi"/>
                <w:sz w:val="24"/>
              </w:rPr>
              <w:t>y</w:t>
            </w:r>
            <w:r w:rsidRPr="00FB0A60">
              <w:rPr>
                <w:rFonts w:eastAsia="Franklin Gothic Book" w:cstheme="minorHAnsi"/>
                <w:spacing w:val="-8"/>
                <w:sz w:val="24"/>
              </w:rPr>
              <w:t xml:space="preserve"> a</w:t>
            </w:r>
            <w:r w:rsidRPr="00FB0A60">
              <w:rPr>
                <w:rFonts w:eastAsia="Franklin Gothic Book" w:cstheme="minorHAnsi"/>
                <w:sz w:val="24"/>
              </w:rPr>
              <w:t>ge</w:t>
            </w:r>
            <w:r w:rsidRPr="00FB0A60">
              <w:rPr>
                <w:rFonts w:eastAsia="Franklin Gothic Book" w:cstheme="minorHAnsi"/>
                <w:spacing w:val="-6"/>
                <w:sz w:val="24"/>
              </w:rPr>
              <w:t xml:space="preserve"> n</w:t>
            </w:r>
            <w:r w:rsidRPr="00FB0A60">
              <w:rPr>
                <w:rFonts w:eastAsia="Franklin Gothic Book" w:cstheme="minorHAnsi"/>
                <w:sz w:val="24"/>
              </w:rPr>
              <w:t>o</w:t>
            </w:r>
            <w:r w:rsidRPr="00FB0A60">
              <w:rPr>
                <w:rFonts w:eastAsia="Franklin Gothic Book" w:cstheme="minorHAnsi"/>
                <w:spacing w:val="-2"/>
                <w:sz w:val="24"/>
              </w:rPr>
              <w:t>r</w:t>
            </w:r>
            <w:r w:rsidRPr="00FB0A60">
              <w:rPr>
                <w:rFonts w:eastAsia="Franklin Gothic Book" w:cstheme="minorHAnsi"/>
                <w:sz w:val="24"/>
              </w:rPr>
              <w:t>mal</w:t>
            </w:r>
          </w:p>
          <w:p w14:paraId="5E1E3046" w14:textId="77777777" w:rsidR="00DD1612" w:rsidRPr="003959B0" w:rsidRDefault="00DD1612" w:rsidP="00BD375F">
            <w:pPr>
              <w:widowControl w:val="0"/>
              <w:rPr>
                <w:rFonts w:eastAsia="Franklin Gothic Book" w:cstheme="minorHAnsi"/>
                <w:spacing w:val="-2"/>
                <w:sz w:val="16"/>
                <w:szCs w:val="16"/>
                <w:highlight w:val="yellow"/>
              </w:rPr>
            </w:pPr>
            <w:r w:rsidRPr="00FB0A60">
              <w:rPr>
                <w:rFonts w:eastAsia="Franklin Gothic Book" w:cstheme="minorHAnsi"/>
                <w:sz w:val="24"/>
              </w:rPr>
              <w:t>2016: Projected Unit Credit</w:t>
            </w:r>
          </w:p>
        </w:tc>
      </w:tr>
      <w:tr w:rsidR="00DD1612" w:rsidRPr="00A454B4" w14:paraId="7D02973F" w14:textId="77777777" w:rsidTr="00BD375F">
        <w:trPr>
          <w:trHeight w:val="246"/>
          <w:jc w:val="center"/>
        </w:trPr>
        <w:tc>
          <w:tcPr>
            <w:tcW w:w="1576" w:type="pct"/>
          </w:tcPr>
          <w:p w14:paraId="694BEBFA" w14:textId="77777777" w:rsidR="00DD1612" w:rsidRPr="00F54559" w:rsidRDefault="00DD1612" w:rsidP="00BD375F">
            <w:pPr>
              <w:widowControl w:val="0"/>
              <w:rPr>
                <w:rFonts w:eastAsia="Franklin Gothic Book" w:cstheme="minorHAnsi"/>
                <w:spacing w:val="-2"/>
                <w:sz w:val="24"/>
              </w:rPr>
            </w:pPr>
            <w:r w:rsidRPr="00F54559">
              <w:rPr>
                <w:rFonts w:eastAsia="Franklin Gothic Book" w:cstheme="minorHAnsi"/>
                <w:spacing w:val="-2"/>
                <w:sz w:val="24"/>
              </w:rPr>
              <w:t>Amortization method</w:t>
            </w:r>
          </w:p>
        </w:tc>
        <w:tc>
          <w:tcPr>
            <w:tcW w:w="3424" w:type="pct"/>
          </w:tcPr>
          <w:p w14:paraId="7907E3D4" w14:textId="6AD99FA0" w:rsidR="0064393D" w:rsidRDefault="0064393D" w:rsidP="00BD375F">
            <w:pPr>
              <w:widowControl w:val="0"/>
              <w:rPr>
                <w:rFonts w:eastAsia="Franklin Gothic Book" w:cstheme="minorHAnsi"/>
                <w:sz w:val="24"/>
              </w:rPr>
            </w:pPr>
            <w:r>
              <w:rPr>
                <w:rFonts w:eastAsia="Franklin Gothic Book" w:cstheme="minorHAnsi"/>
                <w:sz w:val="24"/>
              </w:rPr>
              <w:t>2023: Level dollar amount over 30 years on an open amortization period. Pursuant to Section 5 of the UMS OPEB Funding Policy adopted October 7, 2022, when the OPEB Plan funded status, which equals the market value of assets divided by the Total OPEB Liability, is greater than 100% but less than 130%, UMS will contribute a modified actuarially determined employer contribution, determined without regard to the surplus assets.</w:t>
            </w:r>
          </w:p>
          <w:p w14:paraId="20A8C47E" w14:textId="049C3E1F" w:rsidR="00DD1612" w:rsidRPr="003959B0" w:rsidRDefault="00DD1612" w:rsidP="00BD375F">
            <w:pPr>
              <w:widowControl w:val="0"/>
              <w:rPr>
                <w:rFonts w:eastAsia="Franklin Gothic Book" w:cstheme="minorHAnsi"/>
                <w:sz w:val="24"/>
              </w:rPr>
            </w:pPr>
            <w:r w:rsidRPr="003959B0">
              <w:rPr>
                <w:rFonts w:eastAsia="Franklin Gothic Book" w:cstheme="minorHAnsi"/>
                <w:sz w:val="24"/>
              </w:rPr>
              <w:t xml:space="preserve">2022: Level dollar amount over </w:t>
            </w:r>
            <w:r w:rsidRPr="00720B27">
              <w:rPr>
                <w:rFonts w:eastAsia="Franklin Gothic Book" w:cstheme="minorHAnsi"/>
                <w:sz w:val="24"/>
              </w:rPr>
              <w:t>30</w:t>
            </w:r>
            <w:r w:rsidRPr="003959B0">
              <w:rPr>
                <w:rFonts w:eastAsia="Franklin Gothic Book" w:cstheme="minorHAnsi"/>
                <w:sz w:val="24"/>
              </w:rPr>
              <w:t xml:space="preserve"> years on an open amortization period</w:t>
            </w:r>
            <w:r w:rsidRPr="003959B0" w:rsidDel="008F45FE">
              <w:rPr>
                <w:rFonts w:eastAsia="Franklin Gothic Book" w:cstheme="minorHAnsi"/>
                <w:sz w:val="24"/>
              </w:rPr>
              <w:t xml:space="preserve"> </w:t>
            </w:r>
          </w:p>
          <w:p w14:paraId="0586D41E" w14:textId="77777777" w:rsidR="00DD1612" w:rsidRPr="00FB0A60" w:rsidRDefault="00DD1612" w:rsidP="00BD375F">
            <w:pPr>
              <w:widowControl w:val="0"/>
              <w:rPr>
                <w:rFonts w:eastAsia="Franklin Gothic Book" w:cstheme="minorHAnsi"/>
                <w:sz w:val="24"/>
              </w:rPr>
            </w:pPr>
            <w:r w:rsidRPr="00FB0A60">
              <w:rPr>
                <w:rFonts w:eastAsia="Franklin Gothic Book" w:cstheme="minorHAnsi"/>
                <w:sz w:val="24"/>
              </w:rPr>
              <w:t>202</w:t>
            </w:r>
            <w:r w:rsidRPr="003959B0">
              <w:rPr>
                <w:rFonts w:eastAsia="Franklin Gothic Book" w:cstheme="minorHAnsi"/>
                <w:sz w:val="24"/>
              </w:rPr>
              <w:t>1</w:t>
            </w:r>
            <w:r w:rsidRPr="00FB0A60">
              <w:rPr>
                <w:rFonts w:eastAsia="Franklin Gothic Book" w:cstheme="minorHAnsi"/>
                <w:sz w:val="24"/>
              </w:rPr>
              <w:t>: Level dollar amount over 25 years on a closed amortization period</w:t>
            </w:r>
          </w:p>
          <w:p w14:paraId="20843B2C" w14:textId="77777777" w:rsidR="00DD1612" w:rsidRPr="00FB0A60" w:rsidRDefault="00DD1612" w:rsidP="00BD375F">
            <w:pPr>
              <w:widowControl w:val="0"/>
              <w:rPr>
                <w:rFonts w:eastAsia="Franklin Gothic Book" w:cstheme="minorHAnsi"/>
                <w:sz w:val="24"/>
              </w:rPr>
            </w:pPr>
            <w:r w:rsidRPr="00FB0A60">
              <w:rPr>
                <w:rFonts w:eastAsia="Franklin Gothic Book" w:cstheme="minorHAnsi"/>
                <w:sz w:val="24"/>
              </w:rPr>
              <w:t>2020: Level dollar amount over 26 years on a closed amortization period</w:t>
            </w:r>
          </w:p>
          <w:p w14:paraId="0BDECA46" w14:textId="77777777" w:rsidR="00DD1612" w:rsidRPr="00FB0A60" w:rsidRDefault="00DD1612" w:rsidP="00BD375F">
            <w:pPr>
              <w:widowControl w:val="0"/>
              <w:rPr>
                <w:rFonts w:cstheme="minorHAnsi"/>
                <w:sz w:val="24"/>
                <w:szCs w:val="20"/>
              </w:rPr>
            </w:pPr>
            <w:r w:rsidRPr="00FB0A60">
              <w:rPr>
                <w:rFonts w:eastAsia="Franklin Gothic Book" w:cstheme="minorHAnsi"/>
                <w:sz w:val="24"/>
              </w:rPr>
              <w:t>2019: Level dollar amount over 28 years on a closed amortization period</w:t>
            </w:r>
          </w:p>
        </w:tc>
      </w:tr>
      <w:tr w:rsidR="00DD1612" w:rsidRPr="00A454B4" w14:paraId="7E8185E3" w14:textId="77777777" w:rsidTr="00BD375F">
        <w:trPr>
          <w:trHeight w:val="246"/>
          <w:jc w:val="center"/>
        </w:trPr>
        <w:tc>
          <w:tcPr>
            <w:tcW w:w="1576" w:type="pct"/>
          </w:tcPr>
          <w:p w14:paraId="67715873" w14:textId="77777777" w:rsidR="00DD1612" w:rsidRPr="00F54559" w:rsidRDefault="00DD1612" w:rsidP="00BD375F">
            <w:pPr>
              <w:widowControl w:val="0"/>
              <w:rPr>
                <w:rFonts w:eastAsia="Franklin Gothic Book" w:cstheme="minorHAnsi"/>
                <w:spacing w:val="-2"/>
                <w:sz w:val="24"/>
              </w:rPr>
            </w:pPr>
          </w:p>
        </w:tc>
        <w:tc>
          <w:tcPr>
            <w:tcW w:w="3424" w:type="pct"/>
          </w:tcPr>
          <w:p w14:paraId="025B2AB1" w14:textId="77777777" w:rsidR="00DD1612" w:rsidRPr="00FB0A60" w:rsidRDefault="00DD1612" w:rsidP="00BD375F">
            <w:pPr>
              <w:widowControl w:val="0"/>
              <w:rPr>
                <w:rFonts w:eastAsia="Franklin Gothic Book" w:cstheme="minorHAnsi"/>
                <w:sz w:val="24"/>
              </w:rPr>
            </w:pPr>
            <w:r w:rsidRPr="00FB0A60">
              <w:rPr>
                <w:rFonts w:eastAsia="Franklin Gothic Book" w:cstheme="minorHAnsi"/>
                <w:sz w:val="24"/>
              </w:rPr>
              <w:t>2017 to 2018: Level dollar amount over 30 years on a closed amortization period</w:t>
            </w:r>
          </w:p>
        </w:tc>
      </w:tr>
    </w:tbl>
    <w:p w14:paraId="49FA6182" w14:textId="77777777" w:rsidR="00DD1612" w:rsidRDefault="00DD1612" w:rsidP="00DD1612">
      <w:r>
        <w:br w:type="page"/>
      </w:r>
    </w:p>
    <w:p w14:paraId="257B955D" w14:textId="77777777" w:rsidR="00DD1612" w:rsidRPr="00FE714D" w:rsidRDefault="00DD1612" w:rsidP="00DD1612">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DD1612" w:rsidRPr="00A454B4" w14:paraId="375DE029" w14:textId="77777777" w:rsidTr="00BD375F">
        <w:trPr>
          <w:trHeight w:val="246"/>
          <w:jc w:val="center"/>
        </w:trPr>
        <w:tc>
          <w:tcPr>
            <w:tcW w:w="1576" w:type="pct"/>
          </w:tcPr>
          <w:p w14:paraId="111DE229" w14:textId="77777777" w:rsidR="00DD1612" w:rsidRPr="00F54559" w:rsidRDefault="00DD1612" w:rsidP="00BD375F">
            <w:pPr>
              <w:widowControl w:val="0"/>
              <w:rPr>
                <w:rFonts w:eastAsia="Franklin Gothic Book" w:cstheme="minorHAnsi"/>
                <w:spacing w:val="-2"/>
                <w:sz w:val="24"/>
              </w:rPr>
            </w:pPr>
            <w:r w:rsidRPr="00F54559">
              <w:rPr>
                <w:rFonts w:eastAsia="Franklin Gothic Book" w:cstheme="minorHAnsi"/>
                <w:spacing w:val="-2"/>
                <w:sz w:val="24"/>
              </w:rPr>
              <w:t>Amortization period</w:t>
            </w:r>
          </w:p>
        </w:tc>
        <w:tc>
          <w:tcPr>
            <w:tcW w:w="3424" w:type="pct"/>
          </w:tcPr>
          <w:p w14:paraId="4279FC69" w14:textId="69D2D0AF" w:rsidR="00DD1612" w:rsidRPr="003959B0" w:rsidRDefault="00DD1612" w:rsidP="00BD375F">
            <w:pPr>
              <w:widowControl w:val="0"/>
              <w:rPr>
                <w:rFonts w:eastAsia="Franklin Gothic Book" w:cstheme="minorHAnsi"/>
                <w:sz w:val="24"/>
              </w:rPr>
            </w:pPr>
            <w:r w:rsidRPr="003959B0">
              <w:rPr>
                <w:rFonts w:eastAsia="Franklin Gothic Book" w:cstheme="minorHAnsi"/>
                <w:sz w:val="24"/>
              </w:rPr>
              <w:t>2022</w:t>
            </w:r>
            <w:r w:rsidR="00C4715E">
              <w:rPr>
                <w:rFonts w:eastAsia="Franklin Gothic Book" w:cstheme="minorHAnsi"/>
                <w:sz w:val="24"/>
              </w:rPr>
              <w:t xml:space="preserve"> to 2023</w:t>
            </w:r>
            <w:r w:rsidRPr="003959B0">
              <w:rPr>
                <w:rFonts w:eastAsia="Franklin Gothic Book" w:cstheme="minorHAnsi"/>
                <w:sz w:val="24"/>
              </w:rPr>
              <w:t xml:space="preserve">: </w:t>
            </w:r>
            <w:r>
              <w:rPr>
                <w:rFonts w:eastAsia="Franklin Gothic Book" w:cstheme="minorHAnsi"/>
                <w:sz w:val="24"/>
              </w:rPr>
              <w:t>30</w:t>
            </w:r>
            <w:r w:rsidRPr="003959B0">
              <w:rPr>
                <w:rFonts w:eastAsia="Franklin Gothic Book" w:cstheme="minorHAnsi"/>
                <w:sz w:val="24"/>
              </w:rPr>
              <w:t xml:space="preserve"> years</w:t>
            </w:r>
          </w:p>
          <w:p w14:paraId="5CD526DA"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2021: 25 years</w:t>
            </w:r>
          </w:p>
          <w:p w14:paraId="784069CF"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2020: 26 years</w:t>
            </w:r>
          </w:p>
          <w:p w14:paraId="5A282AA0"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2019: 28 years</w:t>
            </w:r>
          </w:p>
          <w:p w14:paraId="51F822DA" w14:textId="77777777" w:rsidR="00DD1612" w:rsidRPr="003959B0" w:rsidRDefault="00DD1612" w:rsidP="00BD375F">
            <w:pPr>
              <w:widowControl w:val="0"/>
              <w:rPr>
                <w:rFonts w:eastAsia="Franklin Gothic Book" w:cstheme="minorHAnsi"/>
                <w:color w:val="FF0000"/>
                <w:sz w:val="24"/>
              </w:rPr>
            </w:pPr>
            <w:r w:rsidRPr="009D1607">
              <w:rPr>
                <w:rFonts w:eastAsia="Franklin Gothic Book" w:cstheme="minorHAnsi"/>
                <w:sz w:val="24"/>
              </w:rPr>
              <w:t>2017 to 2018: 30 years</w:t>
            </w:r>
          </w:p>
        </w:tc>
      </w:tr>
      <w:tr w:rsidR="00DD1612" w:rsidRPr="00A454B4" w14:paraId="332551D2" w14:textId="77777777" w:rsidTr="00BD375F">
        <w:trPr>
          <w:trHeight w:val="246"/>
          <w:jc w:val="center"/>
        </w:trPr>
        <w:tc>
          <w:tcPr>
            <w:tcW w:w="1576" w:type="pct"/>
          </w:tcPr>
          <w:p w14:paraId="276D4C01" w14:textId="77777777" w:rsidR="00DD1612" w:rsidRPr="00F54559" w:rsidRDefault="00DD1612" w:rsidP="00BD375F">
            <w:pPr>
              <w:widowControl w:val="0"/>
              <w:rPr>
                <w:rFonts w:eastAsia="Franklin Gothic Book" w:cstheme="minorHAnsi"/>
                <w:spacing w:val="-2"/>
                <w:sz w:val="24"/>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24" w:type="pct"/>
          </w:tcPr>
          <w:p w14:paraId="2709844D" w14:textId="77777777" w:rsidR="00DD1612" w:rsidRPr="00F54559" w:rsidRDefault="00DD1612" w:rsidP="00BD375F">
            <w:pPr>
              <w:widowControl w:val="0"/>
              <w:rPr>
                <w:rFonts w:eastAsia="Franklin Gothic Book" w:cstheme="minorHAnsi"/>
                <w:sz w:val="24"/>
              </w:rPr>
            </w:pPr>
            <w:r w:rsidRPr="00F54559">
              <w:rPr>
                <w:rFonts w:eastAsia="Franklin Gothic Book" w:cstheme="minorHAnsi"/>
                <w:sz w:val="24"/>
              </w:rPr>
              <w:t>Market value</w:t>
            </w:r>
          </w:p>
        </w:tc>
      </w:tr>
      <w:tr w:rsidR="00DD1612" w:rsidRPr="00A454B4" w14:paraId="6A658F33" w14:textId="77777777" w:rsidTr="00BD375F">
        <w:trPr>
          <w:trHeight w:val="246"/>
          <w:jc w:val="center"/>
        </w:trPr>
        <w:tc>
          <w:tcPr>
            <w:tcW w:w="1576" w:type="pct"/>
          </w:tcPr>
          <w:p w14:paraId="39C0A295" w14:textId="77777777" w:rsidR="00DD1612" w:rsidRPr="00F54559" w:rsidRDefault="00DD1612" w:rsidP="00BD375F">
            <w:pPr>
              <w:widowControl w:val="0"/>
              <w:rPr>
                <w:rFonts w:eastAsia="Franklin Gothic Book" w:cstheme="minorHAnsi"/>
                <w:spacing w:val="-2"/>
                <w:sz w:val="24"/>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24" w:type="pct"/>
          </w:tcPr>
          <w:p w14:paraId="268A5F11" w14:textId="57D5A5A6" w:rsidR="0064393D" w:rsidRDefault="0064393D" w:rsidP="00BD375F">
            <w:pPr>
              <w:widowControl w:val="0"/>
              <w:rPr>
                <w:rFonts w:eastAsia="Franklin Gothic Book" w:cstheme="minorHAnsi"/>
                <w:sz w:val="24"/>
              </w:rPr>
            </w:pPr>
            <w:r>
              <w:rPr>
                <w:rFonts w:eastAsia="Franklin Gothic Book" w:cstheme="minorHAnsi"/>
                <w:sz w:val="24"/>
              </w:rPr>
              <w:t>2023: 2.5%</w:t>
            </w:r>
          </w:p>
          <w:p w14:paraId="2E29F7EF" w14:textId="4E300B77" w:rsidR="00DD1612" w:rsidRPr="00943CF1" w:rsidRDefault="00DD1612" w:rsidP="00BD375F">
            <w:pPr>
              <w:widowControl w:val="0"/>
              <w:rPr>
                <w:rFonts w:eastAsia="Franklin Gothic Book" w:cstheme="minorHAnsi"/>
                <w:sz w:val="24"/>
              </w:rPr>
            </w:pPr>
            <w:r w:rsidRPr="00943CF1">
              <w:rPr>
                <w:rFonts w:eastAsia="Franklin Gothic Book" w:cstheme="minorHAnsi"/>
                <w:sz w:val="24"/>
              </w:rPr>
              <w:t>2022: 2.4%</w:t>
            </w:r>
          </w:p>
          <w:p w14:paraId="1B196272"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2021: 2.2%</w:t>
            </w:r>
          </w:p>
          <w:p w14:paraId="37E261FE"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2020: 2.4%</w:t>
            </w:r>
          </w:p>
          <w:p w14:paraId="02D6180E" w14:textId="77777777" w:rsidR="00DD1612" w:rsidRPr="00F54559" w:rsidRDefault="00DD1612" w:rsidP="00BD375F">
            <w:pPr>
              <w:widowControl w:val="0"/>
              <w:rPr>
                <w:rFonts w:eastAsia="Franklin Gothic Book" w:cstheme="minorHAnsi"/>
                <w:sz w:val="24"/>
              </w:rPr>
            </w:pPr>
            <w:r w:rsidRPr="009D1607">
              <w:rPr>
                <w:rFonts w:eastAsia="Franklin Gothic Book" w:cstheme="minorHAnsi"/>
                <w:sz w:val="24"/>
              </w:rPr>
              <w:t>2019: 2.6%</w:t>
            </w:r>
          </w:p>
        </w:tc>
      </w:tr>
      <w:tr w:rsidR="00DD1612" w:rsidRPr="00A454B4" w14:paraId="14304781" w14:textId="77777777" w:rsidTr="00BD375F">
        <w:trPr>
          <w:trHeight w:val="246"/>
          <w:jc w:val="center"/>
        </w:trPr>
        <w:tc>
          <w:tcPr>
            <w:tcW w:w="1576" w:type="pct"/>
          </w:tcPr>
          <w:p w14:paraId="5533879F" w14:textId="77777777" w:rsidR="00DD1612" w:rsidRPr="00F54559" w:rsidRDefault="00DD1612" w:rsidP="00BD375F">
            <w:pPr>
              <w:widowControl w:val="0"/>
              <w:rPr>
                <w:rFonts w:eastAsia="Franklin Gothic Book" w:cstheme="minorHAnsi"/>
                <w:sz w:val="24"/>
              </w:rPr>
            </w:pPr>
          </w:p>
        </w:tc>
        <w:tc>
          <w:tcPr>
            <w:tcW w:w="3424" w:type="pct"/>
          </w:tcPr>
          <w:p w14:paraId="34E6C56A" w14:textId="77777777" w:rsidR="00DD1612" w:rsidRPr="00943CF1" w:rsidRDefault="00DD1612" w:rsidP="00BD375F">
            <w:pPr>
              <w:widowControl w:val="0"/>
              <w:rPr>
                <w:rFonts w:eastAsia="Franklin Gothic Book" w:cstheme="minorHAnsi"/>
                <w:sz w:val="24"/>
              </w:rPr>
            </w:pPr>
            <w:r w:rsidRPr="00FB0A60">
              <w:rPr>
                <w:rFonts w:eastAsia="Franklin Gothic Book" w:cstheme="minorHAnsi"/>
                <w:sz w:val="24"/>
              </w:rPr>
              <w:t>2017 to 2018: 3% per year</w:t>
            </w:r>
          </w:p>
        </w:tc>
      </w:tr>
      <w:tr w:rsidR="00F508AF" w:rsidRPr="00A454B4" w14:paraId="39862BB6" w14:textId="77777777" w:rsidTr="00BD375F">
        <w:trPr>
          <w:trHeight w:val="246"/>
          <w:jc w:val="center"/>
        </w:trPr>
        <w:tc>
          <w:tcPr>
            <w:tcW w:w="1576" w:type="pct"/>
          </w:tcPr>
          <w:p w14:paraId="649EEFEA" w14:textId="77777777" w:rsidR="00F508AF" w:rsidRDefault="00F508AF" w:rsidP="00BD375F">
            <w:pPr>
              <w:widowControl w:val="0"/>
              <w:rPr>
                <w:rFonts w:eastAsia="Franklin Gothic Book" w:cstheme="minorHAnsi"/>
                <w:sz w:val="24"/>
              </w:rPr>
            </w:pPr>
            <w:r>
              <w:rPr>
                <w:rFonts w:eastAsia="Franklin Gothic Book" w:cstheme="minorHAnsi"/>
                <w:sz w:val="24"/>
              </w:rPr>
              <w:t xml:space="preserve">Medical trend rates </w:t>
            </w:r>
          </w:p>
          <w:p w14:paraId="648F69BB" w14:textId="29BB0D3B" w:rsidR="00F508AF" w:rsidRPr="00F54559" w:rsidRDefault="00F508AF" w:rsidP="00BD375F">
            <w:pPr>
              <w:widowControl w:val="0"/>
              <w:rPr>
                <w:rFonts w:eastAsia="Franklin Gothic Book" w:cstheme="minorHAnsi"/>
                <w:sz w:val="24"/>
              </w:rPr>
            </w:pPr>
            <w:r>
              <w:rPr>
                <w:rFonts w:eastAsia="Franklin Gothic Book" w:cstheme="minorHAnsi"/>
                <w:sz w:val="24"/>
              </w:rPr>
              <w:t>(Cigna Plans)</w:t>
            </w:r>
          </w:p>
        </w:tc>
        <w:tc>
          <w:tcPr>
            <w:tcW w:w="3424" w:type="pct"/>
          </w:tcPr>
          <w:p w14:paraId="6CD81AB9" w14:textId="26999A5E" w:rsidR="00F508AF" w:rsidRPr="00FB0A60" w:rsidRDefault="00F508AF" w:rsidP="00BD375F">
            <w:pPr>
              <w:widowControl w:val="0"/>
              <w:rPr>
                <w:rFonts w:eastAsia="Franklin Gothic Book" w:cstheme="minorHAnsi"/>
                <w:sz w:val="24"/>
              </w:rPr>
            </w:pPr>
            <w:r>
              <w:rPr>
                <w:rFonts w:eastAsia="Franklin Gothic Book" w:cstheme="minorHAnsi"/>
                <w:sz w:val="24"/>
              </w:rPr>
              <w:t>2023: 8% decreasing .5% per year to 5.5%, then grading down to an ultimate trend rate of 4.1%, utilizing the Society of Actuaries Getzen Medical Trend Model. The ultimate medical inflation rate is reached in 2075.</w:t>
            </w:r>
          </w:p>
        </w:tc>
      </w:tr>
      <w:tr w:rsidR="00F508AF" w:rsidRPr="00A454B4" w14:paraId="15EAA027" w14:textId="77777777" w:rsidTr="00BD375F">
        <w:trPr>
          <w:trHeight w:val="246"/>
          <w:jc w:val="center"/>
        </w:trPr>
        <w:tc>
          <w:tcPr>
            <w:tcW w:w="1576" w:type="pct"/>
          </w:tcPr>
          <w:p w14:paraId="2343C3D8" w14:textId="77777777" w:rsidR="00F508AF" w:rsidRDefault="00F508AF" w:rsidP="00BD375F">
            <w:pPr>
              <w:widowControl w:val="0"/>
              <w:rPr>
                <w:rFonts w:eastAsia="Franklin Gothic Book" w:cstheme="minorHAnsi"/>
                <w:sz w:val="24"/>
              </w:rPr>
            </w:pPr>
            <w:r>
              <w:rPr>
                <w:rFonts w:eastAsia="Franklin Gothic Book" w:cstheme="minorHAnsi"/>
                <w:sz w:val="24"/>
              </w:rPr>
              <w:t>Medical trend rates</w:t>
            </w:r>
          </w:p>
          <w:p w14:paraId="5F4F6D56" w14:textId="7D8A6A57" w:rsidR="00F508AF" w:rsidRDefault="00F508AF" w:rsidP="00BD375F">
            <w:pPr>
              <w:widowControl w:val="0"/>
              <w:rPr>
                <w:rFonts w:eastAsia="Franklin Gothic Book" w:cstheme="minorHAnsi"/>
                <w:sz w:val="24"/>
              </w:rPr>
            </w:pPr>
            <w:r>
              <w:rPr>
                <w:rFonts w:eastAsia="Franklin Gothic Book" w:cstheme="minorHAnsi"/>
                <w:sz w:val="24"/>
              </w:rPr>
              <w:t>(Aetna Medicare Advantage Plan)</w:t>
            </w:r>
          </w:p>
        </w:tc>
        <w:tc>
          <w:tcPr>
            <w:tcW w:w="3424" w:type="pct"/>
          </w:tcPr>
          <w:p w14:paraId="052274E1" w14:textId="34AF531C" w:rsidR="00F508AF" w:rsidRDefault="00F508AF" w:rsidP="00BD375F">
            <w:pPr>
              <w:widowControl w:val="0"/>
              <w:rPr>
                <w:rFonts w:eastAsia="Franklin Gothic Book" w:cstheme="minorHAnsi"/>
                <w:sz w:val="24"/>
              </w:rPr>
            </w:pPr>
            <w:r>
              <w:rPr>
                <w:rFonts w:eastAsia="Franklin Gothic Book" w:cstheme="minorHAnsi"/>
                <w:sz w:val="24"/>
              </w:rPr>
              <w:t xml:space="preserve">2023: 6% in year 1 grading down .5% per year to an ultimate trend rate of 4%, recognizing that over the last several years there have been plan design changes that have impacted the premium rates. </w:t>
            </w:r>
          </w:p>
        </w:tc>
      </w:tr>
      <w:tr w:rsidR="00DD1612" w:rsidRPr="00A454B4" w14:paraId="3580A494" w14:textId="77777777" w:rsidTr="00BD375F">
        <w:trPr>
          <w:trHeight w:val="246"/>
          <w:jc w:val="center"/>
        </w:trPr>
        <w:tc>
          <w:tcPr>
            <w:tcW w:w="1576" w:type="pct"/>
          </w:tcPr>
          <w:p w14:paraId="1B33EB18" w14:textId="77777777" w:rsidR="00DD1612" w:rsidRPr="00F54559" w:rsidRDefault="00DD1612" w:rsidP="00BD375F">
            <w:pPr>
              <w:widowControl w:val="0"/>
              <w:rPr>
                <w:rFonts w:eastAsia="Franklin Gothic Book" w:cstheme="minorHAnsi"/>
                <w:sz w:val="24"/>
              </w:rPr>
            </w:pPr>
            <w:r w:rsidRPr="00F54559">
              <w:rPr>
                <w:rFonts w:cstheme="minorHAnsi"/>
                <w:sz w:val="24"/>
                <w:szCs w:val="20"/>
              </w:rPr>
              <w:t>Healthcare cost trend rate</w:t>
            </w:r>
          </w:p>
        </w:tc>
        <w:tc>
          <w:tcPr>
            <w:tcW w:w="3424" w:type="pct"/>
          </w:tcPr>
          <w:p w14:paraId="31CEB948" w14:textId="77777777" w:rsidR="00DD1612" w:rsidRPr="00FB0A60" w:rsidRDefault="00DD1612" w:rsidP="00BD375F">
            <w:pPr>
              <w:widowControl w:val="0"/>
              <w:rPr>
                <w:rFonts w:eastAsia="Franklin Gothic Book" w:cstheme="minorHAnsi"/>
                <w:spacing w:val="-1"/>
                <w:sz w:val="24"/>
              </w:rPr>
            </w:pPr>
            <w:r w:rsidRPr="00FB0A60">
              <w:rPr>
                <w:rFonts w:eastAsia="Franklin Gothic Book" w:cstheme="minorHAnsi"/>
                <w:spacing w:val="-1"/>
                <w:sz w:val="24"/>
              </w:rPr>
              <w:t>2021</w:t>
            </w:r>
            <w:r w:rsidRPr="003959B0">
              <w:rPr>
                <w:rFonts w:eastAsia="Franklin Gothic Book" w:cstheme="minorHAnsi"/>
                <w:spacing w:val="-1"/>
                <w:sz w:val="24"/>
              </w:rPr>
              <w:t xml:space="preserve"> to 2022</w:t>
            </w:r>
            <w:r w:rsidRPr="00FB0A60">
              <w:rPr>
                <w:rFonts w:eastAsia="Franklin Gothic Book" w:cstheme="minorHAnsi"/>
                <w:spacing w:val="-1"/>
                <w:sz w:val="24"/>
              </w:rPr>
              <w:t xml:space="preserve">: </w:t>
            </w:r>
            <w:r w:rsidRPr="00FB0A60">
              <w:rPr>
                <w:rFonts w:eastAsia="Franklin Gothic Book" w:cstheme="minorHAnsi"/>
                <w:spacing w:val="-1"/>
                <w:sz w:val="24"/>
                <w:szCs w:val="24"/>
              </w:rPr>
              <w:t>6% decreasing .25% per year to 5.25%, then grading down to an ultimate trend rate of 4%, utilizing the Society of Actuaries Getzen Medical Trend Model. The ultimate medical inflation rate is reached in 2075.</w:t>
            </w:r>
          </w:p>
          <w:p w14:paraId="62A6D685" w14:textId="77777777" w:rsidR="00DD1612" w:rsidRPr="00FB0A60" w:rsidRDefault="00DD1612" w:rsidP="00BD375F">
            <w:pPr>
              <w:widowControl w:val="0"/>
              <w:rPr>
                <w:rFonts w:eastAsia="Franklin Gothic Book" w:cstheme="minorHAnsi"/>
                <w:sz w:val="24"/>
              </w:rPr>
            </w:pPr>
            <w:r w:rsidRPr="00FB0A60">
              <w:rPr>
                <w:rFonts w:eastAsia="Franklin Gothic Book" w:cstheme="minorHAnsi"/>
                <w:spacing w:val="-1"/>
                <w:sz w:val="24"/>
              </w:rPr>
              <w:t>2019 to 2020: 8% decreasing .5% per year to 5.5%, then grading down to an ultimate trend rate of 3.9%, utilizing the Society of Actuaries Getzen Medical Trend Model. The ultimate medical inflation rate is reached in 2075.</w:t>
            </w:r>
          </w:p>
        </w:tc>
      </w:tr>
      <w:tr w:rsidR="00DD1612" w:rsidRPr="00A454B4" w14:paraId="787E4CB4" w14:textId="77777777" w:rsidTr="00BD375F">
        <w:trPr>
          <w:trHeight w:val="246"/>
          <w:jc w:val="center"/>
        </w:trPr>
        <w:tc>
          <w:tcPr>
            <w:tcW w:w="1576" w:type="pct"/>
          </w:tcPr>
          <w:p w14:paraId="233689B3" w14:textId="77777777" w:rsidR="00DD1612" w:rsidRPr="00F54559" w:rsidRDefault="00DD1612" w:rsidP="00BD375F">
            <w:pPr>
              <w:widowControl w:val="0"/>
              <w:rPr>
                <w:rFonts w:cstheme="minorHAnsi"/>
                <w:sz w:val="24"/>
                <w:szCs w:val="20"/>
              </w:rPr>
            </w:pPr>
          </w:p>
        </w:tc>
        <w:tc>
          <w:tcPr>
            <w:tcW w:w="3424" w:type="pct"/>
          </w:tcPr>
          <w:p w14:paraId="7E4D59E3" w14:textId="77777777" w:rsidR="00DD1612" w:rsidRPr="00FB0A60" w:rsidRDefault="00DD1612" w:rsidP="00BD375F">
            <w:pPr>
              <w:widowControl w:val="0"/>
              <w:rPr>
                <w:rFonts w:eastAsia="Franklin Gothic Book" w:cstheme="minorHAnsi"/>
                <w:spacing w:val="-1"/>
                <w:sz w:val="24"/>
              </w:rPr>
            </w:pPr>
            <w:r w:rsidRPr="00FB0A60">
              <w:rPr>
                <w:rFonts w:eastAsia="Franklin Gothic Book" w:cstheme="minorHAnsi"/>
                <w:spacing w:val="-1"/>
                <w:sz w:val="24"/>
              </w:rPr>
              <w:t>2017 to 2018: 8% decreasing 1% per year to an ultimate rate of 5% for 2020 and later years</w:t>
            </w:r>
          </w:p>
        </w:tc>
      </w:tr>
      <w:tr w:rsidR="00F508AF" w:rsidRPr="00A454B4" w14:paraId="46A173D4" w14:textId="77777777" w:rsidTr="00BD375F">
        <w:trPr>
          <w:trHeight w:val="246"/>
          <w:jc w:val="center"/>
        </w:trPr>
        <w:tc>
          <w:tcPr>
            <w:tcW w:w="1576" w:type="pct"/>
          </w:tcPr>
          <w:p w14:paraId="7D6DC067" w14:textId="77777777" w:rsidR="00F508AF" w:rsidRDefault="00F508AF" w:rsidP="00BD375F">
            <w:pPr>
              <w:widowControl w:val="0"/>
              <w:rPr>
                <w:rFonts w:cstheme="minorHAnsi"/>
                <w:sz w:val="24"/>
                <w:szCs w:val="20"/>
              </w:rPr>
            </w:pPr>
            <w:r>
              <w:rPr>
                <w:rFonts w:cstheme="minorHAnsi"/>
                <w:sz w:val="24"/>
                <w:szCs w:val="20"/>
              </w:rPr>
              <w:t>Prescription drug trend rates</w:t>
            </w:r>
          </w:p>
          <w:p w14:paraId="438A5DC3" w14:textId="5404E601" w:rsidR="00F508AF" w:rsidRPr="00F54559" w:rsidRDefault="00F508AF" w:rsidP="00BD375F">
            <w:pPr>
              <w:widowControl w:val="0"/>
              <w:rPr>
                <w:rFonts w:cstheme="minorHAnsi"/>
                <w:sz w:val="24"/>
                <w:szCs w:val="20"/>
              </w:rPr>
            </w:pPr>
            <w:r>
              <w:rPr>
                <w:rFonts w:cstheme="minorHAnsi"/>
                <w:sz w:val="24"/>
                <w:szCs w:val="20"/>
              </w:rPr>
              <w:t>(Catastrophic Prescription Drug HRA)</w:t>
            </w:r>
          </w:p>
        </w:tc>
        <w:tc>
          <w:tcPr>
            <w:tcW w:w="3424" w:type="pct"/>
          </w:tcPr>
          <w:p w14:paraId="2E3BC92C" w14:textId="432806BE" w:rsidR="00F508AF" w:rsidRPr="00FB0A60" w:rsidRDefault="00F508AF" w:rsidP="00BD375F">
            <w:pPr>
              <w:widowControl w:val="0"/>
              <w:rPr>
                <w:rFonts w:eastAsia="Franklin Gothic Book" w:cstheme="minorHAnsi"/>
                <w:spacing w:val="-1"/>
                <w:sz w:val="24"/>
              </w:rPr>
            </w:pPr>
            <w:r>
              <w:rPr>
                <w:rFonts w:eastAsia="Franklin Gothic Book" w:cstheme="minorHAnsi"/>
                <w:spacing w:val="-1"/>
                <w:sz w:val="24"/>
              </w:rPr>
              <w:t>2023: 20% for year 1, 19% for year 2, 18% for year 3, decreasing at varying rates per year to an ultimate trend rate of 6%. The ultimate prescription drug trend rate is reached in 2042.</w:t>
            </w:r>
          </w:p>
        </w:tc>
      </w:tr>
      <w:tr w:rsidR="00DD1612" w:rsidRPr="00A454B4" w14:paraId="629CCFE9" w14:textId="77777777" w:rsidTr="00BD375F">
        <w:trPr>
          <w:trHeight w:val="246"/>
          <w:jc w:val="center"/>
        </w:trPr>
        <w:tc>
          <w:tcPr>
            <w:tcW w:w="1576" w:type="pct"/>
          </w:tcPr>
          <w:p w14:paraId="20517D52" w14:textId="77777777" w:rsidR="00DD1612" w:rsidRPr="00F54559" w:rsidRDefault="00DD1612" w:rsidP="00BD375F">
            <w:pPr>
              <w:widowControl w:val="0"/>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 discount rate</w:t>
            </w:r>
          </w:p>
        </w:tc>
        <w:tc>
          <w:tcPr>
            <w:tcW w:w="3424" w:type="pct"/>
          </w:tcPr>
          <w:p w14:paraId="714163DD" w14:textId="01086494" w:rsidR="00DD1612" w:rsidRPr="009D1607" w:rsidRDefault="00DD1612" w:rsidP="00BD375F">
            <w:pPr>
              <w:widowControl w:val="0"/>
              <w:rPr>
                <w:rFonts w:eastAsia="Franklin Gothic Book" w:cstheme="minorHAnsi"/>
                <w:sz w:val="24"/>
              </w:rPr>
            </w:pPr>
            <w:r w:rsidRPr="009D1607">
              <w:rPr>
                <w:rFonts w:eastAsia="Franklin Gothic Book" w:cstheme="minorHAnsi"/>
                <w:sz w:val="24"/>
              </w:rPr>
              <w:t>2020 to 202</w:t>
            </w:r>
            <w:r w:rsidR="00F508AF">
              <w:rPr>
                <w:rFonts w:eastAsia="Franklin Gothic Book" w:cstheme="minorHAnsi"/>
                <w:sz w:val="24"/>
              </w:rPr>
              <w:t>3</w:t>
            </w:r>
            <w:r w:rsidRPr="009D1607">
              <w:rPr>
                <w:rFonts w:eastAsia="Franklin Gothic Book" w:cstheme="minorHAnsi"/>
                <w:sz w:val="24"/>
              </w:rPr>
              <w:t>: 7.25%</w:t>
            </w:r>
            <w:r w:rsidRPr="009D1607">
              <w:rPr>
                <w:rFonts w:eastAsia="Franklin Gothic Book" w:cstheme="minorHAnsi"/>
                <w:spacing w:val="-1"/>
                <w:sz w:val="24"/>
              </w:rPr>
              <w:t xml:space="preserve"> net of investment expenses, including inflation</w:t>
            </w:r>
          </w:p>
          <w:p w14:paraId="74A11483" w14:textId="77777777" w:rsidR="00DD1612" w:rsidRPr="00FB0A60" w:rsidRDefault="00DD1612" w:rsidP="00BD375F">
            <w:pPr>
              <w:widowControl w:val="0"/>
              <w:rPr>
                <w:rFonts w:eastAsia="Franklin Gothic Book" w:cstheme="minorHAnsi"/>
                <w:spacing w:val="-1"/>
                <w:sz w:val="24"/>
              </w:rPr>
            </w:pPr>
            <w:r w:rsidRPr="009D1607">
              <w:rPr>
                <w:rFonts w:eastAsia="Franklin Gothic Book" w:cstheme="minorHAnsi"/>
                <w:sz w:val="24"/>
              </w:rPr>
              <w:t xml:space="preserve">2017 to 2019: </w:t>
            </w:r>
            <w:r w:rsidRPr="009D1607">
              <w:rPr>
                <w:rFonts w:eastAsia="Franklin Gothic Book" w:cstheme="minorHAnsi"/>
                <w:spacing w:val="-1"/>
                <w:sz w:val="24"/>
              </w:rPr>
              <w:t>7.5% net of investment expenses, including inflation</w:t>
            </w:r>
          </w:p>
        </w:tc>
      </w:tr>
      <w:tr w:rsidR="00DD1612" w:rsidRPr="00A454B4" w14:paraId="6C503F3F" w14:textId="77777777" w:rsidTr="00BD375F">
        <w:trPr>
          <w:trHeight w:val="246"/>
          <w:jc w:val="center"/>
        </w:trPr>
        <w:tc>
          <w:tcPr>
            <w:tcW w:w="1576" w:type="pct"/>
          </w:tcPr>
          <w:p w14:paraId="34E11442" w14:textId="77777777" w:rsidR="00DD1612" w:rsidRPr="00F54559" w:rsidRDefault="00DD1612" w:rsidP="00BD375F">
            <w:pPr>
              <w:widowControl w:val="0"/>
              <w:rPr>
                <w:rFonts w:eastAsia="Franklin Gothic Book" w:cstheme="minorHAnsi"/>
                <w:sz w:val="24"/>
              </w:rPr>
            </w:pPr>
          </w:p>
        </w:tc>
        <w:tc>
          <w:tcPr>
            <w:tcW w:w="3424" w:type="pct"/>
          </w:tcPr>
          <w:p w14:paraId="39D2F00F" w14:textId="77777777" w:rsidR="00DD1612" w:rsidRPr="009D1607" w:rsidRDefault="00DD1612" w:rsidP="00BD375F">
            <w:pPr>
              <w:widowControl w:val="0"/>
              <w:rPr>
                <w:rFonts w:eastAsia="Franklin Gothic Book" w:cstheme="minorHAnsi"/>
                <w:sz w:val="24"/>
              </w:rPr>
            </w:pPr>
            <w:r w:rsidRPr="009D1607">
              <w:rPr>
                <w:rFonts w:eastAsia="Franklin Gothic Book" w:cstheme="minorHAnsi"/>
                <w:spacing w:val="-1"/>
                <w:sz w:val="24"/>
              </w:rPr>
              <w:t>2016: 7.75% net of investment expenses, including inflation</w:t>
            </w:r>
          </w:p>
        </w:tc>
      </w:tr>
    </w:tbl>
    <w:p w14:paraId="5D973EE2" w14:textId="6C60B61A" w:rsidR="0085724B" w:rsidRDefault="0085724B" w:rsidP="00DD1612">
      <w:pPr>
        <w:pStyle w:val="AFR4"/>
        <w:spacing w:before="0" w:after="0"/>
        <w:rPr>
          <w:b w:val="0"/>
          <w:u w:val="none"/>
        </w:rPr>
      </w:pPr>
    </w:p>
    <w:p w14:paraId="5536E3F4" w14:textId="77777777" w:rsidR="0085724B" w:rsidRDefault="0085724B">
      <w:pPr>
        <w:spacing w:after="160" w:line="259" w:lineRule="auto"/>
        <w:rPr>
          <w:sz w:val="24"/>
          <w:szCs w:val="24"/>
        </w:rPr>
      </w:pPr>
      <w:r>
        <w:rPr>
          <w:b/>
        </w:rPr>
        <w:br w:type="page"/>
      </w:r>
    </w:p>
    <w:p w14:paraId="43A79D40" w14:textId="77777777" w:rsidR="0085724B" w:rsidRPr="00FE714D" w:rsidRDefault="0085724B" w:rsidP="0085724B">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tbl>
      <w:tblPr>
        <w:tblW w:w="10440" w:type="dxa"/>
        <w:tblLayout w:type="fixed"/>
        <w:tblLook w:val="04A0" w:firstRow="1" w:lastRow="0" w:firstColumn="1" w:lastColumn="0" w:noHBand="0" w:noVBand="1"/>
      </w:tblPr>
      <w:tblGrid>
        <w:gridCol w:w="3690"/>
        <w:gridCol w:w="990"/>
        <w:gridCol w:w="1080"/>
        <w:gridCol w:w="990"/>
        <w:gridCol w:w="900"/>
        <w:gridCol w:w="900"/>
        <w:gridCol w:w="900"/>
        <w:gridCol w:w="990"/>
      </w:tblGrid>
      <w:tr w:rsidR="00131E33" w:rsidRPr="003B0D41" w14:paraId="0F77061B" w14:textId="77777777" w:rsidTr="00073A1D">
        <w:trPr>
          <w:trHeight w:val="750"/>
          <w:tblHeader/>
        </w:trPr>
        <w:tc>
          <w:tcPr>
            <w:tcW w:w="3690" w:type="dxa"/>
            <w:tcBorders>
              <w:top w:val="nil"/>
              <w:left w:val="nil"/>
              <w:bottom w:val="single" w:sz="12" w:space="0" w:color="00688D"/>
              <w:right w:val="nil"/>
            </w:tcBorders>
            <w:shd w:val="clear" w:color="000000" w:fill="FFFFFF"/>
            <w:vAlign w:val="bottom"/>
            <w:hideMark/>
          </w:tcPr>
          <w:p w14:paraId="0E544CA1" w14:textId="77777777" w:rsidR="009C3541" w:rsidRPr="00770E90" w:rsidRDefault="009C3541" w:rsidP="009C3541">
            <w:pP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Investment Returns:</w:t>
            </w:r>
            <w:r w:rsidRPr="00770E90">
              <w:rPr>
                <w:rFonts w:ascii="Calibri" w:eastAsia="Times New Roman" w:hAnsi="Calibri" w:cs="Calibri"/>
                <w:b/>
                <w:bCs/>
                <w:color w:val="0D0D0D"/>
                <w:sz w:val="24"/>
                <w:szCs w:val="24"/>
              </w:rPr>
              <w:br/>
              <w:t>Fiscal Year Ended June 30</w:t>
            </w:r>
          </w:p>
        </w:tc>
        <w:tc>
          <w:tcPr>
            <w:tcW w:w="990" w:type="dxa"/>
            <w:tcBorders>
              <w:top w:val="nil"/>
              <w:left w:val="nil"/>
              <w:bottom w:val="single" w:sz="12" w:space="0" w:color="00688D"/>
              <w:right w:val="nil"/>
            </w:tcBorders>
            <w:shd w:val="clear" w:color="auto" w:fill="F2F2F2" w:themeFill="background1" w:themeFillShade="F2"/>
            <w:vAlign w:val="bottom"/>
          </w:tcPr>
          <w:p w14:paraId="530B3B2E" w14:textId="18F3831F"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w:t>
            </w:r>
            <w:r>
              <w:rPr>
                <w:rFonts w:ascii="Calibri" w:eastAsia="Times New Roman" w:hAnsi="Calibri" w:cs="Calibri"/>
                <w:b/>
                <w:bCs/>
                <w:color w:val="0D0D0D"/>
                <w:sz w:val="24"/>
                <w:szCs w:val="24"/>
              </w:rPr>
              <w:t>3</w:t>
            </w:r>
          </w:p>
        </w:tc>
        <w:tc>
          <w:tcPr>
            <w:tcW w:w="1080" w:type="dxa"/>
            <w:tcBorders>
              <w:top w:val="nil"/>
              <w:left w:val="nil"/>
              <w:bottom w:val="single" w:sz="12" w:space="0" w:color="00688D"/>
              <w:right w:val="nil"/>
            </w:tcBorders>
            <w:shd w:val="clear" w:color="auto" w:fill="auto"/>
            <w:vAlign w:val="bottom"/>
          </w:tcPr>
          <w:p w14:paraId="530C7EE0" w14:textId="3D85DA0F"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w:t>
            </w:r>
            <w:r>
              <w:rPr>
                <w:rFonts w:ascii="Calibri" w:eastAsia="Times New Roman" w:hAnsi="Calibri" w:cs="Calibri"/>
                <w:b/>
                <w:bCs/>
                <w:color w:val="0D0D0D"/>
                <w:sz w:val="24"/>
                <w:szCs w:val="24"/>
              </w:rPr>
              <w:t>2</w:t>
            </w:r>
          </w:p>
        </w:tc>
        <w:tc>
          <w:tcPr>
            <w:tcW w:w="990" w:type="dxa"/>
            <w:tcBorders>
              <w:top w:val="nil"/>
              <w:left w:val="nil"/>
              <w:bottom w:val="single" w:sz="12" w:space="0" w:color="00688D"/>
              <w:right w:val="nil"/>
            </w:tcBorders>
            <w:shd w:val="clear" w:color="auto" w:fill="F2F2F2" w:themeFill="background1" w:themeFillShade="F2"/>
            <w:vAlign w:val="bottom"/>
          </w:tcPr>
          <w:p w14:paraId="216C2EAB" w14:textId="77777777"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2021</w:t>
            </w:r>
          </w:p>
        </w:tc>
        <w:tc>
          <w:tcPr>
            <w:tcW w:w="900" w:type="dxa"/>
            <w:tcBorders>
              <w:top w:val="nil"/>
              <w:left w:val="nil"/>
              <w:bottom w:val="single" w:sz="12" w:space="0" w:color="00688D"/>
              <w:right w:val="nil"/>
            </w:tcBorders>
            <w:shd w:val="clear" w:color="000000" w:fill="FFFFFF"/>
            <w:noWrap/>
            <w:vAlign w:val="bottom"/>
            <w:hideMark/>
          </w:tcPr>
          <w:p w14:paraId="4E47210D" w14:textId="77777777"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2020</w:t>
            </w:r>
          </w:p>
        </w:tc>
        <w:tc>
          <w:tcPr>
            <w:tcW w:w="900" w:type="dxa"/>
            <w:tcBorders>
              <w:top w:val="nil"/>
              <w:left w:val="nil"/>
              <w:bottom w:val="single" w:sz="12" w:space="0" w:color="00688D"/>
              <w:right w:val="nil"/>
            </w:tcBorders>
            <w:shd w:val="clear" w:color="auto" w:fill="F2F2F2" w:themeFill="background1" w:themeFillShade="F2"/>
            <w:noWrap/>
            <w:vAlign w:val="bottom"/>
            <w:hideMark/>
          </w:tcPr>
          <w:p w14:paraId="19CBBBC7" w14:textId="77777777"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2019</w:t>
            </w:r>
          </w:p>
        </w:tc>
        <w:tc>
          <w:tcPr>
            <w:tcW w:w="900" w:type="dxa"/>
            <w:tcBorders>
              <w:top w:val="nil"/>
              <w:left w:val="nil"/>
              <w:bottom w:val="single" w:sz="12" w:space="0" w:color="00688D"/>
              <w:right w:val="nil"/>
            </w:tcBorders>
            <w:shd w:val="clear" w:color="000000" w:fill="FFFFFF"/>
            <w:noWrap/>
            <w:vAlign w:val="bottom"/>
            <w:hideMark/>
          </w:tcPr>
          <w:p w14:paraId="37EF82C8" w14:textId="77777777"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2018</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7A79030D" w14:textId="77777777" w:rsidR="009C3541" w:rsidRPr="00770E90" w:rsidRDefault="009C3541" w:rsidP="009C3541">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2017</w:t>
            </w:r>
          </w:p>
        </w:tc>
      </w:tr>
      <w:tr w:rsidR="00131E33" w:rsidRPr="003B0D41" w14:paraId="6ACC0A27" w14:textId="77777777" w:rsidTr="00073A1D">
        <w:trPr>
          <w:trHeight w:val="324"/>
        </w:trPr>
        <w:tc>
          <w:tcPr>
            <w:tcW w:w="3690" w:type="dxa"/>
            <w:tcBorders>
              <w:top w:val="nil"/>
              <w:left w:val="nil"/>
              <w:bottom w:val="nil"/>
              <w:right w:val="nil"/>
            </w:tcBorders>
            <w:shd w:val="clear" w:color="000000" w:fill="FFFFFF"/>
            <w:vAlign w:val="bottom"/>
            <w:hideMark/>
          </w:tcPr>
          <w:p w14:paraId="6432015D" w14:textId="77777777" w:rsidR="009C3541" w:rsidRPr="00770E90" w:rsidRDefault="009C3541" w:rsidP="009C3541">
            <w:pPr>
              <w:rPr>
                <w:rFonts w:ascii="Calibri" w:eastAsia="Times New Roman" w:hAnsi="Calibri" w:cs="Calibri"/>
                <w:color w:val="0D0D0D"/>
                <w:sz w:val="24"/>
                <w:szCs w:val="24"/>
              </w:rPr>
            </w:pPr>
            <w:r w:rsidRPr="00770E90">
              <w:rPr>
                <w:rFonts w:ascii="Calibri" w:eastAsia="Times New Roman" w:hAnsi="Calibri" w:cs="Calibri"/>
                <w:color w:val="0D0D0D"/>
                <w:sz w:val="24"/>
                <w:szCs w:val="24"/>
              </w:rPr>
              <w:t>Annual money-weighted rate of return, net of investment expenses</w:t>
            </w:r>
          </w:p>
        </w:tc>
        <w:tc>
          <w:tcPr>
            <w:tcW w:w="990" w:type="dxa"/>
            <w:tcBorders>
              <w:top w:val="nil"/>
              <w:left w:val="nil"/>
              <w:bottom w:val="nil"/>
              <w:right w:val="nil"/>
            </w:tcBorders>
            <w:shd w:val="clear" w:color="auto" w:fill="F2F2F2" w:themeFill="background1" w:themeFillShade="F2"/>
            <w:vAlign w:val="bottom"/>
          </w:tcPr>
          <w:p w14:paraId="615B5D7B" w14:textId="6BEA1DDF" w:rsidR="009C3541" w:rsidRPr="00943CF1" w:rsidRDefault="009C3541" w:rsidP="009C3541">
            <w:pPr>
              <w:jc w:val="center"/>
              <w:rPr>
                <w:rFonts w:ascii="Calibri" w:eastAsia="Times New Roman" w:hAnsi="Calibri" w:cs="Calibri"/>
                <w:sz w:val="24"/>
                <w:szCs w:val="24"/>
              </w:rPr>
            </w:pPr>
            <w:r>
              <w:rPr>
                <w:rFonts w:ascii="Calibri" w:eastAsia="Times New Roman" w:hAnsi="Calibri" w:cs="Calibri"/>
                <w:sz w:val="24"/>
                <w:szCs w:val="24"/>
              </w:rPr>
              <w:t>10.67%</w:t>
            </w:r>
          </w:p>
        </w:tc>
        <w:tc>
          <w:tcPr>
            <w:tcW w:w="1080" w:type="dxa"/>
            <w:tcBorders>
              <w:top w:val="nil"/>
              <w:left w:val="nil"/>
              <w:bottom w:val="nil"/>
              <w:right w:val="nil"/>
            </w:tcBorders>
            <w:shd w:val="clear" w:color="auto" w:fill="auto"/>
            <w:vAlign w:val="bottom"/>
          </w:tcPr>
          <w:p w14:paraId="6D6B3888" w14:textId="54456D11" w:rsidR="009C3541" w:rsidRPr="00770E90" w:rsidRDefault="009C3541" w:rsidP="009C3541">
            <w:pPr>
              <w:jc w:val="center"/>
              <w:rPr>
                <w:rFonts w:ascii="Calibri" w:eastAsia="Times New Roman" w:hAnsi="Calibri" w:cs="Calibri"/>
                <w:sz w:val="24"/>
                <w:szCs w:val="24"/>
              </w:rPr>
            </w:pPr>
            <w:r w:rsidRPr="00943CF1">
              <w:rPr>
                <w:rFonts w:ascii="Calibri" w:eastAsia="Times New Roman" w:hAnsi="Calibri" w:cs="Calibri"/>
                <w:sz w:val="24"/>
                <w:szCs w:val="24"/>
              </w:rPr>
              <w:t>-12.59</w:t>
            </w:r>
            <w:r>
              <w:rPr>
                <w:rFonts w:ascii="Calibri" w:eastAsia="Times New Roman" w:hAnsi="Calibri" w:cs="Calibri"/>
                <w:sz w:val="24"/>
                <w:szCs w:val="24"/>
              </w:rPr>
              <w:t>%</w:t>
            </w:r>
          </w:p>
        </w:tc>
        <w:tc>
          <w:tcPr>
            <w:tcW w:w="990" w:type="dxa"/>
            <w:tcBorders>
              <w:top w:val="nil"/>
              <w:left w:val="nil"/>
              <w:bottom w:val="nil"/>
              <w:right w:val="nil"/>
            </w:tcBorders>
            <w:shd w:val="clear" w:color="auto" w:fill="F2F2F2" w:themeFill="background1" w:themeFillShade="F2"/>
            <w:vAlign w:val="bottom"/>
          </w:tcPr>
          <w:p w14:paraId="45649AE3" w14:textId="77777777" w:rsidR="009C3541" w:rsidRPr="00770E90" w:rsidRDefault="009C3541" w:rsidP="009C3541">
            <w:pPr>
              <w:jc w:val="center"/>
              <w:rPr>
                <w:rFonts w:ascii="Calibri" w:eastAsia="Times New Roman" w:hAnsi="Calibri" w:cs="Calibri"/>
                <w:color w:val="0D0D0D"/>
                <w:sz w:val="24"/>
                <w:szCs w:val="24"/>
              </w:rPr>
            </w:pPr>
            <w:r w:rsidRPr="00770E90">
              <w:rPr>
                <w:rFonts w:ascii="Calibri" w:eastAsia="Times New Roman" w:hAnsi="Calibri" w:cs="Calibri"/>
                <w:sz w:val="24"/>
                <w:szCs w:val="24"/>
              </w:rPr>
              <w:t>26.88%</w:t>
            </w:r>
          </w:p>
        </w:tc>
        <w:tc>
          <w:tcPr>
            <w:tcW w:w="900" w:type="dxa"/>
            <w:tcBorders>
              <w:top w:val="nil"/>
              <w:left w:val="nil"/>
              <w:bottom w:val="nil"/>
              <w:right w:val="nil"/>
            </w:tcBorders>
            <w:shd w:val="clear" w:color="000000" w:fill="FFFFFF"/>
            <w:noWrap/>
            <w:vAlign w:val="bottom"/>
            <w:hideMark/>
          </w:tcPr>
          <w:p w14:paraId="3F96DC71" w14:textId="77777777" w:rsidR="009C3541" w:rsidRPr="00770E90" w:rsidRDefault="009C3541" w:rsidP="009C3541">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1.16%</w:t>
            </w:r>
          </w:p>
        </w:tc>
        <w:tc>
          <w:tcPr>
            <w:tcW w:w="900" w:type="dxa"/>
            <w:tcBorders>
              <w:top w:val="nil"/>
              <w:left w:val="nil"/>
              <w:bottom w:val="nil"/>
              <w:right w:val="nil"/>
            </w:tcBorders>
            <w:shd w:val="clear" w:color="auto" w:fill="F2F2F2" w:themeFill="background1" w:themeFillShade="F2"/>
            <w:noWrap/>
            <w:vAlign w:val="bottom"/>
            <w:hideMark/>
          </w:tcPr>
          <w:p w14:paraId="1993BD0F" w14:textId="77777777" w:rsidR="009C3541" w:rsidRPr="00770E90" w:rsidRDefault="009C3541" w:rsidP="009C3541">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2.81%</w:t>
            </w:r>
          </w:p>
        </w:tc>
        <w:tc>
          <w:tcPr>
            <w:tcW w:w="900" w:type="dxa"/>
            <w:tcBorders>
              <w:top w:val="nil"/>
              <w:left w:val="nil"/>
              <w:bottom w:val="nil"/>
              <w:right w:val="nil"/>
            </w:tcBorders>
            <w:shd w:val="clear" w:color="000000" w:fill="FFFFFF"/>
            <w:noWrap/>
            <w:vAlign w:val="bottom"/>
            <w:hideMark/>
          </w:tcPr>
          <w:p w14:paraId="53C8B267" w14:textId="77777777" w:rsidR="009C3541" w:rsidRPr="00770E90" w:rsidRDefault="009C3541" w:rsidP="009C3541">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6.90%</w:t>
            </w:r>
          </w:p>
        </w:tc>
        <w:tc>
          <w:tcPr>
            <w:tcW w:w="990" w:type="dxa"/>
            <w:tcBorders>
              <w:top w:val="nil"/>
              <w:left w:val="nil"/>
              <w:bottom w:val="nil"/>
              <w:right w:val="nil"/>
            </w:tcBorders>
            <w:shd w:val="clear" w:color="auto" w:fill="F2F2F2" w:themeFill="background1" w:themeFillShade="F2"/>
            <w:noWrap/>
            <w:vAlign w:val="bottom"/>
            <w:hideMark/>
          </w:tcPr>
          <w:p w14:paraId="5570FDF9" w14:textId="77777777" w:rsidR="009C3541" w:rsidRPr="00770E90" w:rsidRDefault="009C3541" w:rsidP="009C3541">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11.56%</w:t>
            </w:r>
          </w:p>
        </w:tc>
      </w:tr>
    </w:tbl>
    <w:p w14:paraId="30AE6C0F" w14:textId="77777777" w:rsidR="00DD1612" w:rsidRPr="00F54559" w:rsidRDefault="00DD1612" w:rsidP="00DD1612">
      <w:pPr>
        <w:tabs>
          <w:tab w:val="left" w:pos="1440"/>
          <w:tab w:val="left" w:pos="7200"/>
        </w:tabs>
        <w:spacing w:before="240"/>
        <w:rPr>
          <w:rFonts w:cstheme="minorHAnsi"/>
          <w:b/>
          <w:sz w:val="28"/>
          <w:szCs w:val="28"/>
        </w:rPr>
      </w:pPr>
      <w:r w:rsidRPr="00F54559">
        <w:rPr>
          <w:rFonts w:cstheme="minorHAnsi"/>
          <w:sz w:val="24"/>
          <w:szCs w:val="20"/>
        </w:rPr>
        <w:t>The money-weighted rate of return considers the changing amounts actually invested during a period and weights the amount of OPEB plan investments by the proportion of time they are available to earn a return during that period. The rate of return is then calculated by solving, through an iterative process, for the rate that equates the sum of the weighted external cash flows into and out of the OPEB plan investments to the ending fair value of OPEB plan investments.</w:t>
      </w:r>
    </w:p>
    <w:p w14:paraId="2E7458E3" w14:textId="77777777" w:rsidR="00DD1612" w:rsidRPr="00F54559" w:rsidRDefault="00DD1612" w:rsidP="00DD1612">
      <w:pPr>
        <w:tabs>
          <w:tab w:val="left" w:pos="1440"/>
          <w:tab w:val="left" w:pos="7200"/>
        </w:tabs>
        <w:rPr>
          <w:rFonts w:cstheme="minorHAnsi"/>
          <w:szCs w:val="20"/>
        </w:rPr>
        <w:sectPr w:rsidR="00DD1612" w:rsidRPr="00F54559" w:rsidSect="00BD375F">
          <w:pgSz w:w="12240" w:h="15840" w:code="1"/>
          <w:pgMar w:top="1440" w:right="1440" w:bottom="1440" w:left="1440" w:header="720" w:footer="720" w:gutter="0"/>
          <w:cols w:space="0"/>
          <w:titlePg/>
          <w:docGrid w:linePitch="360"/>
        </w:sectPr>
      </w:pPr>
    </w:p>
    <w:p w14:paraId="4082C359" w14:textId="77777777" w:rsidR="00DD1612" w:rsidRDefault="00DD1612" w:rsidP="00DD1612">
      <w:pPr>
        <w:spacing w:after="160" w:line="259" w:lineRule="auto"/>
        <w:rPr>
          <w:rFonts w:cstheme="minorHAnsi"/>
          <w:b/>
          <w:i/>
          <w:sz w:val="26"/>
          <w:szCs w:val="26"/>
          <w:u w:color="000000" w:themeColor="text1"/>
        </w:rPr>
      </w:pPr>
      <w:r>
        <w:rPr>
          <w:rFonts w:cstheme="minorHAnsi"/>
          <w:b/>
          <w:i/>
          <w:sz w:val="26"/>
          <w:szCs w:val="26"/>
          <w:u w:color="000000" w:themeColor="text1"/>
        </w:rPr>
        <w:br w:type="page"/>
      </w:r>
    </w:p>
    <w:p w14:paraId="738D00B9" w14:textId="77777777" w:rsidR="00DD1612" w:rsidRPr="00F54559" w:rsidRDefault="00DD1612" w:rsidP="00DD1612">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0361BFC8" w14:textId="77777777" w:rsidR="00DD1612" w:rsidRPr="00F54559" w:rsidRDefault="00DD1612" w:rsidP="00DD1612">
      <w:pPr>
        <w:pStyle w:val="AFR1"/>
        <w:spacing w:after="0"/>
        <w:rPr>
          <w:rFonts w:asciiTheme="minorHAnsi" w:hAnsiTheme="minorHAnsi" w:cstheme="minorHAnsi"/>
          <w:sz w:val="14"/>
        </w:rPr>
      </w:pPr>
      <w:r w:rsidRPr="00F54559">
        <w:rPr>
          <w:rFonts w:asciiTheme="minorHAnsi" w:hAnsiTheme="minorHAnsi" w:cstheme="minorHAnsi"/>
        </w:rPr>
        <w:t>Supplemental InformatioN REQUIRED BY THE STATE OF MAINE</w:t>
      </w:r>
    </w:p>
    <w:p w14:paraId="580717D3" w14:textId="77777777" w:rsidR="00DD1612" w:rsidRPr="00F54559" w:rsidRDefault="00DD1612" w:rsidP="00DD1612">
      <w:pPr>
        <w:pStyle w:val="AFR1"/>
        <w:spacing w:after="0"/>
        <w:rPr>
          <w:rFonts w:asciiTheme="minorHAnsi" w:hAnsiTheme="minorHAnsi" w:cstheme="minorHAnsi"/>
        </w:rPr>
      </w:pPr>
      <w:r w:rsidRPr="00F54559">
        <w:rPr>
          <w:rFonts w:asciiTheme="minorHAnsi" w:hAnsiTheme="minorHAnsi" w:cstheme="minorHAnsi"/>
        </w:rPr>
        <w:t>SCHEDULES OF ACTIVITIES</w:t>
      </w:r>
    </w:p>
    <w:p w14:paraId="2329CE06" w14:textId="77777777" w:rsidR="00DD1612" w:rsidRPr="00F54559" w:rsidRDefault="00DD1612" w:rsidP="00DD1612">
      <w:pPr>
        <w:pStyle w:val="AFR1"/>
        <w:rPr>
          <w:rFonts w:asciiTheme="minorHAnsi" w:hAnsiTheme="minorHAnsi" w:cstheme="minorHAnsi"/>
          <w:sz w:val="24"/>
          <w:szCs w:val="24"/>
        </w:rPr>
      </w:pPr>
      <w:r w:rsidRPr="00F54559">
        <w:rPr>
          <w:rFonts w:asciiTheme="minorHAnsi" w:hAnsiTheme="minorHAnsi" w:cstheme="minorHAnsi"/>
          <w:sz w:val="24"/>
          <w:szCs w:val="24"/>
        </w:rPr>
        <w:t>(IN THOUSANDS)</w:t>
      </w:r>
    </w:p>
    <w:p w14:paraId="15D183E4" w14:textId="38C7EC7A" w:rsidR="00DD1612" w:rsidRPr="00F54559" w:rsidRDefault="00C05C9B" w:rsidP="00DD1612">
      <w:pPr>
        <w:tabs>
          <w:tab w:val="left" w:pos="1440"/>
          <w:tab w:val="left" w:pos="7200"/>
        </w:tabs>
        <w:spacing w:before="120" w:after="120"/>
        <w:rPr>
          <w:rFonts w:eastAsia="Times New Roman" w:cstheme="minorHAnsi"/>
          <w:b/>
          <w:shd w:val="clear" w:color="auto" w:fill="FFFFFF"/>
        </w:rPr>
      </w:pPr>
      <w:r w:rsidRPr="00C05C9B">
        <w:rPr>
          <w:noProof/>
        </w:rPr>
        <w:drawing>
          <wp:inline distT="0" distB="0" distL="0" distR="0" wp14:anchorId="58597DB0" wp14:editId="123BEC9D">
            <wp:extent cx="5943600" cy="627208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6272086"/>
                    </a:xfrm>
                    <a:prstGeom prst="rect">
                      <a:avLst/>
                    </a:prstGeom>
                    <a:noFill/>
                    <a:ln>
                      <a:noFill/>
                    </a:ln>
                  </pic:spPr>
                </pic:pic>
              </a:graphicData>
            </a:graphic>
          </wp:inline>
        </w:drawing>
      </w:r>
      <w:r w:rsidR="00DD1612">
        <w:rPr>
          <w:rFonts w:eastAsia="Times New Roman" w:cstheme="minorHAnsi"/>
          <w:b/>
          <w:shd w:val="clear" w:color="auto" w:fill="FFFFFF"/>
        </w:rPr>
        <w:fldChar w:fldCharType="begin"/>
      </w:r>
      <w:r w:rsidR="00DD1612">
        <w:rPr>
          <w:rFonts w:eastAsia="Times New Roman" w:cstheme="minorHAnsi"/>
          <w:b/>
          <w:shd w:val="clear" w:color="auto" w:fill="FFFFFF"/>
        </w:rPr>
        <w:fldChar w:fldCharType="end"/>
      </w:r>
    </w:p>
    <w:p w14:paraId="21BD6ECA" w14:textId="77777777" w:rsidR="00DD1612" w:rsidRDefault="00DD1612" w:rsidP="00DD1612">
      <w:pPr>
        <w:spacing w:after="160" w:line="259" w:lineRule="auto"/>
        <w:rPr>
          <w:rFonts w:ascii="Arial" w:eastAsia="Arial" w:hAnsi="Arial" w:cs="Times New Roman"/>
        </w:rPr>
        <w:sectPr w:rsidR="00DD1612" w:rsidSect="00BD375F">
          <w:headerReference w:type="default" r:id="rId89"/>
          <w:type w:val="continuous"/>
          <w:pgSz w:w="12240" w:h="15840"/>
          <w:pgMar w:top="1440" w:right="1440" w:bottom="1440" w:left="1440" w:header="720" w:footer="720" w:gutter="0"/>
          <w:cols w:space="720"/>
          <w:docGrid w:linePitch="299"/>
        </w:sectPr>
      </w:pPr>
      <w:r>
        <w:rPr>
          <w:rFonts w:ascii="Arial" w:eastAsia="Arial" w:hAnsi="Arial" w:cs="Times New Roman"/>
        </w:rPr>
        <w:br w:type="page"/>
      </w:r>
    </w:p>
    <w:p w14:paraId="7B4FEE41" w14:textId="77777777" w:rsidR="00DD1612" w:rsidRPr="00317FFD" w:rsidRDefault="00DD1612" w:rsidP="00DD1612">
      <w:pPr>
        <w:widowControl w:val="0"/>
        <w:autoSpaceDE w:val="0"/>
        <w:autoSpaceDN w:val="0"/>
        <w:spacing w:before="2"/>
        <w:rPr>
          <w:rFonts w:ascii="Times New Roman" w:eastAsia="Arial" w:hAnsi="Arial" w:cs="Arial"/>
          <w:sz w:val="9"/>
        </w:rPr>
      </w:pPr>
    </w:p>
    <w:p w14:paraId="447440A1" w14:textId="77777777" w:rsidR="00DD1612" w:rsidRPr="00317FFD" w:rsidRDefault="00DD1612" w:rsidP="00DD1612">
      <w:pPr>
        <w:widowControl w:val="0"/>
        <w:autoSpaceDE w:val="0"/>
        <w:autoSpaceDN w:val="0"/>
        <w:spacing w:before="66"/>
        <w:ind w:left="6428" w:right="1926"/>
        <w:rPr>
          <w:rFonts w:ascii="Calibri" w:eastAsia="Arial" w:hAnsi="Arial" w:cs="Arial"/>
          <w:b/>
          <w:sz w:val="17"/>
        </w:rPr>
      </w:pPr>
      <w:r w:rsidRPr="00317FFD">
        <w:rPr>
          <w:rFonts w:ascii="Arial" w:eastAsia="Arial" w:hAnsi="Arial" w:cs="Arial"/>
          <w:noProof/>
        </w:rPr>
        <w:drawing>
          <wp:anchor distT="0" distB="0" distL="0" distR="0" simplePos="0" relativeHeight="251659264" behindDoc="0" locked="0" layoutInCell="1" allowOverlap="1" wp14:anchorId="4D4B1EE0" wp14:editId="55EC46CC">
            <wp:simplePos x="0" y="0"/>
            <wp:positionH relativeFrom="page">
              <wp:posOffset>986245</wp:posOffset>
            </wp:positionH>
            <wp:positionV relativeFrom="paragraph">
              <wp:posOffset>-61579</wp:posOffset>
            </wp:positionV>
            <wp:extent cx="530223" cy="530214"/>
            <wp:effectExtent l="0" t="0" r="0" b="0"/>
            <wp:wrapNone/>
            <wp:docPr id="59"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0223" cy="530214"/>
                    </a:xfrm>
                    <a:prstGeom prst="rect">
                      <a:avLst/>
                    </a:prstGeom>
                  </pic:spPr>
                </pic:pic>
              </a:graphicData>
            </a:graphic>
          </wp:anchor>
        </w:drawing>
      </w:r>
      <w:r w:rsidRPr="00317FFD">
        <w:rPr>
          <w:rFonts w:ascii="Calibri" w:eastAsia="Arial" w:hAnsi="Arial" w:cs="Arial"/>
          <w:b/>
          <w:color w:val="2D334E"/>
          <w:sz w:val="17"/>
        </w:rPr>
        <w:t>CliftonLarsonAllen</w:t>
      </w:r>
      <w:r w:rsidRPr="00317FFD">
        <w:rPr>
          <w:rFonts w:ascii="Calibri" w:eastAsia="Arial" w:hAnsi="Arial" w:cs="Arial"/>
          <w:b/>
          <w:color w:val="2D334E"/>
          <w:spacing w:val="-10"/>
          <w:sz w:val="17"/>
        </w:rPr>
        <w:t xml:space="preserve"> </w:t>
      </w:r>
      <w:r w:rsidRPr="00317FFD">
        <w:rPr>
          <w:rFonts w:ascii="Calibri" w:eastAsia="Arial" w:hAnsi="Arial" w:cs="Arial"/>
          <w:b/>
          <w:color w:val="2D334E"/>
          <w:sz w:val="17"/>
        </w:rPr>
        <w:t>LLP</w:t>
      </w:r>
      <w:r w:rsidRPr="00317FFD">
        <w:rPr>
          <w:rFonts w:ascii="Calibri" w:eastAsia="Arial" w:hAnsi="Arial" w:cs="Arial"/>
          <w:b/>
          <w:color w:val="2D334E"/>
          <w:spacing w:val="40"/>
          <w:sz w:val="17"/>
        </w:rPr>
        <w:t xml:space="preserve"> </w:t>
      </w:r>
      <w:r w:rsidRPr="00317FFD">
        <w:rPr>
          <w:rFonts w:ascii="Calibri" w:eastAsia="Arial" w:hAnsi="Arial" w:cs="Arial"/>
          <w:b/>
          <w:color w:val="2D334E"/>
          <w:spacing w:val="-2"/>
          <w:sz w:val="17"/>
        </w:rPr>
        <w:t>CLAconnect.com</w:t>
      </w:r>
    </w:p>
    <w:p w14:paraId="3AE034A2" w14:textId="77777777" w:rsidR="00DD1612" w:rsidRPr="00317FFD" w:rsidRDefault="00DD1612" w:rsidP="00DD1612">
      <w:pPr>
        <w:widowControl w:val="0"/>
        <w:autoSpaceDE w:val="0"/>
        <w:autoSpaceDN w:val="0"/>
        <w:rPr>
          <w:rFonts w:ascii="Calibri" w:eastAsia="Arial" w:hAnsi="Arial" w:cs="Arial"/>
          <w:b/>
          <w:sz w:val="20"/>
        </w:rPr>
      </w:pPr>
    </w:p>
    <w:p w14:paraId="46500404" w14:textId="77777777" w:rsidR="00DD1612" w:rsidRPr="00317FFD" w:rsidRDefault="00DD1612" w:rsidP="00DD1612">
      <w:pPr>
        <w:widowControl w:val="0"/>
        <w:autoSpaceDE w:val="0"/>
        <w:autoSpaceDN w:val="0"/>
        <w:spacing w:before="11"/>
        <w:rPr>
          <w:rFonts w:ascii="Calibri" w:eastAsia="Arial" w:hAnsi="Arial" w:cs="Arial"/>
          <w:b/>
          <w:sz w:val="27"/>
        </w:rPr>
      </w:pPr>
    </w:p>
    <w:p w14:paraId="67443440" w14:textId="77777777" w:rsidR="00BD53BD" w:rsidRDefault="008B1A0E" w:rsidP="00BD53BD">
      <w:pPr>
        <w:widowControl w:val="0"/>
        <w:autoSpaceDE w:val="0"/>
        <w:autoSpaceDN w:val="0"/>
        <w:ind w:right="-54" w:hanging="1"/>
        <w:jc w:val="center"/>
        <w:rPr>
          <w:rFonts w:ascii="Arial" w:eastAsia="Arial" w:hAnsi="Arial" w:cs="Arial"/>
          <w:b/>
        </w:rPr>
      </w:pPr>
      <w:r w:rsidRPr="008B1A0E">
        <w:rPr>
          <w:rFonts w:ascii="Arial" w:eastAsia="Arial" w:hAnsi="Arial" w:cs="Arial"/>
          <w:b/>
        </w:rPr>
        <w:t xml:space="preserve">INDEPENDENT AUDITORS’ REPORT ON INTERNAL CONTROL OVER </w:t>
      </w:r>
    </w:p>
    <w:p w14:paraId="03FC2D5D" w14:textId="77777777" w:rsidR="00BD53BD" w:rsidRDefault="008B1A0E" w:rsidP="00BD53BD">
      <w:pPr>
        <w:widowControl w:val="0"/>
        <w:autoSpaceDE w:val="0"/>
        <w:autoSpaceDN w:val="0"/>
        <w:ind w:right="-54" w:hanging="1"/>
        <w:jc w:val="center"/>
        <w:rPr>
          <w:rFonts w:ascii="Arial" w:eastAsia="Arial" w:hAnsi="Arial" w:cs="Arial"/>
          <w:b/>
        </w:rPr>
      </w:pPr>
      <w:r w:rsidRPr="008B1A0E">
        <w:rPr>
          <w:rFonts w:ascii="Arial" w:eastAsia="Arial" w:hAnsi="Arial" w:cs="Arial"/>
          <w:b/>
        </w:rPr>
        <w:t>FINANCIAL</w:t>
      </w:r>
      <w:r w:rsidRPr="008B1A0E">
        <w:rPr>
          <w:rFonts w:ascii="Arial" w:eastAsia="Arial" w:hAnsi="Arial" w:cs="Arial"/>
          <w:b/>
          <w:spacing w:val="-7"/>
        </w:rPr>
        <w:t xml:space="preserve"> </w:t>
      </w:r>
      <w:r w:rsidRPr="008B1A0E">
        <w:rPr>
          <w:rFonts w:ascii="Arial" w:eastAsia="Arial" w:hAnsi="Arial" w:cs="Arial"/>
          <w:b/>
        </w:rPr>
        <w:t>REPORTING</w:t>
      </w:r>
      <w:r w:rsidRPr="008B1A0E">
        <w:rPr>
          <w:rFonts w:ascii="Arial" w:eastAsia="Arial" w:hAnsi="Arial" w:cs="Arial"/>
          <w:b/>
          <w:spacing w:val="-6"/>
        </w:rPr>
        <w:t xml:space="preserve"> </w:t>
      </w:r>
      <w:r w:rsidRPr="008B1A0E">
        <w:rPr>
          <w:rFonts w:ascii="Arial" w:eastAsia="Arial" w:hAnsi="Arial" w:cs="Arial"/>
          <w:b/>
        </w:rPr>
        <w:t>AND</w:t>
      </w:r>
      <w:r w:rsidRPr="008B1A0E">
        <w:rPr>
          <w:rFonts w:ascii="Arial" w:eastAsia="Arial" w:hAnsi="Arial" w:cs="Arial"/>
          <w:b/>
          <w:spacing w:val="-7"/>
        </w:rPr>
        <w:t xml:space="preserve"> </w:t>
      </w:r>
      <w:r w:rsidRPr="008B1A0E">
        <w:rPr>
          <w:rFonts w:ascii="Arial" w:eastAsia="Arial" w:hAnsi="Arial" w:cs="Arial"/>
          <w:b/>
        </w:rPr>
        <w:t>ON</w:t>
      </w:r>
      <w:r w:rsidRPr="008B1A0E">
        <w:rPr>
          <w:rFonts w:ascii="Arial" w:eastAsia="Arial" w:hAnsi="Arial" w:cs="Arial"/>
          <w:b/>
          <w:spacing w:val="-5"/>
        </w:rPr>
        <w:t xml:space="preserve"> </w:t>
      </w:r>
      <w:r w:rsidRPr="008B1A0E">
        <w:rPr>
          <w:rFonts w:ascii="Arial" w:eastAsia="Arial" w:hAnsi="Arial" w:cs="Arial"/>
          <w:b/>
        </w:rPr>
        <w:t>COMPLIANCE</w:t>
      </w:r>
      <w:r w:rsidRPr="008B1A0E">
        <w:rPr>
          <w:rFonts w:ascii="Arial" w:eastAsia="Arial" w:hAnsi="Arial" w:cs="Arial"/>
          <w:b/>
          <w:spacing w:val="-5"/>
        </w:rPr>
        <w:t xml:space="preserve"> </w:t>
      </w:r>
      <w:r w:rsidRPr="008B1A0E">
        <w:rPr>
          <w:rFonts w:ascii="Arial" w:eastAsia="Arial" w:hAnsi="Arial" w:cs="Arial"/>
          <w:b/>
        </w:rPr>
        <w:t>AND</w:t>
      </w:r>
      <w:r w:rsidRPr="008B1A0E">
        <w:rPr>
          <w:rFonts w:ascii="Arial" w:eastAsia="Arial" w:hAnsi="Arial" w:cs="Arial"/>
          <w:b/>
          <w:spacing w:val="-7"/>
        </w:rPr>
        <w:t xml:space="preserve"> </w:t>
      </w:r>
      <w:r w:rsidRPr="008B1A0E">
        <w:rPr>
          <w:rFonts w:ascii="Arial" w:eastAsia="Arial" w:hAnsi="Arial" w:cs="Arial"/>
          <w:b/>
        </w:rPr>
        <w:t>OTHER</w:t>
      </w:r>
      <w:r w:rsidRPr="008B1A0E">
        <w:rPr>
          <w:rFonts w:ascii="Arial" w:eastAsia="Arial" w:hAnsi="Arial" w:cs="Arial"/>
          <w:b/>
          <w:spacing w:val="-5"/>
        </w:rPr>
        <w:t xml:space="preserve"> </w:t>
      </w:r>
      <w:r w:rsidRPr="008B1A0E">
        <w:rPr>
          <w:rFonts w:ascii="Arial" w:eastAsia="Arial" w:hAnsi="Arial" w:cs="Arial"/>
          <w:b/>
        </w:rPr>
        <w:t xml:space="preserve">MATTERS </w:t>
      </w:r>
    </w:p>
    <w:p w14:paraId="349CD414" w14:textId="3E9562CD" w:rsidR="008B1A0E" w:rsidRPr="008B1A0E" w:rsidRDefault="008B1A0E" w:rsidP="00BD53BD">
      <w:pPr>
        <w:widowControl w:val="0"/>
        <w:autoSpaceDE w:val="0"/>
        <w:autoSpaceDN w:val="0"/>
        <w:ind w:right="-54" w:hanging="1"/>
        <w:jc w:val="center"/>
        <w:rPr>
          <w:rFonts w:ascii="Arial" w:eastAsia="Arial" w:hAnsi="Arial" w:cs="Arial"/>
          <w:b/>
        </w:rPr>
      </w:pPr>
      <w:r w:rsidRPr="008B1A0E">
        <w:rPr>
          <w:rFonts w:ascii="Arial" w:eastAsia="Arial" w:hAnsi="Arial" w:cs="Arial"/>
          <w:b/>
        </w:rPr>
        <w:t>BASED ON AN AUDIT OF FINANCIAL STATEMENTS PERFORMED</w:t>
      </w:r>
    </w:p>
    <w:p w14:paraId="7F80D60F" w14:textId="77777777" w:rsidR="008B1A0E" w:rsidRPr="008B1A0E" w:rsidRDefault="008B1A0E" w:rsidP="00BD53BD">
      <w:pPr>
        <w:widowControl w:val="0"/>
        <w:autoSpaceDE w:val="0"/>
        <w:autoSpaceDN w:val="0"/>
        <w:spacing w:line="252" w:lineRule="exact"/>
        <w:ind w:right="-54"/>
        <w:jc w:val="center"/>
        <w:rPr>
          <w:rFonts w:ascii="Arial" w:eastAsia="Arial" w:hAnsi="Arial" w:cs="Arial"/>
          <w:b/>
          <w:i/>
        </w:rPr>
      </w:pPr>
      <w:r w:rsidRPr="008B1A0E">
        <w:rPr>
          <w:rFonts w:ascii="Arial" w:eastAsia="Arial" w:hAnsi="Arial" w:cs="Arial"/>
          <w:b/>
        </w:rPr>
        <w:t>IN</w:t>
      </w:r>
      <w:r w:rsidRPr="008B1A0E">
        <w:rPr>
          <w:rFonts w:ascii="Arial" w:eastAsia="Arial" w:hAnsi="Arial" w:cs="Arial"/>
          <w:b/>
          <w:spacing w:val="-9"/>
        </w:rPr>
        <w:t xml:space="preserve"> </w:t>
      </w:r>
      <w:r w:rsidRPr="008B1A0E">
        <w:rPr>
          <w:rFonts w:ascii="Arial" w:eastAsia="Arial" w:hAnsi="Arial" w:cs="Arial"/>
          <w:b/>
        </w:rPr>
        <w:t>ACCORDANCE</w:t>
      </w:r>
      <w:r w:rsidRPr="008B1A0E">
        <w:rPr>
          <w:rFonts w:ascii="Arial" w:eastAsia="Arial" w:hAnsi="Arial" w:cs="Arial"/>
          <w:b/>
          <w:spacing w:val="-9"/>
        </w:rPr>
        <w:t xml:space="preserve"> </w:t>
      </w:r>
      <w:r w:rsidRPr="008B1A0E">
        <w:rPr>
          <w:rFonts w:ascii="Arial" w:eastAsia="Arial" w:hAnsi="Arial" w:cs="Arial"/>
          <w:b/>
        </w:rPr>
        <w:t>WITH</w:t>
      </w:r>
      <w:r w:rsidRPr="008B1A0E">
        <w:rPr>
          <w:rFonts w:ascii="Arial" w:eastAsia="Arial" w:hAnsi="Arial" w:cs="Arial"/>
          <w:b/>
          <w:spacing w:val="-6"/>
        </w:rPr>
        <w:t xml:space="preserve"> </w:t>
      </w:r>
      <w:r w:rsidRPr="008B1A0E">
        <w:rPr>
          <w:rFonts w:ascii="Arial" w:eastAsia="Arial" w:hAnsi="Arial" w:cs="Arial"/>
          <w:b/>
          <w:i/>
        </w:rPr>
        <w:t>GOVERNMENT</w:t>
      </w:r>
      <w:r w:rsidRPr="008B1A0E">
        <w:rPr>
          <w:rFonts w:ascii="Arial" w:eastAsia="Arial" w:hAnsi="Arial" w:cs="Arial"/>
          <w:b/>
          <w:i/>
          <w:spacing w:val="-6"/>
        </w:rPr>
        <w:t xml:space="preserve"> </w:t>
      </w:r>
      <w:r w:rsidRPr="008B1A0E">
        <w:rPr>
          <w:rFonts w:ascii="Arial" w:eastAsia="Arial" w:hAnsi="Arial" w:cs="Arial"/>
          <w:b/>
          <w:i/>
        </w:rPr>
        <w:t>AUDITING</w:t>
      </w:r>
      <w:r w:rsidRPr="008B1A0E">
        <w:rPr>
          <w:rFonts w:ascii="Arial" w:eastAsia="Arial" w:hAnsi="Arial" w:cs="Arial"/>
          <w:b/>
          <w:i/>
          <w:spacing w:val="-6"/>
        </w:rPr>
        <w:t xml:space="preserve"> </w:t>
      </w:r>
      <w:r w:rsidRPr="008B1A0E">
        <w:rPr>
          <w:rFonts w:ascii="Arial" w:eastAsia="Arial" w:hAnsi="Arial" w:cs="Arial"/>
          <w:b/>
          <w:i/>
          <w:spacing w:val="-2"/>
        </w:rPr>
        <w:t>STANDARDS</w:t>
      </w:r>
    </w:p>
    <w:p w14:paraId="0CA0F2A4" w14:textId="77777777" w:rsidR="008B1A0E" w:rsidRPr="008B1A0E" w:rsidRDefault="008B1A0E" w:rsidP="008B1A0E">
      <w:pPr>
        <w:widowControl w:val="0"/>
        <w:autoSpaceDE w:val="0"/>
        <w:autoSpaceDN w:val="0"/>
        <w:rPr>
          <w:rFonts w:ascii="Arial" w:eastAsia="Arial" w:hAnsi="Arial" w:cs="Arial"/>
          <w:b/>
          <w:i/>
          <w:sz w:val="24"/>
        </w:rPr>
      </w:pPr>
    </w:p>
    <w:p w14:paraId="1589345B" w14:textId="77777777" w:rsidR="008B1A0E" w:rsidRPr="008B1A0E" w:rsidRDefault="008B1A0E" w:rsidP="008B1A0E">
      <w:pPr>
        <w:widowControl w:val="0"/>
        <w:autoSpaceDE w:val="0"/>
        <w:autoSpaceDN w:val="0"/>
        <w:rPr>
          <w:rFonts w:ascii="Arial" w:eastAsia="Arial" w:hAnsi="Arial" w:cs="Arial"/>
          <w:b/>
          <w:i/>
          <w:sz w:val="24"/>
        </w:rPr>
      </w:pPr>
    </w:p>
    <w:p w14:paraId="44E4E437" w14:textId="77777777" w:rsidR="00BD53BD" w:rsidRDefault="008B1A0E" w:rsidP="00BD53BD">
      <w:pPr>
        <w:widowControl w:val="0"/>
        <w:autoSpaceDE w:val="0"/>
        <w:autoSpaceDN w:val="0"/>
        <w:ind w:right="7146"/>
        <w:rPr>
          <w:rFonts w:ascii="Arial" w:eastAsia="Arial" w:hAnsi="Arial" w:cs="Arial"/>
        </w:rPr>
      </w:pPr>
      <w:r w:rsidRPr="008B1A0E">
        <w:rPr>
          <w:rFonts w:ascii="Arial" w:eastAsia="Arial" w:hAnsi="Arial" w:cs="Arial"/>
        </w:rPr>
        <w:t xml:space="preserve">Board of Trustees </w:t>
      </w:r>
    </w:p>
    <w:p w14:paraId="4BE68F29" w14:textId="4F27CCB4" w:rsidR="00BD53BD" w:rsidRDefault="008B1A0E" w:rsidP="00BD53BD">
      <w:pPr>
        <w:widowControl w:val="0"/>
        <w:autoSpaceDE w:val="0"/>
        <w:autoSpaceDN w:val="0"/>
        <w:ind w:right="7146"/>
        <w:rPr>
          <w:rFonts w:ascii="Arial" w:eastAsia="Arial" w:hAnsi="Arial" w:cs="Arial"/>
        </w:rPr>
      </w:pPr>
      <w:r w:rsidRPr="008B1A0E">
        <w:rPr>
          <w:rFonts w:ascii="Arial" w:eastAsia="Arial" w:hAnsi="Arial" w:cs="Arial"/>
        </w:rPr>
        <w:t>University</w:t>
      </w:r>
      <w:r w:rsidRPr="008B1A0E">
        <w:rPr>
          <w:rFonts w:ascii="Arial" w:eastAsia="Arial" w:hAnsi="Arial" w:cs="Arial"/>
          <w:spacing w:val="-12"/>
        </w:rPr>
        <w:t xml:space="preserve"> </w:t>
      </w:r>
      <w:r w:rsidRPr="008B1A0E">
        <w:rPr>
          <w:rFonts w:ascii="Arial" w:eastAsia="Arial" w:hAnsi="Arial" w:cs="Arial"/>
        </w:rPr>
        <w:t>of</w:t>
      </w:r>
      <w:r w:rsidRPr="008B1A0E">
        <w:rPr>
          <w:rFonts w:ascii="Arial" w:eastAsia="Arial" w:hAnsi="Arial" w:cs="Arial"/>
          <w:spacing w:val="-14"/>
        </w:rPr>
        <w:t xml:space="preserve"> </w:t>
      </w:r>
      <w:r w:rsidRPr="008B1A0E">
        <w:rPr>
          <w:rFonts w:ascii="Arial" w:eastAsia="Arial" w:hAnsi="Arial" w:cs="Arial"/>
        </w:rPr>
        <w:t>Maine</w:t>
      </w:r>
      <w:r w:rsidRPr="008B1A0E">
        <w:rPr>
          <w:rFonts w:ascii="Arial" w:eastAsia="Arial" w:hAnsi="Arial" w:cs="Arial"/>
          <w:spacing w:val="-13"/>
        </w:rPr>
        <w:t xml:space="preserve"> </w:t>
      </w:r>
      <w:r w:rsidRPr="008B1A0E">
        <w:rPr>
          <w:rFonts w:ascii="Arial" w:eastAsia="Arial" w:hAnsi="Arial" w:cs="Arial"/>
        </w:rPr>
        <w:t xml:space="preserve">System </w:t>
      </w:r>
    </w:p>
    <w:p w14:paraId="4BAA3211" w14:textId="3D003463" w:rsidR="008B1A0E" w:rsidRPr="008B1A0E" w:rsidRDefault="008B1A0E" w:rsidP="00BD53BD">
      <w:pPr>
        <w:widowControl w:val="0"/>
        <w:autoSpaceDE w:val="0"/>
        <w:autoSpaceDN w:val="0"/>
        <w:ind w:right="7146"/>
        <w:rPr>
          <w:rFonts w:ascii="Arial" w:eastAsia="Arial" w:hAnsi="Arial" w:cs="Arial"/>
        </w:rPr>
      </w:pPr>
      <w:r w:rsidRPr="008B1A0E">
        <w:rPr>
          <w:rFonts w:ascii="Arial" w:eastAsia="Arial" w:hAnsi="Arial" w:cs="Arial"/>
        </w:rPr>
        <w:t>Orono, Maine</w:t>
      </w:r>
    </w:p>
    <w:p w14:paraId="5B4F9A0E" w14:textId="77777777" w:rsidR="008B1A0E" w:rsidRPr="008B1A0E" w:rsidRDefault="008B1A0E" w:rsidP="008B1A0E">
      <w:pPr>
        <w:widowControl w:val="0"/>
        <w:autoSpaceDE w:val="0"/>
        <w:autoSpaceDN w:val="0"/>
        <w:rPr>
          <w:rFonts w:ascii="Arial" w:eastAsia="Arial" w:hAnsi="Arial" w:cs="Arial"/>
          <w:sz w:val="24"/>
        </w:rPr>
      </w:pPr>
    </w:p>
    <w:p w14:paraId="521C1B8A" w14:textId="35F52554" w:rsidR="00BD53BD" w:rsidRDefault="00BD53BD" w:rsidP="00BD53BD">
      <w:pPr>
        <w:autoSpaceDE w:val="0"/>
        <w:autoSpaceDN w:val="0"/>
        <w:adjustRightInd w:val="0"/>
        <w:rPr>
          <w:rFonts w:ascii="Arial" w:hAnsi="Arial" w:cs="Arial"/>
          <w:color w:val="353850"/>
          <w14:ligatures w14:val="standardContextual"/>
        </w:rPr>
      </w:pPr>
      <w:r>
        <w:rPr>
          <w:rFonts w:ascii="Arial" w:hAnsi="Arial" w:cs="Arial"/>
          <w:color w:val="08090A"/>
          <w14:ligatures w14:val="standardContextual"/>
        </w:rPr>
        <w:t>We have audited</w:t>
      </w:r>
      <w:r>
        <w:rPr>
          <w:rFonts w:ascii="Arial" w:hAnsi="Arial" w:cs="Arial"/>
          <w:color w:val="212222"/>
          <w14:ligatures w14:val="standardContextual"/>
        </w:rPr>
        <w:t xml:space="preserve">, </w:t>
      </w:r>
      <w:r>
        <w:rPr>
          <w:rFonts w:ascii="Arial" w:hAnsi="Arial" w:cs="Arial"/>
          <w:color w:val="08090A"/>
          <w14:ligatures w14:val="standardContextual"/>
        </w:rPr>
        <w:t xml:space="preserve">in accordance with the auditing standards generally accepted in the United States of America and the standards applicable to financial audits contained in </w:t>
      </w:r>
      <w:r>
        <w:rPr>
          <w:rFonts w:ascii="Arial" w:hAnsi="Arial" w:cs="Arial"/>
          <w:i/>
          <w:iCs/>
          <w:color w:val="08090A"/>
          <w14:ligatures w14:val="standardContextual"/>
        </w:rPr>
        <w:t xml:space="preserve">Government Auditing Standards </w:t>
      </w:r>
      <w:r>
        <w:rPr>
          <w:rFonts w:ascii="Arial" w:hAnsi="Arial" w:cs="Arial"/>
          <w:color w:val="08090A"/>
          <w14:ligatures w14:val="standardContextual"/>
        </w:rPr>
        <w:t>issued by the Comptroller General of the United States</w:t>
      </w:r>
      <w:r>
        <w:rPr>
          <w:rFonts w:ascii="Arial" w:hAnsi="Arial" w:cs="Arial"/>
          <w:color w:val="212222"/>
          <w14:ligatures w14:val="standardContextual"/>
        </w:rPr>
        <w:t xml:space="preserve">, </w:t>
      </w:r>
      <w:r>
        <w:rPr>
          <w:rFonts w:ascii="Arial" w:hAnsi="Arial" w:cs="Arial"/>
          <w:color w:val="08090A"/>
          <w14:ligatures w14:val="standardContextual"/>
        </w:rPr>
        <w:t>the financial statements of the business-type activities</w:t>
      </w:r>
      <w:r>
        <w:rPr>
          <w:rFonts w:ascii="Arial" w:hAnsi="Arial" w:cs="Arial"/>
          <w:color w:val="212222"/>
          <w14:ligatures w14:val="standardContextual"/>
        </w:rPr>
        <w:t xml:space="preserve">, </w:t>
      </w:r>
      <w:r>
        <w:rPr>
          <w:rFonts w:ascii="Arial" w:hAnsi="Arial" w:cs="Arial"/>
          <w:color w:val="08090A"/>
          <w14:ligatures w14:val="standardContextual"/>
        </w:rPr>
        <w:t>the discretely presented component unit</w:t>
      </w:r>
      <w:r>
        <w:rPr>
          <w:rFonts w:ascii="Arial" w:hAnsi="Arial" w:cs="Arial"/>
          <w:color w:val="212222"/>
          <w14:ligatures w14:val="standardContextual"/>
        </w:rPr>
        <w:t xml:space="preserve">, </w:t>
      </w:r>
      <w:r>
        <w:rPr>
          <w:rFonts w:ascii="Arial" w:hAnsi="Arial" w:cs="Arial"/>
          <w:color w:val="08090A"/>
          <w14:ligatures w14:val="standardContextual"/>
        </w:rPr>
        <w:t>and the fiduciary activities of the University of Maine System (the System) (a component unit of the state of Maine)</w:t>
      </w:r>
      <w:r>
        <w:rPr>
          <w:rFonts w:ascii="Arial" w:hAnsi="Arial" w:cs="Arial"/>
          <w:color w:val="212222"/>
          <w14:ligatures w14:val="standardContextual"/>
        </w:rPr>
        <w:t xml:space="preserve">, </w:t>
      </w:r>
      <w:r>
        <w:rPr>
          <w:rFonts w:ascii="Arial" w:hAnsi="Arial" w:cs="Arial"/>
          <w:color w:val="08090A"/>
          <w14:ligatures w14:val="standardContextual"/>
        </w:rPr>
        <w:t>as of and for the year ended June 30</w:t>
      </w:r>
      <w:r>
        <w:rPr>
          <w:rFonts w:ascii="Arial" w:hAnsi="Arial" w:cs="Arial"/>
          <w:color w:val="212222"/>
          <w14:ligatures w14:val="standardContextual"/>
        </w:rPr>
        <w:t xml:space="preserve">, </w:t>
      </w:r>
      <w:r>
        <w:rPr>
          <w:rFonts w:ascii="Arial" w:hAnsi="Arial" w:cs="Arial"/>
          <w:color w:val="08090A"/>
          <w14:ligatures w14:val="standardContextual"/>
        </w:rPr>
        <w:t>2023 for the business-type activities and the fiduciary activities, and as of and for the year ended December 31</w:t>
      </w:r>
      <w:r>
        <w:rPr>
          <w:rFonts w:ascii="Arial" w:hAnsi="Arial" w:cs="Arial"/>
          <w:color w:val="212222"/>
          <w14:ligatures w14:val="standardContextual"/>
        </w:rPr>
        <w:t xml:space="preserve">, </w:t>
      </w:r>
      <w:r>
        <w:rPr>
          <w:rFonts w:ascii="Arial" w:hAnsi="Arial" w:cs="Arial"/>
          <w:color w:val="08090A"/>
          <w14:ligatures w14:val="standardContextual"/>
        </w:rPr>
        <w:t>2022 for the discretely presented component unit</w:t>
      </w:r>
      <w:r>
        <w:rPr>
          <w:rFonts w:ascii="Arial" w:hAnsi="Arial" w:cs="Arial"/>
          <w:color w:val="212222"/>
          <w14:ligatures w14:val="standardContextual"/>
        </w:rPr>
        <w:t xml:space="preserve">, </w:t>
      </w:r>
      <w:r>
        <w:rPr>
          <w:rFonts w:ascii="Arial" w:hAnsi="Arial" w:cs="Arial"/>
          <w:color w:val="08090A"/>
          <w14:ligatures w14:val="standardContextual"/>
        </w:rPr>
        <w:t>and the related notes to the financial statements</w:t>
      </w:r>
      <w:r>
        <w:rPr>
          <w:rFonts w:ascii="Arial" w:hAnsi="Arial" w:cs="Arial"/>
          <w:color w:val="212222"/>
          <w14:ligatures w14:val="standardContextual"/>
        </w:rPr>
        <w:t xml:space="preserve">, </w:t>
      </w:r>
      <w:r>
        <w:rPr>
          <w:rFonts w:ascii="Arial" w:hAnsi="Arial" w:cs="Arial"/>
          <w:color w:val="08090A"/>
          <w14:ligatures w14:val="standardContextual"/>
        </w:rPr>
        <w:t>which collectively comprise the System</w:t>
      </w:r>
      <w:r>
        <w:rPr>
          <w:rFonts w:ascii="Arial" w:hAnsi="Arial" w:cs="Arial"/>
          <w:color w:val="212222"/>
          <w14:ligatures w14:val="standardContextual"/>
        </w:rPr>
        <w:t>'</w:t>
      </w:r>
      <w:r>
        <w:rPr>
          <w:rFonts w:ascii="Arial" w:hAnsi="Arial" w:cs="Arial"/>
          <w:color w:val="08090A"/>
          <w14:ligatures w14:val="standardContextual"/>
        </w:rPr>
        <w:t>s basic financial statements</w:t>
      </w:r>
      <w:r>
        <w:rPr>
          <w:rFonts w:ascii="Arial" w:hAnsi="Arial" w:cs="Arial"/>
          <w:color w:val="212222"/>
          <w14:ligatures w14:val="standardContextual"/>
        </w:rPr>
        <w:t xml:space="preserve">, </w:t>
      </w:r>
      <w:r>
        <w:rPr>
          <w:rFonts w:ascii="Arial" w:hAnsi="Arial" w:cs="Arial"/>
          <w:color w:val="08090A"/>
          <w14:ligatures w14:val="standardContextual"/>
        </w:rPr>
        <w:t>and have issued our report thereon dated October 31, 2023</w:t>
      </w:r>
      <w:r>
        <w:rPr>
          <w:rFonts w:ascii="Arial" w:hAnsi="Arial" w:cs="Arial"/>
          <w:color w:val="353850"/>
          <w14:ligatures w14:val="standardContextual"/>
        </w:rPr>
        <w:t xml:space="preserve">. </w:t>
      </w:r>
      <w:r>
        <w:rPr>
          <w:rFonts w:ascii="Arial" w:hAnsi="Arial" w:cs="Arial"/>
          <w:color w:val="08090A"/>
          <w14:ligatures w14:val="standardContextual"/>
        </w:rPr>
        <w:t>Our report includes a reference to other auditors who audited the financial statements of the University of Maine Foundation (Foundation)</w:t>
      </w:r>
      <w:r>
        <w:rPr>
          <w:rFonts w:ascii="Arial" w:hAnsi="Arial" w:cs="Arial"/>
          <w:color w:val="212222"/>
          <w14:ligatures w14:val="standardContextual"/>
        </w:rPr>
        <w:t xml:space="preserve">, </w:t>
      </w:r>
      <w:r>
        <w:rPr>
          <w:rFonts w:ascii="Arial" w:hAnsi="Arial" w:cs="Arial"/>
          <w:color w:val="08090A"/>
          <w14:ligatures w14:val="standardContextual"/>
        </w:rPr>
        <w:t>as described in our report on the System</w:t>
      </w:r>
      <w:r>
        <w:rPr>
          <w:rFonts w:ascii="Arial" w:hAnsi="Arial" w:cs="Arial"/>
          <w:color w:val="212222"/>
          <w14:ligatures w14:val="standardContextual"/>
        </w:rPr>
        <w:t>'</w:t>
      </w:r>
      <w:r>
        <w:rPr>
          <w:rFonts w:ascii="Arial" w:hAnsi="Arial" w:cs="Arial"/>
          <w:color w:val="08090A"/>
          <w14:ligatures w14:val="standardContextual"/>
        </w:rPr>
        <w:t>s financial statements</w:t>
      </w:r>
      <w:r>
        <w:rPr>
          <w:rFonts w:ascii="Arial" w:hAnsi="Arial" w:cs="Arial"/>
          <w:color w:val="585859"/>
          <w14:ligatures w14:val="standardContextual"/>
        </w:rPr>
        <w:t xml:space="preserve">. </w:t>
      </w:r>
      <w:r>
        <w:rPr>
          <w:rFonts w:ascii="Arial" w:hAnsi="Arial" w:cs="Arial"/>
          <w:color w:val="08090A"/>
          <w14:ligatures w14:val="standardContextual"/>
        </w:rPr>
        <w:t xml:space="preserve">The financial statements of the Foundation were not audited in accordance with </w:t>
      </w:r>
      <w:r>
        <w:rPr>
          <w:rFonts w:ascii="Arial" w:hAnsi="Arial" w:cs="Arial"/>
          <w:i/>
          <w:iCs/>
          <w:color w:val="08090A"/>
          <w14:ligatures w14:val="standardContextual"/>
        </w:rPr>
        <w:t>Government Auditing Standards</w:t>
      </w:r>
      <w:r>
        <w:rPr>
          <w:rFonts w:ascii="Arial" w:hAnsi="Arial" w:cs="Arial"/>
          <w:i/>
          <w:iCs/>
          <w:color w:val="212222"/>
          <w14:ligatures w14:val="standardContextual"/>
        </w:rPr>
        <w:t xml:space="preserve">, </w:t>
      </w:r>
      <w:r>
        <w:rPr>
          <w:rFonts w:ascii="Arial" w:hAnsi="Arial" w:cs="Arial"/>
          <w:color w:val="08090A"/>
          <w14:ligatures w14:val="standardContextual"/>
        </w:rPr>
        <w:t>and accordingly</w:t>
      </w:r>
      <w:r>
        <w:rPr>
          <w:rFonts w:ascii="Arial" w:hAnsi="Arial" w:cs="Arial"/>
          <w:color w:val="212222"/>
          <w14:ligatures w14:val="standardContextual"/>
        </w:rPr>
        <w:t xml:space="preserve">, </w:t>
      </w:r>
      <w:r>
        <w:rPr>
          <w:rFonts w:ascii="Arial" w:hAnsi="Arial" w:cs="Arial"/>
          <w:color w:val="08090A"/>
          <w14:ligatures w14:val="standardContextual"/>
        </w:rPr>
        <w:t>this report does not include reporting on internal control over financial reporting or instances of reportable noncompliance associated with the Foundation</w:t>
      </w:r>
      <w:r>
        <w:rPr>
          <w:rFonts w:ascii="Arial" w:hAnsi="Arial" w:cs="Arial"/>
          <w:color w:val="353850"/>
          <w14:ligatures w14:val="standardContextual"/>
        </w:rPr>
        <w:t>.</w:t>
      </w:r>
    </w:p>
    <w:p w14:paraId="2B705803" w14:textId="77777777" w:rsidR="00BD53BD" w:rsidRDefault="00BD53BD" w:rsidP="00BD53BD">
      <w:pPr>
        <w:autoSpaceDE w:val="0"/>
        <w:autoSpaceDN w:val="0"/>
        <w:adjustRightInd w:val="0"/>
        <w:rPr>
          <w:rFonts w:ascii="Arial" w:hAnsi="Arial" w:cs="Arial"/>
          <w:b/>
          <w:bCs/>
          <w:i/>
          <w:iCs/>
          <w:color w:val="08090A"/>
          <w:sz w:val="21"/>
          <w:szCs w:val="21"/>
          <w14:ligatures w14:val="standardContextual"/>
        </w:rPr>
      </w:pPr>
    </w:p>
    <w:p w14:paraId="1B59564D" w14:textId="18A5CB2E" w:rsidR="00BD53BD" w:rsidRDefault="00BD53BD" w:rsidP="00BD53BD">
      <w:pPr>
        <w:autoSpaceDE w:val="0"/>
        <w:autoSpaceDN w:val="0"/>
        <w:adjustRightInd w:val="0"/>
        <w:rPr>
          <w:rFonts w:ascii="Arial" w:hAnsi="Arial" w:cs="Arial"/>
          <w:b/>
          <w:bCs/>
          <w:i/>
          <w:iCs/>
          <w:color w:val="08090A"/>
          <w:sz w:val="21"/>
          <w:szCs w:val="21"/>
          <w14:ligatures w14:val="standardContextual"/>
        </w:rPr>
      </w:pPr>
      <w:r>
        <w:rPr>
          <w:rFonts w:ascii="Arial" w:hAnsi="Arial" w:cs="Arial"/>
          <w:b/>
          <w:bCs/>
          <w:i/>
          <w:iCs/>
          <w:color w:val="08090A"/>
          <w:sz w:val="21"/>
          <w:szCs w:val="21"/>
          <w14:ligatures w14:val="standardContextual"/>
        </w:rPr>
        <w:t>Report on Internal Control Over Financial Reporting</w:t>
      </w:r>
    </w:p>
    <w:p w14:paraId="35D9152C" w14:textId="54C15693" w:rsidR="00BD53BD" w:rsidRDefault="00BD53BD" w:rsidP="00BD53BD">
      <w:pPr>
        <w:autoSpaceDE w:val="0"/>
        <w:autoSpaceDN w:val="0"/>
        <w:adjustRightInd w:val="0"/>
        <w:rPr>
          <w:rFonts w:ascii="Arial" w:hAnsi="Arial" w:cs="Arial"/>
          <w:color w:val="08090A"/>
          <w14:ligatures w14:val="standardContextual"/>
        </w:rPr>
      </w:pPr>
      <w:r>
        <w:rPr>
          <w:rFonts w:ascii="Arial" w:hAnsi="Arial" w:cs="Arial"/>
          <w:color w:val="08090A"/>
          <w14:ligatures w14:val="standardContextual"/>
        </w:rPr>
        <w:t>In planning and performing our audit of the financial statements</w:t>
      </w:r>
      <w:r>
        <w:rPr>
          <w:rFonts w:ascii="Arial" w:hAnsi="Arial" w:cs="Arial"/>
          <w:color w:val="212222"/>
          <w14:ligatures w14:val="standardContextual"/>
        </w:rPr>
        <w:t xml:space="preserve">, </w:t>
      </w:r>
      <w:r>
        <w:rPr>
          <w:rFonts w:ascii="Arial" w:hAnsi="Arial" w:cs="Arial"/>
          <w:color w:val="08090A"/>
          <w14:ligatures w14:val="standardContextual"/>
        </w:rPr>
        <w:t>we considered the System</w:t>
      </w:r>
      <w:r>
        <w:rPr>
          <w:rFonts w:ascii="Arial" w:hAnsi="Arial" w:cs="Arial"/>
          <w:color w:val="212222"/>
          <w14:ligatures w14:val="standardContextual"/>
        </w:rPr>
        <w:t>'</w:t>
      </w:r>
      <w:r>
        <w:rPr>
          <w:rFonts w:ascii="Arial" w:hAnsi="Arial" w:cs="Arial"/>
          <w:color w:val="08090A"/>
          <w14:ligatures w14:val="standardContextual"/>
        </w:rPr>
        <w:t xml:space="preserve">s </w:t>
      </w:r>
      <w:r>
        <w:rPr>
          <w:rFonts w:ascii="Arial" w:hAnsi="Arial" w:cs="Arial"/>
          <w:color w:val="212222"/>
          <w14:ligatures w14:val="standardContextual"/>
        </w:rPr>
        <w:t>internal control over financial reporting (internal control) as a basis for designing audit procedures that are appropriate in the circumstances for the purpose of expressing our opinions on the financial statements</w:t>
      </w:r>
      <w:r>
        <w:rPr>
          <w:rFonts w:ascii="Arial" w:hAnsi="Arial" w:cs="Arial"/>
          <w:color w:val="353850"/>
          <w14:ligatures w14:val="standardContextual"/>
        </w:rPr>
        <w:t xml:space="preserve">, </w:t>
      </w:r>
      <w:r>
        <w:rPr>
          <w:rFonts w:ascii="Arial" w:hAnsi="Arial" w:cs="Arial"/>
          <w:color w:val="212222"/>
          <w14:ligatures w14:val="standardContextual"/>
        </w:rPr>
        <w:t xml:space="preserve">but not for the purpose of expressing an opinion on the effectiveness of </w:t>
      </w:r>
      <w:r>
        <w:rPr>
          <w:rFonts w:ascii="Arial" w:hAnsi="Arial" w:cs="Arial"/>
          <w:color w:val="08090A"/>
          <w14:ligatures w14:val="standardContextual"/>
        </w:rPr>
        <w:t>the System</w:t>
      </w:r>
      <w:r>
        <w:rPr>
          <w:rFonts w:ascii="Arial" w:hAnsi="Arial" w:cs="Arial"/>
          <w:color w:val="212222"/>
          <w14:ligatures w14:val="standardContextual"/>
        </w:rPr>
        <w:t>'</w:t>
      </w:r>
      <w:r>
        <w:rPr>
          <w:rFonts w:ascii="Arial" w:hAnsi="Arial" w:cs="Arial"/>
          <w:color w:val="08090A"/>
          <w14:ligatures w14:val="standardContextual"/>
        </w:rPr>
        <w:t>s internal control. Accordingly, we do not express an opinion on the effectiveness of the System</w:t>
      </w:r>
      <w:r>
        <w:rPr>
          <w:rFonts w:ascii="Arial" w:hAnsi="Arial" w:cs="Arial"/>
          <w:color w:val="212222"/>
          <w14:ligatures w14:val="standardContextual"/>
        </w:rPr>
        <w:t>’s internal</w:t>
      </w:r>
      <w:r>
        <w:rPr>
          <w:rFonts w:ascii="Arial" w:hAnsi="Arial" w:cs="Arial"/>
          <w:color w:val="08090A"/>
          <w14:ligatures w14:val="standardContextual"/>
        </w:rPr>
        <w:t xml:space="preserve"> control.</w:t>
      </w:r>
    </w:p>
    <w:p w14:paraId="3E697805" w14:textId="77777777" w:rsidR="00BD53BD" w:rsidRDefault="00BD53BD" w:rsidP="00BD53BD">
      <w:pPr>
        <w:autoSpaceDE w:val="0"/>
        <w:autoSpaceDN w:val="0"/>
        <w:adjustRightInd w:val="0"/>
        <w:rPr>
          <w:rFonts w:ascii="Arial" w:hAnsi="Arial" w:cs="Arial"/>
          <w:color w:val="08090A"/>
          <w14:ligatures w14:val="standardContextual"/>
        </w:rPr>
      </w:pPr>
    </w:p>
    <w:p w14:paraId="0AE97AD8" w14:textId="4E686EAB" w:rsidR="00BD53BD" w:rsidRDefault="00BD53BD" w:rsidP="00BD53BD">
      <w:pPr>
        <w:autoSpaceDE w:val="0"/>
        <w:autoSpaceDN w:val="0"/>
        <w:adjustRightInd w:val="0"/>
        <w:rPr>
          <w:rFonts w:ascii="Arial" w:hAnsi="Arial" w:cs="Arial"/>
          <w:color w:val="08090A"/>
          <w14:ligatures w14:val="standardContextual"/>
        </w:rPr>
      </w:pPr>
      <w:r>
        <w:rPr>
          <w:rFonts w:ascii="Arial" w:hAnsi="Arial" w:cs="Arial"/>
          <w:color w:val="08090A"/>
          <w14:ligatures w14:val="standardContextual"/>
        </w:rPr>
        <w:t xml:space="preserve">A </w:t>
      </w:r>
      <w:r>
        <w:rPr>
          <w:rFonts w:ascii="Arial" w:hAnsi="Arial" w:cs="Arial"/>
          <w:i/>
          <w:iCs/>
          <w:color w:val="08090A"/>
          <w14:ligatures w14:val="standardContextual"/>
        </w:rPr>
        <w:t xml:space="preserve">deficiency in internal control </w:t>
      </w:r>
      <w:r>
        <w:rPr>
          <w:rFonts w:ascii="Arial" w:hAnsi="Arial" w:cs="Arial"/>
          <w:color w:val="08090A"/>
          <w14:ligatures w14:val="standardContextual"/>
        </w:rPr>
        <w:t>exists when the design or operation of a control does not allow management or employees, in the normal course of performing their assigned functions, to prevent, or</w:t>
      </w:r>
    </w:p>
    <w:p w14:paraId="3A1A73FB" w14:textId="77777777" w:rsidR="00BD53BD" w:rsidRDefault="00BD53BD" w:rsidP="00BD53BD">
      <w:pPr>
        <w:autoSpaceDE w:val="0"/>
        <w:autoSpaceDN w:val="0"/>
        <w:adjustRightInd w:val="0"/>
        <w:rPr>
          <w:rFonts w:ascii="Arial" w:hAnsi="Arial" w:cs="Arial"/>
          <w:color w:val="08090A"/>
          <w14:ligatures w14:val="standardContextual"/>
        </w:rPr>
      </w:pPr>
      <w:r>
        <w:rPr>
          <w:rFonts w:ascii="Arial" w:hAnsi="Arial" w:cs="Arial"/>
          <w:color w:val="08090A"/>
          <w14:ligatures w14:val="standardContextual"/>
        </w:rPr>
        <w:t>detect and correct</w:t>
      </w:r>
      <w:r>
        <w:rPr>
          <w:rFonts w:ascii="Arial" w:hAnsi="Arial" w:cs="Arial"/>
          <w:color w:val="212222"/>
          <w14:ligatures w14:val="standardContextual"/>
        </w:rPr>
        <w:t xml:space="preserve">, </w:t>
      </w:r>
      <w:r>
        <w:rPr>
          <w:rFonts w:ascii="Arial" w:hAnsi="Arial" w:cs="Arial"/>
          <w:color w:val="08090A"/>
          <w14:ligatures w14:val="standardContextual"/>
        </w:rPr>
        <w:t>misstatements on a timely basis</w:t>
      </w:r>
      <w:r>
        <w:rPr>
          <w:rFonts w:ascii="Arial" w:hAnsi="Arial" w:cs="Arial"/>
          <w:color w:val="585859"/>
          <w14:ligatures w14:val="standardContextual"/>
        </w:rPr>
        <w:t xml:space="preserve">. </w:t>
      </w:r>
      <w:r>
        <w:rPr>
          <w:rFonts w:ascii="Arial" w:hAnsi="Arial" w:cs="Arial"/>
          <w:color w:val="08090A"/>
          <w14:ligatures w14:val="standardContextual"/>
        </w:rPr>
        <w:t xml:space="preserve">A </w:t>
      </w:r>
      <w:r>
        <w:rPr>
          <w:rFonts w:ascii="Arial" w:hAnsi="Arial" w:cs="Arial"/>
          <w:i/>
          <w:iCs/>
          <w:color w:val="08090A"/>
          <w14:ligatures w14:val="standardContextual"/>
        </w:rPr>
        <w:t xml:space="preserve">material weakness </w:t>
      </w:r>
      <w:r>
        <w:rPr>
          <w:rFonts w:ascii="Arial" w:hAnsi="Arial" w:cs="Arial"/>
          <w:color w:val="08090A"/>
          <w14:ligatures w14:val="standardContextual"/>
        </w:rPr>
        <w:t>is a deficiency</w:t>
      </w:r>
      <w:r>
        <w:rPr>
          <w:rFonts w:ascii="Arial" w:hAnsi="Arial" w:cs="Arial"/>
          <w:color w:val="212222"/>
          <w14:ligatures w14:val="standardContextual"/>
        </w:rPr>
        <w:t xml:space="preserve">, </w:t>
      </w:r>
      <w:r>
        <w:rPr>
          <w:rFonts w:ascii="Arial" w:hAnsi="Arial" w:cs="Arial"/>
          <w:color w:val="08090A"/>
          <w14:ligatures w14:val="standardContextual"/>
        </w:rPr>
        <w:t>or a</w:t>
      </w:r>
    </w:p>
    <w:p w14:paraId="17D5E9CC" w14:textId="57B5ADF8" w:rsidR="008B1A0E" w:rsidRPr="008B1A0E" w:rsidRDefault="00BD53BD" w:rsidP="00BD53BD">
      <w:pPr>
        <w:autoSpaceDE w:val="0"/>
        <w:autoSpaceDN w:val="0"/>
        <w:adjustRightInd w:val="0"/>
        <w:rPr>
          <w:rFonts w:ascii="Arial" w:eastAsia="Arial" w:hAnsi="Arial" w:cs="Arial"/>
          <w:sz w:val="20"/>
        </w:rPr>
      </w:pPr>
      <w:r>
        <w:rPr>
          <w:rFonts w:ascii="Arial" w:hAnsi="Arial" w:cs="Arial"/>
          <w:color w:val="08090A"/>
          <w14:ligatures w14:val="standardContextual"/>
        </w:rPr>
        <w:t>combination of deficiencies</w:t>
      </w:r>
      <w:r>
        <w:rPr>
          <w:rFonts w:ascii="Arial" w:hAnsi="Arial" w:cs="Arial"/>
          <w:color w:val="212222"/>
          <w14:ligatures w14:val="standardContextual"/>
        </w:rPr>
        <w:t xml:space="preserve">, </w:t>
      </w:r>
      <w:r>
        <w:rPr>
          <w:rFonts w:ascii="Arial" w:hAnsi="Arial" w:cs="Arial"/>
          <w:color w:val="08090A"/>
          <w14:ligatures w14:val="standardContextual"/>
        </w:rPr>
        <w:t>in internal control, such that there is a reasonable possibility that a material misstatement of the entity's financial statements will not be prevented</w:t>
      </w:r>
      <w:r>
        <w:rPr>
          <w:rFonts w:ascii="Arial" w:hAnsi="Arial" w:cs="Arial"/>
          <w:color w:val="212222"/>
          <w14:ligatures w14:val="standardContextual"/>
        </w:rPr>
        <w:t xml:space="preserve">, </w:t>
      </w:r>
      <w:r>
        <w:rPr>
          <w:rFonts w:ascii="Arial" w:hAnsi="Arial" w:cs="Arial"/>
          <w:color w:val="08090A"/>
          <w14:ligatures w14:val="standardContextual"/>
        </w:rPr>
        <w:t>or detected and corrected</w:t>
      </w:r>
      <w:r>
        <w:rPr>
          <w:rFonts w:ascii="Arial" w:hAnsi="Arial" w:cs="Arial"/>
          <w:color w:val="212222"/>
          <w14:ligatures w14:val="standardContextual"/>
        </w:rPr>
        <w:t xml:space="preserve">, </w:t>
      </w:r>
      <w:r>
        <w:rPr>
          <w:rFonts w:ascii="Arial" w:hAnsi="Arial" w:cs="Arial"/>
          <w:color w:val="08090A"/>
          <w14:ligatures w14:val="standardContextual"/>
        </w:rPr>
        <w:t>on a timely basis</w:t>
      </w:r>
      <w:r>
        <w:rPr>
          <w:rFonts w:ascii="Arial" w:hAnsi="Arial" w:cs="Arial"/>
          <w:color w:val="585859"/>
          <w14:ligatures w14:val="standardContextual"/>
        </w:rPr>
        <w:t xml:space="preserve">. </w:t>
      </w:r>
      <w:r>
        <w:rPr>
          <w:rFonts w:ascii="Arial" w:hAnsi="Arial" w:cs="Arial"/>
          <w:color w:val="08090A"/>
          <w14:ligatures w14:val="standardContextual"/>
        </w:rPr>
        <w:t xml:space="preserve">A </w:t>
      </w:r>
      <w:r>
        <w:rPr>
          <w:rFonts w:ascii="Arial" w:hAnsi="Arial" w:cs="Arial"/>
          <w:i/>
          <w:iCs/>
          <w:color w:val="08090A"/>
          <w14:ligatures w14:val="standardContextual"/>
        </w:rPr>
        <w:t xml:space="preserve">significant deficiency </w:t>
      </w:r>
      <w:r>
        <w:rPr>
          <w:rFonts w:ascii="Arial" w:hAnsi="Arial" w:cs="Arial"/>
          <w:color w:val="08090A"/>
          <w14:ligatures w14:val="standardContextual"/>
        </w:rPr>
        <w:t>is a deficiency, or a combination of deficiencies, in internal control that is less severe than a material weakness</w:t>
      </w:r>
      <w:r>
        <w:rPr>
          <w:rFonts w:ascii="Arial" w:hAnsi="Arial" w:cs="Arial"/>
          <w:color w:val="212222"/>
          <w14:ligatures w14:val="standardContextual"/>
        </w:rPr>
        <w:t xml:space="preserve">, </w:t>
      </w:r>
      <w:r>
        <w:rPr>
          <w:rFonts w:ascii="Arial" w:hAnsi="Arial" w:cs="Arial"/>
          <w:color w:val="08090A"/>
          <w14:ligatures w14:val="standardContextual"/>
        </w:rPr>
        <w:t>yet important enough to merit attention by those charged with governance.</w:t>
      </w:r>
    </w:p>
    <w:p w14:paraId="0C718BA8" w14:textId="77777777" w:rsidR="008B1A0E" w:rsidRPr="008B1A0E" w:rsidRDefault="008B1A0E" w:rsidP="008B1A0E">
      <w:pPr>
        <w:widowControl w:val="0"/>
        <w:autoSpaceDE w:val="0"/>
        <w:autoSpaceDN w:val="0"/>
        <w:rPr>
          <w:rFonts w:ascii="Arial" w:eastAsia="Arial" w:hAnsi="Arial" w:cs="Arial"/>
          <w:sz w:val="24"/>
        </w:rPr>
      </w:pPr>
    </w:p>
    <w:p w14:paraId="7F84C298"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 xml:space="preserve">Our consideration of internal control was for the limited purpose described in the first paragraph of this section and was not designed to identify all deficiencies in internal control that might be material weaknesses or significant deficiencies. Given these limitations, during our audit we did not </w:t>
      </w:r>
      <w:proofErr w:type="gramStart"/>
      <w:r>
        <w:rPr>
          <w:rFonts w:ascii="Arial" w:hAnsi="Arial" w:cs="Arial"/>
          <w:color w:val="020202"/>
          <w14:ligatures w14:val="standardContextual"/>
        </w:rPr>
        <w:t>identify</w:t>
      </w:r>
      <w:proofErr w:type="gramEnd"/>
      <w:r>
        <w:rPr>
          <w:rFonts w:ascii="Arial" w:hAnsi="Arial" w:cs="Arial"/>
          <w:color w:val="020202"/>
          <w14:ligatures w14:val="standardContextual"/>
        </w:rPr>
        <w:t xml:space="preserve"> </w:t>
      </w:r>
    </w:p>
    <w:p w14:paraId="292AA664" w14:textId="7B83FAC2" w:rsidR="00BD53BD" w:rsidRDefault="00BD53BD" w:rsidP="00BD53BD">
      <w:pPr>
        <w:autoSpaceDE w:val="0"/>
        <w:autoSpaceDN w:val="0"/>
        <w:adjustRightInd w:val="0"/>
        <w:spacing w:before="120"/>
        <w:rPr>
          <w:rFonts w:ascii="Arial" w:hAnsi="Arial" w:cs="Arial"/>
          <w:color w:val="020202"/>
          <w14:ligatures w14:val="standardContextual"/>
        </w:rPr>
      </w:pPr>
      <w:r w:rsidRPr="004B7704">
        <w:rPr>
          <w:rFonts w:ascii="Arial" w:hAnsi="Arial" w:cs="Arial"/>
          <w:color w:val="0D0D0D" w:themeColor="text1" w:themeTint="F2"/>
          <w:sz w:val="13"/>
          <w:szCs w:val="13"/>
          <w14:ligatures w14:val="standardContextual"/>
        </w:rPr>
        <w:t>CLA (</w:t>
      </w:r>
      <w:proofErr w:type="spellStart"/>
      <w:r w:rsidRPr="004B7704">
        <w:rPr>
          <w:rFonts w:ascii="Arial" w:hAnsi="Arial" w:cs="Arial"/>
          <w:color w:val="0D0D0D" w:themeColor="text1" w:themeTint="F2"/>
          <w:sz w:val="13"/>
          <w:szCs w:val="13"/>
          <w14:ligatures w14:val="standardContextual"/>
        </w:rPr>
        <w:t>CliftonlarsonAllen</w:t>
      </w:r>
      <w:proofErr w:type="spellEnd"/>
      <w:r w:rsidRPr="004B7704">
        <w:rPr>
          <w:rFonts w:ascii="Arial" w:hAnsi="Arial" w:cs="Arial"/>
          <w:color w:val="0D0D0D" w:themeColor="text1" w:themeTint="F2"/>
          <w:sz w:val="13"/>
          <w:szCs w:val="13"/>
          <w14:ligatures w14:val="standardContextual"/>
        </w:rPr>
        <w:t xml:space="preserve"> LLP) is an independent network member of CLA Global. S</w:t>
      </w:r>
      <w:r w:rsidR="00C275DA" w:rsidRPr="004B7704">
        <w:rPr>
          <w:rFonts w:ascii="Arial" w:hAnsi="Arial" w:cs="Arial"/>
          <w:color w:val="0D0D0D" w:themeColor="text1" w:themeTint="F2"/>
          <w:sz w:val="13"/>
          <w:szCs w:val="13"/>
          <w14:ligatures w14:val="standardContextual"/>
        </w:rPr>
        <w:t>ee</w:t>
      </w:r>
      <w:r>
        <w:rPr>
          <w:rFonts w:ascii="HiddenHorzOCR" w:eastAsia="HiddenHorzOCR" w:hAnsi="Arial" w:cs="HiddenHorzOCR"/>
          <w:color w:val="212222"/>
          <w:sz w:val="12"/>
          <w:szCs w:val="12"/>
          <w14:ligatures w14:val="standardContextual"/>
        </w:rPr>
        <w:t xml:space="preserve"> </w:t>
      </w:r>
      <w:r>
        <w:rPr>
          <w:rFonts w:ascii="Arial" w:hAnsi="Arial" w:cs="Arial"/>
          <w:color w:val="2E447C"/>
          <w:sz w:val="13"/>
          <w:szCs w:val="13"/>
          <w14:ligatures w14:val="standardContextual"/>
        </w:rPr>
        <w:t>C</w:t>
      </w:r>
      <w:r>
        <w:rPr>
          <w:rFonts w:ascii="Arial" w:hAnsi="Arial" w:cs="Arial"/>
          <w:color w:val="3957A8"/>
          <w:sz w:val="13"/>
          <w:szCs w:val="13"/>
          <w14:ligatures w14:val="standardContextual"/>
        </w:rPr>
        <w:t>LAglobal.com/</w:t>
      </w:r>
      <w:proofErr w:type="gramStart"/>
      <w:r>
        <w:rPr>
          <w:rFonts w:ascii="Arial" w:hAnsi="Arial" w:cs="Arial"/>
          <w:color w:val="3957A8"/>
          <w:sz w:val="13"/>
          <w:szCs w:val="13"/>
          <w14:ligatures w14:val="standardContextual"/>
        </w:rPr>
        <w:t>disclaimer</w:t>
      </w:r>
      <w:proofErr w:type="gramEnd"/>
    </w:p>
    <w:p w14:paraId="48E5255F" w14:textId="77777777" w:rsidR="00BD53BD" w:rsidRDefault="00BD53BD" w:rsidP="00BD53BD">
      <w:pPr>
        <w:widowControl w:val="0"/>
        <w:autoSpaceDE w:val="0"/>
        <w:autoSpaceDN w:val="0"/>
        <w:ind w:right="7146"/>
        <w:rPr>
          <w:rFonts w:ascii="Arial" w:eastAsia="Arial" w:hAnsi="Arial" w:cs="Arial"/>
        </w:rPr>
      </w:pPr>
      <w:r w:rsidRPr="008B1A0E">
        <w:rPr>
          <w:rFonts w:ascii="Arial" w:eastAsia="Arial" w:hAnsi="Arial" w:cs="Arial"/>
        </w:rPr>
        <w:lastRenderedPageBreak/>
        <w:t xml:space="preserve">Board of Trustees </w:t>
      </w:r>
    </w:p>
    <w:p w14:paraId="19D77DB0" w14:textId="77777777" w:rsidR="00BD53BD" w:rsidRDefault="00BD53BD" w:rsidP="00BD53BD">
      <w:pPr>
        <w:widowControl w:val="0"/>
        <w:autoSpaceDE w:val="0"/>
        <w:autoSpaceDN w:val="0"/>
        <w:ind w:right="7146"/>
        <w:rPr>
          <w:rFonts w:ascii="Arial" w:eastAsia="Arial" w:hAnsi="Arial" w:cs="Arial"/>
        </w:rPr>
      </w:pPr>
      <w:r w:rsidRPr="008B1A0E">
        <w:rPr>
          <w:rFonts w:ascii="Arial" w:eastAsia="Arial" w:hAnsi="Arial" w:cs="Arial"/>
        </w:rPr>
        <w:t>University</w:t>
      </w:r>
      <w:r w:rsidRPr="008B1A0E">
        <w:rPr>
          <w:rFonts w:ascii="Arial" w:eastAsia="Arial" w:hAnsi="Arial" w:cs="Arial"/>
          <w:spacing w:val="-12"/>
        </w:rPr>
        <w:t xml:space="preserve"> </w:t>
      </w:r>
      <w:r w:rsidRPr="008B1A0E">
        <w:rPr>
          <w:rFonts w:ascii="Arial" w:eastAsia="Arial" w:hAnsi="Arial" w:cs="Arial"/>
        </w:rPr>
        <w:t>of</w:t>
      </w:r>
      <w:r w:rsidRPr="008B1A0E">
        <w:rPr>
          <w:rFonts w:ascii="Arial" w:eastAsia="Arial" w:hAnsi="Arial" w:cs="Arial"/>
          <w:spacing w:val="-14"/>
        </w:rPr>
        <w:t xml:space="preserve"> </w:t>
      </w:r>
      <w:r w:rsidRPr="008B1A0E">
        <w:rPr>
          <w:rFonts w:ascii="Arial" w:eastAsia="Arial" w:hAnsi="Arial" w:cs="Arial"/>
        </w:rPr>
        <w:t>Maine</w:t>
      </w:r>
      <w:r w:rsidRPr="008B1A0E">
        <w:rPr>
          <w:rFonts w:ascii="Arial" w:eastAsia="Arial" w:hAnsi="Arial" w:cs="Arial"/>
          <w:spacing w:val="-13"/>
        </w:rPr>
        <w:t xml:space="preserve"> </w:t>
      </w:r>
      <w:r w:rsidRPr="008B1A0E">
        <w:rPr>
          <w:rFonts w:ascii="Arial" w:eastAsia="Arial" w:hAnsi="Arial" w:cs="Arial"/>
        </w:rPr>
        <w:t xml:space="preserve">System </w:t>
      </w:r>
    </w:p>
    <w:p w14:paraId="7AFD8A0C" w14:textId="77777777" w:rsidR="00BD53BD" w:rsidRDefault="00BD53BD" w:rsidP="00BD53BD">
      <w:pPr>
        <w:autoSpaceDE w:val="0"/>
        <w:autoSpaceDN w:val="0"/>
        <w:adjustRightInd w:val="0"/>
        <w:rPr>
          <w:rFonts w:ascii="Arial" w:hAnsi="Arial" w:cs="Arial"/>
          <w:color w:val="020202"/>
          <w14:ligatures w14:val="standardContextual"/>
        </w:rPr>
      </w:pPr>
    </w:p>
    <w:p w14:paraId="51CBEC58" w14:textId="232A4F23"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any deficiencies in internal control that we consider to be material weaknesses. However, material</w:t>
      </w:r>
    </w:p>
    <w:p w14:paraId="1736CFA0" w14:textId="094AFE4E" w:rsidR="00BD53BD" w:rsidRDefault="00BD53BD" w:rsidP="00BD53BD">
      <w:pPr>
        <w:autoSpaceDE w:val="0"/>
        <w:autoSpaceDN w:val="0"/>
        <w:adjustRightInd w:val="0"/>
        <w:rPr>
          <w:rFonts w:ascii="Arial" w:hAnsi="Arial" w:cs="Arial"/>
          <w:color w:val="585858"/>
          <w14:ligatures w14:val="standardContextual"/>
        </w:rPr>
      </w:pPr>
      <w:r>
        <w:rPr>
          <w:rFonts w:ascii="Arial" w:hAnsi="Arial" w:cs="Arial"/>
          <w:color w:val="020202"/>
          <w14:ligatures w14:val="standardContextual"/>
        </w:rPr>
        <w:t>weaknesses or significant deficiencies may exist that were not identified</w:t>
      </w:r>
      <w:r>
        <w:rPr>
          <w:rFonts w:ascii="Arial" w:hAnsi="Arial" w:cs="Arial"/>
          <w:color w:val="585858"/>
          <w14:ligatures w14:val="standardContextual"/>
        </w:rPr>
        <w:t>.</w:t>
      </w:r>
    </w:p>
    <w:p w14:paraId="7DA2DFF4" w14:textId="77777777" w:rsidR="00BD53BD" w:rsidRDefault="00BD53BD" w:rsidP="00BD53BD">
      <w:pPr>
        <w:autoSpaceDE w:val="0"/>
        <w:autoSpaceDN w:val="0"/>
        <w:adjustRightInd w:val="0"/>
        <w:rPr>
          <w:rFonts w:ascii="Arial" w:hAnsi="Arial" w:cs="Arial"/>
          <w:b/>
          <w:bCs/>
          <w:i/>
          <w:iCs/>
          <w:color w:val="020202"/>
          <w:sz w:val="21"/>
          <w:szCs w:val="21"/>
          <w14:ligatures w14:val="standardContextual"/>
        </w:rPr>
      </w:pPr>
    </w:p>
    <w:p w14:paraId="2CC7F6EE" w14:textId="02E3F10B" w:rsidR="00BD53BD" w:rsidRDefault="00BD53BD" w:rsidP="00BD53BD">
      <w:pPr>
        <w:autoSpaceDE w:val="0"/>
        <w:autoSpaceDN w:val="0"/>
        <w:adjustRightInd w:val="0"/>
        <w:rPr>
          <w:rFonts w:ascii="Arial" w:hAnsi="Arial" w:cs="Arial"/>
          <w:b/>
          <w:bCs/>
          <w:i/>
          <w:iCs/>
          <w:color w:val="020202"/>
          <w:sz w:val="21"/>
          <w:szCs w:val="21"/>
          <w14:ligatures w14:val="standardContextual"/>
        </w:rPr>
      </w:pPr>
      <w:r>
        <w:rPr>
          <w:rFonts w:ascii="Arial" w:hAnsi="Arial" w:cs="Arial"/>
          <w:b/>
          <w:bCs/>
          <w:i/>
          <w:iCs/>
          <w:color w:val="020202"/>
          <w:sz w:val="21"/>
          <w:szCs w:val="21"/>
          <w14:ligatures w14:val="standardContextual"/>
        </w:rPr>
        <w:t>Report on Compliance and Other Matters</w:t>
      </w:r>
    </w:p>
    <w:p w14:paraId="0E58DF15"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As part of obtaining reasonable assurance about whether System's financial statements are free from</w:t>
      </w:r>
    </w:p>
    <w:p w14:paraId="3C8CF64E" w14:textId="172DF49D" w:rsidR="00BD53BD" w:rsidRDefault="00BD53BD" w:rsidP="00BD53BD">
      <w:pPr>
        <w:autoSpaceDE w:val="0"/>
        <w:autoSpaceDN w:val="0"/>
        <w:adjustRightInd w:val="0"/>
        <w:rPr>
          <w:rFonts w:ascii="Arial" w:hAnsi="Arial" w:cs="Arial"/>
          <w:i/>
          <w:iCs/>
          <w:color w:val="262626"/>
          <w14:ligatures w14:val="standardContextual"/>
        </w:rPr>
      </w:pPr>
      <w:r>
        <w:rPr>
          <w:rFonts w:ascii="Arial" w:hAnsi="Arial" w:cs="Arial"/>
          <w:color w:val="020202"/>
          <w14:ligatures w14:val="standardContextual"/>
        </w:rPr>
        <w:t>material misstatement, we performed tests of its compliance with certain provisions of laws</w:t>
      </w:r>
      <w:r>
        <w:rPr>
          <w:rFonts w:ascii="Arial" w:hAnsi="Arial" w:cs="Arial"/>
          <w:color w:val="262626"/>
          <w14:ligatures w14:val="standardContextual"/>
        </w:rPr>
        <w:t xml:space="preserve">, </w:t>
      </w:r>
      <w:r>
        <w:rPr>
          <w:rFonts w:ascii="Arial" w:hAnsi="Arial" w:cs="Arial"/>
          <w:color w:val="020202"/>
          <w14:ligatures w14:val="standardContextual"/>
        </w:rPr>
        <w:t xml:space="preserve">regulations, contracts, and grant agreements, noncompliance with which could have a direct and material effect on the financial statements. However, providing an opinion on compliance with those provisions was not an objective of our audit, and accordingly, we do not express such an opinion. The results of our tests disclosed no instances of noncompliance or other matters that are required to be reported under </w:t>
      </w:r>
      <w:r>
        <w:rPr>
          <w:rFonts w:ascii="Arial" w:hAnsi="Arial" w:cs="Arial"/>
          <w:i/>
          <w:iCs/>
          <w:color w:val="020202"/>
          <w14:ligatures w14:val="standardContextual"/>
        </w:rPr>
        <w:t>Government Auditing Standards</w:t>
      </w:r>
      <w:r>
        <w:rPr>
          <w:rFonts w:ascii="Arial" w:hAnsi="Arial" w:cs="Arial"/>
          <w:i/>
          <w:iCs/>
          <w:color w:val="262626"/>
          <w14:ligatures w14:val="standardContextual"/>
        </w:rPr>
        <w:t>.</w:t>
      </w:r>
    </w:p>
    <w:p w14:paraId="03913F9A" w14:textId="77777777" w:rsidR="00BD53BD" w:rsidRDefault="00BD53BD" w:rsidP="00BD53BD">
      <w:pPr>
        <w:autoSpaceDE w:val="0"/>
        <w:autoSpaceDN w:val="0"/>
        <w:adjustRightInd w:val="0"/>
        <w:rPr>
          <w:rFonts w:ascii="Arial" w:hAnsi="Arial" w:cs="Arial"/>
          <w:b/>
          <w:bCs/>
          <w:i/>
          <w:iCs/>
          <w:color w:val="020202"/>
          <w:sz w:val="21"/>
          <w:szCs w:val="21"/>
          <w14:ligatures w14:val="standardContextual"/>
        </w:rPr>
      </w:pPr>
    </w:p>
    <w:p w14:paraId="06D1E67E" w14:textId="590DDAD7" w:rsidR="00BD53BD" w:rsidRDefault="00BD53BD" w:rsidP="00BD53BD">
      <w:pPr>
        <w:autoSpaceDE w:val="0"/>
        <w:autoSpaceDN w:val="0"/>
        <w:adjustRightInd w:val="0"/>
        <w:rPr>
          <w:rFonts w:ascii="Arial" w:hAnsi="Arial" w:cs="Arial"/>
          <w:b/>
          <w:bCs/>
          <w:i/>
          <w:iCs/>
          <w:color w:val="020202"/>
          <w:sz w:val="21"/>
          <w:szCs w:val="21"/>
          <w14:ligatures w14:val="standardContextual"/>
        </w:rPr>
      </w:pPr>
      <w:r>
        <w:rPr>
          <w:rFonts w:ascii="Arial" w:hAnsi="Arial" w:cs="Arial"/>
          <w:b/>
          <w:bCs/>
          <w:i/>
          <w:iCs/>
          <w:color w:val="020202"/>
          <w:sz w:val="21"/>
          <w:szCs w:val="21"/>
          <w14:ligatures w14:val="standardContextual"/>
        </w:rPr>
        <w:t>Purpose of This Report</w:t>
      </w:r>
    </w:p>
    <w:p w14:paraId="3D842AF8"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The purpose of this report is solely to describe the scope of our testing of internal control and</w:t>
      </w:r>
    </w:p>
    <w:p w14:paraId="1271329B"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compliance and the results of that testing, and not to provide an opinion on the effectiveness of the</w:t>
      </w:r>
    </w:p>
    <w:p w14:paraId="1BAF14DD"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entity's internal control or on compliance. This report is an integral part of an audit performed in</w:t>
      </w:r>
    </w:p>
    <w:p w14:paraId="26C030BD" w14:textId="77777777" w:rsidR="00BD53BD" w:rsidRDefault="00BD53BD" w:rsidP="00BD53BD">
      <w:pPr>
        <w:autoSpaceDE w:val="0"/>
        <w:autoSpaceDN w:val="0"/>
        <w:adjustRightInd w:val="0"/>
        <w:rPr>
          <w:rFonts w:ascii="Arial" w:hAnsi="Arial" w:cs="Arial"/>
          <w:color w:val="020202"/>
          <w14:ligatures w14:val="standardContextual"/>
        </w:rPr>
      </w:pPr>
      <w:r>
        <w:rPr>
          <w:rFonts w:ascii="Arial" w:hAnsi="Arial" w:cs="Arial"/>
          <w:color w:val="020202"/>
          <w14:ligatures w14:val="standardContextual"/>
        </w:rPr>
        <w:t xml:space="preserve">accordance with </w:t>
      </w:r>
      <w:r>
        <w:rPr>
          <w:rFonts w:ascii="Arial" w:hAnsi="Arial" w:cs="Arial"/>
          <w:i/>
          <w:iCs/>
          <w:color w:val="020202"/>
          <w14:ligatures w14:val="standardContextual"/>
        </w:rPr>
        <w:t xml:space="preserve">Government Auditing Standards </w:t>
      </w:r>
      <w:r>
        <w:rPr>
          <w:rFonts w:ascii="Arial" w:hAnsi="Arial" w:cs="Arial"/>
          <w:color w:val="020202"/>
          <w14:ligatures w14:val="standardContextual"/>
        </w:rPr>
        <w:t>in considering the entity's internal control and</w:t>
      </w:r>
    </w:p>
    <w:p w14:paraId="7B077396" w14:textId="361A7CF5" w:rsidR="008B1A0E" w:rsidRPr="008B1A0E" w:rsidRDefault="00BD53BD" w:rsidP="00BD53BD">
      <w:pPr>
        <w:widowControl w:val="0"/>
        <w:autoSpaceDE w:val="0"/>
        <w:autoSpaceDN w:val="0"/>
        <w:rPr>
          <w:rFonts w:ascii="Arial" w:eastAsia="Arial" w:hAnsi="Arial" w:cs="Arial"/>
          <w:sz w:val="24"/>
        </w:rPr>
      </w:pPr>
      <w:r>
        <w:rPr>
          <w:rFonts w:ascii="Arial" w:hAnsi="Arial" w:cs="Arial"/>
          <w:color w:val="020202"/>
          <w14:ligatures w14:val="standardContextual"/>
        </w:rPr>
        <w:t>compliance. Accordingly</w:t>
      </w:r>
      <w:r>
        <w:rPr>
          <w:rFonts w:ascii="Arial" w:hAnsi="Arial" w:cs="Arial"/>
          <w:color w:val="262626"/>
          <w14:ligatures w14:val="standardContextual"/>
        </w:rPr>
        <w:t xml:space="preserve">, </w:t>
      </w:r>
      <w:r>
        <w:rPr>
          <w:rFonts w:ascii="Arial" w:hAnsi="Arial" w:cs="Arial"/>
          <w:color w:val="020202"/>
          <w14:ligatures w14:val="standardContextual"/>
        </w:rPr>
        <w:t>this communication is not suitable for any other purpose.</w:t>
      </w:r>
    </w:p>
    <w:p w14:paraId="67EA2D3D" w14:textId="77777777" w:rsidR="008B1A0E" w:rsidRPr="008B1A0E" w:rsidRDefault="008B1A0E" w:rsidP="008B1A0E">
      <w:pPr>
        <w:widowControl w:val="0"/>
        <w:autoSpaceDE w:val="0"/>
        <w:autoSpaceDN w:val="0"/>
        <w:rPr>
          <w:rFonts w:ascii="Arial" w:eastAsia="Arial" w:hAnsi="Arial" w:cs="Arial"/>
          <w:sz w:val="24"/>
        </w:rPr>
      </w:pPr>
    </w:p>
    <w:p w14:paraId="51A69239" w14:textId="07498DA0" w:rsidR="00BD53BD" w:rsidRDefault="00BD53BD" w:rsidP="00BD53BD">
      <w:pPr>
        <w:widowControl w:val="0"/>
        <w:autoSpaceDE w:val="0"/>
        <w:autoSpaceDN w:val="0"/>
        <w:spacing w:before="162"/>
        <w:jc w:val="both"/>
        <w:rPr>
          <w:rFonts w:ascii="Arial" w:eastAsia="Arial" w:hAnsi="Arial" w:cs="Arial"/>
          <w:b/>
          <w:sz w:val="24"/>
        </w:rPr>
      </w:pPr>
      <w:r w:rsidRPr="00BD53BD">
        <w:rPr>
          <w:rFonts w:ascii="Arial" w:eastAsia="Arial" w:hAnsi="Arial" w:cs="Arial"/>
          <w:b/>
          <w:noProof/>
          <w:sz w:val="24"/>
        </w:rPr>
        <w:drawing>
          <wp:inline distT="0" distB="0" distL="0" distR="0" wp14:anchorId="48E1C72B" wp14:editId="0605E3B5">
            <wp:extent cx="2659117" cy="419100"/>
            <wp:effectExtent l="0" t="0" r="8255" b="0"/>
            <wp:docPr id="6683327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32779" name="Picture 2">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81011" cy="422551"/>
                    </a:xfrm>
                    <a:prstGeom prst="rect">
                      <a:avLst/>
                    </a:prstGeom>
                    <a:noFill/>
                    <a:ln>
                      <a:noFill/>
                    </a:ln>
                  </pic:spPr>
                </pic:pic>
              </a:graphicData>
            </a:graphic>
          </wp:inline>
        </w:drawing>
      </w:r>
    </w:p>
    <w:p w14:paraId="1DD65ECB" w14:textId="7641B415" w:rsidR="008B1A0E" w:rsidRPr="008B1A0E" w:rsidRDefault="008B1A0E" w:rsidP="00BD53BD">
      <w:pPr>
        <w:widowControl w:val="0"/>
        <w:autoSpaceDE w:val="0"/>
        <w:autoSpaceDN w:val="0"/>
        <w:spacing w:before="162"/>
        <w:jc w:val="both"/>
        <w:rPr>
          <w:rFonts w:ascii="Arial" w:eastAsia="Arial" w:hAnsi="Arial" w:cs="Arial"/>
          <w:b/>
          <w:sz w:val="24"/>
        </w:rPr>
      </w:pPr>
      <w:r w:rsidRPr="008B1A0E">
        <w:rPr>
          <w:rFonts w:ascii="Arial" w:eastAsia="Arial" w:hAnsi="Arial" w:cs="Arial"/>
          <w:b/>
          <w:sz w:val="24"/>
        </w:rPr>
        <w:t>CliftonLarsonAllen</w:t>
      </w:r>
      <w:r w:rsidRPr="008B1A0E">
        <w:rPr>
          <w:rFonts w:ascii="Arial" w:eastAsia="Arial" w:hAnsi="Arial" w:cs="Arial"/>
          <w:b/>
          <w:spacing w:val="-9"/>
          <w:sz w:val="24"/>
        </w:rPr>
        <w:t xml:space="preserve"> </w:t>
      </w:r>
      <w:r w:rsidRPr="008B1A0E">
        <w:rPr>
          <w:rFonts w:ascii="Arial" w:eastAsia="Arial" w:hAnsi="Arial" w:cs="Arial"/>
          <w:b/>
          <w:spacing w:val="-5"/>
          <w:sz w:val="24"/>
        </w:rPr>
        <w:t>LLP</w:t>
      </w:r>
    </w:p>
    <w:p w14:paraId="43FF5F39" w14:textId="77777777" w:rsidR="008B1A0E" w:rsidRPr="008B1A0E" w:rsidRDefault="008B1A0E" w:rsidP="008B1A0E">
      <w:pPr>
        <w:widowControl w:val="0"/>
        <w:autoSpaceDE w:val="0"/>
        <w:autoSpaceDN w:val="0"/>
        <w:spacing w:before="9"/>
        <w:rPr>
          <w:rFonts w:ascii="Arial" w:eastAsia="Arial" w:hAnsi="Arial" w:cs="Arial"/>
          <w:b/>
          <w:sz w:val="20"/>
        </w:rPr>
      </w:pPr>
    </w:p>
    <w:p w14:paraId="1A5DC631" w14:textId="2C0CD9BC" w:rsidR="0010225A" w:rsidRDefault="008B1A0E" w:rsidP="00BD53BD">
      <w:pPr>
        <w:widowControl w:val="0"/>
        <w:autoSpaceDE w:val="0"/>
        <w:autoSpaceDN w:val="0"/>
        <w:ind w:right="7506"/>
      </w:pPr>
      <w:r w:rsidRPr="008B1A0E">
        <w:rPr>
          <w:rFonts w:ascii="Arial" w:eastAsia="Arial" w:hAnsi="Arial" w:cs="Arial"/>
        </w:rPr>
        <w:t>Quincy,</w:t>
      </w:r>
      <w:r w:rsidRPr="008B1A0E">
        <w:rPr>
          <w:rFonts w:ascii="Arial" w:eastAsia="Arial" w:hAnsi="Arial" w:cs="Arial"/>
          <w:spacing w:val="-16"/>
        </w:rPr>
        <w:t xml:space="preserve"> </w:t>
      </w:r>
      <w:r w:rsidRPr="008B1A0E">
        <w:rPr>
          <w:rFonts w:ascii="Arial" w:eastAsia="Arial" w:hAnsi="Arial" w:cs="Arial"/>
        </w:rPr>
        <w:t xml:space="preserve">Massachusetts </w:t>
      </w:r>
      <w:r w:rsidR="00BD53BD">
        <w:rPr>
          <w:rFonts w:ascii="Arial" w:eastAsia="Arial" w:hAnsi="Arial" w:cs="Arial"/>
        </w:rPr>
        <w:t>October 31, 2023</w:t>
      </w:r>
    </w:p>
    <w:sectPr w:rsidR="0010225A" w:rsidSect="008B1A0E">
      <w:headerReference w:type="default" r:id="rId91"/>
      <w:type w:val="continuous"/>
      <w:pgSz w:w="12240" w:h="15840"/>
      <w:pgMar w:top="1440" w:right="1152" w:bottom="144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C188" w14:textId="77777777" w:rsidR="00AD72AB" w:rsidRDefault="00AD72AB">
      <w:r>
        <w:separator/>
      </w:r>
    </w:p>
  </w:endnote>
  <w:endnote w:type="continuationSeparator" w:id="0">
    <w:p w14:paraId="68B95CB3" w14:textId="77777777" w:rsidR="00AD72AB" w:rsidRDefault="00AD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D66D" w14:textId="77777777" w:rsidR="00AD72AB" w:rsidRPr="00176957" w:rsidRDefault="00AD72AB" w:rsidP="0070537E">
    <w:pPr>
      <w:pStyle w:val="Footer"/>
      <w:jc w:val="right"/>
      <w:rPr>
        <w:rFonts w:ascii="Calibri" w:hAnsi="Calibri"/>
        <w:sz w:val="2"/>
      </w:rPr>
    </w:pPr>
  </w:p>
  <w:p w14:paraId="6B2BEB56" w14:textId="77777777" w:rsidR="00AD72AB" w:rsidRPr="00C233B6" w:rsidRDefault="00AD72AB" w:rsidP="0070537E">
    <w:pPr>
      <w:pStyle w:val="Heading7"/>
      <w:pBdr>
        <w:top w:val="none" w:sz="0" w:space="0" w:color="auto"/>
      </w:pBdr>
    </w:pPr>
    <w:r w:rsidRPr="00C233B6">
      <w:t>|</w:t>
    </w:r>
    <w:r>
      <w:t xml:space="preserve"> </w:t>
    </w:r>
    <w:r w:rsidRPr="00C233B6">
      <w:fldChar w:fldCharType="begin"/>
    </w:r>
    <w:r w:rsidRPr="00C233B6">
      <w:instrText xml:space="preserve"> PAGE   \* MERGEFORMAT </w:instrText>
    </w:r>
    <w:r w:rsidRPr="00C233B6">
      <w:fldChar w:fldCharType="separate"/>
    </w:r>
    <w:r>
      <w:rPr>
        <w:noProof/>
      </w:rPr>
      <w:t>2</w:t>
    </w:r>
    <w:r w:rsidRPr="00C233B6">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CDC8" w14:textId="03858307" w:rsidR="00AD72AB" w:rsidRPr="001C0A99" w:rsidRDefault="00AD72AB" w:rsidP="00BD375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 xml:space="preserve">REPORT </w:t>
    </w:r>
    <w:r>
      <w:rPr>
        <w:sz w:val="20"/>
      </w:rPr>
      <w:t>2023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59</w:t>
    </w:r>
    <w:r w:rsidRPr="003571FF">
      <w:rPr>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C8A3" w14:textId="77777777" w:rsidR="00AD72AB" w:rsidRDefault="00AD72AB" w:rsidP="00BD375F">
    <w:pPr>
      <w:jc w:val="center"/>
    </w:pPr>
    <w:r w:rsidRPr="00840745">
      <w:rPr>
        <w:sz w:val="20"/>
      </w:rPr>
      <w:t>See accompanying notes to the basic financial statements.</w:t>
    </w:r>
  </w:p>
  <w:p w14:paraId="3DD8FE7D" w14:textId="0372CEC4" w:rsidR="00AD72AB" w:rsidRPr="003571FF" w:rsidRDefault="00AD72AB" w:rsidP="00BD375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48</w:t>
    </w:r>
    <w:r w:rsidRPr="003571FF">
      <w:rPr>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3BAE" w14:textId="5E97CC70" w:rsidR="00AD72AB" w:rsidRPr="003571FF" w:rsidRDefault="00AD72AB" w:rsidP="00BD375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49</w:t>
    </w:r>
    <w:r w:rsidRPr="003571FF">
      <w:rPr>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F552" w14:textId="77777777" w:rsidR="00AD72AB" w:rsidRDefault="00AD72AB" w:rsidP="00BD375F">
    <w:pPr>
      <w:jc w:val="center"/>
    </w:pPr>
  </w:p>
  <w:p w14:paraId="7D6A2B5E" w14:textId="5CC1A831" w:rsidR="00AD72AB" w:rsidRPr="003571FF" w:rsidRDefault="00AD72AB" w:rsidP="00BD375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2</w:t>
    </w:r>
    <w:r w:rsidRPr="003571FF">
      <w:rPr>
        <w:noProof/>
        <w:sz w:val="20"/>
      </w:rPr>
      <w:fldChar w:fldCharType="end"/>
    </w:r>
  </w:p>
  <w:p w14:paraId="6AE180B0" w14:textId="77777777" w:rsidR="00AD72AB" w:rsidRDefault="00AD72A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9439" w14:textId="77777777" w:rsidR="00AD72AB" w:rsidRPr="00176957" w:rsidRDefault="00AD72AB" w:rsidP="00BD375F">
    <w:pPr>
      <w:pStyle w:val="Footer"/>
      <w:jc w:val="right"/>
      <w:rPr>
        <w:rFonts w:ascii="Calibri" w:hAnsi="Calibri"/>
        <w:sz w:val="2"/>
      </w:rPr>
    </w:pPr>
  </w:p>
  <w:p w14:paraId="142E0987" w14:textId="1811C28B" w:rsidR="00AD72AB" w:rsidRPr="000950E3" w:rsidRDefault="00AD72AB" w:rsidP="00BD375F">
    <w:pPr>
      <w:pStyle w:val="Heading7"/>
      <w:pBdr>
        <w:top w:val="single" w:sz="18" w:space="1" w:color="00688D"/>
      </w:pBdr>
      <w:tabs>
        <w:tab w:val="clear" w:pos="4262"/>
        <w:tab w:val="clear" w:pos="5220"/>
        <w:tab w:val="clear" w:pos="6691"/>
        <w:tab w:val="clear" w:pos="7621"/>
        <w:tab w:val="clear" w:pos="9630"/>
        <w:tab w:val="left" w:pos="12510"/>
        <w:tab w:val="left" w:pos="129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203FC3">
      <w:rPr>
        <w:noProof/>
        <w:sz w:val="20"/>
      </w:rPr>
      <w:t>62</w:t>
    </w:r>
    <w:r w:rsidRPr="000950E3">
      <w:rPr>
        <w:noProof/>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800F" w14:textId="77777777" w:rsidR="00AD72AB" w:rsidRPr="00176957" w:rsidRDefault="00AD72AB" w:rsidP="00BD375F">
    <w:pPr>
      <w:pStyle w:val="Footer"/>
      <w:jc w:val="right"/>
      <w:rPr>
        <w:rFonts w:ascii="Calibri" w:hAnsi="Calibri"/>
        <w:sz w:val="2"/>
      </w:rPr>
    </w:pPr>
  </w:p>
  <w:p w14:paraId="70BBB263" w14:textId="2FE906E4" w:rsidR="00AD72AB" w:rsidRPr="000950E3" w:rsidRDefault="00AD72AB" w:rsidP="00BD375F">
    <w:pPr>
      <w:pStyle w:val="Heading7"/>
      <w:pBdr>
        <w:top w:val="single" w:sz="18" w:space="1" w:color="00688D"/>
      </w:pBdr>
      <w:tabs>
        <w:tab w:val="clear" w:pos="4262"/>
        <w:tab w:val="clear" w:pos="5220"/>
        <w:tab w:val="clear" w:pos="6691"/>
        <w:tab w:val="clear" w:pos="7621"/>
        <w:tab w:val="right" w:pos="93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203FC3">
      <w:rPr>
        <w:noProof/>
        <w:sz w:val="20"/>
      </w:rPr>
      <w:t>63</w:t>
    </w:r>
    <w:r w:rsidRPr="000950E3">
      <w:rPr>
        <w:noProof/>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1B6B" w14:textId="77777777" w:rsidR="00AD72AB" w:rsidRPr="00176957" w:rsidRDefault="00AD72AB" w:rsidP="00BD375F">
    <w:pPr>
      <w:pStyle w:val="Footer"/>
      <w:jc w:val="right"/>
      <w:rPr>
        <w:rFonts w:ascii="Calibri" w:hAnsi="Calibri"/>
        <w:sz w:val="2"/>
      </w:rPr>
    </w:pPr>
    <w:r>
      <w:rPr>
        <w:rFonts w:ascii="Calibri" w:hAnsi="Calibri"/>
        <w:sz w:val="2"/>
      </w:rPr>
      <w:t xml:space="preserve"> </w:t>
    </w:r>
  </w:p>
  <w:p w14:paraId="3A76DDEB" w14:textId="78753BCA" w:rsidR="00AD72AB" w:rsidRPr="000950E3" w:rsidRDefault="00AD72AB" w:rsidP="00BD375F">
    <w:pPr>
      <w:pStyle w:val="Heading7"/>
      <w:pBdr>
        <w:top w:val="single" w:sz="18" w:space="1" w:color="00688D"/>
      </w:pBdr>
      <w:tabs>
        <w:tab w:val="clear" w:pos="4262"/>
        <w:tab w:val="clear" w:pos="5220"/>
        <w:tab w:val="clear" w:pos="6691"/>
        <w:tab w:val="clear" w:pos="7621"/>
        <w:tab w:val="clear" w:pos="9630"/>
        <w:tab w:val="right" w:pos="12870"/>
        <w:tab w:val="right" w:pos="129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203FC3">
      <w:rPr>
        <w:noProof/>
        <w:sz w:val="20"/>
      </w:rPr>
      <w:t>118</w:t>
    </w:r>
    <w:r w:rsidRPr="000950E3">
      <w:rPr>
        <w:noProof/>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6188" w14:textId="32B69095" w:rsidR="00AD72AB" w:rsidRPr="003571FF" w:rsidRDefault="00AD72AB" w:rsidP="00BD375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67</w:t>
    </w:r>
    <w:r w:rsidRPr="003571FF">
      <w:rPr>
        <w:noProof/>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128B" w14:textId="4D4F2A39" w:rsidR="00AD72AB" w:rsidRPr="003571FF" w:rsidRDefault="00AD72AB" w:rsidP="00BD375F">
    <w:pPr>
      <w:pStyle w:val="Heading7"/>
      <w:pBdr>
        <w:top w:val="single" w:sz="18" w:space="1" w:color="00688D"/>
      </w:pBdr>
      <w:tabs>
        <w:tab w:val="clear" w:pos="720"/>
        <w:tab w:val="clear" w:pos="1440"/>
        <w:tab w:val="clear" w:pos="4262"/>
        <w:tab w:val="clear" w:pos="5220"/>
        <w:tab w:val="clear" w:pos="6691"/>
        <w:tab w:val="clear" w:pos="7621"/>
        <w:tab w:val="clear" w:pos="9630"/>
        <w:tab w:val="left" w:pos="0"/>
        <w:tab w:val="right" w:pos="12870"/>
        <w:tab w:val="left" w:pos="12960"/>
      </w:tabs>
      <w:ind w:left="0" w:firstLine="0"/>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112</w:t>
    </w:r>
    <w:r w:rsidRPr="003571FF">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7C95" w14:textId="77777777" w:rsidR="00AD72AB" w:rsidRPr="00176957" w:rsidRDefault="00AD72AB" w:rsidP="0070537E">
    <w:pPr>
      <w:pStyle w:val="Footer"/>
      <w:jc w:val="right"/>
      <w:rPr>
        <w:rFonts w:ascii="Calibri" w:hAnsi="Calibri"/>
        <w:sz w:val="2"/>
      </w:rPr>
    </w:pPr>
  </w:p>
  <w:p w14:paraId="44EE54B8" w14:textId="3B9B6D2F" w:rsidR="00AD72AB" w:rsidRPr="00A56028" w:rsidRDefault="00AD72AB" w:rsidP="0070537E">
    <w:pPr>
      <w:pStyle w:val="Heading7"/>
      <w:pBdr>
        <w:top w:val="single" w:sz="18" w:space="1" w:color="00688D"/>
      </w:pBdr>
      <w:tabs>
        <w:tab w:val="clear" w:pos="4262"/>
        <w:tab w:val="clear" w:pos="5220"/>
        <w:tab w:val="clear" w:pos="6691"/>
        <w:tab w:val="clear" w:pos="7621"/>
        <w:tab w:val="right" w:pos="9360"/>
      </w:tabs>
      <w:ind w:left="0" w:right="-90" w:firstLine="0"/>
      <w:jc w:val="both"/>
      <w:rPr>
        <w:sz w:val="20"/>
        <w:szCs w:val="18"/>
      </w:rPr>
    </w:pPr>
    <w:r w:rsidRPr="00A56028">
      <w:rPr>
        <w:sz w:val="20"/>
        <w:szCs w:val="18"/>
      </w:rPr>
      <w:t>UNIVERSITY OF MAINE SYSTEM ANNUAL FINANCIAL REPORT 202</w:t>
    </w:r>
    <w:r>
      <w:rPr>
        <w:sz w:val="20"/>
        <w:szCs w:val="18"/>
      </w:rPr>
      <w:t>3</w:t>
    </w:r>
    <w:r w:rsidRPr="00A56028">
      <w:rPr>
        <w:sz w:val="18"/>
        <w:szCs w:val="18"/>
      </w:rPr>
      <w:tab/>
    </w:r>
    <w:r w:rsidRPr="00A56028">
      <w:rPr>
        <w:sz w:val="20"/>
        <w:szCs w:val="18"/>
      </w:rPr>
      <w:t xml:space="preserve">| </w:t>
    </w:r>
    <w:r w:rsidRPr="00A56028">
      <w:rPr>
        <w:sz w:val="20"/>
        <w:szCs w:val="18"/>
      </w:rPr>
      <w:fldChar w:fldCharType="begin"/>
    </w:r>
    <w:r w:rsidRPr="00A56028">
      <w:rPr>
        <w:sz w:val="20"/>
        <w:szCs w:val="18"/>
      </w:rPr>
      <w:instrText xml:space="preserve"> PAGE   \* MERGEFORMAT </w:instrText>
    </w:r>
    <w:r w:rsidRPr="00A56028">
      <w:rPr>
        <w:sz w:val="20"/>
        <w:szCs w:val="18"/>
      </w:rPr>
      <w:fldChar w:fldCharType="separate"/>
    </w:r>
    <w:r w:rsidR="00203FC3">
      <w:rPr>
        <w:noProof/>
        <w:sz w:val="20"/>
        <w:szCs w:val="18"/>
      </w:rPr>
      <w:t>2</w:t>
    </w:r>
    <w:r w:rsidRPr="00A56028">
      <w:rPr>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0D32" w14:textId="77777777" w:rsidR="00AD72AB" w:rsidRPr="00176957" w:rsidRDefault="00AD72AB" w:rsidP="0070537E">
    <w:pPr>
      <w:pStyle w:val="Footer"/>
      <w:jc w:val="right"/>
      <w:rPr>
        <w:rFonts w:ascii="Calibri" w:hAnsi="Calibri"/>
        <w:sz w:val="2"/>
      </w:rPr>
    </w:pPr>
  </w:p>
  <w:p w14:paraId="57F828AE" w14:textId="087FE3EE" w:rsidR="00AD72AB" w:rsidRDefault="00AD72AB" w:rsidP="0070537E">
    <w:pPr>
      <w:pStyle w:val="Heading7"/>
      <w:pBdr>
        <w:top w:val="single" w:sz="18" w:space="1" w:color="00688D"/>
      </w:pBdr>
      <w:tabs>
        <w:tab w:val="clear" w:pos="4262"/>
        <w:tab w:val="clear" w:pos="5220"/>
        <w:tab w:val="clear" w:pos="6691"/>
        <w:tab w:val="clear" w:pos="7621"/>
        <w:tab w:val="clear" w:pos="9630"/>
        <w:tab w:val="right" w:pos="9360"/>
        <w:tab w:val="left" w:pos="9900"/>
      </w:tabs>
      <w:jc w:val="both"/>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1A5DF7">
      <w:rPr>
        <w:noProof/>
        <w:sz w:val="20"/>
      </w:rPr>
      <w:t>17</w:t>
    </w:r>
    <w:r w:rsidRPr="000950E3">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DCBC" w14:textId="7C8D75A6" w:rsidR="00AD72AB" w:rsidRDefault="00AD72AB" w:rsidP="0070537E">
    <w:pPr>
      <w:pStyle w:val="Heading7"/>
      <w:pBdr>
        <w:top w:val="single" w:sz="18" w:space="1" w:color="00688D"/>
      </w:pBdr>
      <w:tabs>
        <w:tab w:val="clear" w:pos="4262"/>
        <w:tab w:val="clear" w:pos="5220"/>
        <w:tab w:val="clear" w:pos="6691"/>
        <w:tab w:val="clear" w:pos="7621"/>
        <w:tab w:val="right" w:pos="9360"/>
      </w:tabs>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1A5DF7">
      <w:rPr>
        <w:noProof/>
        <w:sz w:val="20"/>
      </w:rPr>
      <w:t>11</w:t>
    </w:r>
    <w:r w:rsidRPr="003571FF">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E95F" w14:textId="77777777" w:rsidR="00AD72AB" w:rsidRPr="00176957" w:rsidRDefault="00AD72AB" w:rsidP="0070537E">
    <w:pPr>
      <w:pStyle w:val="Footer"/>
      <w:jc w:val="right"/>
      <w:rPr>
        <w:rFonts w:ascii="Calibri" w:hAnsi="Calibri"/>
        <w:sz w:val="2"/>
      </w:rPr>
    </w:pPr>
  </w:p>
  <w:p w14:paraId="05B4BE21" w14:textId="3ADB673E" w:rsidR="00AD72AB" w:rsidRPr="000950E3" w:rsidRDefault="00AD72AB" w:rsidP="0070537E">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1A5DF7">
      <w:rPr>
        <w:noProof/>
        <w:sz w:val="20"/>
      </w:rPr>
      <w:t>26</w:t>
    </w:r>
    <w:r w:rsidRPr="000950E3">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B606" w14:textId="77777777" w:rsidR="00AD72AB" w:rsidRPr="00176957" w:rsidRDefault="00AD72AB" w:rsidP="00F83845">
    <w:pPr>
      <w:pStyle w:val="Footer"/>
      <w:jc w:val="right"/>
      <w:rPr>
        <w:rFonts w:ascii="Calibri" w:hAnsi="Calibri"/>
        <w:sz w:val="2"/>
      </w:rPr>
    </w:pPr>
  </w:p>
  <w:p w14:paraId="0633D81A" w14:textId="77777777" w:rsidR="00AD72AB" w:rsidRDefault="00AD72AB" w:rsidP="00F83845">
    <w:pPr>
      <w:jc w:val="center"/>
    </w:pPr>
    <w:r w:rsidRPr="00840745">
      <w:rPr>
        <w:sz w:val="20"/>
      </w:rPr>
      <w:t>See accompanying notes to the basic financial statements.</w:t>
    </w:r>
  </w:p>
  <w:p w14:paraId="0DF621B5" w14:textId="3957F452" w:rsidR="00AD72AB" w:rsidRPr="000950E3" w:rsidRDefault="00AD72AB" w:rsidP="00F83845">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23</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203FC3">
      <w:rPr>
        <w:noProof/>
        <w:sz w:val="20"/>
      </w:rPr>
      <w:t>45</w:t>
    </w:r>
    <w:r w:rsidRPr="000950E3">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9AE" w14:textId="77777777" w:rsidR="00AD72AB" w:rsidRDefault="00AD72AB" w:rsidP="00F83845">
    <w:pPr>
      <w:jc w:val="center"/>
    </w:pPr>
    <w:r w:rsidRPr="00840745">
      <w:rPr>
        <w:sz w:val="20"/>
      </w:rPr>
      <w:t>See accompanying notes to the basic financial statements.</w:t>
    </w:r>
  </w:p>
  <w:p w14:paraId="3E7E1DA1" w14:textId="2DEDB135" w:rsidR="00AD72AB" w:rsidRPr="003571FF" w:rsidRDefault="00AD72AB" w:rsidP="00F83845">
    <w:pPr>
      <w:pStyle w:val="Heading7"/>
      <w:pBdr>
        <w:top w:val="single" w:sz="18" w:space="1" w:color="00688D"/>
      </w:pBdr>
      <w:tabs>
        <w:tab w:val="clear" w:pos="4262"/>
        <w:tab w:val="clear" w:pos="5220"/>
        <w:tab w:val="clear" w:pos="6691"/>
        <w:tab w:val="clear" w:pos="7621"/>
        <w:tab w:val="right" w:pos="9360"/>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46</w:t>
    </w:r>
    <w:r w:rsidRPr="003571FF">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7A88" w14:textId="77777777" w:rsidR="00AD72AB" w:rsidRPr="00F54559" w:rsidRDefault="00AD72AB" w:rsidP="00F83845">
    <w:pPr>
      <w:pStyle w:val="Heading7"/>
      <w:pBdr>
        <w:top w:val="single" w:sz="18" w:space="1" w:color="00688D"/>
      </w:pBdr>
      <w:tabs>
        <w:tab w:val="clear" w:pos="4262"/>
        <w:tab w:val="clear" w:pos="5220"/>
        <w:tab w:val="clear" w:pos="6691"/>
        <w:tab w:val="clear" w:pos="7621"/>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48</w:t>
    </w:r>
    <w:r w:rsidRPr="003571FF">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B38A" w14:textId="77777777" w:rsidR="00AD72AB" w:rsidRDefault="00AD72AB" w:rsidP="00F83845">
    <w:pPr>
      <w:jc w:val="center"/>
    </w:pPr>
    <w:r w:rsidRPr="00840745">
      <w:rPr>
        <w:sz w:val="20"/>
      </w:rPr>
      <w:t>See accompanying notes to the basic financial statements.</w:t>
    </w:r>
  </w:p>
  <w:p w14:paraId="1B679B90" w14:textId="1FFC3A30" w:rsidR="00AD72AB" w:rsidRPr="00F54559" w:rsidRDefault="00AD72AB" w:rsidP="00F83845">
    <w:pPr>
      <w:pStyle w:val="Heading7"/>
      <w:pBdr>
        <w:top w:val="single" w:sz="18" w:space="1" w:color="00688D"/>
      </w:pBdr>
      <w:tabs>
        <w:tab w:val="clear" w:pos="4262"/>
        <w:tab w:val="clear" w:pos="5220"/>
        <w:tab w:val="clear" w:pos="6691"/>
        <w:tab w:val="clear" w:pos="7621"/>
        <w:tab w:val="clear" w:pos="9630"/>
        <w:tab w:val="left" w:pos="9000"/>
        <w:tab w:val="right" w:pos="12870"/>
      </w:tabs>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23</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203FC3">
      <w:rPr>
        <w:noProof/>
        <w:sz w:val="20"/>
      </w:rPr>
      <w:t>47</w:t>
    </w:r>
    <w:r w:rsidRPr="003571FF">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DE58" w14:textId="77777777" w:rsidR="00AD72AB" w:rsidRDefault="00AD72AB">
      <w:r>
        <w:separator/>
      </w:r>
    </w:p>
  </w:footnote>
  <w:footnote w:type="continuationSeparator" w:id="0">
    <w:p w14:paraId="58FD8810" w14:textId="77777777" w:rsidR="00AD72AB" w:rsidRDefault="00AD7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1506" w14:textId="77777777" w:rsidR="00AD72AB" w:rsidRPr="00823425" w:rsidRDefault="00AD72AB" w:rsidP="0070537E">
    <w:pPr>
      <w:pStyle w:val="Heading4"/>
      <w:tabs>
        <w:tab w:val="clear" w:pos="1440"/>
        <w:tab w:val="clear" w:pos="5400"/>
        <w:tab w:val="clear" w:pos="10620"/>
        <w:tab w:val="left" w:pos="93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EF9E" w14:textId="1E1AE932" w:rsidR="00AD72AB" w:rsidRPr="002B1325" w:rsidRDefault="00AD72AB" w:rsidP="00BD375F">
    <w:pPr>
      <w:pStyle w:val="Heading4"/>
      <w:rPr>
        <w:i w:val="0"/>
        <w:szCs w:val="16"/>
        <w:u w:color="5B9BD5"/>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595145566"/>
      <w:docPartObj>
        <w:docPartGallery w:val="Page Numbers (Top of Page)"/>
        <w:docPartUnique/>
      </w:docPartObj>
    </w:sdtPr>
    <w:sdtEndPr/>
    <w:sdtContent>
      <w:p w14:paraId="712A55DE" w14:textId="77777777" w:rsidR="00AD72AB" w:rsidRPr="00D65483" w:rsidRDefault="00AD72AB" w:rsidP="00BD375F">
        <w:pPr>
          <w:pStyle w:val="Heading4"/>
          <w:rPr>
            <w:rFonts w:eastAsiaTheme="minorHAnsi" w:cstheme="minorBidi"/>
            <w:color w:val="auto"/>
            <w:sz w:val="22"/>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593518437"/>
      <w:docPartObj>
        <w:docPartGallery w:val="Page Numbers (Top of Page)"/>
        <w:docPartUnique/>
      </w:docPartObj>
    </w:sdtPr>
    <w:sdtEndPr/>
    <w:sdtContent>
      <w:p w14:paraId="2C72D80A" w14:textId="77777777" w:rsidR="00AD72AB" w:rsidRPr="00D65483" w:rsidRDefault="00AD72AB" w:rsidP="00BD375F">
        <w:pPr>
          <w:pStyle w:val="Heading4"/>
          <w:rPr>
            <w:rFonts w:eastAsiaTheme="minorHAnsi" w:cstheme="minorBidi"/>
            <w:color w:val="auto"/>
            <w:sz w:val="22"/>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p w14:paraId="5789CD03" w14:textId="77777777" w:rsidR="00AD72AB" w:rsidRDefault="00AD72A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6671" w14:textId="77777777" w:rsidR="00AD72AB" w:rsidRPr="00A46BC1" w:rsidRDefault="004B7704" w:rsidP="00BD375F">
    <w:pPr>
      <w:pStyle w:val="Heading4"/>
      <w:rPr>
        <w:i w:val="0"/>
        <w:szCs w:val="16"/>
        <w:u w:color="5B9BD5"/>
      </w:rPr>
    </w:pPr>
    <w:sdt>
      <w:sdtPr>
        <w:rPr>
          <w:i w:val="0"/>
          <w:szCs w:val="16"/>
          <w:u w:color="5B9BD5"/>
        </w:rPr>
        <w:id w:val="-693763270"/>
        <w:docPartObj>
          <w:docPartGallery w:val="Page Numbers (Top of Page)"/>
          <w:docPartUnique/>
        </w:docPartObj>
      </w:sdtPr>
      <w:sdtEndPr/>
      <w:sdtContent>
        <w:r w:rsidR="00AD72AB" w:rsidRPr="00A46BC1">
          <w:rPr>
            <w:i w:val="0"/>
            <w:szCs w:val="16"/>
            <w:u w:color="5B9BD5"/>
          </w:rPr>
          <w:t>NOTES TO FINANCIAL STATEMENTS</w:t>
        </w:r>
      </w:sdtContent>
    </w:sdt>
    <w:r w:rsidR="00AD72AB">
      <w:rPr>
        <w:i w:val="0"/>
        <w:szCs w:val="16"/>
        <w:u w:color="5B9BD5"/>
      </w:rPr>
      <w:t xml:space="preserve"> </w:t>
    </w:r>
    <w:r w:rsidR="00AD72AB" w:rsidRPr="00AC0D21">
      <w:rPr>
        <w:i w:val="0"/>
        <w:sz w:val="18"/>
        <w:szCs w:val="18"/>
        <w:u w:color="5B9BD5"/>
      </w:rPr>
      <w:t>(IN THOUSANDS)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5E23" w14:textId="77777777" w:rsidR="00AD72AB" w:rsidRPr="00E94D7A" w:rsidRDefault="004B7704" w:rsidP="00BD375F">
    <w:pPr>
      <w:pStyle w:val="Heading4"/>
      <w:rPr>
        <w:i w:val="0"/>
        <w:szCs w:val="16"/>
        <w:u w:color="5B9BD5"/>
      </w:rPr>
    </w:pPr>
    <w:sdt>
      <w:sdtPr>
        <w:rPr>
          <w:i w:val="0"/>
          <w:szCs w:val="16"/>
          <w:u w:color="5B9BD5"/>
        </w:rPr>
        <w:id w:val="-1634171943"/>
        <w:docPartObj>
          <w:docPartGallery w:val="Page Numbers (Top of Page)"/>
          <w:docPartUnique/>
        </w:docPartObj>
      </w:sdtPr>
      <w:sdtEndPr/>
      <w:sdtContent>
        <w:r w:rsidR="00AD72AB" w:rsidRPr="00A46BC1">
          <w:rPr>
            <w:i w:val="0"/>
            <w:szCs w:val="16"/>
            <w:u w:color="5B9BD5"/>
          </w:rPr>
          <w:t>NOTES TO FINANCIAL STATEMENTS</w:t>
        </w:r>
      </w:sdtContent>
    </w:sdt>
    <w:r w:rsidR="00AD72AB">
      <w:rPr>
        <w:i w:val="0"/>
        <w:szCs w:val="16"/>
        <w:u w:color="5B9BD5"/>
      </w:rPr>
      <w:t xml:space="preserve"> </w:t>
    </w:r>
    <w:r w:rsidR="00AD72AB" w:rsidRPr="00AC0D21">
      <w:rPr>
        <w:i w:val="0"/>
        <w:sz w:val="18"/>
        <w:szCs w:val="18"/>
        <w:u w:color="5B9BD5"/>
      </w:rPr>
      <w:t>(IN THOUSANDS)</w:t>
    </w:r>
  </w:p>
  <w:p w14:paraId="3E7E25AE" w14:textId="77777777" w:rsidR="00AD72AB" w:rsidRDefault="00AD72A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2CAB" w14:textId="77777777" w:rsidR="00AD72AB" w:rsidRPr="00B252E3" w:rsidRDefault="004B7704" w:rsidP="00BD375F">
    <w:pPr>
      <w:pStyle w:val="Heading4"/>
      <w:rPr>
        <w:i w:val="0"/>
        <w:szCs w:val="16"/>
        <w:u w:color="5B9BD5"/>
      </w:rPr>
    </w:pPr>
    <w:sdt>
      <w:sdtPr>
        <w:rPr>
          <w:i w:val="0"/>
          <w:szCs w:val="16"/>
          <w:u w:color="5B9BD5"/>
        </w:rPr>
        <w:id w:val="1571073165"/>
        <w:docPartObj>
          <w:docPartGallery w:val="Page Numbers (Top of Page)"/>
          <w:docPartUnique/>
        </w:docPartObj>
      </w:sdtPr>
      <w:sdtEndPr/>
      <w:sdtContent>
        <w:r w:rsidR="00AD72AB" w:rsidRPr="00A46BC1">
          <w:rPr>
            <w:i w:val="0"/>
            <w:szCs w:val="16"/>
            <w:u w:color="5B9BD5"/>
          </w:rPr>
          <w:t>NOTES TO FINANCIAL STATEMENTS</w:t>
        </w:r>
      </w:sdtContent>
    </w:sdt>
    <w:r w:rsidR="00AD72AB">
      <w:rPr>
        <w:i w:val="0"/>
        <w:szCs w:val="16"/>
        <w:u w:color="5B9BD5"/>
      </w:rPr>
      <w:t xml:space="preserve"> </w:t>
    </w:r>
    <w:r w:rsidR="00AD72AB" w:rsidRPr="00AC0D21">
      <w:rPr>
        <w:i w:val="0"/>
        <w:sz w:val="18"/>
        <w:szCs w:val="18"/>
        <w:u w:color="5B9BD5"/>
      </w:rPr>
      <w:t>(IN THOUSANDS)</w:t>
    </w:r>
  </w:p>
  <w:p w14:paraId="1F95610F" w14:textId="77777777" w:rsidR="00AD72AB" w:rsidRDefault="00AD72A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DE96" w14:textId="387FDB7F" w:rsidR="00AD72AB" w:rsidRPr="00B252E3" w:rsidRDefault="004B7704" w:rsidP="00BD375F">
    <w:pPr>
      <w:pStyle w:val="Heading4"/>
      <w:rPr>
        <w:i w:val="0"/>
        <w:szCs w:val="16"/>
        <w:u w:color="5B9BD5"/>
      </w:rPr>
    </w:pPr>
    <w:sdt>
      <w:sdtPr>
        <w:rPr>
          <w:i w:val="0"/>
          <w:szCs w:val="16"/>
          <w:u w:color="5B9BD5"/>
        </w:rPr>
        <w:id w:val="-2034171630"/>
        <w:docPartObj>
          <w:docPartGallery w:val="Page Numbers (Top of Page)"/>
          <w:docPartUnique/>
        </w:docPartObj>
      </w:sdtPr>
      <w:sdtEndPr/>
      <w:sdtContent>
        <w:r w:rsidR="00AD72AB">
          <w:rPr>
            <w:i w:val="0"/>
            <w:szCs w:val="16"/>
            <w:u w:color="5B9BD5"/>
          </w:rPr>
          <w:t>REQUIRED SUPPLEMENTAL INFORMATION – RETIREMENT PLANS (UNAUDITED)</w:t>
        </w:r>
      </w:sdtContent>
    </w:sdt>
    <w:r w:rsidR="00AD72AB">
      <w:rPr>
        <w:i w:val="0"/>
        <w:szCs w:val="16"/>
        <w:u w:color="5B9BD5"/>
      </w:rPr>
      <w:t xml:space="preserve"> </w:t>
    </w:r>
    <w:r w:rsidR="00AD72AB" w:rsidRPr="00AC0D21">
      <w:rPr>
        <w:i w:val="0"/>
        <w:sz w:val="18"/>
        <w:szCs w:val="18"/>
        <w:u w:color="5B9BD5"/>
      </w:rPr>
      <w:t>(IN THOUSANDS)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22D" w14:textId="77777777" w:rsidR="00AD72AB" w:rsidRPr="00B252E3" w:rsidRDefault="00AD72AB" w:rsidP="00BD375F">
    <w:pPr>
      <w:pStyle w:val="Heading4"/>
      <w:rPr>
        <w:i w:val="0"/>
        <w:szCs w:val="16"/>
        <w:u w:color="5B9BD5"/>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2E05" w14:textId="797EE71E" w:rsidR="00AD72AB" w:rsidRPr="00B252E3" w:rsidRDefault="004B7704" w:rsidP="00BD375F">
    <w:pPr>
      <w:pStyle w:val="Heading4"/>
      <w:rPr>
        <w:i w:val="0"/>
        <w:szCs w:val="16"/>
        <w:u w:color="5B9BD5"/>
      </w:rPr>
    </w:pPr>
    <w:sdt>
      <w:sdtPr>
        <w:rPr>
          <w:i w:val="0"/>
          <w:szCs w:val="16"/>
          <w:u w:color="5B9BD5"/>
        </w:rPr>
        <w:id w:val="-26877214"/>
        <w:docPartObj>
          <w:docPartGallery w:val="Page Numbers (Top of Page)"/>
          <w:docPartUnique/>
        </w:docPartObj>
      </w:sdtPr>
      <w:sdtEndPr/>
      <w:sdtContent>
        <w:r w:rsidR="00AD72AB">
          <w:rPr>
            <w:i w:val="0"/>
            <w:szCs w:val="16"/>
            <w:u w:color="5B9BD5"/>
          </w:rPr>
          <w:t>REQUIRED SUPPLEMENTAL INFORMATION – RETIREMENT PLANS (UNAUDITED)</w:t>
        </w:r>
      </w:sdtContent>
    </w:sdt>
    <w:r w:rsidR="00AD72AB">
      <w:rPr>
        <w:i w:val="0"/>
        <w:szCs w:val="16"/>
        <w:u w:color="5B9BD5"/>
      </w:rPr>
      <w:t xml:space="preserve"> </w:t>
    </w:r>
    <w:r w:rsidR="00AD72AB" w:rsidRPr="00AC0D21">
      <w:rPr>
        <w:i w:val="0"/>
        <w:sz w:val="18"/>
        <w:szCs w:val="18"/>
        <w:u w:color="5B9BD5"/>
      </w:rPr>
      <w:t>(IN THOUSANDS)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FC73" w14:textId="774C3E1A" w:rsidR="00AD72AB" w:rsidRPr="00B252E3" w:rsidRDefault="00AD72AB" w:rsidP="00BD375F">
    <w:pPr>
      <w:pStyle w:val="Heading4"/>
      <w:rPr>
        <w:i w:val="0"/>
        <w:szCs w:val="16"/>
        <w:u w:color="5B9BD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D38F" w14:textId="77777777" w:rsidR="00AD72AB" w:rsidRPr="003571FF" w:rsidRDefault="00AD72AB" w:rsidP="0070537E">
    <w:pPr>
      <w:pStyle w:val="Heading4"/>
    </w:pPr>
  </w:p>
  <w:p w14:paraId="4CF1F5D5" w14:textId="77777777" w:rsidR="00AD72AB" w:rsidRDefault="00AD72A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5160" w14:textId="77777777" w:rsidR="00AD72AB" w:rsidRPr="00B252E3" w:rsidRDefault="00AD72AB" w:rsidP="00BD375F">
    <w:pPr>
      <w:pStyle w:val="Heading4"/>
      <w:rPr>
        <w:i w:val="0"/>
        <w:szCs w:val="16"/>
        <w:u w:color="5B9BD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38FA" w14:textId="77777777" w:rsidR="00AD72AB" w:rsidRPr="003571FF" w:rsidRDefault="00AD72AB" w:rsidP="0070537E">
    <w:pPr>
      <w:pStyle w:val="Heading4"/>
    </w:pPr>
  </w:p>
  <w:p w14:paraId="6B9AC295" w14:textId="77777777" w:rsidR="00AD72AB" w:rsidRDefault="00AD72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8A2A" w14:textId="3571E354" w:rsidR="00AD72AB" w:rsidRPr="003571FF" w:rsidRDefault="00AD72AB" w:rsidP="00B96412">
    <w:pPr>
      <w:pStyle w:val="Heading4"/>
    </w:pPr>
  </w:p>
  <w:p w14:paraId="6AF98E85" w14:textId="6D2AD5BE" w:rsidR="00AD72AB" w:rsidRDefault="00BD53BD">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49E44013" wp14:editId="51BA5BD3">
              <wp:simplePos x="0" y="0"/>
              <wp:positionH relativeFrom="page">
                <wp:posOffset>901700</wp:posOffset>
              </wp:positionH>
              <wp:positionV relativeFrom="page">
                <wp:posOffset>734060</wp:posOffset>
              </wp:positionV>
              <wp:extent cx="1718310" cy="342265"/>
              <wp:effectExtent l="0" t="0" r="0" b="0"/>
              <wp:wrapNone/>
              <wp:docPr id="403953819" name="Text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342265"/>
                      </a:xfrm>
                      <a:prstGeom prst="rect">
                        <a:avLst/>
                      </a:prstGeom>
                    </wps:spPr>
                    <wps:txbx>
                      <w:txbxContent>
                        <w:p w14:paraId="7464E462" w14:textId="77777777" w:rsidR="00AD72AB" w:rsidRPr="00B13C4B" w:rsidRDefault="00AD72AB">
                          <w:pPr>
                            <w:pStyle w:val="BodyText"/>
                            <w:spacing w:before="13"/>
                            <w:ind w:left="20" w:hanging="1"/>
                            <w:rPr>
                              <w:rFonts w:ascii="Arial" w:hAnsi="Arial" w:cs="Arial"/>
                              <w:sz w:val="22"/>
                              <w:szCs w:val="22"/>
                            </w:rPr>
                          </w:pPr>
                          <w:r w:rsidRPr="00B13C4B">
                            <w:rPr>
                              <w:rFonts w:ascii="Arial" w:hAnsi="Arial" w:cs="Arial"/>
                              <w:sz w:val="22"/>
                              <w:szCs w:val="22"/>
                            </w:rPr>
                            <w:t>Board of Trustees University</w:t>
                          </w:r>
                          <w:r w:rsidRPr="00B13C4B">
                            <w:rPr>
                              <w:rFonts w:ascii="Arial" w:hAnsi="Arial" w:cs="Arial"/>
                              <w:spacing w:val="-12"/>
                              <w:sz w:val="22"/>
                              <w:szCs w:val="22"/>
                            </w:rPr>
                            <w:t xml:space="preserve"> </w:t>
                          </w:r>
                          <w:r w:rsidRPr="00B13C4B">
                            <w:rPr>
                              <w:rFonts w:ascii="Arial" w:hAnsi="Arial" w:cs="Arial"/>
                              <w:sz w:val="22"/>
                              <w:szCs w:val="22"/>
                            </w:rPr>
                            <w:t>of</w:t>
                          </w:r>
                          <w:r w:rsidRPr="00B13C4B">
                            <w:rPr>
                              <w:rFonts w:ascii="Arial" w:hAnsi="Arial" w:cs="Arial"/>
                              <w:spacing w:val="-13"/>
                              <w:sz w:val="22"/>
                              <w:szCs w:val="22"/>
                            </w:rPr>
                            <w:t xml:space="preserve"> </w:t>
                          </w:r>
                          <w:r w:rsidRPr="00B13C4B">
                            <w:rPr>
                              <w:rFonts w:ascii="Arial" w:hAnsi="Arial" w:cs="Arial"/>
                              <w:sz w:val="22"/>
                              <w:szCs w:val="22"/>
                            </w:rPr>
                            <w:t>Maine</w:t>
                          </w:r>
                          <w:r w:rsidRPr="00B13C4B">
                            <w:rPr>
                              <w:rFonts w:ascii="Arial" w:hAnsi="Arial" w:cs="Arial"/>
                              <w:spacing w:val="-13"/>
                              <w:sz w:val="22"/>
                              <w:szCs w:val="22"/>
                            </w:rPr>
                            <w:t xml:space="preserve"> </w:t>
                          </w:r>
                          <w:r w:rsidRPr="00B13C4B">
                            <w:rPr>
                              <w:rFonts w:ascii="Arial" w:hAnsi="Arial" w:cs="Arial"/>
                              <w:sz w:val="22"/>
                              <w:szCs w:val="22"/>
                            </w:rPr>
                            <w:t>System</w:t>
                          </w:r>
                        </w:p>
                      </w:txbxContent>
                    </wps:txbx>
                    <wps:bodyPr wrap="square" lIns="0" tIns="0" rIns="0" bIns="0" rtlCol="0">
                      <a:noAutofit/>
                    </wps:bodyPr>
                  </wps:wsp>
                </a:graphicData>
              </a:graphic>
            </wp:anchor>
          </w:drawing>
        </mc:Choice>
        <mc:Fallback>
          <w:pict>
            <v:shapetype w14:anchorId="49E44013" id="_x0000_t202" coordsize="21600,21600" o:spt="202" path="m,l,21600r21600,l21600,xe">
              <v:stroke joinstyle="miter"/>
              <v:path gradientshapeok="t" o:connecttype="rect"/>
            </v:shapetype>
            <v:shape id="Textbox 3" o:spid="_x0000_s1026" type="#_x0000_t202" alt="&quot;&quot;" style="position:absolute;margin-left:71pt;margin-top:57.8pt;width:135.3pt;height:26.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36lAEAABsDAAAOAAAAZHJzL2Uyb0RvYy54bWysUsFu2zAMvQ/oPwi6N0rSrSuMOMXaYsOA&#10;YivQ7QMUWYqNWaJGKrHz96MUJxm227ALTZnU43uPWt2Pvhd7i9RBqOViNpfCBgNNF7a1/P7t4/Wd&#10;FJR0aHQPwdbyYEner6/erIZY2SW00DcWBYMEqoZYyzalWClFprVe0wyiDVx0gF4nPuJWNagHRve9&#10;Ws7nt2oAbCKCsUT89+lYlOuC75w16atzZJPoa8ncUolY4iZHtV7paos6tp2ZaOh/YOF1F3joGepJ&#10;Jy122P0F5TuDQODSzIBX4FxnbNHAahbzP9S8tjraooXNoXi2if4frPmyf40vKNL4ACMvsIig+Azm&#10;B7E3aohUTT3ZU6qIu7PQ0aHPX5Yg+CJ7ezj7acckTEZ7v7i7WXDJcO3m7XJ5+y4bri63I1L6ZMGL&#10;nNQSeV+Fgd4/Uzq2nlomMsf5mUkaNyO35HQDzYFFDLzHWtLPnUYrRf85sFF56acET8nmlGDqH6E8&#10;jawlwIddAteVyRfcaTJvoHCfXkte8e/n0nV50+tfAAAA//8DAFBLAwQUAAYACAAAACEAQGD1FN4A&#10;AAALAQAADwAAAGRycy9kb3ducmV2LnhtbExPwU6DQBS8m/QfNq+JN7tAWmKRpWmMnkyMFA8eF3iF&#10;Tdm3yG5b/HufJ3ubeTOZN5PvZjuIC07eOFIQryIQSI1rDXUKPqvXh0cQPmhq9eAIFfygh12xuMt1&#10;1rorlXg5hE5wCPlMK+hDGDMpfdOj1X7lRiTWjm6yOjCdOtlO+srhdpBJFKXSakP8odcjPvfYnA5n&#10;q2D/ReWL+X6vP8pjaapqG9FbelLqfjnvn0AEnMO/Gf7qc3UouFPtztR6MTBfJ7wlMIg3KQh2rOOE&#10;Qc2XdLsBWeTydkPxCwAA//8DAFBLAQItABQABgAIAAAAIQC2gziS/gAAAOEBAAATAAAAAAAAAAAA&#10;AAAAAAAAAABbQ29udGVudF9UeXBlc10ueG1sUEsBAi0AFAAGAAgAAAAhADj9If/WAAAAlAEAAAsA&#10;AAAAAAAAAAAAAAAALwEAAF9yZWxzLy5yZWxzUEsBAi0AFAAGAAgAAAAhALa23fqUAQAAGwMAAA4A&#10;AAAAAAAAAAAAAAAALgIAAGRycy9lMm9Eb2MueG1sUEsBAi0AFAAGAAgAAAAhAEBg9RTeAAAACwEA&#10;AA8AAAAAAAAAAAAAAAAA7gMAAGRycy9kb3ducmV2LnhtbFBLBQYAAAAABAAEAPMAAAD5BAAAAAA=&#10;" filled="f" stroked="f">
              <v:textbox inset="0,0,0,0">
                <w:txbxContent>
                  <w:p w14:paraId="7464E462" w14:textId="77777777" w:rsidR="00AD72AB" w:rsidRPr="00B13C4B" w:rsidRDefault="00AD72AB">
                    <w:pPr>
                      <w:pStyle w:val="BodyText"/>
                      <w:spacing w:before="13"/>
                      <w:ind w:left="20" w:hanging="1"/>
                      <w:rPr>
                        <w:rFonts w:ascii="Arial" w:hAnsi="Arial" w:cs="Arial"/>
                        <w:sz w:val="22"/>
                        <w:szCs w:val="22"/>
                      </w:rPr>
                    </w:pPr>
                    <w:r w:rsidRPr="00B13C4B">
                      <w:rPr>
                        <w:rFonts w:ascii="Arial" w:hAnsi="Arial" w:cs="Arial"/>
                        <w:sz w:val="22"/>
                        <w:szCs w:val="22"/>
                      </w:rPr>
                      <w:t>Board of Trustees University</w:t>
                    </w:r>
                    <w:r w:rsidRPr="00B13C4B">
                      <w:rPr>
                        <w:rFonts w:ascii="Arial" w:hAnsi="Arial" w:cs="Arial"/>
                        <w:spacing w:val="-12"/>
                        <w:sz w:val="22"/>
                        <w:szCs w:val="22"/>
                      </w:rPr>
                      <w:t xml:space="preserve"> </w:t>
                    </w:r>
                    <w:r w:rsidRPr="00B13C4B">
                      <w:rPr>
                        <w:rFonts w:ascii="Arial" w:hAnsi="Arial" w:cs="Arial"/>
                        <w:sz w:val="22"/>
                        <w:szCs w:val="22"/>
                      </w:rPr>
                      <w:t>of</w:t>
                    </w:r>
                    <w:r w:rsidRPr="00B13C4B">
                      <w:rPr>
                        <w:rFonts w:ascii="Arial" w:hAnsi="Arial" w:cs="Arial"/>
                        <w:spacing w:val="-13"/>
                        <w:sz w:val="22"/>
                        <w:szCs w:val="22"/>
                      </w:rPr>
                      <w:t xml:space="preserve"> </w:t>
                    </w:r>
                    <w:r w:rsidRPr="00B13C4B">
                      <w:rPr>
                        <w:rFonts w:ascii="Arial" w:hAnsi="Arial" w:cs="Arial"/>
                        <w:sz w:val="22"/>
                        <w:szCs w:val="22"/>
                      </w:rPr>
                      <w:t>Maine</w:t>
                    </w:r>
                    <w:r w:rsidRPr="00B13C4B">
                      <w:rPr>
                        <w:rFonts w:ascii="Arial" w:hAnsi="Arial" w:cs="Arial"/>
                        <w:spacing w:val="-13"/>
                        <w:sz w:val="22"/>
                        <w:szCs w:val="22"/>
                      </w:rPr>
                      <w:t xml:space="preserve"> </w:t>
                    </w:r>
                    <w:r w:rsidRPr="00B13C4B">
                      <w:rPr>
                        <w:rFonts w:ascii="Arial" w:hAnsi="Arial" w:cs="Arial"/>
                        <w:sz w:val="22"/>
                        <w:szCs w:val="22"/>
                      </w:rPr>
                      <w:t>System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1557" w14:textId="77777777" w:rsidR="00AD72AB" w:rsidRPr="00A72B6B" w:rsidRDefault="00AD72AB" w:rsidP="0070537E">
    <w:pPr>
      <w:pStyle w:val="Heading4"/>
      <w:rPr>
        <w:i w:val="0"/>
      </w:rPr>
    </w:pPr>
    <w:r>
      <w:rPr>
        <w:i w:val="0"/>
      </w:rPr>
      <w:t>MANAGEMENT’S DISCUSSION AND ANALYSIS (UNAUDITED)</w:t>
    </w:r>
  </w:p>
  <w:p w14:paraId="757AA316" w14:textId="77777777" w:rsidR="00AD72AB" w:rsidRDefault="00AD72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E1BD" w14:textId="77777777" w:rsidR="00AD72AB" w:rsidRPr="00A72B6B" w:rsidRDefault="00AD72AB" w:rsidP="0070537E">
    <w:pPr>
      <w:pStyle w:val="Heading4"/>
      <w:rPr>
        <w:i w:val="0"/>
      </w:rPr>
    </w:pPr>
    <w:r>
      <w:rPr>
        <w:i w:val="0"/>
      </w:rPr>
      <w:t>MANAGEMENT’S DISCUSSION AND ANALYSIS (UNAUDITED)</w:t>
    </w:r>
  </w:p>
  <w:p w14:paraId="1FEFE4B5" w14:textId="77777777" w:rsidR="00AD72AB" w:rsidRDefault="00AD72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B8E2" w14:textId="77777777" w:rsidR="00AD72AB" w:rsidRPr="00A72B6B" w:rsidRDefault="00AD72AB" w:rsidP="00F83845">
    <w:pPr>
      <w:pStyle w:val="Heading4"/>
      <w:rPr>
        <w:i w:val="0"/>
      </w:rPr>
    </w:pPr>
  </w:p>
  <w:p w14:paraId="10987A11" w14:textId="77777777" w:rsidR="00AD72AB" w:rsidRDefault="00AD72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1225681368"/>
      <w:docPartObj>
        <w:docPartGallery w:val="Page Numbers (Top of Page)"/>
        <w:docPartUnique/>
      </w:docPartObj>
    </w:sdtPr>
    <w:sdtEndPr/>
    <w:sdtContent>
      <w:p w14:paraId="1295B393" w14:textId="5E58F4E3" w:rsidR="00AD72AB" w:rsidRPr="00D65483" w:rsidRDefault="00AD72AB" w:rsidP="00BD375F">
        <w:pPr>
          <w:pStyle w:val="Heading4"/>
          <w:rPr>
            <w:rFonts w:eastAsiaTheme="minorHAnsi" w:cstheme="minorBidi"/>
            <w:color w:val="auto"/>
            <w:sz w:val="22"/>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F170" w14:textId="4B2411F6" w:rsidR="00AD72AB" w:rsidRPr="002B1325" w:rsidRDefault="00AD72AB" w:rsidP="00BD375F">
    <w:pPr>
      <w:pStyle w:val="Heading4"/>
      <w:rPr>
        <w:i w:val="0"/>
        <w:szCs w:val="16"/>
        <w:u w:color="5B9BD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14F"/>
    <w:multiLevelType w:val="hybridMultilevel"/>
    <w:tmpl w:val="4F46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B30DF"/>
    <w:multiLevelType w:val="hybridMultilevel"/>
    <w:tmpl w:val="3D2A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503B1"/>
    <w:multiLevelType w:val="hybridMultilevel"/>
    <w:tmpl w:val="4FE2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F279B"/>
    <w:multiLevelType w:val="hybridMultilevel"/>
    <w:tmpl w:val="337A4C84"/>
    <w:lvl w:ilvl="0" w:tplc="BA6A16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626027"/>
    <w:multiLevelType w:val="multilevel"/>
    <w:tmpl w:val="19D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E3095"/>
    <w:multiLevelType w:val="hybridMultilevel"/>
    <w:tmpl w:val="1EC241E8"/>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37C3D94"/>
    <w:multiLevelType w:val="hybridMultilevel"/>
    <w:tmpl w:val="2FE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16142"/>
    <w:multiLevelType w:val="hybridMultilevel"/>
    <w:tmpl w:val="DE38C6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13AD1134"/>
    <w:multiLevelType w:val="hybridMultilevel"/>
    <w:tmpl w:val="6E44901A"/>
    <w:lvl w:ilvl="0" w:tplc="9A842D1E">
      <w:numFmt w:val="bullet"/>
      <w:lvlText w:val=""/>
      <w:lvlJc w:val="left"/>
      <w:pPr>
        <w:ind w:left="899" w:hanging="361"/>
      </w:pPr>
      <w:rPr>
        <w:rFonts w:ascii="Symbol" w:eastAsia="Symbol" w:hAnsi="Symbol" w:cs="Symbol" w:hint="default"/>
        <w:b w:val="0"/>
        <w:bCs w:val="0"/>
        <w:i w:val="0"/>
        <w:iCs w:val="0"/>
        <w:w w:val="99"/>
        <w:sz w:val="22"/>
        <w:szCs w:val="22"/>
        <w:lang w:val="en-US" w:eastAsia="en-US" w:bidi="ar-SA"/>
      </w:rPr>
    </w:lvl>
    <w:lvl w:ilvl="1" w:tplc="4BC8A4E2">
      <w:numFmt w:val="bullet"/>
      <w:lvlText w:val="•"/>
      <w:lvlJc w:val="left"/>
      <w:pPr>
        <w:ind w:left="1848" w:hanging="361"/>
      </w:pPr>
      <w:rPr>
        <w:rFonts w:hint="default"/>
        <w:lang w:val="en-US" w:eastAsia="en-US" w:bidi="ar-SA"/>
      </w:rPr>
    </w:lvl>
    <w:lvl w:ilvl="2" w:tplc="04661CA6">
      <w:numFmt w:val="bullet"/>
      <w:lvlText w:val="•"/>
      <w:lvlJc w:val="left"/>
      <w:pPr>
        <w:ind w:left="2796" w:hanging="361"/>
      </w:pPr>
      <w:rPr>
        <w:rFonts w:hint="default"/>
        <w:lang w:val="en-US" w:eastAsia="en-US" w:bidi="ar-SA"/>
      </w:rPr>
    </w:lvl>
    <w:lvl w:ilvl="3" w:tplc="8BF471A4">
      <w:numFmt w:val="bullet"/>
      <w:lvlText w:val="•"/>
      <w:lvlJc w:val="left"/>
      <w:pPr>
        <w:ind w:left="3744" w:hanging="361"/>
      </w:pPr>
      <w:rPr>
        <w:rFonts w:hint="default"/>
        <w:lang w:val="en-US" w:eastAsia="en-US" w:bidi="ar-SA"/>
      </w:rPr>
    </w:lvl>
    <w:lvl w:ilvl="4" w:tplc="0C046890">
      <w:numFmt w:val="bullet"/>
      <w:lvlText w:val="•"/>
      <w:lvlJc w:val="left"/>
      <w:pPr>
        <w:ind w:left="4692" w:hanging="361"/>
      </w:pPr>
      <w:rPr>
        <w:rFonts w:hint="default"/>
        <w:lang w:val="en-US" w:eastAsia="en-US" w:bidi="ar-SA"/>
      </w:rPr>
    </w:lvl>
    <w:lvl w:ilvl="5" w:tplc="F1F286D8">
      <w:numFmt w:val="bullet"/>
      <w:lvlText w:val="•"/>
      <w:lvlJc w:val="left"/>
      <w:pPr>
        <w:ind w:left="5640" w:hanging="361"/>
      </w:pPr>
      <w:rPr>
        <w:rFonts w:hint="default"/>
        <w:lang w:val="en-US" w:eastAsia="en-US" w:bidi="ar-SA"/>
      </w:rPr>
    </w:lvl>
    <w:lvl w:ilvl="6" w:tplc="AD52909C">
      <w:numFmt w:val="bullet"/>
      <w:lvlText w:val="•"/>
      <w:lvlJc w:val="left"/>
      <w:pPr>
        <w:ind w:left="6588" w:hanging="361"/>
      </w:pPr>
      <w:rPr>
        <w:rFonts w:hint="default"/>
        <w:lang w:val="en-US" w:eastAsia="en-US" w:bidi="ar-SA"/>
      </w:rPr>
    </w:lvl>
    <w:lvl w:ilvl="7" w:tplc="3BE29846">
      <w:numFmt w:val="bullet"/>
      <w:lvlText w:val="•"/>
      <w:lvlJc w:val="left"/>
      <w:pPr>
        <w:ind w:left="7536" w:hanging="361"/>
      </w:pPr>
      <w:rPr>
        <w:rFonts w:hint="default"/>
        <w:lang w:val="en-US" w:eastAsia="en-US" w:bidi="ar-SA"/>
      </w:rPr>
    </w:lvl>
    <w:lvl w:ilvl="8" w:tplc="1D14ED74">
      <w:numFmt w:val="bullet"/>
      <w:lvlText w:val="•"/>
      <w:lvlJc w:val="left"/>
      <w:pPr>
        <w:ind w:left="8484" w:hanging="361"/>
      </w:pPr>
      <w:rPr>
        <w:rFonts w:hint="default"/>
        <w:lang w:val="en-US" w:eastAsia="en-US" w:bidi="ar-SA"/>
      </w:rPr>
    </w:lvl>
  </w:abstractNum>
  <w:abstractNum w:abstractNumId="9" w15:restartNumberingAfterBreak="0">
    <w:nsid w:val="15510748"/>
    <w:multiLevelType w:val="hybridMultilevel"/>
    <w:tmpl w:val="2504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449B1"/>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36024"/>
    <w:multiLevelType w:val="hybridMultilevel"/>
    <w:tmpl w:val="40CE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57724"/>
    <w:multiLevelType w:val="hybridMultilevel"/>
    <w:tmpl w:val="D450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0055E"/>
    <w:multiLevelType w:val="hybridMultilevel"/>
    <w:tmpl w:val="379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D2E2F"/>
    <w:multiLevelType w:val="hybridMultilevel"/>
    <w:tmpl w:val="52D6509E"/>
    <w:lvl w:ilvl="0" w:tplc="E3AE20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043A7"/>
    <w:multiLevelType w:val="hybridMultilevel"/>
    <w:tmpl w:val="5684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B21E4C"/>
    <w:multiLevelType w:val="hybridMultilevel"/>
    <w:tmpl w:val="1E5C0562"/>
    <w:lvl w:ilvl="0" w:tplc="BA6A16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25CB8"/>
    <w:multiLevelType w:val="hybridMultilevel"/>
    <w:tmpl w:val="7B608696"/>
    <w:lvl w:ilvl="0" w:tplc="B524DBDC">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5B4DB9"/>
    <w:multiLevelType w:val="hybridMultilevel"/>
    <w:tmpl w:val="09405C6C"/>
    <w:lvl w:ilvl="0" w:tplc="D31435F2">
      <w:start w:val="1"/>
      <w:numFmt w:val="decimal"/>
      <w:lvlText w:val="Lev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625E5"/>
    <w:multiLevelType w:val="hybridMultilevel"/>
    <w:tmpl w:val="DE5C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C3644"/>
    <w:multiLevelType w:val="hybridMultilevel"/>
    <w:tmpl w:val="63788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96B4F"/>
    <w:multiLevelType w:val="hybridMultilevel"/>
    <w:tmpl w:val="2E30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4A1683"/>
    <w:multiLevelType w:val="hybridMultilevel"/>
    <w:tmpl w:val="AEB277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21B2410"/>
    <w:multiLevelType w:val="hybridMultilevel"/>
    <w:tmpl w:val="5E0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80020"/>
    <w:multiLevelType w:val="hybridMultilevel"/>
    <w:tmpl w:val="096CDB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5FDB1E3E"/>
    <w:multiLevelType w:val="hybridMultilevel"/>
    <w:tmpl w:val="E7F4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33984"/>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F23C4"/>
    <w:multiLevelType w:val="hybridMultilevel"/>
    <w:tmpl w:val="BD2A8920"/>
    <w:lvl w:ilvl="0" w:tplc="15DA8CA0">
      <w:numFmt w:val="bullet"/>
      <w:lvlText w:val=""/>
      <w:lvlJc w:val="left"/>
      <w:pPr>
        <w:ind w:left="839" w:hanging="361"/>
      </w:pPr>
      <w:rPr>
        <w:rFonts w:ascii="Symbol" w:eastAsia="Symbol" w:hAnsi="Symbol" w:cs="Symbol" w:hint="default"/>
        <w:b w:val="0"/>
        <w:bCs w:val="0"/>
        <w:i w:val="0"/>
        <w:iCs w:val="0"/>
        <w:w w:val="99"/>
        <w:sz w:val="22"/>
        <w:szCs w:val="22"/>
        <w:lang w:val="en-US" w:eastAsia="en-US" w:bidi="ar-SA"/>
      </w:rPr>
    </w:lvl>
    <w:lvl w:ilvl="1" w:tplc="6C1CF5FA">
      <w:numFmt w:val="bullet"/>
      <w:lvlText w:val="•"/>
      <w:lvlJc w:val="left"/>
      <w:pPr>
        <w:ind w:left="1788" w:hanging="361"/>
      </w:pPr>
      <w:rPr>
        <w:rFonts w:hint="default"/>
        <w:lang w:val="en-US" w:eastAsia="en-US" w:bidi="ar-SA"/>
      </w:rPr>
    </w:lvl>
    <w:lvl w:ilvl="2" w:tplc="04F206A8">
      <w:numFmt w:val="bullet"/>
      <w:lvlText w:val="•"/>
      <w:lvlJc w:val="left"/>
      <w:pPr>
        <w:ind w:left="2736" w:hanging="361"/>
      </w:pPr>
      <w:rPr>
        <w:rFonts w:hint="default"/>
        <w:lang w:val="en-US" w:eastAsia="en-US" w:bidi="ar-SA"/>
      </w:rPr>
    </w:lvl>
    <w:lvl w:ilvl="3" w:tplc="B36CA9E0">
      <w:numFmt w:val="bullet"/>
      <w:lvlText w:val="•"/>
      <w:lvlJc w:val="left"/>
      <w:pPr>
        <w:ind w:left="3684" w:hanging="361"/>
      </w:pPr>
      <w:rPr>
        <w:rFonts w:hint="default"/>
        <w:lang w:val="en-US" w:eastAsia="en-US" w:bidi="ar-SA"/>
      </w:rPr>
    </w:lvl>
    <w:lvl w:ilvl="4" w:tplc="9032361C">
      <w:numFmt w:val="bullet"/>
      <w:lvlText w:val="•"/>
      <w:lvlJc w:val="left"/>
      <w:pPr>
        <w:ind w:left="4632" w:hanging="361"/>
      </w:pPr>
      <w:rPr>
        <w:rFonts w:hint="default"/>
        <w:lang w:val="en-US" w:eastAsia="en-US" w:bidi="ar-SA"/>
      </w:rPr>
    </w:lvl>
    <w:lvl w:ilvl="5" w:tplc="4A5889C4">
      <w:numFmt w:val="bullet"/>
      <w:lvlText w:val="•"/>
      <w:lvlJc w:val="left"/>
      <w:pPr>
        <w:ind w:left="5580" w:hanging="361"/>
      </w:pPr>
      <w:rPr>
        <w:rFonts w:hint="default"/>
        <w:lang w:val="en-US" w:eastAsia="en-US" w:bidi="ar-SA"/>
      </w:rPr>
    </w:lvl>
    <w:lvl w:ilvl="6" w:tplc="BD18BAA0">
      <w:numFmt w:val="bullet"/>
      <w:lvlText w:val="•"/>
      <w:lvlJc w:val="left"/>
      <w:pPr>
        <w:ind w:left="6528" w:hanging="361"/>
      </w:pPr>
      <w:rPr>
        <w:rFonts w:hint="default"/>
        <w:lang w:val="en-US" w:eastAsia="en-US" w:bidi="ar-SA"/>
      </w:rPr>
    </w:lvl>
    <w:lvl w:ilvl="7" w:tplc="2D928A00">
      <w:numFmt w:val="bullet"/>
      <w:lvlText w:val="•"/>
      <w:lvlJc w:val="left"/>
      <w:pPr>
        <w:ind w:left="7476" w:hanging="361"/>
      </w:pPr>
      <w:rPr>
        <w:rFonts w:hint="default"/>
        <w:lang w:val="en-US" w:eastAsia="en-US" w:bidi="ar-SA"/>
      </w:rPr>
    </w:lvl>
    <w:lvl w:ilvl="8" w:tplc="ACE69F78">
      <w:numFmt w:val="bullet"/>
      <w:lvlText w:val="•"/>
      <w:lvlJc w:val="left"/>
      <w:pPr>
        <w:ind w:left="8424" w:hanging="361"/>
      </w:pPr>
      <w:rPr>
        <w:rFonts w:hint="default"/>
        <w:lang w:val="en-US" w:eastAsia="en-US" w:bidi="ar-SA"/>
      </w:rPr>
    </w:lvl>
  </w:abstractNum>
  <w:abstractNum w:abstractNumId="28" w15:restartNumberingAfterBreak="0">
    <w:nsid w:val="69D02EFE"/>
    <w:multiLevelType w:val="multilevel"/>
    <w:tmpl w:val="D24C2368"/>
    <w:lvl w:ilvl="0">
      <w:start w:val="1"/>
      <w:numFmt w:val="decimal"/>
      <w:pStyle w:val="LTNumber1"/>
      <w:lvlText w:val="%1."/>
      <w:lvlJc w:val="left"/>
      <w:pPr>
        <w:tabs>
          <w:tab w:val="num" w:pos="547"/>
        </w:tabs>
        <w:ind w:left="547" w:hanging="547"/>
      </w:pPr>
      <w:rPr>
        <w:rFonts w:ascii="Times New Roman" w:hAnsi="Times New Roman" w:hint="default"/>
        <w:b w:val="0"/>
        <w:i w:val="0"/>
        <w:caps w:val="0"/>
        <w:strike w:val="0"/>
        <w:dstrike w:val="0"/>
        <w:vanish w:val="0"/>
        <w:color w:val="auto"/>
        <w:sz w:val="22"/>
        <w:szCs w:val="22"/>
        <w:u w:val="none"/>
        <w:vertAlign w:val="baseline"/>
      </w:rPr>
    </w:lvl>
    <w:lvl w:ilvl="1">
      <w:start w:val="1"/>
      <w:numFmt w:val="lowerLetter"/>
      <w:pStyle w:val="LTNumber2"/>
      <w:lvlText w:val="(%2)"/>
      <w:lvlJc w:val="left"/>
      <w:pPr>
        <w:tabs>
          <w:tab w:val="num" w:pos="1094"/>
        </w:tabs>
        <w:ind w:left="1094" w:hanging="547"/>
      </w:pPr>
      <w:rPr>
        <w:rFonts w:ascii="Times New Roman" w:hAnsi="Times New Roman" w:hint="default"/>
        <w:b w:val="0"/>
        <w:i w:val="0"/>
        <w:caps w:val="0"/>
        <w:strike w:val="0"/>
        <w:dstrike w:val="0"/>
        <w:vanish w:val="0"/>
        <w:color w:val="auto"/>
        <w:sz w:val="22"/>
        <w:szCs w:val="22"/>
        <w:u w:val="none"/>
        <w:vertAlign w:val="baseline"/>
      </w:rPr>
    </w:lvl>
    <w:lvl w:ilvl="2">
      <w:start w:val="1"/>
      <w:numFmt w:val="lowerRoman"/>
      <w:lvlText w:val="%3)"/>
      <w:lvlJc w:val="left"/>
      <w:pPr>
        <w:tabs>
          <w:tab w:val="num" w:pos="1267"/>
        </w:tabs>
        <w:ind w:left="1267" w:hanging="360"/>
      </w:pPr>
      <w:rPr>
        <w:rFonts w:hint="default"/>
      </w:rPr>
    </w:lvl>
    <w:lvl w:ilvl="3">
      <w:start w:val="1"/>
      <w:numFmt w:val="decimal"/>
      <w:lvlText w:val="(%4)"/>
      <w:lvlJc w:val="left"/>
      <w:pPr>
        <w:tabs>
          <w:tab w:val="num" w:pos="1627"/>
        </w:tabs>
        <w:ind w:left="1627" w:hanging="360"/>
      </w:pPr>
      <w:rPr>
        <w:rFonts w:hint="default"/>
      </w:rPr>
    </w:lvl>
    <w:lvl w:ilvl="4">
      <w:start w:val="1"/>
      <w:numFmt w:val="lowerLetter"/>
      <w:lvlText w:val="(%5)"/>
      <w:lvlJc w:val="left"/>
      <w:pPr>
        <w:tabs>
          <w:tab w:val="num" w:pos="1987"/>
        </w:tabs>
        <w:ind w:left="1987" w:hanging="360"/>
      </w:pPr>
      <w:rPr>
        <w:rFonts w:hint="default"/>
      </w:rPr>
    </w:lvl>
    <w:lvl w:ilvl="5">
      <w:start w:val="1"/>
      <w:numFmt w:val="lowerRoman"/>
      <w:lvlText w:val="(%6)"/>
      <w:lvlJc w:val="left"/>
      <w:pPr>
        <w:tabs>
          <w:tab w:val="num" w:pos="2347"/>
        </w:tabs>
        <w:ind w:left="2347" w:hanging="360"/>
      </w:pPr>
      <w:rPr>
        <w:rFonts w:hint="default"/>
      </w:rPr>
    </w:lvl>
    <w:lvl w:ilvl="6">
      <w:start w:val="1"/>
      <w:numFmt w:val="decimal"/>
      <w:lvlText w:val="%7."/>
      <w:lvlJc w:val="left"/>
      <w:pPr>
        <w:tabs>
          <w:tab w:val="num" w:pos="2707"/>
        </w:tabs>
        <w:ind w:left="2707" w:hanging="360"/>
      </w:pPr>
      <w:rPr>
        <w:rFonts w:hint="default"/>
      </w:rPr>
    </w:lvl>
    <w:lvl w:ilvl="7">
      <w:start w:val="1"/>
      <w:numFmt w:val="lowerLetter"/>
      <w:lvlText w:val="%8."/>
      <w:lvlJc w:val="left"/>
      <w:pPr>
        <w:tabs>
          <w:tab w:val="num" w:pos="3067"/>
        </w:tabs>
        <w:ind w:left="3067" w:hanging="360"/>
      </w:pPr>
      <w:rPr>
        <w:rFonts w:hint="default"/>
      </w:rPr>
    </w:lvl>
    <w:lvl w:ilvl="8">
      <w:start w:val="1"/>
      <w:numFmt w:val="lowerRoman"/>
      <w:lvlText w:val="%9."/>
      <w:lvlJc w:val="left"/>
      <w:pPr>
        <w:tabs>
          <w:tab w:val="num" w:pos="3427"/>
        </w:tabs>
        <w:ind w:left="3427" w:hanging="360"/>
      </w:pPr>
      <w:rPr>
        <w:rFonts w:hint="default"/>
      </w:rPr>
    </w:lvl>
  </w:abstractNum>
  <w:abstractNum w:abstractNumId="29" w15:restartNumberingAfterBreak="0">
    <w:nsid w:val="6A3010A5"/>
    <w:multiLevelType w:val="hybridMultilevel"/>
    <w:tmpl w:val="6710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352BC"/>
    <w:multiLevelType w:val="hybridMultilevel"/>
    <w:tmpl w:val="99666E2E"/>
    <w:lvl w:ilvl="0" w:tplc="EA5434D6">
      <w:start w:val="1"/>
      <w:numFmt w:val="bullet"/>
      <w:lvlText w:val="*"/>
      <w:lvlJc w:val="left"/>
      <w:pPr>
        <w:tabs>
          <w:tab w:val="num" w:pos="2880"/>
        </w:tabs>
        <w:ind w:left="288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F">
      <w:start w:val="1"/>
      <w:numFmt w:val="decimal"/>
      <w:lvlText w:val="%3."/>
      <w:lvlJc w:val="left"/>
      <w:pPr>
        <w:tabs>
          <w:tab w:val="num" w:pos="3600"/>
        </w:tabs>
        <w:ind w:left="3600" w:hanging="36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B7E0F10"/>
    <w:multiLevelType w:val="hybridMultilevel"/>
    <w:tmpl w:val="F13C3566"/>
    <w:lvl w:ilvl="0" w:tplc="097C13BC">
      <w:numFmt w:val="bullet"/>
      <w:lvlText w:val=""/>
      <w:lvlJc w:val="left"/>
      <w:pPr>
        <w:ind w:left="837" w:hanging="361"/>
      </w:pPr>
      <w:rPr>
        <w:rFonts w:ascii="Symbol" w:eastAsia="Symbol" w:hAnsi="Symbol" w:cs="Symbol" w:hint="default"/>
        <w:b w:val="0"/>
        <w:bCs w:val="0"/>
        <w:i w:val="0"/>
        <w:iCs w:val="0"/>
        <w:spacing w:val="0"/>
        <w:w w:val="100"/>
        <w:sz w:val="22"/>
        <w:szCs w:val="22"/>
        <w:lang w:val="en-US" w:eastAsia="en-US" w:bidi="ar-SA"/>
      </w:rPr>
    </w:lvl>
    <w:lvl w:ilvl="1" w:tplc="637E2F04">
      <w:numFmt w:val="bullet"/>
      <w:lvlText w:val="•"/>
      <w:lvlJc w:val="left"/>
      <w:pPr>
        <w:ind w:left="1788" w:hanging="361"/>
      </w:pPr>
      <w:rPr>
        <w:rFonts w:hint="default"/>
        <w:lang w:val="en-US" w:eastAsia="en-US" w:bidi="ar-SA"/>
      </w:rPr>
    </w:lvl>
    <w:lvl w:ilvl="2" w:tplc="211CA564">
      <w:numFmt w:val="bullet"/>
      <w:lvlText w:val="•"/>
      <w:lvlJc w:val="left"/>
      <w:pPr>
        <w:ind w:left="2736" w:hanging="361"/>
      </w:pPr>
      <w:rPr>
        <w:rFonts w:hint="default"/>
        <w:lang w:val="en-US" w:eastAsia="en-US" w:bidi="ar-SA"/>
      </w:rPr>
    </w:lvl>
    <w:lvl w:ilvl="3" w:tplc="A02AD628">
      <w:numFmt w:val="bullet"/>
      <w:lvlText w:val="•"/>
      <w:lvlJc w:val="left"/>
      <w:pPr>
        <w:ind w:left="3684" w:hanging="361"/>
      </w:pPr>
      <w:rPr>
        <w:rFonts w:hint="default"/>
        <w:lang w:val="en-US" w:eastAsia="en-US" w:bidi="ar-SA"/>
      </w:rPr>
    </w:lvl>
    <w:lvl w:ilvl="4" w:tplc="60A2957C">
      <w:numFmt w:val="bullet"/>
      <w:lvlText w:val="•"/>
      <w:lvlJc w:val="left"/>
      <w:pPr>
        <w:ind w:left="4632" w:hanging="361"/>
      </w:pPr>
      <w:rPr>
        <w:rFonts w:hint="default"/>
        <w:lang w:val="en-US" w:eastAsia="en-US" w:bidi="ar-SA"/>
      </w:rPr>
    </w:lvl>
    <w:lvl w:ilvl="5" w:tplc="51FA41D0">
      <w:numFmt w:val="bullet"/>
      <w:lvlText w:val="•"/>
      <w:lvlJc w:val="left"/>
      <w:pPr>
        <w:ind w:left="5580" w:hanging="361"/>
      </w:pPr>
      <w:rPr>
        <w:rFonts w:hint="default"/>
        <w:lang w:val="en-US" w:eastAsia="en-US" w:bidi="ar-SA"/>
      </w:rPr>
    </w:lvl>
    <w:lvl w:ilvl="6" w:tplc="5C104790">
      <w:numFmt w:val="bullet"/>
      <w:lvlText w:val="•"/>
      <w:lvlJc w:val="left"/>
      <w:pPr>
        <w:ind w:left="6528" w:hanging="361"/>
      </w:pPr>
      <w:rPr>
        <w:rFonts w:hint="default"/>
        <w:lang w:val="en-US" w:eastAsia="en-US" w:bidi="ar-SA"/>
      </w:rPr>
    </w:lvl>
    <w:lvl w:ilvl="7" w:tplc="D166E554">
      <w:numFmt w:val="bullet"/>
      <w:lvlText w:val="•"/>
      <w:lvlJc w:val="left"/>
      <w:pPr>
        <w:ind w:left="7476" w:hanging="361"/>
      </w:pPr>
      <w:rPr>
        <w:rFonts w:hint="default"/>
        <w:lang w:val="en-US" w:eastAsia="en-US" w:bidi="ar-SA"/>
      </w:rPr>
    </w:lvl>
    <w:lvl w:ilvl="8" w:tplc="62E0A656">
      <w:numFmt w:val="bullet"/>
      <w:lvlText w:val="•"/>
      <w:lvlJc w:val="left"/>
      <w:pPr>
        <w:ind w:left="8424" w:hanging="361"/>
      </w:pPr>
      <w:rPr>
        <w:rFonts w:hint="default"/>
        <w:lang w:val="en-US" w:eastAsia="en-US" w:bidi="ar-SA"/>
      </w:rPr>
    </w:lvl>
  </w:abstractNum>
  <w:abstractNum w:abstractNumId="32" w15:restartNumberingAfterBreak="0">
    <w:nsid w:val="6C9A2DE9"/>
    <w:multiLevelType w:val="hybridMultilevel"/>
    <w:tmpl w:val="EFAE6D62"/>
    <w:lvl w:ilvl="0" w:tplc="D31435F2">
      <w:start w:val="1"/>
      <w:numFmt w:val="decimal"/>
      <w:lvlText w:val="Level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186451"/>
    <w:multiLevelType w:val="hybridMultilevel"/>
    <w:tmpl w:val="E13C7A82"/>
    <w:lvl w:ilvl="0" w:tplc="BA6A16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F3414"/>
    <w:multiLevelType w:val="hybridMultilevel"/>
    <w:tmpl w:val="33C4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E52B2"/>
    <w:multiLevelType w:val="hybridMultilevel"/>
    <w:tmpl w:val="67DE19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ED79FC"/>
    <w:multiLevelType w:val="hybridMultilevel"/>
    <w:tmpl w:val="2C8200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7B4027DA"/>
    <w:multiLevelType w:val="hybridMultilevel"/>
    <w:tmpl w:val="3D9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9166655">
    <w:abstractNumId w:val="22"/>
  </w:num>
  <w:num w:numId="2" w16cid:durableId="1787508143">
    <w:abstractNumId w:val="35"/>
  </w:num>
  <w:num w:numId="3" w16cid:durableId="978923916">
    <w:abstractNumId w:val="28"/>
  </w:num>
  <w:num w:numId="4" w16cid:durableId="1527864047">
    <w:abstractNumId w:val="21"/>
  </w:num>
  <w:num w:numId="5" w16cid:durableId="1259406813">
    <w:abstractNumId w:val="23"/>
  </w:num>
  <w:num w:numId="6" w16cid:durableId="552471123">
    <w:abstractNumId w:val="2"/>
  </w:num>
  <w:num w:numId="7" w16cid:durableId="80107759">
    <w:abstractNumId w:val="18"/>
  </w:num>
  <w:num w:numId="8" w16cid:durableId="353239282">
    <w:abstractNumId w:val="32"/>
  </w:num>
  <w:num w:numId="9" w16cid:durableId="388381837">
    <w:abstractNumId w:val="5"/>
  </w:num>
  <w:num w:numId="10" w16cid:durableId="1521309208">
    <w:abstractNumId w:val="26"/>
  </w:num>
  <w:num w:numId="11" w16cid:durableId="1023945712">
    <w:abstractNumId w:val="17"/>
  </w:num>
  <w:num w:numId="12" w16cid:durableId="64449883">
    <w:abstractNumId w:val="30"/>
    <w:lvlOverride w:ilvl="0"/>
    <w:lvlOverride w:ilvl="1"/>
    <w:lvlOverride w:ilvl="2">
      <w:startOverride w:val="1"/>
    </w:lvlOverride>
    <w:lvlOverride w:ilvl="3"/>
    <w:lvlOverride w:ilvl="4"/>
    <w:lvlOverride w:ilvl="5"/>
    <w:lvlOverride w:ilvl="6"/>
    <w:lvlOverride w:ilvl="7"/>
    <w:lvlOverride w:ilvl="8"/>
  </w:num>
  <w:num w:numId="13" w16cid:durableId="1012536068">
    <w:abstractNumId w:val="19"/>
  </w:num>
  <w:num w:numId="14" w16cid:durableId="917985059">
    <w:abstractNumId w:val="12"/>
  </w:num>
  <w:num w:numId="15" w16cid:durableId="1869021330">
    <w:abstractNumId w:val="36"/>
  </w:num>
  <w:num w:numId="16" w16cid:durableId="591857449">
    <w:abstractNumId w:val="37"/>
  </w:num>
  <w:num w:numId="17" w16cid:durableId="150997085">
    <w:abstractNumId w:val="25"/>
  </w:num>
  <w:num w:numId="18" w16cid:durableId="322007434">
    <w:abstractNumId w:val="0"/>
  </w:num>
  <w:num w:numId="19" w16cid:durableId="1616250238">
    <w:abstractNumId w:val="13"/>
  </w:num>
  <w:num w:numId="20" w16cid:durableId="583954766">
    <w:abstractNumId w:val="15"/>
  </w:num>
  <w:num w:numId="21" w16cid:durableId="1311011407">
    <w:abstractNumId w:val="9"/>
  </w:num>
  <w:num w:numId="22" w16cid:durableId="2050372737">
    <w:abstractNumId w:val="4"/>
  </w:num>
  <w:num w:numId="23" w16cid:durableId="656032968">
    <w:abstractNumId w:val="24"/>
  </w:num>
  <w:num w:numId="24" w16cid:durableId="1412578906">
    <w:abstractNumId w:val="6"/>
  </w:num>
  <w:num w:numId="25" w16cid:durableId="775172777">
    <w:abstractNumId w:val="11"/>
  </w:num>
  <w:num w:numId="26" w16cid:durableId="165944873">
    <w:abstractNumId w:val="14"/>
  </w:num>
  <w:num w:numId="27" w16cid:durableId="2065984048">
    <w:abstractNumId w:val="10"/>
  </w:num>
  <w:num w:numId="28" w16cid:durableId="1202129234">
    <w:abstractNumId w:val="27"/>
  </w:num>
  <w:num w:numId="29" w16cid:durableId="69936851">
    <w:abstractNumId w:val="8"/>
  </w:num>
  <w:num w:numId="30" w16cid:durableId="684597231">
    <w:abstractNumId w:val="7"/>
  </w:num>
  <w:num w:numId="31" w16cid:durableId="1761215666">
    <w:abstractNumId w:val="1"/>
  </w:num>
  <w:num w:numId="32" w16cid:durableId="1002898953">
    <w:abstractNumId w:val="20"/>
  </w:num>
  <w:num w:numId="33" w16cid:durableId="954555535">
    <w:abstractNumId w:val="31"/>
  </w:num>
  <w:num w:numId="34" w16cid:durableId="2012416566">
    <w:abstractNumId w:val="29"/>
  </w:num>
  <w:num w:numId="35" w16cid:durableId="552230851">
    <w:abstractNumId w:val="34"/>
  </w:num>
  <w:num w:numId="36" w16cid:durableId="677462249">
    <w:abstractNumId w:val="33"/>
  </w:num>
  <w:num w:numId="37" w16cid:durableId="732192141">
    <w:abstractNumId w:val="16"/>
  </w:num>
  <w:num w:numId="38" w16cid:durableId="2048288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612"/>
    <w:rsid w:val="00001D14"/>
    <w:rsid w:val="000041DC"/>
    <w:rsid w:val="00005323"/>
    <w:rsid w:val="00007258"/>
    <w:rsid w:val="000102C2"/>
    <w:rsid w:val="00013D9C"/>
    <w:rsid w:val="00015E20"/>
    <w:rsid w:val="0002276B"/>
    <w:rsid w:val="000236DA"/>
    <w:rsid w:val="0002480A"/>
    <w:rsid w:val="0002675C"/>
    <w:rsid w:val="000320FC"/>
    <w:rsid w:val="0003250F"/>
    <w:rsid w:val="00036973"/>
    <w:rsid w:val="0004410B"/>
    <w:rsid w:val="000455FF"/>
    <w:rsid w:val="00045DD1"/>
    <w:rsid w:val="000579F0"/>
    <w:rsid w:val="000600E7"/>
    <w:rsid w:val="0006026E"/>
    <w:rsid w:val="00060378"/>
    <w:rsid w:val="00061699"/>
    <w:rsid w:val="000704F4"/>
    <w:rsid w:val="00073A1D"/>
    <w:rsid w:val="00081645"/>
    <w:rsid w:val="00082185"/>
    <w:rsid w:val="000842F5"/>
    <w:rsid w:val="00094915"/>
    <w:rsid w:val="00095F21"/>
    <w:rsid w:val="000A1082"/>
    <w:rsid w:val="000A48AD"/>
    <w:rsid w:val="000B0C8B"/>
    <w:rsid w:val="000B1BE8"/>
    <w:rsid w:val="000B2D7B"/>
    <w:rsid w:val="000B5335"/>
    <w:rsid w:val="000C00B1"/>
    <w:rsid w:val="000D04E7"/>
    <w:rsid w:val="000E08C2"/>
    <w:rsid w:val="000E1705"/>
    <w:rsid w:val="000E3C0A"/>
    <w:rsid w:val="000E7902"/>
    <w:rsid w:val="000F0165"/>
    <w:rsid w:val="000F31C9"/>
    <w:rsid w:val="000F6923"/>
    <w:rsid w:val="000F743B"/>
    <w:rsid w:val="000F7691"/>
    <w:rsid w:val="000F78CF"/>
    <w:rsid w:val="0010015F"/>
    <w:rsid w:val="00100F30"/>
    <w:rsid w:val="00101194"/>
    <w:rsid w:val="00101996"/>
    <w:rsid w:val="0010225A"/>
    <w:rsid w:val="0010237B"/>
    <w:rsid w:val="001041E9"/>
    <w:rsid w:val="00106031"/>
    <w:rsid w:val="001106B0"/>
    <w:rsid w:val="00113493"/>
    <w:rsid w:val="001148D8"/>
    <w:rsid w:val="00116215"/>
    <w:rsid w:val="0011758A"/>
    <w:rsid w:val="00131E33"/>
    <w:rsid w:val="00132382"/>
    <w:rsid w:val="001347EB"/>
    <w:rsid w:val="00135A90"/>
    <w:rsid w:val="00135AC3"/>
    <w:rsid w:val="00135D4D"/>
    <w:rsid w:val="00147571"/>
    <w:rsid w:val="001542DD"/>
    <w:rsid w:val="001579C0"/>
    <w:rsid w:val="00163B27"/>
    <w:rsid w:val="00164001"/>
    <w:rsid w:val="001654E1"/>
    <w:rsid w:val="00165522"/>
    <w:rsid w:val="00170E0F"/>
    <w:rsid w:val="0017178B"/>
    <w:rsid w:val="00174923"/>
    <w:rsid w:val="00175910"/>
    <w:rsid w:val="00177D76"/>
    <w:rsid w:val="0018075C"/>
    <w:rsid w:val="001830E8"/>
    <w:rsid w:val="001834CF"/>
    <w:rsid w:val="00184AB5"/>
    <w:rsid w:val="00186D70"/>
    <w:rsid w:val="00194537"/>
    <w:rsid w:val="001946B3"/>
    <w:rsid w:val="00194D0A"/>
    <w:rsid w:val="001A12F8"/>
    <w:rsid w:val="001A5DF7"/>
    <w:rsid w:val="001A5F55"/>
    <w:rsid w:val="001A6ACB"/>
    <w:rsid w:val="001A7C34"/>
    <w:rsid w:val="001C09FA"/>
    <w:rsid w:val="001C4EE9"/>
    <w:rsid w:val="001C5BB7"/>
    <w:rsid w:val="001C762E"/>
    <w:rsid w:val="001D2DAA"/>
    <w:rsid w:val="001D5B6E"/>
    <w:rsid w:val="001E2A54"/>
    <w:rsid w:val="001E2D2D"/>
    <w:rsid w:val="001E43EA"/>
    <w:rsid w:val="001E48F3"/>
    <w:rsid w:val="001E59F7"/>
    <w:rsid w:val="001F30B7"/>
    <w:rsid w:val="001F58BE"/>
    <w:rsid w:val="001F6082"/>
    <w:rsid w:val="00203FC3"/>
    <w:rsid w:val="00204D21"/>
    <w:rsid w:val="002117D1"/>
    <w:rsid w:val="00211DB8"/>
    <w:rsid w:val="00212CB1"/>
    <w:rsid w:val="002144B8"/>
    <w:rsid w:val="00215C2B"/>
    <w:rsid w:val="00216289"/>
    <w:rsid w:val="00217CD2"/>
    <w:rsid w:val="00222FA8"/>
    <w:rsid w:val="002231E4"/>
    <w:rsid w:val="002243DD"/>
    <w:rsid w:val="00230CE6"/>
    <w:rsid w:val="00231815"/>
    <w:rsid w:val="0023684D"/>
    <w:rsid w:val="00236BB7"/>
    <w:rsid w:val="00242F78"/>
    <w:rsid w:val="0024718A"/>
    <w:rsid w:val="002513DC"/>
    <w:rsid w:val="00253FDE"/>
    <w:rsid w:val="00255A41"/>
    <w:rsid w:val="00261043"/>
    <w:rsid w:val="00261492"/>
    <w:rsid w:val="00271052"/>
    <w:rsid w:val="002758A5"/>
    <w:rsid w:val="002850DA"/>
    <w:rsid w:val="00291C4B"/>
    <w:rsid w:val="00293232"/>
    <w:rsid w:val="00296B5F"/>
    <w:rsid w:val="002A6E89"/>
    <w:rsid w:val="002B0FFD"/>
    <w:rsid w:val="002B12C2"/>
    <w:rsid w:val="002B5282"/>
    <w:rsid w:val="002B782E"/>
    <w:rsid w:val="002C1356"/>
    <w:rsid w:val="002C3E0C"/>
    <w:rsid w:val="002C49C9"/>
    <w:rsid w:val="002C6043"/>
    <w:rsid w:val="002C769F"/>
    <w:rsid w:val="002D04FB"/>
    <w:rsid w:val="002D059D"/>
    <w:rsid w:val="002D4879"/>
    <w:rsid w:val="002E2D4A"/>
    <w:rsid w:val="002F27AD"/>
    <w:rsid w:val="002F3636"/>
    <w:rsid w:val="002F4FE7"/>
    <w:rsid w:val="003009EB"/>
    <w:rsid w:val="003068B1"/>
    <w:rsid w:val="00311298"/>
    <w:rsid w:val="00311908"/>
    <w:rsid w:val="00312E70"/>
    <w:rsid w:val="00316B2A"/>
    <w:rsid w:val="003200E1"/>
    <w:rsid w:val="00336643"/>
    <w:rsid w:val="00342061"/>
    <w:rsid w:val="00342284"/>
    <w:rsid w:val="003510DA"/>
    <w:rsid w:val="00352679"/>
    <w:rsid w:val="00353507"/>
    <w:rsid w:val="00355BD5"/>
    <w:rsid w:val="0036047A"/>
    <w:rsid w:val="003619EF"/>
    <w:rsid w:val="00363398"/>
    <w:rsid w:val="00363D7B"/>
    <w:rsid w:val="00374360"/>
    <w:rsid w:val="00374BDF"/>
    <w:rsid w:val="00375348"/>
    <w:rsid w:val="00376720"/>
    <w:rsid w:val="00380200"/>
    <w:rsid w:val="003830EC"/>
    <w:rsid w:val="00385495"/>
    <w:rsid w:val="00387A2D"/>
    <w:rsid w:val="003917AA"/>
    <w:rsid w:val="00391F86"/>
    <w:rsid w:val="003920BA"/>
    <w:rsid w:val="0039436B"/>
    <w:rsid w:val="003977A2"/>
    <w:rsid w:val="003A3449"/>
    <w:rsid w:val="003B25E2"/>
    <w:rsid w:val="003B406C"/>
    <w:rsid w:val="003C2425"/>
    <w:rsid w:val="003C5BB9"/>
    <w:rsid w:val="003C7D96"/>
    <w:rsid w:val="003D2009"/>
    <w:rsid w:val="003D558D"/>
    <w:rsid w:val="003E0388"/>
    <w:rsid w:val="003E2433"/>
    <w:rsid w:val="003E72E3"/>
    <w:rsid w:val="003F1F32"/>
    <w:rsid w:val="003F2FA0"/>
    <w:rsid w:val="004018A5"/>
    <w:rsid w:val="00404C30"/>
    <w:rsid w:val="00410965"/>
    <w:rsid w:val="00414746"/>
    <w:rsid w:val="00415650"/>
    <w:rsid w:val="00415B7F"/>
    <w:rsid w:val="004202ED"/>
    <w:rsid w:val="00420A33"/>
    <w:rsid w:val="00421BDD"/>
    <w:rsid w:val="00421F9E"/>
    <w:rsid w:val="00426030"/>
    <w:rsid w:val="00430B96"/>
    <w:rsid w:val="00441E8E"/>
    <w:rsid w:val="00443FB5"/>
    <w:rsid w:val="00445C35"/>
    <w:rsid w:val="00445E32"/>
    <w:rsid w:val="00457B73"/>
    <w:rsid w:val="0046346C"/>
    <w:rsid w:val="004643EE"/>
    <w:rsid w:val="00467D76"/>
    <w:rsid w:val="00470833"/>
    <w:rsid w:val="0047104B"/>
    <w:rsid w:val="00474E99"/>
    <w:rsid w:val="00477100"/>
    <w:rsid w:val="00477203"/>
    <w:rsid w:val="0048737B"/>
    <w:rsid w:val="004942EB"/>
    <w:rsid w:val="00494FFB"/>
    <w:rsid w:val="0049612A"/>
    <w:rsid w:val="004A3C08"/>
    <w:rsid w:val="004A3ED9"/>
    <w:rsid w:val="004A6A44"/>
    <w:rsid w:val="004A7C57"/>
    <w:rsid w:val="004A7DB8"/>
    <w:rsid w:val="004B1201"/>
    <w:rsid w:val="004B42CF"/>
    <w:rsid w:val="004B5037"/>
    <w:rsid w:val="004B6F10"/>
    <w:rsid w:val="004B7704"/>
    <w:rsid w:val="004C0939"/>
    <w:rsid w:val="004D1EEE"/>
    <w:rsid w:val="004D2266"/>
    <w:rsid w:val="004D2BFE"/>
    <w:rsid w:val="004E53DB"/>
    <w:rsid w:val="004F2171"/>
    <w:rsid w:val="004F42E4"/>
    <w:rsid w:val="004F769B"/>
    <w:rsid w:val="004F7C47"/>
    <w:rsid w:val="00502B7D"/>
    <w:rsid w:val="00502D08"/>
    <w:rsid w:val="00503CA2"/>
    <w:rsid w:val="005045CE"/>
    <w:rsid w:val="005048C0"/>
    <w:rsid w:val="00504B75"/>
    <w:rsid w:val="00506000"/>
    <w:rsid w:val="005137C3"/>
    <w:rsid w:val="00522071"/>
    <w:rsid w:val="00532141"/>
    <w:rsid w:val="00533AAC"/>
    <w:rsid w:val="00533D09"/>
    <w:rsid w:val="00534F5E"/>
    <w:rsid w:val="00536619"/>
    <w:rsid w:val="00540FBB"/>
    <w:rsid w:val="0054109D"/>
    <w:rsid w:val="00541C5C"/>
    <w:rsid w:val="00542BCF"/>
    <w:rsid w:val="00542E7D"/>
    <w:rsid w:val="00546375"/>
    <w:rsid w:val="00550304"/>
    <w:rsid w:val="005518D6"/>
    <w:rsid w:val="0055384F"/>
    <w:rsid w:val="005578A4"/>
    <w:rsid w:val="005619A6"/>
    <w:rsid w:val="005619BD"/>
    <w:rsid w:val="0056539E"/>
    <w:rsid w:val="00581262"/>
    <w:rsid w:val="00586159"/>
    <w:rsid w:val="005871EE"/>
    <w:rsid w:val="005900B4"/>
    <w:rsid w:val="0059512C"/>
    <w:rsid w:val="005A0A02"/>
    <w:rsid w:val="005A24FC"/>
    <w:rsid w:val="005A5528"/>
    <w:rsid w:val="005A7564"/>
    <w:rsid w:val="005A7674"/>
    <w:rsid w:val="005B553D"/>
    <w:rsid w:val="005B7178"/>
    <w:rsid w:val="005C2387"/>
    <w:rsid w:val="005C2889"/>
    <w:rsid w:val="005C2FE9"/>
    <w:rsid w:val="005D099A"/>
    <w:rsid w:val="005D0CCF"/>
    <w:rsid w:val="005D16FF"/>
    <w:rsid w:val="005D23D1"/>
    <w:rsid w:val="005D54B4"/>
    <w:rsid w:val="005E2731"/>
    <w:rsid w:val="005E47AA"/>
    <w:rsid w:val="005E48F9"/>
    <w:rsid w:val="005E5EC3"/>
    <w:rsid w:val="005E6322"/>
    <w:rsid w:val="005F3731"/>
    <w:rsid w:val="005F5B9A"/>
    <w:rsid w:val="005F7C23"/>
    <w:rsid w:val="006002A3"/>
    <w:rsid w:val="00604577"/>
    <w:rsid w:val="00604D19"/>
    <w:rsid w:val="00606BF4"/>
    <w:rsid w:val="00607B27"/>
    <w:rsid w:val="00610135"/>
    <w:rsid w:val="006122AC"/>
    <w:rsid w:val="0061648C"/>
    <w:rsid w:val="00616AD8"/>
    <w:rsid w:val="006219DC"/>
    <w:rsid w:val="006256FC"/>
    <w:rsid w:val="006267D0"/>
    <w:rsid w:val="00626A80"/>
    <w:rsid w:val="00627B3F"/>
    <w:rsid w:val="006330E0"/>
    <w:rsid w:val="00636EEC"/>
    <w:rsid w:val="006378D0"/>
    <w:rsid w:val="00637F4E"/>
    <w:rsid w:val="0064191D"/>
    <w:rsid w:val="00643584"/>
    <w:rsid w:val="0064393D"/>
    <w:rsid w:val="00653AC9"/>
    <w:rsid w:val="00657801"/>
    <w:rsid w:val="00661235"/>
    <w:rsid w:val="00665FAB"/>
    <w:rsid w:val="00666540"/>
    <w:rsid w:val="006667C0"/>
    <w:rsid w:val="00677795"/>
    <w:rsid w:val="00682C88"/>
    <w:rsid w:val="00685604"/>
    <w:rsid w:val="00686379"/>
    <w:rsid w:val="00691D76"/>
    <w:rsid w:val="0069311E"/>
    <w:rsid w:val="006941DA"/>
    <w:rsid w:val="006A0BA6"/>
    <w:rsid w:val="006A1340"/>
    <w:rsid w:val="006A1779"/>
    <w:rsid w:val="006A2372"/>
    <w:rsid w:val="006A442F"/>
    <w:rsid w:val="006A5B72"/>
    <w:rsid w:val="006A5C6E"/>
    <w:rsid w:val="006B08B5"/>
    <w:rsid w:val="006B1FF2"/>
    <w:rsid w:val="006B45AC"/>
    <w:rsid w:val="006C4499"/>
    <w:rsid w:val="006C6E2C"/>
    <w:rsid w:val="006D2A06"/>
    <w:rsid w:val="006D343C"/>
    <w:rsid w:val="006D412C"/>
    <w:rsid w:val="006D7414"/>
    <w:rsid w:val="006E05B0"/>
    <w:rsid w:val="006E2801"/>
    <w:rsid w:val="006E4E87"/>
    <w:rsid w:val="006E5414"/>
    <w:rsid w:val="006E7D30"/>
    <w:rsid w:val="006F2532"/>
    <w:rsid w:val="006F608F"/>
    <w:rsid w:val="00701595"/>
    <w:rsid w:val="0070214C"/>
    <w:rsid w:val="0070440B"/>
    <w:rsid w:val="0070537E"/>
    <w:rsid w:val="00705811"/>
    <w:rsid w:val="00714D11"/>
    <w:rsid w:val="00715608"/>
    <w:rsid w:val="007176B0"/>
    <w:rsid w:val="007177D2"/>
    <w:rsid w:val="0072294D"/>
    <w:rsid w:val="00723CBE"/>
    <w:rsid w:val="007254CE"/>
    <w:rsid w:val="007257C7"/>
    <w:rsid w:val="00727533"/>
    <w:rsid w:val="00732A7F"/>
    <w:rsid w:val="00742E2E"/>
    <w:rsid w:val="00743905"/>
    <w:rsid w:val="007574F4"/>
    <w:rsid w:val="00757930"/>
    <w:rsid w:val="00763B76"/>
    <w:rsid w:val="00771608"/>
    <w:rsid w:val="00775495"/>
    <w:rsid w:val="0077729E"/>
    <w:rsid w:val="00777502"/>
    <w:rsid w:val="0078469D"/>
    <w:rsid w:val="00791A79"/>
    <w:rsid w:val="00792492"/>
    <w:rsid w:val="00792D4D"/>
    <w:rsid w:val="00793F23"/>
    <w:rsid w:val="00797BE9"/>
    <w:rsid w:val="007A193F"/>
    <w:rsid w:val="007A1E7B"/>
    <w:rsid w:val="007A72FA"/>
    <w:rsid w:val="007B041E"/>
    <w:rsid w:val="007B12A0"/>
    <w:rsid w:val="007B1E70"/>
    <w:rsid w:val="007B600C"/>
    <w:rsid w:val="007C0D81"/>
    <w:rsid w:val="007C2F75"/>
    <w:rsid w:val="007C3066"/>
    <w:rsid w:val="007C360A"/>
    <w:rsid w:val="007C4201"/>
    <w:rsid w:val="007D17BD"/>
    <w:rsid w:val="007D2A96"/>
    <w:rsid w:val="007D573B"/>
    <w:rsid w:val="007E0D0B"/>
    <w:rsid w:val="007E6F7A"/>
    <w:rsid w:val="007F0958"/>
    <w:rsid w:val="007F5678"/>
    <w:rsid w:val="007F5985"/>
    <w:rsid w:val="0080291A"/>
    <w:rsid w:val="00811F57"/>
    <w:rsid w:val="008206DF"/>
    <w:rsid w:val="0082209B"/>
    <w:rsid w:val="00824E5C"/>
    <w:rsid w:val="00824F7F"/>
    <w:rsid w:val="00825019"/>
    <w:rsid w:val="00842849"/>
    <w:rsid w:val="0084640B"/>
    <w:rsid w:val="0085149B"/>
    <w:rsid w:val="008526C1"/>
    <w:rsid w:val="0085724B"/>
    <w:rsid w:val="00872548"/>
    <w:rsid w:val="00872B65"/>
    <w:rsid w:val="00874534"/>
    <w:rsid w:val="00874DD5"/>
    <w:rsid w:val="008800D3"/>
    <w:rsid w:val="0088180F"/>
    <w:rsid w:val="008818B7"/>
    <w:rsid w:val="008932D4"/>
    <w:rsid w:val="00897D6F"/>
    <w:rsid w:val="008A0584"/>
    <w:rsid w:val="008A0F16"/>
    <w:rsid w:val="008A1F9F"/>
    <w:rsid w:val="008A4B0D"/>
    <w:rsid w:val="008A5054"/>
    <w:rsid w:val="008A612A"/>
    <w:rsid w:val="008B1A0E"/>
    <w:rsid w:val="008B4A53"/>
    <w:rsid w:val="008B4E5D"/>
    <w:rsid w:val="008B77A5"/>
    <w:rsid w:val="008C028B"/>
    <w:rsid w:val="008D0940"/>
    <w:rsid w:val="008D16AB"/>
    <w:rsid w:val="008D2D2C"/>
    <w:rsid w:val="008D3723"/>
    <w:rsid w:val="008E1CA9"/>
    <w:rsid w:val="008E20B6"/>
    <w:rsid w:val="008E43A4"/>
    <w:rsid w:val="008E52D9"/>
    <w:rsid w:val="008F2032"/>
    <w:rsid w:val="008F3C4A"/>
    <w:rsid w:val="00911BFF"/>
    <w:rsid w:val="00922F26"/>
    <w:rsid w:val="009321AC"/>
    <w:rsid w:val="009331E0"/>
    <w:rsid w:val="00937F18"/>
    <w:rsid w:val="00942DB8"/>
    <w:rsid w:val="00944022"/>
    <w:rsid w:val="00945757"/>
    <w:rsid w:val="00946A81"/>
    <w:rsid w:val="0094766F"/>
    <w:rsid w:val="00950575"/>
    <w:rsid w:val="00952F13"/>
    <w:rsid w:val="0095687D"/>
    <w:rsid w:val="00956B56"/>
    <w:rsid w:val="00965E63"/>
    <w:rsid w:val="009724AC"/>
    <w:rsid w:val="00972F41"/>
    <w:rsid w:val="00974C14"/>
    <w:rsid w:val="00976758"/>
    <w:rsid w:val="00976ECF"/>
    <w:rsid w:val="00982C0C"/>
    <w:rsid w:val="00987FDC"/>
    <w:rsid w:val="00991AEA"/>
    <w:rsid w:val="009948C6"/>
    <w:rsid w:val="009A037F"/>
    <w:rsid w:val="009A26C8"/>
    <w:rsid w:val="009B0F3A"/>
    <w:rsid w:val="009B6716"/>
    <w:rsid w:val="009B6DC8"/>
    <w:rsid w:val="009B7458"/>
    <w:rsid w:val="009C13D1"/>
    <w:rsid w:val="009C3541"/>
    <w:rsid w:val="009C3871"/>
    <w:rsid w:val="009C3EA8"/>
    <w:rsid w:val="009D0856"/>
    <w:rsid w:val="009D0CD6"/>
    <w:rsid w:val="009D438D"/>
    <w:rsid w:val="009D4D7F"/>
    <w:rsid w:val="009D7AC6"/>
    <w:rsid w:val="009E6241"/>
    <w:rsid w:val="009E77A4"/>
    <w:rsid w:val="00A001EB"/>
    <w:rsid w:val="00A01BD3"/>
    <w:rsid w:val="00A027DB"/>
    <w:rsid w:val="00A02EA3"/>
    <w:rsid w:val="00A03914"/>
    <w:rsid w:val="00A05E48"/>
    <w:rsid w:val="00A06D2D"/>
    <w:rsid w:val="00A13D2A"/>
    <w:rsid w:val="00A150DE"/>
    <w:rsid w:val="00A176C0"/>
    <w:rsid w:val="00A23186"/>
    <w:rsid w:val="00A26F2C"/>
    <w:rsid w:val="00A301A3"/>
    <w:rsid w:val="00A301E7"/>
    <w:rsid w:val="00A32861"/>
    <w:rsid w:val="00A41047"/>
    <w:rsid w:val="00A431C4"/>
    <w:rsid w:val="00A504DA"/>
    <w:rsid w:val="00A51C4D"/>
    <w:rsid w:val="00A64869"/>
    <w:rsid w:val="00A665D4"/>
    <w:rsid w:val="00A7557E"/>
    <w:rsid w:val="00A76DD2"/>
    <w:rsid w:val="00A76F1C"/>
    <w:rsid w:val="00A83362"/>
    <w:rsid w:val="00A83CE4"/>
    <w:rsid w:val="00A83D58"/>
    <w:rsid w:val="00A84005"/>
    <w:rsid w:val="00A902FD"/>
    <w:rsid w:val="00A90C1D"/>
    <w:rsid w:val="00A96213"/>
    <w:rsid w:val="00A96796"/>
    <w:rsid w:val="00AA0E31"/>
    <w:rsid w:val="00AA0E42"/>
    <w:rsid w:val="00AA2532"/>
    <w:rsid w:val="00AA3FB7"/>
    <w:rsid w:val="00AB04F4"/>
    <w:rsid w:val="00AB55A3"/>
    <w:rsid w:val="00AB56F3"/>
    <w:rsid w:val="00AB7357"/>
    <w:rsid w:val="00AC06FD"/>
    <w:rsid w:val="00AC0EF2"/>
    <w:rsid w:val="00AC14F2"/>
    <w:rsid w:val="00AC1674"/>
    <w:rsid w:val="00AC3E03"/>
    <w:rsid w:val="00AC74AF"/>
    <w:rsid w:val="00AD1DE1"/>
    <w:rsid w:val="00AD54E4"/>
    <w:rsid w:val="00AD6D3C"/>
    <w:rsid w:val="00AD72AB"/>
    <w:rsid w:val="00AE08EB"/>
    <w:rsid w:val="00AE64DC"/>
    <w:rsid w:val="00AE7DB9"/>
    <w:rsid w:val="00AF0E67"/>
    <w:rsid w:val="00AF25F5"/>
    <w:rsid w:val="00AF6A2A"/>
    <w:rsid w:val="00B006CC"/>
    <w:rsid w:val="00B01D20"/>
    <w:rsid w:val="00B045CF"/>
    <w:rsid w:val="00B04D7E"/>
    <w:rsid w:val="00B11672"/>
    <w:rsid w:val="00B13C4B"/>
    <w:rsid w:val="00B2217E"/>
    <w:rsid w:val="00B23078"/>
    <w:rsid w:val="00B241A9"/>
    <w:rsid w:val="00B24787"/>
    <w:rsid w:val="00B31793"/>
    <w:rsid w:val="00B339CC"/>
    <w:rsid w:val="00B3487F"/>
    <w:rsid w:val="00B35C54"/>
    <w:rsid w:val="00B40E40"/>
    <w:rsid w:val="00B46B7F"/>
    <w:rsid w:val="00B476DC"/>
    <w:rsid w:val="00B53664"/>
    <w:rsid w:val="00B53AA8"/>
    <w:rsid w:val="00B55DBD"/>
    <w:rsid w:val="00B55FF1"/>
    <w:rsid w:val="00B6002B"/>
    <w:rsid w:val="00B60B3E"/>
    <w:rsid w:val="00B621E7"/>
    <w:rsid w:val="00B623F2"/>
    <w:rsid w:val="00B6472C"/>
    <w:rsid w:val="00B64C2B"/>
    <w:rsid w:val="00B66478"/>
    <w:rsid w:val="00B73998"/>
    <w:rsid w:val="00B748CA"/>
    <w:rsid w:val="00B81D17"/>
    <w:rsid w:val="00B84716"/>
    <w:rsid w:val="00B84E79"/>
    <w:rsid w:val="00B84F9A"/>
    <w:rsid w:val="00B87035"/>
    <w:rsid w:val="00B87820"/>
    <w:rsid w:val="00B91F9B"/>
    <w:rsid w:val="00B96412"/>
    <w:rsid w:val="00B966C1"/>
    <w:rsid w:val="00B96E5B"/>
    <w:rsid w:val="00BA0078"/>
    <w:rsid w:val="00BA0350"/>
    <w:rsid w:val="00BA29A0"/>
    <w:rsid w:val="00BA59DE"/>
    <w:rsid w:val="00BB2D81"/>
    <w:rsid w:val="00BB2EE3"/>
    <w:rsid w:val="00BB7F53"/>
    <w:rsid w:val="00BC07AD"/>
    <w:rsid w:val="00BC0FDB"/>
    <w:rsid w:val="00BC176D"/>
    <w:rsid w:val="00BC5F7A"/>
    <w:rsid w:val="00BC6FAA"/>
    <w:rsid w:val="00BD06F5"/>
    <w:rsid w:val="00BD1EF8"/>
    <w:rsid w:val="00BD2902"/>
    <w:rsid w:val="00BD2A40"/>
    <w:rsid w:val="00BD375F"/>
    <w:rsid w:val="00BD53BD"/>
    <w:rsid w:val="00BE0520"/>
    <w:rsid w:val="00BE0ADA"/>
    <w:rsid w:val="00BE2110"/>
    <w:rsid w:val="00BE2BD0"/>
    <w:rsid w:val="00BF0400"/>
    <w:rsid w:val="00C02991"/>
    <w:rsid w:val="00C029A1"/>
    <w:rsid w:val="00C02E89"/>
    <w:rsid w:val="00C0548E"/>
    <w:rsid w:val="00C05C9B"/>
    <w:rsid w:val="00C06D7F"/>
    <w:rsid w:val="00C15078"/>
    <w:rsid w:val="00C213A7"/>
    <w:rsid w:val="00C24B6D"/>
    <w:rsid w:val="00C26D52"/>
    <w:rsid w:val="00C275DA"/>
    <w:rsid w:val="00C339DF"/>
    <w:rsid w:val="00C34BCE"/>
    <w:rsid w:val="00C35AC9"/>
    <w:rsid w:val="00C40469"/>
    <w:rsid w:val="00C4136B"/>
    <w:rsid w:val="00C4158A"/>
    <w:rsid w:val="00C417D7"/>
    <w:rsid w:val="00C41F4D"/>
    <w:rsid w:val="00C42180"/>
    <w:rsid w:val="00C447C2"/>
    <w:rsid w:val="00C45D47"/>
    <w:rsid w:val="00C4715E"/>
    <w:rsid w:val="00C63E25"/>
    <w:rsid w:val="00C67CC2"/>
    <w:rsid w:val="00C71650"/>
    <w:rsid w:val="00C740F6"/>
    <w:rsid w:val="00C757A2"/>
    <w:rsid w:val="00C93493"/>
    <w:rsid w:val="00C94A1C"/>
    <w:rsid w:val="00C955D9"/>
    <w:rsid w:val="00C95D6D"/>
    <w:rsid w:val="00CA2E42"/>
    <w:rsid w:val="00CA55E3"/>
    <w:rsid w:val="00CA5E01"/>
    <w:rsid w:val="00CA6060"/>
    <w:rsid w:val="00CA6E6A"/>
    <w:rsid w:val="00CA74E6"/>
    <w:rsid w:val="00CA783C"/>
    <w:rsid w:val="00CA7D17"/>
    <w:rsid w:val="00CB0A00"/>
    <w:rsid w:val="00CB4B44"/>
    <w:rsid w:val="00CB6363"/>
    <w:rsid w:val="00CC59F4"/>
    <w:rsid w:val="00CC5ED5"/>
    <w:rsid w:val="00CC6E29"/>
    <w:rsid w:val="00CC75CB"/>
    <w:rsid w:val="00CD31C2"/>
    <w:rsid w:val="00CF05E5"/>
    <w:rsid w:val="00CF1BC8"/>
    <w:rsid w:val="00CF30C5"/>
    <w:rsid w:val="00CF4592"/>
    <w:rsid w:val="00CF4DC1"/>
    <w:rsid w:val="00D00088"/>
    <w:rsid w:val="00D01CF7"/>
    <w:rsid w:val="00D02004"/>
    <w:rsid w:val="00D04D86"/>
    <w:rsid w:val="00D056A6"/>
    <w:rsid w:val="00D10E16"/>
    <w:rsid w:val="00D11C40"/>
    <w:rsid w:val="00D15987"/>
    <w:rsid w:val="00D16E37"/>
    <w:rsid w:val="00D2519B"/>
    <w:rsid w:val="00D27FDE"/>
    <w:rsid w:val="00D31EB9"/>
    <w:rsid w:val="00D32128"/>
    <w:rsid w:val="00D32DFE"/>
    <w:rsid w:val="00D40B3B"/>
    <w:rsid w:val="00D411AF"/>
    <w:rsid w:val="00D42DAF"/>
    <w:rsid w:val="00D468F9"/>
    <w:rsid w:val="00D52AA1"/>
    <w:rsid w:val="00D559A2"/>
    <w:rsid w:val="00D65299"/>
    <w:rsid w:val="00D65440"/>
    <w:rsid w:val="00D66297"/>
    <w:rsid w:val="00D73D1B"/>
    <w:rsid w:val="00D81B2A"/>
    <w:rsid w:val="00D82A8D"/>
    <w:rsid w:val="00D87E82"/>
    <w:rsid w:val="00D94B75"/>
    <w:rsid w:val="00D97DF5"/>
    <w:rsid w:val="00DB1059"/>
    <w:rsid w:val="00DB309B"/>
    <w:rsid w:val="00DB4EF8"/>
    <w:rsid w:val="00DC3773"/>
    <w:rsid w:val="00DC38C1"/>
    <w:rsid w:val="00DC687B"/>
    <w:rsid w:val="00DD1612"/>
    <w:rsid w:val="00DD401D"/>
    <w:rsid w:val="00DD4C0C"/>
    <w:rsid w:val="00DD5071"/>
    <w:rsid w:val="00DD5F8C"/>
    <w:rsid w:val="00DE0B64"/>
    <w:rsid w:val="00DE4ACB"/>
    <w:rsid w:val="00DE5CB9"/>
    <w:rsid w:val="00DE782C"/>
    <w:rsid w:val="00DF03F8"/>
    <w:rsid w:val="00DF323B"/>
    <w:rsid w:val="00DF3D12"/>
    <w:rsid w:val="00DF781C"/>
    <w:rsid w:val="00E01E79"/>
    <w:rsid w:val="00E021DE"/>
    <w:rsid w:val="00E064C3"/>
    <w:rsid w:val="00E1254A"/>
    <w:rsid w:val="00E154A3"/>
    <w:rsid w:val="00E166B7"/>
    <w:rsid w:val="00E17439"/>
    <w:rsid w:val="00E22D21"/>
    <w:rsid w:val="00E23ABC"/>
    <w:rsid w:val="00E26BED"/>
    <w:rsid w:val="00E3016E"/>
    <w:rsid w:val="00E34DCE"/>
    <w:rsid w:val="00E37D01"/>
    <w:rsid w:val="00E430D9"/>
    <w:rsid w:val="00E45246"/>
    <w:rsid w:val="00E5482F"/>
    <w:rsid w:val="00E54EA3"/>
    <w:rsid w:val="00E55D25"/>
    <w:rsid w:val="00E56675"/>
    <w:rsid w:val="00E60D6E"/>
    <w:rsid w:val="00E62A4D"/>
    <w:rsid w:val="00E63A62"/>
    <w:rsid w:val="00E66875"/>
    <w:rsid w:val="00E70BBF"/>
    <w:rsid w:val="00E74F24"/>
    <w:rsid w:val="00E8134D"/>
    <w:rsid w:val="00E82ABF"/>
    <w:rsid w:val="00E85A07"/>
    <w:rsid w:val="00E914A9"/>
    <w:rsid w:val="00E9331F"/>
    <w:rsid w:val="00E93B33"/>
    <w:rsid w:val="00E97DAB"/>
    <w:rsid w:val="00EA108C"/>
    <w:rsid w:val="00EA1E22"/>
    <w:rsid w:val="00EA3DC0"/>
    <w:rsid w:val="00EC1143"/>
    <w:rsid w:val="00EC144C"/>
    <w:rsid w:val="00EC1896"/>
    <w:rsid w:val="00EC274F"/>
    <w:rsid w:val="00EC2FCA"/>
    <w:rsid w:val="00ED2A09"/>
    <w:rsid w:val="00ED2F31"/>
    <w:rsid w:val="00ED3851"/>
    <w:rsid w:val="00ED5EBF"/>
    <w:rsid w:val="00EE0D9D"/>
    <w:rsid w:val="00EE150B"/>
    <w:rsid w:val="00EE1F39"/>
    <w:rsid w:val="00EE45D4"/>
    <w:rsid w:val="00EE609B"/>
    <w:rsid w:val="00EE72A8"/>
    <w:rsid w:val="00EE7A27"/>
    <w:rsid w:val="00EF15E6"/>
    <w:rsid w:val="00EF2216"/>
    <w:rsid w:val="00EF5707"/>
    <w:rsid w:val="00F029F6"/>
    <w:rsid w:val="00F053A3"/>
    <w:rsid w:val="00F05B77"/>
    <w:rsid w:val="00F14FEC"/>
    <w:rsid w:val="00F17D22"/>
    <w:rsid w:val="00F253A4"/>
    <w:rsid w:val="00F26024"/>
    <w:rsid w:val="00F273FD"/>
    <w:rsid w:val="00F321B9"/>
    <w:rsid w:val="00F3360B"/>
    <w:rsid w:val="00F34E32"/>
    <w:rsid w:val="00F369D0"/>
    <w:rsid w:val="00F41FF5"/>
    <w:rsid w:val="00F446DD"/>
    <w:rsid w:val="00F45B50"/>
    <w:rsid w:val="00F45E78"/>
    <w:rsid w:val="00F508AF"/>
    <w:rsid w:val="00F50CD4"/>
    <w:rsid w:val="00F52338"/>
    <w:rsid w:val="00F535E2"/>
    <w:rsid w:val="00F56E75"/>
    <w:rsid w:val="00F56ED1"/>
    <w:rsid w:val="00F570F3"/>
    <w:rsid w:val="00F73A49"/>
    <w:rsid w:val="00F73CB0"/>
    <w:rsid w:val="00F73F1A"/>
    <w:rsid w:val="00F7507F"/>
    <w:rsid w:val="00F76BD0"/>
    <w:rsid w:val="00F82A37"/>
    <w:rsid w:val="00F83845"/>
    <w:rsid w:val="00F91EC6"/>
    <w:rsid w:val="00F927FE"/>
    <w:rsid w:val="00F9315C"/>
    <w:rsid w:val="00F9593C"/>
    <w:rsid w:val="00F96B93"/>
    <w:rsid w:val="00FA15C8"/>
    <w:rsid w:val="00FA6D0C"/>
    <w:rsid w:val="00FB1A83"/>
    <w:rsid w:val="00FC067F"/>
    <w:rsid w:val="00FC37B3"/>
    <w:rsid w:val="00FC7256"/>
    <w:rsid w:val="00FC7B77"/>
    <w:rsid w:val="00FD0E5F"/>
    <w:rsid w:val="00FD1D0F"/>
    <w:rsid w:val="00FD306C"/>
    <w:rsid w:val="00FD308A"/>
    <w:rsid w:val="00FD341A"/>
    <w:rsid w:val="00FD372C"/>
    <w:rsid w:val="00FD52DB"/>
    <w:rsid w:val="00FD6C51"/>
    <w:rsid w:val="00FD6C52"/>
    <w:rsid w:val="00FE0DDD"/>
    <w:rsid w:val="00FF662A"/>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16F1E663"/>
  <w15:chartTrackingRefBased/>
  <w15:docId w15:val="{DAA57DB4-9910-452D-A533-9C5030A2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612"/>
    <w:pPr>
      <w:spacing w:after="0" w:line="240" w:lineRule="auto"/>
    </w:pPr>
    <w:rPr>
      <w:kern w:val="0"/>
      <w14:ligatures w14:val="none"/>
    </w:rPr>
  </w:style>
  <w:style w:type="paragraph" w:styleId="Heading1">
    <w:name w:val="heading 1"/>
    <w:basedOn w:val="Normal"/>
    <w:next w:val="Normal"/>
    <w:link w:val="Heading1Char"/>
    <w:autoRedefine/>
    <w:uiPriority w:val="1"/>
    <w:qFormat/>
    <w:rsid w:val="00BC0FDB"/>
    <w:pPr>
      <w:keepNext/>
      <w:pBdr>
        <w:bottom w:val="single" w:sz="8" w:space="1" w:color="00688D"/>
      </w:pBdr>
      <w:tabs>
        <w:tab w:val="center" w:pos="5112"/>
      </w:tabs>
      <w:suppressAutoHyphens/>
      <w:spacing w:before="240" w:after="60"/>
      <w:ind w:left="180"/>
      <w:outlineLvl w:val="0"/>
    </w:pPr>
    <w:rPr>
      <w:rFonts w:ascii="Calibri" w:hAnsi="Calibri" w:cs="Tahoma"/>
      <w:b/>
      <w:i/>
      <w:smallCaps/>
      <w:noProof/>
      <w:color w:val="000000" w:themeColor="text1"/>
      <w:spacing w:val="-3"/>
      <w:sz w:val="24"/>
      <w:szCs w:val="24"/>
      <w:u w:color="5B9BD5"/>
      <w14:textOutline w14:w="25400" w14:cap="rnd" w14:cmpd="sng" w14:algn="ctr">
        <w14:noFill/>
        <w14:prstDash w14:val="solid"/>
        <w14:bevel/>
      </w14:textOutline>
    </w:rPr>
  </w:style>
  <w:style w:type="paragraph" w:styleId="Heading2">
    <w:name w:val="heading 2"/>
    <w:basedOn w:val="Normal"/>
    <w:next w:val="Normal"/>
    <w:link w:val="Heading2Char"/>
    <w:autoRedefine/>
    <w:uiPriority w:val="1"/>
    <w:qFormat/>
    <w:rsid w:val="00DD1612"/>
    <w:pPr>
      <w:keepNext/>
      <w:tabs>
        <w:tab w:val="left" w:pos="720"/>
        <w:tab w:val="left" w:pos="1022"/>
        <w:tab w:val="left" w:pos="1440"/>
        <w:tab w:val="right" w:pos="4262"/>
        <w:tab w:val="right" w:pos="5220"/>
        <w:tab w:val="right" w:pos="6691"/>
        <w:tab w:val="right" w:pos="7621"/>
        <w:tab w:val="right" w:pos="9187"/>
      </w:tabs>
      <w:suppressAutoHyphens/>
      <w:jc w:val="both"/>
      <w:outlineLvl w:val="1"/>
    </w:pPr>
    <w:rPr>
      <w:rFonts w:ascii="Arial" w:eastAsia="Times New Roman" w:hAnsi="Arial" w:cs="Arial"/>
      <w:b/>
      <w:i/>
      <w:color w:val="000000"/>
      <w:spacing w:val="-3"/>
    </w:rPr>
  </w:style>
  <w:style w:type="paragraph" w:styleId="Heading3">
    <w:name w:val="heading 3"/>
    <w:basedOn w:val="Normal"/>
    <w:next w:val="Normal"/>
    <w:link w:val="Heading3Char"/>
    <w:autoRedefine/>
    <w:qFormat/>
    <w:rsid w:val="00DD1612"/>
    <w:pPr>
      <w:keepNext/>
      <w:tabs>
        <w:tab w:val="center" w:pos="5112"/>
      </w:tabs>
      <w:suppressAutoHyphens/>
      <w:spacing w:after="120"/>
      <w:jc w:val="both"/>
      <w:outlineLvl w:val="2"/>
    </w:pPr>
    <w:rPr>
      <w:rFonts w:ascii="Calibri" w:eastAsia="Times New Roman" w:hAnsi="Calibri" w:cs="Times New Roman"/>
      <w:b/>
      <w:color w:val="000000"/>
      <w:spacing w:val="-3"/>
      <w:sz w:val="24"/>
      <w:szCs w:val="20"/>
      <w:u w:val="single"/>
    </w:rPr>
  </w:style>
  <w:style w:type="paragraph" w:styleId="Heading4">
    <w:name w:val="heading 4"/>
    <w:basedOn w:val="Normal"/>
    <w:next w:val="Normal"/>
    <w:link w:val="Heading4Char"/>
    <w:qFormat/>
    <w:rsid w:val="00DD1612"/>
    <w:pPr>
      <w:keepNext/>
      <w:pBdr>
        <w:bottom w:val="single" w:sz="18" w:space="1" w:color="00688D"/>
      </w:pBdr>
      <w:tabs>
        <w:tab w:val="left" w:pos="720"/>
        <w:tab w:val="left" w:pos="1440"/>
        <w:tab w:val="center" w:pos="5400"/>
        <w:tab w:val="left" w:pos="10620"/>
      </w:tabs>
      <w:spacing w:after="40" w:line="240" w:lineRule="atLeast"/>
      <w:outlineLvl w:val="3"/>
    </w:pPr>
    <w:rPr>
      <w:rFonts w:eastAsia="Times New Roman" w:cs="Times New Roman"/>
      <w:i/>
      <w:color w:val="000000"/>
      <w:sz w:val="20"/>
      <w:szCs w:val="20"/>
    </w:rPr>
  </w:style>
  <w:style w:type="paragraph" w:styleId="Heading5">
    <w:name w:val="heading 5"/>
    <w:basedOn w:val="Normal"/>
    <w:next w:val="Normal"/>
    <w:link w:val="Heading5Char"/>
    <w:qFormat/>
    <w:rsid w:val="00DD1612"/>
    <w:pPr>
      <w:keepNext/>
      <w:pBdr>
        <w:bottom w:val="single" w:sz="18" w:space="1" w:color="5B9BD5"/>
      </w:pBdr>
      <w:tabs>
        <w:tab w:val="center" w:pos="5112"/>
      </w:tabs>
      <w:suppressAutoHyphens/>
      <w:jc w:val="center"/>
      <w:outlineLvl w:val="4"/>
    </w:pPr>
    <w:rPr>
      <w:rFonts w:ascii="Calibri" w:eastAsia="Times New Roman" w:hAnsi="Calibri" w:cs="Times New Roman"/>
      <w:b/>
      <w:i/>
      <w:color w:val="000000"/>
      <w:spacing w:val="-3"/>
      <w:sz w:val="40"/>
      <w:szCs w:val="20"/>
    </w:rPr>
  </w:style>
  <w:style w:type="paragraph" w:styleId="Heading6">
    <w:name w:val="heading 6"/>
    <w:basedOn w:val="Normal"/>
    <w:next w:val="Normal"/>
    <w:link w:val="Heading6Char"/>
    <w:qFormat/>
    <w:rsid w:val="00DD1612"/>
    <w:pPr>
      <w:keepNext/>
      <w:tabs>
        <w:tab w:val="left" w:pos="720"/>
        <w:tab w:val="left" w:pos="1022"/>
        <w:tab w:val="left" w:pos="1440"/>
        <w:tab w:val="right" w:pos="4262"/>
        <w:tab w:val="right" w:pos="5220"/>
        <w:tab w:val="right" w:pos="6691"/>
        <w:tab w:val="right" w:pos="7621"/>
        <w:tab w:val="right" w:pos="9187"/>
      </w:tabs>
      <w:suppressAutoHyphens/>
      <w:ind w:left="1022"/>
      <w:jc w:val="both"/>
      <w:outlineLvl w:val="5"/>
    </w:pPr>
    <w:rPr>
      <w:rFonts w:ascii="Arial" w:eastAsia="Times New Roman" w:hAnsi="Arial" w:cs="Times New Roman"/>
      <w:b/>
      <w:szCs w:val="20"/>
    </w:rPr>
  </w:style>
  <w:style w:type="paragraph" w:styleId="Heading7">
    <w:name w:val="heading 7"/>
    <w:basedOn w:val="Normal"/>
    <w:next w:val="Normal"/>
    <w:link w:val="Heading7Char"/>
    <w:qFormat/>
    <w:rsid w:val="00DD1612"/>
    <w:pPr>
      <w:keepNext/>
      <w:pBdr>
        <w:top w:val="single" w:sz="24" w:space="1" w:color="00688D"/>
      </w:pBdr>
      <w:tabs>
        <w:tab w:val="left" w:pos="720"/>
        <w:tab w:val="left" w:pos="1440"/>
        <w:tab w:val="right" w:pos="4262"/>
        <w:tab w:val="right" w:pos="5220"/>
        <w:tab w:val="right" w:pos="6691"/>
        <w:tab w:val="right" w:pos="7621"/>
        <w:tab w:val="right" w:pos="9630"/>
      </w:tabs>
      <w:suppressAutoHyphens/>
      <w:ind w:left="720" w:hanging="720"/>
      <w:jc w:val="right"/>
      <w:outlineLvl w:val="6"/>
    </w:pPr>
    <w:rPr>
      <w:rFonts w:ascii="Calibri" w:eastAsia="Times New Roman" w:hAnsi="Calibri" w:cs="Times New Roman"/>
      <w:color w:val="000000"/>
      <w:spacing w:val="-3"/>
      <w:szCs w:val="20"/>
    </w:rPr>
  </w:style>
  <w:style w:type="paragraph" w:styleId="Heading8">
    <w:name w:val="heading 8"/>
    <w:basedOn w:val="Normal"/>
    <w:next w:val="Normal"/>
    <w:link w:val="Heading8Char"/>
    <w:qFormat/>
    <w:rsid w:val="00DD1612"/>
    <w:pPr>
      <w:keepNext/>
      <w:tabs>
        <w:tab w:val="left" w:pos="720"/>
        <w:tab w:val="left" w:pos="1440"/>
        <w:tab w:val="left" w:pos="1848"/>
        <w:tab w:val="left" w:pos="5040"/>
        <w:tab w:val="right" w:pos="7260"/>
      </w:tabs>
      <w:suppressAutoHyphens/>
      <w:jc w:val="both"/>
      <w:outlineLvl w:val="7"/>
    </w:pPr>
    <w:rPr>
      <w:rFonts w:ascii="Arial" w:eastAsia="Times New Roman" w:hAnsi="Arial" w:cs="Times New Roman"/>
      <w:b/>
      <w:bCs/>
      <w:spacing w:val="-3"/>
      <w:szCs w:val="20"/>
    </w:rPr>
  </w:style>
  <w:style w:type="paragraph" w:styleId="Heading9">
    <w:name w:val="heading 9"/>
    <w:basedOn w:val="Normal"/>
    <w:next w:val="Normal"/>
    <w:link w:val="Heading9Char"/>
    <w:qFormat/>
    <w:rsid w:val="00DD1612"/>
    <w:pPr>
      <w:keepNext/>
      <w:tabs>
        <w:tab w:val="left" w:pos="1440"/>
        <w:tab w:val="right" w:pos="4262"/>
        <w:tab w:val="right" w:pos="5220"/>
        <w:tab w:val="right" w:pos="6691"/>
        <w:tab w:val="right" w:pos="7621"/>
        <w:tab w:val="right" w:pos="9187"/>
      </w:tabs>
      <w:suppressAutoHyphens/>
      <w:ind w:left="1440"/>
      <w:jc w:val="both"/>
      <w:outlineLvl w:val="8"/>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0FDB"/>
    <w:rPr>
      <w:rFonts w:ascii="Calibri" w:hAnsi="Calibri" w:cs="Tahoma"/>
      <w:b/>
      <w:i/>
      <w:smallCaps/>
      <w:noProof/>
      <w:color w:val="000000" w:themeColor="text1"/>
      <w:spacing w:val="-3"/>
      <w:kern w:val="0"/>
      <w:sz w:val="24"/>
      <w:szCs w:val="24"/>
      <w:u w:color="5B9BD5"/>
      <w14:textOutline w14:w="25400" w14:cap="rnd" w14:cmpd="sng" w14:algn="ctr">
        <w14:noFill/>
        <w14:prstDash w14:val="solid"/>
        <w14:bevel/>
      </w14:textOutline>
      <w14:ligatures w14:val="none"/>
    </w:rPr>
  </w:style>
  <w:style w:type="character" w:customStyle="1" w:styleId="Heading2Char">
    <w:name w:val="Heading 2 Char"/>
    <w:basedOn w:val="DefaultParagraphFont"/>
    <w:link w:val="Heading2"/>
    <w:uiPriority w:val="1"/>
    <w:rsid w:val="00DD1612"/>
    <w:rPr>
      <w:rFonts w:ascii="Arial" w:eastAsia="Times New Roman" w:hAnsi="Arial" w:cs="Arial"/>
      <w:b/>
      <w:i/>
      <w:color w:val="000000"/>
      <w:spacing w:val="-3"/>
      <w:kern w:val="0"/>
      <w14:ligatures w14:val="none"/>
    </w:rPr>
  </w:style>
  <w:style w:type="character" w:customStyle="1" w:styleId="Heading3Char">
    <w:name w:val="Heading 3 Char"/>
    <w:basedOn w:val="DefaultParagraphFont"/>
    <w:link w:val="Heading3"/>
    <w:rsid w:val="00DD1612"/>
    <w:rPr>
      <w:rFonts w:ascii="Calibri" w:eastAsia="Times New Roman" w:hAnsi="Calibri" w:cs="Times New Roman"/>
      <w:b/>
      <w:color w:val="000000"/>
      <w:spacing w:val="-3"/>
      <w:kern w:val="0"/>
      <w:sz w:val="24"/>
      <w:szCs w:val="20"/>
      <w:u w:val="single"/>
      <w14:ligatures w14:val="none"/>
    </w:rPr>
  </w:style>
  <w:style w:type="character" w:customStyle="1" w:styleId="Heading4Char">
    <w:name w:val="Heading 4 Char"/>
    <w:basedOn w:val="DefaultParagraphFont"/>
    <w:link w:val="Heading4"/>
    <w:rsid w:val="00DD1612"/>
    <w:rPr>
      <w:rFonts w:eastAsia="Times New Roman" w:cs="Times New Roman"/>
      <w:i/>
      <w:color w:val="000000"/>
      <w:kern w:val="0"/>
      <w:sz w:val="20"/>
      <w:szCs w:val="20"/>
      <w14:ligatures w14:val="none"/>
    </w:rPr>
  </w:style>
  <w:style w:type="character" w:customStyle="1" w:styleId="Heading5Char">
    <w:name w:val="Heading 5 Char"/>
    <w:basedOn w:val="DefaultParagraphFont"/>
    <w:link w:val="Heading5"/>
    <w:rsid w:val="00DD1612"/>
    <w:rPr>
      <w:rFonts w:ascii="Calibri" w:eastAsia="Times New Roman" w:hAnsi="Calibri" w:cs="Times New Roman"/>
      <w:b/>
      <w:i/>
      <w:color w:val="000000"/>
      <w:spacing w:val="-3"/>
      <w:kern w:val="0"/>
      <w:sz w:val="40"/>
      <w:szCs w:val="20"/>
      <w14:ligatures w14:val="none"/>
    </w:rPr>
  </w:style>
  <w:style w:type="character" w:customStyle="1" w:styleId="Heading6Char">
    <w:name w:val="Heading 6 Char"/>
    <w:basedOn w:val="DefaultParagraphFont"/>
    <w:link w:val="Heading6"/>
    <w:rsid w:val="00DD1612"/>
    <w:rPr>
      <w:rFonts w:ascii="Arial" w:eastAsia="Times New Roman" w:hAnsi="Arial" w:cs="Times New Roman"/>
      <w:b/>
      <w:kern w:val="0"/>
      <w:szCs w:val="20"/>
      <w14:ligatures w14:val="none"/>
    </w:rPr>
  </w:style>
  <w:style w:type="character" w:customStyle="1" w:styleId="Heading7Char">
    <w:name w:val="Heading 7 Char"/>
    <w:basedOn w:val="DefaultParagraphFont"/>
    <w:link w:val="Heading7"/>
    <w:rsid w:val="00DD1612"/>
    <w:rPr>
      <w:rFonts w:ascii="Calibri" w:eastAsia="Times New Roman" w:hAnsi="Calibri" w:cs="Times New Roman"/>
      <w:color w:val="000000"/>
      <w:spacing w:val="-3"/>
      <w:kern w:val="0"/>
      <w:szCs w:val="20"/>
      <w14:ligatures w14:val="none"/>
    </w:rPr>
  </w:style>
  <w:style w:type="character" w:customStyle="1" w:styleId="Heading8Char">
    <w:name w:val="Heading 8 Char"/>
    <w:basedOn w:val="DefaultParagraphFont"/>
    <w:link w:val="Heading8"/>
    <w:rsid w:val="00DD1612"/>
    <w:rPr>
      <w:rFonts w:ascii="Arial" w:eastAsia="Times New Roman" w:hAnsi="Arial" w:cs="Times New Roman"/>
      <w:b/>
      <w:bCs/>
      <w:spacing w:val="-3"/>
      <w:kern w:val="0"/>
      <w:szCs w:val="20"/>
      <w14:ligatures w14:val="none"/>
    </w:rPr>
  </w:style>
  <w:style w:type="character" w:customStyle="1" w:styleId="Heading9Char">
    <w:name w:val="Heading 9 Char"/>
    <w:basedOn w:val="DefaultParagraphFont"/>
    <w:link w:val="Heading9"/>
    <w:rsid w:val="00DD1612"/>
    <w:rPr>
      <w:rFonts w:ascii="Arial" w:eastAsia="Times New Roman" w:hAnsi="Arial" w:cs="Arial"/>
      <w:b/>
      <w:kern w:val="0"/>
      <w:szCs w:val="20"/>
      <w14:ligatures w14:val="none"/>
    </w:rPr>
  </w:style>
  <w:style w:type="paragraph" w:styleId="Header">
    <w:name w:val="header"/>
    <w:basedOn w:val="Normal"/>
    <w:link w:val="HeaderChar"/>
    <w:uiPriority w:val="99"/>
    <w:unhideWhenUsed/>
    <w:rsid w:val="00DD1612"/>
    <w:pPr>
      <w:tabs>
        <w:tab w:val="center" w:pos="4680"/>
        <w:tab w:val="right" w:pos="9360"/>
      </w:tabs>
    </w:pPr>
  </w:style>
  <w:style w:type="character" w:customStyle="1" w:styleId="HeaderChar">
    <w:name w:val="Header Char"/>
    <w:basedOn w:val="DefaultParagraphFont"/>
    <w:link w:val="Header"/>
    <w:uiPriority w:val="99"/>
    <w:rsid w:val="00DD1612"/>
    <w:rPr>
      <w:kern w:val="0"/>
      <w14:ligatures w14:val="none"/>
    </w:rPr>
  </w:style>
  <w:style w:type="paragraph" w:styleId="Footer">
    <w:name w:val="footer"/>
    <w:basedOn w:val="Normal"/>
    <w:link w:val="FooterChar"/>
    <w:uiPriority w:val="99"/>
    <w:unhideWhenUsed/>
    <w:qFormat/>
    <w:rsid w:val="00DD1612"/>
    <w:pPr>
      <w:tabs>
        <w:tab w:val="center" w:pos="4680"/>
        <w:tab w:val="right" w:pos="9360"/>
      </w:tabs>
    </w:pPr>
  </w:style>
  <w:style w:type="character" w:customStyle="1" w:styleId="FooterChar">
    <w:name w:val="Footer Char"/>
    <w:basedOn w:val="DefaultParagraphFont"/>
    <w:link w:val="Footer"/>
    <w:uiPriority w:val="99"/>
    <w:rsid w:val="00DD1612"/>
    <w:rPr>
      <w:kern w:val="0"/>
      <w14:ligatures w14:val="none"/>
    </w:rPr>
  </w:style>
  <w:style w:type="paragraph" w:styleId="NoSpacing">
    <w:name w:val="No Spacing"/>
    <w:uiPriority w:val="1"/>
    <w:qFormat/>
    <w:rsid w:val="00DD1612"/>
    <w:pPr>
      <w:spacing w:after="0" w:line="240" w:lineRule="auto"/>
    </w:pPr>
    <w:rPr>
      <w:color w:val="44546A" w:themeColor="text2"/>
      <w:kern w:val="0"/>
      <w:sz w:val="20"/>
      <w:szCs w:val="20"/>
      <w14:ligatures w14:val="none"/>
    </w:rPr>
  </w:style>
  <w:style w:type="table" w:styleId="TableGrid">
    <w:name w:val="Table Grid"/>
    <w:basedOn w:val="TableNormal"/>
    <w:uiPriority w:val="39"/>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612"/>
    <w:rPr>
      <w:color w:val="0563C1" w:themeColor="hyperlink"/>
      <w:u w:val="single"/>
    </w:rPr>
  </w:style>
  <w:style w:type="paragraph" w:styleId="BalloonText">
    <w:name w:val="Balloon Text"/>
    <w:basedOn w:val="Normal"/>
    <w:link w:val="BalloonTextChar"/>
    <w:semiHidden/>
    <w:unhideWhenUsed/>
    <w:rsid w:val="00DD1612"/>
    <w:rPr>
      <w:rFonts w:ascii="Segoe UI" w:hAnsi="Segoe UI" w:cs="Segoe UI"/>
      <w:sz w:val="18"/>
      <w:szCs w:val="18"/>
    </w:rPr>
  </w:style>
  <w:style w:type="character" w:customStyle="1" w:styleId="BalloonTextChar">
    <w:name w:val="Balloon Text Char"/>
    <w:basedOn w:val="DefaultParagraphFont"/>
    <w:link w:val="BalloonText"/>
    <w:semiHidden/>
    <w:rsid w:val="00DD1612"/>
    <w:rPr>
      <w:rFonts w:ascii="Segoe UI" w:hAnsi="Segoe UI" w:cs="Segoe UI"/>
      <w:kern w:val="0"/>
      <w:sz w:val="18"/>
      <w:szCs w:val="18"/>
      <w14:ligatures w14:val="none"/>
    </w:rPr>
  </w:style>
  <w:style w:type="character" w:styleId="FollowedHyperlink">
    <w:name w:val="FollowedHyperlink"/>
    <w:basedOn w:val="DefaultParagraphFont"/>
    <w:unhideWhenUsed/>
    <w:rsid w:val="00DD1612"/>
    <w:rPr>
      <w:color w:val="954F72" w:themeColor="followedHyperlink"/>
      <w:u w:val="single"/>
    </w:rPr>
  </w:style>
  <w:style w:type="paragraph" w:styleId="Title">
    <w:name w:val="Title"/>
    <w:basedOn w:val="Normal"/>
    <w:link w:val="TitleChar"/>
    <w:uiPriority w:val="1"/>
    <w:qFormat/>
    <w:rsid w:val="00DD1612"/>
    <w:pPr>
      <w:jc w:val="center"/>
    </w:pPr>
    <w:rPr>
      <w:rFonts w:ascii="Arial" w:eastAsia="Times New Roman" w:hAnsi="Arial" w:cs="Arial"/>
      <w:b/>
      <w:bCs/>
      <w:sz w:val="28"/>
      <w:szCs w:val="24"/>
    </w:rPr>
  </w:style>
  <w:style w:type="character" w:customStyle="1" w:styleId="TitleChar">
    <w:name w:val="Title Char"/>
    <w:basedOn w:val="DefaultParagraphFont"/>
    <w:link w:val="Title"/>
    <w:uiPriority w:val="10"/>
    <w:rsid w:val="00DD1612"/>
    <w:rPr>
      <w:rFonts w:ascii="Arial" w:eastAsia="Times New Roman" w:hAnsi="Arial" w:cs="Arial"/>
      <w:b/>
      <w:bCs/>
      <w:kern w:val="0"/>
      <w:sz w:val="28"/>
      <w:szCs w:val="24"/>
      <w14:ligatures w14:val="none"/>
    </w:rPr>
  </w:style>
  <w:style w:type="character" w:styleId="PageNumber">
    <w:name w:val="page number"/>
    <w:basedOn w:val="DefaultParagraphFont"/>
    <w:rsid w:val="00DD1612"/>
  </w:style>
  <w:style w:type="paragraph" w:styleId="TOC1">
    <w:name w:val="toc 1"/>
    <w:basedOn w:val="Normal"/>
    <w:next w:val="Normal"/>
    <w:autoRedefine/>
    <w:uiPriority w:val="39"/>
    <w:rsid w:val="00DD1612"/>
    <w:pPr>
      <w:tabs>
        <w:tab w:val="left" w:leader="dot" w:pos="9000"/>
        <w:tab w:val="right" w:pos="9360"/>
      </w:tabs>
      <w:suppressAutoHyphens/>
      <w:spacing w:before="480"/>
      <w:ind w:left="720" w:right="720" w:hanging="720"/>
    </w:pPr>
    <w:rPr>
      <w:rFonts w:ascii="CG Times Bold" w:eastAsia="Times New Roman" w:hAnsi="CG Times Bold" w:cs="Times New Roman"/>
      <w:b/>
      <w:sz w:val="24"/>
      <w:szCs w:val="20"/>
    </w:rPr>
  </w:style>
  <w:style w:type="paragraph" w:styleId="TOC2">
    <w:name w:val="toc 2"/>
    <w:basedOn w:val="Normal"/>
    <w:next w:val="Normal"/>
    <w:autoRedefine/>
    <w:uiPriority w:val="39"/>
    <w:rsid w:val="00DD1612"/>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C3">
    <w:name w:val="toc 3"/>
    <w:basedOn w:val="Normal"/>
    <w:next w:val="Normal"/>
    <w:autoRedefine/>
    <w:uiPriority w:val="39"/>
    <w:rsid w:val="00DD1612"/>
    <w:pPr>
      <w:tabs>
        <w:tab w:val="left" w:leader="dot" w:pos="9000"/>
        <w:tab w:val="right" w:pos="9360"/>
      </w:tabs>
      <w:suppressAutoHyphens/>
      <w:ind w:left="2160" w:right="720" w:hanging="720"/>
    </w:pPr>
    <w:rPr>
      <w:rFonts w:ascii="CG Times Bold" w:eastAsia="Times New Roman" w:hAnsi="CG Times Bold" w:cs="Times New Roman"/>
      <w:b/>
      <w:sz w:val="24"/>
      <w:szCs w:val="20"/>
    </w:rPr>
  </w:style>
  <w:style w:type="paragraph" w:styleId="TOC4">
    <w:name w:val="toc 4"/>
    <w:basedOn w:val="Normal"/>
    <w:next w:val="Normal"/>
    <w:autoRedefine/>
    <w:semiHidden/>
    <w:rsid w:val="00DD1612"/>
    <w:pPr>
      <w:tabs>
        <w:tab w:val="left" w:leader="dot" w:pos="9000"/>
        <w:tab w:val="right" w:pos="9360"/>
      </w:tabs>
      <w:suppressAutoHyphens/>
      <w:ind w:left="2880" w:right="720" w:hanging="720"/>
    </w:pPr>
    <w:rPr>
      <w:rFonts w:ascii="CG Times Bold" w:eastAsia="Times New Roman" w:hAnsi="CG Times Bold" w:cs="Times New Roman"/>
      <w:b/>
      <w:sz w:val="24"/>
      <w:szCs w:val="20"/>
    </w:rPr>
  </w:style>
  <w:style w:type="paragraph" w:styleId="TOC5">
    <w:name w:val="toc 5"/>
    <w:basedOn w:val="Normal"/>
    <w:next w:val="Normal"/>
    <w:autoRedefine/>
    <w:semiHidden/>
    <w:rsid w:val="00DD1612"/>
    <w:pPr>
      <w:tabs>
        <w:tab w:val="left" w:leader="dot" w:pos="9000"/>
        <w:tab w:val="right" w:pos="9360"/>
      </w:tabs>
      <w:suppressAutoHyphens/>
      <w:ind w:left="3600" w:right="720" w:hanging="720"/>
    </w:pPr>
    <w:rPr>
      <w:rFonts w:ascii="CG Times Bold" w:eastAsia="Times New Roman" w:hAnsi="CG Times Bold" w:cs="Times New Roman"/>
      <w:b/>
      <w:sz w:val="24"/>
      <w:szCs w:val="20"/>
    </w:rPr>
  </w:style>
  <w:style w:type="paragraph" w:styleId="TOC6">
    <w:name w:val="toc 6"/>
    <w:basedOn w:val="Normal"/>
    <w:next w:val="Normal"/>
    <w:autoRedefine/>
    <w:semiHidden/>
    <w:rsid w:val="00DD1612"/>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7">
    <w:name w:val="toc 7"/>
    <w:basedOn w:val="Normal"/>
    <w:next w:val="Normal"/>
    <w:autoRedefine/>
    <w:semiHidden/>
    <w:rsid w:val="00DD1612"/>
    <w:pPr>
      <w:suppressAutoHyphens/>
      <w:ind w:left="720" w:hanging="720"/>
    </w:pPr>
    <w:rPr>
      <w:rFonts w:ascii="CG Times Bold" w:eastAsia="Times New Roman" w:hAnsi="CG Times Bold" w:cs="Times New Roman"/>
      <w:b/>
      <w:sz w:val="24"/>
      <w:szCs w:val="20"/>
    </w:rPr>
  </w:style>
  <w:style w:type="paragraph" w:styleId="TOC8">
    <w:name w:val="toc 8"/>
    <w:basedOn w:val="Normal"/>
    <w:next w:val="Normal"/>
    <w:autoRedefine/>
    <w:semiHidden/>
    <w:rsid w:val="00DD1612"/>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9">
    <w:name w:val="toc 9"/>
    <w:basedOn w:val="Normal"/>
    <w:next w:val="Normal"/>
    <w:autoRedefine/>
    <w:semiHidden/>
    <w:rsid w:val="00DD1612"/>
    <w:pPr>
      <w:tabs>
        <w:tab w:val="left" w:leader="dot" w:pos="9000"/>
        <w:tab w:val="right" w:pos="9360"/>
      </w:tabs>
      <w:suppressAutoHyphens/>
      <w:ind w:left="720" w:hanging="720"/>
    </w:pPr>
    <w:rPr>
      <w:rFonts w:ascii="CG Times Bold" w:eastAsia="Times New Roman" w:hAnsi="CG Times Bold" w:cs="Times New Roman"/>
      <w:b/>
      <w:sz w:val="24"/>
      <w:szCs w:val="20"/>
    </w:rPr>
  </w:style>
  <w:style w:type="paragraph" w:styleId="Index1">
    <w:name w:val="index 1"/>
    <w:basedOn w:val="Normal"/>
    <w:next w:val="Normal"/>
    <w:autoRedefine/>
    <w:semiHidden/>
    <w:rsid w:val="00DD1612"/>
    <w:pPr>
      <w:tabs>
        <w:tab w:val="left" w:leader="dot" w:pos="9000"/>
        <w:tab w:val="right" w:pos="9360"/>
      </w:tabs>
      <w:suppressAutoHyphens/>
      <w:ind w:left="1440" w:right="720" w:hanging="1440"/>
    </w:pPr>
    <w:rPr>
      <w:rFonts w:ascii="CG Times Bold" w:eastAsia="Times New Roman" w:hAnsi="CG Times Bold" w:cs="Times New Roman"/>
      <w:b/>
      <w:sz w:val="24"/>
      <w:szCs w:val="20"/>
    </w:rPr>
  </w:style>
  <w:style w:type="paragraph" w:styleId="Index2">
    <w:name w:val="index 2"/>
    <w:basedOn w:val="Normal"/>
    <w:next w:val="Normal"/>
    <w:autoRedefine/>
    <w:semiHidden/>
    <w:rsid w:val="00DD1612"/>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AHeading">
    <w:name w:val="toa heading"/>
    <w:basedOn w:val="Normal"/>
    <w:next w:val="Normal"/>
    <w:semiHidden/>
    <w:rsid w:val="00DD1612"/>
    <w:pPr>
      <w:tabs>
        <w:tab w:val="left" w:pos="9000"/>
        <w:tab w:val="right" w:pos="9360"/>
      </w:tabs>
      <w:suppressAutoHyphens/>
    </w:pPr>
    <w:rPr>
      <w:rFonts w:ascii="CG Times Bold" w:eastAsia="Times New Roman" w:hAnsi="CG Times Bold" w:cs="Times New Roman"/>
      <w:b/>
      <w:sz w:val="24"/>
      <w:szCs w:val="20"/>
    </w:rPr>
  </w:style>
  <w:style w:type="paragraph" w:styleId="Caption">
    <w:name w:val="caption"/>
    <w:basedOn w:val="Normal"/>
    <w:next w:val="Normal"/>
    <w:qFormat/>
    <w:rsid w:val="00DD1612"/>
    <w:rPr>
      <w:rFonts w:ascii="CG Times Bold" w:eastAsia="Times New Roman" w:hAnsi="CG Times Bold" w:cs="Times New Roman"/>
      <w:sz w:val="24"/>
      <w:szCs w:val="20"/>
    </w:rPr>
  </w:style>
  <w:style w:type="paragraph" w:styleId="BodyTextIndent">
    <w:name w:val="Body Text Indent"/>
    <w:basedOn w:val="Normal"/>
    <w:link w:val="BodyTextIndentChar"/>
    <w:rsid w:val="00DD1612"/>
    <w:pPr>
      <w:tabs>
        <w:tab w:val="left" w:pos="720"/>
        <w:tab w:val="left" w:pos="1440"/>
        <w:tab w:val="decimal" w:pos="6786"/>
        <w:tab w:val="decimal" w:pos="9079"/>
      </w:tabs>
      <w:suppressAutoHyphens/>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rsid w:val="00DD1612"/>
    <w:rPr>
      <w:rFonts w:ascii="Arial" w:eastAsia="Times New Roman" w:hAnsi="Arial" w:cs="Times New Roman"/>
      <w:spacing w:val="-3"/>
      <w:kern w:val="0"/>
      <w:sz w:val="24"/>
      <w:szCs w:val="20"/>
      <w14:ligatures w14:val="none"/>
    </w:rPr>
  </w:style>
  <w:style w:type="paragraph" w:styleId="DocumentMap">
    <w:name w:val="Document Map"/>
    <w:basedOn w:val="Normal"/>
    <w:link w:val="DocumentMapChar"/>
    <w:semiHidden/>
    <w:rsid w:val="00DD1612"/>
    <w:pPr>
      <w:shd w:val="clear" w:color="auto" w:fill="000080"/>
    </w:pPr>
    <w:rPr>
      <w:rFonts w:ascii="Tahoma" w:eastAsia="Times New Roman" w:hAnsi="Tahoma" w:cs="Times New Roman"/>
      <w:b/>
      <w:sz w:val="24"/>
      <w:szCs w:val="20"/>
    </w:rPr>
  </w:style>
  <w:style w:type="character" w:customStyle="1" w:styleId="DocumentMapChar">
    <w:name w:val="Document Map Char"/>
    <w:basedOn w:val="DefaultParagraphFont"/>
    <w:link w:val="DocumentMap"/>
    <w:semiHidden/>
    <w:rsid w:val="00DD1612"/>
    <w:rPr>
      <w:rFonts w:ascii="Tahoma" w:eastAsia="Times New Roman" w:hAnsi="Tahoma" w:cs="Times New Roman"/>
      <w:b/>
      <w:kern w:val="0"/>
      <w:sz w:val="24"/>
      <w:szCs w:val="20"/>
      <w:shd w:val="clear" w:color="auto" w:fill="000080"/>
      <w14:ligatures w14:val="none"/>
    </w:rPr>
  </w:style>
  <w:style w:type="paragraph" w:styleId="BodyTextIndent2">
    <w:name w:val="Body Text Indent 2"/>
    <w:basedOn w:val="Normal"/>
    <w:link w:val="BodyTextIndent2Char"/>
    <w:rsid w:val="00DD1612"/>
    <w:pPr>
      <w:tabs>
        <w:tab w:val="left" w:pos="720"/>
        <w:tab w:val="left" w:pos="1440"/>
        <w:tab w:val="right" w:pos="4262"/>
        <w:tab w:val="right" w:pos="5220"/>
        <w:tab w:val="right" w:pos="6691"/>
        <w:tab w:val="right" w:pos="7621"/>
        <w:tab w:val="right" w:pos="9408"/>
      </w:tabs>
      <w:suppressAutoHyphens/>
      <w:ind w:left="720" w:hanging="720"/>
      <w:jc w:val="both"/>
    </w:pPr>
    <w:rPr>
      <w:rFonts w:ascii="Arial" w:eastAsia="Times New Roman" w:hAnsi="Arial" w:cs="Times New Roman"/>
      <w:color w:val="000000"/>
      <w:spacing w:val="-3"/>
      <w:szCs w:val="20"/>
    </w:rPr>
  </w:style>
  <w:style w:type="character" w:customStyle="1" w:styleId="BodyTextIndent2Char">
    <w:name w:val="Body Text Indent 2 Char"/>
    <w:basedOn w:val="DefaultParagraphFont"/>
    <w:link w:val="BodyTextIndent2"/>
    <w:rsid w:val="00DD1612"/>
    <w:rPr>
      <w:rFonts w:ascii="Arial" w:eastAsia="Times New Roman" w:hAnsi="Arial" w:cs="Times New Roman"/>
      <w:color w:val="000000"/>
      <w:spacing w:val="-3"/>
      <w:kern w:val="0"/>
      <w:szCs w:val="20"/>
      <w14:ligatures w14:val="none"/>
    </w:rPr>
  </w:style>
  <w:style w:type="paragraph" w:styleId="BodyText">
    <w:name w:val="Body Text"/>
    <w:basedOn w:val="Normal"/>
    <w:link w:val="BodyTextChar"/>
    <w:uiPriority w:val="1"/>
    <w:qFormat/>
    <w:rsid w:val="00DD1612"/>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DD1612"/>
    <w:rPr>
      <w:rFonts w:ascii="Times New Roman" w:eastAsia="Times New Roman" w:hAnsi="Times New Roman" w:cs="Times New Roman"/>
      <w:kern w:val="0"/>
      <w:sz w:val="24"/>
      <w:szCs w:val="20"/>
      <w14:ligatures w14:val="none"/>
    </w:rPr>
  </w:style>
  <w:style w:type="paragraph" w:styleId="BodyText2">
    <w:name w:val="Body Text 2"/>
    <w:basedOn w:val="Normal"/>
    <w:link w:val="BodyText2Char"/>
    <w:rsid w:val="00DD1612"/>
    <w:rPr>
      <w:rFonts w:ascii="CG Times" w:eastAsia="Times New Roman" w:hAnsi="CG Times" w:cs="Times New Roman"/>
      <w:szCs w:val="20"/>
    </w:rPr>
  </w:style>
  <w:style w:type="character" w:customStyle="1" w:styleId="BodyText2Char">
    <w:name w:val="Body Text 2 Char"/>
    <w:basedOn w:val="DefaultParagraphFont"/>
    <w:link w:val="BodyText2"/>
    <w:rsid w:val="00DD1612"/>
    <w:rPr>
      <w:rFonts w:ascii="CG Times" w:eastAsia="Times New Roman" w:hAnsi="CG Times" w:cs="Times New Roman"/>
      <w:kern w:val="0"/>
      <w:szCs w:val="20"/>
      <w14:ligatures w14:val="none"/>
    </w:rPr>
  </w:style>
  <w:style w:type="paragraph" w:styleId="BodyTextIndent3">
    <w:name w:val="Body Text Indent 3"/>
    <w:basedOn w:val="Normal"/>
    <w:link w:val="BodyTextIndent3Char"/>
    <w:rsid w:val="00DD1612"/>
    <w:pPr>
      <w:ind w:left="720"/>
      <w:jc w:val="both"/>
    </w:pPr>
    <w:rPr>
      <w:rFonts w:ascii="CG Times" w:eastAsia="Times New Roman" w:hAnsi="CG Times" w:cs="Times New Roman"/>
      <w:szCs w:val="20"/>
    </w:rPr>
  </w:style>
  <w:style w:type="character" w:customStyle="1" w:styleId="BodyTextIndent3Char">
    <w:name w:val="Body Text Indent 3 Char"/>
    <w:basedOn w:val="DefaultParagraphFont"/>
    <w:link w:val="BodyTextIndent3"/>
    <w:rsid w:val="00DD1612"/>
    <w:rPr>
      <w:rFonts w:ascii="CG Times" w:eastAsia="Times New Roman" w:hAnsi="CG Times" w:cs="Times New Roman"/>
      <w:kern w:val="0"/>
      <w:szCs w:val="20"/>
      <w14:ligatures w14:val="none"/>
    </w:rPr>
  </w:style>
  <w:style w:type="paragraph" w:styleId="BodyText3">
    <w:name w:val="Body Text 3"/>
    <w:basedOn w:val="Normal"/>
    <w:link w:val="BodyText3Char"/>
    <w:rsid w:val="00DD1612"/>
    <w:pPr>
      <w:jc w:val="both"/>
    </w:pPr>
    <w:rPr>
      <w:rFonts w:ascii="CG Times" w:eastAsia="Times New Roman" w:hAnsi="CG Times" w:cs="Times New Roman"/>
      <w:szCs w:val="20"/>
    </w:rPr>
  </w:style>
  <w:style w:type="character" w:customStyle="1" w:styleId="BodyText3Char">
    <w:name w:val="Body Text 3 Char"/>
    <w:basedOn w:val="DefaultParagraphFont"/>
    <w:link w:val="BodyText3"/>
    <w:rsid w:val="00DD1612"/>
    <w:rPr>
      <w:rFonts w:ascii="CG Times" w:eastAsia="Times New Roman" w:hAnsi="CG Times" w:cs="Times New Roman"/>
      <w:kern w:val="0"/>
      <w:szCs w:val="20"/>
      <w14:ligatures w14:val="none"/>
    </w:rPr>
  </w:style>
  <w:style w:type="paragraph" w:customStyle="1" w:styleId="NoteText2">
    <w:name w:val="Note Text 2"/>
    <w:aliases w:val="nt2"/>
    <w:basedOn w:val="Normal"/>
    <w:rsid w:val="00DD1612"/>
    <w:pPr>
      <w:spacing w:after="200"/>
      <w:ind w:left="1080"/>
      <w:jc w:val="both"/>
    </w:pPr>
    <w:rPr>
      <w:rFonts w:ascii="Times New Roman" w:eastAsia="Times New Roman" w:hAnsi="Times New Roman" w:cs="Times New Roman"/>
      <w:szCs w:val="20"/>
    </w:rPr>
  </w:style>
  <w:style w:type="paragraph" w:customStyle="1" w:styleId="HeadingLevel2">
    <w:name w:val="Heading Level 2"/>
    <w:aliases w:val="hl2"/>
    <w:basedOn w:val="Normal"/>
    <w:next w:val="NoteText2"/>
    <w:rsid w:val="00DD1612"/>
    <w:pPr>
      <w:keepNext/>
      <w:keepLines/>
      <w:spacing w:after="140"/>
      <w:ind w:left="1094" w:hanging="547"/>
    </w:pPr>
    <w:rPr>
      <w:rFonts w:ascii="Times New Roman" w:eastAsia="Times New Roman" w:hAnsi="Times New Roman" w:cs="Times New Roman"/>
      <w:b/>
      <w:i/>
      <w:szCs w:val="20"/>
    </w:rPr>
  </w:style>
  <w:style w:type="paragraph" w:styleId="Subtitle">
    <w:name w:val="Subtitle"/>
    <w:basedOn w:val="Normal"/>
    <w:link w:val="SubtitleChar"/>
    <w:qFormat/>
    <w:rsid w:val="00DD1612"/>
    <w:pPr>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DD1612"/>
    <w:rPr>
      <w:rFonts w:ascii="Times New Roman" w:eastAsia="Times New Roman" w:hAnsi="Times New Roman" w:cs="Times New Roman"/>
      <w:b/>
      <w:kern w:val="0"/>
      <w:sz w:val="24"/>
      <w:szCs w:val="20"/>
      <w14:ligatures w14:val="none"/>
    </w:rPr>
  </w:style>
  <w:style w:type="paragraph" w:styleId="BlockText">
    <w:name w:val="Block Text"/>
    <w:basedOn w:val="Normal"/>
    <w:rsid w:val="00DD1612"/>
    <w:pPr>
      <w:tabs>
        <w:tab w:val="left" w:pos="1858"/>
        <w:tab w:val="left" w:pos="2570"/>
        <w:tab w:val="left" w:pos="3283"/>
        <w:tab w:val="left" w:pos="3996"/>
        <w:tab w:val="left" w:pos="4709"/>
        <w:tab w:val="left" w:pos="5472"/>
      </w:tabs>
      <w:suppressAutoHyphens/>
      <w:ind w:left="1080" w:right="360"/>
      <w:jc w:val="both"/>
    </w:pPr>
    <w:rPr>
      <w:rFonts w:ascii="Arial" w:eastAsia="Times New Roman" w:hAnsi="Arial" w:cs="Arial"/>
      <w:color w:val="000000"/>
      <w:spacing w:val="-3"/>
      <w:szCs w:val="24"/>
    </w:rPr>
  </w:style>
  <w:style w:type="paragraph" w:customStyle="1" w:styleId="Salutation1">
    <w:name w:val="Salutation1"/>
    <w:aliases w:val="sa,Salutation11"/>
    <w:basedOn w:val="Normal"/>
    <w:next w:val="Normal"/>
    <w:rsid w:val="00DD1612"/>
    <w:pPr>
      <w:keepLines/>
      <w:tabs>
        <w:tab w:val="left" w:pos="180"/>
      </w:tabs>
      <w:spacing w:after="360"/>
    </w:pPr>
    <w:rPr>
      <w:rFonts w:ascii="Times New Roman" w:eastAsia="Times New Roman" w:hAnsi="Times New Roman" w:cs="Times New Roman"/>
      <w:szCs w:val="20"/>
    </w:rPr>
  </w:style>
  <w:style w:type="paragraph" w:customStyle="1" w:styleId="OpinionHeading">
    <w:name w:val="Opinion Heading"/>
    <w:aliases w:val="oh"/>
    <w:basedOn w:val="Normal"/>
    <w:next w:val="Salutation1"/>
    <w:rsid w:val="00DD1612"/>
    <w:pPr>
      <w:keepNext/>
      <w:keepLines/>
      <w:spacing w:before="2400" w:after="600"/>
      <w:jc w:val="center"/>
    </w:pPr>
    <w:rPr>
      <w:rFonts w:ascii="Times New Roman" w:eastAsia="Times New Roman" w:hAnsi="Times New Roman" w:cs="Times New Roman"/>
      <w:b/>
      <w:szCs w:val="20"/>
    </w:rPr>
  </w:style>
  <w:style w:type="paragraph" w:styleId="EndnoteText">
    <w:name w:val="endnote text"/>
    <w:basedOn w:val="Normal"/>
    <w:link w:val="EndnoteTextChar"/>
    <w:semiHidden/>
    <w:rsid w:val="00DD1612"/>
    <w:rPr>
      <w:rFonts w:ascii="Arial" w:eastAsia="Times New Roman" w:hAnsi="Arial" w:cs="Times New Roman"/>
      <w:sz w:val="16"/>
      <w:szCs w:val="20"/>
    </w:rPr>
  </w:style>
  <w:style w:type="character" w:customStyle="1" w:styleId="EndnoteTextChar">
    <w:name w:val="Endnote Text Char"/>
    <w:basedOn w:val="DefaultParagraphFont"/>
    <w:link w:val="EndnoteText"/>
    <w:semiHidden/>
    <w:rsid w:val="00DD1612"/>
    <w:rPr>
      <w:rFonts w:ascii="Arial" w:eastAsia="Times New Roman" w:hAnsi="Arial" w:cs="Times New Roman"/>
      <w:kern w:val="0"/>
      <w:sz w:val="16"/>
      <w:szCs w:val="20"/>
      <w14:ligatures w14:val="none"/>
    </w:rPr>
  </w:style>
  <w:style w:type="paragraph" w:customStyle="1" w:styleId="OpinionDate">
    <w:name w:val="Opinion Date"/>
    <w:aliases w:val="od"/>
    <w:basedOn w:val="Normal"/>
    <w:rsid w:val="00DD1612"/>
    <w:pPr>
      <w:keepLines/>
      <w:tabs>
        <w:tab w:val="left" w:pos="180"/>
      </w:tabs>
      <w:spacing w:before="1440" w:after="200"/>
    </w:pPr>
    <w:rPr>
      <w:rFonts w:ascii="Times New Roman" w:eastAsia="Times New Roman" w:hAnsi="Times New Roman" w:cs="Times New Roman"/>
      <w:szCs w:val="20"/>
    </w:rPr>
  </w:style>
  <w:style w:type="paragraph" w:customStyle="1" w:styleId="NormalKeepWithNext">
    <w:name w:val="Normal Keep With Next"/>
    <w:aliases w:val="nkwn"/>
    <w:basedOn w:val="Normal"/>
    <w:next w:val="Normal"/>
    <w:rsid w:val="00DD1612"/>
    <w:pPr>
      <w:keepNext/>
      <w:spacing w:after="200"/>
      <w:jc w:val="both"/>
    </w:pPr>
    <w:rPr>
      <w:rFonts w:ascii="Times New Roman" w:eastAsia="Times New Roman" w:hAnsi="Times New Roman" w:cs="Times New Roman"/>
      <w:szCs w:val="20"/>
    </w:rPr>
  </w:style>
  <w:style w:type="paragraph" w:customStyle="1" w:styleId="HeadingLevel1">
    <w:name w:val="Heading Level 1"/>
    <w:aliases w:val="hl1"/>
    <w:basedOn w:val="Normal"/>
    <w:next w:val="Normal"/>
    <w:rsid w:val="00DD1612"/>
    <w:pPr>
      <w:keepNext/>
      <w:keepLines/>
      <w:spacing w:after="140"/>
      <w:ind w:left="547" w:hanging="547"/>
    </w:pPr>
    <w:rPr>
      <w:rFonts w:ascii="Times New Roman" w:eastAsia="Times New Roman" w:hAnsi="Times New Roman" w:cs="Times New Roman"/>
      <w:b/>
      <w:szCs w:val="20"/>
    </w:rPr>
  </w:style>
  <w:style w:type="character" w:styleId="FootnoteReference">
    <w:name w:val="footnote reference"/>
    <w:basedOn w:val="DefaultParagraphFont"/>
    <w:semiHidden/>
    <w:rsid w:val="00DD1612"/>
    <w:rPr>
      <w:sz w:val="20"/>
      <w:vertAlign w:val="superscript"/>
    </w:rPr>
  </w:style>
  <w:style w:type="paragraph" w:customStyle="1" w:styleId="Center">
    <w:name w:val="Center"/>
    <w:rsid w:val="00DD1612"/>
    <w:pPr>
      <w:widowControl w:val="0"/>
      <w:spacing w:before="112" w:after="112" w:line="240" w:lineRule="auto"/>
      <w:jc w:val="center"/>
    </w:pPr>
    <w:rPr>
      <w:rFonts w:ascii="Times New Roman" w:eastAsia="Times New Roman" w:hAnsi="Times New Roman" w:cs="Times New Roman"/>
      <w:snapToGrid w:val="0"/>
      <w:color w:val="000000"/>
      <w:kern w:val="0"/>
      <w:sz w:val="24"/>
      <w:szCs w:val="20"/>
      <w14:ligatures w14:val="none"/>
    </w:rPr>
  </w:style>
  <w:style w:type="paragraph" w:customStyle="1" w:styleId="Indent">
    <w:name w:val="Indent"/>
    <w:rsid w:val="00DD1612"/>
    <w:pPr>
      <w:widowControl w:val="0"/>
      <w:spacing w:before="114" w:after="114" w:line="240" w:lineRule="auto"/>
      <w:ind w:left="720"/>
    </w:pPr>
    <w:rPr>
      <w:rFonts w:ascii="Times New Roman" w:eastAsia="Times New Roman" w:hAnsi="Times New Roman" w:cs="Times New Roman"/>
      <w:snapToGrid w:val="0"/>
      <w:color w:val="000000"/>
      <w:kern w:val="0"/>
      <w:sz w:val="24"/>
      <w:szCs w:val="20"/>
      <w14:ligatures w14:val="none"/>
    </w:rPr>
  </w:style>
  <w:style w:type="paragraph" w:customStyle="1" w:styleId="MainHeading">
    <w:name w:val="Main Heading"/>
    <w:rsid w:val="00DD1612"/>
    <w:pPr>
      <w:widowControl w:val="0"/>
      <w:spacing w:before="114" w:after="114" w:line="240" w:lineRule="auto"/>
    </w:pPr>
    <w:rPr>
      <w:rFonts w:ascii="Times New Roman" w:eastAsia="Times New Roman" w:hAnsi="Times New Roman" w:cs="Times New Roman"/>
      <w:b/>
      <w:snapToGrid w:val="0"/>
      <w:color w:val="000000"/>
      <w:kern w:val="0"/>
      <w:sz w:val="28"/>
      <w:szCs w:val="20"/>
      <w14:ligatures w14:val="none"/>
    </w:rPr>
  </w:style>
  <w:style w:type="paragraph" w:styleId="ListParagraph">
    <w:name w:val="List Paragraph"/>
    <w:basedOn w:val="Normal"/>
    <w:uiPriority w:val="1"/>
    <w:qFormat/>
    <w:rsid w:val="00DD1612"/>
    <w:pPr>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DD1612"/>
    <w:pPr>
      <w:spacing w:after="0" w:line="240" w:lineRule="auto"/>
    </w:pPr>
    <w:rPr>
      <w:rFonts w:ascii="Times New Roman" w:eastAsia="Times New Roman" w:hAnsi="Times New Roman" w:cs="Times New Roman"/>
      <w:kern w:val="0"/>
      <w:sz w:val="24"/>
      <w:szCs w:val="24"/>
      <w14:ligatures w14:val="none"/>
    </w:rPr>
  </w:style>
  <w:style w:type="paragraph" w:customStyle="1" w:styleId="LTNormal">
    <w:name w:val="LT Normal"/>
    <w:rsid w:val="00DD1612"/>
    <w:pPr>
      <w:spacing w:after="200" w:line="240" w:lineRule="auto"/>
      <w:jc w:val="both"/>
    </w:pPr>
    <w:rPr>
      <w:rFonts w:ascii="Times New Roman" w:eastAsia="Times New Roman" w:hAnsi="Times New Roman" w:cs="Times New Roman"/>
      <w:kern w:val="0"/>
      <w:szCs w:val="24"/>
      <w14:ligatures w14:val="none"/>
    </w:rPr>
  </w:style>
  <w:style w:type="paragraph" w:customStyle="1" w:styleId="LTDate">
    <w:name w:val="LT Date"/>
    <w:next w:val="LTNormal"/>
    <w:rsid w:val="00DD1612"/>
    <w:pPr>
      <w:spacing w:after="600" w:line="240" w:lineRule="auto"/>
    </w:pPr>
    <w:rPr>
      <w:rFonts w:ascii="Times New Roman" w:eastAsia="Times New Roman" w:hAnsi="Times New Roman" w:cs="Times New Roman"/>
      <w:kern w:val="0"/>
      <w:szCs w:val="24"/>
      <w14:ligatures w14:val="none"/>
    </w:rPr>
  </w:style>
  <w:style w:type="paragraph" w:customStyle="1" w:styleId="LTSalutation">
    <w:name w:val="LT Salutation"/>
    <w:next w:val="LTNormal"/>
    <w:rsid w:val="00DD1612"/>
    <w:pPr>
      <w:spacing w:after="360" w:line="240" w:lineRule="auto"/>
    </w:pPr>
    <w:rPr>
      <w:rFonts w:ascii="Times New Roman" w:eastAsia="Times New Roman" w:hAnsi="Times New Roman" w:cs="Times New Roman"/>
      <w:kern w:val="0"/>
      <w:szCs w:val="24"/>
      <w14:ligatures w14:val="none"/>
    </w:rPr>
  </w:style>
  <w:style w:type="paragraph" w:customStyle="1" w:styleId="LTNumber1">
    <w:name w:val="LT Number 1"/>
    <w:rsid w:val="00DD1612"/>
    <w:pPr>
      <w:numPr>
        <w:numId w:val="3"/>
      </w:numPr>
      <w:spacing w:after="120" w:line="240" w:lineRule="auto"/>
      <w:jc w:val="both"/>
    </w:pPr>
    <w:rPr>
      <w:rFonts w:ascii="Times New Roman" w:eastAsia="Times New Roman" w:hAnsi="Times New Roman" w:cs="Times New Roman"/>
      <w:kern w:val="0"/>
      <w14:ligatures w14:val="none"/>
    </w:rPr>
  </w:style>
  <w:style w:type="paragraph" w:customStyle="1" w:styleId="LTNumber2">
    <w:name w:val="LT Number 2"/>
    <w:rsid w:val="00DD1612"/>
    <w:pPr>
      <w:numPr>
        <w:ilvl w:val="1"/>
        <w:numId w:val="3"/>
      </w:numPr>
      <w:spacing w:after="120" w:line="240" w:lineRule="auto"/>
      <w:jc w:val="both"/>
    </w:pPr>
    <w:rPr>
      <w:rFonts w:ascii="Times New Roman" w:eastAsia="Times New Roman" w:hAnsi="Times New Roman" w:cs="Times New Roman"/>
      <w:kern w:val="0"/>
      <w:szCs w:val="24"/>
      <w14:ligatures w14:val="none"/>
    </w:rPr>
  </w:style>
  <w:style w:type="paragraph" w:customStyle="1" w:styleId="LTElectronicSignature">
    <w:name w:val="LT Electronic Signature"/>
    <w:basedOn w:val="LTNormal"/>
    <w:rsid w:val="00DD1612"/>
    <w:pPr>
      <w:keepNext/>
      <w:jc w:val="center"/>
    </w:pPr>
  </w:style>
  <w:style w:type="paragraph" w:customStyle="1" w:styleId="LTReportHeading">
    <w:name w:val="LT Report Heading"/>
    <w:basedOn w:val="Normal"/>
    <w:rsid w:val="00DD1612"/>
    <w:rPr>
      <w:rFonts w:ascii="Times New Roman" w:eastAsia="Times New Roman" w:hAnsi="Times New Roman" w:cs="Times New Roman"/>
      <w:b/>
      <w:szCs w:val="24"/>
    </w:rPr>
  </w:style>
  <w:style w:type="paragraph" w:customStyle="1" w:styleId="LTHeading1">
    <w:name w:val="LT Heading 1"/>
    <w:next w:val="LTNormal"/>
    <w:rsid w:val="00DD1612"/>
    <w:pPr>
      <w:keepNext/>
      <w:spacing w:after="120" w:line="240" w:lineRule="auto"/>
    </w:pPr>
    <w:rPr>
      <w:rFonts w:ascii="Times New Roman" w:eastAsia="Times New Roman" w:hAnsi="Times New Roman" w:cs="Times New Roman"/>
      <w:b/>
      <w:kern w:val="0"/>
      <w:szCs w:val="24"/>
      <w14:ligatures w14:val="none"/>
    </w:rPr>
  </w:style>
  <w:style w:type="paragraph" w:customStyle="1" w:styleId="LTNormalInd">
    <w:name w:val="LT Normal Ind"/>
    <w:basedOn w:val="LTNormal"/>
    <w:rsid w:val="00DD1612"/>
    <w:pPr>
      <w:ind w:left="547"/>
    </w:pPr>
  </w:style>
  <w:style w:type="character" w:styleId="PlaceholderText">
    <w:name w:val="Placeholder Text"/>
    <w:basedOn w:val="DefaultParagraphFont"/>
    <w:uiPriority w:val="99"/>
    <w:semiHidden/>
    <w:rsid w:val="00DD1612"/>
    <w:rPr>
      <w:color w:val="808080"/>
    </w:rPr>
  </w:style>
  <w:style w:type="character" w:styleId="CommentReference">
    <w:name w:val="annotation reference"/>
    <w:basedOn w:val="DefaultParagraphFont"/>
    <w:rsid w:val="00DD1612"/>
    <w:rPr>
      <w:sz w:val="16"/>
      <w:szCs w:val="16"/>
    </w:rPr>
  </w:style>
  <w:style w:type="paragraph" w:styleId="CommentText">
    <w:name w:val="annotation text"/>
    <w:basedOn w:val="Normal"/>
    <w:link w:val="CommentTextChar"/>
    <w:rsid w:val="00DD161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D161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DD1612"/>
    <w:rPr>
      <w:b/>
      <w:bCs/>
    </w:rPr>
  </w:style>
  <w:style w:type="character" w:customStyle="1" w:styleId="CommentSubjectChar">
    <w:name w:val="Comment Subject Char"/>
    <w:basedOn w:val="CommentTextChar"/>
    <w:link w:val="CommentSubject"/>
    <w:rsid w:val="00DD1612"/>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unhideWhenUsed/>
    <w:rsid w:val="00DD1612"/>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D1612"/>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apple-converted-space">
    <w:name w:val="apple-converted-space"/>
    <w:basedOn w:val="DefaultParagraphFont"/>
    <w:rsid w:val="00DD1612"/>
  </w:style>
  <w:style w:type="paragraph" w:customStyle="1" w:styleId="PAParaText">
    <w:name w:val="PA_ParaText"/>
    <w:basedOn w:val="Normal"/>
    <w:rsid w:val="00DD1612"/>
    <w:pPr>
      <w:spacing w:after="120"/>
      <w:jc w:val="both"/>
    </w:pPr>
    <w:rPr>
      <w:rFonts w:ascii="Arial" w:eastAsia="SimSun" w:hAnsi="Arial" w:cs="Times New Roman"/>
      <w:sz w:val="20"/>
      <w:szCs w:val="20"/>
      <w:lang w:eastAsia="zh-CN"/>
    </w:rPr>
  </w:style>
  <w:style w:type="character" w:customStyle="1" w:styleId="CLPracticalLink">
    <w:name w:val="CL_PracticalLink"/>
    <w:basedOn w:val="DefaultParagraphFont"/>
    <w:rsid w:val="00DD1612"/>
    <w:rPr>
      <w:vanish/>
      <w:webHidden w:val="0"/>
      <w:color w:val="auto"/>
      <w:u w:val="words" w:color="FFFFFF"/>
      <w:vertAlign w:val="superscript"/>
      <w:specVanish w:val="0"/>
    </w:rPr>
  </w:style>
  <w:style w:type="paragraph" w:styleId="PlainText">
    <w:name w:val="Plain Text"/>
    <w:basedOn w:val="Normal"/>
    <w:link w:val="PlainTextChar"/>
    <w:uiPriority w:val="99"/>
    <w:unhideWhenUsed/>
    <w:rsid w:val="00DD1612"/>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DD1612"/>
    <w:rPr>
      <w:rFonts w:ascii="Consolas" w:eastAsia="Times New Roman" w:hAnsi="Consolas" w:cs="Consolas"/>
      <w:kern w:val="0"/>
      <w:sz w:val="21"/>
      <w:szCs w:val="21"/>
      <w14:ligatures w14:val="none"/>
    </w:rPr>
  </w:style>
  <w:style w:type="paragraph" w:customStyle="1" w:styleId="TableParagraph">
    <w:name w:val="Table Paragraph"/>
    <w:basedOn w:val="Normal"/>
    <w:uiPriority w:val="1"/>
    <w:qFormat/>
    <w:rsid w:val="00DD1612"/>
    <w:pPr>
      <w:widowControl w:val="0"/>
    </w:pPr>
  </w:style>
  <w:style w:type="character" w:customStyle="1" w:styleId="Date1">
    <w:name w:val="Date1"/>
    <w:basedOn w:val="DefaultParagraphFont"/>
    <w:rsid w:val="00DD1612"/>
  </w:style>
  <w:style w:type="paragraph" w:customStyle="1" w:styleId="ReportHeading1">
    <w:name w:val="Report Heading 1"/>
    <w:basedOn w:val="Heading2"/>
    <w:link w:val="ReportHeading1Char"/>
    <w:qFormat/>
    <w:rsid w:val="00DD1612"/>
    <w:pPr>
      <w:pBdr>
        <w:bottom w:val="single" w:sz="18" w:space="1" w:color="5B9BD5"/>
      </w:pBdr>
      <w:shd w:val="clear" w:color="auto" w:fill="F2F2F2" w:themeFill="background1" w:themeFillShade="F2"/>
      <w:tabs>
        <w:tab w:val="clear" w:pos="720"/>
        <w:tab w:val="clear" w:pos="1022"/>
        <w:tab w:val="clear" w:pos="1440"/>
        <w:tab w:val="clear" w:pos="4262"/>
        <w:tab w:val="clear" w:pos="5220"/>
        <w:tab w:val="clear" w:pos="6691"/>
        <w:tab w:val="clear" w:pos="7621"/>
        <w:tab w:val="clear" w:pos="9187"/>
      </w:tabs>
      <w:jc w:val="left"/>
      <w:outlineLvl w:val="0"/>
    </w:pPr>
    <w:rPr>
      <w:i w:val="0"/>
      <w:caps/>
      <w:sz w:val="36"/>
      <w:szCs w:val="36"/>
    </w:rPr>
  </w:style>
  <w:style w:type="character" w:customStyle="1" w:styleId="ReportHeading1Char">
    <w:name w:val="Report Heading 1 Char"/>
    <w:basedOn w:val="Heading2Char"/>
    <w:link w:val="ReportHeading1"/>
    <w:rsid w:val="00DD1612"/>
    <w:rPr>
      <w:rFonts w:ascii="Arial" w:eastAsia="Times New Roman" w:hAnsi="Arial" w:cs="Arial"/>
      <w:b/>
      <w:i w:val="0"/>
      <w:caps/>
      <w:color w:val="000000"/>
      <w:spacing w:val="-3"/>
      <w:kern w:val="0"/>
      <w:sz w:val="36"/>
      <w:szCs w:val="36"/>
      <w:shd w:val="clear" w:color="auto" w:fill="F2F2F2" w:themeFill="background1" w:themeFillShade="F2"/>
      <w14:ligatures w14:val="none"/>
    </w:rPr>
  </w:style>
  <w:style w:type="paragraph" w:customStyle="1" w:styleId="ReportHeading2">
    <w:name w:val="Report Heading 2"/>
    <w:link w:val="ReportHeading2Char"/>
    <w:qFormat/>
    <w:rsid w:val="00DD1612"/>
    <w:pPr>
      <w:pBdr>
        <w:bottom w:val="single" w:sz="8" w:space="1" w:color="00688D"/>
      </w:pBdr>
      <w:spacing w:before="240" w:after="240" w:line="240" w:lineRule="auto"/>
    </w:pPr>
    <w:rPr>
      <w:rFonts w:eastAsiaTheme="majorEastAsia" w:cstheme="majorBidi"/>
      <w:b/>
      <w:i/>
      <w:iCs/>
      <w:smallCaps/>
      <w:color w:val="000000" w:themeColor="text1"/>
      <w:kern w:val="0"/>
      <w:sz w:val="32"/>
      <w14:ligatures w14:val="none"/>
    </w:rPr>
  </w:style>
  <w:style w:type="character" w:customStyle="1" w:styleId="ReportHeading2Char">
    <w:name w:val="Report Heading 2 Char"/>
    <w:basedOn w:val="DefaultParagraphFont"/>
    <w:link w:val="ReportHeading2"/>
    <w:rsid w:val="00DD1612"/>
    <w:rPr>
      <w:rFonts w:eastAsiaTheme="majorEastAsia" w:cstheme="majorBidi"/>
      <w:b/>
      <w:i/>
      <w:iCs/>
      <w:smallCaps/>
      <w:color w:val="000000" w:themeColor="text1"/>
      <w:kern w:val="0"/>
      <w:sz w:val="32"/>
      <w14:ligatures w14:val="none"/>
    </w:rPr>
  </w:style>
  <w:style w:type="paragraph" w:customStyle="1" w:styleId="ReportHeading3">
    <w:name w:val="Report Heading 3"/>
    <w:basedOn w:val="Normal"/>
    <w:link w:val="ReportHeading3Char"/>
    <w:qFormat/>
    <w:rsid w:val="00DD1612"/>
    <w:pPr>
      <w:spacing w:before="160" w:after="120"/>
    </w:pPr>
    <w:rPr>
      <w:b/>
      <w:i/>
      <w:sz w:val="26"/>
      <w:u w:val="single"/>
    </w:rPr>
  </w:style>
  <w:style w:type="character" w:customStyle="1" w:styleId="ReportHeading3Char">
    <w:name w:val="Report Heading 3 Char"/>
    <w:basedOn w:val="DefaultParagraphFont"/>
    <w:link w:val="ReportHeading3"/>
    <w:rsid w:val="00DD1612"/>
    <w:rPr>
      <w:b/>
      <w:i/>
      <w:kern w:val="0"/>
      <w:sz w:val="26"/>
      <w:u w:val="single"/>
      <w14:ligatures w14:val="none"/>
    </w:rPr>
  </w:style>
  <w:style w:type="paragraph" w:customStyle="1" w:styleId="ReportHeading4">
    <w:name w:val="Report Heading 4"/>
    <w:link w:val="ReportHeading4Char"/>
    <w:qFormat/>
    <w:rsid w:val="00DD1612"/>
    <w:pPr>
      <w:spacing w:before="60" w:after="60" w:line="240" w:lineRule="auto"/>
    </w:pPr>
    <w:rPr>
      <w:i/>
      <w:kern w:val="0"/>
      <w:sz w:val="24"/>
      <w:u w:val="single"/>
      <w14:ligatures w14:val="none"/>
    </w:rPr>
  </w:style>
  <w:style w:type="character" w:customStyle="1" w:styleId="ReportHeading4Char">
    <w:name w:val="Report Heading 4 Char"/>
    <w:basedOn w:val="DefaultParagraphFont"/>
    <w:link w:val="ReportHeading4"/>
    <w:rsid w:val="00DD1612"/>
    <w:rPr>
      <w:i/>
      <w:kern w:val="0"/>
      <w:sz w:val="24"/>
      <w:u w:val="single"/>
      <w14:ligatures w14:val="none"/>
    </w:rPr>
  </w:style>
  <w:style w:type="paragraph" w:customStyle="1" w:styleId="ReportHeading5">
    <w:name w:val="Report Heading 5"/>
    <w:link w:val="ReportHeading5Char"/>
    <w:qFormat/>
    <w:rsid w:val="00DD1612"/>
    <w:pPr>
      <w:spacing w:before="60" w:after="0" w:line="240" w:lineRule="auto"/>
    </w:pPr>
    <w:rPr>
      <w:i/>
      <w:color w:val="000000" w:themeColor="text1"/>
      <w:kern w:val="0"/>
      <w:sz w:val="24"/>
      <w14:ligatures w14:val="none"/>
    </w:rPr>
  </w:style>
  <w:style w:type="character" w:customStyle="1" w:styleId="ReportHeading5Char">
    <w:name w:val="Report Heading 5 Char"/>
    <w:basedOn w:val="DefaultParagraphFont"/>
    <w:link w:val="ReportHeading5"/>
    <w:rsid w:val="00DD1612"/>
    <w:rPr>
      <w:i/>
      <w:color w:val="000000" w:themeColor="text1"/>
      <w:kern w:val="0"/>
      <w:sz w:val="24"/>
      <w14:ligatures w14:val="none"/>
    </w:rPr>
  </w:style>
  <w:style w:type="table" w:customStyle="1" w:styleId="TableGrid1">
    <w:name w:val="Table Grid1"/>
    <w:basedOn w:val="TableNormal"/>
    <w:next w:val="TableGrid"/>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otal">
    <w:name w:val="Report Total"/>
    <w:basedOn w:val="Normal"/>
    <w:link w:val="ReportTotalChar"/>
    <w:qFormat/>
    <w:rsid w:val="00DD1612"/>
    <w:pPr>
      <w:tabs>
        <w:tab w:val="left" w:pos="720"/>
        <w:tab w:val="left" w:pos="1440"/>
        <w:tab w:val="decimal" w:pos="6786"/>
        <w:tab w:val="decimal" w:pos="8100"/>
      </w:tabs>
      <w:suppressAutoHyphens/>
      <w:jc w:val="both"/>
    </w:pPr>
    <w:rPr>
      <w:rFonts w:ascii="Calibri" w:eastAsia="Times New Roman" w:hAnsi="Calibri" w:cs="Tahoma"/>
      <w:bCs/>
      <w:spacing w:val="-3"/>
      <w:sz w:val="24"/>
      <w:szCs w:val="24"/>
    </w:rPr>
  </w:style>
  <w:style w:type="character" w:customStyle="1" w:styleId="ReportTotalChar">
    <w:name w:val="Report Total Char"/>
    <w:basedOn w:val="DefaultParagraphFont"/>
    <w:link w:val="ReportTotal"/>
    <w:rsid w:val="00DD1612"/>
    <w:rPr>
      <w:rFonts w:ascii="Calibri" w:eastAsia="Times New Roman" w:hAnsi="Calibri" w:cs="Tahoma"/>
      <w:bCs/>
      <w:spacing w:val="-3"/>
      <w:kern w:val="0"/>
      <w:sz w:val="24"/>
      <w:szCs w:val="24"/>
      <w14:ligatures w14:val="none"/>
    </w:rPr>
  </w:style>
  <w:style w:type="paragraph" w:styleId="TOCHeading">
    <w:name w:val="TOC Heading"/>
    <w:basedOn w:val="Heading1"/>
    <w:next w:val="Normal"/>
    <w:uiPriority w:val="39"/>
    <w:unhideWhenUsed/>
    <w:qFormat/>
    <w:rsid w:val="00DD1612"/>
    <w:pPr>
      <w:keepLines/>
      <w:pBdr>
        <w:bottom w:val="none" w:sz="0" w:space="0" w:color="auto"/>
      </w:pBdr>
      <w:tabs>
        <w:tab w:val="clear" w:pos="5112"/>
      </w:tabs>
      <w:suppressAutoHyphens w:val="0"/>
      <w:spacing w:after="0" w:line="259" w:lineRule="auto"/>
      <w:outlineLvl w:val="9"/>
    </w:pPr>
    <w:rPr>
      <w:rFonts w:asciiTheme="majorHAnsi" w:eastAsiaTheme="majorEastAsia" w:hAnsiTheme="majorHAnsi" w:cstheme="majorBidi"/>
      <w:b w:val="0"/>
      <w:i w:val="0"/>
      <w:smallCaps w:val="0"/>
      <w:noProof w:val="0"/>
      <w:color w:val="2F5496" w:themeColor="accent1" w:themeShade="BF"/>
      <w:spacing w:val="0"/>
      <w:szCs w:val="32"/>
      <w14:textOutline w14:w="0" w14:cap="rnd" w14:cmpd="sng" w14:algn="ctr">
        <w14:noFill/>
        <w14:prstDash w14:val="solid"/>
        <w14:bevel/>
      </w14:textOutline>
    </w:rPr>
  </w:style>
  <w:style w:type="paragraph" w:customStyle="1" w:styleId="AFR1">
    <w:name w:val="AFR1"/>
    <w:basedOn w:val="Normal"/>
    <w:link w:val="AFR1Char"/>
    <w:qFormat/>
    <w:rsid w:val="00DD1612"/>
    <w:pPr>
      <w:keepNext/>
      <w:pBdr>
        <w:bottom w:val="single" w:sz="18" w:space="1" w:color="00688D"/>
      </w:pBdr>
      <w:suppressAutoHyphens/>
      <w:spacing w:after="240"/>
      <w:outlineLvl w:val="0"/>
    </w:pPr>
    <w:rPr>
      <w:rFonts w:ascii="Calibri" w:eastAsia="Times New Roman" w:hAnsi="Calibri" w:cs="Times New Roman"/>
      <w:b/>
      <w:i/>
      <w:caps/>
      <w:color w:val="000000"/>
      <w:spacing w:val="-3"/>
      <w:sz w:val="26"/>
      <w:szCs w:val="36"/>
      <w:u w:color="000000" w:themeColor="text1"/>
    </w:rPr>
  </w:style>
  <w:style w:type="paragraph" w:customStyle="1" w:styleId="AFR2">
    <w:name w:val="AFR2"/>
    <w:basedOn w:val="ReportHeading2"/>
    <w:link w:val="AFR2Char"/>
    <w:qFormat/>
    <w:rsid w:val="00DD1612"/>
    <w:pPr>
      <w:spacing w:before="360"/>
    </w:pPr>
    <w:rPr>
      <w:noProof/>
      <w:szCs w:val="28"/>
      <w:u w:color="5B9BD5"/>
    </w:rPr>
  </w:style>
  <w:style w:type="character" w:customStyle="1" w:styleId="AFR1Char">
    <w:name w:val="AFR1 Char"/>
    <w:basedOn w:val="DefaultParagraphFont"/>
    <w:link w:val="AFR1"/>
    <w:rsid w:val="00DD1612"/>
    <w:rPr>
      <w:rFonts w:ascii="Calibri" w:eastAsia="Times New Roman" w:hAnsi="Calibri" w:cs="Times New Roman"/>
      <w:b/>
      <w:i/>
      <w:caps/>
      <w:color w:val="000000"/>
      <w:spacing w:val="-3"/>
      <w:kern w:val="0"/>
      <w:sz w:val="26"/>
      <w:szCs w:val="36"/>
      <w:u w:color="000000" w:themeColor="text1"/>
      <w14:ligatures w14:val="none"/>
    </w:rPr>
  </w:style>
  <w:style w:type="paragraph" w:customStyle="1" w:styleId="AFR3">
    <w:name w:val="AFR3"/>
    <w:basedOn w:val="ReportHeading3"/>
    <w:link w:val="AFR3Char"/>
    <w:qFormat/>
    <w:rsid w:val="00DD1612"/>
    <w:pPr>
      <w:spacing w:before="240"/>
    </w:pPr>
    <w:rPr>
      <w:u w:color="000000" w:themeColor="text1"/>
    </w:rPr>
  </w:style>
  <w:style w:type="character" w:customStyle="1" w:styleId="AFR2Char">
    <w:name w:val="AFR2 Char"/>
    <w:basedOn w:val="ReportHeading2Char"/>
    <w:link w:val="AFR2"/>
    <w:rsid w:val="00DD1612"/>
    <w:rPr>
      <w:rFonts w:eastAsiaTheme="majorEastAsia" w:cstheme="majorBidi"/>
      <w:b/>
      <w:i/>
      <w:iCs/>
      <w:smallCaps/>
      <w:noProof/>
      <w:color w:val="000000" w:themeColor="text1"/>
      <w:kern w:val="0"/>
      <w:sz w:val="32"/>
      <w:szCs w:val="28"/>
      <w:u w:color="5B9BD5"/>
      <w14:ligatures w14:val="none"/>
    </w:rPr>
  </w:style>
  <w:style w:type="character" w:customStyle="1" w:styleId="AFR3Char">
    <w:name w:val="AFR3 Char"/>
    <w:basedOn w:val="ReportHeading3Char"/>
    <w:link w:val="AFR3"/>
    <w:rsid w:val="00DD1612"/>
    <w:rPr>
      <w:b/>
      <w:i/>
      <w:kern w:val="0"/>
      <w:sz w:val="26"/>
      <w:u w:val="single" w:color="000000" w:themeColor="text1"/>
      <w14:ligatures w14:val="none"/>
    </w:rPr>
  </w:style>
  <w:style w:type="paragraph" w:customStyle="1" w:styleId="AFR4">
    <w:name w:val="AFR4"/>
    <w:basedOn w:val="ReportHeading3"/>
    <w:link w:val="AFR4Char"/>
    <w:qFormat/>
    <w:rsid w:val="00DD1612"/>
    <w:rPr>
      <w:i w:val="0"/>
      <w:sz w:val="24"/>
      <w:szCs w:val="24"/>
    </w:rPr>
  </w:style>
  <w:style w:type="character" w:customStyle="1" w:styleId="AFR4Char">
    <w:name w:val="AFR4 Char"/>
    <w:basedOn w:val="ReportHeading3Char"/>
    <w:link w:val="AFR4"/>
    <w:rsid w:val="00DD1612"/>
    <w:rPr>
      <w:b/>
      <w:i w:val="0"/>
      <w:kern w:val="0"/>
      <w:sz w:val="24"/>
      <w:szCs w:val="24"/>
      <w:u w:val="single"/>
      <w14:ligatures w14:val="none"/>
    </w:rPr>
  </w:style>
  <w:style w:type="paragraph" w:customStyle="1" w:styleId="AFR5">
    <w:name w:val="AFR5"/>
    <w:basedOn w:val="Normal"/>
    <w:link w:val="AFR5Char"/>
    <w:qFormat/>
    <w:rsid w:val="00DD1612"/>
    <w:pPr>
      <w:spacing w:before="120"/>
      <w:ind w:left="720"/>
      <w:jc w:val="both"/>
    </w:pPr>
    <w:rPr>
      <w:rFonts w:ascii="Calibri" w:hAnsi="Calibri" w:cs="Tahoma"/>
      <w:b/>
      <w:i/>
      <w:sz w:val="24"/>
    </w:rPr>
  </w:style>
  <w:style w:type="character" w:customStyle="1" w:styleId="AFR5Char">
    <w:name w:val="AFR5 Char"/>
    <w:basedOn w:val="DefaultParagraphFont"/>
    <w:link w:val="AFR5"/>
    <w:rsid w:val="00DD1612"/>
    <w:rPr>
      <w:rFonts w:ascii="Calibri" w:hAnsi="Calibri" w:cs="Tahoma"/>
      <w:b/>
      <w:i/>
      <w:kern w:val="0"/>
      <w:sz w:val="24"/>
      <w14:ligatures w14:val="none"/>
    </w:rPr>
  </w:style>
  <w:style w:type="paragraph" w:customStyle="1" w:styleId="Style1">
    <w:name w:val="Style1"/>
    <w:basedOn w:val="Normal"/>
    <w:link w:val="Style1Char"/>
    <w:qFormat/>
    <w:rsid w:val="00DD1612"/>
    <w:pPr>
      <w:keepNext/>
      <w:pBdr>
        <w:bottom w:val="single" w:sz="18" w:space="1" w:color="00688D"/>
      </w:pBdr>
      <w:suppressAutoHyphens/>
      <w:outlineLvl w:val="0"/>
    </w:pPr>
    <w:rPr>
      <w:rFonts w:ascii="Calibri" w:eastAsia="Times New Roman" w:hAnsi="Calibri" w:cs="Times New Roman"/>
      <w:b/>
      <w:i/>
      <w:caps/>
      <w:color w:val="000000"/>
      <w:spacing w:val="-3"/>
      <w:sz w:val="26"/>
      <w:szCs w:val="26"/>
      <w:u w:color="000000" w:themeColor="text1"/>
    </w:rPr>
  </w:style>
  <w:style w:type="character" w:customStyle="1" w:styleId="Style1Char">
    <w:name w:val="Style1 Char"/>
    <w:basedOn w:val="DefaultParagraphFont"/>
    <w:link w:val="Style1"/>
    <w:rsid w:val="00DD1612"/>
    <w:rPr>
      <w:rFonts w:ascii="Calibri" w:eastAsia="Times New Roman" w:hAnsi="Calibri" w:cs="Times New Roman"/>
      <w:b/>
      <w:i/>
      <w:caps/>
      <w:color w:val="000000"/>
      <w:spacing w:val="-3"/>
      <w:kern w:val="0"/>
      <w:sz w:val="26"/>
      <w:szCs w:val="26"/>
      <w:u w:color="000000" w:themeColor="text1"/>
      <w14:ligatures w14:val="none"/>
    </w:rPr>
  </w:style>
  <w:style w:type="character" w:styleId="EndnoteReference">
    <w:name w:val="endnote reference"/>
    <w:basedOn w:val="DefaultParagraphFont"/>
    <w:uiPriority w:val="99"/>
    <w:semiHidden/>
    <w:unhideWhenUsed/>
    <w:rsid w:val="00DD1612"/>
    <w:rPr>
      <w:vertAlign w:val="superscript"/>
    </w:rPr>
  </w:style>
  <w:style w:type="character" w:customStyle="1" w:styleId="UnresolvedMention1">
    <w:name w:val="Unresolved Mention1"/>
    <w:basedOn w:val="DefaultParagraphFont"/>
    <w:uiPriority w:val="99"/>
    <w:semiHidden/>
    <w:unhideWhenUsed/>
    <w:rsid w:val="00DD1612"/>
    <w:rPr>
      <w:color w:val="605E5C"/>
      <w:shd w:val="clear" w:color="auto" w:fill="E1DFDD"/>
    </w:rPr>
  </w:style>
  <w:style w:type="character" w:customStyle="1" w:styleId="UnresolvedMention2">
    <w:name w:val="Unresolved Mention2"/>
    <w:basedOn w:val="DefaultParagraphFont"/>
    <w:uiPriority w:val="99"/>
    <w:semiHidden/>
    <w:unhideWhenUsed/>
    <w:rsid w:val="00A76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4323">
      <w:bodyDiv w:val="1"/>
      <w:marLeft w:val="0"/>
      <w:marRight w:val="0"/>
      <w:marTop w:val="0"/>
      <w:marBottom w:val="0"/>
      <w:divBdr>
        <w:top w:val="none" w:sz="0" w:space="0" w:color="auto"/>
        <w:left w:val="none" w:sz="0" w:space="0" w:color="auto"/>
        <w:bottom w:val="none" w:sz="0" w:space="0" w:color="auto"/>
        <w:right w:val="none" w:sz="0" w:space="0" w:color="auto"/>
      </w:divBdr>
    </w:div>
    <w:div w:id="62915221">
      <w:bodyDiv w:val="1"/>
      <w:marLeft w:val="0"/>
      <w:marRight w:val="0"/>
      <w:marTop w:val="0"/>
      <w:marBottom w:val="0"/>
      <w:divBdr>
        <w:top w:val="none" w:sz="0" w:space="0" w:color="auto"/>
        <w:left w:val="none" w:sz="0" w:space="0" w:color="auto"/>
        <w:bottom w:val="none" w:sz="0" w:space="0" w:color="auto"/>
        <w:right w:val="none" w:sz="0" w:space="0" w:color="auto"/>
      </w:divBdr>
    </w:div>
    <w:div w:id="91249421">
      <w:bodyDiv w:val="1"/>
      <w:marLeft w:val="0"/>
      <w:marRight w:val="0"/>
      <w:marTop w:val="0"/>
      <w:marBottom w:val="0"/>
      <w:divBdr>
        <w:top w:val="none" w:sz="0" w:space="0" w:color="auto"/>
        <w:left w:val="none" w:sz="0" w:space="0" w:color="auto"/>
        <w:bottom w:val="none" w:sz="0" w:space="0" w:color="auto"/>
        <w:right w:val="none" w:sz="0" w:space="0" w:color="auto"/>
      </w:divBdr>
    </w:div>
    <w:div w:id="133644073">
      <w:bodyDiv w:val="1"/>
      <w:marLeft w:val="0"/>
      <w:marRight w:val="0"/>
      <w:marTop w:val="0"/>
      <w:marBottom w:val="0"/>
      <w:divBdr>
        <w:top w:val="none" w:sz="0" w:space="0" w:color="auto"/>
        <w:left w:val="none" w:sz="0" w:space="0" w:color="auto"/>
        <w:bottom w:val="none" w:sz="0" w:space="0" w:color="auto"/>
        <w:right w:val="none" w:sz="0" w:space="0" w:color="auto"/>
      </w:divBdr>
    </w:div>
    <w:div w:id="158272652">
      <w:bodyDiv w:val="1"/>
      <w:marLeft w:val="0"/>
      <w:marRight w:val="0"/>
      <w:marTop w:val="0"/>
      <w:marBottom w:val="0"/>
      <w:divBdr>
        <w:top w:val="none" w:sz="0" w:space="0" w:color="auto"/>
        <w:left w:val="none" w:sz="0" w:space="0" w:color="auto"/>
        <w:bottom w:val="none" w:sz="0" w:space="0" w:color="auto"/>
        <w:right w:val="none" w:sz="0" w:space="0" w:color="auto"/>
      </w:divBdr>
    </w:div>
    <w:div w:id="207618244">
      <w:bodyDiv w:val="1"/>
      <w:marLeft w:val="0"/>
      <w:marRight w:val="0"/>
      <w:marTop w:val="0"/>
      <w:marBottom w:val="0"/>
      <w:divBdr>
        <w:top w:val="none" w:sz="0" w:space="0" w:color="auto"/>
        <w:left w:val="none" w:sz="0" w:space="0" w:color="auto"/>
        <w:bottom w:val="none" w:sz="0" w:space="0" w:color="auto"/>
        <w:right w:val="none" w:sz="0" w:space="0" w:color="auto"/>
      </w:divBdr>
    </w:div>
    <w:div w:id="274408002">
      <w:bodyDiv w:val="1"/>
      <w:marLeft w:val="0"/>
      <w:marRight w:val="0"/>
      <w:marTop w:val="0"/>
      <w:marBottom w:val="0"/>
      <w:divBdr>
        <w:top w:val="none" w:sz="0" w:space="0" w:color="auto"/>
        <w:left w:val="none" w:sz="0" w:space="0" w:color="auto"/>
        <w:bottom w:val="none" w:sz="0" w:space="0" w:color="auto"/>
        <w:right w:val="none" w:sz="0" w:space="0" w:color="auto"/>
      </w:divBdr>
    </w:div>
    <w:div w:id="414938695">
      <w:bodyDiv w:val="1"/>
      <w:marLeft w:val="0"/>
      <w:marRight w:val="0"/>
      <w:marTop w:val="0"/>
      <w:marBottom w:val="0"/>
      <w:divBdr>
        <w:top w:val="none" w:sz="0" w:space="0" w:color="auto"/>
        <w:left w:val="none" w:sz="0" w:space="0" w:color="auto"/>
        <w:bottom w:val="none" w:sz="0" w:space="0" w:color="auto"/>
        <w:right w:val="none" w:sz="0" w:space="0" w:color="auto"/>
      </w:divBdr>
    </w:div>
    <w:div w:id="505947318">
      <w:bodyDiv w:val="1"/>
      <w:marLeft w:val="0"/>
      <w:marRight w:val="0"/>
      <w:marTop w:val="0"/>
      <w:marBottom w:val="0"/>
      <w:divBdr>
        <w:top w:val="none" w:sz="0" w:space="0" w:color="auto"/>
        <w:left w:val="none" w:sz="0" w:space="0" w:color="auto"/>
        <w:bottom w:val="none" w:sz="0" w:space="0" w:color="auto"/>
        <w:right w:val="none" w:sz="0" w:space="0" w:color="auto"/>
      </w:divBdr>
    </w:div>
    <w:div w:id="616327362">
      <w:bodyDiv w:val="1"/>
      <w:marLeft w:val="0"/>
      <w:marRight w:val="0"/>
      <w:marTop w:val="0"/>
      <w:marBottom w:val="0"/>
      <w:divBdr>
        <w:top w:val="none" w:sz="0" w:space="0" w:color="auto"/>
        <w:left w:val="none" w:sz="0" w:space="0" w:color="auto"/>
        <w:bottom w:val="none" w:sz="0" w:space="0" w:color="auto"/>
        <w:right w:val="none" w:sz="0" w:space="0" w:color="auto"/>
      </w:divBdr>
    </w:div>
    <w:div w:id="625891421">
      <w:bodyDiv w:val="1"/>
      <w:marLeft w:val="0"/>
      <w:marRight w:val="0"/>
      <w:marTop w:val="0"/>
      <w:marBottom w:val="0"/>
      <w:divBdr>
        <w:top w:val="none" w:sz="0" w:space="0" w:color="auto"/>
        <w:left w:val="none" w:sz="0" w:space="0" w:color="auto"/>
        <w:bottom w:val="none" w:sz="0" w:space="0" w:color="auto"/>
        <w:right w:val="none" w:sz="0" w:space="0" w:color="auto"/>
      </w:divBdr>
    </w:div>
    <w:div w:id="891816195">
      <w:bodyDiv w:val="1"/>
      <w:marLeft w:val="0"/>
      <w:marRight w:val="0"/>
      <w:marTop w:val="0"/>
      <w:marBottom w:val="0"/>
      <w:divBdr>
        <w:top w:val="none" w:sz="0" w:space="0" w:color="auto"/>
        <w:left w:val="none" w:sz="0" w:space="0" w:color="auto"/>
        <w:bottom w:val="none" w:sz="0" w:space="0" w:color="auto"/>
        <w:right w:val="none" w:sz="0" w:space="0" w:color="auto"/>
      </w:divBdr>
    </w:div>
    <w:div w:id="960116270">
      <w:bodyDiv w:val="1"/>
      <w:marLeft w:val="0"/>
      <w:marRight w:val="0"/>
      <w:marTop w:val="0"/>
      <w:marBottom w:val="0"/>
      <w:divBdr>
        <w:top w:val="none" w:sz="0" w:space="0" w:color="auto"/>
        <w:left w:val="none" w:sz="0" w:space="0" w:color="auto"/>
        <w:bottom w:val="none" w:sz="0" w:space="0" w:color="auto"/>
        <w:right w:val="none" w:sz="0" w:space="0" w:color="auto"/>
      </w:divBdr>
    </w:div>
    <w:div w:id="1033380307">
      <w:bodyDiv w:val="1"/>
      <w:marLeft w:val="0"/>
      <w:marRight w:val="0"/>
      <w:marTop w:val="0"/>
      <w:marBottom w:val="0"/>
      <w:divBdr>
        <w:top w:val="none" w:sz="0" w:space="0" w:color="auto"/>
        <w:left w:val="none" w:sz="0" w:space="0" w:color="auto"/>
        <w:bottom w:val="none" w:sz="0" w:space="0" w:color="auto"/>
        <w:right w:val="none" w:sz="0" w:space="0" w:color="auto"/>
      </w:divBdr>
    </w:div>
    <w:div w:id="1075393277">
      <w:bodyDiv w:val="1"/>
      <w:marLeft w:val="0"/>
      <w:marRight w:val="0"/>
      <w:marTop w:val="0"/>
      <w:marBottom w:val="0"/>
      <w:divBdr>
        <w:top w:val="none" w:sz="0" w:space="0" w:color="auto"/>
        <w:left w:val="none" w:sz="0" w:space="0" w:color="auto"/>
        <w:bottom w:val="none" w:sz="0" w:space="0" w:color="auto"/>
        <w:right w:val="none" w:sz="0" w:space="0" w:color="auto"/>
      </w:divBdr>
    </w:div>
    <w:div w:id="1081415788">
      <w:bodyDiv w:val="1"/>
      <w:marLeft w:val="0"/>
      <w:marRight w:val="0"/>
      <w:marTop w:val="0"/>
      <w:marBottom w:val="0"/>
      <w:divBdr>
        <w:top w:val="none" w:sz="0" w:space="0" w:color="auto"/>
        <w:left w:val="none" w:sz="0" w:space="0" w:color="auto"/>
        <w:bottom w:val="none" w:sz="0" w:space="0" w:color="auto"/>
        <w:right w:val="none" w:sz="0" w:space="0" w:color="auto"/>
      </w:divBdr>
    </w:div>
    <w:div w:id="1119227269">
      <w:bodyDiv w:val="1"/>
      <w:marLeft w:val="0"/>
      <w:marRight w:val="0"/>
      <w:marTop w:val="0"/>
      <w:marBottom w:val="0"/>
      <w:divBdr>
        <w:top w:val="none" w:sz="0" w:space="0" w:color="auto"/>
        <w:left w:val="none" w:sz="0" w:space="0" w:color="auto"/>
        <w:bottom w:val="none" w:sz="0" w:space="0" w:color="auto"/>
        <w:right w:val="none" w:sz="0" w:space="0" w:color="auto"/>
      </w:divBdr>
    </w:div>
    <w:div w:id="1148588836">
      <w:bodyDiv w:val="1"/>
      <w:marLeft w:val="0"/>
      <w:marRight w:val="0"/>
      <w:marTop w:val="0"/>
      <w:marBottom w:val="0"/>
      <w:divBdr>
        <w:top w:val="none" w:sz="0" w:space="0" w:color="auto"/>
        <w:left w:val="none" w:sz="0" w:space="0" w:color="auto"/>
        <w:bottom w:val="none" w:sz="0" w:space="0" w:color="auto"/>
        <w:right w:val="none" w:sz="0" w:space="0" w:color="auto"/>
      </w:divBdr>
    </w:div>
    <w:div w:id="1232350604">
      <w:bodyDiv w:val="1"/>
      <w:marLeft w:val="0"/>
      <w:marRight w:val="0"/>
      <w:marTop w:val="0"/>
      <w:marBottom w:val="0"/>
      <w:divBdr>
        <w:top w:val="none" w:sz="0" w:space="0" w:color="auto"/>
        <w:left w:val="none" w:sz="0" w:space="0" w:color="auto"/>
        <w:bottom w:val="none" w:sz="0" w:space="0" w:color="auto"/>
        <w:right w:val="none" w:sz="0" w:space="0" w:color="auto"/>
      </w:divBdr>
    </w:div>
    <w:div w:id="1247347907">
      <w:bodyDiv w:val="1"/>
      <w:marLeft w:val="0"/>
      <w:marRight w:val="0"/>
      <w:marTop w:val="0"/>
      <w:marBottom w:val="0"/>
      <w:divBdr>
        <w:top w:val="none" w:sz="0" w:space="0" w:color="auto"/>
        <w:left w:val="none" w:sz="0" w:space="0" w:color="auto"/>
        <w:bottom w:val="none" w:sz="0" w:space="0" w:color="auto"/>
        <w:right w:val="none" w:sz="0" w:space="0" w:color="auto"/>
      </w:divBdr>
    </w:div>
    <w:div w:id="1268149882">
      <w:bodyDiv w:val="1"/>
      <w:marLeft w:val="0"/>
      <w:marRight w:val="0"/>
      <w:marTop w:val="0"/>
      <w:marBottom w:val="0"/>
      <w:divBdr>
        <w:top w:val="none" w:sz="0" w:space="0" w:color="auto"/>
        <w:left w:val="none" w:sz="0" w:space="0" w:color="auto"/>
        <w:bottom w:val="none" w:sz="0" w:space="0" w:color="auto"/>
        <w:right w:val="none" w:sz="0" w:space="0" w:color="auto"/>
      </w:divBdr>
    </w:div>
    <w:div w:id="1304386591">
      <w:bodyDiv w:val="1"/>
      <w:marLeft w:val="0"/>
      <w:marRight w:val="0"/>
      <w:marTop w:val="0"/>
      <w:marBottom w:val="0"/>
      <w:divBdr>
        <w:top w:val="none" w:sz="0" w:space="0" w:color="auto"/>
        <w:left w:val="none" w:sz="0" w:space="0" w:color="auto"/>
        <w:bottom w:val="none" w:sz="0" w:space="0" w:color="auto"/>
        <w:right w:val="none" w:sz="0" w:space="0" w:color="auto"/>
      </w:divBdr>
    </w:div>
    <w:div w:id="1357389031">
      <w:bodyDiv w:val="1"/>
      <w:marLeft w:val="0"/>
      <w:marRight w:val="0"/>
      <w:marTop w:val="0"/>
      <w:marBottom w:val="0"/>
      <w:divBdr>
        <w:top w:val="none" w:sz="0" w:space="0" w:color="auto"/>
        <w:left w:val="none" w:sz="0" w:space="0" w:color="auto"/>
        <w:bottom w:val="none" w:sz="0" w:space="0" w:color="auto"/>
        <w:right w:val="none" w:sz="0" w:space="0" w:color="auto"/>
      </w:divBdr>
    </w:div>
    <w:div w:id="1442722683">
      <w:bodyDiv w:val="1"/>
      <w:marLeft w:val="0"/>
      <w:marRight w:val="0"/>
      <w:marTop w:val="0"/>
      <w:marBottom w:val="0"/>
      <w:divBdr>
        <w:top w:val="none" w:sz="0" w:space="0" w:color="auto"/>
        <w:left w:val="none" w:sz="0" w:space="0" w:color="auto"/>
        <w:bottom w:val="none" w:sz="0" w:space="0" w:color="auto"/>
        <w:right w:val="none" w:sz="0" w:space="0" w:color="auto"/>
      </w:divBdr>
    </w:div>
    <w:div w:id="1455560191">
      <w:bodyDiv w:val="1"/>
      <w:marLeft w:val="0"/>
      <w:marRight w:val="0"/>
      <w:marTop w:val="0"/>
      <w:marBottom w:val="0"/>
      <w:divBdr>
        <w:top w:val="none" w:sz="0" w:space="0" w:color="auto"/>
        <w:left w:val="none" w:sz="0" w:space="0" w:color="auto"/>
        <w:bottom w:val="none" w:sz="0" w:space="0" w:color="auto"/>
        <w:right w:val="none" w:sz="0" w:space="0" w:color="auto"/>
      </w:divBdr>
    </w:div>
    <w:div w:id="1465149426">
      <w:bodyDiv w:val="1"/>
      <w:marLeft w:val="0"/>
      <w:marRight w:val="0"/>
      <w:marTop w:val="0"/>
      <w:marBottom w:val="0"/>
      <w:divBdr>
        <w:top w:val="none" w:sz="0" w:space="0" w:color="auto"/>
        <w:left w:val="none" w:sz="0" w:space="0" w:color="auto"/>
        <w:bottom w:val="none" w:sz="0" w:space="0" w:color="auto"/>
        <w:right w:val="none" w:sz="0" w:space="0" w:color="auto"/>
      </w:divBdr>
    </w:div>
    <w:div w:id="1466200020">
      <w:bodyDiv w:val="1"/>
      <w:marLeft w:val="0"/>
      <w:marRight w:val="0"/>
      <w:marTop w:val="0"/>
      <w:marBottom w:val="0"/>
      <w:divBdr>
        <w:top w:val="none" w:sz="0" w:space="0" w:color="auto"/>
        <w:left w:val="none" w:sz="0" w:space="0" w:color="auto"/>
        <w:bottom w:val="none" w:sz="0" w:space="0" w:color="auto"/>
        <w:right w:val="none" w:sz="0" w:space="0" w:color="auto"/>
      </w:divBdr>
    </w:div>
    <w:div w:id="1510608180">
      <w:bodyDiv w:val="1"/>
      <w:marLeft w:val="0"/>
      <w:marRight w:val="0"/>
      <w:marTop w:val="0"/>
      <w:marBottom w:val="0"/>
      <w:divBdr>
        <w:top w:val="none" w:sz="0" w:space="0" w:color="auto"/>
        <w:left w:val="none" w:sz="0" w:space="0" w:color="auto"/>
        <w:bottom w:val="none" w:sz="0" w:space="0" w:color="auto"/>
        <w:right w:val="none" w:sz="0" w:space="0" w:color="auto"/>
      </w:divBdr>
    </w:div>
    <w:div w:id="1669476036">
      <w:bodyDiv w:val="1"/>
      <w:marLeft w:val="0"/>
      <w:marRight w:val="0"/>
      <w:marTop w:val="0"/>
      <w:marBottom w:val="0"/>
      <w:divBdr>
        <w:top w:val="none" w:sz="0" w:space="0" w:color="auto"/>
        <w:left w:val="none" w:sz="0" w:space="0" w:color="auto"/>
        <w:bottom w:val="none" w:sz="0" w:space="0" w:color="auto"/>
        <w:right w:val="none" w:sz="0" w:space="0" w:color="auto"/>
      </w:divBdr>
    </w:div>
    <w:div w:id="1711150710">
      <w:bodyDiv w:val="1"/>
      <w:marLeft w:val="0"/>
      <w:marRight w:val="0"/>
      <w:marTop w:val="0"/>
      <w:marBottom w:val="0"/>
      <w:divBdr>
        <w:top w:val="none" w:sz="0" w:space="0" w:color="auto"/>
        <w:left w:val="none" w:sz="0" w:space="0" w:color="auto"/>
        <w:bottom w:val="none" w:sz="0" w:space="0" w:color="auto"/>
        <w:right w:val="none" w:sz="0" w:space="0" w:color="auto"/>
      </w:divBdr>
    </w:div>
    <w:div w:id="1881745749">
      <w:bodyDiv w:val="1"/>
      <w:marLeft w:val="0"/>
      <w:marRight w:val="0"/>
      <w:marTop w:val="0"/>
      <w:marBottom w:val="0"/>
      <w:divBdr>
        <w:top w:val="none" w:sz="0" w:space="0" w:color="auto"/>
        <w:left w:val="none" w:sz="0" w:space="0" w:color="auto"/>
        <w:bottom w:val="none" w:sz="0" w:space="0" w:color="auto"/>
        <w:right w:val="none" w:sz="0" w:space="0" w:color="auto"/>
      </w:divBdr>
    </w:div>
    <w:div w:id="1899366161">
      <w:bodyDiv w:val="1"/>
      <w:marLeft w:val="0"/>
      <w:marRight w:val="0"/>
      <w:marTop w:val="0"/>
      <w:marBottom w:val="0"/>
      <w:divBdr>
        <w:top w:val="none" w:sz="0" w:space="0" w:color="auto"/>
        <w:left w:val="none" w:sz="0" w:space="0" w:color="auto"/>
        <w:bottom w:val="none" w:sz="0" w:space="0" w:color="auto"/>
        <w:right w:val="none" w:sz="0" w:space="0" w:color="auto"/>
      </w:divBdr>
    </w:div>
    <w:div w:id="1983805842">
      <w:bodyDiv w:val="1"/>
      <w:marLeft w:val="0"/>
      <w:marRight w:val="0"/>
      <w:marTop w:val="0"/>
      <w:marBottom w:val="0"/>
      <w:divBdr>
        <w:top w:val="none" w:sz="0" w:space="0" w:color="auto"/>
        <w:left w:val="none" w:sz="0" w:space="0" w:color="auto"/>
        <w:bottom w:val="none" w:sz="0" w:space="0" w:color="auto"/>
        <w:right w:val="none" w:sz="0" w:space="0" w:color="auto"/>
      </w:divBdr>
    </w:div>
    <w:div w:id="2000496310">
      <w:bodyDiv w:val="1"/>
      <w:marLeft w:val="0"/>
      <w:marRight w:val="0"/>
      <w:marTop w:val="0"/>
      <w:marBottom w:val="0"/>
      <w:divBdr>
        <w:top w:val="none" w:sz="0" w:space="0" w:color="auto"/>
        <w:left w:val="none" w:sz="0" w:space="0" w:color="auto"/>
        <w:bottom w:val="none" w:sz="0" w:space="0" w:color="auto"/>
        <w:right w:val="none" w:sz="0" w:space="0" w:color="auto"/>
      </w:divBdr>
    </w:div>
    <w:div w:id="2020155801">
      <w:bodyDiv w:val="1"/>
      <w:marLeft w:val="0"/>
      <w:marRight w:val="0"/>
      <w:marTop w:val="0"/>
      <w:marBottom w:val="0"/>
      <w:divBdr>
        <w:top w:val="none" w:sz="0" w:space="0" w:color="auto"/>
        <w:left w:val="none" w:sz="0" w:space="0" w:color="auto"/>
        <w:bottom w:val="none" w:sz="0" w:space="0" w:color="auto"/>
        <w:right w:val="none" w:sz="0" w:space="0" w:color="auto"/>
      </w:divBdr>
    </w:div>
    <w:div w:id="2034332351">
      <w:bodyDiv w:val="1"/>
      <w:marLeft w:val="0"/>
      <w:marRight w:val="0"/>
      <w:marTop w:val="0"/>
      <w:marBottom w:val="0"/>
      <w:divBdr>
        <w:top w:val="none" w:sz="0" w:space="0" w:color="auto"/>
        <w:left w:val="none" w:sz="0" w:space="0" w:color="auto"/>
        <w:bottom w:val="none" w:sz="0" w:space="0" w:color="auto"/>
        <w:right w:val="none" w:sz="0" w:space="0" w:color="auto"/>
      </w:divBdr>
    </w:div>
    <w:div w:id="2034378834">
      <w:bodyDiv w:val="1"/>
      <w:marLeft w:val="0"/>
      <w:marRight w:val="0"/>
      <w:marTop w:val="0"/>
      <w:marBottom w:val="0"/>
      <w:divBdr>
        <w:top w:val="none" w:sz="0" w:space="0" w:color="auto"/>
        <w:left w:val="none" w:sz="0" w:space="0" w:color="auto"/>
        <w:bottom w:val="none" w:sz="0" w:space="0" w:color="auto"/>
        <w:right w:val="none" w:sz="0" w:space="0" w:color="auto"/>
      </w:divBdr>
    </w:div>
    <w:div w:id="2055958645">
      <w:bodyDiv w:val="1"/>
      <w:marLeft w:val="0"/>
      <w:marRight w:val="0"/>
      <w:marTop w:val="0"/>
      <w:marBottom w:val="0"/>
      <w:divBdr>
        <w:top w:val="none" w:sz="0" w:space="0" w:color="auto"/>
        <w:left w:val="none" w:sz="0" w:space="0" w:color="auto"/>
        <w:bottom w:val="none" w:sz="0" w:space="0" w:color="auto"/>
        <w:right w:val="none" w:sz="0" w:space="0" w:color="auto"/>
      </w:divBdr>
    </w:div>
    <w:div w:id="2060590822">
      <w:bodyDiv w:val="1"/>
      <w:marLeft w:val="0"/>
      <w:marRight w:val="0"/>
      <w:marTop w:val="0"/>
      <w:marBottom w:val="0"/>
      <w:divBdr>
        <w:top w:val="none" w:sz="0" w:space="0" w:color="auto"/>
        <w:left w:val="none" w:sz="0" w:space="0" w:color="auto"/>
        <w:bottom w:val="none" w:sz="0" w:space="0" w:color="auto"/>
        <w:right w:val="none" w:sz="0" w:space="0" w:color="auto"/>
      </w:divBdr>
    </w:div>
    <w:div w:id="209180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5.emf"/><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17.xml"/><Relationship Id="rId89" Type="http://schemas.openxmlformats.org/officeDocument/2006/relationships/header" Target="header19.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chart" Target="charts/chart7.xml"/><Relationship Id="rId37" Type="http://schemas.openxmlformats.org/officeDocument/2006/relationships/header" Target="header6.xml"/><Relationship Id="rId53" Type="http://schemas.openxmlformats.org/officeDocument/2006/relationships/header" Target="header8.xml"/><Relationship Id="rId58" Type="http://schemas.openxmlformats.org/officeDocument/2006/relationships/footer" Target="footer12.xml"/><Relationship Id="rId74" Type="http://schemas.openxmlformats.org/officeDocument/2006/relationships/image" Target="media/image26.emf"/><Relationship Id="rId79" Type="http://schemas.openxmlformats.org/officeDocument/2006/relationships/image" Target="media/image31.emf"/><Relationship Id="rId5" Type="http://schemas.openxmlformats.org/officeDocument/2006/relationships/webSettings" Target="webSettings.xml"/><Relationship Id="rId90" Type="http://schemas.openxmlformats.org/officeDocument/2006/relationships/image" Target="media/image34.emf"/><Relationship Id="rId22" Type="http://schemas.openxmlformats.org/officeDocument/2006/relationships/chart" Target="charts/chart1.xml"/><Relationship Id="rId27" Type="http://schemas.openxmlformats.org/officeDocument/2006/relationships/chart" Target="charts/chart4.xml"/><Relationship Id="rId43" Type="http://schemas.openxmlformats.org/officeDocument/2006/relationships/image" Target="media/image11.emf"/><Relationship Id="rId48" Type="http://schemas.openxmlformats.org/officeDocument/2006/relationships/footer" Target="footer7.xml"/><Relationship Id="rId64" Type="http://schemas.openxmlformats.org/officeDocument/2006/relationships/image" Target="media/image18.emf"/><Relationship Id="rId69"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image" Target="media/image24.emf"/><Relationship Id="rId80" Type="http://schemas.openxmlformats.org/officeDocument/2006/relationships/header" Target="header14.xml"/><Relationship Id="rId85" Type="http://schemas.openxmlformats.org/officeDocument/2006/relationships/footer" Target="footer1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chart" Target="charts/chart8.xml"/><Relationship Id="rId38" Type="http://schemas.openxmlformats.org/officeDocument/2006/relationships/footer" Target="footer5.xml"/><Relationship Id="rId46" Type="http://schemas.openxmlformats.org/officeDocument/2006/relationships/image" Target="media/image14.emf"/><Relationship Id="rId59" Type="http://schemas.openxmlformats.org/officeDocument/2006/relationships/header" Target="header11.xml"/><Relationship Id="rId67" Type="http://schemas.openxmlformats.org/officeDocument/2006/relationships/footer" Target="footer15.xml"/><Relationship Id="rId20" Type="http://schemas.openxmlformats.org/officeDocument/2006/relationships/image" Target="media/image5.emf"/><Relationship Id="rId41" Type="http://schemas.openxmlformats.org/officeDocument/2006/relationships/header" Target="header7.xml"/><Relationship Id="rId54" Type="http://schemas.openxmlformats.org/officeDocument/2006/relationships/footer" Target="footer10.xml"/><Relationship Id="rId62" Type="http://schemas.openxmlformats.org/officeDocument/2006/relationships/header" Target="header13.xml"/><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header" Target="header16.xml"/><Relationship Id="rId88" Type="http://schemas.openxmlformats.org/officeDocument/2006/relationships/image" Target="media/image33.emf"/><Relationship Id="rId9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https://www.maine.edu/strategic-plan/" TargetMode="External"/><Relationship Id="rId49" Type="http://schemas.openxmlformats.org/officeDocument/2006/relationships/image" Target="media/image16.emf"/><Relationship Id="rId57" Type="http://schemas.openxmlformats.org/officeDocument/2006/relationships/header" Target="header10.xm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image" Target="media/image12.emf"/><Relationship Id="rId52" Type="http://schemas.openxmlformats.org/officeDocument/2006/relationships/image" Target="media/image17.emf"/><Relationship Id="rId60" Type="http://schemas.openxmlformats.org/officeDocument/2006/relationships/header" Target="header12.xml"/><Relationship Id="rId65" Type="http://schemas.openxmlformats.org/officeDocument/2006/relationships/image" Target="media/image19.emf"/><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header" Target="header15.xml"/><Relationship Id="rId86"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yperlink" Target="https://www.maine.edu/finance/policies-procedures-and-reports/annual-financial-reports/" TargetMode="Externa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image" Target="media/image9.emf"/><Relationship Id="rId34" Type="http://schemas.openxmlformats.org/officeDocument/2006/relationships/chart" Target="charts/chart9.xml"/><Relationship Id="rId50" Type="http://schemas.openxmlformats.org/officeDocument/2006/relationships/footer" Target="footer8.xml"/><Relationship Id="rId55" Type="http://schemas.openxmlformats.org/officeDocument/2006/relationships/header" Target="header9.xml"/><Relationship Id="rId76"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5.xml"/><Relationship Id="rId40" Type="http://schemas.openxmlformats.org/officeDocument/2006/relationships/image" Target="media/image10.emf"/><Relationship Id="rId45" Type="http://schemas.openxmlformats.org/officeDocument/2006/relationships/image" Target="media/image13.emf"/><Relationship Id="rId66" Type="http://schemas.openxmlformats.org/officeDocument/2006/relationships/image" Target="media/image20.emf"/><Relationship Id="rId87" Type="http://schemas.openxmlformats.org/officeDocument/2006/relationships/image" Target="media/image32.png"/><Relationship Id="rId61" Type="http://schemas.openxmlformats.org/officeDocument/2006/relationships/footer" Target="footer13.xml"/><Relationship Id="rId82" Type="http://schemas.openxmlformats.org/officeDocument/2006/relationships/footer" Target="footer17.xml"/><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chart" Target="charts/chart10.xml"/><Relationship Id="rId56" Type="http://schemas.openxmlformats.org/officeDocument/2006/relationships/footer" Target="footer11.xml"/><Relationship Id="rId77"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1.C2.T1%20Fall%20Enrol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IP.C11%20Gifts%20by%20Donor%20Type%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1.C2.T1%20Fall%20Enro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3-6%20MIP%20&amp;%20Endowment%20Investments%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3-6%20MIP%20&amp;%20Endowment%20Investments%20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3-6%20MIP%20&amp;%20Endowment%20Investments%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8.%20Oper%20and%20Nonoper%20Revenue%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IP.C8%20Student%20Financial%20Aid%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9%20Grants%20&amp;%20Contracts%20Recovery%20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3\YEFY23%20WKPS\Fin%20Stmts%20FY23\AFS%20FY23\2023%20MD&amp;A%20Charts%20&amp;%20Tables\C10.Noncapital%20State%20Appr%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 Student Enrollment by Headcount</a:t>
            </a:r>
          </a:p>
        </c:rich>
      </c:tx>
      <c:layout>
        <c:manualLayout>
          <c:xMode val="edge"/>
          <c:yMode val="edge"/>
          <c:x val="0.15011789151356081"/>
          <c:y val="7.9365079365079361E-3"/>
        </c:manualLayout>
      </c:layout>
      <c:overlay val="0"/>
      <c:spPr>
        <a:noFill/>
        <a:ln>
          <a:noFill/>
        </a:ln>
        <a:effectLst/>
      </c:spPr>
    </c:title>
    <c:autoTitleDeleted val="0"/>
    <c:plotArea>
      <c:layout>
        <c:manualLayout>
          <c:layoutTarget val="inner"/>
          <c:xMode val="edge"/>
          <c:yMode val="edge"/>
          <c:x val="0.12192825896762904"/>
          <c:y val="0.17496031746031745"/>
          <c:w val="0.85307174103237104"/>
          <c:h val="0.65411354830646173"/>
        </c:manualLayout>
      </c:layout>
      <c:lineChart>
        <c:grouping val="standard"/>
        <c:varyColors val="0"/>
        <c:ser>
          <c:idx val="3"/>
          <c:order val="0"/>
          <c:tx>
            <c:strRef>
              <c:f>'Chart 1 Enroll by Headcount'!$E$4</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2018</c:v>
                </c:pt>
                <c:pt idx="1">
                  <c:v>Fall 2019</c:v>
                </c:pt>
                <c:pt idx="2">
                  <c:v>Fall 2020</c:v>
                </c:pt>
                <c:pt idx="3">
                  <c:v>Fall 2021</c:v>
                </c:pt>
                <c:pt idx="4">
                  <c:v>Fall 2022</c:v>
                </c:pt>
              </c:strCache>
            </c:strRef>
          </c:cat>
          <c:val>
            <c:numRef>
              <c:f>'Chart 1 Enroll by Headcount'!$E$5:$E$9</c:f>
              <c:numCache>
                <c:formatCode>_(* #,##0_);_(* \(#,##0\);_(* "-"??_);_(@_)</c:formatCode>
                <c:ptCount val="5"/>
                <c:pt idx="0">
                  <c:v>29735</c:v>
                </c:pt>
                <c:pt idx="1">
                  <c:v>29974</c:v>
                </c:pt>
                <c:pt idx="2">
                  <c:v>29683</c:v>
                </c:pt>
                <c:pt idx="3">
                  <c:v>30139</c:v>
                </c:pt>
                <c:pt idx="4">
                  <c:v>29254</c:v>
                </c:pt>
              </c:numCache>
            </c:numRef>
          </c:val>
          <c:smooth val="0"/>
          <c:extLst>
            <c:ext xmlns:c16="http://schemas.microsoft.com/office/drawing/2014/chart" uri="{C3380CC4-5D6E-409C-BE32-E72D297353CC}">
              <c16:uniqueId val="{00000000-AA34-4A24-A2B0-5013CA2DD84E}"/>
            </c:ext>
          </c:extLst>
        </c:ser>
        <c:ser>
          <c:idx val="1"/>
          <c:order val="1"/>
          <c:tx>
            <c:strRef>
              <c:f>'Chart 1 Enroll by Headcount'!$C$4</c:f>
              <c:strCache>
                <c:ptCount val="1"/>
                <c:pt idx="0">
                  <c:v>Full-Time</c:v>
                </c:pt>
              </c:strCache>
            </c:strRef>
          </c:tx>
          <c:spPr>
            <a:ln w="28575" cap="rnd">
              <a:solidFill>
                <a:schemeClr val="accent2"/>
              </a:solidFill>
              <a:round/>
            </a:ln>
            <a:effectLst/>
          </c:spPr>
          <c:marker>
            <c:symbol val="squar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2018</c:v>
                </c:pt>
                <c:pt idx="1">
                  <c:v>Fall 2019</c:v>
                </c:pt>
                <c:pt idx="2">
                  <c:v>Fall 2020</c:v>
                </c:pt>
                <c:pt idx="3">
                  <c:v>Fall 2021</c:v>
                </c:pt>
                <c:pt idx="4">
                  <c:v>Fall 2022</c:v>
                </c:pt>
              </c:strCache>
            </c:strRef>
          </c:cat>
          <c:val>
            <c:numRef>
              <c:f>'Chart 1 Enroll by Headcount'!$C$5:$C$9</c:f>
              <c:numCache>
                <c:formatCode>_(* #,##0_);_(* \(#,##0\);_(* "-"??_);_(@_)</c:formatCode>
                <c:ptCount val="5"/>
                <c:pt idx="0">
                  <c:v>18877</c:v>
                </c:pt>
                <c:pt idx="1">
                  <c:v>18750</c:v>
                </c:pt>
                <c:pt idx="2">
                  <c:v>18631</c:v>
                </c:pt>
                <c:pt idx="3">
                  <c:v>18500</c:v>
                </c:pt>
                <c:pt idx="4">
                  <c:v>17329</c:v>
                </c:pt>
              </c:numCache>
            </c:numRef>
          </c:val>
          <c:smooth val="0"/>
          <c:extLst>
            <c:ext xmlns:c16="http://schemas.microsoft.com/office/drawing/2014/chart" uri="{C3380CC4-5D6E-409C-BE32-E72D297353CC}">
              <c16:uniqueId val="{00000001-AA34-4A24-A2B0-5013CA2DD84E}"/>
            </c:ext>
          </c:extLst>
        </c:ser>
        <c:ser>
          <c:idx val="2"/>
          <c:order val="2"/>
          <c:tx>
            <c:strRef>
              <c:f>'Chart 1 Enroll by Headcount'!$D$4</c:f>
              <c:strCache>
                <c:ptCount val="1"/>
                <c:pt idx="0">
                  <c:v>Part-Time</c:v>
                </c:pt>
              </c:strCache>
            </c:strRef>
          </c:tx>
          <c:spPr>
            <a:ln w="28575" cap="rnd">
              <a:solidFill>
                <a:schemeClr val="accent3"/>
              </a:solidFill>
              <a:round/>
            </a:ln>
            <a:effectLst/>
          </c:spPr>
          <c:marker>
            <c:symbol val="triangl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2018</c:v>
                </c:pt>
                <c:pt idx="1">
                  <c:v>Fall 2019</c:v>
                </c:pt>
                <c:pt idx="2">
                  <c:v>Fall 2020</c:v>
                </c:pt>
                <c:pt idx="3">
                  <c:v>Fall 2021</c:v>
                </c:pt>
                <c:pt idx="4">
                  <c:v>Fall 2022</c:v>
                </c:pt>
              </c:strCache>
            </c:strRef>
          </c:cat>
          <c:val>
            <c:numRef>
              <c:f>'Chart 1 Enroll by Headcount'!$D$5:$D$9</c:f>
              <c:numCache>
                <c:formatCode>_(* #,##0_);_(* \(#,##0\);_(* "-"??_);_(@_)</c:formatCode>
                <c:ptCount val="5"/>
                <c:pt idx="0">
                  <c:v>7885</c:v>
                </c:pt>
                <c:pt idx="1">
                  <c:v>7657</c:v>
                </c:pt>
                <c:pt idx="2">
                  <c:v>7621</c:v>
                </c:pt>
                <c:pt idx="3">
                  <c:v>7611</c:v>
                </c:pt>
                <c:pt idx="4">
                  <c:v>7479</c:v>
                </c:pt>
              </c:numCache>
            </c:numRef>
          </c:val>
          <c:smooth val="0"/>
          <c:extLst>
            <c:ext xmlns:c16="http://schemas.microsoft.com/office/drawing/2014/chart" uri="{C3380CC4-5D6E-409C-BE32-E72D297353CC}">
              <c16:uniqueId val="{00000002-AA34-4A24-A2B0-5013CA2DD84E}"/>
            </c:ext>
          </c:extLst>
        </c:ser>
        <c:ser>
          <c:idx val="0"/>
          <c:order val="3"/>
          <c:tx>
            <c:strRef>
              <c:f>'Chart 1 Enroll by Headcount'!$B$4</c:f>
              <c:strCache>
                <c:ptCount val="1"/>
                <c:pt idx="0">
                  <c:v>Early College</c:v>
                </c:pt>
              </c:strCache>
            </c:strRef>
          </c:tx>
          <c:spPr>
            <a:ln w="28575" cap="rnd">
              <a:solidFill>
                <a:schemeClr val="accent1"/>
              </a:solidFill>
              <a:round/>
            </a:ln>
            <a:effectLst/>
          </c:spPr>
          <c:marker>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2018</c:v>
                </c:pt>
                <c:pt idx="1">
                  <c:v>Fall 2019</c:v>
                </c:pt>
                <c:pt idx="2">
                  <c:v>Fall 2020</c:v>
                </c:pt>
                <c:pt idx="3">
                  <c:v>Fall 2021</c:v>
                </c:pt>
                <c:pt idx="4">
                  <c:v>Fall 2022</c:v>
                </c:pt>
              </c:strCache>
            </c:strRef>
          </c:cat>
          <c:val>
            <c:numRef>
              <c:f>'Chart 1 Enroll by Headcount'!$B$5:$B$9</c:f>
              <c:numCache>
                <c:formatCode>_(* #,##0_);_(* \(#,##0\);_(* "-"??_);_(@_)</c:formatCode>
                <c:ptCount val="5"/>
                <c:pt idx="0">
                  <c:v>2973</c:v>
                </c:pt>
                <c:pt idx="1">
                  <c:v>3567</c:v>
                </c:pt>
                <c:pt idx="2">
                  <c:v>3431</c:v>
                </c:pt>
                <c:pt idx="3">
                  <c:v>4028</c:v>
                </c:pt>
                <c:pt idx="4">
                  <c:v>4446</c:v>
                </c:pt>
              </c:numCache>
            </c:numRef>
          </c:val>
          <c:smooth val="0"/>
          <c:extLst>
            <c:ext xmlns:c16="http://schemas.microsoft.com/office/drawing/2014/chart" uri="{C3380CC4-5D6E-409C-BE32-E72D297353CC}">
              <c16:uniqueId val="{00000003-AA34-4A24-A2B0-5013CA2DD84E}"/>
            </c:ext>
          </c:extLst>
        </c:ser>
        <c:dLbls>
          <c:dLblPos val="t"/>
          <c:showLegendKey val="0"/>
          <c:showVal val="1"/>
          <c:showCatName val="0"/>
          <c:showSerName val="0"/>
          <c:showPercent val="0"/>
          <c:showBubbleSize val="0"/>
        </c:dLbls>
        <c:marker val="1"/>
        <c:smooth val="0"/>
        <c:axId val="1935212159"/>
        <c:axId val="157327727"/>
      </c:lineChart>
      <c:catAx>
        <c:axId val="193521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7327727"/>
        <c:crosses val="autoZero"/>
        <c:auto val="1"/>
        <c:lblAlgn val="ctr"/>
        <c:lblOffset val="100"/>
        <c:noMultiLvlLbl val="0"/>
      </c:catAx>
      <c:valAx>
        <c:axId val="157327727"/>
        <c:scaling>
          <c:orientation val="minMax"/>
          <c:max val="3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3521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10: Gifts by Donor Type
</a:t>
            </a:r>
            <a:r>
              <a:rPr lang="en-US" sz="1100" b="1">
                <a:solidFill>
                  <a:schemeClr val="tx1">
                    <a:lumMod val="95000"/>
                    <a:lumOff val="5000"/>
                  </a:schemeClr>
                </a:solidFill>
              </a:rPr>
              <a:t>(In millions)</a:t>
            </a:r>
          </a:p>
        </c:rich>
      </c:tx>
      <c:layout>
        <c:manualLayout>
          <c:xMode val="edge"/>
          <c:yMode val="edge"/>
          <c:x val="0.29378455818022747"/>
          <c:y val="0"/>
        </c:manualLayout>
      </c:layout>
      <c:overlay val="0"/>
      <c:spPr>
        <a:noFill/>
        <a:ln>
          <a:noFill/>
        </a:ln>
        <a:effectLst/>
      </c:spPr>
    </c:title>
    <c:autoTitleDeleted val="0"/>
    <c:plotArea>
      <c:layout/>
      <c:barChart>
        <c:barDir val="col"/>
        <c:grouping val="clustered"/>
        <c:varyColors val="0"/>
        <c:ser>
          <c:idx val="0"/>
          <c:order val="0"/>
          <c:tx>
            <c:strRef>
              <c:f>'Chart 11'!$B$1</c:f>
              <c:strCache>
                <c:ptCount val="1"/>
                <c:pt idx="0">
                  <c:v>University Foundations</c:v>
                </c:pt>
              </c:strCache>
            </c:strRef>
          </c:tx>
          <c:spPr>
            <a:solidFill>
              <a:srgbClr val="00688D"/>
            </a:solidFill>
            <a:ln>
              <a:noFill/>
            </a:ln>
            <a:effectLst/>
            <a:scene3d>
              <a:camera prst="orthographicFront"/>
              <a:lightRig rig="threePt" dir="t"/>
            </a:scene3d>
            <a:sp3d>
              <a:bevelT h="50800"/>
            </a:sp3d>
          </c:spPr>
          <c:invertIfNegative val="0"/>
          <c:cat>
            <c:strRef>
              <c:f>'Chart 11'!$A$11:$A$15</c:f>
              <c:strCache>
                <c:ptCount val="5"/>
                <c:pt idx="0">
                  <c:v>FY19</c:v>
                </c:pt>
                <c:pt idx="1">
                  <c:v>FY20</c:v>
                </c:pt>
                <c:pt idx="2">
                  <c:v>FY21</c:v>
                </c:pt>
                <c:pt idx="3">
                  <c:v>FY22</c:v>
                </c:pt>
                <c:pt idx="4">
                  <c:v>FY23</c:v>
                </c:pt>
              </c:strCache>
              <c:extLst/>
            </c:strRef>
          </c:cat>
          <c:val>
            <c:numRef>
              <c:f>'Chart 11'!$B$11:$B$15</c:f>
              <c:numCache>
                <c:formatCode>"$"#,##0_);[Red]\("$"#,##0\)</c:formatCode>
                <c:ptCount val="5"/>
                <c:pt idx="0">
                  <c:v>13</c:v>
                </c:pt>
                <c:pt idx="1">
                  <c:v>13.67212818</c:v>
                </c:pt>
                <c:pt idx="2">
                  <c:v>15</c:v>
                </c:pt>
                <c:pt idx="3">
                  <c:v>38</c:v>
                </c:pt>
                <c:pt idx="4">
                  <c:v>22</c:v>
                </c:pt>
              </c:numCache>
              <c:extLst/>
            </c:numRef>
          </c:val>
          <c:extLst>
            <c:ext xmlns:c16="http://schemas.microsoft.com/office/drawing/2014/chart" uri="{C3380CC4-5D6E-409C-BE32-E72D297353CC}">
              <c16:uniqueId val="{00000000-CD9C-442C-996D-87015C7C53BE}"/>
            </c:ext>
          </c:extLst>
        </c:ser>
        <c:ser>
          <c:idx val="1"/>
          <c:order val="1"/>
          <c:tx>
            <c:strRef>
              <c:f>'Chart 11'!$C$1</c:f>
              <c:strCache>
                <c:ptCount val="1"/>
                <c:pt idx="0">
                  <c:v>Corporations</c:v>
                </c:pt>
              </c:strCache>
            </c:strRef>
          </c:tx>
          <c:spPr>
            <a:solidFill>
              <a:srgbClr val="F6A800"/>
            </a:solidFill>
            <a:ln>
              <a:noFill/>
            </a:ln>
            <a:effectLst/>
            <a:scene3d>
              <a:camera prst="orthographicFront"/>
              <a:lightRig rig="threePt" dir="t"/>
            </a:scene3d>
            <a:sp3d>
              <a:bevelT h="50800"/>
            </a:sp3d>
          </c:spPr>
          <c:invertIfNegative val="0"/>
          <c:cat>
            <c:strRef>
              <c:f>'Chart 11'!$A$11:$A$15</c:f>
              <c:strCache>
                <c:ptCount val="5"/>
                <c:pt idx="0">
                  <c:v>FY19</c:v>
                </c:pt>
                <c:pt idx="1">
                  <c:v>FY20</c:v>
                </c:pt>
                <c:pt idx="2">
                  <c:v>FY21</c:v>
                </c:pt>
                <c:pt idx="3">
                  <c:v>FY22</c:v>
                </c:pt>
                <c:pt idx="4">
                  <c:v>FY23</c:v>
                </c:pt>
              </c:strCache>
              <c:extLst/>
            </c:strRef>
          </c:cat>
          <c:val>
            <c:numRef>
              <c:f>'Chart 11'!$C$11:$C$15</c:f>
              <c:numCache>
                <c:formatCode>"$"#,##0_);[Red]\("$"#,##0\)</c:formatCode>
                <c:ptCount val="5"/>
                <c:pt idx="0">
                  <c:v>2</c:v>
                </c:pt>
                <c:pt idx="1">
                  <c:v>1.0671135599999999</c:v>
                </c:pt>
                <c:pt idx="2">
                  <c:v>2</c:v>
                </c:pt>
                <c:pt idx="3">
                  <c:v>2</c:v>
                </c:pt>
                <c:pt idx="4">
                  <c:v>2</c:v>
                </c:pt>
              </c:numCache>
              <c:extLst/>
            </c:numRef>
          </c:val>
          <c:extLst>
            <c:ext xmlns:c16="http://schemas.microsoft.com/office/drawing/2014/chart" uri="{C3380CC4-5D6E-409C-BE32-E72D297353CC}">
              <c16:uniqueId val="{00000001-CD9C-442C-996D-87015C7C53BE}"/>
            </c:ext>
          </c:extLst>
        </c:ser>
        <c:ser>
          <c:idx val="2"/>
          <c:order val="2"/>
          <c:tx>
            <c:strRef>
              <c:f>'Chart 11'!$D$1</c:f>
              <c:strCache>
                <c:ptCount val="1"/>
                <c:pt idx="0">
                  <c:v>Non-Profits</c:v>
                </c:pt>
              </c:strCache>
            </c:strRef>
          </c:tx>
          <c:spPr>
            <a:solidFill>
              <a:srgbClr val="791134"/>
            </a:solidFill>
            <a:ln>
              <a:noFill/>
            </a:ln>
            <a:effectLst/>
            <a:scene3d>
              <a:camera prst="orthographicFront"/>
              <a:lightRig rig="threePt" dir="t"/>
            </a:scene3d>
            <a:sp3d>
              <a:bevelT h="50800"/>
            </a:sp3d>
          </c:spPr>
          <c:invertIfNegative val="0"/>
          <c:cat>
            <c:strRef>
              <c:f>'Chart 11'!$A$11:$A$15</c:f>
              <c:strCache>
                <c:ptCount val="5"/>
                <c:pt idx="0">
                  <c:v>FY19</c:v>
                </c:pt>
                <c:pt idx="1">
                  <c:v>FY20</c:v>
                </c:pt>
                <c:pt idx="2">
                  <c:v>FY21</c:v>
                </c:pt>
                <c:pt idx="3">
                  <c:v>FY22</c:v>
                </c:pt>
                <c:pt idx="4">
                  <c:v>FY23</c:v>
                </c:pt>
              </c:strCache>
              <c:extLst/>
            </c:strRef>
          </c:cat>
          <c:val>
            <c:numRef>
              <c:f>'Chart 11'!$D$11:$D$15</c:f>
              <c:numCache>
                <c:formatCode>"$"#,##0_);[Red]\("$"#,##0\)</c:formatCode>
                <c:ptCount val="5"/>
                <c:pt idx="0">
                  <c:v>8</c:v>
                </c:pt>
                <c:pt idx="1">
                  <c:v>2.59343718</c:v>
                </c:pt>
                <c:pt idx="2">
                  <c:v>4</c:v>
                </c:pt>
                <c:pt idx="3">
                  <c:v>3</c:v>
                </c:pt>
                <c:pt idx="4">
                  <c:v>5</c:v>
                </c:pt>
              </c:numCache>
              <c:extLst/>
            </c:numRef>
          </c:val>
          <c:extLst>
            <c:ext xmlns:c16="http://schemas.microsoft.com/office/drawing/2014/chart" uri="{C3380CC4-5D6E-409C-BE32-E72D297353CC}">
              <c16:uniqueId val="{00000002-CD9C-442C-996D-87015C7C53BE}"/>
            </c:ext>
          </c:extLst>
        </c:ser>
        <c:ser>
          <c:idx val="3"/>
          <c:order val="3"/>
          <c:tx>
            <c:strRef>
              <c:f>'Chart 11'!$E$1</c:f>
              <c:strCache>
                <c:ptCount val="1"/>
                <c:pt idx="0">
                  <c:v>Alumni</c:v>
                </c:pt>
              </c:strCache>
            </c:strRef>
          </c:tx>
          <c:spPr>
            <a:solidFill>
              <a:srgbClr val="919494"/>
            </a:solidFill>
            <a:ln>
              <a:noFill/>
            </a:ln>
            <a:effectLst/>
            <a:scene3d>
              <a:camera prst="orthographicFront"/>
              <a:lightRig rig="threePt" dir="t"/>
            </a:scene3d>
            <a:sp3d>
              <a:bevelT h="50800"/>
            </a:sp3d>
          </c:spPr>
          <c:invertIfNegative val="0"/>
          <c:cat>
            <c:strRef>
              <c:f>'Chart 11'!$A$11:$A$15</c:f>
              <c:strCache>
                <c:ptCount val="5"/>
                <c:pt idx="0">
                  <c:v>FY19</c:v>
                </c:pt>
                <c:pt idx="1">
                  <c:v>FY20</c:v>
                </c:pt>
                <c:pt idx="2">
                  <c:v>FY21</c:v>
                </c:pt>
                <c:pt idx="3">
                  <c:v>FY22</c:v>
                </c:pt>
                <c:pt idx="4">
                  <c:v>FY23</c:v>
                </c:pt>
              </c:strCache>
              <c:extLst/>
            </c:strRef>
          </c:cat>
          <c:val>
            <c:numRef>
              <c:f>'Chart 11'!$E$11:$E$15</c:f>
              <c:numCache>
                <c:formatCode>"$"#,##0_);[Red]\("$"#,##0\)</c:formatCode>
                <c:ptCount val="5"/>
                <c:pt idx="0">
                  <c:v>1</c:v>
                </c:pt>
                <c:pt idx="1">
                  <c:v>0.23400000000000001</c:v>
                </c:pt>
                <c:pt idx="2">
                  <c:v>2</c:v>
                </c:pt>
                <c:pt idx="3">
                  <c:v>2</c:v>
                </c:pt>
                <c:pt idx="4">
                  <c:v>0</c:v>
                </c:pt>
              </c:numCache>
              <c:extLst/>
            </c:numRef>
          </c:val>
          <c:extLst>
            <c:ext xmlns:c16="http://schemas.microsoft.com/office/drawing/2014/chart" uri="{C3380CC4-5D6E-409C-BE32-E72D297353CC}">
              <c16:uniqueId val="{00000003-CD9C-442C-996D-87015C7C53BE}"/>
            </c:ext>
          </c:extLst>
        </c:ser>
        <c:ser>
          <c:idx val="4"/>
          <c:order val="4"/>
          <c:tx>
            <c:strRef>
              <c:f>'Chart 11'!$F$1</c:f>
              <c:strCache>
                <c:ptCount val="1"/>
                <c:pt idx="0">
                  <c:v>Other</c:v>
                </c:pt>
              </c:strCache>
            </c:strRef>
          </c:tx>
          <c:spPr>
            <a:solidFill>
              <a:srgbClr val="05543F"/>
            </a:solidFill>
            <a:ln>
              <a:noFill/>
            </a:ln>
            <a:effectLst/>
            <a:scene3d>
              <a:camera prst="orthographicFront"/>
              <a:lightRig rig="threePt" dir="t"/>
            </a:scene3d>
            <a:sp3d>
              <a:bevelT h="50800"/>
            </a:sp3d>
          </c:spPr>
          <c:invertIfNegative val="0"/>
          <c:cat>
            <c:strRef>
              <c:f>'Chart 11'!$A$11:$A$15</c:f>
              <c:strCache>
                <c:ptCount val="5"/>
                <c:pt idx="0">
                  <c:v>FY19</c:v>
                </c:pt>
                <c:pt idx="1">
                  <c:v>FY20</c:v>
                </c:pt>
                <c:pt idx="2">
                  <c:v>FY21</c:v>
                </c:pt>
                <c:pt idx="3">
                  <c:v>FY22</c:v>
                </c:pt>
                <c:pt idx="4">
                  <c:v>FY23</c:v>
                </c:pt>
              </c:strCache>
              <c:extLst/>
            </c:strRef>
          </c:cat>
          <c:val>
            <c:numRef>
              <c:f>'Chart 11'!$F$11:$F$15</c:f>
              <c:numCache>
                <c:formatCode>"$"#,##0_);[Red]\("$"#,##0\)</c:formatCode>
                <c:ptCount val="5"/>
                <c:pt idx="0">
                  <c:v>3</c:v>
                </c:pt>
                <c:pt idx="1">
                  <c:v>2.0920000000000001</c:v>
                </c:pt>
                <c:pt idx="2">
                  <c:v>3</c:v>
                </c:pt>
                <c:pt idx="3">
                  <c:v>2</c:v>
                </c:pt>
                <c:pt idx="4">
                  <c:v>6</c:v>
                </c:pt>
              </c:numCache>
              <c:extLst/>
            </c:numRef>
          </c:val>
          <c:extLst>
            <c:ext xmlns:c16="http://schemas.microsoft.com/office/drawing/2014/chart" uri="{C3380CC4-5D6E-409C-BE32-E72D297353CC}">
              <c16:uniqueId val="{00000004-CD9C-442C-996D-87015C7C53BE}"/>
            </c:ext>
          </c:extLst>
        </c:ser>
        <c:dLbls>
          <c:showLegendKey val="0"/>
          <c:showVal val="0"/>
          <c:showCatName val="0"/>
          <c:showSerName val="0"/>
          <c:showPercent val="0"/>
          <c:showBubbleSize val="0"/>
        </c:dLbls>
        <c:gapWidth val="219"/>
        <c:axId val="1238056320"/>
        <c:axId val="1238056736"/>
      </c:barChart>
      <c:barChart>
        <c:barDir val="col"/>
        <c:grouping val="clustered"/>
        <c:varyColors val="0"/>
        <c:ser>
          <c:idx val="5"/>
          <c:order val="5"/>
          <c:tx>
            <c:strRef>
              <c:f>'Chart 11'!$G$1</c:f>
              <c:strCache>
                <c:ptCount val="1"/>
                <c:pt idx="0">
                  <c:v>Total</c:v>
                </c:pt>
              </c:strCache>
            </c:strRef>
          </c:tx>
          <c:spPr>
            <a:solidFill>
              <a:srgbClr val="8CB8DC">
                <a:alpha val="25000"/>
              </a:srgbClr>
            </a:solidFill>
            <a:ln>
              <a:solidFill>
                <a:srgbClr val="8CB8DC">
                  <a:alpha val="50000"/>
                </a:srgbClr>
              </a:solidFill>
            </a:ln>
            <a:scene3d>
              <a:camera prst="orthographicFront"/>
              <a:lightRig rig="threePt" dir="t"/>
            </a:scene3d>
            <a:sp3d>
              <a:bevelT h="50800"/>
            </a:sp3d>
          </c:spPr>
          <c:invertIfNegative val="0"/>
          <c:dLbls>
            <c:spPr>
              <a:noFill/>
              <a:ln>
                <a:noFill/>
              </a:ln>
              <a:effectLst/>
            </c:spPr>
            <c:txPr>
              <a:bodyPr wrap="square" lIns="0" tIns="0" rIns="0" bIns="0" anchor="ctr">
                <a:spAutoFit/>
              </a:bodyPr>
              <a:lstStyle/>
              <a:p>
                <a:pPr>
                  <a:defRPr sz="900" b="1">
                    <a:solidFill>
                      <a:schemeClr val="tx1">
                        <a:lumMod val="95000"/>
                        <a:lumOff val="5000"/>
                      </a:schemeClr>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11'!$A$11:$A$15</c:f>
              <c:strCache>
                <c:ptCount val="5"/>
                <c:pt idx="0">
                  <c:v>FY19</c:v>
                </c:pt>
                <c:pt idx="1">
                  <c:v>FY20</c:v>
                </c:pt>
                <c:pt idx="2">
                  <c:v>FY21</c:v>
                </c:pt>
                <c:pt idx="3">
                  <c:v>FY22</c:v>
                </c:pt>
                <c:pt idx="4">
                  <c:v>FY23</c:v>
                </c:pt>
              </c:strCache>
              <c:extLst/>
            </c:strRef>
          </c:cat>
          <c:val>
            <c:numRef>
              <c:f>'Chart 11'!$G$11:$G$15</c:f>
              <c:numCache>
                <c:formatCode>"$"#,##0_);[Red]\("$"#,##0\)</c:formatCode>
                <c:ptCount val="5"/>
                <c:pt idx="0">
                  <c:v>27</c:v>
                </c:pt>
                <c:pt idx="1">
                  <c:v>19.658783</c:v>
                </c:pt>
                <c:pt idx="2">
                  <c:v>26</c:v>
                </c:pt>
                <c:pt idx="3">
                  <c:v>47</c:v>
                </c:pt>
                <c:pt idx="4">
                  <c:v>35</c:v>
                </c:pt>
              </c:numCache>
              <c:extLst/>
            </c:numRef>
          </c:val>
          <c:extLst>
            <c:ext xmlns:c16="http://schemas.microsoft.com/office/drawing/2014/chart" uri="{C3380CC4-5D6E-409C-BE32-E72D297353CC}">
              <c16:uniqueId val="{00000005-CD9C-442C-996D-87015C7C53BE}"/>
            </c:ext>
          </c:extLst>
        </c:ser>
        <c:dLbls>
          <c:showLegendKey val="0"/>
          <c:showVal val="0"/>
          <c:showCatName val="0"/>
          <c:showSerName val="0"/>
          <c:showPercent val="0"/>
          <c:showBubbleSize val="0"/>
        </c:dLbls>
        <c:gapWidth val="44"/>
        <c:axId val="831240768"/>
        <c:axId val="126772393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67723936"/>
        <c:scaling>
          <c:orientation val="minMax"/>
        </c:scaling>
        <c:delete val="1"/>
        <c:axPos val="r"/>
        <c:numFmt formatCode="&quot;$&quot;#,##0_);[Red]\(&quot;$&quot;#,##0\)" sourceLinked="1"/>
        <c:majorTickMark val="out"/>
        <c:minorTickMark val="none"/>
        <c:tickLblPos val="nextTo"/>
        <c:crossAx val="831240768"/>
        <c:crosses val="max"/>
        <c:crossBetween val="between"/>
      </c:valAx>
      <c:catAx>
        <c:axId val="831240768"/>
        <c:scaling>
          <c:orientation val="minMax"/>
        </c:scaling>
        <c:delete val="1"/>
        <c:axPos val="b"/>
        <c:numFmt formatCode="General" sourceLinked="1"/>
        <c:majorTickMark val="out"/>
        <c:minorTickMark val="none"/>
        <c:tickLblPos val="nextTo"/>
        <c:crossAx val="126772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Chart 2: Student FTE Enrollment</a:t>
            </a:r>
          </a:p>
          <a:p>
            <a:pPr>
              <a:defRPr sz="14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lineChart>
        <c:grouping val="standard"/>
        <c:varyColors val="0"/>
        <c:ser>
          <c:idx val="0"/>
          <c:order val="0"/>
          <c:tx>
            <c:strRef>
              <c:f>'Chart 2 FTE Enrollment'!$B$3:$B$4</c:f>
              <c:strCache>
                <c:ptCount val="2"/>
                <c:pt idx="1">
                  <c:v> Total </c:v>
                </c:pt>
              </c:strCache>
            </c:strRef>
          </c:tx>
          <c:spPr>
            <a:ln w="28575" cap="rnd">
              <a:solidFill>
                <a:srgbClr val="00688D"/>
              </a:solidFill>
              <a:round/>
            </a:ln>
            <a:effectLst/>
          </c:spPr>
          <c:marker>
            <c:symbol val="diamond"/>
            <c:size val="5"/>
            <c:spPr>
              <a:scene3d>
                <a:camera prst="orthographicFront"/>
                <a:lightRig rig="threePt" dir="t"/>
              </a:scene3d>
              <a:sp3d>
                <a:bevelT h="50800"/>
                <a:bevelB/>
              </a:sp3d>
            </c:spPr>
          </c:marker>
          <c:dLbls>
            <c:dLbl>
              <c:idx val="1"/>
              <c:layout>
                <c:manualLayout>
                  <c:x val="-4.6923569182827453E-2"/>
                  <c:y val="-6.57645800140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80-49BE-A76A-D07E6B63251E}"/>
                </c:ext>
              </c:extLst>
            </c:dLbl>
            <c:dLbl>
              <c:idx val="2"/>
              <c:layout>
                <c:manualLayout>
                  <c:x val="-4.2833161755840593E-2"/>
                  <c:y val="-4.3191170018703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80-49BE-A76A-D07E6B63251E}"/>
                </c:ext>
              </c:extLst>
            </c:dLbl>
            <c:dLbl>
              <c:idx val="3"/>
              <c:layout>
                <c:manualLayout>
                  <c:x val="-7.2467004053978115E-2"/>
                  <c:y val="-4.0609185192677894E-2"/>
                </c:manualLayout>
              </c:layout>
              <c:numFmt formatCode="#,##0" sourceLinked="0"/>
              <c:spPr>
                <a:noFill/>
                <a:ln>
                  <a:noFill/>
                </a:ln>
                <a:effectLst/>
              </c:spPr>
              <c:txPr>
                <a:bodyPr rot="0" spcFirstLastPara="1" vertOverflow="ellipsis" vert="horz" wrap="square" lIns="0" tIns="0" rIns="0" bIns="0" anchor="ctr" anchorCtr="1">
                  <a:noAutofit/>
                </a:bodyPr>
                <a:lstStyle/>
                <a:p>
                  <a:pPr>
                    <a:defRPr sz="900" b="1"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4825368998863865E-2"/>
                      <c:h val="4.7386022752776133E-2"/>
                    </c:manualLayout>
                  </c15:layout>
                </c:ext>
                <c:ext xmlns:c16="http://schemas.microsoft.com/office/drawing/2014/chart" uri="{C3380CC4-5D6E-409C-BE32-E72D297353CC}">
                  <c16:uniqueId val="{00000002-A880-49BE-A76A-D07E6B63251E}"/>
                </c:ext>
              </c:extLst>
            </c:dLbl>
            <c:dLbl>
              <c:idx val="4"/>
              <c:layout>
                <c:manualLayout>
                  <c:x val="-1.9276035725216498E-2"/>
                  <c:y val="-5.101130687109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80-49BE-A76A-D07E6B63251E}"/>
                </c:ext>
              </c:extLst>
            </c:dLbl>
            <c:numFmt formatCode="#,##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'Chart 2 FTE Enrollment'!$A$5:$A$9</c:f>
              <c:strCache>
                <c:ptCount val="5"/>
                <c:pt idx="0">
                  <c:v>Fall 2018</c:v>
                </c:pt>
                <c:pt idx="1">
                  <c:v>Fall 2019</c:v>
                </c:pt>
                <c:pt idx="2">
                  <c:v>Fall 2020</c:v>
                </c:pt>
                <c:pt idx="3">
                  <c:v>Fall 2021</c:v>
                </c:pt>
                <c:pt idx="4">
                  <c:v>Fall 2022</c:v>
                </c:pt>
              </c:strCache>
            </c:strRef>
          </c:cat>
          <c:val>
            <c:numRef>
              <c:f>'Chart 2 FTE Enrollment'!$B$5:$B$9</c:f>
              <c:numCache>
                <c:formatCode>_(* #,##0_);_(* \(#,##0\);_(* "-"??_);_(@_)</c:formatCode>
                <c:ptCount val="5"/>
                <c:pt idx="0">
                  <c:v>22033</c:v>
                </c:pt>
                <c:pt idx="1">
                  <c:v>21924</c:v>
                </c:pt>
                <c:pt idx="2">
                  <c:v>21618</c:v>
                </c:pt>
                <c:pt idx="3">
                  <c:v>21535.399999999998</c:v>
                </c:pt>
                <c:pt idx="4">
                  <c:v>20429</c:v>
                </c:pt>
              </c:numCache>
            </c:numRef>
          </c:val>
          <c:smooth val="0"/>
          <c:extLst>
            <c:ext xmlns:c16="http://schemas.microsoft.com/office/drawing/2014/chart" uri="{C3380CC4-5D6E-409C-BE32-E72D297353CC}">
              <c16:uniqueId val="{00000004-A880-49BE-A76A-D07E6B63251E}"/>
            </c:ext>
          </c:extLst>
        </c:ser>
        <c:ser>
          <c:idx val="2"/>
          <c:order val="1"/>
          <c:tx>
            <c:strRef>
              <c:f>'Chart 2 FTE Enrollment'!$D$3:$D$4</c:f>
              <c:strCache>
                <c:ptCount val="2"/>
                <c:pt idx="0">
                  <c:v>Regular Enrollment</c:v>
                </c:pt>
              </c:strCache>
            </c:strRef>
          </c:tx>
          <c:marker>
            <c:symbol val="triangl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2018</c:v>
                </c:pt>
                <c:pt idx="1">
                  <c:v>Fall 2019</c:v>
                </c:pt>
                <c:pt idx="2">
                  <c:v>Fall 2020</c:v>
                </c:pt>
                <c:pt idx="3">
                  <c:v>Fall 2021</c:v>
                </c:pt>
                <c:pt idx="4">
                  <c:v>Fall 2022</c:v>
                </c:pt>
              </c:strCache>
            </c:strRef>
          </c:cat>
          <c:val>
            <c:numRef>
              <c:f>'Chart 2 FTE Enrollment'!$D$5:$D$9</c:f>
              <c:numCache>
                <c:formatCode>_(* #,##0_);_(* \(#,##0\);_(* "-"??_);_(@_)</c:formatCode>
                <c:ptCount val="5"/>
                <c:pt idx="0">
                  <c:v>21119</c:v>
                </c:pt>
                <c:pt idx="1">
                  <c:v>20882</c:v>
                </c:pt>
                <c:pt idx="2">
                  <c:v>20612</c:v>
                </c:pt>
                <c:pt idx="3">
                  <c:v>20373.3</c:v>
                </c:pt>
                <c:pt idx="4">
                  <c:v>19163.099999999999</c:v>
                </c:pt>
              </c:numCache>
            </c:numRef>
          </c:val>
          <c:smooth val="0"/>
          <c:extLst>
            <c:ext xmlns:c16="http://schemas.microsoft.com/office/drawing/2014/chart" uri="{C3380CC4-5D6E-409C-BE32-E72D297353CC}">
              <c16:uniqueId val="{00000005-A880-49BE-A76A-D07E6B63251E}"/>
            </c:ext>
          </c:extLst>
        </c:ser>
        <c:ser>
          <c:idx val="1"/>
          <c:order val="2"/>
          <c:tx>
            <c:strRef>
              <c:f>'Chart 2 FTE Enrollment'!$C$3:$C$4</c:f>
              <c:strCache>
                <c:ptCount val="2"/>
                <c:pt idx="0">
                  <c:v>Early College</c:v>
                </c:pt>
              </c:strCache>
            </c:strRef>
          </c:tx>
          <c:marker>
            <c:symbol val="squar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2018</c:v>
                </c:pt>
                <c:pt idx="1">
                  <c:v>Fall 2019</c:v>
                </c:pt>
                <c:pt idx="2">
                  <c:v>Fall 2020</c:v>
                </c:pt>
                <c:pt idx="3">
                  <c:v>Fall 2021</c:v>
                </c:pt>
                <c:pt idx="4">
                  <c:v>Fall 2022</c:v>
                </c:pt>
              </c:strCache>
            </c:strRef>
          </c:cat>
          <c:val>
            <c:numRef>
              <c:f>'Chart 2 FTE Enrollment'!$C$5:$C$9</c:f>
              <c:numCache>
                <c:formatCode>_(* #,##0_);_(* \(#,##0\);_(* "-"??_);_(@_)</c:formatCode>
                <c:ptCount val="5"/>
                <c:pt idx="0">
                  <c:v>914</c:v>
                </c:pt>
                <c:pt idx="1">
                  <c:v>1042</c:v>
                </c:pt>
                <c:pt idx="2">
                  <c:v>1006</c:v>
                </c:pt>
                <c:pt idx="3">
                  <c:v>1162.0999999999999</c:v>
                </c:pt>
                <c:pt idx="4">
                  <c:v>1265.9000000000001</c:v>
                </c:pt>
              </c:numCache>
            </c:numRef>
          </c:val>
          <c:smooth val="0"/>
          <c:extLst>
            <c:ext xmlns:c16="http://schemas.microsoft.com/office/drawing/2014/chart" uri="{C3380CC4-5D6E-409C-BE32-E72D297353CC}">
              <c16:uniqueId val="{00000006-A880-49BE-A76A-D07E6B63251E}"/>
            </c:ext>
          </c:extLst>
        </c:ser>
        <c:dLbls>
          <c:dLblPos val="t"/>
          <c:showLegendKey val="0"/>
          <c:showVal val="1"/>
          <c:showCatName val="0"/>
          <c:showSerName val="0"/>
          <c:showPercent val="0"/>
          <c:showBubbleSize val="0"/>
        </c:dLbls>
        <c:marker val="1"/>
        <c:smooth val="0"/>
        <c:axId val="1047093920"/>
        <c:axId val="1047093088"/>
      </c:lineChart>
      <c:catAx>
        <c:axId val="1047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088"/>
        <c:crosses val="autoZero"/>
        <c:auto val="1"/>
        <c:lblAlgn val="ctr"/>
        <c:lblOffset val="100"/>
        <c:noMultiLvlLbl val="0"/>
      </c:catAx>
      <c:valAx>
        <c:axId val="1047093088"/>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920"/>
        <c:crosses val="autoZero"/>
        <c:crossBetween val="between"/>
        <c:majorUnit val="2500"/>
      </c:val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3: Fair Value of MIP Investments by Entity
</a:t>
            </a:r>
            <a:r>
              <a:rPr lang="en-US" sz="1100" b="1">
                <a:solidFill>
                  <a:schemeClr val="tx1">
                    <a:lumMod val="95000"/>
                    <a:lumOff val="5000"/>
                  </a:schemeClr>
                </a:solidFill>
              </a:rPr>
              <a:t>(In millions)</a:t>
            </a:r>
          </a:p>
        </c:rich>
      </c:tx>
      <c:layout>
        <c:manualLayout>
          <c:xMode val="edge"/>
          <c:yMode val="edge"/>
          <c:x val="0.21663185331000293"/>
          <c:y val="7.9365079365079361E-3"/>
        </c:manualLayout>
      </c:layout>
      <c:overlay val="0"/>
      <c:spPr>
        <a:noFill/>
        <a:ln>
          <a:noFill/>
        </a:ln>
        <a:effectLst/>
      </c:spPr>
    </c:title>
    <c:autoTitleDeleted val="0"/>
    <c:plotArea>
      <c:layout/>
      <c:barChart>
        <c:barDir val="col"/>
        <c:grouping val="clustered"/>
        <c:varyColors val="0"/>
        <c:ser>
          <c:idx val="0"/>
          <c:order val="0"/>
          <c:tx>
            <c:strRef>
              <c:f>'Report Chart 3 MV of MIP'!$B$3</c:f>
              <c:strCache>
                <c:ptCount val="1"/>
                <c:pt idx="0">
                  <c:v>UMS Endowments</c:v>
                </c:pt>
              </c:strCache>
            </c:strRef>
          </c:tx>
          <c:spPr>
            <a:solidFill>
              <a:srgbClr val="00688D"/>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2021</c:v>
                </c:pt>
                <c:pt idx="1">
                  <c:v>2022</c:v>
                </c:pt>
                <c:pt idx="2">
                  <c:v>2023</c:v>
                </c:pt>
              </c:numCache>
            </c:numRef>
          </c:cat>
          <c:val>
            <c:numRef>
              <c:f>'Report Chart 3 MV of MIP'!$B$4:$B$6</c:f>
              <c:numCache>
                <c:formatCode>_("$"* #,##0_);_("$"* \(#,##0\);_("$"* "-"??_);_(@_)</c:formatCode>
                <c:ptCount val="3"/>
                <c:pt idx="0">
                  <c:v>161</c:v>
                </c:pt>
                <c:pt idx="1">
                  <c:v>138</c:v>
                </c:pt>
                <c:pt idx="2">
                  <c:v>148</c:v>
                </c:pt>
              </c:numCache>
            </c:numRef>
          </c:val>
          <c:extLst>
            <c:ext xmlns:c16="http://schemas.microsoft.com/office/drawing/2014/chart" uri="{C3380CC4-5D6E-409C-BE32-E72D297353CC}">
              <c16:uniqueId val="{00000000-342F-4B63-9271-EC6BFC9D9978}"/>
            </c:ext>
          </c:extLst>
        </c:ser>
        <c:ser>
          <c:idx val="5"/>
          <c:order val="1"/>
          <c:tx>
            <c:strRef>
              <c:f>'Report Chart 3 MV of MIP'!$C$3</c:f>
              <c:strCache>
                <c:ptCount val="1"/>
                <c:pt idx="0">
                  <c:v>UMS Affiliates Endowments</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'Report Chart 3 MV of MIP'!$C$4:$C$6</c:f>
              <c:numCache>
                <c:formatCode>_("$"* #,##0_);_("$"* \(#,##0\);_("$"* "-"??_);_(@_)</c:formatCode>
                <c:ptCount val="3"/>
                <c:pt idx="0">
                  <c:v>35</c:v>
                </c:pt>
                <c:pt idx="1">
                  <c:v>30</c:v>
                </c:pt>
                <c:pt idx="2">
                  <c:v>34</c:v>
                </c:pt>
              </c:numCache>
            </c:numRef>
          </c:val>
          <c:extLst>
            <c:ext xmlns:c16="http://schemas.microsoft.com/office/drawing/2014/chart" uri="{C3380CC4-5D6E-409C-BE32-E72D297353CC}">
              <c16:uniqueId val="{00000001-342F-4B63-9271-EC6BFC9D9978}"/>
            </c:ext>
          </c:extLst>
        </c:ser>
        <c:ser>
          <c:idx val="1"/>
          <c:order val="2"/>
          <c:tx>
            <c:strRef>
              <c:f>'Report Chart 3 MV of MIP'!$D$3</c:f>
              <c:strCache>
                <c:ptCount val="1"/>
                <c:pt idx="0">
                  <c:v>OPEB Trust</c:v>
                </c:pt>
              </c:strCache>
            </c:strRef>
          </c:tx>
          <c:spPr>
            <a:solidFill>
              <a:srgbClr val="F6A800"/>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2021</c:v>
                </c:pt>
                <c:pt idx="1">
                  <c:v>2022</c:v>
                </c:pt>
                <c:pt idx="2">
                  <c:v>2023</c:v>
                </c:pt>
              </c:numCache>
            </c:numRef>
          </c:cat>
          <c:val>
            <c:numRef>
              <c:f>'Report Chart 3 MV of MIP'!$D$4:$D$6</c:f>
              <c:numCache>
                <c:formatCode>_("$"* #,##0_);_("$"* \(#,##0\);_("$"* "-"??_);_(@_)</c:formatCode>
                <c:ptCount val="3"/>
                <c:pt idx="0">
                  <c:v>180</c:v>
                </c:pt>
                <c:pt idx="1">
                  <c:v>156</c:v>
                </c:pt>
                <c:pt idx="2">
                  <c:v>175</c:v>
                </c:pt>
              </c:numCache>
            </c:numRef>
          </c:val>
          <c:extLst>
            <c:ext xmlns:c16="http://schemas.microsoft.com/office/drawing/2014/chart" uri="{C3380CC4-5D6E-409C-BE32-E72D297353CC}">
              <c16:uniqueId val="{00000002-342F-4B63-9271-EC6BFC9D9978}"/>
            </c:ext>
          </c:extLst>
        </c:ser>
        <c:ser>
          <c:idx val="2"/>
          <c:order val="3"/>
          <c:tx>
            <c:strRef>
              <c:f>'Report Chart 3 MV of MIP'!$E$3</c:f>
              <c:strCache>
                <c:ptCount val="1"/>
                <c:pt idx="0">
                  <c:v>MMA</c:v>
                </c:pt>
              </c:strCache>
            </c:strRef>
          </c:tx>
          <c:spPr>
            <a:solidFill>
              <a:srgbClr val="791134"/>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2021</c:v>
                </c:pt>
                <c:pt idx="1">
                  <c:v>2022</c:v>
                </c:pt>
                <c:pt idx="2">
                  <c:v>2023</c:v>
                </c:pt>
              </c:numCache>
            </c:numRef>
          </c:cat>
          <c:val>
            <c:numRef>
              <c:f>'Report Chart 3 MV of MIP'!$E$4:$E$6</c:f>
              <c:numCache>
                <c:formatCode>_("$"* #,##0_);_("$"* \(#,##0\);_("$"* "-"??_);_(@_)</c:formatCode>
                <c:ptCount val="3"/>
                <c:pt idx="0">
                  <c:v>62</c:v>
                </c:pt>
                <c:pt idx="1">
                  <c:v>0</c:v>
                </c:pt>
                <c:pt idx="2">
                  <c:v>0</c:v>
                </c:pt>
              </c:numCache>
            </c:numRef>
          </c:val>
          <c:extLst>
            <c:ext xmlns:c16="http://schemas.microsoft.com/office/drawing/2014/chart" uri="{C3380CC4-5D6E-409C-BE32-E72D297353CC}">
              <c16:uniqueId val="{00000003-342F-4B63-9271-EC6BFC9D9978}"/>
            </c:ext>
          </c:extLst>
        </c:ser>
        <c:ser>
          <c:idx val="3"/>
          <c:order val="4"/>
          <c:tx>
            <c:strRef>
              <c:f>'Report Chart 3 MV of MIP'!$F$3</c:f>
              <c:strCache>
                <c:ptCount val="1"/>
                <c:pt idx="0">
                  <c:v>University of Maine School of Law Foundation</c:v>
                </c:pt>
              </c:strCache>
            </c:strRef>
          </c:tx>
          <c:spPr>
            <a:solidFill>
              <a:srgbClr val="000066"/>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2021</c:v>
                </c:pt>
                <c:pt idx="1">
                  <c:v>2022</c:v>
                </c:pt>
                <c:pt idx="2">
                  <c:v>2023</c:v>
                </c:pt>
              </c:numCache>
            </c:numRef>
          </c:cat>
          <c:val>
            <c:numRef>
              <c:f>'Report Chart 3 MV of MIP'!$F$4:$F$6</c:f>
              <c:numCache>
                <c:formatCode>_("$"* #,##0_);_("$"* \(#,##0\);_("$"* "-"??_);_(@_)</c:formatCode>
                <c:ptCount val="3"/>
                <c:pt idx="0">
                  <c:v>5</c:v>
                </c:pt>
                <c:pt idx="1">
                  <c:v>4</c:v>
                </c:pt>
                <c:pt idx="2">
                  <c:v>5</c:v>
                </c:pt>
              </c:numCache>
            </c:numRef>
          </c:val>
          <c:extLst>
            <c:ext xmlns:c16="http://schemas.microsoft.com/office/drawing/2014/chart" uri="{C3380CC4-5D6E-409C-BE32-E72D297353CC}">
              <c16:uniqueId val="{00000004-342F-4B63-9271-EC6BFC9D9978}"/>
            </c:ext>
          </c:extLst>
        </c:ser>
        <c:ser>
          <c:idx val="6"/>
          <c:order val="5"/>
          <c:tx>
            <c:strRef>
              <c:f>'Report Chart 3 MV of MIP'!$G$3</c:f>
              <c:strCache>
                <c:ptCount val="1"/>
                <c:pt idx="0">
                  <c:v>USM Osher Map Library Foundation</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'Report Chart 3 MV of MIP'!$A$4:$A$6</c:f>
              <c:numCache>
                <c:formatCode>General</c:formatCode>
                <c:ptCount val="3"/>
                <c:pt idx="0">
                  <c:v>2021</c:v>
                </c:pt>
                <c:pt idx="1">
                  <c:v>2022</c:v>
                </c:pt>
                <c:pt idx="2">
                  <c:v>2023</c:v>
                </c:pt>
              </c:numCache>
            </c:numRef>
          </c:cat>
          <c:val>
            <c:numRef>
              <c:f>'Report Chart 3 MV of MIP'!$G$4:$G$6</c:f>
              <c:numCache>
                <c:formatCode>_("$"* #,##0_);_("$"* \(#,##0\);_("$"* "-"??_);_(@_)</c:formatCode>
                <c:ptCount val="3"/>
                <c:pt idx="0">
                  <c:v>0</c:v>
                </c:pt>
                <c:pt idx="1">
                  <c:v>7</c:v>
                </c:pt>
                <c:pt idx="2">
                  <c:v>0</c:v>
                </c:pt>
              </c:numCache>
            </c:numRef>
          </c:val>
          <c:extLst>
            <c:ext xmlns:c16="http://schemas.microsoft.com/office/drawing/2014/chart" uri="{C3380CC4-5D6E-409C-BE32-E72D297353CC}">
              <c16:uniqueId val="{00000005-342F-4B63-9271-EC6BFC9D9978}"/>
            </c:ext>
          </c:extLst>
        </c:ser>
        <c:dLbls>
          <c:showLegendKey val="0"/>
          <c:showVal val="0"/>
          <c:showCatName val="0"/>
          <c:showSerName val="0"/>
          <c:showPercent val="0"/>
          <c:showBubbleSize val="0"/>
        </c:dLbls>
        <c:gapWidth val="86"/>
        <c:overlap val="-1"/>
        <c:axId val="1238056320"/>
        <c:axId val="1238056736"/>
      </c:barChart>
      <c:barChart>
        <c:barDir val="col"/>
        <c:grouping val="clustered"/>
        <c:varyColors val="0"/>
        <c:ser>
          <c:idx val="4"/>
          <c:order val="6"/>
          <c:tx>
            <c:strRef>
              <c:f>'Report Chart 3 MV of MIP'!$H$3</c:f>
              <c:strCache>
                <c:ptCount val="1"/>
                <c:pt idx="0">
                  <c:v>Total</c:v>
                </c:pt>
              </c:strCache>
            </c:strRef>
          </c:tx>
          <c:spPr>
            <a:solidFill>
              <a:srgbClr val="8CB8DC">
                <a:alpha val="25000"/>
              </a:srgbClr>
            </a:solidFill>
            <a:ln>
              <a:solidFill>
                <a:srgbClr val="8CB8DC">
                  <a:alpha val="50000"/>
                </a:srgbClr>
              </a:solidFill>
            </a:ln>
            <a:effectLst/>
            <a:scene3d>
              <a:camera prst="orthographicFront"/>
              <a:lightRig rig="threePt" dir="t"/>
            </a:scene3d>
            <a:sp3d>
              <a:bevelT h="50800"/>
            </a:sp3d>
          </c:spPr>
          <c:invertIfNegative val="0"/>
          <c:dPt>
            <c:idx val="0"/>
            <c:invertIfNegative val="0"/>
            <c:bubble3D val="0"/>
            <c:spPr>
              <a:solidFill>
                <a:srgbClr val="8CB8DC">
                  <a:alpha val="25000"/>
                </a:srgbClr>
              </a:solidFill>
              <a:ln>
                <a:solidFill>
                  <a:srgbClr val="8CB8DC">
                    <a:alpha val="58000"/>
                  </a:srgbClr>
                </a:solidFill>
              </a:ln>
              <a:effectLst/>
              <a:scene3d>
                <a:camera prst="orthographicFront"/>
                <a:lightRig rig="threePt" dir="t"/>
              </a:scene3d>
              <a:sp3d>
                <a:bevelT h="50800"/>
              </a:sp3d>
            </c:spPr>
            <c:extLst>
              <c:ext xmlns:c16="http://schemas.microsoft.com/office/drawing/2014/chart" uri="{C3380CC4-5D6E-409C-BE32-E72D297353CC}">
                <c16:uniqueId val="{00000007-342F-4B63-9271-EC6BFC9D9978}"/>
              </c:ext>
            </c:extLst>
          </c:dPt>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2021</c:v>
                </c:pt>
                <c:pt idx="1">
                  <c:v>2022</c:v>
                </c:pt>
                <c:pt idx="2">
                  <c:v>2023</c:v>
                </c:pt>
              </c:numCache>
            </c:numRef>
          </c:cat>
          <c:val>
            <c:numRef>
              <c:f>'Report Chart 3 MV of MIP'!$H$4:$H$6</c:f>
              <c:numCache>
                <c:formatCode>_("$"* #,##0_);_("$"* \(#,##0\);_("$"* "-"??_);_(@_)</c:formatCode>
                <c:ptCount val="3"/>
                <c:pt idx="0">
                  <c:v>443</c:v>
                </c:pt>
                <c:pt idx="1">
                  <c:v>335</c:v>
                </c:pt>
                <c:pt idx="2">
                  <c:v>362</c:v>
                </c:pt>
              </c:numCache>
            </c:numRef>
          </c:val>
          <c:extLst>
            <c:ext xmlns:c16="http://schemas.microsoft.com/office/drawing/2014/chart" uri="{C3380CC4-5D6E-409C-BE32-E72D297353CC}">
              <c16:uniqueId val="{00000008-342F-4B63-9271-EC6BFC9D9978}"/>
            </c:ext>
          </c:extLst>
        </c:ser>
        <c:dLbls>
          <c:dLblPos val="outEnd"/>
          <c:showLegendKey val="0"/>
          <c:showVal val="1"/>
          <c:showCatName val="0"/>
          <c:showSerName val="0"/>
          <c:showPercent val="0"/>
          <c:showBubbleSize val="0"/>
        </c:dLbls>
        <c:gapWidth val="14"/>
        <c:overlap val="43"/>
        <c:axId val="1258629568"/>
        <c:axId val="120604497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45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06044976"/>
        <c:scaling>
          <c:orientation val="minMax"/>
        </c:scaling>
        <c:delete val="1"/>
        <c:axPos val="r"/>
        <c:numFmt formatCode="_(&quot;$&quot;* #,##0_);_(&quot;$&quot;* \(#,##0\);_(&quot;$&quot;* &quot;-&quot;??_);_(@_)" sourceLinked="1"/>
        <c:majorTickMark val="out"/>
        <c:minorTickMark val="none"/>
        <c:tickLblPos val="nextTo"/>
        <c:crossAx val="1258629568"/>
        <c:crosses val="max"/>
        <c:crossBetween val="between"/>
      </c:valAx>
      <c:catAx>
        <c:axId val="1258629568"/>
        <c:scaling>
          <c:orientation val="minMax"/>
        </c:scaling>
        <c:delete val="1"/>
        <c:axPos val="b"/>
        <c:numFmt formatCode="General" sourceLinked="1"/>
        <c:majorTickMark val="out"/>
        <c:minorTickMark val="none"/>
        <c:tickLblPos val="nextTo"/>
        <c:crossAx val="120604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4: Total Return (Net of Fees)</a:t>
            </a:r>
          </a:p>
        </c:rich>
      </c:tx>
      <c:layout>
        <c:manualLayout>
          <c:xMode val="edge"/>
          <c:yMode val="edge"/>
          <c:x val="0.22079855643044621"/>
          <c:y val="8.9847259658580418E-3"/>
        </c:manualLayout>
      </c:layout>
      <c:overlay val="0"/>
      <c:spPr>
        <a:noFill/>
        <a:ln>
          <a:noFill/>
        </a:ln>
        <a:effectLst/>
      </c:spPr>
    </c:title>
    <c:autoTitleDeleted val="0"/>
    <c:plotArea>
      <c:layout/>
      <c:lineChart>
        <c:grouping val="standard"/>
        <c:varyColors val="0"/>
        <c:ser>
          <c:idx val="0"/>
          <c:order val="0"/>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h="50800"/>
              </a:sp3d>
            </c:spPr>
          </c:marker>
          <c:dLbls>
            <c:dLbl>
              <c:idx val="1"/>
              <c:layout>
                <c:manualLayout>
                  <c:x val="-6.1997097740254525E-2"/>
                  <c:y val="-4.0565886259977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16-4D97-8C49-7FE64CBF6B4B}"/>
                </c:ext>
              </c:extLst>
            </c:dLbl>
            <c:dLbl>
              <c:idx val="3"/>
              <c:layout>
                <c:manualLayout>
                  <c:x val="-5.2519391653859264E-2"/>
                  <c:y val="4.0193249617268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16-4D97-8C49-7FE64CBF6B4B}"/>
                </c:ext>
              </c:extLst>
            </c:dLbl>
            <c:numFmt formatCode="0.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'Report Chart 5'!$B$6:$B$10</c:f>
              <c:numCache>
                <c:formatCode>General</c:formatCode>
                <c:ptCount val="5"/>
                <c:pt idx="0">
                  <c:v>2019</c:v>
                </c:pt>
                <c:pt idx="1">
                  <c:v>2020</c:v>
                </c:pt>
                <c:pt idx="2">
                  <c:v>2021</c:v>
                </c:pt>
                <c:pt idx="3">
                  <c:v>2022</c:v>
                </c:pt>
                <c:pt idx="4">
                  <c:v>2023</c:v>
                </c:pt>
              </c:numCache>
            </c:numRef>
          </c:cat>
          <c:val>
            <c:numRef>
              <c:f>'Report Chart 5'!$C$6:$C$10</c:f>
              <c:numCache>
                <c:formatCode>0.0%</c:formatCode>
                <c:ptCount val="5"/>
                <c:pt idx="0">
                  <c:v>2.7E-2</c:v>
                </c:pt>
                <c:pt idx="1">
                  <c:v>1.0999999999999999E-2</c:v>
                </c:pt>
                <c:pt idx="2">
                  <c:v>0.27100000000000002</c:v>
                </c:pt>
                <c:pt idx="3">
                  <c:v>-0.125</c:v>
                </c:pt>
                <c:pt idx="4">
                  <c:v>0.106</c:v>
                </c:pt>
              </c:numCache>
            </c:numRef>
          </c:val>
          <c:smooth val="0"/>
          <c:extLst>
            <c:ext xmlns:c16="http://schemas.microsoft.com/office/drawing/2014/chart" uri="{C3380CC4-5D6E-409C-BE32-E72D297353CC}">
              <c16:uniqueId val="{00000002-5716-4D97-8C49-7FE64CBF6B4B}"/>
            </c:ext>
          </c:extLst>
        </c:ser>
        <c:dLbls>
          <c:dLblPos val="t"/>
          <c:showLegendKey val="0"/>
          <c:showVal val="1"/>
          <c:showCatName val="0"/>
          <c:showSerName val="0"/>
          <c:showPercent val="0"/>
          <c:showBubbleSize val="0"/>
        </c:dLbls>
        <c:marker val="1"/>
        <c:smooth val="0"/>
        <c:axId val="1284479472"/>
        <c:axId val="1284479888"/>
      </c:lineChart>
      <c:catAx>
        <c:axId val="1284479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888"/>
        <c:crosses val="autoZero"/>
        <c:auto val="1"/>
        <c:lblAlgn val="ctr"/>
        <c:lblOffset val="100"/>
        <c:noMultiLvlLbl val="0"/>
      </c:catAx>
      <c:valAx>
        <c:axId val="128447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472"/>
        <c:crosses val="autoZero"/>
        <c:crossBetween val="between"/>
        <c:majorUnit val="5.000000000000001E-2"/>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5: Fair Values of UMS and Affiliates Pooled Endowments</a:t>
            </a:r>
            <a:r>
              <a:rPr lang="en-US" b="1">
                <a:solidFill>
                  <a:schemeClr val="tx1">
                    <a:lumMod val="95000"/>
                    <a:lumOff val="5000"/>
                  </a:schemeClr>
                </a:solidFill>
              </a:rPr>
              <a:t>
</a:t>
            </a:r>
            <a:r>
              <a:rPr lang="en-US" sz="1100" b="1">
                <a:solidFill>
                  <a:schemeClr val="tx1">
                    <a:lumMod val="95000"/>
                    <a:lumOff val="5000"/>
                  </a:schemeClr>
                </a:solidFill>
              </a:rPr>
              <a:t>(In millions)</a:t>
            </a:r>
          </a:p>
        </c:rich>
      </c:tx>
      <c:layout>
        <c:manualLayout>
          <c:xMode val="edge"/>
          <c:yMode val="edge"/>
          <c:x val="0.14735731562966395"/>
          <c:y val="1.015228426395939E-2"/>
        </c:manualLayout>
      </c:layout>
      <c:overlay val="0"/>
      <c:spPr>
        <a:noFill/>
        <a:ln>
          <a:noFill/>
        </a:ln>
        <a:effectLst/>
      </c:spPr>
    </c:title>
    <c:autoTitleDeleted val="0"/>
    <c:plotArea>
      <c:layout>
        <c:manualLayout>
          <c:layoutTarget val="inner"/>
          <c:xMode val="edge"/>
          <c:yMode val="edge"/>
          <c:x val="9.4624936588808758E-2"/>
          <c:y val="0.256390423572744"/>
          <c:w val="0.8773638589293985"/>
          <c:h val="0.58127666362146724"/>
        </c:manualLayout>
      </c:layout>
      <c:barChart>
        <c:barDir val="col"/>
        <c:grouping val="clustered"/>
        <c:varyColors val="0"/>
        <c:ser>
          <c:idx val="0"/>
          <c:order val="0"/>
          <c:tx>
            <c:strRef>
              <c:f>'Chart 6 Market Value Endow Inv'!$B$4</c:f>
              <c:strCache>
                <c:ptCount val="1"/>
                <c:pt idx="0">
                  <c:v>UMS Endowments</c:v>
                </c:pt>
              </c:strCache>
            </c:strRef>
          </c:tx>
          <c:spPr>
            <a:solidFill>
              <a:srgbClr val="00688D"/>
            </a:solidFill>
            <a:ln w="28575" cap="rnd">
              <a:noFill/>
              <a:round/>
            </a:ln>
            <a:effectLst/>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6 Market Value Endow Inv'!$A$6:$A$10</c:f>
              <c:numCache>
                <c:formatCode>General</c:formatCode>
                <c:ptCount val="5"/>
                <c:pt idx="0">
                  <c:v>2019</c:v>
                </c:pt>
                <c:pt idx="1">
                  <c:v>2020</c:v>
                </c:pt>
                <c:pt idx="2">
                  <c:v>2021</c:v>
                </c:pt>
                <c:pt idx="3">
                  <c:v>2022</c:v>
                </c:pt>
                <c:pt idx="4">
                  <c:v>2023</c:v>
                </c:pt>
              </c:numCache>
            </c:numRef>
          </c:cat>
          <c:val>
            <c:numRef>
              <c:f>'Chart 6 Market Value Endow Inv'!$B$6:$B$10</c:f>
              <c:numCache>
                <c:formatCode>_("$"* #,##0_);_("$"* \(#,##0\);_("$"* "-"_);_(@_)</c:formatCode>
                <c:ptCount val="5"/>
                <c:pt idx="0">
                  <c:v>135</c:v>
                </c:pt>
                <c:pt idx="1">
                  <c:v>135</c:v>
                </c:pt>
                <c:pt idx="2">
                  <c:v>161</c:v>
                </c:pt>
                <c:pt idx="3">
                  <c:v>138</c:v>
                </c:pt>
                <c:pt idx="4">
                  <c:v>148</c:v>
                </c:pt>
              </c:numCache>
            </c:numRef>
          </c:val>
          <c:extLst>
            <c:ext xmlns:c16="http://schemas.microsoft.com/office/drawing/2014/chart" uri="{C3380CC4-5D6E-409C-BE32-E72D297353CC}">
              <c16:uniqueId val="{00000000-7388-4BBB-8EF8-AA312D00F5F0}"/>
            </c:ext>
          </c:extLst>
        </c:ser>
        <c:ser>
          <c:idx val="1"/>
          <c:order val="1"/>
          <c:tx>
            <c:strRef>
              <c:f>'Chart 6 Market Value Endow Inv'!$C$4</c:f>
              <c:strCache>
                <c:ptCount val="1"/>
                <c:pt idx="0">
                  <c:v>Affiliates Endowments</c:v>
                </c:pt>
              </c:strCache>
            </c:strRef>
          </c:tx>
          <c:spPr>
            <a:solidFill>
              <a:schemeClr val="accent6"/>
            </a:solidFill>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wrap="square" lIns="0" tIns="0" rIns="0" bIns="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6 Market Value Endow Inv'!$A$6:$A$10</c:f>
              <c:numCache>
                <c:formatCode>General</c:formatCode>
                <c:ptCount val="5"/>
                <c:pt idx="0">
                  <c:v>2019</c:v>
                </c:pt>
                <c:pt idx="1">
                  <c:v>2020</c:v>
                </c:pt>
                <c:pt idx="2">
                  <c:v>2021</c:v>
                </c:pt>
                <c:pt idx="3">
                  <c:v>2022</c:v>
                </c:pt>
                <c:pt idx="4">
                  <c:v>2023</c:v>
                </c:pt>
              </c:numCache>
            </c:numRef>
          </c:cat>
          <c:val>
            <c:numRef>
              <c:f>'Chart 6 Market Value Endow Inv'!$C$6:$C$10</c:f>
              <c:numCache>
                <c:formatCode>_("$"* #,##0_);_("$"* \(#,##0\);_("$"* "-"_);_(@_)</c:formatCode>
                <c:ptCount val="5"/>
                <c:pt idx="0">
                  <c:v>25</c:v>
                </c:pt>
                <c:pt idx="1">
                  <c:v>26</c:v>
                </c:pt>
                <c:pt idx="2">
                  <c:v>35</c:v>
                </c:pt>
                <c:pt idx="3">
                  <c:v>30</c:v>
                </c:pt>
                <c:pt idx="4">
                  <c:v>34</c:v>
                </c:pt>
              </c:numCache>
            </c:numRef>
          </c:val>
          <c:extLst>
            <c:ext xmlns:c16="http://schemas.microsoft.com/office/drawing/2014/chart" uri="{C3380CC4-5D6E-409C-BE32-E72D297353CC}">
              <c16:uniqueId val="{00000001-7388-4BBB-8EF8-AA312D00F5F0}"/>
            </c:ext>
          </c:extLst>
        </c:ser>
        <c:dLbls>
          <c:showLegendKey val="0"/>
          <c:showVal val="1"/>
          <c:showCatName val="0"/>
          <c:showSerName val="0"/>
          <c:showPercent val="0"/>
          <c:showBubbleSize val="0"/>
        </c:dLbls>
        <c:gapWidth val="160"/>
        <c:axId val="1214032784"/>
        <c:axId val="1214034032"/>
      </c:barChart>
      <c:barChart>
        <c:barDir val="col"/>
        <c:grouping val="clustered"/>
        <c:varyColors val="0"/>
        <c:ser>
          <c:idx val="2"/>
          <c:order val="2"/>
          <c:tx>
            <c:strRef>
              <c:f>'Chart 6 Market Value Endow Inv'!$D$4</c:f>
              <c:strCache>
                <c:ptCount val="1"/>
                <c:pt idx="0">
                  <c:v>Total</c:v>
                </c:pt>
              </c:strCache>
            </c:strRef>
          </c:tx>
          <c:spPr>
            <a:solidFill>
              <a:schemeClr val="accent1">
                <a:alpha val="25000"/>
              </a:schemeClr>
            </a:solidFill>
            <a:ln>
              <a:solidFill>
                <a:srgbClr val="8CB8DC"/>
              </a:solidFill>
            </a:ln>
            <a:effectLst/>
            <a:scene3d>
              <a:camera prst="orthographicFront"/>
              <a:lightRig rig="threePt" dir="t"/>
            </a:scene3d>
            <a:sp3d>
              <a:bevelT h="50800"/>
              <a:bevelB/>
            </a:sp3d>
          </c:spPr>
          <c:invertIfNegative val="0"/>
          <c:dLbls>
            <c:spPr>
              <a:noFill/>
              <a:ln>
                <a:noFill/>
              </a:ln>
              <a:effectLst/>
            </c:spPr>
            <c:txPr>
              <a:bodyPr wrap="square" lIns="0" tIns="0" rIns="0" bIns="0" anchor="ctr">
                <a:spAutoFit/>
              </a:bodyPr>
              <a:lstStyle/>
              <a:p>
                <a:pPr>
                  <a:defRPr sz="9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6 Market Value Endow Inv'!$A$6:$A$10</c:f>
              <c:numCache>
                <c:formatCode>General</c:formatCode>
                <c:ptCount val="5"/>
                <c:pt idx="0">
                  <c:v>2019</c:v>
                </c:pt>
                <c:pt idx="1">
                  <c:v>2020</c:v>
                </c:pt>
                <c:pt idx="2">
                  <c:v>2021</c:v>
                </c:pt>
                <c:pt idx="3">
                  <c:v>2022</c:v>
                </c:pt>
                <c:pt idx="4">
                  <c:v>2023</c:v>
                </c:pt>
              </c:numCache>
            </c:numRef>
          </c:cat>
          <c:val>
            <c:numRef>
              <c:f>'Chart 6 Market Value Endow Inv'!$D$6:$D$10</c:f>
              <c:numCache>
                <c:formatCode>_("$"* #,##0_);_("$"* \(#,##0\);_("$"* "-"_);_(@_)</c:formatCode>
                <c:ptCount val="5"/>
                <c:pt idx="0">
                  <c:v>160</c:v>
                </c:pt>
                <c:pt idx="1">
                  <c:v>161</c:v>
                </c:pt>
                <c:pt idx="2">
                  <c:v>196</c:v>
                </c:pt>
                <c:pt idx="3">
                  <c:v>168</c:v>
                </c:pt>
                <c:pt idx="4">
                  <c:v>182</c:v>
                </c:pt>
              </c:numCache>
            </c:numRef>
          </c:val>
          <c:extLst>
            <c:ext xmlns:c16="http://schemas.microsoft.com/office/drawing/2014/chart" uri="{C3380CC4-5D6E-409C-BE32-E72D297353CC}">
              <c16:uniqueId val="{00000002-7388-4BBB-8EF8-AA312D00F5F0}"/>
            </c:ext>
          </c:extLst>
        </c:ser>
        <c:dLbls>
          <c:showLegendKey val="0"/>
          <c:showVal val="0"/>
          <c:showCatName val="0"/>
          <c:showSerName val="0"/>
          <c:showPercent val="0"/>
          <c:showBubbleSize val="0"/>
        </c:dLbls>
        <c:gapWidth val="79"/>
        <c:axId val="1762746463"/>
        <c:axId val="1763000959"/>
      </c:barChart>
      <c:catAx>
        <c:axId val="121403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4032"/>
        <c:crosses val="autoZero"/>
        <c:auto val="1"/>
        <c:lblAlgn val="ctr"/>
        <c:lblOffset val="100"/>
        <c:noMultiLvlLbl val="0"/>
      </c:catAx>
      <c:valAx>
        <c:axId val="1214034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2784"/>
        <c:crosses val="autoZero"/>
        <c:crossBetween val="between"/>
        <c:majorUnit val="50"/>
      </c:valAx>
      <c:valAx>
        <c:axId val="1763000959"/>
        <c:scaling>
          <c:orientation val="minMax"/>
          <c:max val="200"/>
        </c:scaling>
        <c:delete val="1"/>
        <c:axPos val="r"/>
        <c:numFmt formatCode="_(&quot;$&quot;* #,##0_);_(&quot;$&quot;* \(#,##0\);_(&quot;$&quot;* &quot;-&quot;_);_(@_)" sourceLinked="1"/>
        <c:majorTickMark val="out"/>
        <c:minorTickMark val="none"/>
        <c:tickLblPos val="nextTo"/>
        <c:crossAx val="1762746463"/>
        <c:crosses val="max"/>
        <c:crossBetween val="between"/>
        <c:majorUnit val="50"/>
      </c:valAx>
      <c:catAx>
        <c:axId val="1762746463"/>
        <c:scaling>
          <c:orientation val="minMax"/>
        </c:scaling>
        <c:delete val="1"/>
        <c:axPos val="b"/>
        <c:numFmt formatCode="General" sourceLinked="1"/>
        <c:majorTickMark val="out"/>
        <c:minorTickMark val="none"/>
        <c:tickLblPos val="nextTo"/>
        <c:crossAx val="1763000959"/>
        <c:crosses val="autoZero"/>
        <c:auto val="1"/>
        <c:lblAlgn val="ctr"/>
        <c:lblOffset val="100"/>
        <c:noMultiLvlLbl val="0"/>
      </c:cat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tx1">
                    <a:lumMod val="95000"/>
                    <a:lumOff val="5000"/>
                  </a:schemeClr>
                </a:solidFill>
                <a:latin typeface="+mn-lt"/>
              </a:defRPr>
            </a:pPr>
            <a:r>
              <a:rPr lang="en-US" sz="1400" b="1">
                <a:solidFill>
                  <a:schemeClr val="tx1">
                    <a:lumMod val="95000"/>
                    <a:lumOff val="5000"/>
                  </a:schemeClr>
                </a:solidFill>
                <a:latin typeface="+mn-lt"/>
                <a:cs typeface="Arial" panose="020B0604020202020204" pitchFamily="34" charset="0"/>
              </a:rPr>
              <a:t>2022 - $801 million</a:t>
            </a:r>
          </a:p>
        </c:rich>
      </c:tx>
      <c:layout>
        <c:manualLayout>
          <c:xMode val="edge"/>
          <c:yMode val="edge"/>
          <c:x val="0.36336108910410836"/>
          <c:y val="4.3483715478961349E-2"/>
        </c:manualLayout>
      </c:layout>
      <c:overlay val="0"/>
    </c:title>
    <c:autoTitleDeleted val="0"/>
    <c:plotArea>
      <c:layout>
        <c:manualLayout>
          <c:layoutTarget val="inner"/>
          <c:xMode val="edge"/>
          <c:yMode val="edge"/>
          <c:x val="2.5462962962962962E-2"/>
          <c:y val="0.12258578790482798"/>
          <c:w val="0.84303580179138482"/>
          <c:h val="0.74429415840026902"/>
        </c:manualLayout>
      </c:layout>
      <c:ofPieChart>
        <c:ofPieType val="pie"/>
        <c:varyColors val="1"/>
        <c:ser>
          <c:idx val="1"/>
          <c:order val="0"/>
          <c:spPr>
            <a:scene3d>
              <a:camera prst="orthographicFront"/>
              <a:lightRig rig="threePt" dir="t"/>
            </a:scene3d>
            <a:sp3d>
              <a:bevelT h="50800"/>
            </a:sp3d>
          </c:spPr>
          <c:dPt>
            <c:idx val="0"/>
            <c:bubble3D val="0"/>
            <c:spPr>
              <a:solidFill>
                <a:srgbClr val="791134"/>
              </a:solidFill>
              <a:scene3d>
                <a:camera prst="orthographicFront"/>
                <a:lightRig rig="threePt" dir="t"/>
              </a:scene3d>
              <a:sp3d>
                <a:bevelT h="50800"/>
              </a:sp3d>
            </c:spPr>
            <c:extLst>
              <c:ext xmlns:c16="http://schemas.microsoft.com/office/drawing/2014/chart" uri="{C3380CC4-5D6E-409C-BE32-E72D297353CC}">
                <c16:uniqueId val="{00000001-A009-46F8-B5D6-199C64A3D620}"/>
              </c:ext>
            </c:extLst>
          </c:dPt>
          <c:dPt>
            <c:idx val="1"/>
            <c:bubble3D val="0"/>
            <c:spPr>
              <a:solidFill>
                <a:srgbClr val="E5D8AB"/>
              </a:solidFill>
              <a:scene3d>
                <a:camera prst="orthographicFront"/>
                <a:lightRig rig="threePt" dir="t"/>
              </a:scene3d>
              <a:sp3d>
                <a:bevelT h="50800"/>
              </a:sp3d>
            </c:spPr>
            <c:extLst>
              <c:ext xmlns:c16="http://schemas.microsoft.com/office/drawing/2014/chart" uri="{C3380CC4-5D6E-409C-BE32-E72D297353CC}">
                <c16:uniqueId val="{00000003-A009-46F8-B5D6-199C64A3D620}"/>
              </c:ext>
            </c:extLst>
          </c:dPt>
          <c:dPt>
            <c:idx val="2"/>
            <c:bubble3D val="0"/>
            <c:spPr>
              <a:solidFill>
                <a:srgbClr val="F6A800"/>
              </a:solidFill>
              <a:scene3d>
                <a:camera prst="orthographicFront"/>
                <a:lightRig rig="threePt" dir="t"/>
              </a:scene3d>
              <a:sp3d>
                <a:bevelT h="50800"/>
              </a:sp3d>
            </c:spPr>
            <c:extLst>
              <c:ext xmlns:c16="http://schemas.microsoft.com/office/drawing/2014/chart" uri="{C3380CC4-5D6E-409C-BE32-E72D297353CC}">
                <c16:uniqueId val="{00000005-A009-46F8-B5D6-199C64A3D620}"/>
              </c:ext>
            </c:extLst>
          </c:dPt>
          <c:dPt>
            <c:idx val="3"/>
            <c:bubble3D val="0"/>
            <c:spPr>
              <a:solidFill>
                <a:srgbClr val="1E304F"/>
              </a:solidFill>
              <a:scene3d>
                <a:camera prst="orthographicFront"/>
                <a:lightRig rig="threePt" dir="t"/>
              </a:scene3d>
              <a:sp3d>
                <a:bevelT h="50800"/>
              </a:sp3d>
            </c:spPr>
            <c:extLst>
              <c:ext xmlns:c16="http://schemas.microsoft.com/office/drawing/2014/chart" uri="{C3380CC4-5D6E-409C-BE32-E72D297353CC}">
                <c16:uniqueId val="{00000007-A009-46F8-B5D6-199C64A3D620}"/>
              </c:ext>
            </c:extLst>
          </c:dPt>
          <c:dPt>
            <c:idx val="4"/>
            <c:bubble3D val="0"/>
            <c:spPr>
              <a:solidFill>
                <a:srgbClr val="00688D"/>
              </a:solidFill>
              <a:scene3d>
                <a:camera prst="orthographicFront"/>
                <a:lightRig rig="threePt" dir="t"/>
              </a:scene3d>
              <a:sp3d>
                <a:bevelT h="50800"/>
              </a:sp3d>
            </c:spPr>
            <c:extLst>
              <c:ext xmlns:c16="http://schemas.microsoft.com/office/drawing/2014/chart" uri="{C3380CC4-5D6E-409C-BE32-E72D297353CC}">
                <c16:uniqueId val="{00000009-A009-46F8-B5D6-199C64A3D620}"/>
              </c:ext>
            </c:extLst>
          </c:dPt>
          <c:dPt>
            <c:idx val="5"/>
            <c:bubble3D val="0"/>
            <c:spPr>
              <a:solidFill>
                <a:srgbClr val="8CB8DC"/>
              </a:solidFill>
              <a:scene3d>
                <a:camera prst="orthographicFront"/>
                <a:lightRig rig="threePt" dir="t"/>
              </a:scene3d>
              <a:sp3d>
                <a:bevelT h="50800"/>
              </a:sp3d>
            </c:spPr>
            <c:extLst>
              <c:ext xmlns:c16="http://schemas.microsoft.com/office/drawing/2014/chart" uri="{C3380CC4-5D6E-409C-BE32-E72D297353CC}">
                <c16:uniqueId val="{0000000B-A009-46F8-B5D6-199C64A3D620}"/>
              </c:ext>
            </c:extLst>
          </c:dPt>
          <c:dPt>
            <c:idx val="6"/>
            <c:bubble3D val="0"/>
            <c:spPr>
              <a:solidFill>
                <a:srgbClr val="919494"/>
              </a:solidFill>
              <a:scene3d>
                <a:camera prst="orthographicFront"/>
                <a:lightRig rig="threePt" dir="t"/>
              </a:scene3d>
              <a:sp3d>
                <a:bevelT h="50800"/>
              </a:sp3d>
            </c:spPr>
            <c:extLst>
              <c:ext xmlns:c16="http://schemas.microsoft.com/office/drawing/2014/chart" uri="{C3380CC4-5D6E-409C-BE32-E72D297353CC}">
                <c16:uniqueId val="{0000000D-A009-46F8-B5D6-199C64A3D620}"/>
              </c:ext>
            </c:extLst>
          </c:dPt>
          <c:dLbls>
            <c:dLbl>
              <c:idx val="0"/>
              <c:spPr>
                <a:noFill/>
                <a:ln>
                  <a:noFill/>
                </a:ln>
                <a:effectLst/>
              </c:spPr>
              <c:txPr>
                <a:bodyPr wrap="square" lIns="0" tIns="0" rIns="0" bIns="0" anchor="ctr">
                  <a:spAutoFit/>
                </a:bodyPr>
                <a:lstStyle/>
                <a:p>
                  <a:pPr>
                    <a:defRPr sz="900" b="1">
                      <a:solidFill>
                        <a:schemeClr val="bg1"/>
                      </a:solidFill>
                    </a:defRPr>
                  </a:pPr>
                  <a:endParaRPr lang="en-US"/>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009-46F8-B5D6-199C64A3D620}"/>
                </c:ext>
              </c:extLst>
            </c:dLbl>
            <c:dLbl>
              <c:idx val="1"/>
              <c:layout>
                <c:manualLayout>
                  <c:x val="3.0440361621463984E-2"/>
                  <c:y val="4.44984825212787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09-46F8-B5D6-199C64A3D620}"/>
                </c:ext>
              </c:extLst>
            </c:dLbl>
            <c:dLbl>
              <c:idx val="2"/>
              <c:layout>
                <c:manualLayout>
                  <c:x val="-3.5753415438454811E-2"/>
                  <c:y val="-1.5154086342655582E-2"/>
                </c:manualLayout>
              </c:layout>
              <c:spPr>
                <a:noFill/>
                <a:ln>
                  <a:noFill/>
                </a:ln>
                <a:effectLst/>
              </c:spPr>
              <c:txPr>
                <a:bodyPr wrap="square" lIns="0" tIns="0" rIns="0" bIns="0" anchor="ctr">
                  <a:sp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949764146614541"/>
                      <c:h val="0.13673014785353718"/>
                    </c:manualLayout>
                  </c15:layout>
                </c:ext>
                <c:ext xmlns:c16="http://schemas.microsoft.com/office/drawing/2014/chart" uri="{C3380CC4-5D6E-409C-BE32-E72D297353CC}">
                  <c16:uniqueId val="{00000005-A009-46F8-B5D6-199C64A3D620}"/>
                </c:ext>
              </c:extLst>
            </c:dLbl>
            <c:dLbl>
              <c:idx val="3"/>
              <c:layout>
                <c:manualLayout>
                  <c:x val="9.9193037608967624E-2"/>
                  <c:y val="-0.16076535585283813"/>
                </c:manualLayout>
              </c:layout>
              <c:spPr>
                <a:noFill/>
                <a:ln>
                  <a:noFill/>
                </a:ln>
                <a:effectLst/>
              </c:spPr>
              <c:txPr>
                <a:bodyPr wrap="square" lIns="0" tIns="0" rIns="0" bIns="0" anchor="ctr">
                  <a:noAutofit/>
                </a:bodyPr>
                <a:lstStyle/>
                <a:p>
                  <a:pPr>
                    <a:defRPr sz="900" b="1">
                      <a:solidFill>
                        <a:schemeClr val="bg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3005030155024702"/>
                      <c:h val="0.17029386778153957"/>
                    </c:manualLayout>
                  </c15:layout>
                </c:ext>
                <c:ext xmlns:c16="http://schemas.microsoft.com/office/drawing/2014/chart" uri="{C3380CC4-5D6E-409C-BE32-E72D297353CC}">
                  <c16:uniqueId val="{00000007-A009-46F8-B5D6-199C64A3D620}"/>
                </c:ext>
              </c:extLst>
            </c:dLbl>
            <c:dLbl>
              <c:idx val="4"/>
              <c:spPr>
                <a:noFill/>
                <a:ln>
                  <a:noFill/>
                </a:ln>
                <a:effectLst/>
              </c:spPr>
              <c:txPr>
                <a:bodyPr wrap="square" lIns="0" tIns="0" rIns="0" bIns="0" anchor="ctr">
                  <a:spAutoFit/>
                </a:bodyPr>
                <a:lstStyle/>
                <a:p>
                  <a:pPr>
                    <a:defRPr sz="900" b="1">
                      <a:solidFill>
                        <a:schemeClr val="bg1"/>
                      </a:solidFill>
                    </a:defRPr>
                  </a:pPr>
                  <a:endParaRPr lang="en-US"/>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009-46F8-B5D6-199C64A3D620}"/>
                </c:ext>
              </c:extLst>
            </c:dLbl>
            <c:dLbl>
              <c:idx val="5"/>
              <c:layout>
                <c:manualLayout>
                  <c:x val="0.12625336984088006"/>
                  <c:y val="0.13094373806435947"/>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895833333333334"/>
                      <c:h val="0.21569095378651407"/>
                    </c:manualLayout>
                  </c15:layout>
                </c:ext>
                <c:ext xmlns:c16="http://schemas.microsoft.com/office/drawing/2014/chart" uri="{C3380CC4-5D6E-409C-BE32-E72D297353CC}">
                  <c16:uniqueId val="{0000000B-A009-46F8-B5D6-199C64A3D620}"/>
                </c:ext>
              </c:extLst>
            </c:dLbl>
            <c:dLbl>
              <c:idx val="6"/>
              <c:layout>
                <c:manualLayout>
                  <c:x val="-9.4365782722184571E-2"/>
                  <c:y val="0.17656013004916021"/>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484848484848485"/>
                      <c:h val="0.1942830303720175"/>
                    </c:manualLayout>
                  </c15:layout>
                </c:ext>
                <c:ext xmlns:c16="http://schemas.microsoft.com/office/drawing/2014/chart" uri="{C3380CC4-5D6E-409C-BE32-E72D297353CC}">
                  <c16:uniqueId val="{0000000D-A009-46F8-B5D6-199C64A3D620}"/>
                </c:ext>
              </c:extLst>
            </c:dLbl>
            <c:dLbl>
              <c:idx val="7"/>
              <c:layout>
                <c:manualLayout>
                  <c:x val="-7.6855407746286714E-4"/>
                  <c:y val="-1.6264716654902232E-2"/>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6179248572949359"/>
                      <c:h val="0.16559167899812577"/>
                    </c:manualLayout>
                  </c15:layout>
                </c:ext>
                <c:ext xmlns:c16="http://schemas.microsoft.com/office/drawing/2014/chart" uri="{C3380CC4-5D6E-409C-BE32-E72D297353CC}">
                  <c16:uniqueId val="{0000000E-A009-46F8-B5D6-199C64A3D620}"/>
                </c:ext>
              </c:extLst>
            </c:dLbl>
            <c:spPr>
              <a:noFill/>
              <a:ln>
                <a:noFill/>
              </a:ln>
              <a:effectLst/>
            </c:spPr>
            <c:txPr>
              <a:bodyPr wrap="square" lIns="0" tIns="0" rIns="0" bIns="0" anchor="ctr">
                <a:spAutoFit/>
              </a:bodyPr>
              <a:lstStyle/>
              <a:p>
                <a:pPr>
                  <a:defRPr sz="900" b="1">
                    <a:solidFill>
                      <a:schemeClr val="tx1"/>
                    </a:solidFill>
                  </a:defRPr>
                </a:pPr>
                <a:endParaRPr lang="en-US"/>
              </a:p>
            </c:txPr>
            <c:dLblPos val="ct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'2022'!$A$2:$A$9</c:f>
              <c:strCache>
                <c:ptCount val="8"/>
                <c:pt idx="0">
                  <c:v>Net Student Fees </c:v>
                </c:pt>
                <c:pt idx="1">
                  <c:v>Grants &amp; Contracts </c:v>
                </c:pt>
                <c:pt idx="2">
                  <c:v>Indirect Cost Recovery </c:v>
                </c:pt>
                <c:pt idx="3">
                  <c:v>Educ. Sales &amp; Services/Aux. Enterprises</c:v>
                </c:pt>
                <c:pt idx="4">
                  <c:v>Noncapital State Appropriation </c:v>
                </c:pt>
                <c:pt idx="5">
                  <c:v>Federal Pell Grants</c:v>
                </c:pt>
                <c:pt idx="6">
                  <c:v>Coronavirus Relief Funding</c:v>
                </c:pt>
                <c:pt idx="7">
                  <c:v>Other Nonoperating Revenues Net </c:v>
                </c:pt>
              </c:strCache>
            </c:strRef>
          </c:cat>
          <c:val>
            <c:numRef>
              <c:f>'2022'!$C$2:$C$9</c:f>
              <c:numCache>
                <c:formatCode>0%</c:formatCode>
                <c:ptCount val="8"/>
                <c:pt idx="0">
                  <c:v>0.33</c:v>
                </c:pt>
                <c:pt idx="1">
                  <c:v>0.17</c:v>
                </c:pt>
                <c:pt idx="2">
                  <c:v>0.03</c:v>
                </c:pt>
                <c:pt idx="3">
                  <c:v>0.05</c:v>
                </c:pt>
                <c:pt idx="4">
                  <c:v>0.28999999999999998</c:v>
                </c:pt>
                <c:pt idx="5">
                  <c:v>0.04</c:v>
                </c:pt>
                <c:pt idx="6">
                  <c:v>0.08</c:v>
                </c:pt>
                <c:pt idx="7">
                  <c:v>0.01</c:v>
                </c:pt>
              </c:numCache>
            </c:numRef>
          </c:val>
          <c:extLst>
            <c:ext xmlns:c16="http://schemas.microsoft.com/office/drawing/2014/chart" uri="{C3380CC4-5D6E-409C-BE32-E72D297353CC}">
              <c16:uniqueId val="{0000000F-A009-46F8-B5D6-199C64A3D620}"/>
            </c:ext>
          </c:extLst>
        </c:ser>
        <c:dLbls>
          <c:showLegendKey val="0"/>
          <c:showVal val="0"/>
          <c:showCatName val="1"/>
          <c:showSerName val="0"/>
          <c:showPercent val="1"/>
          <c:showBubbleSize val="0"/>
          <c:showLeaderLines val="1"/>
        </c:dLbls>
        <c:gapWidth val="100"/>
        <c:splitType val="percent"/>
        <c:splitPos val="10"/>
        <c:secondPieSize val="75"/>
        <c:serLines/>
      </c:ofPieChart>
    </c:plotArea>
    <c:plotVisOnly val="1"/>
    <c:dispBlanksAs val="gap"/>
    <c:showDLblsOverMax val="0"/>
  </c:chart>
  <c:spPr>
    <a:noFill/>
    <a:ln w="12700">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400" b="1">
                <a:solidFill>
                  <a:schemeClr val="tx1">
                    <a:lumMod val="95000"/>
                    <a:lumOff val="5000"/>
                  </a:schemeClr>
                </a:solidFill>
              </a:rPr>
              <a:t>Chart 7: Total Financial Aid</a:t>
            </a:r>
          </a:p>
          <a:p>
            <a:pPr>
              <a:defRPr sz="1400" b="1" i="0" u="none" strike="noStrike" kern="1200" spc="0" baseline="0">
                <a:solidFill>
                  <a:schemeClr val="tx1">
                    <a:lumMod val="95000"/>
                    <a:lumOff val="5000"/>
                  </a:schemeClr>
                </a:solidFill>
                <a:latin typeface="+mn-lt"/>
                <a:ea typeface="+mn-ea"/>
                <a:cs typeface="+mn-cs"/>
              </a:defRPr>
            </a:pPr>
            <a:r>
              <a:rPr lang="en-US" sz="1100" b="1">
                <a:solidFill>
                  <a:schemeClr val="tx1">
                    <a:lumMod val="95000"/>
                    <a:lumOff val="5000"/>
                  </a:schemeClr>
                </a:solidFill>
              </a:rPr>
              <a:t>(In</a:t>
            </a:r>
            <a:r>
              <a:rPr lang="en-US" sz="1100" b="1" baseline="0">
                <a:solidFill>
                  <a:schemeClr val="tx1">
                    <a:lumMod val="95000"/>
                    <a:lumOff val="5000"/>
                  </a:schemeClr>
                </a:solidFill>
              </a:rPr>
              <a:t> millions)</a:t>
            </a:r>
            <a:endParaRPr lang="en-US" sz="1100" b="1">
              <a:solidFill>
                <a:schemeClr val="tx1">
                  <a:lumMod val="95000"/>
                  <a:lumOff val="5000"/>
                </a:schemeClr>
              </a:solidFill>
            </a:endParaRPr>
          </a:p>
        </c:rich>
      </c:tx>
      <c:layout>
        <c:manualLayout>
          <c:xMode val="edge"/>
          <c:yMode val="edge"/>
          <c:x val="0.27709711286089239"/>
          <c:y val="4.6296296296296294E-3"/>
        </c:manualLayout>
      </c:layout>
      <c:overlay val="0"/>
      <c:spPr>
        <a:noFill/>
        <a:ln>
          <a:noFill/>
        </a:ln>
        <a:effectLst/>
      </c:spPr>
    </c:title>
    <c:autoTitleDeleted val="0"/>
    <c:plotArea>
      <c:layout/>
      <c:lineChart>
        <c:grouping val="standard"/>
        <c:varyColors val="0"/>
        <c:ser>
          <c:idx val="0"/>
          <c:order val="0"/>
          <c:tx>
            <c:strRef>
              <c:f>'Student Financial Aid'!$B$1</c:f>
              <c:strCache>
                <c:ptCount val="1"/>
                <c:pt idx="0">
                  <c:v>Total Financial Aid</c:v>
                </c:pt>
              </c:strCache>
            </c:strRef>
          </c:tx>
          <c:spPr>
            <a:ln w="28575" cap="rnd">
              <a:solidFill>
                <a:srgbClr val="00688D"/>
              </a:solidFill>
              <a:round/>
            </a:ln>
            <a:effectLst/>
          </c:spPr>
          <c:marker>
            <c:symbol val="circle"/>
            <c:size val="5"/>
            <c:spPr>
              <a:solidFill>
                <a:schemeClr val="accent1"/>
              </a:solidFill>
              <a:ln w="9525">
                <a:solidFill>
                  <a:srgbClr val="00688D"/>
                </a:solidFill>
              </a:ln>
              <a:effectLst/>
              <a:scene3d>
                <a:camera prst="orthographicFront"/>
                <a:lightRig rig="threePt" dir="t"/>
              </a:scene3d>
              <a:sp3d>
                <a:bevelT h="50800"/>
              </a:sp3d>
            </c:spPr>
          </c:marker>
          <c:dLbls>
            <c:dLbl>
              <c:idx val="3"/>
              <c:layout>
                <c:manualLayout>
                  <c:x val="-5.0103207438053292E-2"/>
                  <c:y val="-4.423937007874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5-47EB-BB12-6472BCD7FBE8}"/>
                </c:ext>
              </c:extLst>
            </c:dLbl>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'Student Financial Aid'!$A$8:$A$12</c:f>
              <c:numCache>
                <c:formatCode>General</c:formatCode>
                <c:ptCount val="5"/>
                <c:pt idx="0">
                  <c:v>2019</c:v>
                </c:pt>
                <c:pt idx="1">
                  <c:v>2020</c:v>
                </c:pt>
                <c:pt idx="2">
                  <c:v>2021</c:v>
                </c:pt>
                <c:pt idx="3">
                  <c:v>2022</c:v>
                </c:pt>
                <c:pt idx="4">
                  <c:v>2023</c:v>
                </c:pt>
              </c:numCache>
            </c:numRef>
          </c:cat>
          <c:val>
            <c:numRef>
              <c:f>'Student Financial Aid'!$B$8:$B$12</c:f>
              <c:numCache>
                <c:formatCode>_("$"* #,##0_);_("$"* \(#,##0\);_("$"* "-"??_);_(@_)</c:formatCode>
                <c:ptCount val="5"/>
                <c:pt idx="0">
                  <c:v>150</c:v>
                </c:pt>
                <c:pt idx="1">
                  <c:v>163</c:v>
                </c:pt>
                <c:pt idx="2">
                  <c:v>162</c:v>
                </c:pt>
                <c:pt idx="3">
                  <c:v>188</c:v>
                </c:pt>
                <c:pt idx="4">
                  <c:v>157</c:v>
                </c:pt>
              </c:numCache>
            </c:numRef>
          </c:val>
          <c:smooth val="0"/>
          <c:extLst>
            <c:ext xmlns:c16="http://schemas.microsoft.com/office/drawing/2014/chart" uri="{C3380CC4-5D6E-409C-BE32-E72D297353CC}">
              <c16:uniqueId val="{00000001-3EB5-47EB-BB12-6472BCD7FBE8}"/>
            </c:ext>
          </c:extLst>
        </c:ser>
        <c:dLbls>
          <c:dLblPos val="t"/>
          <c:showLegendKey val="0"/>
          <c:showVal val="1"/>
          <c:showCatName val="0"/>
          <c:showSerName val="0"/>
          <c:showPercent val="0"/>
          <c:showBubbleSize val="0"/>
        </c:dLbls>
        <c:marker val="1"/>
        <c:smooth val="0"/>
        <c:axId val="184141888"/>
        <c:axId val="184142448"/>
      </c:lineChart>
      <c:catAx>
        <c:axId val="18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2448"/>
        <c:crosses val="autoZero"/>
        <c:auto val="1"/>
        <c:lblAlgn val="ctr"/>
        <c:lblOffset val="100"/>
        <c:noMultiLvlLbl val="0"/>
      </c:catAx>
      <c:valAx>
        <c:axId val="184142448"/>
        <c:scaling>
          <c:orientation val="minMax"/>
          <c:max val="190"/>
          <c:min val="135"/>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1888"/>
        <c:crosses val="autoZero"/>
        <c:crossBetween val="between"/>
        <c:majorUnit val="5"/>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8: Grants, Contracts and Indirect Cost Recovery</a:t>
            </a:r>
            <a:r>
              <a:rPr lang="en-US" b="1">
                <a:solidFill>
                  <a:schemeClr val="tx1">
                    <a:lumMod val="95000"/>
                    <a:lumOff val="5000"/>
                  </a:schemeClr>
                </a:solidFill>
              </a:rPr>
              <a:t>
</a:t>
            </a:r>
            <a:r>
              <a:rPr lang="en-US" sz="1050" b="1">
                <a:solidFill>
                  <a:schemeClr val="tx1">
                    <a:lumMod val="95000"/>
                    <a:lumOff val="5000"/>
                  </a:schemeClr>
                </a:solidFill>
              </a:rPr>
              <a:t>(In millions)</a:t>
            </a:r>
          </a:p>
        </c:rich>
      </c:tx>
      <c:layout>
        <c:manualLayout>
          <c:xMode val="edge"/>
          <c:yMode val="edge"/>
          <c:x val="0.12342344706911636"/>
          <c:y val="0"/>
        </c:manualLayout>
      </c:layout>
      <c:overlay val="0"/>
      <c:spPr>
        <a:noFill/>
        <a:ln>
          <a:noFill/>
        </a:ln>
        <a:effectLst/>
      </c:spPr>
    </c:title>
    <c:autoTitleDeleted val="0"/>
    <c:plotArea>
      <c:layout/>
      <c:lineChart>
        <c:grouping val="standard"/>
        <c:varyColors val="0"/>
        <c:ser>
          <c:idx val="0"/>
          <c:order val="0"/>
          <c:tx>
            <c:strRef>
              <c:f>'Grants&amp;Contracts'!$B$1</c:f>
              <c:strCache>
                <c:ptCount val="1"/>
                <c:pt idx="0">
                  <c:v>Federal, State, and Private Grants &amp; Contracts</c:v>
                </c:pt>
              </c:strCache>
            </c:strRef>
          </c:tx>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'Grants&amp;Contracts'!$A$6:$A$10</c:f>
              <c:strCache>
                <c:ptCount val="5"/>
                <c:pt idx="0">
                  <c:v>FY19</c:v>
                </c:pt>
                <c:pt idx="1">
                  <c:v>FY20</c:v>
                </c:pt>
                <c:pt idx="2">
                  <c:v>FY21</c:v>
                </c:pt>
                <c:pt idx="3">
                  <c:v>FY22</c:v>
                </c:pt>
                <c:pt idx="4">
                  <c:v>FY23</c:v>
                </c:pt>
              </c:strCache>
            </c:strRef>
          </c:cat>
          <c:val>
            <c:numRef>
              <c:f>'Grants&amp;Contracts'!$B$6:$B$10</c:f>
              <c:numCache>
                <c:formatCode>_("$"* #,##0_);_("$"* \(#,##0\);_("$"* "-"??_);_(@_)</c:formatCode>
                <c:ptCount val="5"/>
                <c:pt idx="0">
                  <c:v>99</c:v>
                </c:pt>
                <c:pt idx="1">
                  <c:v>106</c:v>
                </c:pt>
                <c:pt idx="2">
                  <c:v>119</c:v>
                </c:pt>
                <c:pt idx="3">
                  <c:v>140</c:v>
                </c:pt>
                <c:pt idx="4">
                  <c:v>143</c:v>
                </c:pt>
              </c:numCache>
            </c:numRef>
          </c:val>
          <c:smooth val="0"/>
          <c:extLst>
            <c:ext xmlns:c16="http://schemas.microsoft.com/office/drawing/2014/chart" uri="{C3380CC4-5D6E-409C-BE32-E72D297353CC}">
              <c16:uniqueId val="{00000000-3EEF-4570-BF8E-C7B6B3EE1B0E}"/>
            </c:ext>
          </c:extLst>
        </c:ser>
        <c:ser>
          <c:idx val="1"/>
          <c:order val="1"/>
          <c:tx>
            <c:strRef>
              <c:f>'Grants&amp;Contracts'!$C$1</c:f>
              <c:strCache>
                <c:ptCount val="1"/>
                <c:pt idx="0">
                  <c:v>Indirect Cost Recovery</c:v>
                </c:pt>
              </c:strCache>
            </c:strRef>
          </c:tx>
          <c:spPr>
            <a:ln w="28575" cap="rnd">
              <a:solidFill>
                <a:schemeClr val="accent4"/>
              </a:solidFill>
              <a:round/>
            </a:ln>
            <a:effectLst/>
          </c:spPr>
          <c:marker>
            <c:symbol val="diamond"/>
            <c:size val="5"/>
            <c:spPr>
              <a:solidFill>
                <a:srgbClr val="5C8C7C"/>
              </a:solidFill>
              <a:ln w="9525">
                <a:solidFill>
                  <a:schemeClr val="accent4"/>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'Grants&amp;Contracts'!$A$6:$A$10</c:f>
              <c:strCache>
                <c:ptCount val="5"/>
                <c:pt idx="0">
                  <c:v>FY19</c:v>
                </c:pt>
                <c:pt idx="1">
                  <c:v>FY20</c:v>
                </c:pt>
                <c:pt idx="2">
                  <c:v>FY21</c:v>
                </c:pt>
                <c:pt idx="3">
                  <c:v>FY22</c:v>
                </c:pt>
                <c:pt idx="4">
                  <c:v>FY23</c:v>
                </c:pt>
              </c:strCache>
            </c:strRef>
          </c:cat>
          <c:val>
            <c:numRef>
              <c:f>'Grants&amp;Contracts'!$C$6:$C$10</c:f>
              <c:numCache>
                <c:formatCode>_("$"* #,##0_);_("$"* \(#,##0\);_("$"* "-"??_);_(@_)</c:formatCode>
                <c:ptCount val="5"/>
                <c:pt idx="0">
                  <c:v>14</c:v>
                </c:pt>
                <c:pt idx="1">
                  <c:v>15</c:v>
                </c:pt>
                <c:pt idx="2">
                  <c:v>17</c:v>
                </c:pt>
                <c:pt idx="3">
                  <c:v>23</c:v>
                </c:pt>
                <c:pt idx="4">
                  <c:v>25</c:v>
                </c:pt>
              </c:numCache>
            </c:numRef>
          </c:val>
          <c:smooth val="0"/>
          <c:extLst>
            <c:ext xmlns:c16="http://schemas.microsoft.com/office/drawing/2014/chart" uri="{C3380CC4-5D6E-409C-BE32-E72D297353CC}">
              <c16:uniqueId val="{00000001-3EEF-4570-BF8E-C7B6B3EE1B0E}"/>
            </c:ext>
          </c:extLst>
        </c:ser>
        <c:dLbls>
          <c:dLblPos val="t"/>
          <c:showLegendKey val="0"/>
          <c:showVal val="1"/>
          <c:showCatName val="0"/>
          <c:showSerName val="0"/>
          <c:showPercent val="0"/>
          <c:showBubbleSize val="0"/>
        </c:dLbls>
        <c:marker val="1"/>
        <c:smooth val="0"/>
        <c:axId val="999911920"/>
        <c:axId val="999912752"/>
      </c:lineChart>
      <c:catAx>
        <c:axId val="9999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2752"/>
        <c:crosses val="autoZero"/>
        <c:auto val="1"/>
        <c:lblAlgn val="ctr"/>
        <c:lblOffset val="100"/>
        <c:noMultiLvlLbl val="0"/>
      </c:catAx>
      <c:valAx>
        <c:axId val="9999127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1920"/>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9: Noncapital State Appropriation</a:t>
            </a:r>
            <a:r>
              <a:rPr lang="en-US" sz="1200" b="1" baseline="0">
                <a:solidFill>
                  <a:schemeClr val="tx1">
                    <a:lumMod val="95000"/>
                    <a:lumOff val="5000"/>
                  </a:schemeClr>
                </a:solidFill>
              </a:rPr>
              <a:t> and Annual Percentage Change</a:t>
            </a:r>
          </a:p>
          <a:p>
            <a:pPr>
              <a:defRPr sz="1400" b="1" i="0" u="none" strike="noStrike" kern="1200" spc="0" baseline="0">
                <a:solidFill>
                  <a:schemeClr val="tx1">
                    <a:lumMod val="95000"/>
                    <a:lumOff val="5000"/>
                  </a:schemeClr>
                </a:solidFill>
                <a:latin typeface="+mn-lt"/>
                <a:ea typeface="+mn-ea"/>
                <a:cs typeface="+mn-cs"/>
              </a:defRPr>
            </a:pPr>
            <a:r>
              <a:rPr lang="en-US" sz="1100" b="1" baseline="0">
                <a:solidFill>
                  <a:schemeClr val="tx1">
                    <a:lumMod val="95000"/>
                    <a:lumOff val="5000"/>
                  </a:schemeClr>
                </a:solidFill>
              </a:rPr>
              <a:t>(In millions)</a:t>
            </a:r>
            <a:endParaRPr lang="en-US" sz="1100" b="1">
              <a:solidFill>
                <a:schemeClr val="tx1">
                  <a:lumMod val="95000"/>
                  <a:lumOff val="5000"/>
                </a:schemeClr>
              </a:solidFill>
            </a:endParaRPr>
          </a:p>
        </c:rich>
      </c:tx>
      <c:layout>
        <c:manualLayout>
          <c:xMode val="edge"/>
          <c:yMode val="edge"/>
          <c:x val="0.13208333333333333"/>
          <c:y val="9.2592592592592587E-3"/>
        </c:manualLayout>
      </c:layout>
      <c:overlay val="0"/>
      <c:spPr>
        <a:noFill/>
        <a:ln>
          <a:noFill/>
        </a:ln>
        <a:effectLst/>
      </c:spPr>
    </c:title>
    <c:autoTitleDeleted val="0"/>
    <c:plotArea>
      <c:layout/>
      <c:barChart>
        <c:barDir val="col"/>
        <c:grouping val="clustered"/>
        <c:varyColors val="0"/>
        <c:ser>
          <c:idx val="0"/>
          <c:order val="0"/>
          <c:spPr>
            <a:solidFill>
              <a:srgbClr val="00688D"/>
            </a:solidFill>
            <a:ln>
              <a:noFill/>
            </a:ln>
            <a:effectLst/>
            <a:scene3d>
              <a:camera prst="orthographicFront"/>
              <a:lightRig rig="threePt" dir="t"/>
            </a:scene3d>
            <a:sp3d>
              <a:bevelT h="50800"/>
            </a:sp3d>
          </c:spPr>
          <c:invertIfNegative val="0"/>
          <c:dLbls>
            <c:dLbl>
              <c:idx val="0"/>
              <c:tx>
                <c:rich>
                  <a:bodyPr/>
                  <a:lstStyle/>
                  <a:p>
                    <a:fld id="{CB39097E-21ED-4FFF-9F33-575A639C47AC}" type="VALUE">
                      <a:rPr lang="en-US"/>
                      <a:pPr/>
                      <a:t>[VALUE]</a:t>
                    </a:fld>
                    <a:r>
                      <a:rPr lang="en-US"/>
                      <a:t> </a:t>
                    </a:r>
                  </a:p>
                  <a:p>
                    <a:r>
                      <a:rPr lang="en-US"/>
                      <a:t>Change: 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F7E-4C4A-B047-FE5C39EE7297}"/>
                </c:ext>
              </c:extLst>
            </c:dLbl>
            <c:dLbl>
              <c:idx val="1"/>
              <c:tx>
                <c:rich>
                  <a:bodyPr/>
                  <a:lstStyle/>
                  <a:p>
                    <a:fld id="{28EA1716-4905-47E0-AB3C-5BCDE6C72FD2}" type="VALUE">
                      <a:rPr lang="en-US"/>
                      <a:pPr/>
                      <a:t>[VALUE]</a:t>
                    </a:fld>
                    <a:r>
                      <a:rPr lang="en-US"/>
                      <a:t> </a:t>
                    </a:r>
                  </a:p>
                  <a:p>
                    <a:r>
                      <a:rPr lang="en-US"/>
                      <a:t>Change:</a:t>
                    </a:r>
                    <a:r>
                      <a:rPr lang="en-US" baseline="0"/>
                      <a:t> 3.8%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7E-4C4A-B047-FE5C39EE7297}"/>
                </c:ext>
              </c:extLst>
            </c:dLbl>
            <c:dLbl>
              <c:idx val="2"/>
              <c:tx>
                <c:rich>
                  <a:bodyPr/>
                  <a:lstStyle/>
                  <a:p>
                    <a:fld id="{C69C5B44-D5B1-481C-8767-39CD6FAA510F}" type="VALUE">
                      <a:rPr lang="en-US"/>
                      <a:pPr/>
                      <a:t>[VALUE]</a:t>
                    </a:fld>
                    <a:r>
                      <a:rPr lang="en-US"/>
                      <a:t> </a:t>
                    </a:r>
                  </a:p>
                  <a:p>
                    <a:r>
                      <a:rPr lang="en-US"/>
                      <a:t>Change:</a:t>
                    </a:r>
                    <a:r>
                      <a:rPr lang="en-US" baseline="0"/>
                      <a:t> (0.9%)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F7E-4C4A-B047-FE5C39EE7297}"/>
                </c:ext>
              </c:extLst>
            </c:dLbl>
            <c:dLbl>
              <c:idx val="3"/>
              <c:tx>
                <c:rich>
                  <a:bodyPr/>
                  <a:lstStyle/>
                  <a:p>
                    <a:fld id="{78C9CB1C-826D-4AC7-8B16-CD438DF91128}" type="VALUE">
                      <a:rPr lang="en-US"/>
                      <a:pPr/>
                      <a:t>[VALUE]</a:t>
                    </a:fld>
                    <a:r>
                      <a:rPr lang="en-US"/>
                      <a:t> </a:t>
                    </a:r>
                  </a:p>
                  <a:p>
                    <a:r>
                      <a:rPr lang="en-US"/>
                      <a:t>Change: 5.0%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7E-4C4A-B047-FE5C39EE7297}"/>
                </c:ext>
              </c:extLst>
            </c:dLbl>
            <c:dLbl>
              <c:idx val="4"/>
              <c:tx>
                <c:rich>
                  <a:bodyPr/>
                  <a:lstStyle/>
                  <a:p>
                    <a:fld id="{B1DE2D50-34EC-4ED9-B161-A94B7E82DAF4}" type="VALUE">
                      <a:rPr lang="en-US"/>
                      <a:pPr/>
                      <a:t>[VALUE]</a:t>
                    </a:fld>
                    <a:r>
                      <a:rPr lang="en-US"/>
                      <a:t> </a:t>
                    </a:r>
                  </a:p>
                  <a:p>
                    <a:r>
                      <a:rPr lang="en-US"/>
                      <a:t>Change:</a:t>
                    </a:r>
                    <a:r>
                      <a:rPr lang="en-US" baseline="0"/>
                      <a:t> 8.3%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F7E-4C4A-B047-FE5C39EE7297}"/>
                </c:ext>
              </c:extLst>
            </c:dLbl>
            <c:spPr>
              <a:noFill/>
              <a:ln>
                <a:noFill/>
              </a:ln>
              <a:effectLst/>
            </c:spPr>
            <c:txPr>
              <a:bodyPr wrap="square" lIns="38100" tIns="19050" rIns="38100" bIns="19050" anchor="ctr">
                <a:spAutoFit/>
              </a:bodyPr>
              <a:lstStyle/>
              <a:p>
                <a:pPr>
                  <a:defRPr sz="800" b="0" i="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10'!$A$8:$A$12</c:f>
              <c:strCache>
                <c:ptCount val="5"/>
                <c:pt idx="0">
                  <c:v>FY19</c:v>
                </c:pt>
                <c:pt idx="1">
                  <c:v>FY20</c:v>
                </c:pt>
                <c:pt idx="2">
                  <c:v>FY21</c:v>
                </c:pt>
                <c:pt idx="3">
                  <c:v>FY22</c:v>
                </c:pt>
                <c:pt idx="4">
                  <c:v>FY23</c:v>
                </c:pt>
              </c:strCache>
            </c:strRef>
          </c:cat>
          <c:val>
            <c:numRef>
              <c:f>'Chart 10'!$D$8:$D$12</c:f>
              <c:numCache>
                <c:formatCode>"$"#,##0</c:formatCode>
                <c:ptCount val="5"/>
                <c:pt idx="0">
                  <c:v>212</c:v>
                </c:pt>
                <c:pt idx="1">
                  <c:v>220</c:v>
                </c:pt>
                <c:pt idx="2">
                  <c:v>218</c:v>
                </c:pt>
                <c:pt idx="3">
                  <c:v>229</c:v>
                </c:pt>
                <c:pt idx="4">
                  <c:v>248</c:v>
                </c:pt>
              </c:numCache>
            </c:numRef>
          </c:val>
          <c:extLst>
            <c:ext xmlns:c16="http://schemas.microsoft.com/office/drawing/2014/chart" uri="{C3380CC4-5D6E-409C-BE32-E72D297353CC}">
              <c16:uniqueId val="{00000005-7F7E-4C4A-B047-FE5C39EE7297}"/>
            </c:ext>
          </c:extLst>
        </c:ser>
        <c:dLbls>
          <c:dLblPos val="outEnd"/>
          <c:showLegendKey val="0"/>
          <c:showVal val="1"/>
          <c:showCatName val="0"/>
          <c:showSerName val="0"/>
          <c:showPercent val="0"/>
          <c:showBubbleSize val="0"/>
        </c:dLbls>
        <c:gapWidth val="219"/>
        <c:overlap val="-27"/>
        <c:axId val="1109976976"/>
        <c:axId val="1109976560"/>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10'!$A$8:$A$12</c15:sqref>
                        </c15:formulaRef>
                      </c:ext>
                    </c:extLst>
                    <c:strCache>
                      <c:ptCount val="5"/>
                      <c:pt idx="0">
                        <c:v>FY19</c:v>
                      </c:pt>
                      <c:pt idx="1">
                        <c:v>FY20</c:v>
                      </c:pt>
                      <c:pt idx="2">
                        <c:v>FY21</c:v>
                      </c:pt>
                      <c:pt idx="3">
                        <c:v>FY22</c:v>
                      </c:pt>
                      <c:pt idx="4">
                        <c:v>FY23</c:v>
                      </c:pt>
                    </c:strCache>
                  </c:strRef>
                </c:cat>
                <c:val>
                  <c:numRef>
                    <c:extLst>
                      <c:ext uri="{02D57815-91ED-43cb-92C2-25804820EDAC}">
                        <c15:formulaRef>
                          <c15:sqref>'Chart 10'!$E$8:$E$12</c15:sqref>
                        </c15:formulaRef>
                      </c:ext>
                    </c:extLst>
                    <c:numCache>
                      <c:formatCode>0.0%_);\(0.0%\)</c:formatCode>
                      <c:ptCount val="5"/>
                      <c:pt idx="0">
                        <c:v>4.7393364928909956E-3</c:v>
                      </c:pt>
                      <c:pt idx="1">
                        <c:v>3.7735849056603772E-2</c:v>
                      </c:pt>
                      <c:pt idx="2">
                        <c:v>-9.0909090909090905E-3</c:v>
                      </c:pt>
                      <c:pt idx="3">
                        <c:v>5.0458715596330278E-2</c:v>
                      </c:pt>
                      <c:pt idx="4">
                        <c:v>8.296943231441048E-2</c:v>
                      </c:pt>
                    </c:numCache>
                  </c:numRef>
                </c:val>
                <c:extLst>
                  <c:ext xmlns:c16="http://schemas.microsoft.com/office/drawing/2014/chart" uri="{C3380CC4-5D6E-409C-BE32-E72D297353CC}">
                    <c16:uniqueId val="{00000006-7F7E-4C4A-B047-FE5C39EE7297}"/>
                  </c:ext>
                </c:extLst>
              </c15:ser>
            </c15:filteredBarSeries>
          </c:ext>
        </c:extLst>
      </c:barChart>
      <c:catAx>
        <c:axId val="11099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560"/>
        <c:crosses val="autoZero"/>
        <c:auto val="1"/>
        <c:lblAlgn val="ctr"/>
        <c:lblOffset val="100"/>
        <c:noMultiLvlLbl val="0"/>
      </c:catAx>
      <c:valAx>
        <c:axId val="1109976560"/>
        <c:scaling>
          <c:orientation val="minMax"/>
          <c:min val="19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976"/>
        <c:crosses val="autoZero"/>
        <c:crossBetween val="between"/>
        <c:majorUnit val="1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EAE2C-9CE0-489D-90CE-B89DE9C7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118</Pages>
  <Words>30251</Words>
  <Characters>172433</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202280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Bragg</dc:creator>
  <cp:keywords/>
  <dc:description/>
  <cp:lastModifiedBy>Emily Bragg</cp:lastModifiedBy>
  <cp:revision>8</cp:revision>
  <cp:lastPrinted>2023-10-31T20:57:00Z</cp:lastPrinted>
  <dcterms:created xsi:type="dcterms:W3CDTF">2023-11-02T11:58:00Z</dcterms:created>
  <dcterms:modified xsi:type="dcterms:W3CDTF">2023-11-06T17:18:00Z</dcterms:modified>
</cp:coreProperties>
</file>