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BA4B2" w14:textId="01AE186C" w:rsidR="0016773F" w:rsidRDefault="005441DC" w:rsidP="00987D33">
      <w:pPr>
        <w:pStyle w:val="Title"/>
        <w:spacing w:before="100" w:beforeAutospacing="1"/>
      </w:pPr>
      <w:r>
        <w:rPr>
          <w:noProof/>
        </w:rPr>
        <w:drawing>
          <wp:inline distT="0" distB="0" distL="0" distR="0" wp14:anchorId="52F4738D" wp14:editId="5B26F8CC">
            <wp:extent cx="4818217" cy="4846320"/>
            <wp:effectExtent l="0" t="0" r="1905" b="0"/>
            <wp:docPr id="11" name="Picture 11" descr="A map of the State of Maine with University of Maine System campuse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the State of Maine with University of Maine System campuses no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8217" cy="4846320"/>
                    </a:xfrm>
                    <a:prstGeom prst="rect">
                      <a:avLst/>
                    </a:prstGeom>
                  </pic:spPr>
                </pic:pic>
              </a:graphicData>
            </a:graphic>
          </wp:inline>
        </w:drawing>
      </w:r>
    </w:p>
    <w:p w14:paraId="0300E657" w14:textId="1B84B81B" w:rsidR="00987D33" w:rsidRDefault="00987D33" w:rsidP="00987D33">
      <w:pPr>
        <w:pStyle w:val="Title"/>
        <w:spacing w:before="100" w:beforeAutospacing="1"/>
      </w:pPr>
      <w:r>
        <w:t> </w:t>
      </w:r>
    </w:p>
    <w:p w14:paraId="54915199" w14:textId="56C239D4" w:rsidR="00987D33" w:rsidRPr="00A74468" w:rsidRDefault="00987D33" w:rsidP="00987D33">
      <w:pPr>
        <w:pStyle w:val="Title"/>
        <w:rPr>
          <w:rFonts w:cstheme="minorHAnsi"/>
          <w:b w:val="0"/>
          <w:sz w:val="80"/>
          <w:szCs w:val="80"/>
        </w:rPr>
      </w:pPr>
      <w:r w:rsidRPr="00A74468">
        <w:rPr>
          <w:rFonts w:asciiTheme="minorHAnsi" w:hAnsiTheme="minorHAnsi" w:cstheme="minorHAnsi"/>
          <w:sz w:val="80"/>
          <w:szCs w:val="80"/>
        </w:rPr>
        <w:t>20</w:t>
      </w:r>
      <w:r>
        <w:rPr>
          <w:rFonts w:asciiTheme="minorHAnsi" w:hAnsiTheme="minorHAnsi" w:cstheme="minorHAnsi"/>
          <w:sz w:val="80"/>
          <w:szCs w:val="80"/>
        </w:rPr>
        <w:t>2</w:t>
      </w:r>
      <w:r w:rsidR="00EC4DBC">
        <w:rPr>
          <w:rFonts w:asciiTheme="minorHAnsi" w:hAnsiTheme="minorHAnsi" w:cstheme="minorHAnsi"/>
          <w:sz w:val="80"/>
          <w:szCs w:val="80"/>
        </w:rPr>
        <w:t>2</w:t>
      </w:r>
    </w:p>
    <w:p w14:paraId="65F44B0D" w14:textId="77777777" w:rsidR="00987D33" w:rsidRPr="00A74468" w:rsidRDefault="00987D33" w:rsidP="00987D33">
      <w:pPr>
        <w:pStyle w:val="Title"/>
        <w:rPr>
          <w:rFonts w:cstheme="minorHAnsi"/>
          <w:b w:val="0"/>
          <w:sz w:val="80"/>
          <w:szCs w:val="80"/>
        </w:rPr>
      </w:pPr>
      <w:r w:rsidRPr="00A74468">
        <w:rPr>
          <w:rFonts w:asciiTheme="minorHAnsi" w:hAnsiTheme="minorHAnsi" w:cstheme="minorHAnsi"/>
          <w:sz w:val="80"/>
          <w:szCs w:val="80"/>
        </w:rPr>
        <w:t>University of Maine System</w:t>
      </w:r>
    </w:p>
    <w:p w14:paraId="67F014DA" w14:textId="77777777" w:rsidR="00987D33" w:rsidRPr="00A74468" w:rsidRDefault="00987D33" w:rsidP="00987D33">
      <w:pPr>
        <w:pStyle w:val="Title"/>
        <w:rPr>
          <w:rFonts w:cstheme="minorHAnsi"/>
          <w:sz w:val="80"/>
          <w:szCs w:val="80"/>
        </w:rPr>
      </w:pPr>
      <w:r w:rsidRPr="00A74468">
        <w:rPr>
          <w:rFonts w:asciiTheme="minorHAnsi" w:hAnsiTheme="minorHAnsi" w:cstheme="minorHAnsi"/>
          <w:sz w:val="80"/>
          <w:szCs w:val="80"/>
        </w:rPr>
        <w:t>Annual Financial Report</w:t>
      </w:r>
    </w:p>
    <w:p w14:paraId="005CD4F4" w14:textId="77777777" w:rsidR="00987D33" w:rsidRPr="007A019F" w:rsidRDefault="00987D33" w:rsidP="00987D33">
      <w:pPr>
        <w:widowControl w:val="0"/>
        <w:rPr>
          <w:szCs w:val="24"/>
        </w:rPr>
      </w:pPr>
      <w:r w:rsidRPr="007A019F">
        <w:t> </w:t>
      </w:r>
    </w:p>
    <w:p w14:paraId="04623B62" w14:textId="77777777" w:rsidR="00987D33" w:rsidRPr="007A019F" w:rsidRDefault="00987D33" w:rsidP="00987D33">
      <w:pPr>
        <w:widowControl w:val="0"/>
        <w:spacing w:before="440"/>
        <w:jc w:val="center"/>
        <w:rPr>
          <w:sz w:val="12"/>
          <w:szCs w:val="24"/>
        </w:rPr>
      </w:pPr>
      <w:r w:rsidRPr="007A019F">
        <w:rPr>
          <w:sz w:val="12"/>
          <w:szCs w:val="24"/>
        </w:rPr>
        <w:t>The University of Maine System is a Component Unit of the State of Maine</w:t>
      </w:r>
    </w:p>
    <w:p w14:paraId="478CCE8F" w14:textId="77777777" w:rsidR="00987D33" w:rsidRPr="005424BE" w:rsidRDefault="00987D33" w:rsidP="00987D33">
      <w:pPr>
        <w:jc w:val="center"/>
        <w:rPr>
          <w:rFonts w:cs="Tahoma"/>
          <w:color w:val="0D0D0D" w:themeColor="text1" w:themeTint="F2"/>
          <w:sz w:val="12"/>
          <w:szCs w:val="16"/>
        </w:rPr>
      </w:pPr>
      <w:r w:rsidRPr="005424BE">
        <w:rPr>
          <w:rFonts w:cs="Tahoma"/>
          <w:color w:val="0D0D0D" w:themeColor="text1" w:themeTint="F2"/>
          <w:sz w:val="12"/>
          <w:szCs w:val="16"/>
        </w:rPr>
        <w:t>Electronic statements are available at</w:t>
      </w:r>
      <w:r>
        <w:rPr>
          <w:rFonts w:cs="Tahoma"/>
          <w:color w:val="0D0D0D" w:themeColor="text1" w:themeTint="F2"/>
          <w:sz w:val="12"/>
          <w:szCs w:val="16"/>
        </w:rPr>
        <w:t>:</w:t>
      </w:r>
    </w:p>
    <w:p w14:paraId="7FDD0F62" w14:textId="77777777" w:rsidR="00987D33" w:rsidRPr="00DE50BF" w:rsidRDefault="009044F3" w:rsidP="00987D33">
      <w:pPr>
        <w:jc w:val="center"/>
        <w:rPr>
          <w:sz w:val="12"/>
        </w:rPr>
      </w:pPr>
      <w:hyperlink r:id="rId9" w:history="1">
        <w:r w:rsidR="00987D33" w:rsidRPr="00DE50BF">
          <w:rPr>
            <w:rStyle w:val="Hyperlink"/>
            <w:sz w:val="12"/>
          </w:rPr>
          <w:t>https://www.maine.edu/finance/policies-procedures-and-reports/annual-financial-reports/</w:t>
        </w:r>
      </w:hyperlink>
    </w:p>
    <w:p w14:paraId="5EA42EF1" w14:textId="77777777" w:rsidR="00987D33" w:rsidRPr="005424BE" w:rsidRDefault="00987D33" w:rsidP="00987D33">
      <w:pPr>
        <w:jc w:val="center"/>
        <w:rPr>
          <w:rFonts w:cs="Tahoma"/>
          <w:color w:val="0D0D0D" w:themeColor="text1" w:themeTint="F2"/>
          <w:sz w:val="12"/>
          <w:szCs w:val="16"/>
        </w:rPr>
      </w:pPr>
      <w:r w:rsidRPr="005424BE">
        <w:rPr>
          <w:rFonts w:cs="Tahoma"/>
          <w:color w:val="0D0D0D" w:themeColor="text1" w:themeTint="F2"/>
          <w:sz w:val="12"/>
          <w:szCs w:val="16"/>
        </w:rPr>
        <w:t>Or by contacting:</w:t>
      </w:r>
    </w:p>
    <w:p w14:paraId="5BA9B5A1" w14:textId="77777777" w:rsidR="00987D33" w:rsidRPr="005424BE" w:rsidRDefault="00987D33" w:rsidP="00987D33">
      <w:pPr>
        <w:jc w:val="center"/>
        <w:rPr>
          <w:rFonts w:cs="Tahoma"/>
          <w:color w:val="0D0D0D" w:themeColor="text1" w:themeTint="F2"/>
          <w:sz w:val="12"/>
          <w:szCs w:val="16"/>
        </w:rPr>
      </w:pPr>
      <w:r w:rsidRPr="005424BE">
        <w:rPr>
          <w:rFonts w:cs="Tahoma"/>
          <w:color w:val="0D0D0D" w:themeColor="text1" w:themeTint="F2"/>
          <w:sz w:val="12"/>
          <w:szCs w:val="16"/>
        </w:rPr>
        <w:t>Controller’s Office</w:t>
      </w:r>
    </w:p>
    <w:p w14:paraId="78DFE1B0" w14:textId="07003F87" w:rsidR="00987D33" w:rsidRDefault="00DC59C6" w:rsidP="00987D33">
      <w:pPr>
        <w:tabs>
          <w:tab w:val="left" w:pos="720"/>
        </w:tabs>
        <w:autoSpaceDE w:val="0"/>
        <w:autoSpaceDN w:val="0"/>
        <w:adjustRightInd w:val="0"/>
        <w:jc w:val="center"/>
        <w:rPr>
          <w:rFonts w:cs="Tahoma"/>
          <w:color w:val="0D0D0D" w:themeColor="text1" w:themeTint="F2"/>
          <w:sz w:val="12"/>
          <w:szCs w:val="16"/>
        </w:rPr>
      </w:pPr>
      <w:r>
        <w:rPr>
          <w:rFonts w:cs="Tahoma"/>
          <w:color w:val="0D0D0D" w:themeColor="text1" w:themeTint="F2"/>
          <w:sz w:val="12"/>
          <w:szCs w:val="16"/>
        </w:rPr>
        <w:t>65 Texas Ave</w:t>
      </w:r>
    </w:p>
    <w:p w14:paraId="46EE045D" w14:textId="0B4157FB" w:rsidR="00DC59C6" w:rsidRDefault="00DC59C6" w:rsidP="00987D33">
      <w:pPr>
        <w:tabs>
          <w:tab w:val="left" w:pos="720"/>
        </w:tabs>
        <w:autoSpaceDE w:val="0"/>
        <w:autoSpaceDN w:val="0"/>
        <w:adjustRightInd w:val="0"/>
        <w:jc w:val="center"/>
        <w:rPr>
          <w:rFonts w:ascii="Calibri" w:hAnsi="Calibri" w:cs="Tahoma"/>
          <w:sz w:val="56"/>
          <w:szCs w:val="72"/>
        </w:rPr>
        <w:sectPr w:rsidR="00DC59C6" w:rsidSect="00987D33">
          <w:footerReference w:type="default" r:id="rId10"/>
          <w:pgSz w:w="12240" w:h="15840" w:code="1"/>
          <w:pgMar w:top="1440" w:right="1440" w:bottom="1440" w:left="1440" w:header="720" w:footer="720" w:gutter="0"/>
          <w:cols w:space="0"/>
          <w:titlePg/>
          <w:docGrid w:linePitch="360"/>
        </w:sectPr>
      </w:pPr>
      <w:r>
        <w:rPr>
          <w:rFonts w:cs="Tahoma"/>
          <w:color w:val="0D0D0D" w:themeColor="text1" w:themeTint="F2"/>
          <w:sz w:val="12"/>
          <w:szCs w:val="16"/>
        </w:rPr>
        <w:t>Bangor ME 04401</w:t>
      </w:r>
    </w:p>
    <w:p w14:paraId="342A34DC" w14:textId="77777777" w:rsidR="00987D33" w:rsidRPr="007F0DC1" w:rsidRDefault="00987D33" w:rsidP="00987D33">
      <w:pPr>
        <w:pBdr>
          <w:top w:val="single" w:sz="6" w:space="6" w:color="5C8C7C"/>
          <w:bottom w:val="single" w:sz="6" w:space="6" w:color="5C8C7C"/>
        </w:pBdr>
        <w:spacing w:after="240"/>
        <w:jc w:val="center"/>
        <w:rPr>
          <w:rFonts w:eastAsiaTheme="majorEastAsia" w:cstheme="majorBidi"/>
          <w:caps/>
          <w:color w:val="5C8C7C"/>
          <w:sz w:val="24"/>
          <w:szCs w:val="24"/>
        </w:rPr>
      </w:pPr>
      <w:bookmarkStart w:id="0" w:name="_gjdgxs" w:colFirst="0" w:colLast="0"/>
      <w:bookmarkEnd w:id="0"/>
      <w:r w:rsidRPr="00706FBE">
        <w:rPr>
          <w:rFonts w:eastAsiaTheme="majorEastAsia" w:cstheme="majorBidi"/>
          <w:caps/>
          <w:color w:val="0D0D0D" w:themeColor="text1" w:themeTint="F2"/>
          <w:sz w:val="24"/>
          <w:szCs w:val="24"/>
        </w:rPr>
        <w:lastRenderedPageBreak/>
        <w:t>NON-DISCRIMINATION NOTICE</w:t>
      </w:r>
    </w:p>
    <w:p w14:paraId="523AA3ED" w14:textId="77777777" w:rsidR="00987D33" w:rsidRDefault="00987D33" w:rsidP="00987D33">
      <w:pPr>
        <w:autoSpaceDE w:val="0"/>
        <w:autoSpaceDN w:val="0"/>
        <w:adjustRightInd w:val="0"/>
        <w:ind w:right="523"/>
        <w:jc w:val="both"/>
        <w:rPr>
          <w:rFonts w:ascii="Calibri" w:hAnsi="Calibri" w:cs="Tahoma"/>
          <w:sz w:val="18"/>
          <w:szCs w:val="18"/>
        </w:rPr>
        <w:sectPr w:rsidR="00987D33" w:rsidSect="007B5BB3">
          <w:headerReference w:type="default" r:id="rId11"/>
          <w:footerReference w:type="default" r:id="rId12"/>
          <w:type w:val="continuous"/>
          <w:pgSz w:w="12240" w:h="15840" w:code="1"/>
          <w:pgMar w:top="12240" w:right="1440" w:bottom="1440" w:left="1440" w:header="720" w:footer="720" w:gutter="0"/>
          <w:cols w:sep="1" w:space="432"/>
          <w:docGrid w:linePitch="360"/>
        </w:sectPr>
      </w:pPr>
      <w:r w:rsidRPr="00CC42DD">
        <w:rPr>
          <w:rFonts w:ascii="Calibri" w:hAnsi="Calibri" w:cs="Tahoma"/>
          <w:color w:val="000000" w:themeColor="text1"/>
          <w:sz w:val="18"/>
          <w:szCs w:val="18"/>
        </w:rPr>
        <w:t xml:space="preserve">The University of Maine System </w:t>
      </w:r>
      <w:r>
        <w:rPr>
          <w:rFonts w:ascii="Calibri" w:hAnsi="Calibri" w:cs="Tahoma"/>
          <w:color w:val="000000" w:themeColor="text1"/>
          <w:sz w:val="18"/>
          <w:szCs w:val="18"/>
        </w:rPr>
        <w:t xml:space="preserve">is an EEO/AA employer, and </w:t>
      </w:r>
      <w:r w:rsidRPr="00CC42DD">
        <w:rPr>
          <w:rFonts w:ascii="Calibri" w:hAnsi="Calibri" w:cs="Tahoma"/>
          <w:color w:val="000000" w:themeColor="text1"/>
          <w:sz w:val="18"/>
          <w:szCs w:val="18"/>
        </w:rPr>
        <w:t>does not discriminate on the grounds of race, color, religion, sex, sexual orientation, transgender status</w:t>
      </w:r>
      <w:r>
        <w:rPr>
          <w:rFonts w:ascii="Calibri" w:hAnsi="Calibri" w:cs="Tahoma"/>
          <w:color w:val="000000" w:themeColor="text1"/>
          <w:sz w:val="18"/>
          <w:szCs w:val="18"/>
        </w:rPr>
        <w:t xml:space="preserve">, </w:t>
      </w:r>
      <w:r w:rsidRPr="00CC42DD">
        <w:rPr>
          <w:rFonts w:ascii="Calibri" w:hAnsi="Calibri" w:cs="Tahoma"/>
          <w:color w:val="000000" w:themeColor="text1"/>
          <w:sz w:val="18"/>
          <w:szCs w:val="18"/>
        </w:rPr>
        <w:t>gender expression, national origin, citizenship status, age, disability, genetic information or veteran</w:t>
      </w:r>
      <w:r>
        <w:rPr>
          <w:rFonts w:ascii="Calibri" w:hAnsi="Calibri" w:cs="Tahoma"/>
          <w:color w:val="000000" w:themeColor="text1"/>
          <w:sz w:val="18"/>
          <w:szCs w:val="18"/>
        </w:rPr>
        <w:t>’</w:t>
      </w:r>
      <w:r w:rsidRPr="00CC42DD">
        <w:rPr>
          <w:rFonts w:ascii="Calibri" w:hAnsi="Calibri" w:cs="Tahoma"/>
          <w:color w:val="000000" w:themeColor="text1"/>
          <w:sz w:val="18"/>
          <w:szCs w:val="18"/>
        </w:rPr>
        <w:t>s status in employment, education, and all other programs and activities</w:t>
      </w:r>
      <w:r w:rsidRPr="00620AE6">
        <w:rPr>
          <w:rFonts w:ascii="Calibri" w:hAnsi="Calibri" w:cs="Tahoma"/>
          <w:sz w:val="18"/>
          <w:szCs w:val="18"/>
        </w:rPr>
        <w:t>.</w:t>
      </w:r>
      <w:r>
        <w:rPr>
          <w:rFonts w:ascii="Calibri" w:hAnsi="Calibri" w:cs="Tahoma"/>
          <w:sz w:val="18"/>
          <w:szCs w:val="18"/>
        </w:rPr>
        <w:t xml:space="preserve"> The following person has been designated to handle inquiries regarding non-discrimination policies</w:t>
      </w:r>
      <w:r w:rsidRPr="00620AE6">
        <w:rPr>
          <w:rFonts w:ascii="Calibri" w:hAnsi="Calibri" w:cs="Tahoma"/>
          <w:sz w:val="18"/>
          <w:szCs w:val="18"/>
        </w:rPr>
        <w:t>: Director of Equal Opportunity, 101 N</w:t>
      </w:r>
      <w:r>
        <w:rPr>
          <w:rFonts w:ascii="Calibri" w:hAnsi="Calibri" w:cs="Tahoma"/>
          <w:sz w:val="18"/>
          <w:szCs w:val="18"/>
        </w:rPr>
        <w:t>orth</w:t>
      </w:r>
      <w:r w:rsidRPr="00620AE6">
        <w:rPr>
          <w:rFonts w:ascii="Calibri" w:hAnsi="Calibri" w:cs="Tahoma"/>
          <w:sz w:val="18"/>
          <w:szCs w:val="18"/>
        </w:rPr>
        <w:t xml:space="preserve"> Steven</w:t>
      </w:r>
      <w:r>
        <w:rPr>
          <w:rFonts w:ascii="Calibri" w:hAnsi="Calibri" w:cs="Tahoma"/>
          <w:sz w:val="18"/>
          <w:szCs w:val="18"/>
        </w:rPr>
        <w:t xml:space="preserve">s </w:t>
      </w:r>
      <w:r w:rsidRPr="00620AE6">
        <w:rPr>
          <w:rFonts w:ascii="Calibri" w:hAnsi="Calibri" w:cs="Tahoma"/>
          <w:sz w:val="18"/>
          <w:szCs w:val="18"/>
        </w:rPr>
        <w:t xml:space="preserve">Hall, </w:t>
      </w:r>
      <w:r>
        <w:rPr>
          <w:rFonts w:ascii="Calibri" w:hAnsi="Calibri" w:cs="Tahoma"/>
          <w:sz w:val="18"/>
          <w:szCs w:val="18"/>
        </w:rPr>
        <w:t xml:space="preserve">University of Maine, </w:t>
      </w:r>
      <w:r w:rsidRPr="00620AE6">
        <w:rPr>
          <w:rFonts w:ascii="Calibri" w:hAnsi="Calibri" w:cs="Tahoma"/>
          <w:sz w:val="18"/>
          <w:szCs w:val="18"/>
        </w:rPr>
        <w:t>Orono, ME 04469</w:t>
      </w:r>
      <w:r>
        <w:rPr>
          <w:rFonts w:ascii="Calibri" w:hAnsi="Calibri" w:cs="Tahoma"/>
          <w:sz w:val="18"/>
          <w:szCs w:val="18"/>
        </w:rPr>
        <w:t>-5754</w:t>
      </w:r>
      <w:r w:rsidRPr="00620AE6">
        <w:rPr>
          <w:rFonts w:ascii="Calibri" w:hAnsi="Calibri" w:cs="Tahoma"/>
          <w:sz w:val="18"/>
          <w:szCs w:val="18"/>
        </w:rPr>
        <w:t>, 207</w:t>
      </w:r>
      <w:r>
        <w:rPr>
          <w:rFonts w:ascii="Calibri" w:hAnsi="Calibri" w:cs="Tahoma"/>
          <w:sz w:val="18"/>
          <w:szCs w:val="18"/>
        </w:rPr>
        <w:t>.</w:t>
      </w:r>
      <w:r w:rsidRPr="00620AE6">
        <w:rPr>
          <w:rFonts w:ascii="Calibri" w:hAnsi="Calibri" w:cs="Tahoma"/>
          <w:sz w:val="18"/>
          <w:szCs w:val="18"/>
        </w:rPr>
        <w:t>581</w:t>
      </w:r>
      <w:r>
        <w:rPr>
          <w:rFonts w:ascii="Calibri" w:hAnsi="Calibri" w:cs="Tahoma"/>
          <w:sz w:val="18"/>
          <w:szCs w:val="18"/>
        </w:rPr>
        <w:t>.</w:t>
      </w:r>
      <w:r w:rsidRPr="00620AE6">
        <w:rPr>
          <w:rFonts w:ascii="Calibri" w:hAnsi="Calibri" w:cs="Tahoma"/>
          <w:sz w:val="18"/>
          <w:szCs w:val="18"/>
        </w:rPr>
        <w:t>1226, TTY 711 (Maine Relay System)</w:t>
      </w:r>
      <w:r>
        <w:rPr>
          <w:rFonts w:ascii="Calibri" w:hAnsi="Calibri" w:cs="Tahoma"/>
          <w:sz w:val="18"/>
          <w:szCs w:val="18"/>
        </w:rPr>
        <w:t xml:space="preserve"> or by email to: equal.opportunity@maine.edu.</w:t>
      </w:r>
    </w:p>
    <w:p w14:paraId="2EAFAA4B" w14:textId="77777777" w:rsidR="00987D33" w:rsidRPr="00E73E6E" w:rsidRDefault="00987D33" w:rsidP="00987D33">
      <w:pPr>
        <w:pStyle w:val="Heading4"/>
        <w:tabs>
          <w:tab w:val="clear" w:pos="10620"/>
          <w:tab w:val="left" w:pos="9360"/>
          <w:tab w:val="left" w:pos="10530"/>
        </w:tabs>
        <w:spacing w:after="240"/>
        <w:rPr>
          <w:b/>
          <w:sz w:val="28"/>
        </w:rPr>
      </w:pPr>
      <w:r w:rsidRPr="00E73E6E">
        <w:rPr>
          <w:b/>
          <w:sz w:val="28"/>
        </w:rPr>
        <w:lastRenderedPageBreak/>
        <w:t>TABLE OF CONTENTS</w:t>
      </w:r>
    </w:p>
    <w:tbl>
      <w:tblPr>
        <w:tblStyle w:val="TableGrid"/>
        <w:tblW w:w="9360" w:type="dxa"/>
        <w:tblLook w:val="04A0" w:firstRow="1" w:lastRow="0" w:firstColumn="1" w:lastColumn="0" w:noHBand="0" w:noVBand="1"/>
        <w:tblCaption w:val="Table of Contents"/>
        <w:tblDescription w:val="Chancellor's Letter page 4&#10;Board of Trustees and Management page 5&#10;Independent Auditor's Report page 6&#10;Management's Discussion and Analysis page 9&#10;Statements of Net Position page 34&#10;Statements of Financial Position - Discretely Presented Component Unit page 35&#10;Statements of Revenues, Expenses and Changes in Net Position page 36&#10;Statements of Activities - Discretely Presented Component Unit page 37&#10;Statements of Cash Flows page 38&#10;Notes to Financial Statements page 40&#10;Required Supplemental Information - Retirement and Other than Pension Employee Benefits (OPEB) page 84&#10;Supplemental Information Required by the State of Maine page 92&#10;Independent Auditor's Report on Internal Control over Financial Reporting and on Compliance and Other Matters Based on an Audit of Financial Statements Performed in Accordance with Government Auditing Standards page 93"/>
      </w:tblPr>
      <w:tblGrid>
        <w:gridCol w:w="8672"/>
        <w:gridCol w:w="688"/>
      </w:tblGrid>
      <w:tr w:rsidR="00987D33" w14:paraId="19BBEE14" w14:textId="77777777" w:rsidTr="007B5BB3">
        <w:trPr>
          <w:tblHeader/>
        </w:trPr>
        <w:tc>
          <w:tcPr>
            <w:tcW w:w="8672" w:type="dxa"/>
            <w:tcBorders>
              <w:top w:val="nil"/>
              <w:left w:val="nil"/>
              <w:bottom w:val="nil"/>
              <w:right w:val="nil"/>
            </w:tcBorders>
          </w:tcPr>
          <w:p w14:paraId="2424C801" w14:textId="77777777" w:rsidR="00987D33" w:rsidRPr="00892DE0" w:rsidRDefault="00987D33" w:rsidP="007B5BB3">
            <w:pPr>
              <w:spacing w:before="120" w:after="120"/>
              <w:jc w:val="both"/>
              <w:rPr>
                <w:rFonts w:ascii="Calibri" w:eastAsia="Times New Roman" w:hAnsi="Calibri" w:cs="Tahoma"/>
                <w:sz w:val="24"/>
                <w:szCs w:val="24"/>
              </w:rPr>
            </w:pPr>
          </w:p>
        </w:tc>
        <w:tc>
          <w:tcPr>
            <w:tcW w:w="688" w:type="dxa"/>
            <w:tcBorders>
              <w:top w:val="nil"/>
              <w:left w:val="nil"/>
              <w:bottom w:val="nil"/>
              <w:right w:val="nil"/>
            </w:tcBorders>
          </w:tcPr>
          <w:p w14:paraId="32199027" w14:textId="77777777" w:rsidR="00987D33" w:rsidRPr="00892DE0" w:rsidRDefault="00987D33" w:rsidP="007B5BB3">
            <w:pPr>
              <w:spacing w:before="120" w:after="120"/>
              <w:jc w:val="right"/>
              <w:rPr>
                <w:rFonts w:ascii="Calibri" w:eastAsia="Times New Roman" w:hAnsi="Calibri" w:cs="Tahoma"/>
                <w:sz w:val="24"/>
                <w:szCs w:val="24"/>
              </w:rPr>
            </w:pPr>
            <w:r>
              <w:rPr>
                <w:rFonts w:ascii="Calibri" w:eastAsia="Times New Roman" w:hAnsi="Calibri" w:cs="Tahoma"/>
                <w:sz w:val="24"/>
                <w:szCs w:val="20"/>
              </w:rPr>
              <w:t>Page</w:t>
            </w:r>
          </w:p>
        </w:tc>
      </w:tr>
      <w:tr w:rsidR="00987D33" w14:paraId="0AC57FB5" w14:textId="77777777" w:rsidTr="007B5BB3">
        <w:trPr>
          <w:trHeight w:val="909"/>
        </w:trPr>
        <w:tc>
          <w:tcPr>
            <w:tcW w:w="8672" w:type="dxa"/>
            <w:tcBorders>
              <w:top w:val="nil"/>
              <w:left w:val="nil"/>
              <w:bottom w:val="nil"/>
              <w:right w:val="nil"/>
            </w:tcBorders>
            <w:vAlign w:val="bottom"/>
          </w:tcPr>
          <w:p w14:paraId="59A93ACC" w14:textId="169CB5B2" w:rsidR="00987D33" w:rsidRPr="00892DE0" w:rsidRDefault="00987D33" w:rsidP="007B5BB3">
            <w:pPr>
              <w:spacing w:before="120" w:after="120"/>
              <w:rPr>
                <w:rFonts w:ascii="Calibri" w:eastAsia="Times New Roman" w:hAnsi="Calibri" w:cs="Tahoma"/>
                <w:sz w:val="24"/>
                <w:szCs w:val="24"/>
              </w:rPr>
            </w:pPr>
            <w:r w:rsidRPr="00892DE0">
              <w:rPr>
                <w:rFonts w:ascii="Calibri" w:eastAsia="Times New Roman" w:hAnsi="Calibri" w:cs="Tahoma"/>
                <w:sz w:val="24"/>
                <w:szCs w:val="24"/>
              </w:rPr>
              <w:t>Chancellor’s Letter…………………………………………………………………………………………………</w:t>
            </w:r>
            <w:r>
              <w:rPr>
                <w:rFonts w:ascii="Calibri" w:eastAsia="Times New Roman" w:hAnsi="Calibri" w:cs="Tahoma"/>
                <w:sz w:val="24"/>
                <w:szCs w:val="24"/>
              </w:rPr>
              <w:t>..</w:t>
            </w:r>
            <w:r w:rsidRPr="00892DE0">
              <w:rPr>
                <w:rFonts w:ascii="Calibri" w:eastAsia="Times New Roman" w:hAnsi="Calibri" w:cs="Tahoma"/>
                <w:sz w:val="24"/>
                <w:szCs w:val="24"/>
              </w:rPr>
              <w:t>…</w:t>
            </w:r>
          </w:p>
        </w:tc>
        <w:tc>
          <w:tcPr>
            <w:tcW w:w="688" w:type="dxa"/>
            <w:tcBorders>
              <w:top w:val="nil"/>
              <w:left w:val="nil"/>
              <w:bottom w:val="nil"/>
              <w:right w:val="nil"/>
            </w:tcBorders>
            <w:vAlign w:val="bottom"/>
          </w:tcPr>
          <w:p w14:paraId="4C419387" w14:textId="77777777" w:rsidR="00987D33" w:rsidRPr="00892DE0" w:rsidRDefault="00987D33" w:rsidP="007B5BB3">
            <w:pPr>
              <w:spacing w:before="120" w:after="120"/>
              <w:jc w:val="right"/>
              <w:rPr>
                <w:rFonts w:ascii="Calibri" w:eastAsia="Times New Roman" w:hAnsi="Calibri" w:cs="Tahoma"/>
                <w:sz w:val="24"/>
                <w:szCs w:val="24"/>
              </w:rPr>
            </w:pPr>
            <w:r w:rsidRPr="00892DE0">
              <w:rPr>
                <w:rFonts w:ascii="Calibri" w:eastAsia="Times New Roman" w:hAnsi="Calibri" w:cs="Tahoma"/>
                <w:sz w:val="24"/>
                <w:szCs w:val="24"/>
              </w:rPr>
              <w:t>4</w:t>
            </w:r>
          </w:p>
        </w:tc>
      </w:tr>
      <w:tr w:rsidR="00987D33" w14:paraId="304B315B" w14:textId="77777777" w:rsidTr="007B5BB3">
        <w:tc>
          <w:tcPr>
            <w:tcW w:w="8672" w:type="dxa"/>
            <w:tcBorders>
              <w:top w:val="nil"/>
              <w:left w:val="nil"/>
              <w:bottom w:val="nil"/>
              <w:right w:val="nil"/>
            </w:tcBorders>
          </w:tcPr>
          <w:p w14:paraId="55C0F82D" w14:textId="14F31DC5" w:rsidR="00987D33" w:rsidRPr="00892DE0" w:rsidRDefault="00987D33" w:rsidP="007B5BB3">
            <w:pPr>
              <w:spacing w:before="120" w:after="120"/>
              <w:rPr>
                <w:rFonts w:ascii="Calibri" w:eastAsia="Times New Roman" w:hAnsi="Calibri" w:cs="Tahoma"/>
                <w:sz w:val="24"/>
                <w:szCs w:val="24"/>
              </w:rPr>
            </w:pPr>
            <w:r w:rsidRPr="00892DE0">
              <w:rPr>
                <w:rFonts w:ascii="Calibri" w:eastAsia="Times New Roman" w:hAnsi="Calibri" w:cs="Tahoma"/>
                <w:sz w:val="24"/>
                <w:szCs w:val="24"/>
              </w:rPr>
              <w:t>Board of Trustees and Management……………………………………………………………………</w:t>
            </w:r>
            <w:r>
              <w:rPr>
                <w:rFonts w:ascii="Calibri" w:eastAsia="Times New Roman" w:hAnsi="Calibri" w:cs="Tahoma"/>
                <w:sz w:val="24"/>
                <w:szCs w:val="24"/>
              </w:rPr>
              <w:t>..</w:t>
            </w:r>
            <w:r w:rsidRPr="00892DE0">
              <w:rPr>
                <w:rFonts w:ascii="Calibri" w:eastAsia="Times New Roman" w:hAnsi="Calibri" w:cs="Tahoma"/>
                <w:sz w:val="24"/>
                <w:szCs w:val="24"/>
              </w:rPr>
              <w:t>……</w:t>
            </w:r>
          </w:p>
        </w:tc>
        <w:tc>
          <w:tcPr>
            <w:tcW w:w="688" w:type="dxa"/>
            <w:tcBorders>
              <w:top w:val="nil"/>
              <w:left w:val="nil"/>
              <w:bottom w:val="nil"/>
              <w:right w:val="nil"/>
            </w:tcBorders>
          </w:tcPr>
          <w:p w14:paraId="66FDC3BE" w14:textId="4DC9D992" w:rsidR="00987D33" w:rsidRPr="00892DE0" w:rsidRDefault="00AE3B6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6</w:t>
            </w:r>
          </w:p>
        </w:tc>
      </w:tr>
      <w:tr w:rsidR="00987D33" w14:paraId="27500932" w14:textId="77777777" w:rsidTr="007B5BB3">
        <w:tc>
          <w:tcPr>
            <w:tcW w:w="8672" w:type="dxa"/>
            <w:tcBorders>
              <w:top w:val="nil"/>
              <w:left w:val="nil"/>
              <w:bottom w:val="nil"/>
              <w:right w:val="nil"/>
            </w:tcBorders>
          </w:tcPr>
          <w:p w14:paraId="4FB14806" w14:textId="53AC890F" w:rsidR="00987D33" w:rsidRPr="00892DE0" w:rsidRDefault="00987D33" w:rsidP="007B5BB3">
            <w:pPr>
              <w:spacing w:before="120" w:after="120"/>
              <w:rPr>
                <w:rFonts w:ascii="Calibri" w:eastAsia="Times New Roman" w:hAnsi="Calibri" w:cs="Tahoma"/>
                <w:sz w:val="24"/>
                <w:szCs w:val="24"/>
              </w:rPr>
            </w:pPr>
            <w:r w:rsidRPr="00892DE0">
              <w:rPr>
                <w:rFonts w:ascii="Calibri" w:eastAsia="Times New Roman" w:hAnsi="Calibri" w:cs="Tahoma"/>
                <w:sz w:val="24"/>
                <w:szCs w:val="24"/>
              </w:rPr>
              <w:t>Independent Auditor’s Report……………………………………………………………………………</w:t>
            </w:r>
            <w:r>
              <w:rPr>
                <w:rFonts w:ascii="Calibri" w:eastAsia="Times New Roman" w:hAnsi="Calibri" w:cs="Tahoma"/>
                <w:sz w:val="24"/>
                <w:szCs w:val="24"/>
              </w:rPr>
              <w:t>..</w:t>
            </w:r>
            <w:r w:rsidRPr="00892DE0">
              <w:rPr>
                <w:rFonts w:ascii="Calibri" w:eastAsia="Times New Roman" w:hAnsi="Calibri" w:cs="Tahoma"/>
                <w:sz w:val="24"/>
                <w:szCs w:val="24"/>
              </w:rPr>
              <w:t>…….</w:t>
            </w:r>
          </w:p>
        </w:tc>
        <w:tc>
          <w:tcPr>
            <w:tcW w:w="688" w:type="dxa"/>
            <w:tcBorders>
              <w:top w:val="nil"/>
              <w:left w:val="nil"/>
              <w:bottom w:val="nil"/>
              <w:right w:val="nil"/>
            </w:tcBorders>
          </w:tcPr>
          <w:p w14:paraId="5F24F175" w14:textId="1D12E82E" w:rsidR="00987D33" w:rsidRPr="00892DE0" w:rsidRDefault="00AE3B6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7</w:t>
            </w:r>
          </w:p>
        </w:tc>
      </w:tr>
      <w:tr w:rsidR="00987D33" w14:paraId="6519BE45" w14:textId="77777777" w:rsidTr="007B5BB3">
        <w:tc>
          <w:tcPr>
            <w:tcW w:w="8672" w:type="dxa"/>
            <w:tcBorders>
              <w:top w:val="nil"/>
              <w:left w:val="nil"/>
              <w:bottom w:val="nil"/>
              <w:right w:val="nil"/>
            </w:tcBorders>
          </w:tcPr>
          <w:p w14:paraId="447D8806" w14:textId="7961FD7B" w:rsidR="00987D33" w:rsidRPr="00892DE0" w:rsidRDefault="00987D33" w:rsidP="007B5BB3">
            <w:pPr>
              <w:spacing w:before="120" w:after="120"/>
              <w:rPr>
                <w:rFonts w:ascii="Calibri" w:eastAsia="Times New Roman" w:hAnsi="Calibri" w:cs="Tahoma"/>
                <w:sz w:val="24"/>
                <w:szCs w:val="24"/>
              </w:rPr>
            </w:pPr>
            <w:r w:rsidRPr="00892DE0">
              <w:rPr>
                <w:rFonts w:ascii="Calibri" w:eastAsia="Times New Roman" w:hAnsi="Calibri" w:cs="Tahoma"/>
                <w:sz w:val="24"/>
                <w:szCs w:val="24"/>
              </w:rPr>
              <w:t>Management’s Discussion and Analysis………………………………………………………………………</w:t>
            </w:r>
          </w:p>
        </w:tc>
        <w:tc>
          <w:tcPr>
            <w:tcW w:w="688" w:type="dxa"/>
            <w:tcBorders>
              <w:top w:val="nil"/>
              <w:left w:val="nil"/>
              <w:bottom w:val="nil"/>
              <w:right w:val="nil"/>
            </w:tcBorders>
          </w:tcPr>
          <w:p w14:paraId="1ED82540" w14:textId="3F46508B" w:rsidR="00987D33" w:rsidRPr="00892DE0" w:rsidRDefault="00AE3B6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1</w:t>
            </w:r>
            <w:r w:rsidR="00B1305F">
              <w:rPr>
                <w:rFonts w:ascii="Calibri" w:eastAsia="Times New Roman" w:hAnsi="Calibri" w:cs="Tahoma"/>
                <w:sz w:val="24"/>
                <w:szCs w:val="24"/>
              </w:rPr>
              <w:t>1</w:t>
            </w:r>
          </w:p>
        </w:tc>
      </w:tr>
      <w:tr w:rsidR="00987D33" w14:paraId="4CC7DD20" w14:textId="77777777" w:rsidTr="007B5BB3">
        <w:tc>
          <w:tcPr>
            <w:tcW w:w="8672" w:type="dxa"/>
            <w:tcBorders>
              <w:top w:val="nil"/>
              <w:left w:val="nil"/>
              <w:bottom w:val="nil"/>
              <w:right w:val="nil"/>
            </w:tcBorders>
          </w:tcPr>
          <w:p w14:paraId="27A55BD9" w14:textId="77777777" w:rsidR="00987D33" w:rsidRPr="00892DE0" w:rsidRDefault="00987D33" w:rsidP="007B5BB3">
            <w:pPr>
              <w:spacing w:before="120" w:after="120"/>
              <w:rPr>
                <w:rFonts w:ascii="Calibri" w:eastAsia="Times New Roman" w:hAnsi="Calibri" w:cs="Tahoma"/>
                <w:sz w:val="24"/>
                <w:szCs w:val="24"/>
              </w:rPr>
            </w:pPr>
            <w:r w:rsidRPr="00892DE0">
              <w:rPr>
                <w:rFonts w:ascii="Calibri" w:eastAsia="Times New Roman" w:hAnsi="Calibri" w:cs="Tahoma"/>
                <w:sz w:val="24"/>
                <w:szCs w:val="24"/>
              </w:rPr>
              <w:t>Financial Statements</w:t>
            </w:r>
            <w:r>
              <w:rPr>
                <w:rFonts w:ascii="Calibri" w:eastAsia="Times New Roman" w:hAnsi="Calibri" w:cs="Tahoma"/>
                <w:sz w:val="24"/>
                <w:szCs w:val="24"/>
              </w:rPr>
              <w:t>:</w:t>
            </w:r>
          </w:p>
        </w:tc>
        <w:tc>
          <w:tcPr>
            <w:tcW w:w="688" w:type="dxa"/>
            <w:tcBorders>
              <w:top w:val="nil"/>
              <w:left w:val="nil"/>
              <w:bottom w:val="nil"/>
              <w:right w:val="nil"/>
            </w:tcBorders>
          </w:tcPr>
          <w:p w14:paraId="0DC15433" w14:textId="77777777" w:rsidR="00987D33" w:rsidRPr="00892DE0" w:rsidRDefault="00987D33" w:rsidP="007B5BB3">
            <w:pPr>
              <w:spacing w:before="120" w:after="120"/>
              <w:jc w:val="right"/>
              <w:rPr>
                <w:rFonts w:ascii="Calibri" w:eastAsia="Times New Roman" w:hAnsi="Calibri" w:cs="Tahoma"/>
                <w:sz w:val="24"/>
                <w:szCs w:val="24"/>
              </w:rPr>
            </w:pPr>
          </w:p>
        </w:tc>
      </w:tr>
      <w:tr w:rsidR="00987D33" w14:paraId="0C4102AA" w14:textId="77777777" w:rsidTr="007B5BB3">
        <w:tc>
          <w:tcPr>
            <w:tcW w:w="8672" w:type="dxa"/>
            <w:tcBorders>
              <w:top w:val="nil"/>
              <w:left w:val="nil"/>
              <w:bottom w:val="nil"/>
              <w:right w:val="nil"/>
            </w:tcBorders>
          </w:tcPr>
          <w:p w14:paraId="2A7B0219" w14:textId="078CBDE4" w:rsidR="00987D33" w:rsidRPr="00892DE0" w:rsidRDefault="00987D33" w:rsidP="007B5BB3">
            <w:pPr>
              <w:spacing w:before="120" w:after="120"/>
              <w:ind w:firstLine="257"/>
              <w:rPr>
                <w:rFonts w:ascii="Calibri" w:hAnsi="Calibri" w:cs="Tahoma"/>
              </w:rPr>
            </w:pPr>
            <w:r w:rsidRPr="00892DE0">
              <w:rPr>
                <w:rFonts w:ascii="Calibri" w:hAnsi="Calibri" w:cs="Tahoma"/>
                <w:sz w:val="24"/>
                <w:szCs w:val="24"/>
              </w:rPr>
              <w:t>Statements of Net Position………………………………………………………………………………</w:t>
            </w:r>
            <w:r>
              <w:rPr>
                <w:rFonts w:ascii="Calibri" w:hAnsi="Calibri" w:cs="Tahoma"/>
                <w:sz w:val="24"/>
                <w:szCs w:val="24"/>
              </w:rPr>
              <w:t>…</w:t>
            </w:r>
            <w:r w:rsidRPr="00892DE0">
              <w:rPr>
                <w:rFonts w:ascii="Calibri" w:hAnsi="Calibri" w:cs="Tahoma"/>
                <w:sz w:val="24"/>
                <w:szCs w:val="24"/>
              </w:rPr>
              <w:t>…</w:t>
            </w:r>
          </w:p>
        </w:tc>
        <w:tc>
          <w:tcPr>
            <w:tcW w:w="688" w:type="dxa"/>
            <w:tcBorders>
              <w:top w:val="nil"/>
              <w:left w:val="nil"/>
              <w:bottom w:val="nil"/>
              <w:right w:val="nil"/>
            </w:tcBorders>
          </w:tcPr>
          <w:p w14:paraId="4C0C3B05" w14:textId="3D5D7BB1" w:rsidR="00987D33" w:rsidRPr="00892DE0" w:rsidRDefault="00AE3B6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B1305F">
              <w:rPr>
                <w:rFonts w:ascii="Calibri" w:eastAsia="Times New Roman" w:hAnsi="Calibri" w:cs="Tahoma"/>
                <w:sz w:val="24"/>
                <w:szCs w:val="24"/>
              </w:rPr>
              <w:t>1</w:t>
            </w:r>
          </w:p>
        </w:tc>
      </w:tr>
      <w:tr w:rsidR="00987D33" w14:paraId="5CD496A9" w14:textId="77777777" w:rsidTr="007B5BB3">
        <w:tc>
          <w:tcPr>
            <w:tcW w:w="8672" w:type="dxa"/>
            <w:tcBorders>
              <w:top w:val="nil"/>
              <w:left w:val="nil"/>
              <w:bottom w:val="nil"/>
              <w:right w:val="nil"/>
            </w:tcBorders>
          </w:tcPr>
          <w:p w14:paraId="350FF10D" w14:textId="465F010E" w:rsidR="00987D33" w:rsidRPr="00892DE0" w:rsidRDefault="00987D33" w:rsidP="007B5BB3">
            <w:pPr>
              <w:spacing w:before="120" w:after="120"/>
              <w:ind w:firstLine="257"/>
              <w:rPr>
                <w:rFonts w:ascii="Calibri" w:hAnsi="Calibri" w:cs="Tahoma"/>
              </w:rPr>
            </w:pPr>
            <w:r w:rsidRPr="00892DE0">
              <w:rPr>
                <w:rFonts w:ascii="Calibri" w:hAnsi="Calibri" w:cs="Tahoma"/>
                <w:sz w:val="24"/>
                <w:szCs w:val="24"/>
              </w:rPr>
              <w:t>Statements of Financial Position – Discretely Presented Component Unit…………</w:t>
            </w:r>
            <w:r>
              <w:rPr>
                <w:rFonts w:ascii="Calibri" w:hAnsi="Calibri" w:cs="Tahoma"/>
                <w:sz w:val="24"/>
                <w:szCs w:val="24"/>
              </w:rPr>
              <w:t>.</w:t>
            </w:r>
            <w:r w:rsidRPr="00892DE0">
              <w:rPr>
                <w:rFonts w:ascii="Calibri" w:hAnsi="Calibri" w:cs="Tahoma"/>
                <w:sz w:val="24"/>
                <w:szCs w:val="24"/>
              </w:rPr>
              <w:t>…</w:t>
            </w:r>
          </w:p>
        </w:tc>
        <w:tc>
          <w:tcPr>
            <w:tcW w:w="688" w:type="dxa"/>
            <w:tcBorders>
              <w:top w:val="nil"/>
              <w:left w:val="nil"/>
              <w:bottom w:val="nil"/>
              <w:right w:val="nil"/>
            </w:tcBorders>
          </w:tcPr>
          <w:p w14:paraId="3F9F4987" w14:textId="45B84210" w:rsidR="00987D33" w:rsidRPr="00892DE0" w:rsidRDefault="00987D3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B1305F">
              <w:rPr>
                <w:rFonts w:ascii="Calibri" w:eastAsia="Times New Roman" w:hAnsi="Calibri" w:cs="Tahoma"/>
                <w:sz w:val="24"/>
                <w:szCs w:val="24"/>
              </w:rPr>
              <w:t>2</w:t>
            </w:r>
          </w:p>
        </w:tc>
      </w:tr>
      <w:tr w:rsidR="00987D33" w14:paraId="1E01544C" w14:textId="77777777" w:rsidTr="007B5BB3">
        <w:tc>
          <w:tcPr>
            <w:tcW w:w="8672" w:type="dxa"/>
            <w:tcBorders>
              <w:top w:val="nil"/>
              <w:left w:val="nil"/>
              <w:bottom w:val="nil"/>
              <w:right w:val="nil"/>
            </w:tcBorders>
          </w:tcPr>
          <w:p w14:paraId="62A4AA55" w14:textId="77777777" w:rsidR="00987D33" w:rsidRPr="00892DE0" w:rsidRDefault="00987D33" w:rsidP="007B5BB3">
            <w:pPr>
              <w:spacing w:before="120" w:after="120"/>
              <w:ind w:firstLine="257"/>
              <w:rPr>
                <w:rFonts w:ascii="Calibri" w:hAnsi="Calibri" w:cs="Tahoma"/>
              </w:rPr>
            </w:pPr>
            <w:r w:rsidRPr="00892DE0">
              <w:rPr>
                <w:rFonts w:ascii="Calibri" w:hAnsi="Calibri" w:cs="Tahoma"/>
                <w:sz w:val="24"/>
                <w:szCs w:val="24"/>
              </w:rPr>
              <w:t>Statements of Revenues, Expenses and Changes in Net Position……………………</w:t>
            </w:r>
            <w:r>
              <w:rPr>
                <w:rFonts w:ascii="Calibri" w:hAnsi="Calibri" w:cs="Tahoma"/>
                <w:sz w:val="24"/>
                <w:szCs w:val="24"/>
              </w:rPr>
              <w:t>.</w:t>
            </w:r>
            <w:r w:rsidRPr="00892DE0">
              <w:rPr>
                <w:rFonts w:ascii="Calibri" w:hAnsi="Calibri" w:cs="Tahoma"/>
                <w:sz w:val="24"/>
                <w:szCs w:val="24"/>
              </w:rPr>
              <w:t>………</w:t>
            </w:r>
          </w:p>
        </w:tc>
        <w:tc>
          <w:tcPr>
            <w:tcW w:w="688" w:type="dxa"/>
            <w:tcBorders>
              <w:top w:val="nil"/>
              <w:left w:val="nil"/>
              <w:bottom w:val="nil"/>
              <w:right w:val="nil"/>
            </w:tcBorders>
          </w:tcPr>
          <w:p w14:paraId="62277005" w14:textId="48CB40B2" w:rsidR="00987D33" w:rsidRPr="00892DE0" w:rsidRDefault="00987D3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B1305F">
              <w:rPr>
                <w:rFonts w:ascii="Calibri" w:eastAsia="Times New Roman" w:hAnsi="Calibri" w:cs="Tahoma"/>
                <w:sz w:val="24"/>
                <w:szCs w:val="24"/>
              </w:rPr>
              <w:t>3</w:t>
            </w:r>
          </w:p>
        </w:tc>
      </w:tr>
      <w:tr w:rsidR="00987D33" w14:paraId="578B68AC" w14:textId="77777777" w:rsidTr="007B5BB3">
        <w:tc>
          <w:tcPr>
            <w:tcW w:w="8672" w:type="dxa"/>
            <w:tcBorders>
              <w:top w:val="nil"/>
              <w:left w:val="nil"/>
              <w:bottom w:val="nil"/>
              <w:right w:val="nil"/>
            </w:tcBorders>
          </w:tcPr>
          <w:p w14:paraId="340BB157" w14:textId="77777777" w:rsidR="00987D33" w:rsidRPr="00892DE0" w:rsidRDefault="00987D33" w:rsidP="007B5BB3">
            <w:pPr>
              <w:spacing w:before="120" w:after="120"/>
              <w:ind w:firstLine="257"/>
              <w:rPr>
                <w:rFonts w:ascii="Calibri" w:hAnsi="Calibri" w:cs="Tahoma"/>
              </w:rPr>
            </w:pPr>
            <w:r w:rsidRPr="00892DE0">
              <w:rPr>
                <w:rFonts w:ascii="Calibri" w:hAnsi="Calibri" w:cs="Tahoma"/>
                <w:sz w:val="24"/>
                <w:szCs w:val="24"/>
              </w:rPr>
              <w:t>Statements of Activities – Discretely Presented Component Unit……………………………</w:t>
            </w:r>
          </w:p>
        </w:tc>
        <w:tc>
          <w:tcPr>
            <w:tcW w:w="688" w:type="dxa"/>
            <w:tcBorders>
              <w:top w:val="nil"/>
              <w:left w:val="nil"/>
              <w:bottom w:val="nil"/>
              <w:right w:val="nil"/>
            </w:tcBorders>
          </w:tcPr>
          <w:p w14:paraId="3F9F2641" w14:textId="387DC12F" w:rsidR="00987D33" w:rsidRPr="00892DE0" w:rsidRDefault="00987D3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B1305F">
              <w:rPr>
                <w:rFonts w:ascii="Calibri" w:eastAsia="Times New Roman" w:hAnsi="Calibri" w:cs="Tahoma"/>
                <w:sz w:val="24"/>
                <w:szCs w:val="24"/>
              </w:rPr>
              <w:t>4</w:t>
            </w:r>
          </w:p>
        </w:tc>
      </w:tr>
      <w:tr w:rsidR="00987D33" w14:paraId="0F964F97" w14:textId="77777777" w:rsidTr="007B5BB3">
        <w:tc>
          <w:tcPr>
            <w:tcW w:w="8672" w:type="dxa"/>
            <w:tcBorders>
              <w:top w:val="nil"/>
              <w:left w:val="nil"/>
              <w:bottom w:val="nil"/>
              <w:right w:val="nil"/>
            </w:tcBorders>
          </w:tcPr>
          <w:p w14:paraId="1A3B7F41" w14:textId="4B68FDB8" w:rsidR="00987D33" w:rsidRPr="00892DE0" w:rsidRDefault="00987D33" w:rsidP="007B5BB3">
            <w:pPr>
              <w:spacing w:before="120" w:after="120"/>
              <w:ind w:firstLine="257"/>
              <w:rPr>
                <w:rFonts w:ascii="Calibri" w:hAnsi="Calibri" w:cs="Tahoma"/>
              </w:rPr>
            </w:pPr>
            <w:r w:rsidRPr="00892DE0">
              <w:rPr>
                <w:rFonts w:ascii="Calibri" w:hAnsi="Calibri" w:cs="Tahoma"/>
                <w:sz w:val="24"/>
                <w:szCs w:val="24"/>
              </w:rPr>
              <w:t>Statements of Cash Flows………………………………………………………………………………</w:t>
            </w:r>
            <w:r>
              <w:rPr>
                <w:rFonts w:ascii="Calibri" w:hAnsi="Calibri" w:cs="Tahoma"/>
                <w:sz w:val="24"/>
                <w:szCs w:val="24"/>
              </w:rPr>
              <w:t>..</w:t>
            </w:r>
            <w:r w:rsidRPr="00892DE0">
              <w:rPr>
                <w:rFonts w:ascii="Calibri" w:hAnsi="Calibri" w:cs="Tahoma"/>
                <w:sz w:val="24"/>
                <w:szCs w:val="24"/>
              </w:rPr>
              <w:t>……</w:t>
            </w:r>
          </w:p>
        </w:tc>
        <w:tc>
          <w:tcPr>
            <w:tcW w:w="688" w:type="dxa"/>
            <w:tcBorders>
              <w:top w:val="nil"/>
              <w:left w:val="nil"/>
              <w:bottom w:val="nil"/>
              <w:right w:val="nil"/>
            </w:tcBorders>
          </w:tcPr>
          <w:p w14:paraId="778DA23F" w14:textId="15DA46ED" w:rsidR="00987D33" w:rsidRPr="00892DE0" w:rsidRDefault="00987D3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B1305F">
              <w:rPr>
                <w:rFonts w:ascii="Calibri" w:eastAsia="Times New Roman" w:hAnsi="Calibri" w:cs="Tahoma"/>
                <w:sz w:val="24"/>
                <w:szCs w:val="24"/>
              </w:rPr>
              <w:t>5</w:t>
            </w:r>
          </w:p>
        </w:tc>
      </w:tr>
      <w:tr w:rsidR="00987D33" w14:paraId="3AE4E11B" w14:textId="77777777" w:rsidTr="007B5BB3">
        <w:tc>
          <w:tcPr>
            <w:tcW w:w="8672" w:type="dxa"/>
            <w:tcBorders>
              <w:top w:val="nil"/>
              <w:left w:val="nil"/>
              <w:bottom w:val="nil"/>
              <w:right w:val="nil"/>
            </w:tcBorders>
          </w:tcPr>
          <w:p w14:paraId="1477FB58" w14:textId="77777777" w:rsidR="00987D33" w:rsidRPr="00892DE0" w:rsidRDefault="00987D33" w:rsidP="007B5BB3">
            <w:pPr>
              <w:spacing w:before="120" w:after="120"/>
              <w:ind w:firstLine="257"/>
              <w:rPr>
                <w:rFonts w:ascii="Calibri" w:hAnsi="Calibri" w:cs="Tahoma"/>
                <w:sz w:val="24"/>
                <w:szCs w:val="24"/>
              </w:rPr>
            </w:pPr>
            <w:r w:rsidRPr="00892DE0">
              <w:rPr>
                <w:rFonts w:ascii="Calibri" w:hAnsi="Calibri" w:cs="Tahoma"/>
                <w:sz w:val="24"/>
                <w:szCs w:val="24"/>
              </w:rPr>
              <w:t xml:space="preserve">Statements of </w:t>
            </w:r>
            <w:r>
              <w:rPr>
                <w:rFonts w:ascii="Calibri" w:hAnsi="Calibri" w:cs="Tahoma"/>
                <w:sz w:val="24"/>
                <w:szCs w:val="24"/>
              </w:rPr>
              <w:t>Fiduciary Net Position</w:t>
            </w:r>
            <w:r w:rsidRPr="00892DE0">
              <w:rPr>
                <w:rFonts w:ascii="Calibri" w:hAnsi="Calibri" w:cs="Tahoma"/>
                <w:sz w:val="24"/>
                <w:szCs w:val="24"/>
              </w:rPr>
              <w:t>……………………………………………………………</w:t>
            </w:r>
            <w:r>
              <w:rPr>
                <w:rFonts w:ascii="Calibri" w:hAnsi="Calibri" w:cs="Tahoma"/>
                <w:sz w:val="24"/>
                <w:szCs w:val="24"/>
              </w:rPr>
              <w:t>..</w:t>
            </w:r>
            <w:r w:rsidRPr="00892DE0">
              <w:rPr>
                <w:rFonts w:ascii="Calibri" w:hAnsi="Calibri" w:cs="Tahoma"/>
                <w:sz w:val="24"/>
                <w:szCs w:val="24"/>
              </w:rPr>
              <w:t>……</w:t>
            </w:r>
          </w:p>
        </w:tc>
        <w:tc>
          <w:tcPr>
            <w:tcW w:w="688" w:type="dxa"/>
            <w:tcBorders>
              <w:top w:val="nil"/>
              <w:left w:val="nil"/>
              <w:bottom w:val="nil"/>
              <w:right w:val="nil"/>
            </w:tcBorders>
          </w:tcPr>
          <w:p w14:paraId="59F22E3E" w14:textId="71DFA5B8" w:rsidR="00987D33" w:rsidRPr="00892DE0" w:rsidRDefault="00987D3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B1305F">
              <w:rPr>
                <w:rFonts w:ascii="Calibri" w:eastAsia="Times New Roman" w:hAnsi="Calibri" w:cs="Tahoma"/>
                <w:sz w:val="24"/>
                <w:szCs w:val="24"/>
              </w:rPr>
              <w:t>7</w:t>
            </w:r>
          </w:p>
        </w:tc>
      </w:tr>
      <w:tr w:rsidR="00987D33" w14:paraId="46B959BE" w14:textId="77777777" w:rsidTr="007B5BB3">
        <w:tc>
          <w:tcPr>
            <w:tcW w:w="8672" w:type="dxa"/>
            <w:tcBorders>
              <w:top w:val="nil"/>
              <w:left w:val="nil"/>
              <w:bottom w:val="nil"/>
              <w:right w:val="nil"/>
            </w:tcBorders>
          </w:tcPr>
          <w:p w14:paraId="799CA7D1" w14:textId="77777777" w:rsidR="00987D33" w:rsidRPr="00892DE0" w:rsidRDefault="00987D33" w:rsidP="007B5BB3">
            <w:pPr>
              <w:spacing w:before="120" w:after="120"/>
              <w:ind w:firstLine="257"/>
              <w:rPr>
                <w:rFonts w:ascii="Calibri" w:hAnsi="Calibri" w:cs="Tahoma"/>
                <w:sz w:val="24"/>
                <w:szCs w:val="24"/>
              </w:rPr>
            </w:pPr>
            <w:r w:rsidRPr="00892DE0">
              <w:rPr>
                <w:rFonts w:ascii="Calibri" w:hAnsi="Calibri" w:cs="Tahoma"/>
                <w:sz w:val="24"/>
                <w:szCs w:val="24"/>
              </w:rPr>
              <w:t xml:space="preserve">Statements of </w:t>
            </w:r>
            <w:r>
              <w:rPr>
                <w:rFonts w:ascii="Calibri" w:hAnsi="Calibri" w:cs="Tahoma"/>
                <w:sz w:val="24"/>
                <w:szCs w:val="24"/>
              </w:rPr>
              <w:t>Changes in Fiduciary Net Position</w:t>
            </w:r>
            <w:r w:rsidRPr="00892DE0">
              <w:rPr>
                <w:rFonts w:ascii="Calibri" w:hAnsi="Calibri" w:cs="Tahoma"/>
                <w:sz w:val="24"/>
                <w:szCs w:val="24"/>
              </w:rPr>
              <w:t>………</w:t>
            </w:r>
            <w:r>
              <w:rPr>
                <w:rFonts w:ascii="Calibri" w:hAnsi="Calibri" w:cs="Tahoma"/>
                <w:sz w:val="24"/>
                <w:szCs w:val="24"/>
              </w:rPr>
              <w:t>……………………………………..</w:t>
            </w:r>
            <w:r w:rsidRPr="00892DE0">
              <w:rPr>
                <w:rFonts w:ascii="Calibri" w:hAnsi="Calibri" w:cs="Tahoma"/>
                <w:sz w:val="24"/>
                <w:szCs w:val="24"/>
              </w:rPr>
              <w:t>……</w:t>
            </w:r>
          </w:p>
        </w:tc>
        <w:tc>
          <w:tcPr>
            <w:tcW w:w="688" w:type="dxa"/>
            <w:tcBorders>
              <w:top w:val="nil"/>
              <w:left w:val="nil"/>
              <w:bottom w:val="nil"/>
              <w:right w:val="nil"/>
            </w:tcBorders>
          </w:tcPr>
          <w:p w14:paraId="09DEE30F" w14:textId="2BE589D1" w:rsidR="00987D33" w:rsidRPr="00892DE0" w:rsidRDefault="00987D3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B1305F">
              <w:rPr>
                <w:rFonts w:ascii="Calibri" w:eastAsia="Times New Roman" w:hAnsi="Calibri" w:cs="Tahoma"/>
                <w:sz w:val="24"/>
                <w:szCs w:val="24"/>
              </w:rPr>
              <w:t>8</w:t>
            </w:r>
          </w:p>
        </w:tc>
      </w:tr>
      <w:tr w:rsidR="00987D33" w14:paraId="3480C96F" w14:textId="77777777" w:rsidTr="007B5BB3">
        <w:tc>
          <w:tcPr>
            <w:tcW w:w="8672" w:type="dxa"/>
            <w:tcBorders>
              <w:top w:val="nil"/>
              <w:left w:val="nil"/>
              <w:bottom w:val="nil"/>
              <w:right w:val="nil"/>
            </w:tcBorders>
          </w:tcPr>
          <w:p w14:paraId="4FB496B4" w14:textId="77777777" w:rsidR="00987D33" w:rsidRPr="00892DE0" w:rsidRDefault="00987D33" w:rsidP="007B5BB3">
            <w:pPr>
              <w:spacing w:before="120" w:after="120"/>
              <w:rPr>
                <w:rFonts w:ascii="Calibri" w:eastAsia="Times New Roman" w:hAnsi="Calibri" w:cs="Tahoma"/>
                <w:sz w:val="24"/>
                <w:szCs w:val="24"/>
              </w:rPr>
            </w:pPr>
            <w:r w:rsidRPr="00892DE0">
              <w:rPr>
                <w:rFonts w:ascii="Calibri" w:eastAsia="Times New Roman" w:hAnsi="Calibri" w:cs="Tahoma"/>
                <w:sz w:val="24"/>
                <w:szCs w:val="24"/>
              </w:rPr>
              <w:t>Notes to Financial Statements…………………………………………………………………………</w:t>
            </w:r>
            <w:r>
              <w:rPr>
                <w:rFonts w:ascii="Calibri" w:eastAsia="Times New Roman" w:hAnsi="Calibri" w:cs="Tahoma"/>
                <w:sz w:val="24"/>
                <w:szCs w:val="24"/>
              </w:rPr>
              <w:t>….</w:t>
            </w:r>
            <w:r w:rsidRPr="00892DE0">
              <w:rPr>
                <w:rFonts w:ascii="Calibri" w:eastAsia="Times New Roman" w:hAnsi="Calibri" w:cs="Tahoma"/>
                <w:sz w:val="24"/>
                <w:szCs w:val="24"/>
              </w:rPr>
              <w:t>…….</w:t>
            </w:r>
          </w:p>
        </w:tc>
        <w:tc>
          <w:tcPr>
            <w:tcW w:w="688" w:type="dxa"/>
            <w:tcBorders>
              <w:top w:val="nil"/>
              <w:left w:val="nil"/>
              <w:bottom w:val="nil"/>
              <w:right w:val="nil"/>
            </w:tcBorders>
          </w:tcPr>
          <w:p w14:paraId="5E065892" w14:textId="1FE4E813" w:rsidR="00987D33" w:rsidRPr="00892DE0" w:rsidRDefault="00987D3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4</w:t>
            </w:r>
            <w:r w:rsidR="00B1305F">
              <w:rPr>
                <w:rFonts w:ascii="Calibri" w:eastAsia="Times New Roman" w:hAnsi="Calibri" w:cs="Tahoma"/>
                <w:sz w:val="24"/>
                <w:szCs w:val="24"/>
              </w:rPr>
              <w:t>9</w:t>
            </w:r>
          </w:p>
        </w:tc>
      </w:tr>
      <w:tr w:rsidR="00987D33" w14:paraId="449DCF07" w14:textId="77777777" w:rsidTr="007B5BB3">
        <w:tc>
          <w:tcPr>
            <w:tcW w:w="8672" w:type="dxa"/>
            <w:tcBorders>
              <w:top w:val="nil"/>
              <w:left w:val="nil"/>
              <w:bottom w:val="nil"/>
              <w:right w:val="nil"/>
            </w:tcBorders>
          </w:tcPr>
          <w:p w14:paraId="4BBC6C7C" w14:textId="77777777" w:rsidR="00987D33" w:rsidRPr="00892DE0" w:rsidRDefault="00987D33" w:rsidP="007B5BB3">
            <w:pPr>
              <w:spacing w:before="120" w:after="120"/>
              <w:rPr>
                <w:rFonts w:ascii="Calibri" w:eastAsia="Times New Roman" w:hAnsi="Calibri" w:cs="Tahoma"/>
                <w:sz w:val="24"/>
                <w:szCs w:val="24"/>
              </w:rPr>
            </w:pPr>
            <w:r w:rsidRPr="00892DE0">
              <w:rPr>
                <w:rFonts w:ascii="Calibri" w:eastAsia="Times New Roman" w:hAnsi="Calibri" w:cs="Tahoma"/>
                <w:sz w:val="24"/>
                <w:szCs w:val="24"/>
              </w:rPr>
              <w:t>Required Supplemental Information – Retirement and OPEB Plans…………………………</w:t>
            </w:r>
            <w:r>
              <w:rPr>
                <w:rFonts w:ascii="Calibri" w:eastAsia="Times New Roman" w:hAnsi="Calibri" w:cs="Tahoma"/>
                <w:sz w:val="24"/>
                <w:szCs w:val="24"/>
              </w:rPr>
              <w:t>..</w:t>
            </w:r>
          </w:p>
        </w:tc>
        <w:tc>
          <w:tcPr>
            <w:tcW w:w="688" w:type="dxa"/>
            <w:tcBorders>
              <w:top w:val="nil"/>
              <w:left w:val="nil"/>
              <w:bottom w:val="nil"/>
              <w:right w:val="nil"/>
            </w:tcBorders>
          </w:tcPr>
          <w:p w14:paraId="169A9DA0" w14:textId="2BA7EFE1" w:rsidR="00987D33" w:rsidRPr="00892DE0" w:rsidRDefault="00AE3B6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10</w:t>
            </w:r>
            <w:r w:rsidR="00E07466">
              <w:rPr>
                <w:rFonts w:ascii="Calibri" w:eastAsia="Times New Roman" w:hAnsi="Calibri" w:cs="Tahoma"/>
                <w:sz w:val="24"/>
                <w:szCs w:val="24"/>
              </w:rPr>
              <w:t>4</w:t>
            </w:r>
          </w:p>
        </w:tc>
      </w:tr>
      <w:tr w:rsidR="00987D33" w14:paraId="50063EC9" w14:textId="77777777" w:rsidTr="007B5BB3">
        <w:tc>
          <w:tcPr>
            <w:tcW w:w="8672" w:type="dxa"/>
            <w:tcBorders>
              <w:top w:val="nil"/>
              <w:left w:val="nil"/>
              <w:bottom w:val="nil"/>
              <w:right w:val="nil"/>
            </w:tcBorders>
          </w:tcPr>
          <w:p w14:paraId="751C1974" w14:textId="77777777" w:rsidR="00987D33" w:rsidRPr="00892DE0" w:rsidRDefault="00987D33" w:rsidP="007B5BB3">
            <w:pPr>
              <w:spacing w:before="120" w:after="120"/>
              <w:rPr>
                <w:rFonts w:ascii="Calibri" w:eastAsia="Times New Roman" w:hAnsi="Calibri" w:cs="Tahoma"/>
                <w:sz w:val="24"/>
                <w:szCs w:val="24"/>
              </w:rPr>
            </w:pPr>
            <w:r w:rsidRPr="00892DE0">
              <w:rPr>
                <w:rFonts w:ascii="Calibri" w:eastAsia="Times New Roman" w:hAnsi="Calibri" w:cs="Tahoma"/>
                <w:sz w:val="24"/>
                <w:szCs w:val="24"/>
              </w:rPr>
              <w:t>Supplemental Information Required by the State of Maine………………………………</w:t>
            </w:r>
            <w:r>
              <w:rPr>
                <w:rFonts w:ascii="Calibri" w:eastAsia="Times New Roman" w:hAnsi="Calibri" w:cs="Tahoma"/>
                <w:sz w:val="24"/>
                <w:szCs w:val="24"/>
              </w:rPr>
              <w:t>..</w:t>
            </w:r>
            <w:r w:rsidRPr="00892DE0">
              <w:rPr>
                <w:rFonts w:ascii="Calibri" w:eastAsia="Times New Roman" w:hAnsi="Calibri" w:cs="Tahoma"/>
                <w:sz w:val="24"/>
                <w:szCs w:val="24"/>
              </w:rPr>
              <w:t>……</w:t>
            </w:r>
            <w:r>
              <w:rPr>
                <w:rFonts w:ascii="Calibri" w:eastAsia="Times New Roman" w:hAnsi="Calibri" w:cs="Tahoma"/>
                <w:sz w:val="24"/>
                <w:szCs w:val="24"/>
              </w:rPr>
              <w:t>.</w:t>
            </w:r>
          </w:p>
        </w:tc>
        <w:tc>
          <w:tcPr>
            <w:tcW w:w="688" w:type="dxa"/>
            <w:tcBorders>
              <w:top w:val="nil"/>
              <w:left w:val="nil"/>
              <w:bottom w:val="nil"/>
              <w:right w:val="nil"/>
            </w:tcBorders>
          </w:tcPr>
          <w:p w14:paraId="52097625" w14:textId="74B6B7E8" w:rsidR="00987D33" w:rsidRPr="00892DE0" w:rsidRDefault="00987D3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1</w:t>
            </w:r>
            <w:r w:rsidR="00B1305F">
              <w:rPr>
                <w:rFonts w:ascii="Calibri" w:eastAsia="Times New Roman" w:hAnsi="Calibri" w:cs="Tahoma"/>
                <w:sz w:val="24"/>
                <w:szCs w:val="24"/>
              </w:rPr>
              <w:t>1</w:t>
            </w:r>
            <w:r w:rsidR="00E07466">
              <w:rPr>
                <w:rFonts w:ascii="Calibri" w:eastAsia="Times New Roman" w:hAnsi="Calibri" w:cs="Tahoma"/>
                <w:sz w:val="24"/>
                <w:szCs w:val="24"/>
              </w:rPr>
              <w:t>4</w:t>
            </w:r>
          </w:p>
        </w:tc>
      </w:tr>
      <w:tr w:rsidR="00987D33" w14:paraId="5951FFD7" w14:textId="77777777" w:rsidTr="007B5BB3">
        <w:tc>
          <w:tcPr>
            <w:tcW w:w="8672" w:type="dxa"/>
            <w:tcBorders>
              <w:top w:val="nil"/>
              <w:left w:val="nil"/>
              <w:bottom w:val="nil"/>
              <w:right w:val="nil"/>
            </w:tcBorders>
          </w:tcPr>
          <w:p w14:paraId="1AA37A97" w14:textId="77777777" w:rsidR="00987D33" w:rsidRPr="00892DE0" w:rsidRDefault="00987D33" w:rsidP="007B5BB3">
            <w:pPr>
              <w:spacing w:before="120" w:after="120"/>
              <w:rPr>
                <w:rFonts w:ascii="Calibri" w:eastAsia="Times New Roman" w:hAnsi="Calibri" w:cs="Tahoma"/>
                <w:sz w:val="24"/>
                <w:szCs w:val="24"/>
              </w:rPr>
            </w:pPr>
            <w:r w:rsidRPr="00892DE0">
              <w:rPr>
                <w:rFonts w:ascii="Calibri" w:eastAsia="Times New Roman" w:hAnsi="Calibri" w:cs="Tahoma"/>
                <w:sz w:val="24"/>
                <w:szCs w:val="24"/>
              </w:rPr>
              <w:t xml:space="preserve">Independent Auditor’s Report on Internal Control Over Financial Reporting and on Compliance and Other Matters Based on an Audit of Financial Statements Performed in Accordance with </w:t>
            </w:r>
            <w:r w:rsidRPr="00892DE0">
              <w:rPr>
                <w:rFonts w:ascii="Calibri" w:eastAsia="Times New Roman" w:hAnsi="Calibri" w:cs="Tahoma"/>
                <w:i/>
                <w:sz w:val="24"/>
                <w:szCs w:val="24"/>
              </w:rPr>
              <w:t>Government Auditing Standards</w:t>
            </w:r>
            <w:r w:rsidRPr="00892DE0">
              <w:rPr>
                <w:rFonts w:ascii="Calibri" w:eastAsia="Times New Roman" w:hAnsi="Calibri" w:cs="Tahoma"/>
                <w:sz w:val="24"/>
                <w:szCs w:val="24"/>
              </w:rPr>
              <w:t>…………………………</w:t>
            </w:r>
            <w:r>
              <w:rPr>
                <w:rFonts w:ascii="Calibri" w:eastAsia="Times New Roman" w:hAnsi="Calibri" w:cs="Tahoma"/>
                <w:sz w:val="24"/>
                <w:szCs w:val="24"/>
              </w:rPr>
              <w:t>.</w:t>
            </w:r>
            <w:r w:rsidRPr="00892DE0">
              <w:rPr>
                <w:rFonts w:ascii="Calibri" w:eastAsia="Times New Roman" w:hAnsi="Calibri" w:cs="Tahoma"/>
                <w:sz w:val="24"/>
                <w:szCs w:val="24"/>
              </w:rPr>
              <w:t>……</w:t>
            </w:r>
          </w:p>
        </w:tc>
        <w:tc>
          <w:tcPr>
            <w:tcW w:w="688" w:type="dxa"/>
            <w:tcBorders>
              <w:top w:val="nil"/>
              <w:left w:val="nil"/>
              <w:bottom w:val="nil"/>
              <w:right w:val="nil"/>
            </w:tcBorders>
            <w:vAlign w:val="bottom"/>
          </w:tcPr>
          <w:p w14:paraId="0CA2B6F8" w14:textId="20BA23EA" w:rsidR="00987D33" w:rsidRPr="00892DE0" w:rsidRDefault="00987D33" w:rsidP="007B5BB3">
            <w:pPr>
              <w:spacing w:before="120" w:after="120"/>
              <w:jc w:val="right"/>
              <w:rPr>
                <w:rFonts w:ascii="Calibri" w:eastAsia="Times New Roman" w:hAnsi="Calibri" w:cs="Tahoma"/>
                <w:sz w:val="24"/>
                <w:szCs w:val="24"/>
              </w:rPr>
            </w:pPr>
            <w:r>
              <w:rPr>
                <w:rFonts w:ascii="Calibri" w:eastAsia="Times New Roman" w:hAnsi="Calibri" w:cs="Tahoma"/>
                <w:sz w:val="24"/>
                <w:szCs w:val="24"/>
              </w:rPr>
              <w:t>1</w:t>
            </w:r>
            <w:r w:rsidR="00AE3B63">
              <w:rPr>
                <w:rFonts w:ascii="Calibri" w:eastAsia="Times New Roman" w:hAnsi="Calibri" w:cs="Tahoma"/>
                <w:sz w:val="24"/>
                <w:szCs w:val="24"/>
              </w:rPr>
              <w:t>1</w:t>
            </w:r>
            <w:r w:rsidR="00E07466">
              <w:rPr>
                <w:rFonts w:ascii="Calibri" w:eastAsia="Times New Roman" w:hAnsi="Calibri" w:cs="Tahoma"/>
                <w:sz w:val="24"/>
                <w:szCs w:val="24"/>
              </w:rPr>
              <w:t>5</w:t>
            </w:r>
          </w:p>
        </w:tc>
      </w:tr>
    </w:tbl>
    <w:p w14:paraId="39D0BA57" w14:textId="77777777" w:rsidR="00987D33" w:rsidRDefault="00987D33" w:rsidP="00987D33">
      <w:pPr>
        <w:spacing w:after="160" w:line="259" w:lineRule="auto"/>
      </w:pPr>
      <w:r>
        <w:br w:type="page"/>
      </w:r>
    </w:p>
    <w:p w14:paraId="17897047" w14:textId="77777777" w:rsidR="00987D33" w:rsidRDefault="00987D33" w:rsidP="001943BA">
      <w:pPr>
        <w:jc w:val="center"/>
      </w:pPr>
      <w:r>
        <w:rPr>
          <w:noProof/>
        </w:rPr>
        <w:lastRenderedPageBreak/>
        <w:drawing>
          <wp:inline distT="114300" distB="114300" distL="114300" distR="114300" wp14:anchorId="50EBD0EC" wp14:editId="01BAD85D">
            <wp:extent cx="1882162" cy="902939"/>
            <wp:effectExtent l="0" t="0" r="3810" b="0"/>
            <wp:docPr id="5"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1882162" cy="902939"/>
                    </a:xfrm>
                    <a:prstGeom prst="rect">
                      <a:avLst/>
                    </a:prstGeom>
                    <a:ln/>
                  </pic:spPr>
                </pic:pic>
              </a:graphicData>
            </a:graphic>
          </wp:inline>
        </w:drawing>
      </w:r>
    </w:p>
    <w:p w14:paraId="6C970714" w14:textId="18EF6996" w:rsidR="00AE3B63" w:rsidRPr="00AE3B63" w:rsidRDefault="00AE3B63" w:rsidP="00AE3B63">
      <w:pPr>
        <w:pStyle w:val="Default"/>
        <w:rPr>
          <w:rFonts w:ascii="Times New Roman" w:eastAsiaTheme="minorHAnsi" w:hAnsi="Times New Roman" w:cs="Times New Roman"/>
        </w:rPr>
      </w:pPr>
    </w:p>
    <w:p w14:paraId="3EA19238" w14:textId="77777777" w:rsidR="00AE3B63" w:rsidRPr="001943BA" w:rsidRDefault="00AE3B63" w:rsidP="00AE3B63">
      <w:pPr>
        <w:autoSpaceDE w:val="0"/>
        <w:autoSpaceDN w:val="0"/>
        <w:adjustRightInd w:val="0"/>
        <w:rPr>
          <w:rFonts w:cstheme="minorHAnsi"/>
          <w:color w:val="000000"/>
          <w:sz w:val="24"/>
          <w:szCs w:val="24"/>
        </w:rPr>
      </w:pPr>
      <w:r w:rsidRPr="001943BA">
        <w:rPr>
          <w:rFonts w:cstheme="minorHAnsi"/>
          <w:color w:val="000000"/>
          <w:sz w:val="24"/>
          <w:szCs w:val="24"/>
        </w:rPr>
        <w:t xml:space="preserve">October 14, 2022 </w:t>
      </w:r>
    </w:p>
    <w:p w14:paraId="75B3BC40" w14:textId="77777777" w:rsidR="00AE3B63" w:rsidRPr="001943BA" w:rsidRDefault="00AE3B63" w:rsidP="00AE3B63">
      <w:pPr>
        <w:autoSpaceDE w:val="0"/>
        <w:autoSpaceDN w:val="0"/>
        <w:adjustRightInd w:val="0"/>
        <w:rPr>
          <w:rFonts w:cstheme="minorHAnsi"/>
          <w:color w:val="000000"/>
          <w:sz w:val="24"/>
          <w:szCs w:val="24"/>
        </w:rPr>
      </w:pPr>
    </w:p>
    <w:p w14:paraId="664CD072" w14:textId="77777777" w:rsidR="00AE3B63" w:rsidRDefault="00AE3B63" w:rsidP="00AE3B63">
      <w:pPr>
        <w:autoSpaceDE w:val="0"/>
        <w:autoSpaceDN w:val="0"/>
        <w:adjustRightInd w:val="0"/>
        <w:rPr>
          <w:rFonts w:cstheme="minorHAnsi"/>
          <w:color w:val="000000"/>
          <w:sz w:val="24"/>
          <w:szCs w:val="24"/>
        </w:rPr>
      </w:pPr>
      <w:r w:rsidRPr="001943BA">
        <w:rPr>
          <w:rFonts w:cstheme="minorHAnsi"/>
          <w:color w:val="000000"/>
          <w:sz w:val="24"/>
          <w:szCs w:val="24"/>
        </w:rPr>
        <w:t xml:space="preserve">Last year at this time, we were still unsure of the future of the global pandemic which had impacted higher education in profound ways. I am immensely proud of how the University of Maine System has navigated the numerous challenges posed by the pandemic through its universities and the Maine School of Law. The true north that directed us through this storm was our commitment to delivering on our mission of education, research, and our public service offering. </w:t>
      </w:r>
    </w:p>
    <w:p w14:paraId="3D5000F0" w14:textId="77777777" w:rsidR="00AE3B63" w:rsidRDefault="00AE3B63" w:rsidP="00AE3B63">
      <w:pPr>
        <w:autoSpaceDE w:val="0"/>
        <w:autoSpaceDN w:val="0"/>
        <w:adjustRightInd w:val="0"/>
        <w:rPr>
          <w:rFonts w:cstheme="minorHAnsi"/>
          <w:color w:val="000000"/>
          <w:sz w:val="24"/>
          <w:szCs w:val="24"/>
        </w:rPr>
      </w:pPr>
    </w:p>
    <w:p w14:paraId="762E6F7A" w14:textId="5E3F4BE9" w:rsidR="00AE3B63" w:rsidRDefault="00AE3B63" w:rsidP="00AE3B63">
      <w:pPr>
        <w:autoSpaceDE w:val="0"/>
        <w:autoSpaceDN w:val="0"/>
        <w:adjustRightInd w:val="0"/>
        <w:rPr>
          <w:rFonts w:cstheme="minorHAnsi"/>
          <w:color w:val="000000"/>
          <w:sz w:val="24"/>
          <w:szCs w:val="24"/>
        </w:rPr>
      </w:pPr>
      <w:r w:rsidRPr="001943BA">
        <w:rPr>
          <w:rFonts w:cstheme="minorHAnsi"/>
          <w:color w:val="000000"/>
          <w:sz w:val="24"/>
          <w:szCs w:val="24"/>
        </w:rPr>
        <w:t xml:space="preserve">Fiscal year 2022 has seen a return to more in-person activities and the sights and sounds of a bustling campus. Faculty, staff, and students have been resilient and found creative ways to come together to work, learn, and advance research to support the needs of the state of Maine. Over 5,000 students graduated from our universities and the Maine School of Law in May, with the opportunity to experience in-person commencement ceremonies for the first time in three years. </w:t>
      </w:r>
    </w:p>
    <w:p w14:paraId="518748B9" w14:textId="77777777" w:rsidR="00AE3B63" w:rsidRDefault="00AE3B63" w:rsidP="00AE3B63">
      <w:pPr>
        <w:autoSpaceDE w:val="0"/>
        <w:autoSpaceDN w:val="0"/>
        <w:adjustRightInd w:val="0"/>
        <w:rPr>
          <w:rFonts w:cstheme="minorHAnsi"/>
          <w:color w:val="000000"/>
          <w:sz w:val="24"/>
          <w:szCs w:val="24"/>
        </w:rPr>
      </w:pPr>
    </w:p>
    <w:p w14:paraId="4BC4F100" w14:textId="7D44C004" w:rsidR="00AE3B63" w:rsidRDefault="00AE3B63" w:rsidP="00AE3B63">
      <w:pPr>
        <w:autoSpaceDE w:val="0"/>
        <w:autoSpaceDN w:val="0"/>
        <w:adjustRightInd w:val="0"/>
        <w:rPr>
          <w:rFonts w:cstheme="minorHAnsi"/>
          <w:color w:val="000000"/>
          <w:sz w:val="24"/>
          <w:szCs w:val="24"/>
        </w:rPr>
      </w:pPr>
      <w:r w:rsidRPr="001943BA">
        <w:rPr>
          <w:rFonts w:cstheme="minorHAnsi"/>
          <w:color w:val="000000"/>
          <w:sz w:val="24"/>
          <w:szCs w:val="24"/>
        </w:rPr>
        <w:t xml:space="preserve">Although we have seen a slight decline in enrollments consistent with other institutions of higher education, we are ahead of the fold with enrollment dips that are less than the national average. We have also seen growth in areas such as graduate studies, online education, accelerated adult-focused programming, and we continue to add programming designed with changing demographics and the agile learner in mind. Further, our unified accreditation allows us to collaborate and share resources in new and innovative ways to meet the demands of our learners. At the heart of each decision is the student experience and providing access to quality education, research and innovation, and workforce development to the residents of Maine and beyond. </w:t>
      </w:r>
    </w:p>
    <w:p w14:paraId="6B822BCE" w14:textId="77777777" w:rsidR="00AE3B63" w:rsidRDefault="00AE3B63" w:rsidP="00AE3B63">
      <w:pPr>
        <w:autoSpaceDE w:val="0"/>
        <w:autoSpaceDN w:val="0"/>
        <w:adjustRightInd w:val="0"/>
        <w:rPr>
          <w:rFonts w:cstheme="minorHAnsi"/>
          <w:color w:val="000000"/>
          <w:sz w:val="24"/>
          <w:szCs w:val="24"/>
        </w:rPr>
      </w:pPr>
    </w:p>
    <w:p w14:paraId="40CD7BC7" w14:textId="313F7BEE" w:rsidR="00AE3B63" w:rsidRDefault="00AE3B63" w:rsidP="00AE3B63">
      <w:pPr>
        <w:autoSpaceDE w:val="0"/>
        <w:autoSpaceDN w:val="0"/>
        <w:adjustRightInd w:val="0"/>
        <w:rPr>
          <w:rFonts w:cstheme="minorHAnsi"/>
          <w:color w:val="000000"/>
          <w:sz w:val="24"/>
          <w:szCs w:val="24"/>
        </w:rPr>
      </w:pPr>
      <w:r w:rsidRPr="001943BA">
        <w:rPr>
          <w:rFonts w:cstheme="minorHAnsi"/>
          <w:color w:val="000000"/>
          <w:sz w:val="24"/>
          <w:szCs w:val="24"/>
        </w:rPr>
        <w:t xml:space="preserve">During 2022, the prestigious Carnegie Classification of Institutions of Higher Education designated the University of Maine (UM) as an R1 university, the highest possible tier a doctoral research university can achieve in the Carnegie Classification. This designation acknowledges the very high research activity that UM has achieved with its research and development expenditures and external funding reaching all time highs. </w:t>
      </w:r>
    </w:p>
    <w:p w14:paraId="1D8D11D3" w14:textId="77777777" w:rsidR="00AE3B63" w:rsidRDefault="00AE3B63" w:rsidP="00AE3B63">
      <w:pPr>
        <w:autoSpaceDE w:val="0"/>
        <w:autoSpaceDN w:val="0"/>
        <w:adjustRightInd w:val="0"/>
        <w:rPr>
          <w:rFonts w:cstheme="minorHAnsi"/>
          <w:color w:val="000000"/>
          <w:sz w:val="24"/>
          <w:szCs w:val="24"/>
        </w:rPr>
      </w:pPr>
    </w:p>
    <w:p w14:paraId="560ADE9A" w14:textId="1E40230B" w:rsidR="00AE3B63" w:rsidRDefault="00AE3B63" w:rsidP="00AE3B63">
      <w:pPr>
        <w:autoSpaceDE w:val="0"/>
        <w:autoSpaceDN w:val="0"/>
        <w:adjustRightInd w:val="0"/>
        <w:rPr>
          <w:rFonts w:cstheme="minorHAnsi"/>
          <w:color w:val="000000"/>
          <w:sz w:val="24"/>
          <w:szCs w:val="24"/>
        </w:rPr>
      </w:pPr>
      <w:r w:rsidRPr="001943BA">
        <w:rPr>
          <w:rFonts w:cstheme="minorHAnsi"/>
          <w:color w:val="000000"/>
          <w:sz w:val="24"/>
          <w:szCs w:val="24"/>
        </w:rPr>
        <w:t xml:space="preserve">Significant progress has already been made in the initial stages of UMS TRANSFORMS, the initiative made possible by the historic $240 million investment from the Harold Alfond Foundation that focuses on the transformational change of student success and retention, athletics programs and facilities, the creation of a multi-university College of Engineering, Computing and Information Science, and expansion of the Maine Graduate and Professional Center. By leveraging Alfond funds to secure an additional $170 million in matching funds over </w:t>
      </w:r>
      <w:r w:rsidRPr="001943BA">
        <w:rPr>
          <w:rFonts w:cstheme="minorHAnsi"/>
          <w:color w:val="000000"/>
          <w:sz w:val="24"/>
          <w:szCs w:val="24"/>
        </w:rPr>
        <w:lastRenderedPageBreak/>
        <w:t xml:space="preserve">the next ten years, the $410 million total investment in our public university system will offer unparalleled opportunities for all of our institutions including improving diversity, equity, and inclusion. </w:t>
      </w:r>
    </w:p>
    <w:p w14:paraId="73C3119F" w14:textId="77777777" w:rsidR="00AE3B63" w:rsidRDefault="00AE3B63" w:rsidP="00AE3B63">
      <w:pPr>
        <w:autoSpaceDE w:val="0"/>
        <w:autoSpaceDN w:val="0"/>
        <w:adjustRightInd w:val="0"/>
        <w:rPr>
          <w:rFonts w:cstheme="minorHAnsi"/>
          <w:color w:val="000000"/>
          <w:sz w:val="24"/>
          <w:szCs w:val="24"/>
        </w:rPr>
      </w:pPr>
    </w:p>
    <w:p w14:paraId="76A1511C" w14:textId="0FF98DD6" w:rsidR="00AE3B63" w:rsidRDefault="00AE3B63" w:rsidP="00AE3B63">
      <w:pPr>
        <w:autoSpaceDE w:val="0"/>
        <w:autoSpaceDN w:val="0"/>
        <w:adjustRightInd w:val="0"/>
        <w:rPr>
          <w:rFonts w:cstheme="minorHAnsi"/>
          <w:color w:val="000000"/>
          <w:sz w:val="24"/>
          <w:szCs w:val="24"/>
        </w:rPr>
      </w:pPr>
      <w:r w:rsidRPr="001943BA">
        <w:rPr>
          <w:rFonts w:cstheme="minorHAnsi"/>
          <w:color w:val="000000"/>
          <w:sz w:val="24"/>
          <w:szCs w:val="24"/>
        </w:rPr>
        <w:t xml:space="preserve">We have also been fortunate to receive funds from Governor Mills’ Maine Jobs and Recovery Plan and the State of Maine allocation from the federal American Rescue Plan for critical investments in workforce infrastructure and economic recovery— by expanding, among other things, student opportunities for exploratory learning and paid internships connecting graduates to the Maine workforce. Further, UMS has been the recipient of $19.5 million in Congressionally Directed Spending for various workforce initiatives with a substantial $10 million for UM’s Factory of the Future. Additionally, $25 million was appropriated for this project through the FY22 Defense Appropriations bill, bringing the total current federal investment toward the construction of that new facility to $35 million. </w:t>
      </w:r>
    </w:p>
    <w:p w14:paraId="3DCE3FA1" w14:textId="77777777" w:rsidR="00AE3B63" w:rsidRDefault="00AE3B63" w:rsidP="00AE3B63">
      <w:pPr>
        <w:autoSpaceDE w:val="0"/>
        <w:autoSpaceDN w:val="0"/>
        <w:adjustRightInd w:val="0"/>
        <w:rPr>
          <w:rFonts w:cstheme="minorHAnsi"/>
          <w:color w:val="000000"/>
          <w:sz w:val="24"/>
          <w:szCs w:val="24"/>
        </w:rPr>
      </w:pPr>
    </w:p>
    <w:p w14:paraId="4F678C98" w14:textId="3F36C36D" w:rsidR="00AE3B63" w:rsidRDefault="00AE3B63" w:rsidP="00AE3B63">
      <w:pPr>
        <w:autoSpaceDE w:val="0"/>
        <w:autoSpaceDN w:val="0"/>
        <w:adjustRightInd w:val="0"/>
        <w:rPr>
          <w:rFonts w:cstheme="minorHAnsi"/>
          <w:color w:val="000000"/>
          <w:sz w:val="24"/>
          <w:szCs w:val="24"/>
        </w:rPr>
      </w:pPr>
      <w:r w:rsidRPr="001943BA">
        <w:rPr>
          <w:rFonts w:cstheme="minorHAnsi"/>
          <w:color w:val="000000"/>
          <w:sz w:val="24"/>
          <w:szCs w:val="24"/>
        </w:rPr>
        <w:t>Federal earmarks such as these, State funding from Governor Mill’s administration, the generous Alfond gift, numerous other philanthropic gifts, and public-private partnerships are enabling the critical investments needed in our capital infrastructure. Academic, athletic, and residential building projects are in various stages from planning to nearing completion. We are also considering necessary building removal projects that will allow campuses to reduce their footprint and mitigate deferred maintenance issues. Such progress has been made while holding in-state tuition rates flat for Maine students for the eighth time in 10 years. Our stewardship of university resources paired with these munificent external funding sources makes it possible to keep public higher education affordable and accessible to Maine families.</w:t>
      </w:r>
    </w:p>
    <w:p w14:paraId="1C6D205A" w14:textId="77777777" w:rsidR="00AE3B63" w:rsidRDefault="00AE3B63" w:rsidP="00AE3B63">
      <w:pPr>
        <w:autoSpaceDE w:val="0"/>
        <w:autoSpaceDN w:val="0"/>
        <w:adjustRightInd w:val="0"/>
        <w:rPr>
          <w:rFonts w:cstheme="minorHAnsi"/>
          <w:color w:val="000000"/>
          <w:sz w:val="24"/>
          <w:szCs w:val="24"/>
        </w:rPr>
      </w:pPr>
    </w:p>
    <w:p w14:paraId="4863138D" w14:textId="250C8EAF" w:rsidR="00AE3B63" w:rsidRPr="001943BA" w:rsidRDefault="00AE3B63" w:rsidP="001943BA">
      <w:pPr>
        <w:autoSpaceDE w:val="0"/>
        <w:autoSpaceDN w:val="0"/>
        <w:adjustRightInd w:val="0"/>
        <w:rPr>
          <w:rFonts w:cstheme="minorHAnsi"/>
          <w:color w:val="000000"/>
          <w:sz w:val="24"/>
          <w:szCs w:val="24"/>
        </w:rPr>
      </w:pPr>
      <w:r w:rsidRPr="001943BA">
        <w:rPr>
          <w:rFonts w:cstheme="minorHAnsi"/>
          <w:color w:val="000000"/>
          <w:sz w:val="24"/>
          <w:szCs w:val="24"/>
        </w:rPr>
        <w:t>Thank you.</w:t>
      </w:r>
    </w:p>
    <w:p w14:paraId="1CAF2150" w14:textId="77777777" w:rsidR="00AE3B63" w:rsidRPr="001943BA" w:rsidRDefault="00AE3B63" w:rsidP="00AE3B63">
      <w:pPr>
        <w:autoSpaceDE w:val="0"/>
        <w:autoSpaceDN w:val="0"/>
        <w:adjustRightInd w:val="0"/>
        <w:rPr>
          <w:rFonts w:cstheme="minorHAnsi"/>
          <w:color w:val="000000"/>
          <w:sz w:val="24"/>
          <w:szCs w:val="24"/>
        </w:rPr>
      </w:pPr>
    </w:p>
    <w:p w14:paraId="4184444F" w14:textId="77777777" w:rsidR="00AE3B63" w:rsidRPr="001943BA" w:rsidRDefault="00AE3B63" w:rsidP="00AE3B63">
      <w:pPr>
        <w:autoSpaceDE w:val="0"/>
        <w:autoSpaceDN w:val="0"/>
        <w:adjustRightInd w:val="0"/>
        <w:rPr>
          <w:rFonts w:cstheme="minorHAnsi"/>
          <w:color w:val="000000"/>
          <w:sz w:val="24"/>
          <w:szCs w:val="24"/>
        </w:rPr>
      </w:pPr>
      <w:r w:rsidRPr="001943BA">
        <w:rPr>
          <w:rFonts w:cstheme="minorHAnsi"/>
          <w:noProof/>
          <w:color w:val="000000"/>
          <w:sz w:val="24"/>
          <w:szCs w:val="24"/>
        </w:rPr>
        <w:drawing>
          <wp:inline distT="0" distB="0" distL="0" distR="0" wp14:anchorId="1421490A" wp14:editId="7BC674DE">
            <wp:extent cx="2194560" cy="998803"/>
            <wp:effectExtent l="0" t="0" r="0" b="0"/>
            <wp:docPr id="10" name="Picture 10" descr="Chancellor Dannel P. Malloy'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ncellor Dannel P. Malloy's signa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4560" cy="998803"/>
                    </a:xfrm>
                    <a:prstGeom prst="rect">
                      <a:avLst/>
                    </a:prstGeom>
                    <a:noFill/>
                    <a:ln>
                      <a:noFill/>
                    </a:ln>
                  </pic:spPr>
                </pic:pic>
              </a:graphicData>
            </a:graphic>
          </wp:inline>
        </w:drawing>
      </w:r>
    </w:p>
    <w:p w14:paraId="1BF1EBA8" w14:textId="768E05DF" w:rsidR="00AE3B63" w:rsidRPr="001943BA" w:rsidRDefault="00AE3B63" w:rsidP="00AE3B63">
      <w:pPr>
        <w:autoSpaceDE w:val="0"/>
        <w:autoSpaceDN w:val="0"/>
        <w:adjustRightInd w:val="0"/>
        <w:rPr>
          <w:rFonts w:cstheme="minorHAnsi"/>
          <w:color w:val="000000"/>
          <w:sz w:val="24"/>
          <w:szCs w:val="24"/>
        </w:rPr>
      </w:pPr>
      <w:r w:rsidRPr="001943BA">
        <w:rPr>
          <w:rFonts w:cstheme="minorHAnsi"/>
          <w:color w:val="000000"/>
          <w:sz w:val="24"/>
          <w:szCs w:val="24"/>
        </w:rPr>
        <w:t xml:space="preserve">Dannel P. Malloy </w:t>
      </w:r>
    </w:p>
    <w:p w14:paraId="13DA25DF" w14:textId="2AEA40EF" w:rsidR="00987D33" w:rsidRPr="00306DAA" w:rsidRDefault="00AE3B63" w:rsidP="00AE3B63">
      <w:pPr>
        <w:ind w:right="1900"/>
        <w:rPr>
          <w:sz w:val="20"/>
          <w:szCs w:val="20"/>
        </w:rPr>
      </w:pPr>
      <w:r w:rsidRPr="001943BA">
        <w:rPr>
          <w:rFonts w:cstheme="minorHAnsi"/>
          <w:color w:val="000000"/>
          <w:sz w:val="24"/>
          <w:szCs w:val="24"/>
        </w:rPr>
        <w:t xml:space="preserve">Chancellor </w:t>
      </w:r>
      <w:r w:rsidR="00987D33">
        <w:br w:type="page"/>
      </w:r>
    </w:p>
    <w:p w14:paraId="32EBA0DF" w14:textId="77777777" w:rsidR="00987D33" w:rsidRPr="00865AC2" w:rsidRDefault="00987D33" w:rsidP="00987D33">
      <w:pPr>
        <w:keepNext/>
        <w:suppressAutoHyphens/>
        <w:outlineLvl w:val="0"/>
        <w:rPr>
          <w:rFonts w:ascii="Calibri" w:eastAsia="Times New Roman" w:hAnsi="Calibri" w:cs="Times New Roman"/>
          <w:b/>
          <w:i/>
          <w:caps/>
          <w:color w:val="000000"/>
          <w:spacing w:val="-3"/>
          <w:sz w:val="28"/>
          <w:szCs w:val="28"/>
        </w:rPr>
      </w:pPr>
      <w:bookmarkStart w:id="1" w:name="_Toc19608370"/>
      <w:r w:rsidRPr="00865AC2">
        <w:rPr>
          <w:rFonts w:ascii="Calibri" w:eastAsia="Times New Roman" w:hAnsi="Calibri" w:cs="Times New Roman"/>
          <w:b/>
          <w:i/>
          <w:caps/>
          <w:color w:val="000000"/>
          <w:spacing w:val="-3"/>
          <w:sz w:val="28"/>
          <w:szCs w:val="28"/>
        </w:rPr>
        <w:lastRenderedPageBreak/>
        <w:t>UNIVERSITY OF MAINE SYSTEM</w:t>
      </w:r>
      <w:bookmarkEnd w:id="1"/>
    </w:p>
    <w:p w14:paraId="14876215" w14:textId="77777777" w:rsidR="00987D33" w:rsidRPr="007E3550" w:rsidRDefault="00987D33" w:rsidP="00987D33">
      <w:pPr>
        <w:pStyle w:val="AFR2"/>
        <w:pBdr>
          <w:bottom w:val="none" w:sz="0" w:space="0" w:color="auto"/>
        </w:pBdr>
        <w:spacing w:before="0" w:after="0"/>
        <w:rPr>
          <w:rFonts w:eastAsia="Times New Roman"/>
          <w:b w:val="0"/>
          <w:i w:val="0"/>
          <w:sz w:val="28"/>
        </w:rPr>
      </w:pPr>
      <w:bookmarkStart w:id="2" w:name="_Toc19608371"/>
      <w:r w:rsidRPr="007E3550">
        <w:rPr>
          <w:rFonts w:eastAsia="Times New Roman"/>
          <w:sz w:val="28"/>
        </w:rPr>
        <w:t>BOARD OF TRUSTEES AND MANAGEMENT</w:t>
      </w:r>
      <w:bookmarkEnd w:id="2"/>
    </w:p>
    <w:p w14:paraId="28CA75A7" w14:textId="5C64100D" w:rsidR="00987D33" w:rsidRPr="007E3550" w:rsidRDefault="00987D33" w:rsidP="00987D33">
      <w:pPr>
        <w:pStyle w:val="AFR1"/>
        <w:rPr>
          <w:sz w:val="28"/>
        </w:rPr>
      </w:pPr>
      <w:bookmarkStart w:id="3" w:name="_Toc19608372"/>
      <w:r w:rsidRPr="007E3550">
        <w:rPr>
          <w:sz w:val="28"/>
          <w:szCs w:val="28"/>
        </w:rPr>
        <w:t>AS OF JUNE 30, 20</w:t>
      </w:r>
      <w:bookmarkEnd w:id="3"/>
      <w:r w:rsidRPr="007E3550">
        <w:rPr>
          <w:sz w:val="28"/>
          <w:szCs w:val="28"/>
        </w:rPr>
        <w:t>2</w:t>
      </w:r>
      <w:r w:rsidR="003166EF">
        <w:rPr>
          <w:sz w:val="28"/>
          <w:szCs w:val="28"/>
        </w:rPr>
        <w:t>2</w:t>
      </w:r>
    </w:p>
    <w:p w14:paraId="7A106015" w14:textId="77777777" w:rsidR="00987D33" w:rsidRPr="00AB71D9" w:rsidRDefault="00987D33" w:rsidP="00987D33">
      <w:pPr>
        <w:pBdr>
          <w:bottom w:val="single" w:sz="8" w:space="1" w:color="5B9BD5"/>
        </w:pBdr>
        <w:rPr>
          <w:rFonts w:ascii="Calibri" w:eastAsia="Times New Roman" w:hAnsi="Calibri" w:cs="Calibri"/>
          <w:b/>
          <w:i/>
          <w:sz w:val="2"/>
          <w:szCs w:val="30"/>
        </w:rPr>
        <w:sectPr w:rsidR="00987D33" w:rsidRPr="00AB71D9" w:rsidSect="007B5BB3">
          <w:headerReference w:type="default" r:id="rId15"/>
          <w:footerReference w:type="default" r:id="rId16"/>
          <w:headerReference w:type="first" r:id="rId17"/>
          <w:footerReference w:type="first" r:id="rId18"/>
          <w:type w:val="continuous"/>
          <w:pgSz w:w="12240" w:h="15840" w:code="1"/>
          <w:pgMar w:top="1440" w:right="1440" w:bottom="1440" w:left="1440" w:header="720" w:footer="720" w:gutter="0"/>
          <w:cols w:space="0"/>
          <w:titlePg/>
          <w:docGrid w:linePitch="360"/>
        </w:sectPr>
      </w:pPr>
    </w:p>
    <w:p w14:paraId="6142EC5B" w14:textId="77777777" w:rsidR="00987D33" w:rsidRPr="00D97C5A" w:rsidRDefault="00987D33" w:rsidP="00987D33">
      <w:pPr>
        <w:pStyle w:val="Heading1"/>
      </w:pPr>
      <w:r w:rsidRPr="00D97C5A">
        <w:t>BOARD OF TRUSTEES:</w:t>
      </w:r>
    </w:p>
    <w:p w14:paraId="2A2DF35B" w14:textId="742389A4" w:rsidR="00643AEE" w:rsidRDefault="00643AEE" w:rsidP="00987D33">
      <w:pPr>
        <w:spacing w:line="259" w:lineRule="auto"/>
        <w:rPr>
          <w:rFonts w:ascii="Calibri" w:eastAsia="Calibri" w:hAnsi="Calibri" w:cs="Times New Roman"/>
        </w:rPr>
      </w:pPr>
      <w:r>
        <w:rPr>
          <w:rFonts w:ascii="Calibri" w:eastAsia="Calibri" w:hAnsi="Calibri" w:cs="Times New Roman"/>
        </w:rPr>
        <w:t>Barbara R. Alexander</w:t>
      </w:r>
    </w:p>
    <w:p w14:paraId="5F723A18" w14:textId="30939E55" w:rsidR="00987D33" w:rsidRPr="00376D9E" w:rsidRDefault="00987D33" w:rsidP="00987D33">
      <w:pPr>
        <w:spacing w:line="259" w:lineRule="auto"/>
        <w:rPr>
          <w:rFonts w:ascii="Calibri" w:eastAsia="Calibri" w:hAnsi="Calibri" w:cs="Times New Roman"/>
        </w:rPr>
      </w:pPr>
      <w:r w:rsidRPr="00376D9E">
        <w:rPr>
          <w:rFonts w:ascii="Calibri" w:eastAsia="Calibri" w:hAnsi="Calibri" w:cs="Times New Roman"/>
        </w:rPr>
        <w:t xml:space="preserve">Sven P. Bartholomew </w:t>
      </w:r>
    </w:p>
    <w:p w14:paraId="3C2B9F28" w14:textId="77777777" w:rsidR="00987D33" w:rsidRPr="00376D9E" w:rsidRDefault="00987D33" w:rsidP="00987D33">
      <w:pPr>
        <w:spacing w:line="259" w:lineRule="auto"/>
        <w:rPr>
          <w:rFonts w:ascii="Calibri" w:eastAsia="Calibri" w:hAnsi="Calibri" w:cs="Times New Roman"/>
        </w:rPr>
      </w:pPr>
      <w:r w:rsidRPr="00376D9E">
        <w:rPr>
          <w:rFonts w:ascii="Calibri" w:eastAsia="Calibri" w:hAnsi="Calibri" w:cs="Times New Roman"/>
        </w:rPr>
        <w:t>Emily A. Cain</w:t>
      </w:r>
    </w:p>
    <w:p w14:paraId="52330B56" w14:textId="77777777" w:rsidR="00987D33" w:rsidRPr="00376D9E" w:rsidRDefault="00987D33" w:rsidP="00987D33">
      <w:pPr>
        <w:spacing w:line="259" w:lineRule="auto"/>
        <w:rPr>
          <w:rFonts w:ascii="Calibri" w:eastAsia="Calibri" w:hAnsi="Calibri" w:cs="Times New Roman"/>
        </w:rPr>
      </w:pPr>
      <w:r w:rsidRPr="00376D9E">
        <w:rPr>
          <w:rFonts w:ascii="Calibri" w:eastAsia="Calibri" w:hAnsi="Calibri" w:cs="Times New Roman"/>
        </w:rPr>
        <w:t xml:space="preserve">Beth Dobson </w:t>
      </w:r>
    </w:p>
    <w:p w14:paraId="0B46C261" w14:textId="396F7788" w:rsidR="00987D33" w:rsidRPr="00376D9E" w:rsidRDefault="00987D33" w:rsidP="00987D33">
      <w:pPr>
        <w:spacing w:line="259" w:lineRule="auto"/>
        <w:rPr>
          <w:rFonts w:ascii="Calibri" w:eastAsia="Calibri" w:hAnsi="Calibri" w:cs="Times New Roman"/>
        </w:rPr>
      </w:pPr>
      <w:r w:rsidRPr="00376D9E">
        <w:rPr>
          <w:rFonts w:ascii="Calibri" w:eastAsia="Calibri" w:hAnsi="Calibri" w:cs="Times New Roman"/>
        </w:rPr>
        <w:t>James O. Donnelly</w:t>
      </w:r>
    </w:p>
    <w:p w14:paraId="349BB870" w14:textId="17B4ADE6" w:rsidR="00987D33" w:rsidRPr="00376D9E" w:rsidRDefault="00987D33" w:rsidP="00987D33">
      <w:pPr>
        <w:spacing w:line="259" w:lineRule="auto"/>
        <w:rPr>
          <w:rFonts w:ascii="Calibri" w:eastAsia="Calibri" w:hAnsi="Calibri" w:cs="Times New Roman"/>
        </w:rPr>
      </w:pPr>
      <w:r w:rsidRPr="00376D9E">
        <w:rPr>
          <w:rFonts w:ascii="Calibri" w:eastAsia="Calibri" w:hAnsi="Calibri" w:cs="Times New Roman"/>
        </w:rPr>
        <w:t>Lisa Marchese Eames</w:t>
      </w:r>
      <w:r w:rsidR="00643AEE" w:rsidRPr="00376D9E">
        <w:rPr>
          <w:rFonts w:ascii="Calibri" w:eastAsia="Calibri" w:hAnsi="Calibri" w:cs="Times New Roman"/>
        </w:rPr>
        <w:t xml:space="preserve">, </w:t>
      </w:r>
      <w:r w:rsidR="00643AEE" w:rsidRPr="00AB71D9">
        <w:rPr>
          <w:rFonts w:ascii="Calibri" w:eastAsia="Calibri" w:hAnsi="Calibri" w:cs="Times New Roman"/>
          <w:i/>
        </w:rPr>
        <w:t>Vice Chair</w:t>
      </w:r>
    </w:p>
    <w:p w14:paraId="54FF792D" w14:textId="0449610B" w:rsidR="00987D33" w:rsidRPr="00376D9E" w:rsidRDefault="00643AEE" w:rsidP="00987D33">
      <w:pPr>
        <w:spacing w:line="259" w:lineRule="auto"/>
        <w:rPr>
          <w:rFonts w:ascii="Calibri" w:eastAsia="Calibri" w:hAnsi="Calibri" w:cs="Times New Roman"/>
        </w:rPr>
      </w:pPr>
      <w:r>
        <w:rPr>
          <w:rFonts w:ascii="Calibri" w:eastAsia="Calibri" w:hAnsi="Calibri" w:cs="Times New Roman"/>
        </w:rPr>
        <w:t>Patrick S.A. Flood</w:t>
      </w:r>
    </w:p>
    <w:p w14:paraId="7CA6F9D6" w14:textId="3701EDFD" w:rsidR="00987D33" w:rsidRDefault="00987D33" w:rsidP="00987D33">
      <w:pPr>
        <w:spacing w:line="259" w:lineRule="auto"/>
        <w:rPr>
          <w:rFonts w:ascii="Calibri" w:eastAsia="Calibri" w:hAnsi="Calibri" w:cs="Times New Roman"/>
        </w:rPr>
      </w:pPr>
      <w:r w:rsidRPr="00376D9E">
        <w:rPr>
          <w:rFonts w:ascii="Calibri" w:eastAsia="Calibri" w:hAnsi="Calibri" w:cs="Times New Roman"/>
        </w:rPr>
        <w:t>Roger J. Katz</w:t>
      </w:r>
    </w:p>
    <w:p w14:paraId="6013D09C" w14:textId="049DA678" w:rsidR="00643AEE" w:rsidRPr="00376D9E" w:rsidRDefault="00643AEE" w:rsidP="00987D33">
      <w:pPr>
        <w:spacing w:line="259" w:lineRule="auto"/>
        <w:rPr>
          <w:rFonts w:ascii="Calibri" w:eastAsia="Calibri" w:hAnsi="Calibri" w:cs="Times New Roman"/>
        </w:rPr>
      </w:pPr>
      <w:r>
        <w:rPr>
          <w:rFonts w:ascii="Calibri" w:eastAsia="Calibri" w:hAnsi="Calibri" w:cs="Times New Roman"/>
        </w:rPr>
        <w:t>Donna M. Loring</w:t>
      </w:r>
    </w:p>
    <w:p w14:paraId="2CCB7497" w14:textId="77777777" w:rsidR="00987D33" w:rsidRPr="00376D9E" w:rsidRDefault="00987D33" w:rsidP="00987D33">
      <w:pPr>
        <w:spacing w:line="259" w:lineRule="auto"/>
        <w:rPr>
          <w:rFonts w:ascii="Calibri" w:eastAsia="Calibri" w:hAnsi="Calibri" w:cs="Times New Roman"/>
        </w:rPr>
      </w:pPr>
      <w:r w:rsidRPr="00376D9E">
        <w:rPr>
          <w:rFonts w:ascii="Calibri" w:eastAsia="Calibri" w:hAnsi="Calibri" w:cs="Times New Roman"/>
        </w:rPr>
        <w:t xml:space="preserve">David M. MacMahon </w:t>
      </w:r>
    </w:p>
    <w:p w14:paraId="1444836C" w14:textId="77777777" w:rsidR="00987D33" w:rsidRPr="00376D9E" w:rsidRDefault="00987D33" w:rsidP="00987D33">
      <w:pPr>
        <w:spacing w:line="259" w:lineRule="auto"/>
        <w:rPr>
          <w:rFonts w:ascii="Calibri" w:eastAsia="Calibri" w:hAnsi="Calibri" w:cs="Times New Roman"/>
        </w:rPr>
      </w:pPr>
      <w:r w:rsidRPr="00376D9E">
        <w:rPr>
          <w:rFonts w:ascii="Calibri" w:eastAsia="Calibri" w:hAnsi="Calibri" w:cs="Times New Roman"/>
        </w:rPr>
        <w:t>Kelly A. Martin</w:t>
      </w:r>
    </w:p>
    <w:p w14:paraId="2372936A" w14:textId="77777777" w:rsidR="00987D33" w:rsidRPr="00376D9E" w:rsidRDefault="00987D33" w:rsidP="00987D33">
      <w:pPr>
        <w:spacing w:line="259" w:lineRule="auto"/>
        <w:rPr>
          <w:rFonts w:ascii="Calibri" w:eastAsia="Calibri" w:hAnsi="Calibri" w:cs="Times New Roman"/>
        </w:rPr>
      </w:pPr>
      <w:r w:rsidRPr="00376D9E">
        <w:rPr>
          <w:rFonts w:ascii="Calibri" w:eastAsia="Calibri" w:hAnsi="Calibri" w:cs="Times New Roman"/>
        </w:rPr>
        <w:t xml:space="preserve">Michael H. Michaud </w:t>
      </w:r>
    </w:p>
    <w:p w14:paraId="7D8E006D" w14:textId="377B52CA" w:rsidR="00987D33" w:rsidRPr="00376D9E" w:rsidRDefault="00987D33" w:rsidP="00987D33">
      <w:pPr>
        <w:spacing w:line="259" w:lineRule="auto"/>
        <w:rPr>
          <w:rFonts w:ascii="Calibri" w:eastAsia="Calibri" w:hAnsi="Calibri" w:cs="Times New Roman"/>
        </w:rPr>
      </w:pPr>
      <w:r w:rsidRPr="00376D9E">
        <w:rPr>
          <w:rFonts w:ascii="Calibri" w:eastAsia="Calibri" w:hAnsi="Calibri" w:cs="Times New Roman"/>
        </w:rPr>
        <w:t>Patricia (Trish) A. Riley</w:t>
      </w:r>
      <w:r w:rsidR="00643AEE" w:rsidRPr="00376D9E">
        <w:rPr>
          <w:rFonts w:ascii="Calibri" w:eastAsia="Calibri" w:hAnsi="Calibri" w:cs="Times New Roman"/>
        </w:rPr>
        <w:t xml:space="preserve">, </w:t>
      </w:r>
      <w:r w:rsidR="00643AEE" w:rsidRPr="00AB71D9">
        <w:rPr>
          <w:rFonts w:ascii="Calibri" w:eastAsia="Calibri" w:hAnsi="Calibri" w:cs="Times New Roman"/>
          <w:i/>
        </w:rPr>
        <w:t>Chair</w:t>
      </w:r>
    </w:p>
    <w:p w14:paraId="3AC141B4" w14:textId="77777777" w:rsidR="00987D33" w:rsidRPr="003924D9" w:rsidRDefault="00987D33" w:rsidP="00987D33">
      <w:pPr>
        <w:spacing w:line="259" w:lineRule="auto"/>
        <w:rPr>
          <w:rFonts w:ascii="Calibri" w:eastAsia="Calibri" w:hAnsi="Calibri" w:cs="Times New Roman"/>
          <w:i/>
        </w:rPr>
      </w:pPr>
      <w:r w:rsidRPr="00376D9E">
        <w:rPr>
          <w:rFonts w:ascii="Calibri" w:eastAsia="Calibri" w:hAnsi="Calibri" w:cs="Times New Roman"/>
        </w:rPr>
        <w:t>A. Pender Makin</w:t>
      </w:r>
      <w:r w:rsidRPr="003924D9">
        <w:rPr>
          <w:rFonts w:ascii="Calibri" w:eastAsia="Calibri" w:hAnsi="Calibri" w:cs="Times New Roman"/>
        </w:rPr>
        <w:t xml:space="preserve">, </w:t>
      </w:r>
      <w:r w:rsidRPr="003924D9">
        <w:rPr>
          <w:rFonts w:ascii="Calibri" w:eastAsia="Calibri" w:hAnsi="Calibri" w:cs="Times New Roman"/>
          <w:i/>
        </w:rPr>
        <w:t>ex officio</w:t>
      </w:r>
    </w:p>
    <w:p w14:paraId="230275DA" w14:textId="77777777" w:rsidR="00987D33" w:rsidRPr="00AB71D9" w:rsidRDefault="00987D33" w:rsidP="00987D33">
      <w:pPr>
        <w:pStyle w:val="Heading1"/>
      </w:pPr>
      <w:r w:rsidRPr="00AB71D9">
        <w:t>CHANCELLOR:</w:t>
      </w:r>
    </w:p>
    <w:p w14:paraId="306FEF68" w14:textId="77777777" w:rsidR="00987D33" w:rsidRPr="003924D9" w:rsidRDefault="00987D33" w:rsidP="00987D33">
      <w:pPr>
        <w:spacing w:line="259" w:lineRule="auto"/>
        <w:rPr>
          <w:rFonts w:ascii="Calibri" w:eastAsia="Calibri" w:hAnsi="Calibri" w:cs="Times New Roman"/>
        </w:rPr>
      </w:pPr>
      <w:r w:rsidRPr="00AB71D9">
        <w:rPr>
          <w:rFonts w:ascii="Calibri" w:eastAsia="Calibri" w:hAnsi="Calibri" w:cs="Times New Roman"/>
          <w:sz w:val="24"/>
        </w:rPr>
        <w:t>Dannel P. Malloy</w:t>
      </w:r>
    </w:p>
    <w:p w14:paraId="51403FFF" w14:textId="77777777" w:rsidR="00987D33" w:rsidRPr="00AB71D9" w:rsidRDefault="00987D33" w:rsidP="00987D33">
      <w:pPr>
        <w:pStyle w:val="Heading1"/>
      </w:pPr>
      <w:r w:rsidRPr="00AB71D9">
        <w:t>UNIVERSITY PRESIDENTS</w:t>
      </w:r>
      <w:r>
        <w:t xml:space="preserve"> /             SCHOOL  of LAW DEAN:</w:t>
      </w:r>
    </w:p>
    <w:p w14:paraId="28E403F6" w14:textId="77777777" w:rsidR="00987D33" w:rsidRPr="00AB71D9" w:rsidRDefault="00987D33" w:rsidP="00987D33">
      <w:pPr>
        <w:spacing w:line="259" w:lineRule="auto"/>
        <w:rPr>
          <w:rFonts w:ascii="Calibri" w:eastAsia="Calibri" w:hAnsi="Calibri" w:cs="Times New Roman"/>
          <w:b/>
        </w:rPr>
      </w:pPr>
      <w:r w:rsidRPr="00AB71D9">
        <w:rPr>
          <w:rFonts w:ascii="Calibri" w:eastAsia="Calibri" w:hAnsi="Calibri" w:cs="Times New Roman"/>
          <w:b/>
        </w:rPr>
        <w:t>Joan Ferrini-Mundy</w:t>
      </w:r>
    </w:p>
    <w:p w14:paraId="4E78C48A" w14:textId="77777777" w:rsidR="00987D33" w:rsidRPr="003924D9" w:rsidRDefault="00987D33" w:rsidP="00987D33">
      <w:pPr>
        <w:spacing w:line="259" w:lineRule="auto"/>
        <w:rPr>
          <w:rFonts w:ascii="Calibri" w:eastAsia="Calibri" w:hAnsi="Calibri" w:cs="Times New Roman"/>
          <w:i/>
        </w:rPr>
      </w:pPr>
      <w:r w:rsidRPr="003924D9">
        <w:rPr>
          <w:rFonts w:ascii="Calibri" w:eastAsia="Calibri" w:hAnsi="Calibri" w:cs="Times New Roman"/>
          <w:i/>
        </w:rPr>
        <w:t xml:space="preserve">University of Maine and </w:t>
      </w:r>
    </w:p>
    <w:p w14:paraId="0A18C99D" w14:textId="77777777" w:rsidR="00987D33" w:rsidRPr="003924D9" w:rsidRDefault="00987D33" w:rsidP="00987D33">
      <w:pPr>
        <w:spacing w:line="259" w:lineRule="auto"/>
        <w:rPr>
          <w:rFonts w:ascii="Calibri" w:eastAsia="Calibri" w:hAnsi="Calibri" w:cs="Times New Roman"/>
          <w:i/>
        </w:rPr>
      </w:pPr>
      <w:r w:rsidRPr="003924D9">
        <w:rPr>
          <w:rFonts w:ascii="Calibri" w:eastAsia="Calibri" w:hAnsi="Calibri" w:cs="Times New Roman"/>
          <w:i/>
        </w:rPr>
        <w:t>University of Maine at Machias</w:t>
      </w:r>
    </w:p>
    <w:p w14:paraId="73FB3997" w14:textId="7CEDA34C" w:rsidR="00987D33" w:rsidRPr="00AB71D9" w:rsidRDefault="003166EF" w:rsidP="00987D33">
      <w:pPr>
        <w:spacing w:before="20" w:line="259" w:lineRule="auto"/>
        <w:rPr>
          <w:rFonts w:ascii="Calibri" w:eastAsia="Calibri" w:hAnsi="Calibri" w:cs="Times New Roman"/>
          <w:b/>
        </w:rPr>
      </w:pPr>
      <w:r>
        <w:rPr>
          <w:rFonts w:ascii="Calibri" w:eastAsia="Calibri" w:hAnsi="Calibri" w:cs="Times New Roman"/>
          <w:b/>
        </w:rPr>
        <w:t>Joseph Szakas</w:t>
      </w:r>
    </w:p>
    <w:p w14:paraId="07DD407B" w14:textId="77777777" w:rsidR="00987D33" w:rsidRPr="003924D9" w:rsidRDefault="00987D33" w:rsidP="00987D33">
      <w:pPr>
        <w:spacing w:line="259" w:lineRule="auto"/>
        <w:rPr>
          <w:rFonts w:ascii="Calibri" w:eastAsia="Calibri" w:hAnsi="Calibri" w:cs="Times New Roman"/>
        </w:rPr>
      </w:pPr>
      <w:r w:rsidRPr="00796CA3">
        <w:rPr>
          <w:rFonts w:ascii="Calibri" w:eastAsia="Calibri" w:hAnsi="Calibri" w:cs="Times New Roman"/>
          <w:i/>
        </w:rPr>
        <w:t>University of Maine at Augu</w:t>
      </w:r>
      <w:r w:rsidRPr="003924D9">
        <w:rPr>
          <w:rFonts w:ascii="Calibri" w:eastAsia="Calibri" w:hAnsi="Calibri" w:cs="Times New Roman"/>
        </w:rPr>
        <w:t>s</w:t>
      </w:r>
      <w:r w:rsidRPr="00796CA3">
        <w:rPr>
          <w:rFonts w:ascii="Calibri" w:eastAsia="Calibri" w:hAnsi="Calibri" w:cs="Times New Roman"/>
          <w:i/>
        </w:rPr>
        <w:t>ta</w:t>
      </w:r>
    </w:p>
    <w:p w14:paraId="4DFF7471" w14:textId="77777777" w:rsidR="00987D33" w:rsidRPr="00AB71D9" w:rsidRDefault="00987D33" w:rsidP="00987D33">
      <w:pPr>
        <w:spacing w:before="20" w:line="259" w:lineRule="auto"/>
        <w:rPr>
          <w:rFonts w:ascii="Calibri" w:eastAsia="Calibri" w:hAnsi="Calibri" w:cs="Times New Roman"/>
          <w:b/>
        </w:rPr>
      </w:pPr>
      <w:r w:rsidRPr="00AB71D9">
        <w:rPr>
          <w:rFonts w:ascii="Calibri" w:eastAsia="Calibri" w:hAnsi="Calibri" w:cs="Times New Roman"/>
          <w:b/>
        </w:rPr>
        <w:t>Edward A. Serna</w:t>
      </w:r>
    </w:p>
    <w:p w14:paraId="5C22F102" w14:textId="77777777" w:rsidR="00987D33" w:rsidRPr="003924D9" w:rsidRDefault="00987D33" w:rsidP="00987D33">
      <w:pPr>
        <w:spacing w:line="259" w:lineRule="auto"/>
        <w:rPr>
          <w:rFonts w:ascii="Calibri" w:eastAsia="Calibri" w:hAnsi="Calibri" w:cs="Times New Roman"/>
          <w:i/>
        </w:rPr>
      </w:pPr>
      <w:r w:rsidRPr="003924D9">
        <w:rPr>
          <w:rFonts w:ascii="Calibri" w:eastAsia="Calibri" w:hAnsi="Calibri" w:cs="Times New Roman"/>
          <w:i/>
        </w:rPr>
        <w:t xml:space="preserve">University </w:t>
      </w:r>
      <w:r>
        <w:rPr>
          <w:rFonts w:ascii="Calibri" w:eastAsia="Calibri" w:hAnsi="Calibri" w:cs="Times New Roman"/>
          <w:i/>
        </w:rPr>
        <w:t>o</w:t>
      </w:r>
      <w:r w:rsidRPr="003924D9">
        <w:rPr>
          <w:rFonts w:ascii="Calibri" w:eastAsia="Calibri" w:hAnsi="Calibri" w:cs="Times New Roman"/>
          <w:i/>
        </w:rPr>
        <w:t xml:space="preserve">f Maine </w:t>
      </w:r>
      <w:r>
        <w:rPr>
          <w:rFonts w:ascii="Calibri" w:eastAsia="Calibri" w:hAnsi="Calibri" w:cs="Times New Roman"/>
          <w:i/>
        </w:rPr>
        <w:t>a</w:t>
      </w:r>
      <w:r w:rsidRPr="003924D9">
        <w:rPr>
          <w:rFonts w:ascii="Calibri" w:eastAsia="Calibri" w:hAnsi="Calibri" w:cs="Times New Roman"/>
          <w:i/>
        </w:rPr>
        <w:t>t Farmington</w:t>
      </w:r>
    </w:p>
    <w:p w14:paraId="4384D163" w14:textId="77777777" w:rsidR="00987D33" w:rsidRPr="00AB71D9" w:rsidRDefault="00987D33" w:rsidP="00987D33">
      <w:pPr>
        <w:spacing w:before="20" w:line="259" w:lineRule="auto"/>
        <w:rPr>
          <w:rFonts w:ascii="Calibri" w:eastAsia="Calibri" w:hAnsi="Calibri" w:cs="Times New Roman"/>
          <w:b/>
        </w:rPr>
      </w:pPr>
      <w:r w:rsidRPr="00AB71D9">
        <w:rPr>
          <w:rFonts w:ascii="Calibri" w:eastAsia="Calibri" w:hAnsi="Calibri" w:cs="Times New Roman"/>
          <w:b/>
        </w:rPr>
        <w:t>Deborah Hedeen</w:t>
      </w:r>
    </w:p>
    <w:p w14:paraId="59619FE0" w14:textId="77777777" w:rsidR="00987D33" w:rsidRPr="003924D9" w:rsidRDefault="00987D33" w:rsidP="00987D33">
      <w:pPr>
        <w:spacing w:line="259" w:lineRule="auto"/>
        <w:rPr>
          <w:rFonts w:ascii="Calibri" w:eastAsia="Calibri" w:hAnsi="Calibri" w:cs="Times New Roman"/>
          <w:i/>
        </w:rPr>
      </w:pPr>
      <w:r w:rsidRPr="003924D9">
        <w:rPr>
          <w:rFonts w:ascii="Calibri" w:eastAsia="Calibri" w:hAnsi="Calibri" w:cs="Times New Roman"/>
          <w:i/>
        </w:rPr>
        <w:t>University of Maine at Fort Kent</w:t>
      </w:r>
    </w:p>
    <w:p w14:paraId="113F3735" w14:textId="77777777" w:rsidR="00987D33" w:rsidRPr="003924D9" w:rsidRDefault="00987D33" w:rsidP="00987D33">
      <w:pPr>
        <w:spacing w:before="20" w:line="259" w:lineRule="auto"/>
        <w:rPr>
          <w:rFonts w:ascii="Calibri" w:eastAsia="Calibri" w:hAnsi="Calibri" w:cs="Times New Roman"/>
        </w:rPr>
      </w:pPr>
      <w:r w:rsidRPr="00AB71D9">
        <w:rPr>
          <w:rFonts w:ascii="Calibri" w:eastAsia="Calibri" w:hAnsi="Calibri" w:cs="Times New Roman"/>
          <w:b/>
        </w:rPr>
        <w:t>Raymond J. Rice</w:t>
      </w:r>
    </w:p>
    <w:p w14:paraId="4135B622" w14:textId="77777777" w:rsidR="00987D33" w:rsidRPr="003924D9" w:rsidRDefault="00987D33" w:rsidP="00987D33">
      <w:pPr>
        <w:spacing w:line="259" w:lineRule="auto"/>
        <w:rPr>
          <w:rFonts w:ascii="Calibri" w:eastAsia="Calibri" w:hAnsi="Calibri" w:cs="Times New Roman"/>
          <w:i/>
        </w:rPr>
      </w:pPr>
      <w:r w:rsidRPr="003924D9">
        <w:rPr>
          <w:rFonts w:ascii="Calibri" w:eastAsia="Calibri" w:hAnsi="Calibri" w:cs="Times New Roman"/>
          <w:i/>
        </w:rPr>
        <w:t>University of Maine at Presque Isle</w:t>
      </w:r>
    </w:p>
    <w:p w14:paraId="449913F0" w14:textId="148E1973" w:rsidR="00987D33" w:rsidRPr="00AB71D9" w:rsidRDefault="002D77D4" w:rsidP="00987D33">
      <w:pPr>
        <w:spacing w:before="20" w:line="259" w:lineRule="auto"/>
        <w:rPr>
          <w:rFonts w:ascii="Calibri" w:eastAsia="Calibri" w:hAnsi="Calibri" w:cs="Times New Roman"/>
          <w:b/>
        </w:rPr>
      </w:pPr>
      <w:r>
        <w:rPr>
          <w:rFonts w:ascii="Calibri" w:eastAsia="Calibri" w:hAnsi="Calibri" w:cs="Times New Roman"/>
          <w:b/>
        </w:rPr>
        <w:t>Jacqueline Edmondson</w:t>
      </w:r>
    </w:p>
    <w:p w14:paraId="3F9EB302" w14:textId="77777777" w:rsidR="00987D33" w:rsidRDefault="00987D33" w:rsidP="00987D33">
      <w:pPr>
        <w:spacing w:line="259" w:lineRule="auto"/>
        <w:rPr>
          <w:rFonts w:ascii="Calibri" w:eastAsia="Calibri" w:hAnsi="Calibri" w:cs="Times New Roman"/>
          <w:i/>
        </w:rPr>
      </w:pPr>
      <w:r w:rsidRPr="003924D9">
        <w:rPr>
          <w:rFonts w:ascii="Calibri" w:eastAsia="Calibri" w:hAnsi="Calibri" w:cs="Times New Roman"/>
          <w:i/>
        </w:rPr>
        <w:t>University of Southern Ma</w:t>
      </w:r>
      <w:r>
        <w:rPr>
          <w:rFonts w:ascii="Calibri" w:eastAsia="Calibri" w:hAnsi="Calibri" w:cs="Times New Roman"/>
          <w:i/>
        </w:rPr>
        <w:t>ine</w:t>
      </w:r>
    </w:p>
    <w:p w14:paraId="46461EE1" w14:textId="77777777" w:rsidR="00987D33" w:rsidRDefault="00987D33" w:rsidP="00987D33">
      <w:pPr>
        <w:spacing w:line="259" w:lineRule="auto"/>
        <w:rPr>
          <w:rFonts w:ascii="Calibri" w:eastAsia="Calibri" w:hAnsi="Calibri" w:cs="Times New Roman"/>
          <w:b/>
        </w:rPr>
      </w:pPr>
      <w:r w:rsidRPr="00CE3381">
        <w:rPr>
          <w:rFonts w:ascii="Calibri" w:eastAsia="Calibri" w:hAnsi="Calibri" w:cs="Times New Roman"/>
          <w:b/>
        </w:rPr>
        <w:t>Leigh I. Saufley</w:t>
      </w:r>
    </w:p>
    <w:p w14:paraId="0B1B7EB3" w14:textId="77777777" w:rsidR="00987D33" w:rsidRPr="00D97C5A" w:rsidRDefault="00987D33" w:rsidP="00987D33">
      <w:pPr>
        <w:spacing w:line="259" w:lineRule="auto"/>
        <w:rPr>
          <w:rFonts w:ascii="Calibri" w:eastAsia="Calibri" w:hAnsi="Calibri" w:cs="Times New Roman"/>
          <w:i/>
        </w:rPr>
      </w:pPr>
      <w:r>
        <w:rPr>
          <w:rFonts w:ascii="Calibri" w:eastAsia="Calibri" w:hAnsi="Calibri" w:cs="Times New Roman"/>
          <w:i/>
        </w:rPr>
        <w:t>University of Maine School of Law</w:t>
      </w:r>
    </w:p>
    <w:p w14:paraId="38D84E27" w14:textId="77777777" w:rsidR="00987D33" w:rsidRPr="00CE3381" w:rsidRDefault="00987D33" w:rsidP="00987D33">
      <w:pPr>
        <w:pBdr>
          <w:bottom w:val="single" w:sz="8" w:space="1" w:color="008C8D"/>
        </w:pBdr>
        <w:spacing w:line="259" w:lineRule="auto"/>
        <w:rPr>
          <w:rStyle w:val="Heading1Char"/>
          <w:rFonts w:eastAsia="Calibri" w:cs="Times New Roman"/>
          <w:b w:val="0"/>
          <w:smallCaps w:val="0"/>
          <w:noProof w:val="0"/>
          <w:color w:val="auto"/>
          <w:spacing w:val="0"/>
          <w14:textOutline w14:w="0" w14:cap="rnd" w14:cmpd="sng" w14:algn="ctr">
            <w14:noFill/>
            <w14:prstDash w14:val="solid"/>
            <w14:bevel/>
          </w14:textOutline>
        </w:rPr>
      </w:pPr>
      <w:r w:rsidRPr="003924D9">
        <w:rPr>
          <w:rFonts w:ascii="Calibri" w:eastAsia="Calibri" w:hAnsi="Calibri" w:cs="Times New Roman"/>
          <w:i/>
        </w:rPr>
        <w:br w:type="column"/>
      </w:r>
      <w:r w:rsidRPr="00CE3381">
        <w:rPr>
          <w:rStyle w:val="Heading1Char"/>
        </w:rPr>
        <w:t>MANAGEMENT SUPPORT TO THE CHANCELLOR AND BOARD OF TRUSTEES:</w:t>
      </w:r>
    </w:p>
    <w:p w14:paraId="4F41445F" w14:textId="792AD1D6"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David M. Demers</w:t>
      </w:r>
    </w:p>
    <w:p w14:paraId="15E8D43F" w14:textId="5871A220" w:rsidR="00987D33" w:rsidRPr="00721CFD" w:rsidRDefault="00987D33"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Chief Information Officer</w:t>
      </w:r>
    </w:p>
    <w:p w14:paraId="76A2D51C" w14:textId="57BEB515" w:rsidR="00F93D2A" w:rsidRDefault="00F93D2A" w:rsidP="00987D33">
      <w:pPr>
        <w:spacing w:before="20" w:line="259" w:lineRule="auto"/>
        <w:rPr>
          <w:rFonts w:ascii="Calibri" w:eastAsia="Calibri" w:hAnsi="Calibri" w:cs="Times New Roman"/>
          <w:b/>
        </w:rPr>
      </w:pPr>
      <w:r>
        <w:rPr>
          <w:rFonts w:ascii="Calibri" w:eastAsia="Calibri" w:hAnsi="Calibri" w:cs="Times New Roman"/>
          <w:b/>
        </w:rPr>
        <w:t>Gretchen Catlin</w:t>
      </w:r>
    </w:p>
    <w:p w14:paraId="4A35C843" w14:textId="5DE38013" w:rsidR="00F93D2A" w:rsidRPr="00721CFD" w:rsidRDefault="00F93D2A" w:rsidP="00721CFD">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Director of Safety Management, UMS Incident Commander and Director of Risk Management</w:t>
      </w:r>
    </w:p>
    <w:p w14:paraId="20231F4C" w14:textId="75E710DF"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Carolyn Dorsey</w:t>
      </w:r>
    </w:p>
    <w:p w14:paraId="7E74791A" w14:textId="4823C294" w:rsidR="00987D33" w:rsidRPr="00721CFD" w:rsidRDefault="00E25872"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Acting Vice Chancellor for Strategic Initiatives</w:t>
      </w:r>
    </w:p>
    <w:p w14:paraId="5556DA1F" w14:textId="77777777"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Ellen N. Doughty</w:t>
      </w:r>
    </w:p>
    <w:p w14:paraId="7FFAC4E1" w14:textId="77777777" w:rsidR="00987D33" w:rsidRPr="00721CFD" w:rsidRDefault="00987D33"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Clerk of the Board</w:t>
      </w:r>
    </w:p>
    <w:p w14:paraId="525FE1F9" w14:textId="77777777"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Tracy E. Elliott</w:t>
      </w:r>
    </w:p>
    <w:p w14:paraId="436CFF93" w14:textId="77777777" w:rsidR="00987D33" w:rsidRPr="00721CFD" w:rsidRDefault="00987D33"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Vice President of Finance and Controller</w:t>
      </w:r>
    </w:p>
    <w:p w14:paraId="47957661" w14:textId="77777777"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Joan Ferrini-Mundy</w:t>
      </w:r>
    </w:p>
    <w:p w14:paraId="4BEB481F" w14:textId="77777777" w:rsidR="00987D33" w:rsidRPr="00721CFD" w:rsidRDefault="00987D33"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Vice Chancellor for Research and Innovation</w:t>
      </w:r>
    </w:p>
    <w:p w14:paraId="1C3AA1C9" w14:textId="1EEC788A" w:rsidR="00987D33" w:rsidRPr="00DF3676" w:rsidRDefault="00F93D2A" w:rsidP="00987D33">
      <w:pPr>
        <w:spacing w:before="20" w:line="259" w:lineRule="auto"/>
        <w:rPr>
          <w:rFonts w:ascii="Calibri" w:eastAsia="Calibri" w:hAnsi="Calibri" w:cs="Times New Roman"/>
          <w:b/>
        </w:rPr>
      </w:pPr>
      <w:r>
        <w:rPr>
          <w:rFonts w:ascii="Calibri" w:eastAsia="Calibri" w:hAnsi="Calibri" w:cs="Times New Roman"/>
          <w:b/>
        </w:rPr>
        <w:t>Rudy Gabrielson</w:t>
      </w:r>
    </w:p>
    <w:p w14:paraId="105D4B4D" w14:textId="70D918A0" w:rsidR="00987D33" w:rsidRPr="00721CFD" w:rsidRDefault="00987D33"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 xml:space="preserve">Chief </w:t>
      </w:r>
      <w:r w:rsidR="00F93D2A" w:rsidRPr="00721CFD">
        <w:rPr>
          <w:rFonts w:ascii="Calibri" w:eastAsia="Calibri" w:hAnsi="Calibri" w:cs="Times New Roman"/>
          <w:i/>
          <w:sz w:val="21"/>
          <w:szCs w:val="21"/>
        </w:rPr>
        <w:t>Procurement Officer</w:t>
      </w:r>
      <w:r w:rsidRPr="00721CFD">
        <w:rPr>
          <w:rFonts w:ascii="Calibri" w:eastAsia="Calibri" w:hAnsi="Calibri" w:cs="Times New Roman"/>
          <w:i/>
          <w:sz w:val="21"/>
          <w:szCs w:val="21"/>
        </w:rPr>
        <w:t xml:space="preserve"> and </w:t>
      </w:r>
      <w:r w:rsidR="00F93D2A" w:rsidRPr="00721CFD">
        <w:rPr>
          <w:rFonts w:ascii="Calibri" w:eastAsia="Calibri" w:hAnsi="Calibri" w:cs="Times New Roman"/>
          <w:i/>
          <w:sz w:val="21"/>
          <w:szCs w:val="21"/>
        </w:rPr>
        <w:t xml:space="preserve">Chief </w:t>
      </w:r>
      <w:r w:rsidRPr="00721CFD">
        <w:rPr>
          <w:rFonts w:ascii="Calibri" w:eastAsia="Calibri" w:hAnsi="Calibri" w:cs="Times New Roman"/>
          <w:i/>
          <w:sz w:val="21"/>
          <w:szCs w:val="21"/>
        </w:rPr>
        <w:t>General Services Officer</w:t>
      </w:r>
    </w:p>
    <w:p w14:paraId="4F1675BA" w14:textId="77777777"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Kim-Marie Jenkins</w:t>
      </w:r>
    </w:p>
    <w:p w14:paraId="2BAF31B8" w14:textId="77777777" w:rsidR="00987D33" w:rsidRPr="00721CFD" w:rsidRDefault="00987D33"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Director of Organizational Effectiveness</w:t>
      </w:r>
    </w:p>
    <w:p w14:paraId="7B132ED1" w14:textId="77777777"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Ryan W. Low</w:t>
      </w:r>
    </w:p>
    <w:p w14:paraId="29F7F300" w14:textId="77777777" w:rsidR="00987D33" w:rsidRPr="00721CFD" w:rsidRDefault="00987D33"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 xml:space="preserve">Vice Chancellor for Finance and Administration and Treasurer </w:t>
      </w:r>
    </w:p>
    <w:p w14:paraId="3620435B" w14:textId="161EF55A" w:rsidR="00C92252" w:rsidRDefault="00C92252" w:rsidP="00987D33">
      <w:pPr>
        <w:spacing w:before="20" w:line="259" w:lineRule="auto"/>
        <w:rPr>
          <w:rFonts w:ascii="Calibri" w:eastAsia="Calibri" w:hAnsi="Calibri" w:cs="Times New Roman"/>
          <w:b/>
        </w:rPr>
      </w:pPr>
      <w:r>
        <w:rPr>
          <w:rFonts w:ascii="Calibri" w:eastAsia="Calibri" w:hAnsi="Calibri" w:cs="Times New Roman"/>
          <w:b/>
        </w:rPr>
        <w:t>Margaret Nagle</w:t>
      </w:r>
    </w:p>
    <w:p w14:paraId="3CB7342B" w14:textId="395A9E04" w:rsidR="00C92252" w:rsidRPr="00C92252" w:rsidRDefault="00C92252" w:rsidP="00C92252">
      <w:pPr>
        <w:spacing w:line="259" w:lineRule="auto"/>
        <w:rPr>
          <w:rFonts w:ascii="Calibri" w:eastAsia="Calibri" w:hAnsi="Calibri" w:cs="Times New Roman"/>
          <w:i/>
        </w:rPr>
      </w:pPr>
      <w:r w:rsidRPr="00721CFD">
        <w:rPr>
          <w:rFonts w:ascii="Calibri" w:eastAsia="Calibri" w:hAnsi="Calibri" w:cs="Times New Roman"/>
          <w:i/>
          <w:sz w:val="21"/>
          <w:szCs w:val="21"/>
        </w:rPr>
        <w:t>Senior Director of Public Relations</w:t>
      </w:r>
    </w:p>
    <w:p w14:paraId="3455C9F4" w14:textId="00E396E3" w:rsidR="003166EF" w:rsidRDefault="003166EF" w:rsidP="00987D33">
      <w:pPr>
        <w:spacing w:before="20" w:line="259" w:lineRule="auto"/>
        <w:rPr>
          <w:rFonts w:ascii="Calibri" w:eastAsia="Calibri" w:hAnsi="Calibri" w:cs="Times New Roman"/>
          <w:b/>
        </w:rPr>
      </w:pPr>
      <w:r>
        <w:rPr>
          <w:rFonts w:ascii="Calibri" w:eastAsia="Calibri" w:hAnsi="Calibri" w:cs="Times New Roman"/>
          <w:b/>
        </w:rPr>
        <w:t>Patricia Peard</w:t>
      </w:r>
    </w:p>
    <w:p w14:paraId="7F21DBD7" w14:textId="47A03DC7" w:rsidR="003166EF" w:rsidRPr="00721CFD" w:rsidRDefault="003166EF" w:rsidP="003166EF">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Interim General Counsel</w:t>
      </w:r>
    </w:p>
    <w:p w14:paraId="28321035" w14:textId="439E8B60"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Robert B. Placido</w:t>
      </w:r>
    </w:p>
    <w:p w14:paraId="23A4867D" w14:textId="77777777" w:rsidR="00987D33" w:rsidRPr="00721CFD" w:rsidRDefault="00987D33"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Vice Chancellor for Academic Affairs</w:t>
      </w:r>
    </w:p>
    <w:p w14:paraId="79C83CF4" w14:textId="77777777"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Rosa S. Redonnett</w:t>
      </w:r>
    </w:p>
    <w:p w14:paraId="11D74ACA" w14:textId="6769E1D1" w:rsidR="00987D33" w:rsidRPr="00721CFD" w:rsidRDefault="00987D33"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Associate Vice Chancellor for Student Success and Credential Attainment</w:t>
      </w:r>
    </w:p>
    <w:p w14:paraId="640903F6" w14:textId="00C32C28" w:rsidR="003166EF" w:rsidRPr="003166EF" w:rsidRDefault="003166EF" w:rsidP="003166EF">
      <w:pPr>
        <w:spacing w:before="20" w:line="259" w:lineRule="auto"/>
        <w:rPr>
          <w:rFonts w:ascii="Calibri" w:eastAsia="Calibri" w:hAnsi="Calibri" w:cs="Times New Roman"/>
          <w:b/>
        </w:rPr>
      </w:pPr>
      <w:r w:rsidRPr="003166EF">
        <w:rPr>
          <w:rFonts w:ascii="Calibri" w:eastAsia="Calibri" w:hAnsi="Calibri" w:cs="Times New Roman"/>
          <w:b/>
        </w:rPr>
        <w:t>Loretta Shields</w:t>
      </w:r>
    </w:p>
    <w:p w14:paraId="5A81BBF1" w14:textId="7425893B" w:rsidR="003166EF" w:rsidRPr="00721CFD" w:rsidRDefault="003166EF"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Chief Human Resources Officer</w:t>
      </w:r>
    </w:p>
    <w:p w14:paraId="0B5CDB76" w14:textId="77777777"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Jeffrey St. John</w:t>
      </w:r>
    </w:p>
    <w:p w14:paraId="045BFA90" w14:textId="792C6D84" w:rsidR="00987D33" w:rsidRPr="00721CFD" w:rsidRDefault="00987D33"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Associate</w:t>
      </w:r>
      <w:r w:rsidR="00E25872" w:rsidRPr="00721CFD">
        <w:rPr>
          <w:rFonts w:ascii="Calibri" w:eastAsia="Calibri" w:hAnsi="Calibri" w:cs="Times New Roman"/>
          <w:i/>
          <w:sz w:val="21"/>
          <w:szCs w:val="21"/>
        </w:rPr>
        <w:t xml:space="preserve"> Vice</w:t>
      </w:r>
      <w:r w:rsidRPr="00721CFD">
        <w:rPr>
          <w:rFonts w:ascii="Calibri" w:eastAsia="Calibri" w:hAnsi="Calibri" w:cs="Times New Roman"/>
          <w:i/>
          <w:sz w:val="21"/>
          <w:szCs w:val="21"/>
        </w:rPr>
        <w:t xml:space="preserve"> Chancellor for Accreditation and Strategic Initiatives</w:t>
      </w:r>
    </w:p>
    <w:p w14:paraId="61B83B42" w14:textId="77777777"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Samantha C. Warren</w:t>
      </w:r>
    </w:p>
    <w:p w14:paraId="73C639ED" w14:textId="77777777" w:rsidR="00987D33" w:rsidRPr="00721CFD" w:rsidRDefault="00987D33" w:rsidP="00987D33">
      <w:pPr>
        <w:spacing w:line="259" w:lineRule="auto"/>
        <w:rPr>
          <w:rFonts w:ascii="Calibri" w:eastAsia="Calibri" w:hAnsi="Calibri" w:cs="Times New Roman"/>
          <w:i/>
          <w:sz w:val="21"/>
          <w:szCs w:val="21"/>
        </w:rPr>
      </w:pPr>
      <w:r w:rsidRPr="00721CFD">
        <w:rPr>
          <w:rFonts w:ascii="Calibri" w:eastAsia="Calibri" w:hAnsi="Calibri" w:cs="Times New Roman"/>
          <w:i/>
          <w:sz w:val="21"/>
          <w:szCs w:val="21"/>
        </w:rPr>
        <w:t>Director of Government and Community Relations</w:t>
      </w:r>
    </w:p>
    <w:p w14:paraId="16A928F8" w14:textId="77777777" w:rsidR="00987D33" w:rsidRPr="00DF3676" w:rsidRDefault="00987D33" w:rsidP="00987D33">
      <w:pPr>
        <w:spacing w:before="20" w:line="259" w:lineRule="auto"/>
        <w:rPr>
          <w:rFonts w:ascii="Calibri" w:eastAsia="Calibri" w:hAnsi="Calibri" w:cs="Times New Roman"/>
          <w:b/>
        </w:rPr>
      </w:pPr>
      <w:r w:rsidRPr="00DF3676">
        <w:rPr>
          <w:rFonts w:ascii="Calibri" w:eastAsia="Calibri" w:hAnsi="Calibri" w:cs="Times New Roman"/>
          <w:b/>
        </w:rPr>
        <w:t>Miriam A. White</w:t>
      </w:r>
    </w:p>
    <w:p w14:paraId="72956CE9" w14:textId="77777777" w:rsidR="00987D33" w:rsidRPr="00721CFD" w:rsidRDefault="00987D33" w:rsidP="00987D33">
      <w:pPr>
        <w:spacing w:line="259" w:lineRule="auto"/>
        <w:rPr>
          <w:rFonts w:ascii="Calibri" w:eastAsia="Calibri" w:hAnsi="Calibri" w:cs="Times New Roman"/>
          <w:i/>
          <w:sz w:val="21"/>
          <w:szCs w:val="21"/>
        </w:rPr>
        <w:sectPr w:rsidR="00987D33" w:rsidRPr="00721CFD" w:rsidSect="007B5BB3">
          <w:type w:val="continuous"/>
          <w:pgSz w:w="12240" w:h="15840" w:code="1"/>
          <w:pgMar w:top="1440" w:right="1440" w:bottom="1440" w:left="1440" w:header="720" w:footer="720" w:gutter="0"/>
          <w:cols w:num="2" w:space="360" w:equalWidth="0">
            <w:col w:w="3456" w:space="360"/>
            <w:col w:w="5544"/>
          </w:cols>
          <w:titlePg/>
          <w:docGrid w:linePitch="360"/>
        </w:sectPr>
      </w:pPr>
      <w:r w:rsidRPr="00721CFD">
        <w:rPr>
          <w:rFonts w:ascii="Calibri" w:eastAsia="Calibri" w:hAnsi="Calibri" w:cs="Times New Roman"/>
          <w:i/>
          <w:sz w:val="21"/>
          <w:szCs w:val="21"/>
        </w:rPr>
        <w:t>Vice President of Budget and Financial Analysis</w:t>
      </w:r>
    </w:p>
    <w:p w14:paraId="69801709" w14:textId="77777777" w:rsidR="00987D33" w:rsidRPr="00614713" w:rsidRDefault="00987D33" w:rsidP="00987D33">
      <w:pPr>
        <w:spacing w:after="160" w:line="259" w:lineRule="auto"/>
        <w:rPr>
          <w:rFonts w:ascii="Times New Roman" w:eastAsia="Times New Roman" w:hAnsi="Times New Roman" w:cs="Times New Roman"/>
          <w:noProof/>
          <w:sz w:val="2"/>
          <w:szCs w:val="20"/>
        </w:rPr>
      </w:pPr>
      <w:r w:rsidRPr="00614713">
        <w:rPr>
          <w:rFonts w:ascii="Times New Roman" w:eastAsia="Times New Roman" w:hAnsi="Times New Roman" w:cs="Times New Roman"/>
          <w:noProof/>
          <w:sz w:val="2"/>
          <w:szCs w:val="20"/>
        </w:rPr>
        <w:br w:type="page"/>
      </w:r>
    </w:p>
    <w:p w14:paraId="72009FCA" w14:textId="77777777" w:rsidR="00987D33" w:rsidRDefault="00987D33" w:rsidP="00987D33">
      <w:pPr>
        <w:widowControl w:val="0"/>
        <w:rPr>
          <w:rFonts w:ascii="Calibri" w:eastAsia="Times New Roman" w:hAnsi="Calibri" w:cs="Times New Roman"/>
          <w:b/>
          <w:i/>
          <w:caps/>
          <w:color w:val="000000"/>
          <w:spacing w:val="-3"/>
          <w:sz w:val="28"/>
          <w:szCs w:val="28"/>
        </w:rPr>
        <w:sectPr w:rsidR="00987D33" w:rsidSect="007B5BB3">
          <w:type w:val="continuous"/>
          <w:pgSz w:w="12240" w:h="15840" w:code="1"/>
          <w:pgMar w:top="1440" w:right="1440" w:bottom="1440" w:left="1440" w:header="720" w:footer="720" w:gutter="0"/>
          <w:cols w:num="2" w:space="360" w:equalWidth="0">
            <w:col w:w="3456" w:space="360"/>
            <w:col w:w="5544"/>
          </w:cols>
          <w:titlePg/>
          <w:docGrid w:linePitch="360"/>
        </w:sectPr>
      </w:pPr>
    </w:p>
    <w:p w14:paraId="2EAD5C7A" w14:textId="77777777" w:rsidR="00AF1489" w:rsidRDefault="00AF1489" w:rsidP="00AF1489">
      <w:pPr>
        <w:pStyle w:val="BodyText"/>
        <w:spacing w:before="2"/>
        <w:rPr>
          <w:sz w:val="9"/>
        </w:rPr>
      </w:pPr>
    </w:p>
    <w:p w14:paraId="4BC16FAA" w14:textId="77777777" w:rsidR="00AF1489" w:rsidRDefault="00AF1489" w:rsidP="00AF1489">
      <w:pPr>
        <w:spacing w:before="66"/>
        <w:ind w:left="6488" w:right="1170"/>
        <w:rPr>
          <w:rFonts w:ascii="Calibri"/>
          <w:b/>
          <w:sz w:val="17"/>
        </w:rPr>
      </w:pPr>
      <w:r>
        <w:rPr>
          <w:noProof/>
        </w:rPr>
        <w:drawing>
          <wp:anchor distT="0" distB="0" distL="0" distR="0" simplePos="0" relativeHeight="251659264" behindDoc="0" locked="0" layoutInCell="1" allowOverlap="1" wp14:anchorId="49195434" wp14:editId="132F2A88">
            <wp:simplePos x="0" y="0"/>
            <wp:positionH relativeFrom="page">
              <wp:posOffset>986245</wp:posOffset>
            </wp:positionH>
            <wp:positionV relativeFrom="paragraph">
              <wp:posOffset>-61579</wp:posOffset>
            </wp:positionV>
            <wp:extent cx="530223" cy="530214"/>
            <wp:effectExtent l="0" t="0" r="0" b="0"/>
            <wp:wrapNone/>
            <wp:docPr id="15"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30223" cy="530214"/>
                    </a:xfrm>
                    <a:prstGeom prst="rect">
                      <a:avLst/>
                    </a:prstGeom>
                  </pic:spPr>
                </pic:pic>
              </a:graphicData>
            </a:graphic>
          </wp:anchor>
        </w:drawing>
      </w:r>
      <w:r>
        <w:rPr>
          <w:rFonts w:ascii="Calibri"/>
          <w:b/>
          <w:color w:val="2D334E"/>
          <w:sz w:val="17"/>
        </w:rPr>
        <w:t>CliftonLarsonAllen</w:t>
      </w:r>
      <w:r>
        <w:rPr>
          <w:rFonts w:ascii="Calibri"/>
          <w:b/>
          <w:color w:val="2D334E"/>
          <w:spacing w:val="-10"/>
          <w:sz w:val="17"/>
        </w:rPr>
        <w:t xml:space="preserve"> </w:t>
      </w:r>
      <w:r>
        <w:rPr>
          <w:rFonts w:ascii="Calibri"/>
          <w:b/>
          <w:color w:val="2D334E"/>
          <w:sz w:val="17"/>
        </w:rPr>
        <w:t>LLP</w:t>
      </w:r>
      <w:r>
        <w:rPr>
          <w:rFonts w:ascii="Calibri"/>
          <w:b/>
          <w:color w:val="2D334E"/>
          <w:spacing w:val="40"/>
          <w:sz w:val="17"/>
        </w:rPr>
        <w:t xml:space="preserve"> </w:t>
      </w:r>
      <w:r>
        <w:rPr>
          <w:rFonts w:ascii="Calibri"/>
          <w:b/>
          <w:color w:val="2D334E"/>
          <w:spacing w:val="-2"/>
          <w:sz w:val="17"/>
        </w:rPr>
        <w:t>CLAconnect.com</w:t>
      </w:r>
    </w:p>
    <w:p w14:paraId="56E5A133" w14:textId="77777777" w:rsidR="00AF1489" w:rsidRDefault="00AF1489" w:rsidP="00AF1489">
      <w:pPr>
        <w:pStyle w:val="BodyText"/>
        <w:rPr>
          <w:rFonts w:ascii="Calibri"/>
          <w:b/>
          <w:sz w:val="16"/>
        </w:rPr>
      </w:pPr>
    </w:p>
    <w:p w14:paraId="42661691" w14:textId="77777777" w:rsidR="00AF1489" w:rsidRDefault="00AF1489" w:rsidP="00AF1489">
      <w:pPr>
        <w:pStyle w:val="BodyText"/>
        <w:rPr>
          <w:rFonts w:ascii="Calibri"/>
          <w:b/>
          <w:sz w:val="16"/>
        </w:rPr>
      </w:pPr>
    </w:p>
    <w:p w14:paraId="617C87E0" w14:textId="77777777" w:rsidR="00AF1489" w:rsidRDefault="00AF1489" w:rsidP="00AF1489">
      <w:pPr>
        <w:pStyle w:val="BodyText"/>
        <w:spacing w:before="6"/>
        <w:rPr>
          <w:rFonts w:ascii="Calibri"/>
          <w:b/>
          <w:sz w:val="23"/>
        </w:rPr>
      </w:pPr>
    </w:p>
    <w:p w14:paraId="017575FE" w14:textId="77777777" w:rsidR="00AF1489" w:rsidRPr="00AF1489" w:rsidRDefault="00AF1489" w:rsidP="00AF1489">
      <w:pPr>
        <w:jc w:val="center"/>
        <w:rPr>
          <w:rFonts w:ascii="Arial" w:hAnsi="Arial" w:cs="Arial"/>
          <w:b/>
          <w:bCs/>
        </w:rPr>
      </w:pPr>
      <w:r w:rsidRPr="00AF1489">
        <w:rPr>
          <w:rFonts w:ascii="Arial" w:hAnsi="Arial" w:cs="Arial"/>
          <w:b/>
          <w:bCs/>
        </w:rPr>
        <w:t>INDEPENDENT</w:t>
      </w:r>
      <w:r w:rsidRPr="00AF1489">
        <w:rPr>
          <w:rFonts w:ascii="Arial" w:hAnsi="Arial" w:cs="Arial"/>
          <w:b/>
          <w:bCs/>
          <w:spacing w:val="1"/>
        </w:rPr>
        <w:t xml:space="preserve"> </w:t>
      </w:r>
      <w:r w:rsidRPr="00AF1489">
        <w:rPr>
          <w:rFonts w:ascii="Arial" w:hAnsi="Arial" w:cs="Arial"/>
          <w:b/>
          <w:bCs/>
        </w:rPr>
        <w:t>AUDITORS’</w:t>
      </w:r>
      <w:r w:rsidRPr="00AF1489">
        <w:rPr>
          <w:rFonts w:ascii="Arial" w:hAnsi="Arial" w:cs="Arial"/>
          <w:b/>
          <w:bCs/>
          <w:spacing w:val="1"/>
        </w:rPr>
        <w:t xml:space="preserve"> </w:t>
      </w:r>
      <w:r w:rsidRPr="00AF1489">
        <w:rPr>
          <w:rFonts w:ascii="Arial" w:hAnsi="Arial" w:cs="Arial"/>
          <w:b/>
          <w:bCs/>
        </w:rPr>
        <w:t>REPORT</w:t>
      </w:r>
    </w:p>
    <w:p w14:paraId="123C4E0B" w14:textId="77777777" w:rsidR="00AF1489" w:rsidRDefault="00AF1489" w:rsidP="00AF1489">
      <w:pPr>
        <w:pStyle w:val="BodyText"/>
        <w:rPr>
          <w:b/>
          <w:sz w:val="20"/>
        </w:rPr>
      </w:pPr>
    </w:p>
    <w:p w14:paraId="2E8ABB63" w14:textId="77777777" w:rsidR="00AF1489" w:rsidRDefault="00AF1489" w:rsidP="00AF1489">
      <w:pPr>
        <w:pStyle w:val="BodyText"/>
        <w:spacing w:before="10"/>
        <w:rPr>
          <w:b/>
          <w:sz w:val="15"/>
        </w:rPr>
      </w:pPr>
    </w:p>
    <w:p w14:paraId="08E2D008" w14:textId="77777777" w:rsidR="00AF1489" w:rsidRDefault="00AF1489" w:rsidP="008642EB">
      <w:pPr>
        <w:pStyle w:val="BodyText"/>
        <w:ind w:left="180" w:right="5670" w:hanging="180"/>
        <w:rPr>
          <w:rFonts w:ascii="Arial" w:hAnsi="Arial" w:cs="Arial"/>
          <w:sz w:val="22"/>
          <w:szCs w:val="22"/>
        </w:rPr>
      </w:pPr>
      <w:r w:rsidRPr="00AF1489">
        <w:rPr>
          <w:rFonts w:ascii="Arial" w:hAnsi="Arial" w:cs="Arial"/>
          <w:sz w:val="22"/>
          <w:szCs w:val="22"/>
        </w:rPr>
        <w:t xml:space="preserve">Board of Trustees </w:t>
      </w:r>
    </w:p>
    <w:p w14:paraId="1F8C4146" w14:textId="77777777" w:rsidR="00AF1489" w:rsidRDefault="00AF1489" w:rsidP="008642EB">
      <w:pPr>
        <w:pStyle w:val="BodyText"/>
        <w:ind w:left="180" w:right="5670" w:hanging="180"/>
        <w:rPr>
          <w:rFonts w:ascii="Arial" w:hAnsi="Arial" w:cs="Arial"/>
          <w:sz w:val="22"/>
          <w:szCs w:val="22"/>
        </w:rPr>
      </w:pPr>
      <w:r w:rsidRPr="00AF1489">
        <w:rPr>
          <w:rFonts w:ascii="Arial" w:hAnsi="Arial" w:cs="Arial"/>
          <w:sz w:val="22"/>
          <w:szCs w:val="22"/>
        </w:rPr>
        <w:t>University</w:t>
      </w:r>
      <w:r w:rsidRPr="00AF1489">
        <w:rPr>
          <w:rFonts w:ascii="Arial" w:hAnsi="Arial" w:cs="Arial"/>
          <w:spacing w:val="-13"/>
          <w:sz w:val="22"/>
          <w:szCs w:val="22"/>
        </w:rPr>
        <w:t xml:space="preserve"> </w:t>
      </w:r>
      <w:r w:rsidRPr="00AF1489">
        <w:rPr>
          <w:rFonts w:ascii="Arial" w:hAnsi="Arial" w:cs="Arial"/>
          <w:sz w:val="22"/>
          <w:szCs w:val="22"/>
        </w:rPr>
        <w:t>of</w:t>
      </w:r>
      <w:r w:rsidRPr="00AF1489">
        <w:rPr>
          <w:rFonts w:ascii="Arial" w:hAnsi="Arial" w:cs="Arial"/>
          <w:spacing w:val="-14"/>
          <w:sz w:val="22"/>
          <w:szCs w:val="22"/>
        </w:rPr>
        <w:t xml:space="preserve"> </w:t>
      </w:r>
      <w:r w:rsidRPr="00AF1489">
        <w:rPr>
          <w:rFonts w:ascii="Arial" w:hAnsi="Arial" w:cs="Arial"/>
          <w:sz w:val="22"/>
          <w:szCs w:val="22"/>
        </w:rPr>
        <w:t>Maine</w:t>
      </w:r>
      <w:r w:rsidRPr="00AF1489">
        <w:rPr>
          <w:rFonts w:ascii="Arial" w:hAnsi="Arial" w:cs="Arial"/>
          <w:spacing w:val="-13"/>
          <w:sz w:val="22"/>
          <w:szCs w:val="22"/>
        </w:rPr>
        <w:t xml:space="preserve"> </w:t>
      </w:r>
      <w:r w:rsidRPr="00AF1489">
        <w:rPr>
          <w:rFonts w:ascii="Arial" w:hAnsi="Arial" w:cs="Arial"/>
          <w:sz w:val="22"/>
          <w:szCs w:val="22"/>
        </w:rPr>
        <w:t xml:space="preserve">System </w:t>
      </w:r>
    </w:p>
    <w:p w14:paraId="1B439D92" w14:textId="005387C5" w:rsidR="00AF1489" w:rsidRPr="00AF1489" w:rsidRDefault="00AF1489" w:rsidP="008642EB">
      <w:pPr>
        <w:pStyle w:val="BodyText"/>
        <w:ind w:left="180" w:right="5670" w:hanging="180"/>
        <w:rPr>
          <w:rFonts w:ascii="Arial" w:hAnsi="Arial" w:cs="Arial"/>
          <w:sz w:val="22"/>
          <w:szCs w:val="22"/>
        </w:rPr>
      </w:pPr>
      <w:r w:rsidRPr="00AF1489">
        <w:rPr>
          <w:rFonts w:ascii="Arial" w:hAnsi="Arial" w:cs="Arial"/>
          <w:sz w:val="22"/>
          <w:szCs w:val="22"/>
        </w:rPr>
        <w:t>Orono, Maine</w:t>
      </w:r>
    </w:p>
    <w:p w14:paraId="0C00A8A5" w14:textId="77777777" w:rsidR="00AF1489" w:rsidRPr="00AF1489" w:rsidRDefault="00AF1489" w:rsidP="00AF1489">
      <w:pPr>
        <w:pStyle w:val="BodyText"/>
        <w:rPr>
          <w:rFonts w:ascii="Arial" w:hAnsi="Arial" w:cs="Arial"/>
          <w:sz w:val="22"/>
          <w:szCs w:val="22"/>
        </w:rPr>
      </w:pPr>
    </w:p>
    <w:p w14:paraId="10527F6C" w14:textId="77777777" w:rsidR="00AF1489" w:rsidRPr="00AF1489" w:rsidRDefault="00AF1489" w:rsidP="00AF1489">
      <w:pPr>
        <w:rPr>
          <w:rFonts w:ascii="Arial" w:hAnsi="Arial" w:cs="Arial"/>
          <w:b/>
          <w:bCs/>
        </w:rPr>
      </w:pPr>
      <w:r w:rsidRPr="00AF1489">
        <w:rPr>
          <w:rFonts w:ascii="Arial" w:hAnsi="Arial" w:cs="Arial"/>
          <w:b/>
          <w:bCs/>
        </w:rPr>
        <w:t>Report</w:t>
      </w:r>
      <w:r w:rsidRPr="00AF1489">
        <w:rPr>
          <w:rFonts w:ascii="Arial" w:hAnsi="Arial" w:cs="Arial"/>
          <w:b/>
          <w:bCs/>
          <w:spacing w:val="-5"/>
        </w:rPr>
        <w:t xml:space="preserve"> </w:t>
      </w:r>
      <w:r w:rsidRPr="00AF1489">
        <w:rPr>
          <w:rFonts w:ascii="Arial" w:hAnsi="Arial" w:cs="Arial"/>
          <w:b/>
          <w:bCs/>
        </w:rPr>
        <w:t>on</w:t>
      </w:r>
      <w:r w:rsidRPr="00AF1489">
        <w:rPr>
          <w:rFonts w:ascii="Arial" w:hAnsi="Arial" w:cs="Arial"/>
          <w:b/>
          <w:bCs/>
          <w:spacing w:val="-5"/>
        </w:rPr>
        <w:t xml:space="preserve"> </w:t>
      </w:r>
      <w:r w:rsidRPr="00AF1489">
        <w:rPr>
          <w:rFonts w:ascii="Arial" w:hAnsi="Arial" w:cs="Arial"/>
          <w:b/>
          <w:bCs/>
        </w:rPr>
        <w:t>the</w:t>
      </w:r>
      <w:r w:rsidRPr="00AF1489">
        <w:rPr>
          <w:rFonts w:ascii="Arial" w:hAnsi="Arial" w:cs="Arial"/>
          <w:b/>
          <w:bCs/>
          <w:spacing w:val="-5"/>
        </w:rPr>
        <w:t xml:space="preserve"> </w:t>
      </w:r>
      <w:r w:rsidRPr="00AF1489">
        <w:rPr>
          <w:rFonts w:ascii="Arial" w:hAnsi="Arial" w:cs="Arial"/>
          <w:b/>
          <w:bCs/>
        </w:rPr>
        <w:t>Audit</w:t>
      </w:r>
      <w:r w:rsidRPr="00AF1489">
        <w:rPr>
          <w:rFonts w:ascii="Arial" w:hAnsi="Arial" w:cs="Arial"/>
          <w:b/>
          <w:bCs/>
          <w:spacing w:val="-5"/>
        </w:rPr>
        <w:t xml:space="preserve"> </w:t>
      </w:r>
      <w:r w:rsidRPr="00AF1489">
        <w:rPr>
          <w:rFonts w:ascii="Arial" w:hAnsi="Arial" w:cs="Arial"/>
          <w:b/>
          <w:bCs/>
        </w:rPr>
        <w:t>of</w:t>
      </w:r>
      <w:r w:rsidRPr="00AF1489">
        <w:rPr>
          <w:rFonts w:ascii="Arial" w:hAnsi="Arial" w:cs="Arial"/>
          <w:b/>
          <w:bCs/>
          <w:spacing w:val="-4"/>
        </w:rPr>
        <w:t xml:space="preserve"> </w:t>
      </w:r>
      <w:r w:rsidRPr="00AF1489">
        <w:rPr>
          <w:rFonts w:ascii="Arial" w:hAnsi="Arial" w:cs="Arial"/>
          <w:b/>
          <w:bCs/>
        </w:rPr>
        <w:t>the</w:t>
      </w:r>
      <w:r w:rsidRPr="00AF1489">
        <w:rPr>
          <w:rFonts w:ascii="Arial" w:hAnsi="Arial" w:cs="Arial"/>
          <w:b/>
          <w:bCs/>
          <w:spacing w:val="-5"/>
        </w:rPr>
        <w:t xml:space="preserve"> </w:t>
      </w:r>
      <w:r w:rsidRPr="00AF1489">
        <w:rPr>
          <w:rFonts w:ascii="Arial" w:hAnsi="Arial" w:cs="Arial"/>
          <w:b/>
          <w:bCs/>
        </w:rPr>
        <w:t>Financial</w:t>
      </w:r>
      <w:r w:rsidRPr="00AF1489">
        <w:rPr>
          <w:rFonts w:ascii="Arial" w:hAnsi="Arial" w:cs="Arial"/>
          <w:b/>
          <w:bCs/>
          <w:spacing w:val="-5"/>
        </w:rPr>
        <w:t xml:space="preserve"> </w:t>
      </w:r>
      <w:r w:rsidRPr="00AF1489">
        <w:rPr>
          <w:rFonts w:ascii="Arial" w:hAnsi="Arial" w:cs="Arial"/>
          <w:b/>
          <w:bCs/>
          <w:spacing w:val="-2"/>
        </w:rPr>
        <w:t>Statements</w:t>
      </w:r>
    </w:p>
    <w:p w14:paraId="47EF1A47" w14:textId="77777777" w:rsidR="00AF1489" w:rsidRPr="00AF1489" w:rsidRDefault="00AF1489" w:rsidP="00AF1489">
      <w:pPr>
        <w:rPr>
          <w:rFonts w:ascii="Arial" w:hAnsi="Arial" w:cs="Arial"/>
          <w:b/>
          <w:bCs/>
        </w:rPr>
      </w:pPr>
      <w:r w:rsidRPr="00AF1489">
        <w:rPr>
          <w:rFonts w:ascii="Arial" w:hAnsi="Arial" w:cs="Arial"/>
          <w:b/>
          <w:bCs/>
          <w:i/>
          <w:spacing w:val="-2"/>
        </w:rPr>
        <w:t>Opinions</w:t>
      </w:r>
    </w:p>
    <w:p w14:paraId="3ACFF54A" w14:textId="77777777" w:rsidR="00AF1489" w:rsidRPr="00AF1489" w:rsidRDefault="00AF1489" w:rsidP="00AF1489">
      <w:pPr>
        <w:pStyle w:val="BodyText"/>
        <w:spacing w:before="59"/>
        <w:ind w:right="117"/>
        <w:jc w:val="both"/>
        <w:rPr>
          <w:rFonts w:ascii="Arial" w:hAnsi="Arial" w:cs="Arial"/>
          <w:sz w:val="22"/>
          <w:szCs w:val="22"/>
        </w:rPr>
      </w:pPr>
      <w:r w:rsidRPr="00AF1489">
        <w:rPr>
          <w:rFonts w:ascii="Arial" w:hAnsi="Arial" w:cs="Arial"/>
          <w:sz w:val="22"/>
          <w:szCs w:val="22"/>
        </w:rPr>
        <w:t>We have audited the accompanying financial statements of the business-type activities, the discretely presented component unit, and the aggregate remaining fund information of the University of Maine System (the System) (a component unit of the state of Maine), as of and for the years ended June 30, 2022 and 2021 for the</w:t>
      </w:r>
      <w:r w:rsidRPr="00AF1489">
        <w:rPr>
          <w:rFonts w:ascii="Arial" w:hAnsi="Arial" w:cs="Arial"/>
          <w:spacing w:val="-1"/>
          <w:sz w:val="22"/>
          <w:szCs w:val="22"/>
        </w:rPr>
        <w:t xml:space="preserve"> </w:t>
      </w:r>
      <w:r w:rsidRPr="00AF1489">
        <w:rPr>
          <w:rFonts w:ascii="Arial" w:hAnsi="Arial" w:cs="Arial"/>
          <w:sz w:val="22"/>
          <w:szCs w:val="22"/>
        </w:rPr>
        <w:t>business-type activities and the aggregate remaining fund information, and as of and for the six month period and year</w:t>
      </w:r>
      <w:r w:rsidRPr="00AF1489">
        <w:rPr>
          <w:rFonts w:ascii="Arial" w:hAnsi="Arial" w:cs="Arial"/>
          <w:spacing w:val="40"/>
          <w:sz w:val="22"/>
          <w:szCs w:val="22"/>
        </w:rPr>
        <w:t xml:space="preserve"> </w:t>
      </w:r>
      <w:r w:rsidRPr="00AF1489">
        <w:rPr>
          <w:rFonts w:ascii="Arial" w:hAnsi="Arial" w:cs="Arial"/>
          <w:sz w:val="22"/>
          <w:szCs w:val="22"/>
        </w:rPr>
        <w:t>ended December 31, 2021 and June 30, 2021, respectively for the discretely presented component unit, and the related notes to the financial statements, which collectively comprise the System’s basic financial statements as listed in the table of contents.</w:t>
      </w:r>
    </w:p>
    <w:p w14:paraId="5701F1CC" w14:textId="77777777" w:rsidR="00AF1489" w:rsidRPr="00AF1489" w:rsidRDefault="00AF1489" w:rsidP="00AF1489">
      <w:pPr>
        <w:pStyle w:val="BodyText"/>
        <w:rPr>
          <w:rFonts w:ascii="Arial" w:hAnsi="Arial" w:cs="Arial"/>
          <w:sz w:val="22"/>
          <w:szCs w:val="22"/>
        </w:rPr>
      </w:pPr>
    </w:p>
    <w:p w14:paraId="00A5F7C1" w14:textId="77777777" w:rsidR="00AF1489" w:rsidRPr="00AF1489" w:rsidRDefault="00AF1489" w:rsidP="00AF1489">
      <w:pPr>
        <w:pStyle w:val="BodyText"/>
        <w:ind w:right="115"/>
        <w:jc w:val="both"/>
        <w:rPr>
          <w:rFonts w:ascii="Arial" w:hAnsi="Arial" w:cs="Arial"/>
          <w:sz w:val="22"/>
          <w:szCs w:val="22"/>
        </w:rPr>
      </w:pPr>
      <w:r w:rsidRPr="00AF1489">
        <w:rPr>
          <w:rFonts w:ascii="Arial" w:hAnsi="Arial" w:cs="Arial"/>
          <w:sz w:val="22"/>
          <w:szCs w:val="22"/>
        </w:rPr>
        <w:t>In our opinion, based on our audits and the reports of other auditors, the financial statements referred</w:t>
      </w:r>
      <w:r w:rsidRPr="00AF1489">
        <w:rPr>
          <w:rFonts w:ascii="Arial" w:hAnsi="Arial" w:cs="Arial"/>
          <w:spacing w:val="40"/>
          <w:sz w:val="22"/>
          <w:szCs w:val="22"/>
        </w:rPr>
        <w:t xml:space="preserve"> </w:t>
      </w:r>
      <w:r w:rsidRPr="00AF1489">
        <w:rPr>
          <w:rFonts w:ascii="Arial" w:hAnsi="Arial" w:cs="Arial"/>
          <w:sz w:val="22"/>
          <w:szCs w:val="22"/>
        </w:rPr>
        <w:t>to above present fairly, in all material respects, the respective financial position of the business-type activities,</w:t>
      </w:r>
      <w:r w:rsidRPr="00AF1489">
        <w:rPr>
          <w:rFonts w:ascii="Arial" w:hAnsi="Arial" w:cs="Arial"/>
          <w:spacing w:val="-1"/>
          <w:sz w:val="22"/>
          <w:szCs w:val="22"/>
        </w:rPr>
        <w:t xml:space="preserve"> </w:t>
      </w:r>
      <w:r w:rsidRPr="00AF1489">
        <w:rPr>
          <w:rFonts w:ascii="Arial" w:hAnsi="Arial" w:cs="Arial"/>
          <w:sz w:val="22"/>
          <w:szCs w:val="22"/>
        </w:rPr>
        <w:t>the</w:t>
      </w:r>
      <w:r w:rsidRPr="00AF1489">
        <w:rPr>
          <w:rFonts w:ascii="Arial" w:hAnsi="Arial" w:cs="Arial"/>
          <w:spacing w:val="-1"/>
          <w:sz w:val="22"/>
          <w:szCs w:val="22"/>
        </w:rPr>
        <w:t xml:space="preserve"> </w:t>
      </w:r>
      <w:r w:rsidRPr="00AF1489">
        <w:rPr>
          <w:rFonts w:ascii="Arial" w:hAnsi="Arial" w:cs="Arial"/>
          <w:sz w:val="22"/>
          <w:szCs w:val="22"/>
        </w:rPr>
        <w:t>discretely</w:t>
      </w:r>
      <w:r w:rsidRPr="00AF1489">
        <w:rPr>
          <w:rFonts w:ascii="Arial" w:hAnsi="Arial" w:cs="Arial"/>
          <w:spacing w:val="-2"/>
          <w:sz w:val="22"/>
          <w:szCs w:val="22"/>
        </w:rPr>
        <w:t xml:space="preserve"> </w:t>
      </w:r>
      <w:r w:rsidRPr="00AF1489">
        <w:rPr>
          <w:rFonts w:ascii="Arial" w:hAnsi="Arial" w:cs="Arial"/>
          <w:sz w:val="22"/>
          <w:szCs w:val="22"/>
        </w:rPr>
        <w:t>presented</w:t>
      </w:r>
      <w:r w:rsidRPr="00AF1489">
        <w:rPr>
          <w:rFonts w:ascii="Arial" w:hAnsi="Arial" w:cs="Arial"/>
          <w:spacing w:val="-1"/>
          <w:sz w:val="22"/>
          <w:szCs w:val="22"/>
        </w:rPr>
        <w:t xml:space="preserve"> </w:t>
      </w:r>
      <w:r w:rsidRPr="00AF1489">
        <w:rPr>
          <w:rFonts w:ascii="Arial" w:hAnsi="Arial" w:cs="Arial"/>
          <w:sz w:val="22"/>
          <w:szCs w:val="22"/>
        </w:rPr>
        <w:t>component</w:t>
      </w:r>
      <w:r w:rsidRPr="00AF1489">
        <w:rPr>
          <w:rFonts w:ascii="Arial" w:hAnsi="Arial" w:cs="Arial"/>
          <w:spacing w:val="-1"/>
          <w:sz w:val="22"/>
          <w:szCs w:val="22"/>
        </w:rPr>
        <w:t xml:space="preserve"> </w:t>
      </w:r>
      <w:r w:rsidRPr="00AF1489">
        <w:rPr>
          <w:rFonts w:ascii="Arial" w:hAnsi="Arial" w:cs="Arial"/>
          <w:sz w:val="22"/>
          <w:szCs w:val="22"/>
        </w:rPr>
        <w:t>unit,</w:t>
      </w:r>
      <w:r w:rsidRPr="00AF1489">
        <w:rPr>
          <w:rFonts w:ascii="Arial" w:hAnsi="Arial" w:cs="Arial"/>
          <w:spacing w:val="-1"/>
          <w:sz w:val="22"/>
          <w:szCs w:val="22"/>
        </w:rPr>
        <w:t xml:space="preserve"> </w:t>
      </w:r>
      <w:r w:rsidRPr="00AF1489">
        <w:rPr>
          <w:rFonts w:ascii="Arial" w:hAnsi="Arial" w:cs="Arial"/>
          <w:sz w:val="22"/>
          <w:szCs w:val="22"/>
        </w:rPr>
        <w:t>and</w:t>
      </w:r>
      <w:r w:rsidRPr="00AF1489">
        <w:rPr>
          <w:rFonts w:ascii="Arial" w:hAnsi="Arial" w:cs="Arial"/>
          <w:spacing w:val="-1"/>
          <w:sz w:val="22"/>
          <w:szCs w:val="22"/>
        </w:rPr>
        <w:t xml:space="preserve"> </w:t>
      </w:r>
      <w:r w:rsidRPr="00AF1489">
        <w:rPr>
          <w:rFonts w:ascii="Arial" w:hAnsi="Arial" w:cs="Arial"/>
          <w:sz w:val="22"/>
          <w:szCs w:val="22"/>
        </w:rPr>
        <w:t>the</w:t>
      </w:r>
      <w:r w:rsidRPr="00AF1489">
        <w:rPr>
          <w:rFonts w:ascii="Arial" w:hAnsi="Arial" w:cs="Arial"/>
          <w:spacing w:val="-3"/>
          <w:sz w:val="22"/>
          <w:szCs w:val="22"/>
        </w:rPr>
        <w:t xml:space="preserve"> </w:t>
      </w:r>
      <w:r w:rsidRPr="00AF1489">
        <w:rPr>
          <w:rFonts w:ascii="Arial" w:hAnsi="Arial" w:cs="Arial"/>
          <w:sz w:val="22"/>
          <w:szCs w:val="22"/>
        </w:rPr>
        <w:t>aggregate</w:t>
      </w:r>
      <w:r w:rsidRPr="00AF1489">
        <w:rPr>
          <w:rFonts w:ascii="Arial" w:hAnsi="Arial" w:cs="Arial"/>
          <w:spacing w:val="-1"/>
          <w:sz w:val="22"/>
          <w:szCs w:val="22"/>
        </w:rPr>
        <w:t xml:space="preserve"> </w:t>
      </w:r>
      <w:r w:rsidRPr="00AF1489">
        <w:rPr>
          <w:rFonts w:ascii="Arial" w:hAnsi="Arial" w:cs="Arial"/>
          <w:sz w:val="22"/>
          <w:szCs w:val="22"/>
        </w:rPr>
        <w:t>remaining</w:t>
      </w:r>
      <w:r w:rsidRPr="00AF1489">
        <w:rPr>
          <w:rFonts w:ascii="Arial" w:hAnsi="Arial" w:cs="Arial"/>
          <w:spacing w:val="-1"/>
          <w:sz w:val="22"/>
          <w:szCs w:val="22"/>
        </w:rPr>
        <w:t xml:space="preserve"> </w:t>
      </w:r>
      <w:r w:rsidRPr="00AF1489">
        <w:rPr>
          <w:rFonts w:ascii="Arial" w:hAnsi="Arial" w:cs="Arial"/>
          <w:sz w:val="22"/>
          <w:szCs w:val="22"/>
        </w:rPr>
        <w:t>fund</w:t>
      </w:r>
      <w:r w:rsidRPr="00AF1489">
        <w:rPr>
          <w:rFonts w:ascii="Arial" w:hAnsi="Arial" w:cs="Arial"/>
          <w:spacing w:val="-1"/>
          <w:sz w:val="22"/>
          <w:szCs w:val="22"/>
        </w:rPr>
        <w:t xml:space="preserve"> </w:t>
      </w:r>
      <w:r w:rsidRPr="00AF1489">
        <w:rPr>
          <w:rFonts w:ascii="Arial" w:hAnsi="Arial" w:cs="Arial"/>
          <w:sz w:val="22"/>
          <w:szCs w:val="22"/>
        </w:rPr>
        <w:t>information</w:t>
      </w:r>
      <w:r w:rsidRPr="00AF1489">
        <w:rPr>
          <w:rFonts w:ascii="Arial" w:hAnsi="Arial" w:cs="Arial"/>
          <w:spacing w:val="-1"/>
          <w:sz w:val="22"/>
          <w:szCs w:val="22"/>
        </w:rPr>
        <w:t xml:space="preserve"> </w:t>
      </w:r>
      <w:r w:rsidRPr="00AF1489">
        <w:rPr>
          <w:rFonts w:ascii="Arial" w:hAnsi="Arial" w:cs="Arial"/>
          <w:sz w:val="22"/>
          <w:szCs w:val="22"/>
        </w:rPr>
        <w:t>of</w:t>
      </w:r>
      <w:r w:rsidRPr="00AF1489">
        <w:rPr>
          <w:rFonts w:ascii="Arial" w:hAnsi="Arial" w:cs="Arial"/>
          <w:spacing w:val="-1"/>
          <w:sz w:val="22"/>
          <w:szCs w:val="22"/>
        </w:rPr>
        <w:t xml:space="preserve"> </w:t>
      </w:r>
      <w:r w:rsidRPr="00AF1489">
        <w:rPr>
          <w:rFonts w:ascii="Arial" w:hAnsi="Arial" w:cs="Arial"/>
          <w:sz w:val="22"/>
          <w:szCs w:val="22"/>
        </w:rPr>
        <w:t>the System, as of June 30, 2022 and 2021 for the business-type activity and the aggregate remaining fund information, and as of December 31, 2021 and June 30, 2021 for the discretely presented component unit, and the respective changes in financial position, and, where applicable, cash flows thereof for the years</w:t>
      </w:r>
      <w:r w:rsidRPr="00AF1489">
        <w:rPr>
          <w:rFonts w:ascii="Arial" w:hAnsi="Arial" w:cs="Arial"/>
          <w:spacing w:val="-3"/>
          <w:sz w:val="22"/>
          <w:szCs w:val="22"/>
        </w:rPr>
        <w:t xml:space="preserve"> </w:t>
      </w:r>
      <w:r w:rsidRPr="00AF1489">
        <w:rPr>
          <w:rFonts w:ascii="Arial" w:hAnsi="Arial" w:cs="Arial"/>
          <w:sz w:val="22"/>
          <w:szCs w:val="22"/>
        </w:rPr>
        <w:t>then</w:t>
      </w:r>
      <w:r w:rsidRPr="00AF1489">
        <w:rPr>
          <w:rFonts w:ascii="Arial" w:hAnsi="Arial" w:cs="Arial"/>
          <w:spacing w:val="-3"/>
          <w:sz w:val="22"/>
          <w:szCs w:val="22"/>
        </w:rPr>
        <w:t xml:space="preserve"> </w:t>
      </w:r>
      <w:r w:rsidRPr="00AF1489">
        <w:rPr>
          <w:rFonts w:ascii="Arial" w:hAnsi="Arial" w:cs="Arial"/>
          <w:sz w:val="22"/>
          <w:szCs w:val="22"/>
        </w:rPr>
        <w:t>ended</w:t>
      </w:r>
      <w:r w:rsidRPr="00AF1489">
        <w:rPr>
          <w:rFonts w:ascii="Arial" w:hAnsi="Arial" w:cs="Arial"/>
          <w:spacing w:val="-3"/>
          <w:sz w:val="22"/>
          <w:szCs w:val="22"/>
        </w:rPr>
        <w:t xml:space="preserve"> </w:t>
      </w:r>
      <w:r w:rsidRPr="00AF1489">
        <w:rPr>
          <w:rFonts w:ascii="Arial" w:hAnsi="Arial" w:cs="Arial"/>
          <w:sz w:val="22"/>
          <w:szCs w:val="22"/>
        </w:rPr>
        <w:t>for</w:t>
      </w:r>
      <w:r w:rsidRPr="00AF1489">
        <w:rPr>
          <w:rFonts w:ascii="Arial" w:hAnsi="Arial" w:cs="Arial"/>
          <w:spacing w:val="-3"/>
          <w:sz w:val="22"/>
          <w:szCs w:val="22"/>
        </w:rPr>
        <w:t xml:space="preserve"> </w:t>
      </w:r>
      <w:r w:rsidRPr="00AF1489">
        <w:rPr>
          <w:rFonts w:ascii="Arial" w:hAnsi="Arial" w:cs="Arial"/>
          <w:sz w:val="22"/>
          <w:szCs w:val="22"/>
        </w:rPr>
        <w:t>the</w:t>
      </w:r>
      <w:r w:rsidRPr="00AF1489">
        <w:rPr>
          <w:rFonts w:ascii="Arial" w:hAnsi="Arial" w:cs="Arial"/>
          <w:spacing w:val="-3"/>
          <w:sz w:val="22"/>
          <w:szCs w:val="22"/>
        </w:rPr>
        <w:t xml:space="preserve"> </w:t>
      </w:r>
      <w:r w:rsidRPr="00AF1489">
        <w:rPr>
          <w:rFonts w:ascii="Arial" w:hAnsi="Arial" w:cs="Arial"/>
          <w:sz w:val="22"/>
          <w:szCs w:val="22"/>
        </w:rPr>
        <w:t>business-type</w:t>
      </w:r>
      <w:r w:rsidRPr="00AF1489">
        <w:rPr>
          <w:rFonts w:ascii="Arial" w:hAnsi="Arial" w:cs="Arial"/>
          <w:spacing w:val="-3"/>
          <w:sz w:val="22"/>
          <w:szCs w:val="22"/>
        </w:rPr>
        <w:t xml:space="preserve"> </w:t>
      </w:r>
      <w:r w:rsidRPr="00AF1489">
        <w:rPr>
          <w:rFonts w:ascii="Arial" w:hAnsi="Arial" w:cs="Arial"/>
          <w:sz w:val="22"/>
          <w:szCs w:val="22"/>
        </w:rPr>
        <w:t>activities</w:t>
      </w:r>
      <w:r w:rsidRPr="00AF1489">
        <w:rPr>
          <w:rFonts w:ascii="Arial" w:hAnsi="Arial" w:cs="Arial"/>
          <w:spacing w:val="-4"/>
          <w:sz w:val="22"/>
          <w:szCs w:val="22"/>
        </w:rPr>
        <w:t xml:space="preserve"> </w:t>
      </w:r>
      <w:r w:rsidRPr="00AF1489">
        <w:rPr>
          <w:rFonts w:ascii="Arial" w:hAnsi="Arial" w:cs="Arial"/>
          <w:sz w:val="22"/>
          <w:szCs w:val="22"/>
        </w:rPr>
        <w:t>and</w:t>
      </w:r>
      <w:r w:rsidRPr="00AF1489">
        <w:rPr>
          <w:rFonts w:ascii="Arial" w:hAnsi="Arial" w:cs="Arial"/>
          <w:spacing w:val="-3"/>
          <w:sz w:val="22"/>
          <w:szCs w:val="22"/>
        </w:rPr>
        <w:t xml:space="preserve"> </w:t>
      </w:r>
      <w:r w:rsidRPr="00AF1489">
        <w:rPr>
          <w:rFonts w:ascii="Arial" w:hAnsi="Arial" w:cs="Arial"/>
          <w:sz w:val="22"/>
          <w:szCs w:val="22"/>
        </w:rPr>
        <w:t>the</w:t>
      </w:r>
      <w:r w:rsidRPr="00AF1489">
        <w:rPr>
          <w:rFonts w:ascii="Arial" w:hAnsi="Arial" w:cs="Arial"/>
          <w:spacing w:val="-3"/>
          <w:sz w:val="22"/>
          <w:szCs w:val="22"/>
        </w:rPr>
        <w:t xml:space="preserve"> </w:t>
      </w:r>
      <w:r w:rsidRPr="00AF1489">
        <w:rPr>
          <w:rFonts w:ascii="Arial" w:hAnsi="Arial" w:cs="Arial"/>
          <w:sz w:val="22"/>
          <w:szCs w:val="22"/>
        </w:rPr>
        <w:t>aggregate</w:t>
      </w:r>
      <w:r w:rsidRPr="00AF1489">
        <w:rPr>
          <w:rFonts w:ascii="Arial" w:hAnsi="Arial" w:cs="Arial"/>
          <w:spacing w:val="-3"/>
          <w:sz w:val="22"/>
          <w:szCs w:val="22"/>
        </w:rPr>
        <w:t xml:space="preserve"> </w:t>
      </w:r>
      <w:r w:rsidRPr="00AF1489">
        <w:rPr>
          <w:rFonts w:ascii="Arial" w:hAnsi="Arial" w:cs="Arial"/>
          <w:sz w:val="22"/>
          <w:szCs w:val="22"/>
        </w:rPr>
        <w:t>remaining</w:t>
      </w:r>
      <w:r w:rsidRPr="00AF1489">
        <w:rPr>
          <w:rFonts w:ascii="Arial" w:hAnsi="Arial" w:cs="Arial"/>
          <w:spacing w:val="-3"/>
          <w:sz w:val="22"/>
          <w:szCs w:val="22"/>
        </w:rPr>
        <w:t xml:space="preserve"> </w:t>
      </w:r>
      <w:r w:rsidRPr="00AF1489">
        <w:rPr>
          <w:rFonts w:ascii="Arial" w:hAnsi="Arial" w:cs="Arial"/>
          <w:sz w:val="22"/>
          <w:szCs w:val="22"/>
        </w:rPr>
        <w:t>fund</w:t>
      </w:r>
      <w:r w:rsidRPr="00AF1489">
        <w:rPr>
          <w:rFonts w:ascii="Arial" w:hAnsi="Arial" w:cs="Arial"/>
          <w:spacing w:val="-3"/>
          <w:sz w:val="22"/>
          <w:szCs w:val="22"/>
        </w:rPr>
        <w:t xml:space="preserve"> </w:t>
      </w:r>
      <w:r w:rsidRPr="00AF1489">
        <w:rPr>
          <w:rFonts w:ascii="Arial" w:hAnsi="Arial" w:cs="Arial"/>
          <w:sz w:val="22"/>
          <w:szCs w:val="22"/>
        </w:rPr>
        <w:t>information,</w:t>
      </w:r>
      <w:r w:rsidRPr="00AF1489">
        <w:rPr>
          <w:rFonts w:ascii="Arial" w:hAnsi="Arial" w:cs="Arial"/>
          <w:spacing w:val="-3"/>
          <w:sz w:val="22"/>
          <w:szCs w:val="22"/>
        </w:rPr>
        <w:t xml:space="preserve"> </w:t>
      </w:r>
      <w:r w:rsidRPr="00AF1489">
        <w:rPr>
          <w:rFonts w:ascii="Arial" w:hAnsi="Arial" w:cs="Arial"/>
          <w:sz w:val="22"/>
          <w:szCs w:val="22"/>
        </w:rPr>
        <w:t>and</w:t>
      </w:r>
      <w:r w:rsidRPr="00AF1489">
        <w:rPr>
          <w:rFonts w:ascii="Arial" w:hAnsi="Arial" w:cs="Arial"/>
          <w:spacing w:val="-3"/>
          <w:sz w:val="22"/>
          <w:szCs w:val="22"/>
        </w:rPr>
        <w:t xml:space="preserve"> </w:t>
      </w:r>
      <w:r w:rsidRPr="00AF1489">
        <w:rPr>
          <w:rFonts w:ascii="Arial" w:hAnsi="Arial" w:cs="Arial"/>
          <w:sz w:val="22"/>
          <w:szCs w:val="22"/>
        </w:rPr>
        <w:t>the six month period and year then ended for the discretely presented component unit, in accordance with accounting principles generally accepted in the United States of America.</w:t>
      </w:r>
    </w:p>
    <w:p w14:paraId="7A1E5604" w14:textId="77777777" w:rsidR="00AF1489" w:rsidRPr="00AF1489" w:rsidRDefault="00AF1489" w:rsidP="00AF1489">
      <w:pPr>
        <w:pStyle w:val="BodyText"/>
        <w:rPr>
          <w:rFonts w:ascii="Arial" w:hAnsi="Arial" w:cs="Arial"/>
          <w:sz w:val="22"/>
          <w:szCs w:val="22"/>
        </w:rPr>
      </w:pPr>
    </w:p>
    <w:p w14:paraId="78D6CC6A" w14:textId="77777777" w:rsidR="00AF1489" w:rsidRPr="00AF1489" w:rsidRDefault="00AF1489" w:rsidP="00AF1489">
      <w:pPr>
        <w:pStyle w:val="BodyText"/>
        <w:ind w:right="117"/>
        <w:jc w:val="both"/>
        <w:rPr>
          <w:rFonts w:ascii="Arial" w:hAnsi="Arial" w:cs="Arial"/>
          <w:sz w:val="22"/>
          <w:szCs w:val="22"/>
        </w:rPr>
      </w:pPr>
      <w:r w:rsidRPr="00AF1489">
        <w:rPr>
          <w:rFonts w:ascii="Arial" w:hAnsi="Arial" w:cs="Arial"/>
          <w:sz w:val="22"/>
          <w:szCs w:val="22"/>
        </w:rPr>
        <w:t>We did not audit the financial statements of the discretely presented component unit which statements represent</w:t>
      </w:r>
      <w:r w:rsidRPr="00AF1489">
        <w:rPr>
          <w:rFonts w:ascii="Arial" w:hAnsi="Arial" w:cs="Arial"/>
          <w:spacing w:val="-3"/>
          <w:sz w:val="22"/>
          <w:szCs w:val="22"/>
        </w:rPr>
        <w:t xml:space="preserve"> </w:t>
      </w:r>
      <w:r w:rsidRPr="00AF1489">
        <w:rPr>
          <w:rFonts w:ascii="Arial" w:hAnsi="Arial" w:cs="Arial"/>
          <w:sz w:val="22"/>
          <w:szCs w:val="22"/>
        </w:rPr>
        <w:t>100%</w:t>
      </w:r>
      <w:r w:rsidRPr="00AF1489">
        <w:rPr>
          <w:rFonts w:ascii="Arial" w:hAnsi="Arial" w:cs="Arial"/>
          <w:spacing w:val="-3"/>
          <w:sz w:val="22"/>
          <w:szCs w:val="22"/>
        </w:rPr>
        <w:t xml:space="preserve"> </w:t>
      </w:r>
      <w:r w:rsidRPr="00AF1489">
        <w:rPr>
          <w:rFonts w:ascii="Arial" w:hAnsi="Arial" w:cs="Arial"/>
          <w:sz w:val="22"/>
          <w:szCs w:val="22"/>
        </w:rPr>
        <w:t>of</w:t>
      </w:r>
      <w:r w:rsidRPr="00AF1489">
        <w:rPr>
          <w:rFonts w:ascii="Arial" w:hAnsi="Arial" w:cs="Arial"/>
          <w:spacing w:val="-3"/>
          <w:sz w:val="22"/>
          <w:szCs w:val="22"/>
        </w:rPr>
        <w:t xml:space="preserve"> </w:t>
      </w:r>
      <w:r w:rsidRPr="00AF1489">
        <w:rPr>
          <w:rFonts w:ascii="Arial" w:hAnsi="Arial" w:cs="Arial"/>
          <w:sz w:val="22"/>
          <w:szCs w:val="22"/>
        </w:rPr>
        <w:t>asset,</w:t>
      </w:r>
      <w:r w:rsidRPr="00AF1489">
        <w:rPr>
          <w:rFonts w:ascii="Arial" w:hAnsi="Arial" w:cs="Arial"/>
          <w:spacing w:val="-3"/>
          <w:sz w:val="22"/>
          <w:szCs w:val="22"/>
        </w:rPr>
        <w:t xml:space="preserve"> </w:t>
      </w:r>
      <w:r w:rsidRPr="00AF1489">
        <w:rPr>
          <w:rFonts w:ascii="Arial" w:hAnsi="Arial" w:cs="Arial"/>
          <w:sz w:val="22"/>
          <w:szCs w:val="22"/>
        </w:rPr>
        <w:t>net</w:t>
      </w:r>
      <w:r w:rsidRPr="00AF1489">
        <w:rPr>
          <w:rFonts w:ascii="Arial" w:hAnsi="Arial" w:cs="Arial"/>
          <w:spacing w:val="-3"/>
          <w:sz w:val="22"/>
          <w:szCs w:val="22"/>
        </w:rPr>
        <w:t xml:space="preserve"> </w:t>
      </w:r>
      <w:r w:rsidRPr="00AF1489">
        <w:rPr>
          <w:rFonts w:ascii="Arial" w:hAnsi="Arial" w:cs="Arial"/>
          <w:sz w:val="22"/>
          <w:szCs w:val="22"/>
        </w:rPr>
        <w:t>assets</w:t>
      </w:r>
      <w:r w:rsidRPr="00AF1489">
        <w:rPr>
          <w:rFonts w:ascii="Arial" w:hAnsi="Arial" w:cs="Arial"/>
          <w:spacing w:val="-3"/>
          <w:sz w:val="22"/>
          <w:szCs w:val="22"/>
        </w:rPr>
        <w:t xml:space="preserve"> </w:t>
      </w:r>
      <w:r w:rsidRPr="00AF1489">
        <w:rPr>
          <w:rFonts w:ascii="Arial" w:hAnsi="Arial" w:cs="Arial"/>
          <w:sz w:val="22"/>
          <w:szCs w:val="22"/>
        </w:rPr>
        <w:t>and</w:t>
      </w:r>
      <w:r w:rsidRPr="00AF1489">
        <w:rPr>
          <w:rFonts w:ascii="Arial" w:hAnsi="Arial" w:cs="Arial"/>
          <w:spacing w:val="-3"/>
          <w:sz w:val="22"/>
          <w:szCs w:val="22"/>
        </w:rPr>
        <w:t xml:space="preserve"> </w:t>
      </w:r>
      <w:r w:rsidRPr="00AF1489">
        <w:rPr>
          <w:rFonts w:ascii="Arial" w:hAnsi="Arial" w:cs="Arial"/>
          <w:sz w:val="22"/>
          <w:szCs w:val="22"/>
        </w:rPr>
        <w:t>revenues</w:t>
      </w:r>
      <w:r w:rsidRPr="00AF1489">
        <w:rPr>
          <w:rFonts w:ascii="Arial" w:hAnsi="Arial" w:cs="Arial"/>
          <w:spacing w:val="-3"/>
          <w:sz w:val="22"/>
          <w:szCs w:val="22"/>
        </w:rPr>
        <w:t xml:space="preserve"> </w:t>
      </w:r>
      <w:r w:rsidRPr="00AF1489">
        <w:rPr>
          <w:rFonts w:ascii="Arial" w:hAnsi="Arial" w:cs="Arial"/>
          <w:sz w:val="22"/>
          <w:szCs w:val="22"/>
        </w:rPr>
        <w:t>of</w:t>
      </w:r>
      <w:r w:rsidRPr="00AF1489">
        <w:rPr>
          <w:rFonts w:ascii="Arial" w:hAnsi="Arial" w:cs="Arial"/>
          <w:spacing w:val="-3"/>
          <w:sz w:val="22"/>
          <w:szCs w:val="22"/>
        </w:rPr>
        <w:t xml:space="preserve"> </w:t>
      </w:r>
      <w:r w:rsidRPr="00AF1489">
        <w:rPr>
          <w:rFonts w:ascii="Arial" w:hAnsi="Arial" w:cs="Arial"/>
          <w:sz w:val="22"/>
          <w:szCs w:val="22"/>
        </w:rPr>
        <w:t>the</w:t>
      </w:r>
      <w:r w:rsidRPr="00AF1489">
        <w:rPr>
          <w:rFonts w:ascii="Arial" w:hAnsi="Arial" w:cs="Arial"/>
          <w:spacing w:val="-3"/>
          <w:sz w:val="22"/>
          <w:szCs w:val="22"/>
        </w:rPr>
        <w:t xml:space="preserve"> </w:t>
      </w:r>
      <w:r w:rsidRPr="00AF1489">
        <w:rPr>
          <w:rFonts w:ascii="Arial" w:hAnsi="Arial" w:cs="Arial"/>
          <w:sz w:val="22"/>
          <w:szCs w:val="22"/>
        </w:rPr>
        <w:t>discretely</w:t>
      </w:r>
      <w:r w:rsidRPr="00AF1489">
        <w:rPr>
          <w:rFonts w:ascii="Arial" w:hAnsi="Arial" w:cs="Arial"/>
          <w:spacing w:val="-3"/>
          <w:sz w:val="22"/>
          <w:szCs w:val="22"/>
        </w:rPr>
        <w:t xml:space="preserve"> </w:t>
      </w:r>
      <w:r w:rsidRPr="00AF1489">
        <w:rPr>
          <w:rFonts w:ascii="Arial" w:hAnsi="Arial" w:cs="Arial"/>
          <w:sz w:val="22"/>
          <w:szCs w:val="22"/>
        </w:rPr>
        <w:t>presented</w:t>
      </w:r>
      <w:r w:rsidRPr="00AF1489">
        <w:rPr>
          <w:rFonts w:ascii="Arial" w:hAnsi="Arial" w:cs="Arial"/>
          <w:spacing w:val="-3"/>
          <w:sz w:val="22"/>
          <w:szCs w:val="22"/>
        </w:rPr>
        <w:t xml:space="preserve"> </w:t>
      </w:r>
      <w:r w:rsidRPr="00AF1489">
        <w:rPr>
          <w:rFonts w:ascii="Arial" w:hAnsi="Arial" w:cs="Arial"/>
          <w:sz w:val="22"/>
          <w:szCs w:val="22"/>
        </w:rPr>
        <w:t>component</w:t>
      </w:r>
      <w:r w:rsidRPr="00AF1489">
        <w:rPr>
          <w:rFonts w:ascii="Arial" w:hAnsi="Arial" w:cs="Arial"/>
          <w:spacing w:val="-3"/>
          <w:sz w:val="22"/>
          <w:szCs w:val="22"/>
        </w:rPr>
        <w:t xml:space="preserve"> </w:t>
      </w:r>
      <w:r w:rsidRPr="00AF1489">
        <w:rPr>
          <w:rFonts w:ascii="Arial" w:hAnsi="Arial" w:cs="Arial"/>
          <w:sz w:val="22"/>
          <w:szCs w:val="22"/>
        </w:rPr>
        <w:t>unit</w:t>
      </w:r>
      <w:r w:rsidRPr="00AF1489">
        <w:rPr>
          <w:rFonts w:ascii="Arial" w:hAnsi="Arial" w:cs="Arial"/>
          <w:spacing w:val="-3"/>
          <w:sz w:val="22"/>
          <w:szCs w:val="22"/>
        </w:rPr>
        <w:t xml:space="preserve"> </w:t>
      </w:r>
      <w:r w:rsidRPr="00AF1489">
        <w:rPr>
          <w:rFonts w:ascii="Arial" w:hAnsi="Arial" w:cs="Arial"/>
          <w:sz w:val="22"/>
          <w:szCs w:val="22"/>
        </w:rPr>
        <w:t>as</w:t>
      </w:r>
      <w:r w:rsidRPr="00AF1489">
        <w:rPr>
          <w:rFonts w:ascii="Arial" w:hAnsi="Arial" w:cs="Arial"/>
          <w:spacing w:val="-3"/>
          <w:sz w:val="22"/>
          <w:szCs w:val="22"/>
        </w:rPr>
        <w:t xml:space="preserve"> </w:t>
      </w:r>
      <w:r w:rsidRPr="00AF1489">
        <w:rPr>
          <w:rFonts w:ascii="Arial" w:hAnsi="Arial" w:cs="Arial"/>
          <w:sz w:val="22"/>
          <w:szCs w:val="22"/>
        </w:rPr>
        <w:t>of</w:t>
      </w:r>
      <w:r w:rsidRPr="00AF1489">
        <w:rPr>
          <w:rFonts w:ascii="Arial" w:hAnsi="Arial" w:cs="Arial"/>
          <w:spacing w:val="-3"/>
          <w:sz w:val="22"/>
          <w:szCs w:val="22"/>
        </w:rPr>
        <w:t xml:space="preserve"> </w:t>
      </w:r>
      <w:r w:rsidRPr="00AF1489">
        <w:rPr>
          <w:rFonts w:ascii="Arial" w:hAnsi="Arial" w:cs="Arial"/>
          <w:sz w:val="22"/>
          <w:szCs w:val="22"/>
        </w:rPr>
        <w:t>and for the six months ended December 31, 2021, and as of and for the year ended June 30, 2021. Those statements were audited by other auditors, whose reports have been furnished to us, and our opinion, insofar as it relates to the amounts included for the discretely presented component unit, is based</w:t>
      </w:r>
      <w:r w:rsidRPr="00AF1489">
        <w:rPr>
          <w:rFonts w:ascii="Arial" w:hAnsi="Arial" w:cs="Arial"/>
          <w:spacing w:val="40"/>
          <w:sz w:val="22"/>
          <w:szCs w:val="22"/>
        </w:rPr>
        <w:t xml:space="preserve"> </w:t>
      </w:r>
      <w:r w:rsidRPr="00AF1489">
        <w:rPr>
          <w:rFonts w:ascii="Arial" w:hAnsi="Arial" w:cs="Arial"/>
          <w:sz w:val="22"/>
          <w:szCs w:val="22"/>
        </w:rPr>
        <w:t>solely on the reports of the other auditor.</w:t>
      </w:r>
    </w:p>
    <w:p w14:paraId="636CF8B7" w14:textId="77777777" w:rsidR="00AF1489" w:rsidRPr="00AF1489" w:rsidRDefault="00AF1489" w:rsidP="00AF1489">
      <w:pPr>
        <w:pStyle w:val="BodyText"/>
        <w:rPr>
          <w:rFonts w:ascii="Arial" w:hAnsi="Arial" w:cs="Arial"/>
          <w:sz w:val="22"/>
          <w:szCs w:val="22"/>
        </w:rPr>
      </w:pPr>
    </w:p>
    <w:p w14:paraId="668E6835" w14:textId="77777777" w:rsidR="00AF1489" w:rsidRPr="00AF1489" w:rsidRDefault="00AF1489" w:rsidP="00AF1489">
      <w:pPr>
        <w:pStyle w:val="Heading2"/>
      </w:pPr>
      <w:r w:rsidRPr="00AF1489">
        <w:t>Basis</w:t>
      </w:r>
      <w:r w:rsidRPr="00AF1489">
        <w:rPr>
          <w:spacing w:val="-5"/>
        </w:rPr>
        <w:t xml:space="preserve"> </w:t>
      </w:r>
      <w:r w:rsidRPr="00AF1489">
        <w:t>for</w:t>
      </w:r>
      <w:r w:rsidRPr="00AF1489">
        <w:rPr>
          <w:spacing w:val="-4"/>
        </w:rPr>
        <w:t xml:space="preserve"> </w:t>
      </w:r>
      <w:r w:rsidRPr="00AF1489">
        <w:rPr>
          <w:spacing w:val="-2"/>
        </w:rPr>
        <w:t>Opinions</w:t>
      </w:r>
    </w:p>
    <w:p w14:paraId="0040B065" w14:textId="77777777" w:rsidR="00AF1489" w:rsidRPr="00AF1489" w:rsidRDefault="00AF1489" w:rsidP="00AF1489">
      <w:pPr>
        <w:pStyle w:val="BodyText"/>
        <w:spacing w:before="59"/>
        <w:ind w:right="116"/>
        <w:jc w:val="both"/>
        <w:rPr>
          <w:rFonts w:ascii="Arial" w:hAnsi="Arial" w:cs="Arial"/>
          <w:i/>
          <w:sz w:val="22"/>
          <w:szCs w:val="22"/>
        </w:rPr>
      </w:pPr>
      <w:r w:rsidRPr="00AF1489">
        <w:rPr>
          <w:rFonts w:ascii="Arial" w:hAnsi="Arial" w:cs="Arial"/>
          <w:sz w:val="22"/>
          <w:szCs w:val="22"/>
        </w:rPr>
        <w:t>We</w:t>
      </w:r>
      <w:r w:rsidRPr="00AF1489">
        <w:rPr>
          <w:rFonts w:ascii="Arial" w:hAnsi="Arial" w:cs="Arial"/>
          <w:spacing w:val="-2"/>
          <w:sz w:val="22"/>
          <w:szCs w:val="22"/>
        </w:rPr>
        <w:t xml:space="preserve"> </w:t>
      </w:r>
      <w:r w:rsidRPr="00AF1489">
        <w:rPr>
          <w:rFonts w:ascii="Arial" w:hAnsi="Arial" w:cs="Arial"/>
          <w:sz w:val="22"/>
          <w:szCs w:val="22"/>
        </w:rPr>
        <w:t>conducted</w:t>
      </w:r>
      <w:r w:rsidRPr="00AF1489">
        <w:rPr>
          <w:rFonts w:ascii="Arial" w:hAnsi="Arial" w:cs="Arial"/>
          <w:spacing w:val="-2"/>
          <w:sz w:val="22"/>
          <w:szCs w:val="22"/>
        </w:rPr>
        <w:t xml:space="preserve"> </w:t>
      </w:r>
      <w:r w:rsidRPr="00AF1489">
        <w:rPr>
          <w:rFonts w:ascii="Arial" w:hAnsi="Arial" w:cs="Arial"/>
          <w:sz w:val="22"/>
          <w:szCs w:val="22"/>
        </w:rPr>
        <w:t>our</w:t>
      </w:r>
      <w:r w:rsidRPr="00AF1489">
        <w:rPr>
          <w:rFonts w:ascii="Arial" w:hAnsi="Arial" w:cs="Arial"/>
          <w:spacing w:val="-2"/>
          <w:sz w:val="22"/>
          <w:szCs w:val="22"/>
        </w:rPr>
        <w:t xml:space="preserve"> </w:t>
      </w:r>
      <w:r w:rsidRPr="00AF1489">
        <w:rPr>
          <w:rFonts w:ascii="Arial" w:hAnsi="Arial" w:cs="Arial"/>
          <w:sz w:val="22"/>
          <w:szCs w:val="22"/>
        </w:rPr>
        <w:t>audits</w:t>
      </w:r>
      <w:r w:rsidRPr="00AF1489">
        <w:rPr>
          <w:rFonts w:ascii="Arial" w:hAnsi="Arial" w:cs="Arial"/>
          <w:spacing w:val="-2"/>
          <w:sz w:val="22"/>
          <w:szCs w:val="22"/>
        </w:rPr>
        <w:t xml:space="preserve"> </w:t>
      </w:r>
      <w:r w:rsidRPr="00AF1489">
        <w:rPr>
          <w:rFonts w:ascii="Arial" w:hAnsi="Arial" w:cs="Arial"/>
          <w:sz w:val="22"/>
          <w:szCs w:val="22"/>
        </w:rPr>
        <w:t>in</w:t>
      </w:r>
      <w:r w:rsidRPr="00AF1489">
        <w:rPr>
          <w:rFonts w:ascii="Arial" w:hAnsi="Arial" w:cs="Arial"/>
          <w:spacing w:val="-2"/>
          <w:sz w:val="22"/>
          <w:szCs w:val="22"/>
        </w:rPr>
        <w:t xml:space="preserve"> </w:t>
      </w:r>
      <w:r w:rsidRPr="00AF1489">
        <w:rPr>
          <w:rFonts w:ascii="Arial" w:hAnsi="Arial" w:cs="Arial"/>
          <w:sz w:val="22"/>
          <w:szCs w:val="22"/>
        </w:rPr>
        <w:t>accordance</w:t>
      </w:r>
      <w:r w:rsidRPr="00AF1489">
        <w:rPr>
          <w:rFonts w:ascii="Arial" w:hAnsi="Arial" w:cs="Arial"/>
          <w:spacing w:val="-2"/>
          <w:sz w:val="22"/>
          <w:szCs w:val="22"/>
        </w:rPr>
        <w:t xml:space="preserve"> </w:t>
      </w:r>
      <w:r w:rsidRPr="00AF1489">
        <w:rPr>
          <w:rFonts w:ascii="Arial" w:hAnsi="Arial" w:cs="Arial"/>
          <w:sz w:val="22"/>
          <w:szCs w:val="22"/>
        </w:rPr>
        <w:t>with</w:t>
      </w:r>
      <w:r w:rsidRPr="00AF1489">
        <w:rPr>
          <w:rFonts w:ascii="Arial" w:hAnsi="Arial" w:cs="Arial"/>
          <w:spacing w:val="-2"/>
          <w:sz w:val="22"/>
          <w:szCs w:val="22"/>
        </w:rPr>
        <w:t xml:space="preserve"> </w:t>
      </w:r>
      <w:r w:rsidRPr="00AF1489">
        <w:rPr>
          <w:rFonts w:ascii="Arial" w:hAnsi="Arial" w:cs="Arial"/>
          <w:sz w:val="22"/>
          <w:szCs w:val="22"/>
        </w:rPr>
        <w:t>auditing</w:t>
      </w:r>
      <w:r w:rsidRPr="00AF1489">
        <w:rPr>
          <w:rFonts w:ascii="Arial" w:hAnsi="Arial" w:cs="Arial"/>
          <w:spacing w:val="-2"/>
          <w:sz w:val="22"/>
          <w:szCs w:val="22"/>
        </w:rPr>
        <w:t xml:space="preserve"> </w:t>
      </w:r>
      <w:r w:rsidRPr="00AF1489">
        <w:rPr>
          <w:rFonts w:ascii="Arial" w:hAnsi="Arial" w:cs="Arial"/>
          <w:sz w:val="22"/>
          <w:szCs w:val="22"/>
        </w:rPr>
        <w:t>standards</w:t>
      </w:r>
      <w:r w:rsidRPr="00AF1489">
        <w:rPr>
          <w:rFonts w:ascii="Arial" w:hAnsi="Arial" w:cs="Arial"/>
          <w:spacing w:val="-2"/>
          <w:sz w:val="22"/>
          <w:szCs w:val="22"/>
        </w:rPr>
        <w:t xml:space="preserve"> </w:t>
      </w:r>
      <w:r w:rsidRPr="00AF1489">
        <w:rPr>
          <w:rFonts w:ascii="Arial" w:hAnsi="Arial" w:cs="Arial"/>
          <w:sz w:val="22"/>
          <w:szCs w:val="22"/>
        </w:rPr>
        <w:t>generally</w:t>
      </w:r>
      <w:r w:rsidRPr="00AF1489">
        <w:rPr>
          <w:rFonts w:ascii="Arial" w:hAnsi="Arial" w:cs="Arial"/>
          <w:spacing w:val="-2"/>
          <w:sz w:val="22"/>
          <w:szCs w:val="22"/>
        </w:rPr>
        <w:t xml:space="preserve"> </w:t>
      </w:r>
      <w:r w:rsidRPr="00AF1489">
        <w:rPr>
          <w:rFonts w:ascii="Arial" w:hAnsi="Arial" w:cs="Arial"/>
          <w:sz w:val="22"/>
          <w:szCs w:val="22"/>
        </w:rPr>
        <w:t>accepted</w:t>
      </w:r>
      <w:r w:rsidRPr="00AF1489">
        <w:rPr>
          <w:rFonts w:ascii="Arial" w:hAnsi="Arial" w:cs="Arial"/>
          <w:spacing w:val="-2"/>
          <w:sz w:val="22"/>
          <w:szCs w:val="22"/>
        </w:rPr>
        <w:t xml:space="preserve"> </w:t>
      </w:r>
      <w:r w:rsidRPr="00AF1489">
        <w:rPr>
          <w:rFonts w:ascii="Arial" w:hAnsi="Arial" w:cs="Arial"/>
          <w:sz w:val="22"/>
          <w:szCs w:val="22"/>
        </w:rPr>
        <w:t>in</w:t>
      </w:r>
      <w:r w:rsidRPr="00AF1489">
        <w:rPr>
          <w:rFonts w:ascii="Arial" w:hAnsi="Arial" w:cs="Arial"/>
          <w:spacing w:val="-2"/>
          <w:sz w:val="22"/>
          <w:szCs w:val="22"/>
        </w:rPr>
        <w:t xml:space="preserve"> </w:t>
      </w:r>
      <w:r w:rsidRPr="00AF1489">
        <w:rPr>
          <w:rFonts w:ascii="Arial" w:hAnsi="Arial" w:cs="Arial"/>
          <w:sz w:val="22"/>
          <w:szCs w:val="22"/>
        </w:rPr>
        <w:t>the</w:t>
      </w:r>
      <w:r w:rsidRPr="00AF1489">
        <w:rPr>
          <w:rFonts w:ascii="Arial" w:hAnsi="Arial" w:cs="Arial"/>
          <w:spacing w:val="-2"/>
          <w:sz w:val="22"/>
          <w:szCs w:val="22"/>
        </w:rPr>
        <w:t xml:space="preserve"> </w:t>
      </w:r>
      <w:r w:rsidRPr="00AF1489">
        <w:rPr>
          <w:rFonts w:ascii="Arial" w:hAnsi="Arial" w:cs="Arial"/>
          <w:sz w:val="22"/>
          <w:szCs w:val="22"/>
        </w:rPr>
        <w:t>United</w:t>
      </w:r>
      <w:r w:rsidRPr="00AF1489">
        <w:rPr>
          <w:rFonts w:ascii="Arial" w:hAnsi="Arial" w:cs="Arial"/>
          <w:spacing w:val="-3"/>
          <w:sz w:val="22"/>
          <w:szCs w:val="22"/>
        </w:rPr>
        <w:t xml:space="preserve"> </w:t>
      </w:r>
      <w:r w:rsidRPr="00AF1489">
        <w:rPr>
          <w:rFonts w:ascii="Arial" w:hAnsi="Arial" w:cs="Arial"/>
          <w:sz w:val="22"/>
          <w:szCs w:val="22"/>
        </w:rPr>
        <w:t xml:space="preserve">States of America (GAAS) and the standards applicable to financial audits contained in </w:t>
      </w:r>
      <w:r w:rsidRPr="00AF1489">
        <w:rPr>
          <w:rFonts w:ascii="Arial" w:hAnsi="Arial" w:cs="Arial"/>
          <w:i/>
          <w:sz w:val="22"/>
          <w:szCs w:val="22"/>
        </w:rPr>
        <w:t>Government Auditing Standards</w:t>
      </w:r>
      <w:r w:rsidRPr="00AF1489">
        <w:rPr>
          <w:rFonts w:ascii="Arial" w:hAnsi="Arial" w:cs="Arial"/>
          <w:sz w:val="22"/>
          <w:szCs w:val="22"/>
        </w:rPr>
        <w:t xml:space="preserve">, issued by the Comptroller General of the United States. Our responsibilities under those standards are further described in the Auditors’ Responsibilities for the Audit of the Financial Statements section of our report. We are required to be independent of the System and to meet our other ethical responsibilities, in accordance with the relevant ethical requirements relating to our audits. We believe that the audit evidence we have obtained is sufficient and appropriate to provide a basis for our audit opinions. The financial statements of the discretely presented component unit, the University of Maine Foundation (Foundation), were not audited in accordance with </w:t>
      </w:r>
      <w:r w:rsidRPr="00AF1489">
        <w:rPr>
          <w:rFonts w:ascii="Arial" w:hAnsi="Arial" w:cs="Arial"/>
          <w:i/>
          <w:sz w:val="22"/>
          <w:szCs w:val="22"/>
        </w:rPr>
        <w:t xml:space="preserve">Government Auditing </w:t>
      </w:r>
      <w:r w:rsidRPr="00AF1489">
        <w:rPr>
          <w:rFonts w:ascii="Arial" w:hAnsi="Arial" w:cs="Arial"/>
          <w:i/>
          <w:spacing w:val="-2"/>
          <w:sz w:val="22"/>
          <w:szCs w:val="22"/>
        </w:rPr>
        <w:t>Standards.</w:t>
      </w:r>
    </w:p>
    <w:p w14:paraId="4CBBBED3" w14:textId="77777777" w:rsidR="00AF1489" w:rsidRPr="00AF1489" w:rsidRDefault="00AF1489" w:rsidP="00AF1489">
      <w:pPr>
        <w:pStyle w:val="BodyText"/>
        <w:rPr>
          <w:rFonts w:ascii="Arial" w:hAnsi="Arial" w:cs="Arial"/>
          <w:i/>
          <w:sz w:val="22"/>
          <w:szCs w:val="22"/>
        </w:rPr>
      </w:pPr>
    </w:p>
    <w:p w14:paraId="60795DA6" w14:textId="77777777" w:rsidR="00AF1489" w:rsidRPr="00AF1489" w:rsidRDefault="00AF1489" w:rsidP="00AF1489">
      <w:pPr>
        <w:spacing w:before="1"/>
        <w:rPr>
          <w:rFonts w:ascii="Arial" w:hAnsi="Arial" w:cs="Arial"/>
          <w:sz w:val="15"/>
          <w:szCs w:val="15"/>
        </w:rPr>
      </w:pPr>
      <w:r w:rsidRPr="00F556F2">
        <w:rPr>
          <w:rFonts w:ascii="Arial" w:hAnsi="Arial" w:cs="Arial"/>
          <w:color w:val="595959" w:themeColor="text1" w:themeTint="A6"/>
          <w:sz w:val="15"/>
          <w:szCs w:val="15"/>
        </w:rPr>
        <w:t>CLA</w:t>
      </w:r>
      <w:r w:rsidRPr="00F556F2">
        <w:rPr>
          <w:rFonts w:ascii="Arial" w:hAnsi="Arial" w:cs="Arial"/>
          <w:color w:val="595959" w:themeColor="text1" w:themeTint="A6"/>
          <w:spacing w:val="-5"/>
          <w:sz w:val="15"/>
          <w:szCs w:val="15"/>
        </w:rPr>
        <w:t xml:space="preserve"> </w:t>
      </w:r>
      <w:r w:rsidRPr="00F556F2">
        <w:rPr>
          <w:rFonts w:ascii="Arial" w:hAnsi="Arial" w:cs="Arial"/>
          <w:color w:val="595959" w:themeColor="text1" w:themeTint="A6"/>
          <w:sz w:val="15"/>
          <w:szCs w:val="15"/>
        </w:rPr>
        <w:t>(CliftonLarsonAllen</w:t>
      </w:r>
      <w:r w:rsidRPr="00F556F2">
        <w:rPr>
          <w:rFonts w:ascii="Arial" w:hAnsi="Arial" w:cs="Arial"/>
          <w:color w:val="595959" w:themeColor="text1" w:themeTint="A6"/>
          <w:spacing w:val="-2"/>
          <w:sz w:val="15"/>
          <w:szCs w:val="15"/>
        </w:rPr>
        <w:t xml:space="preserve"> </w:t>
      </w:r>
      <w:r w:rsidRPr="00F556F2">
        <w:rPr>
          <w:rFonts w:ascii="Arial" w:hAnsi="Arial" w:cs="Arial"/>
          <w:color w:val="595959" w:themeColor="text1" w:themeTint="A6"/>
          <w:sz w:val="15"/>
          <w:szCs w:val="15"/>
        </w:rPr>
        <w:t>LLP)</w:t>
      </w:r>
      <w:r w:rsidRPr="00F556F2">
        <w:rPr>
          <w:rFonts w:ascii="Arial" w:hAnsi="Arial" w:cs="Arial"/>
          <w:color w:val="595959" w:themeColor="text1" w:themeTint="A6"/>
          <w:spacing w:val="-3"/>
          <w:sz w:val="15"/>
          <w:szCs w:val="15"/>
        </w:rPr>
        <w:t xml:space="preserve"> </w:t>
      </w:r>
      <w:r w:rsidRPr="00F556F2">
        <w:rPr>
          <w:rFonts w:ascii="Arial" w:hAnsi="Arial" w:cs="Arial"/>
          <w:color w:val="595959" w:themeColor="text1" w:themeTint="A6"/>
          <w:sz w:val="15"/>
          <w:szCs w:val="15"/>
        </w:rPr>
        <w:t>is</w:t>
      </w:r>
      <w:r w:rsidRPr="00F556F2">
        <w:rPr>
          <w:rFonts w:ascii="Arial" w:hAnsi="Arial" w:cs="Arial"/>
          <w:color w:val="595959" w:themeColor="text1" w:themeTint="A6"/>
          <w:spacing w:val="-3"/>
          <w:sz w:val="15"/>
          <w:szCs w:val="15"/>
        </w:rPr>
        <w:t xml:space="preserve"> </w:t>
      </w:r>
      <w:r w:rsidRPr="00F556F2">
        <w:rPr>
          <w:rFonts w:ascii="Arial" w:hAnsi="Arial" w:cs="Arial"/>
          <w:color w:val="595959" w:themeColor="text1" w:themeTint="A6"/>
          <w:sz w:val="15"/>
          <w:szCs w:val="15"/>
        </w:rPr>
        <w:t>an</w:t>
      </w:r>
      <w:r w:rsidRPr="00F556F2">
        <w:rPr>
          <w:rFonts w:ascii="Arial" w:hAnsi="Arial" w:cs="Arial"/>
          <w:color w:val="595959" w:themeColor="text1" w:themeTint="A6"/>
          <w:spacing w:val="-2"/>
          <w:sz w:val="15"/>
          <w:szCs w:val="15"/>
        </w:rPr>
        <w:t xml:space="preserve"> </w:t>
      </w:r>
      <w:r w:rsidRPr="00F556F2">
        <w:rPr>
          <w:rFonts w:ascii="Arial" w:hAnsi="Arial" w:cs="Arial"/>
          <w:color w:val="595959" w:themeColor="text1" w:themeTint="A6"/>
          <w:sz w:val="15"/>
          <w:szCs w:val="15"/>
        </w:rPr>
        <w:t>independent</w:t>
      </w:r>
      <w:r w:rsidRPr="00F556F2">
        <w:rPr>
          <w:rFonts w:ascii="Arial" w:hAnsi="Arial" w:cs="Arial"/>
          <w:color w:val="595959" w:themeColor="text1" w:themeTint="A6"/>
          <w:spacing w:val="-3"/>
          <w:sz w:val="15"/>
          <w:szCs w:val="15"/>
        </w:rPr>
        <w:t xml:space="preserve"> </w:t>
      </w:r>
      <w:r w:rsidRPr="00F556F2">
        <w:rPr>
          <w:rFonts w:ascii="Arial" w:hAnsi="Arial" w:cs="Arial"/>
          <w:color w:val="595959" w:themeColor="text1" w:themeTint="A6"/>
          <w:sz w:val="15"/>
          <w:szCs w:val="15"/>
        </w:rPr>
        <w:t>network</w:t>
      </w:r>
      <w:r w:rsidRPr="00F556F2">
        <w:rPr>
          <w:rFonts w:ascii="Arial" w:hAnsi="Arial" w:cs="Arial"/>
          <w:color w:val="595959" w:themeColor="text1" w:themeTint="A6"/>
          <w:spacing w:val="-3"/>
          <w:sz w:val="15"/>
          <w:szCs w:val="15"/>
        </w:rPr>
        <w:t xml:space="preserve"> </w:t>
      </w:r>
      <w:r w:rsidRPr="00F556F2">
        <w:rPr>
          <w:rFonts w:ascii="Arial" w:hAnsi="Arial" w:cs="Arial"/>
          <w:color w:val="595959" w:themeColor="text1" w:themeTint="A6"/>
          <w:sz w:val="15"/>
          <w:szCs w:val="15"/>
        </w:rPr>
        <w:t>member</w:t>
      </w:r>
      <w:r w:rsidRPr="00F556F2">
        <w:rPr>
          <w:rFonts w:ascii="Arial" w:hAnsi="Arial" w:cs="Arial"/>
          <w:color w:val="595959" w:themeColor="text1" w:themeTint="A6"/>
          <w:spacing w:val="-2"/>
          <w:sz w:val="15"/>
          <w:szCs w:val="15"/>
        </w:rPr>
        <w:t xml:space="preserve"> </w:t>
      </w:r>
      <w:r w:rsidRPr="00F556F2">
        <w:rPr>
          <w:rFonts w:ascii="Arial" w:hAnsi="Arial" w:cs="Arial"/>
          <w:color w:val="595959" w:themeColor="text1" w:themeTint="A6"/>
          <w:sz w:val="15"/>
          <w:szCs w:val="15"/>
        </w:rPr>
        <w:t>of</w:t>
      </w:r>
      <w:r w:rsidRPr="00F556F2">
        <w:rPr>
          <w:rFonts w:ascii="Arial" w:hAnsi="Arial" w:cs="Arial"/>
          <w:color w:val="595959" w:themeColor="text1" w:themeTint="A6"/>
          <w:spacing w:val="-3"/>
          <w:sz w:val="15"/>
          <w:szCs w:val="15"/>
        </w:rPr>
        <w:t xml:space="preserve"> </w:t>
      </w:r>
      <w:r w:rsidRPr="00F556F2">
        <w:rPr>
          <w:rFonts w:ascii="Arial" w:hAnsi="Arial" w:cs="Arial"/>
          <w:color w:val="595959" w:themeColor="text1" w:themeTint="A6"/>
          <w:sz w:val="15"/>
          <w:szCs w:val="15"/>
        </w:rPr>
        <w:t>CLA</w:t>
      </w:r>
      <w:r w:rsidRPr="00F556F2">
        <w:rPr>
          <w:rFonts w:ascii="Arial" w:hAnsi="Arial" w:cs="Arial"/>
          <w:color w:val="595959" w:themeColor="text1" w:themeTint="A6"/>
          <w:spacing w:val="-3"/>
          <w:sz w:val="15"/>
          <w:szCs w:val="15"/>
        </w:rPr>
        <w:t xml:space="preserve"> </w:t>
      </w:r>
      <w:r w:rsidRPr="00F556F2">
        <w:rPr>
          <w:rFonts w:ascii="Arial" w:hAnsi="Arial" w:cs="Arial"/>
          <w:color w:val="595959" w:themeColor="text1" w:themeTint="A6"/>
          <w:sz w:val="15"/>
          <w:szCs w:val="15"/>
        </w:rPr>
        <w:t>Global.</w:t>
      </w:r>
      <w:r w:rsidRPr="00F556F2">
        <w:rPr>
          <w:rFonts w:ascii="Arial" w:hAnsi="Arial" w:cs="Arial"/>
          <w:color w:val="595959" w:themeColor="text1" w:themeTint="A6"/>
          <w:spacing w:val="-3"/>
          <w:sz w:val="15"/>
          <w:szCs w:val="15"/>
        </w:rPr>
        <w:t xml:space="preserve"> </w:t>
      </w:r>
      <w:r w:rsidRPr="00F556F2">
        <w:rPr>
          <w:rFonts w:ascii="Arial" w:hAnsi="Arial" w:cs="Arial"/>
          <w:color w:val="595959" w:themeColor="text1" w:themeTint="A6"/>
          <w:sz w:val="15"/>
          <w:szCs w:val="15"/>
        </w:rPr>
        <w:t>See</w:t>
      </w:r>
      <w:r w:rsidRPr="00AF1489">
        <w:rPr>
          <w:rFonts w:ascii="Arial" w:hAnsi="Arial" w:cs="Arial"/>
          <w:color w:val="ABADAB"/>
          <w:spacing w:val="-2"/>
          <w:sz w:val="15"/>
          <w:szCs w:val="15"/>
        </w:rPr>
        <w:t xml:space="preserve"> </w:t>
      </w:r>
      <w:r w:rsidRPr="00AF1489">
        <w:rPr>
          <w:rFonts w:ascii="Arial" w:hAnsi="Arial" w:cs="Arial"/>
          <w:color w:val="0000FF"/>
          <w:spacing w:val="-2"/>
          <w:sz w:val="15"/>
          <w:szCs w:val="15"/>
          <w:u w:val="single" w:color="0000FF"/>
        </w:rPr>
        <w:t>CLAglobal.com/disclaimer</w:t>
      </w:r>
      <w:r w:rsidRPr="00F556F2">
        <w:rPr>
          <w:rFonts w:ascii="Arial" w:hAnsi="Arial" w:cs="Arial"/>
          <w:color w:val="595959" w:themeColor="text1" w:themeTint="A6"/>
          <w:spacing w:val="-2"/>
          <w:sz w:val="15"/>
          <w:szCs w:val="15"/>
        </w:rPr>
        <w:t>.</w:t>
      </w:r>
    </w:p>
    <w:p w14:paraId="2B0A88EA" w14:textId="77777777" w:rsidR="00AF1489" w:rsidRPr="00AF1489" w:rsidRDefault="00AF1489" w:rsidP="00AF1489">
      <w:pPr>
        <w:rPr>
          <w:rFonts w:ascii="Arial" w:hAnsi="Arial" w:cs="Arial"/>
        </w:rPr>
        <w:sectPr w:rsidR="00AF1489" w:rsidRPr="00AF1489" w:rsidSect="00AF1489">
          <w:type w:val="continuous"/>
          <w:pgSz w:w="12240" w:h="15840"/>
          <w:pgMar w:top="1152" w:right="1152" w:bottom="1152" w:left="1152" w:header="0" w:footer="634" w:gutter="0"/>
          <w:cols w:space="720"/>
        </w:sectPr>
      </w:pPr>
    </w:p>
    <w:p w14:paraId="4E334A28" w14:textId="48D9ACA0" w:rsidR="00AF1489" w:rsidRPr="00AF1489" w:rsidRDefault="00AF1489" w:rsidP="00AF1489">
      <w:pPr>
        <w:pStyle w:val="BodyText"/>
        <w:rPr>
          <w:rFonts w:ascii="Arial" w:hAnsi="Arial" w:cs="Arial"/>
          <w:sz w:val="22"/>
          <w:szCs w:val="22"/>
        </w:rPr>
      </w:pPr>
      <w:r w:rsidRPr="00AF1489">
        <w:rPr>
          <w:rFonts w:ascii="Arial" w:hAnsi="Arial" w:cs="Arial"/>
          <w:sz w:val="22"/>
          <w:szCs w:val="22"/>
        </w:rPr>
        <w:lastRenderedPageBreak/>
        <w:t>Board of Trustees</w:t>
      </w:r>
    </w:p>
    <w:p w14:paraId="61C0452C" w14:textId="6DB9B425" w:rsidR="00AF1489" w:rsidRPr="00AF1489" w:rsidRDefault="00AF1489" w:rsidP="00AF1489">
      <w:pPr>
        <w:pStyle w:val="BodyText"/>
        <w:rPr>
          <w:rFonts w:ascii="Arial" w:hAnsi="Arial" w:cs="Arial"/>
          <w:sz w:val="22"/>
          <w:szCs w:val="22"/>
        </w:rPr>
      </w:pPr>
      <w:r w:rsidRPr="00AF1489">
        <w:rPr>
          <w:rFonts w:ascii="Arial" w:hAnsi="Arial" w:cs="Arial"/>
          <w:sz w:val="22"/>
          <w:szCs w:val="22"/>
        </w:rPr>
        <w:t>University of Maine System</w:t>
      </w:r>
    </w:p>
    <w:p w14:paraId="3D4EAA0E" w14:textId="77777777" w:rsidR="00AF1489" w:rsidRPr="00AF1489" w:rsidRDefault="00AF1489" w:rsidP="00AF1489">
      <w:pPr>
        <w:pStyle w:val="BodyText"/>
        <w:spacing w:before="5"/>
        <w:rPr>
          <w:rFonts w:ascii="Arial" w:hAnsi="Arial" w:cs="Arial"/>
          <w:sz w:val="22"/>
          <w:szCs w:val="22"/>
        </w:rPr>
      </w:pPr>
    </w:p>
    <w:p w14:paraId="0DDEB2D5" w14:textId="77777777" w:rsidR="00AF1489" w:rsidRPr="00AF1489" w:rsidRDefault="00AF1489" w:rsidP="00AF1489">
      <w:pPr>
        <w:pStyle w:val="Heading2"/>
      </w:pPr>
      <w:r w:rsidRPr="00AF1489">
        <w:t>Emphasis</w:t>
      </w:r>
      <w:r w:rsidRPr="00AF1489">
        <w:rPr>
          <w:spacing w:val="-7"/>
        </w:rPr>
        <w:t xml:space="preserve"> </w:t>
      </w:r>
      <w:r w:rsidRPr="00AF1489">
        <w:t>of</w:t>
      </w:r>
      <w:r w:rsidRPr="00AF1489">
        <w:rPr>
          <w:spacing w:val="-6"/>
        </w:rPr>
        <w:t xml:space="preserve"> </w:t>
      </w:r>
      <w:r w:rsidRPr="00AF1489">
        <w:rPr>
          <w:spacing w:val="-2"/>
        </w:rPr>
        <w:t>Matter</w:t>
      </w:r>
    </w:p>
    <w:p w14:paraId="337F3D64" w14:textId="77777777" w:rsidR="00AF1489" w:rsidRPr="00AF1489" w:rsidRDefault="00AF1489" w:rsidP="00AF1489">
      <w:pPr>
        <w:pStyle w:val="BodyText"/>
        <w:spacing w:before="59"/>
        <w:ind w:right="117"/>
        <w:jc w:val="both"/>
        <w:rPr>
          <w:rFonts w:ascii="Arial" w:hAnsi="Arial" w:cs="Arial"/>
          <w:sz w:val="22"/>
          <w:szCs w:val="22"/>
        </w:rPr>
      </w:pPr>
      <w:r w:rsidRPr="00AF1489">
        <w:rPr>
          <w:rFonts w:ascii="Arial" w:hAnsi="Arial" w:cs="Arial"/>
          <w:sz w:val="22"/>
          <w:szCs w:val="22"/>
        </w:rPr>
        <w:t>As discussed in Note 2 to the financial statements, the System implemented the provisions of Governmental</w:t>
      </w:r>
      <w:r w:rsidRPr="00AF1489">
        <w:rPr>
          <w:rFonts w:ascii="Arial" w:hAnsi="Arial" w:cs="Arial"/>
          <w:spacing w:val="-3"/>
          <w:sz w:val="22"/>
          <w:szCs w:val="22"/>
        </w:rPr>
        <w:t xml:space="preserve"> </w:t>
      </w:r>
      <w:r w:rsidRPr="00AF1489">
        <w:rPr>
          <w:rFonts w:ascii="Arial" w:hAnsi="Arial" w:cs="Arial"/>
          <w:sz w:val="22"/>
          <w:szCs w:val="22"/>
        </w:rPr>
        <w:t>Accounting</w:t>
      </w:r>
      <w:r w:rsidRPr="00AF1489">
        <w:rPr>
          <w:rFonts w:ascii="Arial" w:hAnsi="Arial" w:cs="Arial"/>
          <w:spacing w:val="-3"/>
          <w:sz w:val="22"/>
          <w:szCs w:val="22"/>
        </w:rPr>
        <w:t xml:space="preserve"> </w:t>
      </w:r>
      <w:r w:rsidRPr="00AF1489">
        <w:rPr>
          <w:rFonts w:ascii="Arial" w:hAnsi="Arial" w:cs="Arial"/>
          <w:sz w:val="22"/>
          <w:szCs w:val="22"/>
        </w:rPr>
        <w:t>Standards</w:t>
      </w:r>
      <w:r w:rsidRPr="00AF1489">
        <w:rPr>
          <w:rFonts w:ascii="Arial" w:hAnsi="Arial" w:cs="Arial"/>
          <w:spacing w:val="-3"/>
          <w:sz w:val="22"/>
          <w:szCs w:val="22"/>
        </w:rPr>
        <w:t xml:space="preserve"> </w:t>
      </w:r>
      <w:r w:rsidRPr="00AF1489">
        <w:rPr>
          <w:rFonts w:ascii="Arial" w:hAnsi="Arial" w:cs="Arial"/>
          <w:sz w:val="22"/>
          <w:szCs w:val="22"/>
        </w:rPr>
        <w:t>Board</w:t>
      </w:r>
      <w:r w:rsidRPr="00AF1489">
        <w:rPr>
          <w:rFonts w:ascii="Arial" w:hAnsi="Arial" w:cs="Arial"/>
          <w:spacing w:val="-3"/>
          <w:sz w:val="22"/>
          <w:szCs w:val="22"/>
        </w:rPr>
        <w:t xml:space="preserve"> </w:t>
      </w:r>
      <w:r w:rsidRPr="00AF1489">
        <w:rPr>
          <w:rFonts w:ascii="Arial" w:hAnsi="Arial" w:cs="Arial"/>
          <w:sz w:val="22"/>
          <w:szCs w:val="22"/>
        </w:rPr>
        <w:t>(GASB)</w:t>
      </w:r>
      <w:r w:rsidRPr="00AF1489">
        <w:rPr>
          <w:rFonts w:ascii="Arial" w:hAnsi="Arial" w:cs="Arial"/>
          <w:spacing w:val="-3"/>
          <w:sz w:val="22"/>
          <w:szCs w:val="22"/>
        </w:rPr>
        <w:t xml:space="preserve"> </w:t>
      </w:r>
      <w:r w:rsidRPr="00AF1489">
        <w:rPr>
          <w:rFonts w:ascii="Arial" w:hAnsi="Arial" w:cs="Arial"/>
          <w:sz w:val="22"/>
          <w:szCs w:val="22"/>
        </w:rPr>
        <w:t>Statement</w:t>
      </w:r>
      <w:r w:rsidRPr="00AF1489">
        <w:rPr>
          <w:rFonts w:ascii="Arial" w:hAnsi="Arial" w:cs="Arial"/>
          <w:spacing w:val="-3"/>
          <w:sz w:val="22"/>
          <w:szCs w:val="22"/>
        </w:rPr>
        <w:t xml:space="preserve"> </w:t>
      </w:r>
      <w:r w:rsidRPr="00AF1489">
        <w:rPr>
          <w:rFonts w:ascii="Arial" w:hAnsi="Arial" w:cs="Arial"/>
          <w:sz w:val="22"/>
          <w:szCs w:val="22"/>
        </w:rPr>
        <w:t>87,</w:t>
      </w:r>
      <w:r w:rsidRPr="00AF1489">
        <w:rPr>
          <w:rFonts w:ascii="Arial" w:hAnsi="Arial" w:cs="Arial"/>
          <w:spacing w:val="-4"/>
          <w:sz w:val="22"/>
          <w:szCs w:val="22"/>
        </w:rPr>
        <w:t xml:space="preserve"> </w:t>
      </w:r>
      <w:r w:rsidRPr="00AF1489">
        <w:rPr>
          <w:rFonts w:ascii="Arial" w:hAnsi="Arial" w:cs="Arial"/>
          <w:i/>
          <w:sz w:val="22"/>
          <w:szCs w:val="22"/>
        </w:rPr>
        <w:t>Leases</w:t>
      </w:r>
      <w:r w:rsidRPr="00AF1489">
        <w:rPr>
          <w:rFonts w:ascii="Arial" w:hAnsi="Arial" w:cs="Arial"/>
          <w:sz w:val="22"/>
          <w:szCs w:val="22"/>
        </w:rPr>
        <w:t>,</w:t>
      </w:r>
      <w:r w:rsidRPr="00AF1489">
        <w:rPr>
          <w:rFonts w:ascii="Arial" w:hAnsi="Arial" w:cs="Arial"/>
          <w:spacing w:val="-3"/>
          <w:sz w:val="22"/>
          <w:szCs w:val="22"/>
        </w:rPr>
        <w:t xml:space="preserve"> </w:t>
      </w:r>
      <w:r w:rsidRPr="00AF1489">
        <w:rPr>
          <w:rFonts w:ascii="Arial" w:hAnsi="Arial" w:cs="Arial"/>
          <w:sz w:val="22"/>
          <w:szCs w:val="22"/>
        </w:rPr>
        <w:t>for</w:t>
      </w:r>
      <w:r w:rsidRPr="00AF1489">
        <w:rPr>
          <w:rFonts w:ascii="Arial" w:hAnsi="Arial" w:cs="Arial"/>
          <w:spacing w:val="-3"/>
          <w:sz w:val="22"/>
          <w:szCs w:val="22"/>
        </w:rPr>
        <w:t xml:space="preserve"> </w:t>
      </w:r>
      <w:r w:rsidRPr="00AF1489">
        <w:rPr>
          <w:rFonts w:ascii="Arial" w:hAnsi="Arial" w:cs="Arial"/>
          <w:sz w:val="22"/>
          <w:szCs w:val="22"/>
        </w:rPr>
        <w:t>the</w:t>
      </w:r>
      <w:r w:rsidRPr="00AF1489">
        <w:rPr>
          <w:rFonts w:ascii="Arial" w:hAnsi="Arial" w:cs="Arial"/>
          <w:spacing w:val="-3"/>
          <w:sz w:val="22"/>
          <w:szCs w:val="22"/>
        </w:rPr>
        <w:t xml:space="preserve"> </w:t>
      </w:r>
      <w:r w:rsidRPr="00AF1489">
        <w:rPr>
          <w:rFonts w:ascii="Arial" w:hAnsi="Arial" w:cs="Arial"/>
          <w:sz w:val="22"/>
          <w:szCs w:val="22"/>
        </w:rPr>
        <w:t>year</w:t>
      </w:r>
      <w:r w:rsidRPr="00AF1489">
        <w:rPr>
          <w:rFonts w:ascii="Arial" w:hAnsi="Arial" w:cs="Arial"/>
          <w:spacing w:val="-3"/>
          <w:sz w:val="22"/>
          <w:szCs w:val="22"/>
        </w:rPr>
        <w:t xml:space="preserve"> </w:t>
      </w:r>
      <w:r w:rsidRPr="00AF1489">
        <w:rPr>
          <w:rFonts w:ascii="Arial" w:hAnsi="Arial" w:cs="Arial"/>
          <w:sz w:val="22"/>
          <w:szCs w:val="22"/>
        </w:rPr>
        <w:t>ended</w:t>
      </w:r>
      <w:r w:rsidRPr="00AF1489">
        <w:rPr>
          <w:rFonts w:ascii="Arial" w:hAnsi="Arial" w:cs="Arial"/>
          <w:spacing w:val="-3"/>
          <w:sz w:val="22"/>
          <w:szCs w:val="22"/>
        </w:rPr>
        <w:t xml:space="preserve"> </w:t>
      </w:r>
      <w:r w:rsidRPr="00AF1489">
        <w:rPr>
          <w:rFonts w:ascii="Arial" w:hAnsi="Arial" w:cs="Arial"/>
          <w:sz w:val="22"/>
          <w:szCs w:val="22"/>
        </w:rPr>
        <w:t>June</w:t>
      </w:r>
      <w:r w:rsidRPr="00AF1489">
        <w:rPr>
          <w:rFonts w:ascii="Arial" w:hAnsi="Arial" w:cs="Arial"/>
          <w:spacing w:val="-3"/>
          <w:sz w:val="22"/>
          <w:szCs w:val="22"/>
        </w:rPr>
        <w:t xml:space="preserve"> </w:t>
      </w:r>
      <w:r w:rsidRPr="00AF1489">
        <w:rPr>
          <w:rFonts w:ascii="Arial" w:hAnsi="Arial" w:cs="Arial"/>
          <w:sz w:val="22"/>
          <w:szCs w:val="22"/>
        </w:rPr>
        <w:t>30, 2022, which represents a change in accounting principle. The System’s June 30, 2021 statement of net position and statement of revenues, expenses and changes in net position were restated to reflect the impact</w:t>
      </w:r>
      <w:r w:rsidRPr="00AF1489">
        <w:rPr>
          <w:rFonts w:ascii="Arial" w:hAnsi="Arial" w:cs="Arial"/>
          <w:spacing w:val="-2"/>
          <w:sz w:val="22"/>
          <w:szCs w:val="22"/>
        </w:rPr>
        <w:t xml:space="preserve"> </w:t>
      </w:r>
      <w:r w:rsidRPr="00AF1489">
        <w:rPr>
          <w:rFonts w:ascii="Arial" w:hAnsi="Arial" w:cs="Arial"/>
          <w:sz w:val="22"/>
          <w:szCs w:val="22"/>
        </w:rPr>
        <w:t>of</w:t>
      </w:r>
      <w:r w:rsidRPr="00AF1489">
        <w:rPr>
          <w:rFonts w:ascii="Arial" w:hAnsi="Arial" w:cs="Arial"/>
          <w:spacing w:val="-2"/>
          <w:sz w:val="22"/>
          <w:szCs w:val="22"/>
        </w:rPr>
        <w:t xml:space="preserve"> </w:t>
      </w:r>
      <w:r w:rsidRPr="00AF1489">
        <w:rPr>
          <w:rFonts w:ascii="Arial" w:hAnsi="Arial" w:cs="Arial"/>
          <w:sz w:val="22"/>
          <w:szCs w:val="22"/>
        </w:rPr>
        <w:t>adoption.</w:t>
      </w:r>
      <w:r w:rsidRPr="00AF1489">
        <w:rPr>
          <w:rFonts w:ascii="Arial" w:hAnsi="Arial" w:cs="Arial"/>
          <w:spacing w:val="-2"/>
          <w:sz w:val="22"/>
          <w:szCs w:val="22"/>
        </w:rPr>
        <w:t xml:space="preserve"> </w:t>
      </w:r>
      <w:r w:rsidRPr="00AF1489">
        <w:rPr>
          <w:rFonts w:ascii="Arial" w:hAnsi="Arial" w:cs="Arial"/>
          <w:sz w:val="22"/>
          <w:szCs w:val="22"/>
        </w:rPr>
        <w:t>A</w:t>
      </w:r>
      <w:r w:rsidRPr="00AF1489">
        <w:rPr>
          <w:rFonts w:ascii="Arial" w:hAnsi="Arial" w:cs="Arial"/>
          <w:spacing w:val="-2"/>
          <w:sz w:val="22"/>
          <w:szCs w:val="22"/>
        </w:rPr>
        <w:t xml:space="preserve"> </w:t>
      </w:r>
      <w:r w:rsidRPr="00AF1489">
        <w:rPr>
          <w:rFonts w:ascii="Arial" w:hAnsi="Arial" w:cs="Arial"/>
          <w:sz w:val="22"/>
          <w:szCs w:val="22"/>
        </w:rPr>
        <w:t>summary</w:t>
      </w:r>
      <w:r w:rsidRPr="00AF1489">
        <w:rPr>
          <w:rFonts w:ascii="Arial" w:hAnsi="Arial" w:cs="Arial"/>
          <w:spacing w:val="-2"/>
          <w:sz w:val="22"/>
          <w:szCs w:val="22"/>
        </w:rPr>
        <w:t xml:space="preserve"> </w:t>
      </w:r>
      <w:r w:rsidRPr="00AF1489">
        <w:rPr>
          <w:rFonts w:ascii="Arial" w:hAnsi="Arial" w:cs="Arial"/>
          <w:sz w:val="22"/>
          <w:szCs w:val="22"/>
        </w:rPr>
        <w:t>of</w:t>
      </w:r>
      <w:r w:rsidRPr="00AF1489">
        <w:rPr>
          <w:rFonts w:ascii="Arial" w:hAnsi="Arial" w:cs="Arial"/>
          <w:spacing w:val="-2"/>
          <w:sz w:val="22"/>
          <w:szCs w:val="22"/>
        </w:rPr>
        <w:t xml:space="preserve"> </w:t>
      </w:r>
      <w:r w:rsidRPr="00AF1489">
        <w:rPr>
          <w:rFonts w:ascii="Arial" w:hAnsi="Arial" w:cs="Arial"/>
          <w:sz w:val="22"/>
          <w:szCs w:val="22"/>
        </w:rPr>
        <w:t>the</w:t>
      </w:r>
      <w:r w:rsidRPr="00AF1489">
        <w:rPr>
          <w:rFonts w:ascii="Arial" w:hAnsi="Arial" w:cs="Arial"/>
          <w:spacing w:val="-2"/>
          <w:sz w:val="22"/>
          <w:szCs w:val="22"/>
        </w:rPr>
        <w:t xml:space="preserve"> </w:t>
      </w:r>
      <w:r w:rsidRPr="00AF1489">
        <w:rPr>
          <w:rFonts w:ascii="Arial" w:hAnsi="Arial" w:cs="Arial"/>
          <w:sz w:val="22"/>
          <w:szCs w:val="22"/>
        </w:rPr>
        <w:t>restatement</w:t>
      </w:r>
      <w:r w:rsidRPr="00AF1489">
        <w:rPr>
          <w:rFonts w:ascii="Arial" w:hAnsi="Arial" w:cs="Arial"/>
          <w:spacing w:val="-2"/>
          <w:sz w:val="22"/>
          <w:szCs w:val="22"/>
        </w:rPr>
        <w:t xml:space="preserve"> </w:t>
      </w:r>
      <w:r w:rsidRPr="00AF1489">
        <w:rPr>
          <w:rFonts w:ascii="Arial" w:hAnsi="Arial" w:cs="Arial"/>
          <w:sz w:val="22"/>
          <w:szCs w:val="22"/>
        </w:rPr>
        <w:t>is</w:t>
      </w:r>
      <w:r w:rsidRPr="00AF1489">
        <w:rPr>
          <w:rFonts w:ascii="Arial" w:hAnsi="Arial" w:cs="Arial"/>
          <w:spacing w:val="-2"/>
          <w:sz w:val="22"/>
          <w:szCs w:val="22"/>
        </w:rPr>
        <w:t xml:space="preserve"> </w:t>
      </w:r>
      <w:r w:rsidRPr="00AF1489">
        <w:rPr>
          <w:rFonts w:ascii="Arial" w:hAnsi="Arial" w:cs="Arial"/>
          <w:sz w:val="22"/>
          <w:szCs w:val="22"/>
        </w:rPr>
        <w:t>presented</w:t>
      </w:r>
      <w:r w:rsidRPr="00AF1489">
        <w:rPr>
          <w:rFonts w:ascii="Arial" w:hAnsi="Arial" w:cs="Arial"/>
          <w:spacing w:val="-2"/>
          <w:sz w:val="22"/>
          <w:szCs w:val="22"/>
        </w:rPr>
        <w:t xml:space="preserve"> </w:t>
      </w:r>
      <w:r w:rsidRPr="00AF1489">
        <w:rPr>
          <w:rFonts w:ascii="Arial" w:hAnsi="Arial" w:cs="Arial"/>
          <w:sz w:val="22"/>
          <w:szCs w:val="22"/>
        </w:rPr>
        <w:t>in</w:t>
      </w:r>
      <w:r w:rsidRPr="00AF1489">
        <w:rPr>
          <w:rFonts w:ascii="Arial" w:hAnsi="Arial" w:cs="Arial"/>
          <w:spacing w:val="-2"/>
          <w:sz w:val="22"/>
          <w:szCs w:val="22"/>
        </w:rPr>
        <w:t xml:space="preserve"> </w:t>
      </w:r>
      <w:r w:rsidRPr="00AF1489">
        <w:rPr>
          <w:rFonts w:ascii="Arial" w:hAnsi="Arial" w:cs="Arial"/>
          <w:sz w:val="22"/>
          <w:szCs w:val="22"/>
        </w:rPr>
        <w:t>Note</w:t>
      </w:r>
      <w:r w:rsidRPr="00AF1489">
        <w:rPr>
          <w:rFonts w:ascii="Arial" w:hAnsi="Arial" w:cs="Arial"/>
          <w:spacing w:val="-2"/>
          <w:sz w:val="22"/>
          <w:szCs w:val="22"/>
        </w:rPr>
        <w:t xml:space="preserve"> </w:t>
      </w:r>
      <w:r w:rsidRPr="00AF1489">
        <w:rPr>
          <w:rFonts w:ascii="Arial" w:hAnsi="Arial" w:cs="Arial"/>
          <w:sz w:val="22"/>
          <w:szCs w:val="22"/>
        </w:rPr>
        <w:t>2.</w:t>
      </w:r>
      <w:r w:rsidRPr="00AF1489">
        <w:rPr>
          <w:rFonts w:ascii="Arial" w:hAnsi="Arial" w:cs="Arial"/>
          <w:spacing w:val="-2"/>
          <w:sz w:val="22"/>
          <w:szCs w:val="22"/>
        </w:rPr>
        <w:t xml:space="preserve"> </w:t>
      </w:r>
      <w:r w:rsidRPr="00AF1489">
        <w:rPr>
          <w:rFonts w:ascii="Arial" w:hAnsi="Arial" w:cs="Arial"/>
          <w:sz w:val="22"/>
          <w:szCs w:val="22"/>
        </w:rPr>
        <w:t>Our</w:t>
      </w:r>
      <w:r w:rsidRPr="00AF1489">
        <w:rPr>
          <w:rFonts w:ascii="Arial" w:hAnsi="Arial" w:cs="Arial"/>
          <w:spacing w:val="-2"/>
          <w:sz w:val="22"/>
          <w:szCs w:val="22"/>
        </w:rPr>
        <w:t xml:space="preserve"> </w:t>
      </w:r>
      <w:r w:rsidRPr="00AF1489">
        <w:rPr>
          <w:rFonts w:ascii="Arial" w:hAnsi="Arial" w:cs="Arial"/>
          <w:sz w:val="22"/>
          <w:szCs w:val="22"/>
        </w:rPr>
        <w:t>opinions</w:t>
      </w:r>
      <w:r w:rsidRPr="00AF1489">
        <w:rPr>
          <w:rFonts w:ascii="Arial" w:hAnsi="Arial" w:cs="Arial"/>
          <w:spacing w:val="-2"/>
          <w:sz w:val="22"/>
          <w:szCs w:val="22"/>
        </w:rPr>
        <w:t xml:space="preserve"> </w:t>
      </w:r>
      <w:r w:rsidRPr="00AF1489">
        <w:rPr>
          <w:rFonts w:ascii="Arial" w:hAnsi="Arial" w:cs="Arial"/>
          <w:sz w:val="22"/>
          <w:szCs w:val="22"/>
        </w:rPr>
        <w:t>are</w:t>
      </w:r>
      <w:r w:rsidRPr="00AF1489">
        <w:rPr>
          <w:rFonts w:ascii="Arial" w:hAnsi="Arial" w:cs="Arial"/>
          <w:spacing w:val="-2"/>
          <w:sz w:val="22"/>
          <w:szCs w:val="22"/>
        </w:rPr>
        <w:t xml:space="preserve"> </w:t>
      </w:r>
      <w:r w:rsidRPr="00AF1489">
        <w:rPr>
          <w:rFonts w:ascii="Arial" w:hAnsi="Arial" w:cs="Arial"/>
          <w:sz w:val="22"/>
          <w:szCs w:val="22"/>
        </w:rPr>
        <w:t>not</w:t>
      </w:r>
      <w:r w:rsidRPr="00AF1489">
        <w:rPr>
          <w:rFonts w:ascii="Arial" w:hAnsi="Arial" w:cs="Arial"/>
          <w:spacing w:val="-2"/>
          <w:sz w:val="22"/>
          <w:szCs w:val="22"/>
        </w:rPr>
        <w:t xml:space="preserve"> </w:t>
      </w:r>
      <w:r w:rsidRPr="00AF1489">
        <w:rPr>
          <w:rFonts w:ascii="Arial" w:hAnsi="Arial" w:cs="Arial"/>
          <w:sz w:val="22"/>
          <w:szCs w:val="22"/>
        </w:rPr>
        <w:t>modified with respect to this matter.</w:t>
      </w:r>
    </w:p>
    <w:p w14:paraId="3362FF05" w14:textId="77777777" w:rsidR="00AF1489" w:rsidRPr="00AF1489" w:rsidRDefault="00AF1489" w:rsidP="00AF1489">
      <w:pPr>
        <w:pStyle w:val="BodyText"/>
        <w:rPr>
          <w:rFonts w:ascii="Arial" w:hAnsi="Arial" w:cs="Arial"/>
          <w:sz w:val="22"/>
          <w:szCs w:val="22"/>
        </w:rPr>
      </w:pPr>
    </w:p>
    <w:p w14:paraId="77DE268C" w14:textId="77777777" w:rsidR="00AF1489" w:rsidRPr="00AF1489" w:rsidRDefault="00AF1489" w:rsidP="00AF1489">
      <w:pPr>
        <w:pStyle w:val="Heading2"/>
      </w:pPr>
      <w:r w:rsidRPr="00AF1489">
        <w:t>Responsibilities</w:t>
      </w:r>
      <w:r w:rsidRPr="00AF1489">
        <w:rPr>
          <w:spacing w:val="-9"/>
        </w:rPr>
        <w:t xml:space="preserve"> </w:t>
      </w:r>
      <w:r w:rsidRPr="00AF1489">
        <w:t>of</w:t>
      </w:r>
      <w:r w:rsidRPr="00AF1489">
        <w:rPr>
          <w:spacing w:val="-8"/>
        </w:rPr>
        <w:t xml:space="preserve"> </w:t>
      </w:r>
      <w:r w:rsidRPr="00AF1489">
        <w:t>Management</w:t>
      </w:r>
      <w:r w:rsidRPr="00AF1489">
        <w:rPr>
          <w:spacing w:val="-8"/>
        </w:rPr>
        <w:t xml:space="preserve"> </w:t>
      </w:r>
      <w:r w:rsidRPr="00AF1489">
        <w:t>for</w:t>
      </w:r>
      <w:r w:rsidRPr="00AF1489">
        <w:rPr>
          <w:spacing w:val="-8"/>
        </w:rPr>
        <w:t xml:space="preserve"> </w:t>
      </w:r>
      <w:r w:rsidRPr="00AF1489">
        <w:t>the</w:t>
      </w:r>
      <w:r w:rsidRPr="00AF1489">
        <w:rPr>
          <w:spacing w:val="-8"/>
        </w:rPr>
        <w:t xml:space="preserve"> </w:t>
      </w:r>
      <w:r w:rsidRPr="00AF1489">
        <w:t>Financial</w:t>
      </w:r>
      <w:r w:rsidRPr="00AF1489">
        <w:rPr>
          <w:spacing w:val="-9"/>
        </w:rPr>
        <w:t xml:space="preserve"> </w:t>
      </w:r>
      <w:r w:rsidRPr="00AF1489">
        <w:rPr>
          <w:spacing w:val="-2"/>
        </w:rPr>
        <w:t>Statements</w:t>
      </w:r>
    </w:p>
    <w:p w14:paraId="2079D0DB" w14:textId="77777777" w:rsidR="00AF1489" w:rsidRPr="00AF1489" w:rsidRDefault="00AF1489" w:rsidP="00AF1489">
      <w:pPr>
        <w:pStyle w:val="BodyText"/>
        <w:spacing w:before="60"/>
        <w:ind w:right="119"/>
        <w:jc w:val="both"/>
        <w:rPr>
          <w:rFonts w:ascii="Arial" w:hAnsi="Arial" w:cs="Arial"/>
          <w:sz w:val="22"/>
          <w:szCs w:val="22"/>
        </w:rPr>
      </w:pPr>
      <w:r w:rsidRPr="00AF1489">
        <w:rPr>
          <w:rFonts w:ascii="Arial" w:hAnsi="Arial" w:cs="Arial"/>
          <w:sz w:val="22"/>
          <w:szCs w:val="22"/>
        </w:rPr>
        <w:t xml:space="preserve">Management is responsible for the preparation and fair presentation of the financial statements in accordance with accounting principles generally accepted in the United States of America, and for the design, implementation, and maintenance of internal control relevant to the preparation and fair presentation of financial statements that are free from material misstatement, whether due to fraud or </w:t>
      </w:r>
      <w:r w:rsidRPr="00AF1489">
        <w:rPr>
          <w:rFonts w:ascii="Arial" w:hAnsi="Arial" w:cs="Arial"/>
          <w:spacing w:val="-2"/>
          <w:sz w:val="22"/>
          <w:szCs w:val="22"/>
        </w:rPr>
        <w:t>error.</w:t>
      </w:r>
    </w:p>
    <w:p w14:paraId="7C4E2F1B" w14:textId="77777777" w:rsidR="00AF1489" w:rsidRPr="00AF1489" w:rsidRDefault="00AF1489" w:rsidP="00AF1489">
      <w:pPr>
        <w:pStyle w:val="BodyText"/>
        <w:rPr>
          <w:rFonts w:ascii="Arial" w:hAnsi="Arial" w:cs="Arial"/>
          <w:sz w:val="22"/>
          <w:szCs w:val="22"/>
        </w:rPr>
      </w:pPr>
    </w:p>
    <w:p w14:paraId="5E721EEF" w14:textId="77777777" w:rsidR="00AF1489" w:rsidRPr="00AF1489" w:rsidRDefault="00AF1489" w:rsidP="00AF1489">
      <w:pPr>
        <w:pStyle w:val="BodyText"/>
        <w:spacing w:before="1"/>
        <w:ind w:right="118"/>
        <w:jc w:val="both"/>
        <w:rPr>
          <w:rFonts w:ascii="Arial" w:hAnsi="Arial" w:cs="Arial"/>
          <w:sz w:val="22"/>
          <w:szCs w:val="22"/>
        </w:rPr>
      </w:pPr>
      <w:r w:rsidRPr="00AF1489">
        <w:rPr>
          <w:rFonts w:ascii="Arial" w:hAnsi="Arial" w:cs="Arial"/>
          <w:sz w:val="22"/>
          <w:szCs w:val="22"/>
        </w:rPr>
        <w:t>In preparing the financial statements, management is required to evaluate whether there are conditions or events, considered in the aggregate, that raise substantial doubt about the System’s ability to continue as a going concern for twelve months beyond the financial statement date, including any currently known information that may raise substantial doubt shortly thereafter.</w:t>
      </w:r>
    </w:p>
    <w:p w14:paraId="5B19A80A" w14:textId="77777777" w:rsidR="00AF1489" w:rsidRPr="00AF1489" w:rsidRDefault="00AF1489" w:rsidP="00AF1489">
      <w:pPr>
        <w:pStyle w:val="BodyText"/>
        <w:spacing w:before="11"/>
        <w:rPr>
          <w:rFonts w:ascii="Arial" w:hAnsi="Arial" w:cs="Arial"/>
          <w:sz w:val="22"/>
          <w:szCs w:val="22"/>
        </w:rPr>
      </w:pPr>
    </w:p>
    <w:p w14:paraId="02507316" w14:textId="77777777" w:rsidR="00AF1489" w:rsidRPr="00AF1489" w:rsidRDefault="00AF1489" w:rsidP="00AF1489">
      <w:pPr>
        <w:pStyle w:val="Heading2"/>
      </w:pPr>
      <w:r w:rsidRPr="00AF1489">
        <w:t>Auditors’</w:t>
      </w:r>
      <w:r w:rsidRPr="00AF1489">
        <w:rPr>
          <w:spacing w:val="-7"/>
        </w:rPr>
        <w:t xml:space="preserve"> </w:t>
      </w:r>
      <w:r w:rsidRPr="00AF1489">
        <w:t>Responsibilities</w:t>
      </w:r>
      <w:r w:rsidRPr="00AF1489">
        <w:rPr>
          <w:spacing w:val="-7"/>
        </w:rPr>
        <w:t xml:space="preserve"> </w:t>
      </w:r>
      <w:r w:rsidRPr="00AF1489">
        <w:t>for</w:t>
      </w:r>
      <w:r w:rsidRPr="00AF1489">
        <w:rPr>
          <w:spacing w:val="-6"/>
        </w:rPr>
        <w:t xml:space="preserve"> </w:t>
      </w:r>
      <w:r w:rsidRPr="00AF1489">
        <w:t>the</w:t>
      </w:r>
      <w:r w:rsidRPr="00AF1489">
        <w:rPr>
          <w:spacing w:val="-7"/>
        </w:rPr>
        <w:t xml:space="preserve"> </w:t>
      </w:r>
      <w:r w:rsidRPr="00AF1489">
        <w:t>Audit</w:t>
      </w:r>
      <w:r w:rsidRPr="00AF1489">
        <w:rPr>
          <w:spacing w:val="-7"/>
        </w:rPr>
        <w:t xml:space="preserve"> </w:t>
      </w:r>
      <w:r w:rsidRPr="00AF1489">
        <w:t>of</w:t>
      </w:r>
      <w:r w:rsidRPr="00AF1489">
        <w:rPr>
          <w:spacing w:val="-6"/>
        </w:rPr>
        <w:t xml:space="preserve"> </w:t>
      </w:r>
      <w:r w:rsidRPr="00AF1489">
        <w:t>the</w:t>
      </w:r>
      <w:r w:rsidRPr="00AF1489">
        <w:rPr>
          <w:spacing w:val="-7"/>
        </w:rPr>
        <w:t xml:space="preserve"> </w:t>
      </w:r>
      <w:r w:rsidRPr="00AF1489">
        <w:t>Financial</w:t>
      </w:r>
      <w:r w:rsidRPr="00AF1489">
        <w:rPr>
          <w:spacing w:val="-7"/>
        </w:rPr>
        <w:t xml:space="preserve"> </w:t>
      </w:r>
      <w:r w:rsidRPr="00AF1489">
        <w:rPr>
          <w:spacing w:val="-2"/>
        </w:rPr>
        <w:t>Statements</w:t>
      </w:r>
    </w:p>
    <w:p w14:paraId="635BB23C" w14:textId="77777777" w:rsidR="00AF1489" w:rsidRPr="00AF1489" w:rsidRDefault="00AF1489" w:rsidP="00AF1489">
      <w:pPr>
        <w:pStyle w:val="BodyText"/>
        <w:spacing w:before="60"/>
        <w:ind w:right="117"/>
        <w:jc w:val="both"/>
        <w:rPr>
          <w:rFonts w:ascii="Arial" w:hAnsi="Arial" w:cs="Arial"/>
          <w:sz w:val="22"/>
          <w:szCs w:val="22"/>
        </w:rPr>
      </w:pPr>
      <w:r w:rsidRPr="00AF1489">
        <w:rPr>
          <w:rFonts w:ascii="Arial" w:hAnsi="Arial" w:cs="Arial"/>
          <w:color w:val="242424"/>
          <w:sz w:val="22"/>
          <w:szCs w:val="22"/>
        </w:rPr>
        <w:t>Our objectives are to obtain reasonable assurance about whether the financial statements as a whole are free from material misstatement, whether due to fraud or error, and to issue an auditors’ report that includes</w:t>
      </w:r>
      <w:r w:rsidRPr="00AF1489">
        <w:rPr>
          <w:rFonts w:ascii="Arial" w:hAnsi="Arial" w:cs="Arial"/>
          <w:color w:val="242424"/>
          <w:spacing w:val="-2"/>
          <w:sz w:val="22"/>
          <w:szCs w:val="22"/>
        </w:rPr>
        <w:t xml:space="preserve"> </w:t>
      </w:r>
      <w:r w:rsidRPr="00AF1489">
        <w:rPr>
          <w:rFonts w:ascii="Arial" w:hAnsi="Arial" w:cs="Arial"/>
          <w:color w:val="242424"/>
          <w:sz w:val="22"/>
          <w:szCs w:val="22"/>
        </w:rPr>
        <w:t>our</w:t>
      </w:r>
      <w:r w:rsidRPr="00AF1489">
        <w:rPr>
          <w:rFonts w:ascii="Arial" w:hAnsi="Arial" w:cs="Arial"/>
          <w:color w:val="242424"/>
          <w:spacing w:val="-4"/>
          <w:sz w:val="22"/>
          <w:szCs w:val="22"/>
        </w:rPr>
        <w:t xml:space="preserve"> </w:t>
      </w:r>
      <w:r w:rsidRPr="00AF1489">
        <w:rPr>
          <w:rFonts w:ascii="Arial" w:hAnsi="Arial" w:cs="Arial"/>
          <w:color w:val="242424"/>
          <w:sz w:val="22"/>
          <w:szCs w:val="22"/>
        </w:rPr>
        <w:t>opinions.</w:t>
      </w:r>
      <w:r w:rsidRPr="00AF1489">
        <w:rPr>
          <w:rFonts w:ascii="Arial" w:hAnsi="Arial" w:cs="Arial"/>
          <w:color w:val="242424"/>
          <w:spacing w:val="-2"/>
          <w:sz w:val="22"/>
          <w:szCs w:val="22"/>
        </w:rPr>
        <w:t xml:space="preserve"> </w:t>
      </w:r>
      <w:r w:rsidRPr="00AF1489">
        <w:rPr>
          <w:rFonts w:ascii="Arial" w:hAnsi="Arial" w:cs="Arial"/>
          <w:color w:val="242424"/>
          <w:sz w:val="22"/>
          <w:szCs w:val="22"/>
        </w:rPr>
        <w:t>Reasonable</w:t>
      </w:r>
      <w:r w:rsidRPr="00AF1489">
        <w:rPr>
          <w:rFonts w:ascii="Arial" w:hAnsi="Arial" w:cs="Arial"/>
          <w:color w:val="242424"/>
          <w:spacing w:val="-2"/>
          <w:sz w:val="22"/>
          <w:szCs w:val="22"/>
        </w:rPr>
        <w:t xml:space="preserve"> </w:t>
      </w:r>
      <w:r w:rsidRPr="00AF1489">
        <w:rPr>
          <w:rFonts w:ascii="Arial" w:hAnsi="Arial" w:cs="Arial"/>
          <w:color w:val="242424"/>
          <w:sz w:val="22"/>
          <w:szCs w:val="22"/>
        </w:rPr>
        <w:t>assurance</w:t>
      </w:r>
      <w:r w:rsidRPr="00AF1489">
        <w:rPr>
          <w:rFonts w:ascii="Arial" w:hAnsi="Arial" w:cs="Arial"/>
          <w:color w:val="242424"/>
          <w:spacing w:val="-2"/>
          <w:sz w:val="22"/>
          <w:szCs w:val="22"/>
        </w:rPr>
        <w:t xml:space="preserve"> </w:t>
      </w:r>
      <w:r w:rsidRPr="00AF1489">
        <w:rPr>
          <w:rFonts w:ascii="Arial" w:hAnsi="Arial" w:cs="Arial"/>
          <w:color w:val="242424"/>
          <w:sz w:val="22"/>
          <w:szCs w:val="22"/>
        </w:rPr>
        <w:t>is</w:t>
      </w:r>
      <w:r w:rsidRPr="00AF1489">
        <w:rPr>
          <w:rFonts w:ascii="Arial" w:hAnsi="Arial" w:cs="Arial"/>
          <w:color w:val="242424"/>
          <w:spacing w:val="-3"/>
          <w:sz w:val="22"/>
          <w:szCs w:val="22"/>
        </w:rPr>
        <w:t xml:space="preserve"> </w:t>
      </w:r>
      <w:r w:rsidRPr="00AF1489">
        <w:rPr>
          <w:rFonts w:ascii="Arial" w:hAnsi="Arial" w:cs="Arial"/>
          <w:color w:val="242424"/>
          <w:sz w:val="22"/>
          <w:szCs w:val="22"/>
        </w:rPr>
        <w:t>a</w:t>
      </w:r>
      <w:r w:rsidRPr="00AF1489">
        <w:rPr>
          <w:rFonts w:ascii="Arial" w:hAnsi="Arial" w:cs="Arial"/>
          <w:color w:val="242424"/>
          <w:spacing w:val="-2"/>
          <w:sz w:val="22"/>
          <w:szCs w:val="22"/>
        </w:rPr>
        <w:t xml:space="preserve"> </w:t>
      </w:r>
      <w:r w:rsidRPr="00AF1489">
        <w:rPr>
          <w:rFonts w:ascii="Arial" w:hAnsi="Arial" w:cs="Arial"/>
          <w:color w:val="242424"/>
          <w:sz w:val="22"/>
          <w:szCs w:val="22"/>
        </w:rPr>
        <w:t>hi</w:t>
      </w:r>
      <w:r w:rsidRPr="00AF1489">
        <w:rPr>
          <w:rFonts w:ascii="Arial" w:hAnsi="Arial" w:cs="Arial"/>
          <w:sz w:val="22"/>
          <w:szCs w:val="22"/>
        </w:rPr>
        <w:t>g</w:t>
      </w:r>
      <w:r w:rsidRPr="00AF1489">
        <w:rPr>
          <w:rFonts w:ascii="Arial" w:hAnsi="Arial" w:cs="Arial"/>
          <w:color w:val="242424"/>
          <w:sz w:val="22"/>
          <w:szCs w:val="22"/>
        </w:rPr>
        <w:t>h</w:t>
      </w:r>
      <w:r w:rsidRPr="00AF1489">
        <w:rPr>
          <w:rFonts w:ascii="Arial" w:hAnsi="Arial" w:cs="Arial"/>
          <w:color w:val="242424"/>
          <w:spacing w:val="-2"/>
          <w:sz w:val="22"/>
          <w:szCs w:val="22"/>
        </w:rPr>
        <w:t xml:space="preserve"> </w:t>
      </w:r>
      <w:r w:rsidRPr="00AF1489">
        <w:rPr>
          <w:rFonts w:ascii="Arial" w:hAnsi="Arial" w:cs="Arial"/>
          <w:color w:val="242424"/>
          <w:sz w:val="22"/>
          <w:szCs w:val="22"/>
        </w:rPr>
        <w:t>level</w:t>
      </w:r>
      <w:r w:rsidRPr="00AF1489">
        <w:rPr>
          <w:rFonts w:ascii="Arial" w:hAnsi="Arial" w:cs="Arial"/>
          <w:color w:val="242424"/>
          <w:spacing w:val="-3"/>
          <w:sz w:val="22"/>
          <w:szCs w:val="22"/>
        </w:rPr>
        <w:t xml:space="preserve"> </w:t>
      </w:r>
      <w:r w:rsidRPr="00AF1489">
        <w:rPr>
          <w:rFonts w:ascii="Arial" w:hAnsi="Arial" w:cs="Arial"/>
          <w:color w:val="242424"/>
          <w:sz w:val="22"/>
          <w:szCs w:val="22"/>
        </w:rPr>
        <w:t>of</w:t>
      </w:r>
      <w:r w:rsidRPr="00AF1489">
        <w:rPr>
          <w:rFonts w:ascii="Arial" w:hAnsi="Arial" w:cs="Arial"/>
          <w:color w:val="242424"/>
          <w:spacing w:val="-2"/>
          <w:sz w:val="22"/>
          <w:szCs w:val="22"/>
        </w:rPr>
        <w:t xml:space="preserve"> </w:t>
      </w:r>
      <w:r w:rsidRPr="00AF1489">
        <w:rPr>
          <w:rFonts w:ascii="Arial" w:hAnsi="Arial" w:cs="Arial"/>
          <w:color w:val="242424"/>
          <w:sz w:val="22"/>
          <w:szCs w:val="22"/>
        </w:rPr>
        <w:t>assurance</w:t>
      </w:r>
      <w:r w:rsidRPr="00AF1489">
        <w:rPr>
          <w:rFonts w:ascii="Arial" w:hAnsi="Arial" w:cs="Arial"/>
          <w:color w:val="242424"/>
          <w:spacing w:val="-2"/>
          <w:sz w:val="22"/>
          <w:szCs w:val="22"/>
        </w:rPr>
        <w:t xml:space="preserve"> </w:t>
      </w:r>
      <w:r w:rsidRPr="00AF1489">
        <w:rPr>
          <w:rFonts w:ascii="Arial" w:hAnsi="Arial" w:cs="Arial"/>
          <w:color w:val="242424"/>
          <w:sz w:val="22"/>
          <w:szCs w:val="22"/>
        </w:rPr>
        <w:t>but</w:t>
      </w:r>
      <w:r w:rsidRPr="00AF1489">
        <w:rPr>
          <w:rFonts w:ascii="Arial" w:hAnsi="Arial" w:cs="Arial"/>
          <w:color w:val="242424"/>
          <w:spacing w:val="-2"/>
          <w:sz w:val="22"/>
          <w:szCs w:val="22"/>
        </w:rPr>
        <w:t xml:space="preserve"> </w:t>
      </w:r>
      <w:r w:rsidRPr="00AF1489">
        <w:rPr>
          <w:rFonts w:ascii="Arial" w:hAnsi="Arial" w:cs="Arial"/>
          <w:color w:val="242424"/>
          <w:sz w:val="22"/>
          <w:szCs w:val="22"/>
        </w:rPr>
        <w:t>is</w:t>
      </w:r>
      <w:r w:rsidRPr="00AF1489">
        <w:rPr>
          <w:rFonts w:ascii="Arial" w:hAnsi="Arial" w:cs="Arial"/>
          <w:color w:val="242424"/>
          <w:spacing w:val="-2"/>
          <w:sz w:val="22"/>
          <w:szCs w:val="22"/>
        </w:rPr>
        <w:t xml:space="preserve"> </w:t>
      </w:r>
      <w:r w:rsidRPr="00AF1489">
        <w:rPr>
          <w:rFonts w:ascii="Arial" w:hAnsi="Arial" w:cs="Arial"/>
          <w:color w:val="242424"/>
          <w:sz w:val="22"/>
          <w:szCs w:val="22"/>
        </w:rPr>
        <w:t>not</w:t>
      </w:r>
      <w:r w:rsidRPr="00AF1489">
        <w:rPr>
          <w:rFonts w:ascii="Arial" w:hAnsi="Arial" w:cs="Arial"/>
          <w:color w:val="242424"/>
          <w:spacing w:val="-3"/>
          <w:sz w:val="22"/>
          <w:szCs w:val="22"/>
        </w:rPr>
        <w:t xml:space="preserve"> </w:t>
      </w:r>
      <w:r w:rsidRPr="00AF1489">
        <w:rPr>
          <w:rFonts w:ascii="Arial" w:hAnsi="Arial" w:cs="Arial"/>
          <w:color w:val="242424"/>
          <w:sz w:val="22"/>
          <w:szCs w:val="22"/>
        </w:rPr>
        <w:t>absolute</w:t>
      </w:r>
      <w:r w:rsidRPr="00AF1489">
        <w:rPr>
          <w:rFonts w:ascii="Arial" w:hAnsi="Arial" w:cs="Arial"/>
          <w:color w:val="242424"/>
          <w:spacing w:val="-2"/>
          <w:sz w:val="22"/>
          <w:szCs w:val="22"/>
        </w:rPr>
        <w:t xml:space="preserve"> </w:t>
      </w:r>
      <w:r w:rsidRPr="00AF1489">
        <w:rPr>
          <w:rFonts w:ascii="Arial" w:hAnsi="Arial" w:cs="Arial"/>
          <w:color w:val="242424"/>
          <w:sz w:val="22"/>
          <w:szCs w:val="22"/>
        </w:rPr>
        <w:t xml:space="preserve">assurance and therefore is not a guarantee that an audit conducted in accordance with GAAS and </w:t>
      </w:r>
      <w:r w:rsidRPr="00AF1489">
        <w:rPr>
          <w:rFonts w:ascii="Arial" w:hAnsi="Arial" w:cs="Arial"/>
          <w:i/>
          <w:color w:val="242424"/>
          <w:sz w:val="22"/>
          <w:szCs w:val="22"/>
        </w:rPr>
        <w:t>Government Auditing</w:t>
      </w:r>
      <w:r w:rsidRPr="00AF1489">
        <w:rPr>
          <w:rFonts w:ascii="Arial" w:hAnsi="Arial" w:cs="Arial"/>
          <w:i/>
          <w:color w:val="242424"/>
          <w:spacing w:val="-1"/>
          <w:sz w:val="22"/>
          <w:szCs w:val="22"/>
        </w:rPr>
        <w:t xml:space="preserve"> </w:t>
      </w:r>
      <w:r w:rsidRPr="00AF1489">
        <w:rPr>
          <w:rFonts w:ascii="Arial" w:hAnsi="Arial" w:cs="Arial"/>
          <w:i/>
          <w:color w:val="242424"/>
          <w:sz w:val="22"/>
          <w:szCs w:val="22"/>
        </w:rPr>
        <w:t>Standards</w:t>
      </w:r>
      <w:r w:rsidRPr="00AF1489">
        <w:rPr>
          <w:rFonts w:ascii="Arial" w:hAnsi="Arial" w:cs="Arial"/>
          <w:i/>
          <w:color w:val="242424"/>
          <w:spacing w:val="-1"/>
          <w:sz w:val="22"/>
          <w:szCs w:val="22"/>
        </w:rPr>
        <w:t xml:space="preserve"> </w:t>
      </w:r>
      <w:r w:rsidRPr="00AF1489">
        <w:rPr>
          <w:rFonts w:ascii="Arial" w:hAnsi="Arial" w:cs="Arial"/>
          <w:color w:val="242424"/>
          <w:sz w:val="22"/>
          <w:szCs w:val="22"/>
        </w:rPr>
        <w:t>will</w:t>
      </w:r>
      <w:r w:rsidRPr="00AF1489">
        <w:rPr>
          <w:rFonts w:ascii="Arial" w:hAnsi="Arial" w:cs="Arial"/>
          <w:color w:val="242424"/>
          <w:spacing w:val="-1"/>
          <w:sz w:val="22"/>
          <w:szCs w:val="22"/>
        </w:rPr>
        <w:t xml:space="preserve"> </w:t>
      </w:r>
      <w:r w:rsidRPr="00AF1489">
        <w:rPr>
          <w:rFonts w:ascii="Arial" w:hAnsi="Arial" w:cs="Arial"/>
          <w:color w:val="242424"/>
          <w:sz w:val="22"/>
          <w:szCs w:val="22"/>
        </w:rPr>
        <w:t>always</w:t>
      </w:r>
      <w:r w:rsidRPr="00AF1489">
        <w:rPr>
          <w:rFonts w:ascii="Arial" w:hAnsi="Arial" w:cs="Arial"/>
          <w:color w:val="242424"/>
          <w:spacing w:val="-1"/>
          <w:sz w:val="22"/>
          <w:szCs w:val="22"/>
        </w:rPr>
        <w:t xml:space="preserve"> </w:t>
      </w:r>
      <w:r w:rsidRPr="00AF1489">
        <w:rPr>
          <w:rFonts w:ascii="Arial" w:hAnsi="Arial" w:cs="Arial"/>
          <w:color w:val="242424"/>
          <w:sz w:val="22"/>
          <w:szCs w:val="22"/>
        </w:rPr>
        <w:t>detect</w:t>
      </w:r>
      <w:r w:rsidRPr="00AF1489">
        <w:rPr>
          <w:rFonts w:ascii="Arial" w:hAnsi="Arial" w:cs="Arial"/>
          <w:color w:val="242424"/>
          <w:spacing w:val="-2"/>
          <w:sz w:val="22"/>
          <w:szCs w:val="22"/>
        </w:rPr>
        <w:t xml:space="preserve"> </w:t>
      </w:r>
      <w:r w:rsidRPr="00AF1489">
        <w:rPr>
          <w:rFonts w:ascii="Arial" w:hAnsi="Arial" w:cs="Arial"/>
          <w:color w:val="242424"/>
          <w:sz w:val="22"/>
          <w:szCs w:val="22"/>
        </w:rPr>
        <w:t>a material</w:t>
      </w:r>
      <w:r w:rsidRPr="00AF1489">
        <w:rPr>
          <w:rFonts w:ascii="Arial" w:hAnsi="Arial" w:cs="Arial"/>
          <w:color w:val="242424"/>
          <w:spacing w:val="-1"/>
          <w:sz w:val="22"/>
          <w:szCs w:val="22"/>
        </w:rPr>
        <w:t xml:space="preserve"> </w:t>
      </w:r>
      <w:r w:rsidRPr="00AF1489">
        <w:rPr>
          <w:rFonts w:ascii="Arial" w:hAnsi="Arial" w:cs="Arial"/>
          <w:color w:val="242424"/>
          <w:sz w:val="22"/>
          <w:szCs w:val="22"/>
        </w:rPr>
        <w:t>misstatement</w:t>
      </w:r>
      <w:r w:rsidRPr="00AF1489">
        <w:rPr>
          <w:rFonts w:ascii="Arial" w:hAnsi="Arial" w:cs="Arial"/>
          <w:color w:val="242424"/>
          <w:spacing w:val="-1"/>
          <w:sz w:val="22"/>
          <w:szCs w:val="22"/>
        </w:rPr>
        <w:t xml:space="preserve"> </w:t>
      </w:r>
      <w:r w:rsidRPr="00AF1489">
        <w:rPr>
          <w:rFonts w:ascii="Arial" w:hAnsi="Arial" w:cs="Arial"/>
          <w:color w:val="242424"/>
          <w:sz w:val="22"/>
          <w:szCs w:val="22"/>
        </w:rPr>
        <w:t>when</w:t>
      </w:r>
      <w:r w:rsidRPr="00AF1489">
        <w:rPr>
          <w:rFonts w:ascii="Arial" w:hAnsi="Arial" w:cs="Arial"/>
          <w:color w:val="242424"/>
          <w:spacing w:val="-1"/>
          <w:sz w:val="22"/>
          <w:szCs w:val="22"/>
        </w:rPr>
        <w:t xml:space="preserve"> </w:t>
      </w:r>
      <w:r w:rsidRPr="00AF1489">
        <w:rPr>
          <w:rFonts w:ascii="Arial" w:hAnsi="Arial" w:cs="Arial"/>
          <w:color w:val="242424"/>
          <w:sz w:val="22"/>
          <w:szCs w:val="22"/>
        </w:rPr>
        <w:t>it</w:t>
      </w:r>
      <w:r w:rsidRPr="00AF1489">
        <w:rPr>
          <w:rFonts w:ascii="Arial" w:hAnsi="Arial" w:cs="Arial"/>
          <w:color w:val="242424"/>
          <w:spacing w:val="-1"/>
          <w:sz w:val="22"/>
          <w:szCs w:val="22"/>
        </w:rPr>
        <w:t xml:space="preserve"> </w:t>
      </w:r>
      <w:r w:rsidRPr="00AF1489">
        <w:rPr>
          <w:rFonts w:ascii="Arial" w:hAnsi="Arial" w:cs="Arial"/>
          <w:color w:val="242424"/>
          <w:sz w:val="22"/>
          <w:szCs w:val="22"/>
        </w:rPr>
        <w:t>exists.</w:t>
      </w:r>
      <w:r w:rsidRPr="00AF1489">
        <w:rPr>
          <w:rFonts w:ascii="Arial" w:hAnsi="Arial" w:cs="Arial"/>
          <w:color w:val="242424"/>
          <w:spacing w:val="-1"/>
          <w:sz w:val="22"/>
          <w:szCs w:val="22"/>
        </w:rPr>
        <w:t xml:space="preserve"> </w:t>
      </w:r>
      <w:r w:rsidRPr="00AF1489">
        <w:rPr>
          <w:rFonts w:ascii="Arial" w:hAnsi="Arial" w:cs="Arial"/>
          <w:color w:val="242424"/>
          <w:sz w:val="22"/>
          <w:szCs w:val="22"/>
        </w:rPr>
        <w:t>The</w:t>
      </w:r>
      <w:r w:rsidRPr="00AF1489">
        <w:rPr>
          <w:rFonts w:ascii="Arial" w:hAnsi="Arial" w:cs="Arial"/>
          <w:color w:val="242424"/>
          <w:spacing w:val="-1"/>
          <w:sz w:val="22"/>
          <w:szCs w:val="22"/>
        </w:rPr>
        <w:t xml:space="preserve"> </w:t>
      </w:r>
      <w:r w:rsidRPr="00AF1489">
        <w:rPr>
          <w:rFonts w:ascii="Arial" w:hAnsi="Arial" w:cs="Arial"/>
          <w:color w:val="242424"/>
          <w:sz w:val="22"/>
          <w:szCs w:val="22"/>
        </w:rPr>
        <w:t>risk</w:t>
      </w:r>
      <w:r w:rsidRPr="00AF1489">
        <w:rPr>
          <w:rFonts w:ascii="Arial" w:hAnsi="Arial" w:cs="Arial"/>
          <w:color w:val="242424"/>
          <w:spacing w:val="-1"/>
          <w:sz w:val="22"/>
          <w:szCs w:val="22"/>
        </w:rPr>
        <w:t xml:space="preserve"> </w:t>
      </w:r>
      <w:r w:rsidRPr="00AF1489">
        <w:rPr>
          <w:rFonts w:ascii="Arial" w:hAnsi="Arial" w:cs="Arial"/>
          <w:color w:val="242424"/>
          <w:sz w:val="22"/>
          <w:szCs w:val="22"/>
        </w:rPr>
        <w:t>of</w:t>
      </w:r>
      <w:r w:rsidRPr="00AF1489">
        <w:rPr>
          <w:rFonts w:ascii="Arial" w:hAnsi="Arial" w:cs="Arial"/>
          <w:color w:val="242424"/>
          <w:spacing w:val="-1"/>
          <w:sz w:val="22"/>
          <w:szCs w:val="22"/>
        </w:rPr>
        <w:t xml:space="preserve"> </w:t>
      </w:r>
      <w:r w:rsidRPr="00AF1489">
        <w:rPr>
          <w:rFonts w:ascii="Arial" w:hAnsi="Arial" w:cs="Arial"/>
          <w:color w:val="242424"/>
          <w:sz w:val="22"/>
          <w:szCs w:val="22"/>
        </w:rPr>
        <w:t>not</w:t>
      </w:r>
      <w:r w:rsidRPr="00AF1489">
        <w:rPr>
          <w:rFonts w:ascii="Arial" w:hAnsi="Arial" w:cs="Arial"/>
          <w:color w:val="242424"/>
          <w:spacing w:val="-1"/>
          <w:sz w:val="22"/>
          <w:szCs w:val="22"/>
        </w:rPr>
        <w:t xml:space="preserve"> </w:t>
      </w:r>
      <w:r w:rsidRPr="00AF1489">
        <w:rPr>
          <w:rFonts w:ascii="Arial" w:hAnsi="Arial" w:cs="Arial"/>
          <w:color w:val="242424"/>
          <w:sz w:val="22"/>
          <w:szCs w:val="22"/>
        </w:rPr>
        <w:t>detecting</w:t>
      </w:r>
      <w:r w:rsidRPr="00AF1489">
        <w:rPr>
          <w:rFonts w:ascii="Arial" w:hAnsi="Arial" w:cs="Arial"/>
          <w:color w:val="242424"/>
          <w:spacing w:val="-1"/>
          <w:sz w:val="22"/>
          <w:szCs w:val="22"/>
        </w:rPr>
        <w:t xml:space="preserve"> </w:t>
      </w:r>
      <w:r w:rsidRPr="00AF1489">
        <w:rPr>
          <w:rFonts w:ascii="Arial" w:hAnsi="Arial" w:cs="Arial"/>
          <w:color w:val="242424"/>
          <w:sz w:val="22"/>
          <w:szCs w:val="22"/>
        </w:rPr>
        <w:t xml:space="preserve">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 influence the judgment made by a reasonable user based on the financial </w:t>
      </w:r>
      <w:r w:rsidRPr="00AF1489">
        <w:rPr>
          <w:rFonts w:ascii="Arial" w:hAnsi="Arial" w:cs="Arial"/>
          <w:color w:val="242424"/>
          <w:spacing w:val="-2"/>
          <w:sz w:val="22"/>
          <w:szCs w:val="22"/>
        </w:rPr>
        <w:t>statements.</w:t>
      </w:r>
    </w:p>
    <w:p w14:paraId="4FD19E2F" w14:textId="77777777" w:rsidR="00AF1489" w:rsidRPr="00AF1489" w:rsidRDefault="00AF1489" w:rsidP="00AF1489">
      <w:pPr>
        <w:pStyle w:val="BodyText"/>
        <w:spacing w:before="10"/>
        <w:rPr>
          <w:rFonts w:ascii="Arial" w:hAnsi="Arial" w:cs="Arial"/>
          <w:sz w:val="22"/>
          <w:szCs w:val="22"/>
        </w:rPr>
      </w:pPr>
    </w:p>
    <w:p w14:paraId="37AE619E" w14:textId="77777777" w:rsidR="00AF1489" w:rsidRPr="00AF1489" w:rsidRDefault="00AF1489" w:rsidP="00AF1489">
      <w:pPr>
        <w:jc w:val="both"/>
        <w:rPr>
          <w:rFonts w:ascii="Arial" w:hAnsi="Arial" w:cs="Arial"/>
        </w:rPr>
      </w:pPr>
      <w:r w:rsidRPr="00AF1489">
        <w:rPr>
          <w:rFonts w:ascii="Arial" w:hAnsi="Arial" w:cs="Arial"/>
        </w:rPr>
        <w:t>In</w:t>
      </w:r>
      <w:r w:rsidRPr="00AF1489">
        <w:rPr>
          <w:rFonts w:ascii="Arial" w:hAnsi="Arial" w:cs="Arial"/>
          <w:spacing w:val="-7"/>
        </w:rPr>
        <w:t xml:space="preserve"> </w:t>
      </w:r>
      <w:r w:rsidRPr="00AF1489">
        <w:rPr>
          <w:rFonts w:ascii="Arial" w:hAnsi="Arial" w:cs="Arial"/>
        </w:rPr>
        <w:t>performing</w:t>
      </w:r>
      <w:r w:rsidRPr="00AF1489">
        <w:rPr>
          <w:rFonts w:ascii="Arial" w:hAnsi="Arial" w:cs="Arial"/>
          <w:spacing w:val="-6"/>
        </w:rPr>
        <w:t xml:space="preserve"> </w:t>
      </w:r>
      <w:r w:rsidRPr="00AF1489">
        <w:rPr>
          <w:rFonts w:ascii="Arial" w:hAnsi="Arial" w:cs="Arial"/>
        </w:rPr>
        <w:t>an</w:t>
      </w:r>
      <w:r w:rsidRPr="00AF1489">
        <w:rPr>
          <w:rFonts w:ascii="Arial" w:hAnsi="Arial" w:cs="Arial"/>
          <w:spacing w:val="-7"/>
        </w:rPr>
        <w:t xml:space="preserve"> </w:t>
      </w:r>
      <w:r w:rsidRPr="00AF1489">
        <w:rPr>
          <w:rFonts w:ascii="Arial" w:hAnsi="Arial" w:cs="Arial"/>
        </w:rPr>
        <w:t>audit</w:t>
      </w:r>
      <w:r w:rsidRPr="00AF1489">
        <w:rPr>
          <w:rFonts w:ascii="Arial" w:hAnsi="Arial" w:cs="Arial"/>
          <w:spacing w:val="-6"/>
        </w:rPr>
        <w:t xml:space="preserve"> </w:t>
      </w:r>
      <w:r w:rsidRPr="00AF1489">
        <w:rPr>
          <w:rFonts w:ascii="Arial" w:hAnsi="Arial" w:cs="Arial"/>
        </w:rPr>
        <w:t>in</w:t>
      </w:r>
      <w:r w:rsidRPr="00AF1489">
        <w:rPr>
          <w:rFonts w:ascii="Arial" w:hAnsi="Arial" w:cs="Arial"/>
          <w:spacing w:val="-7"/>
        </w:rPr>
        <w:t xml:space="preserve"> </w:t>
      </w:r>
      <w:r w:rsidRPr="00AF1489">
        <w:rPr>
          <w:rFonts w:ascii="Arial" w:hAnsi="Arial" w:cs="Arial"/>
        </w:rPr>
        <w:t>accordance</w:t>
      </w:r>
      <w:r w:rsidRPr="00AF1489">
        <w:rPr>
          <w:rFonts w:ascii="Arial" w:hAnsi="Arial" w:cs="Arial"/>
          <w:spacing w:val="-6"/>
        </w:rPr>
        <w:t xml:space="preserve"> </w:t>
      </w:r>
      <w:r w:rsidRPr="00AF1489">
        <w:rPr>
          <w:rFonts w:ascii="Arial" w:hAnsi="Arial" w:cs="Arial"/>
        </w:rPr>
        <w:t>with</w:t>
      </w:r>
      <w:r w:rsidRPr="00AF1489">
        <w:rPr>
          <w:rFonts w:ascii="Arial" w:hAnsi="Arial" w:cs="Arial"/>
          <w:spacing w:val="-7"/>
        </w:rPr>
        <w:t xml:space="preserve"> </w:t>
      </w:r>
      <w:r w:rsidRPr="00AF1489">
        <w:rPr>
          <w:rFonts w:ascii="Arial" w:hAnsi="Arial" w:cs="Arial"/>
        </w:rPr>
        <w:t>GAAS</w:t>
      </w:r>
      <w:r w:rsidRPr="00AF1489">
        <w:rPr>
          <w:rFonts w:ascii="Arial" w:hAnsi="Arial" w:cs="Arial"/>
          <w:spacing w:val="-5"/>
        </w:rPr>
        <w:t xml:space="preserve"> </w:t>
      </w:r>
      <w:r w:rsidRPr="00AF1489">
        <w:rPr>
          <w:rFonts w:ascii="Arial" w:hAnsi="Arial" w:cs="Arial"/>
        </w:rPr>
        <w:t>and</w:t>
      </w:r>
      <w:r w:rsidRPr="00AF1489">
        <w:rPr>
          <w:rFonts w:ascii="Arial" w:hAnsi="Arial" w:cs="Arial"/>
          <w:spacing w:val="-5"/>
        </w:rPr>
        <w:t xml:space="preserve"> </w:t>
      </w:r>
      <w:r w:rsidRPr="00AF1489">
        <w:rPr>
          <w:rFonts w:ascii="Arial" w:hAnsi="Arial" w:cs="Arial"/>
          <w:i/>
        </w:rPr>
        <w:t>Government</w:t>
      </w:r>
      <w:r w:rsidRPr="00AF1489">
        <w:rPr>
          <w:rFonts w:ascii="Arial" w:hAnsi="Arial" w:cs="Arial"/>
          <w:i/>
          <w:spacing w:val="-7"/>
        </w:rPr>
        <w:t xml:space="preserve"> </w:t>
      </w:r>
      <w:r w:rsidRPr="00AF1489">
        <w:rPr>
          <w:rFonts w:ascii="Arial" w:hAnsi="Arial" w:cs="Arial"/>
          <w:i/>
        </w:rPr>
        <w:t>Auditing</w:t>
      </w:r>
      <w:r w:rsidRPr="00AF1489">
        <w:rPr>
          <w:rFonts w:ascii="Arial" w:hAnsi="Arial" w:cs="Arial"/>
          <w:i/>
          <w:spacing w:val="-6"/>
        </w:rPr>
        <w:t xml:space="preserve"> </w:t>
      </w:r>
      <w:r w:rsidRPr="00AF1489">
        <w:rPr>
          <w:rFonts w:ascii="Arial" w:hAnsi="Arial" w:cs="Arial"/>
          <w:i/>
        </w:rPr>
        <w:t>Standards</w:t>
      </w:r>
      <w:r w:rsidRPr="00AF1489">
        <w:rPr>
          <w:rFonts w:ascii="Arial" w:hAnsi="Arial" w:cs="Arial"/>
        </w:rPr>
        <w:t>,</w:t>
      </w:r>
      <w:r w:rsidRPr="00AF1489">
        <w:rPr>
          <w:rFonts w:ascii="Arial" w:hAnsi="Arial" w:cs="Arial"/>
          <w:spacing w:val="-7"/>
        </w:rPr>
        <w:t xml:space="preserve"> </w:t>
      </w:r>
      <w:r w:rsidRPr="00AF1489">
        <w:rPr>
          <w:rFonts w:ascii="Arial" w:hAnsi="Arial" w:cs="Arial"/>
          <w:spacing w:val="-5"/>
        </w:rPr>
        <w:t>we:</w:t>
      </w:r>
    </w:p>
    <w:p w14:paraId="37E3BD7F" w14:textId="77777777" w:rsidR="00AF1489" w:rsidRPr="00AF1489" w:rsidRDefault="00AF1489" w:rsidP="00AF1489">
      <w:pPr>
        <w:pStyle w:val="BodyText"/>
        <w:rPr>
          <w:rFonts w:ascii="Arial" w:hAnsi="Arial" w:cs="Arial"/>
          <w:sz w:val="22"/>
          <w:szCs w:val="22"/>
        </w:rPr>
      </w:pPr>
    </w:p>
    <w:p w14:paraId="36E97579" w14:textId="77777777" w:rsidR="00AF1489" w:rsidRPr="00AF1489" w:rsidRDefault="00AF1489" w:rsidP="00AF1489">
      <w:pPr>
        <w:pStyle w:val="ListParagraph"/>
        <w:widowControl w:val="0"/>
        <w:numPr>
          <w:ilvl w:val="0"/>
          <w:numId w:val="30"/>
        </w:numPr>
        <w:tabs>
          <w:tab w:val="left" w:pos="900"/>
          <w:tab w:val="left" w:pos="901"/>
        </w:tabs>
        <w:autoSpaceDE w:val="0"/>
        <w:autoSpaceDN w:val="0"/>
        <w:ind w:left="899"/>
        <w:rPr>
          <w:rFonts w:ascii="Arial" w:hAnsi="Arial" w:cs="Arial"/>
          <w:sz w:val="22"/>
          <w:szCs w:val="22"/>
        </w:rPr>
      </w:pPr>
      <w:r w:rsidRPr="00AF1489">
        <w:rPr>
          <w:rFonts w:ascii="Arial" w:hAnsi="Arial" w:cs="Arial"/>
          <w:sz w:val="22"/>
          <w:szCs w:val="22"/>
        </w:rPr>
        <w:t>Exercise</w:t>
      </w:r>
      <w:r w:rsidRPr="00AF1489">
        <w:rPr>
          <w:rFonts w:ascii="Arial" w:hAnsi="Arial" w:cs="Arial"/>
          <w:spacing w:val="-10"/>
          <w:sz w:val="22"/>
          <w:szCs w:val="22"/>
        </w:rPr>
        <w:t xml:space="preserve"> </w:t>
      </w:r>
      <w:r w:rsidRPr="00AF1489">
        <w:rPr>
          <w:rFonts w:ascii="Arial" w:hAnsi="Arial" w:cs="Arial"/>
          <w:sz w:val="22"/>
          <w:szCs w:val="22"/>
        </w:rPr>
        <w:t>professional</w:t>
      </w:r>
      <w:r w:rsidRPr="00AF1489">
        <w:rPr>
          <w:rFonts w:ascii="Arial" w:hAnsi="Arial" w:cs="Arial"/>
          <w:spacing w:val="-9"/>
          <w:sz w:val="22"/>
          <w:szCs w:val="22"/>
        </w:rPr>
        <w:t xml:space="preserve"> </w:t>
      </w:r>
      <w:r w:rsidRPr="00AF1489">
        <w:rPr>
          <w:rFonts w:ascii="Arial" w:hAnsi="Arial" w:cs="Arial"/>
          <w:sz w:val="22"/>
          <w:szCs w:val="22"/>
        </w:rPr>
        <w:t>judgment</w:t>
      </w:r>
      <w:r w:rsidRPr="00AF1489">
        <w:rPr>
          <w:rFonts w:ascii="Arial" w:hAnsi="Arial" w:cs="Arial"/>
          <w:spacing w:val="-9"/>
          <w:sz w:val="22"/>
          <w:szCs w:val="22"/>
        </w:rPr>
        <w:t xml:space="preserve"> </w:t>
      </w:r>
      <w:r w:rsidRPr="00AF1489">
        <w:rPr>
          <w:rFonts w:ascii="Arial" w:hAnsi="Arial" w:cs="Arial"/>
          <w:sz w:val="22"/>
          <w:szCs w:val="22"/>
        </w:rPr>
        <w:t>and</w:t>
      </w:r>
      <w:r w:rsidRPr="00AF1489">
        <w:rPr>
          <w:rFonts w:ascii="Arial" w:hAnsi="Arial" w:cs="Arial"/>
          <w:spacing w:val="-9"/>
          <w:sz w:val="22"/>
          <w:szCs w:val="22"/>
        </w:rPr>
        <w:t xml:space="preserve"> </w:t>
      </w:r>
      <w:r w:rsidRPr="00AF1489">
        <w:rPr>
          <w:rFonts w:ascii="Arial" w:hAnsi="Arial" w:cs="Arial"/>
          <w:sz w:val="22"/>
          <w:szCs w:val="22"/>
        </w:rPr>
        <w:t>maintain</w:t>
      </w:r>
      <w:r w:rsidRPr="00AF1489">
        <w:rPr>
          <w:rFonts w:ascii="Arial" w:hAnsi="Arial" w:cs="Arial"/>
          <w:spacing w:val="-9"/>
          <w:sz w:val="22"/>
          <w:szCs w:val="22"/>
        </w:rPr>
        <w:t xml:space="preserve"> </w:t>
      </w:r>
      <w:r w:rsidRPr="00AF1489">
        <w:rPr>
          <w:rFonts w:ascii="Arial" w:hAnsi="Arial" w:cs="Arial"/>
          <w:sz w:val="22"/>
          <w:szCs w:val="22"/>
        </w:rPr>
        <w:t>professional</w:t>
      </w:r>
      <w:r w:rsidRPr="00AF1489">
        <w:rPr>
          <w:rFonts w:ascii="Arial" w:hAnsi="Arial" w:cs="Arial"/>
          <w:spacing w:val="-9"/>
          <w:sz w:val="22"/>
          <w:szCs w:val="22"/>
        </w:rPr>
        <w:t xml:space="preserve"> </w:t>
      </w:r>
      <w:r w:rsidRPr="00AF1489">
        <w:rPr>
          <w:rFonts w:ascii="Arial" w:hAnsi="Arial" w:cs="Arial"/>
          <w:sz w:val="22"/>
          <w:szCs w:val="22"/>
        </w:rPr>
        <w:t>skepticism</w:t>
      </w:r>
      <w:r w:rsidRPr="00AF1489">
        <w:rPr>
          <w:rFonts w:ascii="Arial" w:hAnsi="Arial" w:cs="Arial"/>
          <w:spacing w:val="-9"/>
          <w:sz w:val="22"/>
          <w:szCs w:val="22"/>
        </w:rPr>
        <w:t xml:space="preserve"> </w:t>
      </w:r>
      <w:r w:rsidRPr="00AF1489">
        <w:rPr>
          <w:rFonts w:ascii="Arial" w:hAnsi="Arial" w:cs="Arial"/>
          <w:sz w:val="22"/>
          <w:szCs w:val="22"/>
        </w:rPr>
        <w:t>throughout</w:t>
      </w:r>
      <w:r w:rsidRPr="00AF1489">
        <w:rPr>
          <w:rFonts w:ascii="Arial" w:hAnsi="Arial" w:cs="Arial"/>
          <w:spacing w:val="-9"/>
          <w:sz w:val="22"/>
          <w:szCs w:val="22"/>
        </w:rPr>
        <w:t xml:space="preserve"> </w:t>
      </w:r>
      <w:r w:rsidRPr="00AF1489">
        <w:rPr>
          <w:rFonts w:ascii="Arial" w:hAnsi="Arial" w:cs="Arial"/>
          <w:sz w:val="22"/>
          <w:szCs w:val="22"/>
        </w:rPr>
        <w:t>the</w:t>
      </w:r>
      <w:r w:rsidRPr="00AF1489">
        <w:rPr>
          <w:rFonts w:ascii="Arial" w:hAnsi="Arial" w:cs="Arial"/>
          <w:spacing w:val="-10"/>
          <w:sz w:val="22"/>
          <w:szCs w:val="22"/>
        </w:rPr>
        <w:t xml:space="preserve"> </w:t>
      </w:r>
      <w:r w:rsidRPr="00AF1489">
        <w:rPr>
          <w:rFonts w:ascii="Arial" w:hAnsi="Arial" w:cs="Arial"/>
          <w:spacing w:val="-2"/>
          <w:sz w:val="22"/>
          <w:szCs w:val="22"/>
        </w:rPr>
        <w:t>audits.</w:t>
      </w:r>
    </w:p>
    <w:p w14:paraId="354C6F9C" w14:textId="77777777" w:rsidR="00AF1489" w:rsidRPr="00AF1489" w:rsidRDefault="00AF1489" w:rsidP="00AF1489">
      <w:pPr>
        <w:pStyle w:val="BodyText"/>
        <w:tabs>
          <w:tab w:val="left" w:pos="900"/>
        </w:tabs>
        <w:spacing w:before="10"/>
        <w:ind w:left="899" w:hanging="360"/>
        <w:rPr>
          <w:rFonts w:ascii="Arial" w:hAnsi="Arial" w:cs="Arial"/>
          <w:sz w:val="22"/>
          <w:szCs w:val="22"/>
        </w:rPr>
      </w:pPr>
    </w:p>
    <w:p w14:paraId="5062868B" w14:textId="77777777" w:rsidR="00AF1489" w:rsidRPr="00AF1489" w:rsidRDefault="00AF1489" w:rsidP="00AF1489">
      <w:pPr>
        <w:pStyle w:val="ListParagraph"/>
        <w:widowControl w:val="0"/>
        <w:numPr>
          <w:ilvl w:val="0"/>
          <w:numId w:val="30"/>
        </w:numPr>
        <w:tabs>
          <w:tab w:val="left" w:pos="900"/>
        </w:tabs>
        <w:autoSpaceDE w:val="0"/>
        <w:autoSpaceDN w:val="0"/>
        <w:ind w:left="899" w:right="117"/>
        <w:jc w:val="both"/>
        <w:rPr>
          <w:rFonts w:ascii="Arial" w:hAnsi="Arial" w:cs="Arial"/>
          <w:sz w:val="22"/>
          <w:szCs w:val="22"/>
        </w:rPr>
      </w:pPr>
      <w:r w:rsidRPr="00AF1489">
        <w:rPr>
          <w:rFonts w:ascii="Arial" w:hAnsi="Arial" w:cs="Arial"/>
          <w:sz w:val="22"/>
          <w:szCs w:val="22"/>
        </w:rPr>
        <w:t>Identify and assess the risks of material misstatement of the financial statements, whether due to fraud or error, and design and perform audit procedures responsive to those risks. Such procedures include examining, on a</w:t>
      </w:r>
      <w:r w:rsidRPr="00AF1489">
        <w:rPr>
          <w:rFonts w:ascii="Arial" w:hAnsi="Arial" w:cs="Arial"/>
          <w:spacing w:val="-1"/>
          <w:sz w:val="22"/>
          <w:szCs w:val="22"/>
        </w:rPr>
        <w:t xml:space="preserve"> </w:t>
      </w:r>
      <w:r w:rsidRPr="00AF1489">
        <w:rPr>
          <w:rFonts w:ascii="Arial" w:hAnsi="Arial" w:cs="Arial"/>
          <w:sz w:val="22"/>
          <w:szCs w:val="22"/>
        </w:rPr>
        <w:t>test basis,</w:t>
      </w:r>
      <w:r w:rsidRPr="00AF1489">
        <w:rPr>
          <w:rFonts w:ascii="Arial" w:hAnsi="Arial" w:cs="Arial"/>
          <w:spacing w:val="-1"/>
          <w:sz w:val="22"/>
          <w:szCs w:val="22"/>
        </w:rPr>
        <w:t xml:space="preserve"> </w:t>
      </w:r>
      <w:r w:rsidRPr="00AF1489">
        <w:rPr>
          <w:rFonts w:ascii="Arial" w:hAnsi="Arial" w:cs="Arial"/>
          <w:sz w:val="22"/>
          <w:szCs w:val="22"/>
        </w:rPr>
        <w:t>evidence regarding the</w:t>
      </w:r>
      <w:r w:rsidRPr="00AF1489">
        <w:rPr>
          <w:rFonts w:ascii="Arial" w:hAnsi="Arial" w:cs="Arial"/>
          <w:spacing w:val="-1"/>
          <w:sz w:val="22"/>
          <w:szCs w:val="22"/>
        </w:rPr>
        <w:t xml:space="preserve"> </w:t>
      </w:r>
      <w:r w:rsidRPr="00AF1489">
        <w:rPr>
          <w:rFonts w:ascii="Arial" w:hAnsi="Arial" w:cs="Arial"/>
          <w:sz w:val="22"/>
          <w:szCs w:val="22"/>
        </w:rPr>
        <w:t>amounts and disclosures in the financial statements.</w:t>
      </w:r>
    </w:p>
    <w:p w14:paraId="6ED05849" w14:textId="77777777" w:rsidR="00AF1489" w:rsidRPr="00AF1489" w:rsidRDefault="00AF1489" w:rsidP="00AF1489">
      <w:pPr>
        <w:pStyle w:val="BodyText"/>
        <w:tabs>
          <w:tab w:val="left" w:pos="900"/>
        </w:tabs>
        <w:spacing w:before="9"/>
        <w:ind w:left="899" w:hanging="360"/>
        <w:rPr>
          <w:rFonts w:ascii="Arial" w:hAnsi="Arial" w:cs="Arial"/>
          <w:sz w:val="22"/>
          <w:szCs w:val="22"/>
        </w:rPr>
      </w:pPr>
    </w:p>
    <w:p w14:paraId="49D7E7E6" w14:textId="77777777" w:rsidR="00AF1489" w:rsidRPr="00AF1489" w:rsidRDefault="00AF1489" w:rsidP="00AF1489">
      <w:pPr>
        <w:pStyle w:val="ListParagraph"/>
        <w:widowControl w:val="0"/>
        <w:numPr>
          <w:ilvl w:val="0"/>
          <w:numId w:val="30"/>
        </w:numPr>
        <w:tabs>
          <w:tab w:val="left" w:pos="900"/>
        </w:tabs>
        <w:autoSpaceDE w:val="0"/>
        <w:autoSpaceDN w:val="0"/>
        <w:ind w:left="899" w:right="117"/>
        <w:jc w:val="both"/>
        <w:rPr>
          <w:rFonts w:ascii="Arial" w:hAnsi="Arial" w:cs="Arial"/>
          <w:sz w:val="22"/>
          <w:szCs w:val="22"/>
        </w:rPr>
      </w:pPr>
      <w:r w:rsidRPr="00AF1489">
        <w:rPr>
          <w:rFonts w:ascii="Arial" w:hAnsi="Arial" w:cs="Arial"/>
          <w:sz w:val="22"/>
          <w:szCs w:val="22"/>
        </w:rPr>
        <w:t xml:space="preserve">Obtain an understanding of internal control relevant to the audits in order to design audit procedures that are appropriate in the circumstances, but not for the purpose of expressing an opinion on the effectiveness of System’s internal control. Accordingly, no such opinion is </w:t>
      </w:r>
      <w:r w:rsidRPr="00AF1489">
        <w:rPr>
          <w:rFonts w:ascii="Arial" w:hAnsi="Arial" w:cs="Arial"/>
          <w:spacing w:val="-2"/>
          <w:sz w:val="22"/>
          <w:szCs w:val="22"/>
        </w:rPr>
        <w:t>expressed.</w:t>
      </w:r>
    </w:p>
    <w:p w14:paraId="7AE8344C" w14:textId="77777777" w:rsidR="00AF1489" w:rsidRPr="00AF1489" w:rsidRDefault="00AF1489" w:rsidP="00AF1489">
      <w:pPr>
        <w:jc w:val="both"/>
        <w:rPr>
          <w:rFonts w:ascii="Arial" w:hAnsi="Arial" w:cs="Arial"/>
        </w:rPr>
        <w:sectPr w:rsidR="00AF1489" w:rsidRPr="00AF1489" w:rsidSect="00AF1489">
          <w:pgSz w:w="12240" w:h="15840"/>
          <w:pgMar w:top="1152" w:right="1152" w:bottom="1152" w:left="1152" w:header="728" w:footer="766" w:gutter="0"/>
          <w:cols w:space="720"/>
          <w:docGrid w:linePitch="299"/>
        </w:sectPr>
      </w:pPr>
    </w:p>
    <w:p w14:paraId="392B4E55" w14:textId="4A7B72C7" w:rsidR="00AF1489" w:rsidRPr="00AF1489" w:rsidRDefault="00AF1489" w:rsidP="00AF1489">
      <w:pPr>
        <w:pStyle w:val="BodyText"/>
        <w:rPr>
          <w:rFonts w:ascii="Arial" w:hAnsi="Arial" w:cs="Arial"/>
          <w:sz w:val="22"/>
          <w:szCs w:val="22"/>
        </w:rPr>
      </w:pPr>
      <w:r w:rsidRPr="00AF1489">
        <w:rPr>
          <w:rFonts w:ascii="Arial" w:hAnsi="Arial" w:cs="Arial"/>
          <w:sz w:val="22"/>
          <w:szCs w:val="22"/>
        </w:rPr>
        <w:lastRenderedPageBreak/>
        <w:t>Board of Trustees</w:t>
      </w:r>
    </w:p>
    <w:p w14:paraId="7CEF0BCA" w14:textId="7F21AF5C" w:rsidR="00AF1489" w:rsidRPr="00AF1489" w:rsidRDefault="00AF1489" w:rsidP="00AF1489">
      <w:pPr>
        <w:pStyle w:val="BodyText"/>
        <w:rPr>
          <w:rFonts w:ascii="Arial" w:hAnsi="Arial" w:cs="Arial"/>
          <w:sz w:val="22"/>
          <w:szCs w:val="22"/>
        </w:rPr>
      </w:pPr>
      <w:r w:rsidRPr="00AF1489">
        <w:rPr>
          <w:rFonts w:ascii="Arial" w:hAnsi="Arial" w:cs="Arial"/>
          <w:sz w:val="22"/>
          <w:szCs w:val="22"/>
        </w:rPr>
        <w:t>University of Maine System</w:t>
      </w:r>
    </w:p>
    <w:p w14:paraId="4D68DD22" w14:textId="77777777" w:rsidR="00AF1489" w:rsidRPr="00AF1489" w:rsidRDefault="00AF1489" w:rsidP="00AF1489">
      <w:pPr>
        <w:pStyle w:val="BodyText"/>
        <w:rPr>
          <w:rFonts w:ascii="Arial" w:hAnsi="Arial" w:cs="Arial"/>
          <w:sz w:val="22"/>
          <w:szCs w:val="22"/>
        </w:rPr>
      </w:pPr>
    </w:p>
    <w:p w14:paraId="5A8C9C2A" w14:textId="77777777" w:rsidR="00AF1489" w:rsidRPr="00AF1489" w:rsidRDefault="00AF1489" w:rsidP="00AF1489">
      <w:pPr>
        <w:pStyle w:val="ListParagraph"/>
        <w:widowControl w:val="0"/>
        <w:numPr>
          <w:ilvl w:val="0"/>
          <w:numId w:val="29"/>
        </w:numPr>
        <w:tabs>
          <w:tab w:val="left" w:pos="900"/>
        </w:tabs>
        <w:autoSpaceDE w:val="0"/>
        <w:autoSpaceDN w:val="0"/>
        <w:spacing w:before="100"/>
        <w:ind w:right="118" w:hanging="360"/>
        <w:contextualSpacing w:val="0"/>
        <w:jc w:val="both"/>
        <w:rPr>
          <w:rFonts w:ascii="Arial" w:hAnsi="Arial" w:cs="Arial"/>
          <w:sz w:val="22"/>
          <w:szCs w:val="22"/>
        </w:rPr>
      </w:pPr>
      <w:r w:rsidRPr="00AF1489">
        <w:rPr>
          <w:rFonts w:ascii="Arial" w:hAnsi="Arial" w:cs="Arial"/>
          <w:sz w:val="22"/>
          <w:szCs w:val="22"/>
        </w:rPr>
        <w:t>Evaluate the appropriateness of accounting policies used and the reasonableness of significant accounting estimates made by management, as well as evaluate the overall presentation of the financial statements.</w:t>
      </w:r>
    </w:p>
    <w:p w14:paraId="5F4FDECF" w14:textId="77777777" w:rsidR="00AF1489" w:rsidRPr="00AF1489" w:rsidRDefault="00AF1489" w:rsidP="00AF1489">
      <w:pPr>
        <w:pStyle w:val="BodyText"/>
        <w:tabs>
          <w:tab w:val="left" w:pos="900"/>
        </w:tabs>
        <w:spacing w:before="9"/>
        <w:ind w:left="899" w:hanging="360"/>
        <w:rPr>
          <w:rFonts w:ascii="Arial" w:hAnsi="Arial" w:cs="Arial"/>
          <w:sz w:val="22"/>
          <w:szCs w:val="22"/>
        </w:rPr>
      </w:pPr>
    </w:p>
    <w:p w14:paraId="16238617" w14:textId="77777777" w:rsidR="00AF1489" w:rsidRPr="00AF1489" w:rsidRDefault="00AF1489" w:rsidP="00AF1489">
      <w:pPr>
        <w:pStyle w:val="ListParagraph"/>
        <w:widowControl w:val="0"/>
        <w:numPr>
          <w:ilvl w:val="0"/>
          <w:numId w:val="29"/>
        </w:numPr>
        <w:tabs>
          <w:tab w:val="left" w:pos="900"/>
        </w:tabs>
        <w:autoSpaceDE w:val="0"/>
        <w:autoSpaceDN w:val="0"/>
        <w:ind w:right="120" w:hanging="360"/>
        <w:contextualSpacing w:val="0"/>
        <w:jc w:val="both"/>
        <w:rPr>
          <w:rFonts w:ascii="Arial" w:hAnsi="Arial" w:cs="Arial"/>
          <w:sz w:val="22"/>
          <w:szCs w:val="22"/>
        </w:rPr>
      </w:pPr>
      <w:r w:rsidRPr="00AF1489">
        <w:rPr>
          <w:rFonts w:ascii="Arial" w:hAnsi="Arial" w:cs="Arial"/>
          <w:sz w:val="22"/>
          <w:szCs w:val="22"/>
        </w:rPr>
        <w:t>Conclude</w:t>
      </w:r>
      <w:r w:rsidRPr="00AF1489">
        <w:rPr>
          <w:rFonts w:ascii="Arial" w:hAnsi="Arial" w:cs="Arial"/>
          <w:spacing w:val="-2"/>
          <w:sz w:val="22"/>
          <w:szCs w:val="22"/>
        </w:rPr>
        <w:t xml:space="preserve"> </w:t>
      </w:r>
      <w:r w:rsidRPr="00AF1489">
        <w:rPr>
          <w:rFonts w:ascii="Arial" w:hAnsi="Arial" w:cs="Arial"/>
          <w:sz w:val="22"/>
          <w:szCs w:val="22"/>
        </w:rPr>
        <w:t>whether,</w:t>
      </w:r>
      <w:r w:rsidRPr="00AF1489">
        <w:rPr>
          <w:rFonts w:ascii="Arial" w:hAnsi="Arial" w:cs="Arial"/>
          <w:spacing w:val="-2"/>
          <w:sz w:val="22"/>
          <w:szCs w:val="22"/>
        </w:rPr>
        <w:t xml:space="preserve"> </w:t>
      </w:r>
      <w:r w:rsidRPr="00AF1489">
        <w:rPr>
          <w:rFonts w:ascii="Arial" w:hAnsi="Arial" w:cs="Arial"/>
          <w:sz w:val="22"/>
          <w:szCs w:val="22"/>
        </w:rPr>
        <w:t>in</w:t>
      </w:r>
      <w:r w:rsidRPr="00AF1489">
        <w:rPr>
          <w:rFonts w:ascii="Arial" w:hAnsi="Arial" w:cs="Arial"/>
          <w:spacing w:val="-2"/>
          <w:sz w:val="22"/>
          <w:szCs w:val="22"/>
        </w:rPr>
        <w:t xml:space="preserve"> </w:t>
      </w:r>
      <w:r w:rsidRPr="00AF1489">
        <w:rPr>
          <w:rFonts w:ascii="Arial" w:hAnsi="Arial" w:cs="Arial"/>
          <w:sz w:val="22"/>
          <w:szCs w:val="22"/>
        </w:rPr>
        <w:t>our</w:t>
      </w:r>
      <w:r w:rsidRPr="00AF1489">
        <w:rPr>
          <w:rFonts w:ascii="Arial" w:hAnsi="Arial" w:cs="Arial"/>
          <w:spacing w:val="-2"/>
          <w:sz w:val="22"/>
          <w:szCs w:val="22"/>
        </w:rPr>
        <w:t xml:space="preserve"> </w:t>
      </w:r>
      <w:r w:rsidRPr="00AF1489">
        <w:rPr>
          <w:rFonts w:ascii="Arial" w:hAnsi="Arial" w:cs="Arial"/>
          <w:sz w:val="22"/>
          <w:szCs w:val="22"/>
        </w:rPr>
        <w:t>judgment,</w:t>
      </w:r>
      <w:r w:rsidRPr="00AF1489">
        <w:rPr>
          <w:rFonts w:ascii="Arial" w:hAnsi="Arial" w:cs="Arial"/>
          <w:spacing w:val="-2"/>
          <w:sz w:val="22"/>
          <w:szCs w:val="22"/>
        </w:rPr>
        <w:t xml:space="preserve"> </w:t>
      </w:r>
      <w:r w:rsidRPr="00AF1489">
        <w:rPr>
          <w:rFonts w:ascii="Arial" w:hAnsi="Arial" w:cs="Arial"/>
          <w:sz w:val="22"/>
          <w:szCs w:val="22"/>
        </w:rPr>
        <w:t>there</w:t>
      </w:r>
      <w:r w:rsidRPr="00AF1489">
        <w:rPr>
          <w:rFonts w:ascii="Arial" w:hAnsi="Arial" w:cs="Arial"/>
          <w:spacing w:val="-2"/>
          <w:sz w:val="22"/>
          <w:szCs w:val="22"/>
        </w:rPr>
        <w:t xml:space="preserve"> </w:t>
      </w:r>
      <w:r w:rsidRPr="00AF1489">
        <w:rPr>
          <w:rFonts w:ascii="Arial" w:hAnsi="Arial" w:cs="Arial"/>
          <w:sz w:val="22"/>
          <w:szCs w:val="22"/>
        </w:rPr>
        <w:t>are</w:t>
      </w:r>
      <w:r w:rsidRPr="00AF1489">
        <w:rPr>
          <w:rFonts w:ascii="Arial" w:hAnsi="Arial" w:cs="Arial"/>
          <w:spacing w:val="-2"/>
          <w:sz w:val="22"/>
          <w:szCs w:val="22"/>
        </w:rPr>
        <w:t xml:space="preserve"> </w:t>
      </w:r>
      <w:r w:rsidRPr="00AF1489">
        <w:rPr>
          <w:rFonts w:ascii="Arial" w:hAnsi="Arial" w:cs="Arial"/>
          <w:sz w:val="22"/>
          <w:szCs w:val="22"/>
        </w:rPr>
        <w:t>conditions</w:t>
      </w:r>
      <w:r w:rsidRPr="00AF1489">
        <w:rPr>
          <w:rFonts w:ascii="Arial" w:hAnsi="Arial" w:cs="Arial"/>
          <w:spacing w:val="-2"/>
          <w:sz w:val="22"/>
          <w:szCs w:val="22"/>
        </w:rPr>
        <w:t xml:space="preserve"> </w:t>
      </w:r>
      <w:r w:rsidRPr="00AF1489">
        <w:rPr>
          <w:rFonts w:ascii="Arial" w:hAnsi="Arial" w:cs="Arial"/>
          <w:sz w:val="22"/>
          <w:szCs w:val="22"/>
        </w:rPr>
        <w:t>or</w:t>
      </w:r>
      <w:r w:rsidRPr="00AF1489">
        <w:rPr>
          <w:rFonts w:ascii="Arial" w:hAnsi="Arial" w:cs="Arial"/>
          <w:spacing w:val="-2"/>
          <w:sz w:val="22"/>
          <w:szCs w:val="22"/>
        </w:rPr>
        <w:t xml:space="preserve"> </w:t>
      </w:r>
      <w:r w:rsidRPr="00AF1489">
        <w:rPr>
          <w:rFonts w:ascii="Arial" w:hAnsi="Arial" w:cs="Arial"/>
          <w:sz w:val="22"/>
          <w:szCs w:val="22"/>
        </w:rPr>
        <w:t>events,</w:t>
      </w:r>
      <w:r w:rsidRPr="00AF1489">
        <w:rPr>
          <w:rFonts w:ascii="Arial" w:hAnsi="Arial" w:cs="Arial"/>
          <w:spacing w:val="-2"/>
          <w:sz w:val="22"/>
          <w:szCs w:val="22"/>
        </w:rPr>
        <w:t xml:space="preserve"> </w:t>
      </w:r>
      <w:r w:rsidRPr="00AF1489">
        <w:rPr>
          <w:rFonts w:ascii="Arial" w:hAnsi="Arial" w:cs="Arial"/>
          <w:sz w:val="22"/>
          <w:szCs w:val="22"/>
        </w:rPr>
        <w:t>considered</w:t>
      </w:r>
      <w:r w:rsidRPr="00AF1489">
        <w:rPr>
          <w:rFonts w:ascii="Arial" w:hAnsi="Arial" w:cs="Arial"/>
          <w:spacing w:val="-2"/>
          <w:sz w:val="22"/>
          <w:szCs w:val="22"/>
        </w:rPr>
        <w:t xml:space="preserve"> </w:t>
      </w:r>
      <w:r w:rsidRPr="00AF1489">
        <w:rPr>
          <w:rFonts w:ascii="Arial" w:hAnsi="Arial" w:cs="Arial"/>
          <w:sz w:val="22"/>
          <w:szCs w:val="22"/>
        </w:rPr>
        <w:t>in</w:t>
      </w:r>
      <w:r w:rsidRPr="00AF1489">
        <w:rPr>
          <w:rFonts w:ascii="Arial" w:hAnsi="Arial" w:cs="Arial"/>
          <w:spacing w:val="-2"/>
          <w:sz w:val="22"/>
          <w:szCs w:val="22"/>
        </w:rPr>
        <w:t xml:space="preserve"> </w:t>
      </w:r>
      <w:r w:rsidRPr="00AF1489">
        <w:rPr>
          <w:rFonts w:ascii="Arial" w:hAnsi="Arial" w:cs="Arial"/>
          <w:sz w:val="22"/>
          <w:szCs w:val="22"/>
        </w:rPr>
        <w:t>the</w:t>
      </w:r>
      <w:r w:rsidRPr="00AF1489">
        <w:rPr>
          <w:rFonts w:ascii="Arial" w:hAnsi="Arial" w:cs="Arial"/>
          <w:spacing w:val="-3"/>
          <w:sz w:val="22"/>
          <w:szCs w:val="22"/>
        </w:rPr>
        <w:t xml:space="preserve"> </w:t>
      </w:r>
      <w:r w:rsidRPr="00AF1489">
        <w:rPr>
          <w:rFonts w:ascii="Arial" w:hAnsi="Arial" w:cs="Arial"/>
          <w:sz w:val="22"/>
          <w:szCs w:val="22"/>
        </w:rPr>
        <w:t>aggregate, that raise substantial doubt about System’s ability to continue as a going concern for a reasonable period of time.</w:t>
      </w:r>
    </w:p>
    <w:p w14:paraId="6BDBE07E" w14:textId="77777777" w:rsidR="00AF1489" w:rsidRPr="00AF1489" w:rsidRDefault="00AF1489" w:rsidP="00AF1489">
      <w:pPr>
        <w:pStyle w:val="BodyText"/>
        <w:spacing w:before="10"/>
        <w:rPr>
          <w:rFonts w:ascii="Arial" w:hAnsi="Arial" w:cs="Arial"/>
          <w:sz w:val="22"/>
          <w:szCs w:val="22"/>
        </w:rPr>
      </w:pPr>
    </w:p>
    <w:p w14:paraId="6D402E31" w14:textId="77777777" w:rsidR="00AF1489" w:rsidRPr="00AF1489" w:rsidRDefault="00AF1489" w:rsidP="00AF1489">
      <w:pPr>
        <w:pStyle w:val="BodyText"/>
        <w:spacing w:before="1"/>
        <w:ind w:left="179" w:right="119"/>
        <w:jc w:val="both"/>
        <w:rPr>
          <w:rFonts w:ascii="Arial" w:hAnsi="Arial" w:cs="Arial"/>
          <w:sz w:val="22"/>
          <w:szCs w:val="22"/>
        </w:rPr>
      </w:pPr>
      <w:r w:rsidRPr="00AF1489">
        <w:rPr>
          <w:rFonts w:ascii="Arial" w:hAnsi="Arial" w:cs="Arial"/>
          <w:sz w:val="22"/>
          <w:szCs w:val="22"/>
        </w:rPr>
        <w:t>We are required to communicate with those charged with governance regarding, among other matters, the planned scope and timing of the audits, significant audit findings, and</w:t>
      </w:r>
      <w:r w:rsidRPr="00AF1489">
        <w:rPr>
          <w:rFonts w:ascii="Arial" w:hAnsi="Arial" w:cs="Arial"/>
          <w:spacing w:val="-1"/>
          <w:sz w:val="22"/>
          <w:szCs w:val="22"/>
        </w:rPr>
        <w:t xml:space="preserve"> </w:t>
      </w:r>
      <w:r w:rsidRPr="00AF1489">
        <w:rPr>
          <w:rFonts w:ascii="Arial" w:hAnsi="Arial" w:cs="Arial"/>
          <w:sz w:val="22"/>
          <w:szCs w:val="22"/>
        </w:rPr>
        <w:t>certain internal control related matters that we identified during the audits.</w:t>
      </w:r>
    </w:p>
    <w:p w14:paraId="523907B5" w14:textId="77777777" w:rsidR="00AF1489" w:rsidRPr="00AF1489" w:rsidRDefault="00AF1489" w:rsidP="00AF1489">
      <w:pPr>
        <w:pStyle w:val="BodyText"/>
        <w:spacing w:before="11"/>
        <w:rPr>
          <w:rFonts w:ascii="Arial" w:hAnsi="Arial" w:cs="Arial"/>
          <w:sz w:val="22"/>
          <w:szCs w:val="22"/>
        </w:rPr>
      </w:pPr>
    </w:p>
    <w:p w14:paraId="70E998F9" w14:textId="77777777" w:rsidR="00AF1489" w:rsidRPr="00AF1489" w:rsidRDefault="00AF1489" w:rsidP="00AF1489">
      <w:pPr>
        <w:pStyle w:val="Heading2"/>
      </w:pPr>
      <w:r w:rsidRPr="00AF1489">
        <w:t>Required</w:t>
      </w:r>
      <w:r w:rsidRPr="00AF1489">
        <w:rPr>
          <w:spacing w:val="-13"/>
        </w:rPr>
        <w:t xml:space="preserve"> </w:t>
      </w:r>
      <w:r w:rsidRPr="00AF1489">
        <w:t>Supplementary</w:t>
      </w:r>
      <w:r w:rsidRPr="00AF1489">
        <w:rPr>
          <w:spacing w:val="-13"/>
        </w:rPr>
        <w:t xml:space="preserve"> </w:t>
      </w:r>
      <w:r w:rsidRPr="00AF1489">
        <w:rPr>
          <w:spacing w:val="-2"/>
        </w:rPr>
        <w:t>Information</w:t>
      </w:r>
    </w:p>
    <w:p w14:paraId="4C9E69B7" w14:textId="77777777" w:rsidR="00AF1489" w:rsidRPr="00AF1489" w:rsidRDefault="00AF1489" w:rsidP="00AF1489">
      <w:pPr>
        <w:pStyle w:val="BodyText"/>
        <w:spacing w:before="60"/>
        <w:ind w:right="116"/>
        <w:jc w:val="both"/>
        <w:rPr>
          <w:rFonts w:ascii="Arial" w:hAnsi="Arial" w:cs="Arial"/>
          <w:sz w:val="22"/>
          <w:szCs w:val="22"/>
        </w:rPr>
      </w:pPr>
      <w:r w:rsidRPr="00AF1489">
        <w:rPr>
          <w:rFonts w:ascii="Arial" w:hAnsi="Arial" w:cs="Arial"/>
          <w:sz w:val="22"/>
          <w:szCs w:val="22"/>
        </w:rPr>
        <w:t>Accounting principles generally accepted in the United States of America require that the management’s discussion and analysis and the required supplemental information – retirement and OPEB plans, as listed on the table of contents, be presented to supplement the basic financial statements. Such information is the responsibility of management and, although not a part of the basic financial statements, is required by the Governmental Accounting Standards Board who considers it to be an essential part of financial reporting for placing the basic financial statements in an appropriate operational, economic, or historical context. We have applied certain limited procedures to the required supplementary information in accordance with GAAS, which consisted of inquiries of management about the methods of preparing the information and comparing the information for consistency with management’s responses to our inquiries, the basic financial statements, and other knowledge we obtained during our audits of the basic financial statements. We do not express an opinion or provide any assurance on the information because the limited procedures do not provide us with sufficient evidence to express an opinion or provide any assurance.</w:t>
      </w:r>
    </w:p>
    <w:p w14:paraId="744A62A0" w14:textId="77777777" w:rsidR="00AF1489" w:rsidRPr="00AF1489" w:rsidRDefault="00AF1489" w:rsidP="00AF1489">
      <w:pPr>
        <w:pStyle w:val="BodyText"/>
        <w:spacing w:before="1"/>
        <w:rPr>
          <w:rFonts w:ascii="Arial" w:hAnsi="Arial" w:cs="Arial"/>
          <w:sz w:val="22"/>
          <w:szCs w:val="22"/>
        </w:rPr>
      </w:pPr>
    </w:p>
    <w:p w14:paraId="64B68976" w14:textId="77777777" w:rsidR="00AF1489" w:rsidRPr="00AF1489" w:rsidRDefault="00AF1489" w:rsidP="00AF1489">
      <w:pPr>
        <w:pStyle w:val="Heading2"/>
      </w:pPr>
      <w:r w:rsidRPr="00AF1489">
        <w:t>Supplementary</w:t>
      </w:r>
      <w:r w:rsidRPr="00AF1489">
        <w:rPr>
          <w:spacing w:val="10"/>
        </w:rPr>
        <w:t xml:space="preserve"> </w:t>
      </w:r>
      <w:r w:rsidRPr="00AF1489">
        <w:t>Information</w:t>
      </w:r>
    </w:p>
    <w:p w14:paraId="49C45F17" w14:textId="77777777" w:rsidR="00AF1489" w:rsidRPr="00AF1489" w:rsidRDefault="00AF1489" w:rsidP="00AF1489">
      <w:pPr>
        <w:pStyle w:val="BodyText"/>
        <w:spacing w:before="59"/>
        <w:ind w:right="114"/>
        <w:jc w:val="both"/>
        <w:rPr>
          <w:rFonts w:ascii="Arial" w:hAnsi="Arial" w:cs="Arial"/>
          <w:sz w:val="22"/>
          <w:szCs w:val="22"/>
        </w:rPr>
      </w:pPr>
      <w:r w:rsidRPr="00AF1489">
        <w:rPr>
          <w:rFonts w:ascii="Arial" w:hAnsi="Arial" w:cs="Arial"/>
          <w:sz w:val="22"/>
          <w:szCs w:val="22"/>
        </w:rPr>
        <w:t>Our audits were conducted for the purpose of forming opinions on the financial statements that collectively comprise the System’s basic financial statements. The supplemental information required</w:t>
      </w:r>
      <w:r w:rsidRPr="00AF1489">
        <w:rPr>
          <w:rFonts w:ascii="Arial" w:hAnsi="Arial" w:cs="Arial"/>
          <w:spacing w:val="40"/>
          <w:sz w:val="22"/>
          <w:szCs w:val="22"/>
        </w:rPr>
        <w:t xml:space="preserve"> </w:t>
      </w:r>
      <w:r w:rsidRPr="00AF1489">
        <w:rPr>
          <w:rFonts w:ascii="Arial" w:hAnsi="Arial" w:cs="Arial"/>
          <w:sz w:val="22"/>
          <w:szCs w:val="22"/>
        </w:rPr>
        <w:t>by the state of Maine is presented for purposes of additional analysis and are not a required part of the basic financial statements. Such information is the responsibility of management and was derived from and relates directly to the underlying accounting and other records used to prepare the basic financial statements. The information has been subjected to the auditing procedures applied in the audits of the basic financial statements and certain additional procedures, including comparing and reconciling such information directly to the underlying accounting and other records used to prepare the basic financial statements or to the basic financial statements themselves, and other additional procedures in accordance with GAAS. In our opinion, the supplemental schedule required by the state of Maine is fairly stated, in all material respects, in relation to the basic financial statements as a whole.</w:t>
      </w:r>
    </w:p>
    <w:p w14:paraId="0D80CC6D" w14:textId="77777777" w:rsidR="00AF1489" w:rsidRPr="00AF1489" w:rsidRDefault="00AF1489" w:rsidP="00AF1489">
      <w:pPr>
        <w:pStyle w:val="BodyText"/>
        <w:rPr>
          <w:rFonts w:ascii="Arial" w:hAnsi="Arial" w:cs="Arial"/>
          <w:sz w:val="22"/>
          <w:szCs w:val="22"/>
        </w:rPr>
      </w:pPr>
    </w:p>
    <w:p w14:paraId="212F27A0" w14:textId="77777777" w:rsidR="00AF1489" w:rsidRPr="00AF1489" w:rsidRDefault="00AF1489" w:rsidP="00AF1489">
      <w:pPr>
        <w:pStyle w:val="Heading2"/>
      </w:pPr>
      <w:r w:rsidRPr="00AF1489">
        <w:t>Other</w:t>
      </w:r>
      <w:r w:rsidRPr="00AF1489">
        <w:rPr>
          <w:spacing w:val="-6"/>
        </w:rPr>
        <w:t xml:space="preserve"> </w:t>
      </w:r>
      <w:r w:rsidRPr="00AF1489">
        <w:t>Information</w:t>
      </w:r>
    </w:p>
    <w:p w14:paraId="290FD72E" w14:textId="77777777" w:rsidR="00AF1489" w:rsidRPr="00AF1489" w:rsidRDefault="00AF1489" w:rsidP="00AF1489">
      <w:pPr>
        <w:pStyle w:val="BodyText"/>
        <w:spacing w:before="60"/>
        <w:ind w:right="117"/>
        <w:jc w:val="both"/>
        <w:rPr>
          <w:rFonts w:ascii="Arial" w:hAnsi="Arial" w:cs="Arial"/>
          <w:sz w:val="22"/>
          <w:szCs w:val="22"/>
        </w:rPr>
      </w:pPr>
      <w:r w:rsidRPr="00AF1489">
        <w:rPr>
          <w:rFonts w:ascii="Arial" w:hAnsi="Arial" w:cs="Arial"/>
          <w:sz w:val="22"/>
          <w:szCs w:val="22"/>
        </w:rPr>
        <w:t>Management is responsible for the other information included in the annual report. The other information</w:t>
      </w:r>
      <w:r w:rsidRPr="00AF1489">
        <w:rPr>
          <w:rFonts w:ascii="Arial" w:hAnsi="Arial" w:cs="Arial"/>
          <w:spacing w:val="-1"/>
          <w:sz w:val="22"/>
          <w:szCs w:val="22"/>
        </w:rPr>
        <w:t xml:space="preserve"> </w:t>
      </w:r>
      <w:r w:rsidRPr="00AF1489">
        <w:rPr>
          <w:rFonts w:ascii="Arial" w:hAnsi="Arial" w:cs="Arial"/>
          <w:sz w:val="22"/>
          <w:szCs w:val="22"/>
        </w:rPr>
        <w:t>comprises the Chancellor’s Letter</w:t>
      </w:r>
      <w:r w:rsidRPr="00AF1489">
        <w:rPr>
          <w:rFonts w:ascii="Arial" w:hAnsi="Arial" w:cs="Arial"/>
          <w:spacing w:val="-1"/>
          <w:sz w:val="22"/>
          <w:szCs w:val="22"/>
        </w:rPr>
        <w:t xml:space="preserve"> </w:t>
      </w:r>
      <w:r w:rsidRPr="00AF1489">
        <w:rPr>
          <w:rFonts w:ascii="Arial" w:hAnsi="Arial" w:cs="Arial"/>
          <w:sz w:val="22"/>
          <w:szCs w:val="22"/>
        </w:rPr>
        <w:t>and schedule</w:t>
      </w:r>
      <w:r w:rsidRPr="00AF1489">
        <w:rPr>
          <w:rFonts w:ascii="Arial" w:hAnsi="Arial" w:cs="Arial"/>
          <w:spacing w:val="-1"/>
          <w:sz w:val="22"/>
          <w:szCs w:val="22"/>
        </w:rPr>
        <w:t xml:space="preserve"> </w:t>
      </w:r>
      <w:r w:rsidRPr="00AF1489">
        <w:rPr>
          <w:rFonts w:ascii="Arial" w:hAnsi="Arial" w:cs="Arial"/>
          <w:sz w:val="22"/>
          <w:szCs w:val="22"/>
        </w:rPr>
        <w:t>of the</w:t>
      </w:r>
      <w:r w:rsidRPr="00AF1489">
        <w:rPr>
          <w:rFonts w:ascii="Arial" w:hAnsi="Arial" w:cs="Arial"/>
          <w:spacing w:val="-1"/>
          <w:sz w:val="22"/>
          <w:szCs w:val="22"/>
        </w:rPr>
        <w:t xml:space="preserve"> </w:t>
      </w:r>
      <w:r w:rsidRPr="00AF1489">
        <w:rPr>
          <w:rFonts w:ascii="Arial" w:hAnsi="Arial" w:cs="Arial"/>
          <w:sz w:val="22"/>
          <w:szCs w:val="22"/>
        </w:rPr>
        <w:t>Board of Trustees and Management, as listed in the table of contents, but does not include the basic financial statements and our auditors’ report thereon. Our opinions on the basic financial statements do not cover the other information, and we do not express an opinion or any form of assurance thereon.</w:t>
      </w:r>
    </w:p>
    <w:p w14:paraId="5FBEC013" w14:textId="77777777" w:rsidR="00AF1489" w:rsidRPr="00AF1489" w:rsidRDefault="00AF1489" w:rsidP="00AF1489">
      <w:pPr>
        <w:jc w:val="both"/>
        <w:rPr>
          <w:rFonts w:ascii="Arial" w:hAnsi="Arial" w:cs="Arial"/>
        </w:rPr>
        <w:sectPr w:rsidR="00AF1489" w:rsidRPr="00AF1489" w:rsidSect="00AF1489">
          <w:pgSz w:w="12240" w:h="15840"/>
          <w:pgMar w:top="1152" w:right="1152" w:bottom="1152" w:left="1152" w:header="728" w:footer="766" w:gutter="0"/>
          <w:cols w:space="720"/>
        </w:sectPr>
      </w:pPr>
    </w:p>
    <w:p w14:paraId="33DB73DE" w14:textId="77777777" w:rsidR="00AF1489" w:rsidRPr="00AF1489" w:rsidRDefault="00AF1489" w:rsidP="00AF1489">
      <w:pPr>
        <w:pStyle w:val="BodyText"/>
        <w:rPr>
          <w:rFonts w:ascii="Arial" w:hAnsi="Arial" w:cs="Arial"/>
          <w:sz w:val="22"/>
          <w:szCs w:val="22"/>
        </w:rPr>
      </w:pPr>
    </w:p>
    <w:p w14:paraId="04F8D2C2" w14:textId="77777777" w:rsidR="00AF1489" w:rsidRPr="00AF1489" w:rsidRDefault="00AF1489" w:rsidP="00AF1489">
      <w:pPr>
        <w:pStyle w:val="BodyText"/>
        <w:rPr>
          <w:rFonts w:ascii="Arial" w:hAnsi="Arial" w:cs="Arial"/>
          <w:sz w:val="22"/>
          <w:szCs w:val="22"/>
        </w:rPr>
      </w:pPr>
    </w:p>
    <w:p w14:paraId="58BA1E6A" w14:textId="2AD9B370" w:rsidR="00AF1489" w:rsidRDefault="008642EB" w:rsidP="00AF1489">
      <w:pPr>
        <w:pStyle w:val="BodyText"/>
        <w:rPr>
          <w:rFonts w:ascii="Arial" w:hAnsi="Arial" w:cs="Arial"/>
          <w:sz w:val="22"/>
          <w:szCs w:val="22"/>
        </w:rPr>
      </w:pPr>
      <w:r>
        <w:rPr>
          <w:rFonts w:ascii="Arial" w:hAnsi="Arial" w:cs="Arial"/>
          <w:sz w:val="22"/>
          <w:szCs w:val="22"/>
        </w:rPr>
        <w:lastRenderedPageBreak/>
        <w:t>Board of Trustees</w:t>
      </w:r>
    </w:p>
    <w:p w14:paraId="7CC5A122" w14:textId="4341F4A0" w:rsidR="008642EB" w:rsidRPr="00AF1489" w:rsidRDefault="008642EB" w:rsidP="00AF1489">
      <w:pPr>
        <w:pStyle w:val="BodyText"/>
        <w:rPr>
          <w:rFonts w:ascii="Arial" w:hAnsi="Arial" w:cs="Arial"/>
          <w:sz w:val="22"/>
          <w:szCs w:val="22"/>
        </w:rPr>
      </w:pPr>
      <w:r>
        <w:rPr>
          <w:rFonts w:ascii="Arial" w:hAnsi="Arial" w:cs="Arial"/>
          <w:sz w:val="22"/>
          <w:szCs w:val="22"/>
        </w:rPr>
        <w:t>University of Maine System</w:t>
      </w:r>
    </w:p>
    <w:p w14:paraId="772D9C59" w14:textId="77777777" w:rsidR="00AF1489" w:rsidRPr="00AF1489" w:rsidRDefault="00AF1489" w:rsidP="00AF1489">
      <w:pPr>
        <w:pStyle w:val="BodyText"/>
        <w:spacing w:before="7"/>
        <w:rPr>
          <w:rFonts w:ascii="Arial" w:hAnsi="Arial" w:cs="Arial"/>
          <w:sz w:val="22"/>
          <w:szCs w:val="22"/>
        </w:rPr>
      </w:pPr>
    </w:p>
    <w:p w14:paraId="2BD40C5A" w14:textId="77777777" w:rsidR="00AF1489" w:rsidRPr="00AF1489" w:rsidRDefault="00AF1489" w:rsidP="008642EB">
      <w:pPr>
        <w:pStyle w:val="BodyText"/>
        <w:spacing w:before="93"/>
        <w:ind w:right="118"/>
        <w:jc w:val="both"/>
        <w:rPr>
          <w:rFonts w:ascii="Arial" w:hAnsi="Arial" w:cs="Arial"/>
          <w:sz w:val="22"/>
          <w:szCs w:val="22"/>
        </w:rPr>
      </w:pPr>
      <w:r w:rsidRPr="00AF1489">
        <w:rPr>
          <w:rFonts w:ascii="Arial" w:hAnsi="Arial" w:cs="Arial"/>
          <w:sz w:val="22"/>
          <w:szCs w:val="22"/>
        </w:rPr>
        <w:t>In connection with our audits of the basic financial statements, our responsibility is to read the other information</w:t>
      </w:r>
      <w:r w:rsidRPr="00AF1489">
        <w:rPr>
          <w:rFonts w:ascii="Arial" w:hAnsi="Arial" w:cs="Arial"/>
          <w:spacing w:val="-1"/>
          <w:sz w:val="22"/>
          <w:szCs w:val="22"/>
        </w:rPr>
        <w:t xml:space="preserve"> </w:t>
      </w:r>
      <w:r w:rsidRPr="00AF1489">
        <w:rPr>
          <w:rFonts w:ascii="Arial" w:hAnsi="Arial" w:cs="Arial"/>
          <w:sz w:val="22"/>
          <w:szCs w:val="22"/>
        </w:rPr>
        <w:t>and</w:t>
      </w:r>
      <w:r w:rsidRPr="00AF1489">
        <w:rPr>
          <w:rFonts w:ascii="Arial" w:hAnsi="Arial" w:cs="Arial"/>
          <w:spacing w:val="-1"/>
          <w:sz w:val="22"/>
          <w:szCs w:val="22"/>
        </w:rPr>
        <w:t xml:space="preserve"> </w:t>
      </w:r>
      <w:r w:rsidRPr="00AF1489">
        <w:rPr>
          <w:rFonts w:ascii="Arial" w:hAnsi="Arial" w:cs="Arial"/>
          <w:sz w:val="22"/>
          <w:szCs w:val="22"/>
        </w:rPr>
        <w:t>consider</w:t>
      </w:r>
      <w:r w:rsidRPr="00AF1489">
        <w:rPr>
          <w:rFonts w:ascii="Arial" w:hAnsi="Arial" w:cs="Arial"/>
          <w:spacing w:val="-1"/>
          <w:sz w:val="22"/>
          <w:szCs w:val="22"/>
        </w:rPr>
        <w:t xml:space="preserve"> </w:t>
      </w:r>
      <w:r w:rsidRPr="00AF1489">
        <w:rPr>
          <w:rFonts w:ascii="Arial" w:hAnsi="Arial" w:cs="Arial"/>
          <w:sz w:val="22"/>
          <w:szCs w:val="22"/>
        </w:rPr>
        <w:t>whether</w:t>
      </w:r>
      <w:r w:rsidRPr="00AF1489">
        <w:rPr>
          <w:rFonts w:ascii="Arial" w:hAnsi="Arial" w:cs="Arial"/>
          <w:spacing w:val="-1"/>
          <w:sz w:val="22"/>
          <w:szCs w:val="22"/>
        </w:rPr>
        <w:t xml:space="preserve"> </w:t>
      </w:r>
      <w:r w:rsidRPr="00AF1489">
        <w:rPr>
          <w:rFonts w:ascii="Arial" w:hAnsi="Arial" w:cs="Arial"/>
          <w:sz w:val="22"/>
          <w:szCs w:val="22"/>
        </w:rPr>
        <w:t>a</w:t>
      </w:r>
      <w:r w:rsidRPr="00AF1489">
        <w:rPr>
          <w:rFonts w:ascii="Arial" w:hAnsi="Arial" w:cs="Arial"/>
          <w:spacing w:val="-2"/>
          <w:sz w:val="22"/>
          <w:szCs w:val="22"/>
        </w:rPr>
        <w:t xml:space="preserve"> </w:t>
      </w:r>
      <w:r w:rsidRPr="00AF1489">
        <w:rPr>
          <w:rFonts w:ascii="Arial" w:hAnsi="Arial" w:cs="Arial"/>
          <w:sz w:val="22"/>
          <w:szCs w:val="22"/>
        </w:rPr>
        <w:t>material</w:t>
      </w:r>
      <w:r w:rsidRPr="00AF1489">
        <w:rPr>
          <w:rFonts w:ascii="Arial" w:hAnsi="Arial" w:cs="Arial"/>
          <w:spacing w:val="-1"/>
          <w:sz w:val="22"/>
          <w:szCs w:val="22"/>
        </w:rPr>
        <w:t xml:space="preserve"> </w:t>
      </w:r>
      <w:r w:rsidRPr="00AF1489">
        <w:rPr>
          <w:rFonts w:ascii="Arial" w:hAnsi="Arial" w:cs="Arial"/>
          <w:sz w:val="22"/>
          <w:szCs w:val="22"/>
        </w:rPr>
        <w:t>inconsistency</w:t>
      </w:r>
      <w:r w:rsidRPr="00AF1489">
        <w:rPr>
          <w:rFonts w:ascii="Arial" w:hAnsi="Arial" w:cs="Arial"/>
          <w:spacing w:val="-1"/>
          <w:sz w:val="22"/>
          <w:szCs w:val="22"/>
        </w:rPr>
        <w:t xml:space="preserve"> </w:t>
      </w:r>
      <w:r w:rsidRPr="00AF1489">
        <w:rPr>
          <w:rFonts w:ascii="Arial" w:hAnsi="Arial" w:cs="Arial"/>
          <w:sz w:val="22"/>
          <w:szCs w:val="22"/>
        </w:rPr>
        <w:t>exists</w:t>
      </w:r>
      <w:r w:rsidRPr="00AF1489">
        <w:rPr>
          <w:rFonts w:ascii="Arial" w:hAnsi="Arial" w:cs="Arial"/>
          <w:spacing w:val="-1"/>
          <w:sz w:val="22"/>
          <w:szCs w:val="22"/>
        </w:rPr>
        <w:t xml:space="preserve"> </w:t>
      </w:r>
      <w:r w:rsidRPr="00AF1489">
        <w:rPr>
          <w:rFonts w:ascii="Arial" w:hAnsi="Arial" w:cs="Arial"/>
          <w:sz w:val="22"/>
          <w:szCs w:val="22"/>
        </w:rPr>
        <w:t>between</w:t>
      </w:r>
      <w:r w:rsidRPr="00AF1489">
        <w:rPr>
          <w:rFonts w:ascii="Arial" w:hAnsi="Arial" w:cs="Arial"/>
          <w:spacing w:val="-1"/>
          <w:sz w:val="22"/>
          <w:szCs w:val="22"/>
        </w:rPr>
        <w:t xml:space="preserve"> </w:t>
      </w:r>
      <w:r w:rsidRPr="00AF1489">
        <w:rPr>
          <w:rFonts w:ascii="Arial" w:hAnsi="Arial" w:cs="Arial"/>
          <w:sz w:val="22"/>
          <w:szCs w:val="22"/>
        </w:rPr>
        <w:t>the</w:t>
      </w:r>
      <w:r w:rsidRPr="00AF1489">
        <w:rPr>
          <w:rFonts w:ascii="Arial" w:hAnsi="Arial" w:cs="Arial"/>
          <w:spacing w:val="-1"/>
          <w:sz w:val="22"/>
          <w:szCs w:val="22"/>
        </w:rPr>
        <w:t xml:space="preserve"> </w:t>
      </w:r>
      <w:r w:rsidRPr="00AF1489">
        <w:rPr>
          <w:rFonts w:ascii="Arial" w:hAnsi="Arial" w:cs="Arial"/>
          <w:sz w:val="22"/>
          <w:szCs w:val="22"/>
        </w:rPr>
        <w:t>other</w:t>
      </w:r>
      <w:r w:rsidRPr="00AF1489">
        <w:rPr>
          <w:rFonts w:ascii="Arial" w:hAnsi="Arial" w:cs="Arial"/>
          <w:spacing w:val="-1"/>
          <w:sz w:val="22"/>
          <w:szCs w:val="22"/>
        </w:rPr>
        <w:t xml:space="preserve"> </w:t>
      </w:r>
      <w:r w:rsidRPr="00AF1489">
        <w:rPr>
          <w:rFonts w:ascii="Arial" w:hAnsi="Arial" w:cs="Arial"/>
          <w:sz w:val="22"/>
          <w:szCs w:val="22"/>
        </w:rPr>
        <w:t>information</w:t>
      </w:r>
      <w:r w:rsidRPr="00AF1489">
        <w:rPr>
          <w:rFonts w:ascii="Arial" w:hAnsi="Arial" w:cs="Arial"/>
          <w:spacing w:val="-1"/>
          <w:sz w:val="22"/>
          <w:szCs w:val="22"/>
        </w:rPr>
        <w:t xml:space="preserve"> </w:t>
      </w:r>
      <w:r w:rsidRPr="00AF1489">
        <w:rPr>
          <w:rFonts w:ascii="Arial" w:hAnsi="Arial" w:cs="Arial"/>
          <w:sz w:val="22"/>
          <w:szCs w:val="22"/>
        </w:rPr>
        <w:t>and</w:t>
      </w:r>
      <w:r w:rsidRPr="00AF1489">
        <w:rPr>
          <w:rFonts w:ascii="Arial" w:hAnsi="Arial" w:cs="Arial"/>
          <w:spacing w:val="-1"/>
          <w:sz w:val="22"/>
          <w:szCs w:val="22"/>
        </w:rPr>
        <w:t xml:space="preserve"> </w:t>
      </w:r>
      <w:r w:rsidRPr="00AF1489">
        <w:rPr>
          <w:rFonts w:ascii="Arial" w:hAnsi="Arial" w:cs="Arial"/>
          <w:sz w:val="22"/>
          <w:szCs w:val="22"/>
        </w:rPr>
        <w:t>the basic financial statements, or the other information otherwise appears to be materially misstated. If, based on the work performed, we conclude that an uncorrected material misstatement of the other information exists, we are required to describe it in our report.</w:t>
      </w:r>
    </w:p>
    <w:p w14:paraId="00EAA2A7" w14:textId="77777777" w:rsidR="00AF1489" w:rsidRPr="00AF1489" w:rsidRDefault="00AF1489" w:rsidP="008642EB">
      <w:pPr>
        <w:pStyle w:val="BodyText"/>
        <w:rPr>
          <w:rFonts w:ascii="Arial" w:hAnsi="Arial" w:cs="Arial"/>
          <w:sz w:val="22"/>
          <w:szCs w:val="22"/>
        </w:rPr>
      </w:pPr>
    </w:p>
    <w:p w14:paraId="446E9EDC" w14:textId="77777777" w:rsidR="00AF1489" w:rsidRPr="00AF1489" w:rsidRDefault="00AF1489" w:rsidP="008642EB">
      <w:pPr>
        <w:jc w:val="both"/>
        <w:rPr>
          <w:rFonts w:ascii="Arial" w:hAnsi="Arial" w:cs="Arial"/>
          <w:b/>
          <w:i/>
        </w:rPr>
      </w:pPr>
      <w:r w:rsidRPr="00AF1489">
        <w:rPr>
          <w:rFonts w:ascii="Arial" w:hAnsi="Arial" w:cs="Arial"/>
          <w:b/>
        </w:rPr>
        <w:t>Other</w:t>
      </w:r>
      <w:r w:rsidRPr="00AF1489">
        <w:rPr>
          <w:rFonts w:ascii="Arial" w:hAnsi="Arial" w:cs="Arial"/>
          <w:b/>
          <w:spacing w:val="-8"/>
        </w:rPr>
        <w:t xml:space="preserve"> </w:t>
      </w:r>
      <w:r w:rsidRPr="00AF1489">
        <w:rPr>
          <w:rFonts w:ascii="Arial" w:hAnsi="Arial" w:cs="Arial"/>
          <w:b/>
        </w:rPr>
        <w:t>Reporting</w:t>
      </w:r>
      <w:r w:rsidRPr="00AF1489">
        <w:rPr>
          <w:rFonts w:ascii="Arial" w:hAnsi="Arial" w:cs="Arial"/>
          <w:b/>
          <w:spacing w:val="-8"/>
        </w:rPr>
        <w:t xml:space="preserve"> </w:t>
      </w:r>
      <w:r w:rsidRPr="00AF1489">
        <w:rPr>
          <w:rFonts w:ascii="Arial" w:hAnsi="Arial" w:cs="Arial"/>
          <w:b/>
        </w:rPr>
        <w:t>Required</w:t>
      </w:r>
      <w:r w:rsidRPr="00AF1489">
        <w:rPr>
          <w:rFonts w:ascii="Arial" w:hAnsi="Arial" w:cs="Arial"/>
          <w:b/>
          <w:spacing w:val="-8"/>
        </w:rPr>
        <w:t xml:space="preserve"> </w:t>
      </w:r>
      <w:r w:rsidRPr="00AF1489">
        <w:rPr>
          <w:rFonts w:ascii="Arial" w:hAnsi="Arial" w:cs="Arial"/>
          <w:b/>
        </w:rPr>
        <w:t>by</w:t>
      </w:r>
      <w:r w:rsidRPr="00AF1489">
        <w:rPr>
          <w:rFonts w:ascii="Arial" w:hAnsi="Arial" w:cs="Arial"/>
          <w:b/>
          <w:spacing w:val="-8"/>
        </w:rPr>
        <w:t xml:space="preserve"> </w:t>
      </w:r>
      <w:r w:rsidRPr="00AF1489">
        <w:rPr>
          <w:rFonts w:ascii="Arial" w:hAnsi="Arial" w:cs="Arial"/>
          <w:b/>
          <w:i/>
        </w:rPr>
        <w:t>Government</w:t>
      </w:r>
      <w:r w:rsidRPr="00AF1489">
        <w:rPr>
          <w:rFonts w:ascii="Arial" w:hAnsi="Arial" w:cs="Arial"/>
          <w:b/>
          <w:i/>
          <w:spacing w:val="-8"/>
        </w:rPr>
        <w:t xml:space="preserve"> </w:t>
      </w:r>
      <w:r w:rsidRPr="00AF1489">
        <w:rPr>
          <w:rFonts w:ascii="Arial" w:hAnsi="Arial" w:cs="Arial"/>
          <w:b/>
          <w:i/>
        </w:rPr>
        <w:t>Auditing</w:t>
      </w:r>
      <w:r w:rsidRPr="00AF1489">
        <w:rPr>
          <w:rFonts w:ascii="Arial" w:hAnsi="Arial" w:cs="Arial"/>
          <w:b/>
          <w:i/>
          <w:spacing w:val="-8"/>
        </w:rPr>
        <w:t xml:space="preserve"> </w:t>
      </w:r>
      <w:r w:rsidRPr="00AF1489">
        <w:rPr>
          <w:rFonts w:ascii="Arial" w:hAnsi="Arial" w:cs="Arial"/>
          <w:b/>
          <w:i/>
          <w:spacing w:val="-2"/>
        </w:rPr>
        <w:t>Standards</w:t>
      </w:r>
    </w:p>
    <w:p w14:paraId="62D12E9E" w14:textId="77777777" w:rsidR="00AF1489" w:rsidRPr="00AF1489" w:rsidRDefault="00AF1489" w:rsidP="008642EB">
      <w:pPr>
        <w:pStyle w:val="BodyText"/>
        <w:spacing w:before="60"/>
        <w:ind w:right="115"/>
        <w:jc w:val="both"/>
        <w:rPr>
          <w:rFonts w:ascii="Arial" w:hAnsi="Arial" w:cs="Arial"/>
          <w:sz w:val="22"/>
          <w:szCs w:val="22"/>
        </w:rPr>
      </w:pPr>
      <w:r w:rsidRPr="00AF1489">
        <w:rPr>
          <w:rFonts w:ascii="Arial" w:hAnsi="Arial" w:cs="Arial"/>
          <w:color w:val="242424"/>
          <w:sz w:val="22"/>
          <w:szCs w:val="22"/>
        </w:rPr>
        <w:t xml:space="preserve">In accordance with </w:t>
      </w:r>
      <w:r w:rsidRPr="00AF1489">
        <w:rPr>
          <w:rFonts w:ascii="Arial" w:hAnsi="Arial" w:cs="Arial"/>
          <w:i/>
          <w:color w:val="242424"/>
          <w:sz w:val="22"/>
          <w:szCs w:val="22"/>
        </w:rPr>
        <w:t xml:space="preserve">Government Auditing </w:t>
      </w:r>
      <w:r w:rsidRPr="00AF1489">
        <w:rPr>
          <w:rFonts w:ascii="Arial" w:hAnsi="Arial" w:cs="Arial"/>
          <w:i/>
          <w:sz w:val="22"/>
          <w:szCs w:val="22"/>
        </w:rPr>
        <w:t>Standards</w:t>
      </w:r>
      <w:r w:rsidRPr="00AF1489">
        <w:rPr>
          <w:rFonts w:ascii="Arial" w:hAnsi="Arial" w:cs="Arial"/>
          <w:sz w:val="22"/>
          <w:szCs w:val="22"/>
        </w:rPr>
        <w:t>, we have also issued our report dated October 28, 2022, on our consideration of the System’s internal control over financial reporting and on our tests of its compliance with certain provisions of laws, regulations, contracts, and grant agreements and other matters. The purpose of that report is solely to describe the scope of our testing of internal control over financial reporting and compliance and the results of that testing, and not to provide an opinion on the effectiveness of the System’s internal control over financial reporting or on compliance. That report is</w:t>
      </w:r>
      <w:r w:rsidRPr="00AF1489">
        <w:rPr>
          <w:rFonts w:ascii="Arial" w:hAnsi="Arial" w:cs="Arial"/>
          <w:spacing w:val="40"/>
          <w:sz w:val="22"/>
          <w:szCs w:val="22"/>
        </w:rPr>
        <w:t xml:space="preserve"> </w:t>
      </w:r>
      <w:r w:rsidRPr="00AF1489">
        <w:rPr>
          <w:rFonts w:ascii="Arial" w:hAnsi="Arial" w:cs="Arial"/>
          <w:sz w:val="22"/>
          <w:szCs w:val="22"/>
        </w:rPr>
        <w:t xml:space="preserve">an integral part of an audit performed in accordance with </w:t>
      </w:r>
      <w:r w:rsidRPr="00AF1489">
        <w:rPr>
          <w:rFonts w:ascii="Arial" w:hAnsi="Arial" w:cs="Arial"/>
          <w:i/>
          <w:sz w:val="22"/>
          <w:szCs w:val="22"/>
        </w:rPr>
        <w:t xml:space="preserve">Government Auditing Standards </w:t>
      </w:r>
      <w:r w:rsidRPr="00AF1489">
        <w:rPr>
          <w:rFonts w:ascii="Arial" w:hAnsi="Arial" w:cs="Arial"/>
          <w:sz w:val="22"/>
          <w:szCs w:val="22"/>
        </w:rPr>
        <w:t>in</w:t>
      </w:r>
      <w:r w:rsidRPr="00AF1489">
        <w:rPr>
          <w:rFonts w:ascii="Arial" w:hAnsi="Arial" w:cs="Arial"/>
          <w:spacing w:val="40"/>
          <w:sz w:val="22"/>
          <w:szCs w:val="22"/>
        </w:rPr>
        <w:t xml:space="preserve"> </w:t>
      </w:r>
      <w:r w:rsidRPr="00AF1489">
        <w:rPr>
          <w:rFonts w:ascii="Arial" w:hAnsi="Arial" w:cs="Arial"/>
          <w:sz w:val="22"/>
          <w:szCs w:val="22"/>
        </w:rPr>
        <w:t xml:space="preserve">considering System’s internal control over financial reporting and </w:t>
      </w:r>
      <w:r w:rsidRPr="00AF1489">
        <w:rPr>
          <w:rFonts w:ascii="Arial" w:hAnsi="Arial" w:cs="Arial"/>
          <w:color w:val="242424"/>
          <w:sz w:val="22"/>
          <w:szCs w:val="22"/>
        </w:rPr>
        <w:t>compliance.</w:t>
      </w:r>
    </w:p>
    <w:p w14:paraId="0DF660C2" w14:textId="32FCCA72" w:rsidR="00AF1489" w:rsidRPr="00AF1489" w:rsidRDefault="00AF1489" w:rsidP="00AF1489">
      <w:pPr>
        <w:pStyle w:val="BodyText"/>
        <w:rPr>
          <w:rFonts w:ascii="Arial" w:hAnsi="Arial" w:cs="Arial"/>
          <w:sz w:val="22"/>
          <w:szCs w:val="22"/>
        </w:rPr>
      </w:pPr>
      <w:r w:rsidRPr="00AF1489">
        <w:rPr>
          <w:rFonts w:ascii="Arial" w:hAnsi="Arial" w:cs="Arial"/>
          <w:noProof/>
          <w:sz w:val="22"/>
          <w:szCs w:val="22"/>
        </w:rPr>
        <w:drawing>
          <wp:anchor distT="0" distB="0" distL="0" distR="0" simplePos="0" relativeHeight="251660288" behindDoc="0" locked="0" layoutInCell="1" allowOverlap="1" wp14:anchorId="48D59DDA" wp14:editId="137F51B7">
            <wp:simplePos x="0" y="0"/>
            <wp:positionH relativeFrom="margin">
              <wp:align>left</wp:align>
            </wp:positionH>
            <wp:positionV relativeFrom="paragraph">
              <wp:posOffset>261620</wp:posOffset>
            </wp:positionV>
            <wp:extent cx="1651000" cy="548640"/>
            <wp:effectExtent l="0" t="0" r="6350" b="0"/>
            <wp:wrapTopAndBottom/>
            <wp:docPr id="25"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651000" cy="548640"/>
                    </a:xfrm>
                    <a:prstGeom prst="rect">
                      <a:avLst/>
                    </a:prstGeom>
                  </pic:spPr>
                </pic:pic>
              </a:graphicData>
            </a:graphic>
          </wp:anchor>
        </w:drawing>
      </w:r>
    </w:p>
    <w:p w14:paraId="3FEAA188" w14:textId="4BE533B0" w:rsidR="00AF1489" w:rsidRPr="00AF1489" w:rsidRDefault="00AF1489" w:rsidP="00AF1489">
      <w:pPr>
        <w:pStyle w:val="BodyText"/>
        <w:spacing w:before="8"/>
        <w:rPr>
          <w:rFonts w:ascii="Arial" w:hAnsi="Arial" w:cs="Arial"/>
          <w:sz w:val="22"/>
          <w:szCs w:val="22"/>
        </w:rPr>
      </w:pPr>
    </w:p>
    <w:p w14:paraId="2743BAF2" w14:textId="77777777" w:rsidR="00AF1489" w:rsidRPr="00AF1489" w:rsidRDefault="00AF1489" w:rsidP="008642EB">
      <w:pPr>
        <w:spacing w:before="12"/>
        <w:jc w:val="both"/>
        <w:rPr>
          <w:rFonts w:ascii="Arial" w:hAnsi="Arial" w:cs="Arial"/>
          <w:b/>
        </w:rPr>
      </w:pPr>
      <w:r w:rsidRPr="00AF1489">
        <w:rPr>
          <w:rFonts w:ascii="Arial" w:hAnsi="Arial" w:cs="Arial"/>
          <w:b/>
          <w:spacing w:val="-2"/>
        </w:rPr>
        <w:t>CliftonLarsonAllen</w:t>
      </w:r>
      <w:r w:rsidRPr="00AF1489">
        <w:rPr>
          <w:rFonts w:ascii="Arial" w:hAnsi="Arial" w:cs="Arial"/>
          <w:b/>
          <w:spacing w:val="17"/>
        </w:rPr>
        <w:t xml:space="preserve"> </w:t>
      </w:r>
      <w:r w:rsidRPr="00AF1489">
        <w:rPr>
          <w:rFonts w:ascii="Arial" w:hAnsi="Arial" w:cs="Arial"/>
          <w:b/>
          <w:spacing w:val="-5"/>
        </w:rPr>
        <w:t>LLP</w:t>
      </w:r>
    </w:p>
    <w:p w14:paraId="6C6795E7" w14:textId="77777777" w:rsidR="00AF1489" w:rsidRPr="00AF1489" w:rsidRDefault="00AF1489" w:rsidP="00AF1489">
      <w:pPr>
        <w:pStyle w:val="BodyText"/>
        <w:spacing w:before="9"/>
        <w:rPr>
          <w:rFonts w:ascii="Arial" w:hAnsi="Arial" w:cs="Arial"/>
          <w:b/>
          <w:sz w:val="22"/>
          <w:szCs w:val="22"/>
        </w:rPr>
      </w:pPr>
    </w:p>
    <w:p w14:paraId="0630C0DE" w14:textId="77777777" w:rsidR="008642EB" w:rsidRDefault="00AF1489" w:rsidP="008642EB">
      <w:pPr>
        <w:spacing w:line="259" w:lineRule="auto"/>
        <w:rPr>
          <w:rFonts w:ascii="Arial" w:hAnsi="Arial" w:cs="Arial"/>
        </w:rPr>
      </w:pPr>
      <w:r w:rsidRPr="00AF1489">
        <w:rPr>
          <w:rFonts w:ascii="Arial" w:hAnsi="Arial" w:cs="Arial"/>
        </w:rPr>
        <w:t>Quincy,</w:t>
      </w:r>
      <w:r w:rsidRPr="00AF1489">
        <w:rPr>
          <w:rFonts w:ascii="Arial" w:hAnsi="Arial" w:cs="Arial"/>
          <w:spacing w:val="-16"/>
        </w:rPr>
        <w:t xml:space="preserve"> </w:t>
      </w:r>
      <w:r w:rsidRPr="00AF1489">
        <w:rPr>
          <w:rFonts w:ascii="Arial" w:hAnsi="Arial" w:cs="Arial"/>
        </w:rPr>
        <w:t xml:space="preserve">Massachusetts </w:t>
      </w:r>
    </w:p>
    <w:p w14:paraId="0A9E4EB1" w14:textId="00603729" w:rsidR="00AF1489" w:rsidRDefault="00AF1489" w:rsidP="008642EB">
      <w:pPr>
        <w:spacing w:line="259" w:lineRule="auto"/>
      </w:pPr>
      <w:r w:rsidRPr="00AF1489">
        <w:rPr>
          <w:rFonts w:ascii="Arial" w:hAnsi="Arial" w:cs="Arial"/>
        </w:rPr>
        <w:t>October 28, 2022</w:t>
      </w:r>
    </w:p>
    <w:p w14:paraId="7AA991BD" w14:textId="09B50A5B" w:rsidR="00987D33" w:rsidRPr="004C662D" w:rsidRDefault="00987D33" w:rsidP="00987D33">
      <w:pPr>
        <w:widowControl w:val="0"/>
        <w:rPr>
          <w:rFonts w:ascii="Calibri" w:eastAsia="Times New Roman" w:hAnsi="Calibri" w:cs="Times New Roman"/>
          <w:bCs/>
          <w:iCs/>
          <w:caps/>
          <w:color w:val="000000"/>
          <w:spacing w:val="-3"/>
          <w:sz w:val="28"/>
          <w:szCs w:val="28"/>
        </w:rPr>
        <w:sectPr w:rsidR="00987D33" w:rsidRPr="004C662D" w:rsidSect="008642EB">
          <w:type w:val="continuous"/>
          <w:pgSz w:w="12240" w:h="15840" w:code="1"/>
          <w:pgMar w:top="1152" w:right="1152" w:bottom="1152" w:left="1152" w:header="720" w:footer="720" w:gutter="0"/>
          <w:cols w:space="360"/>
          <w:titlePg/>
          <w:docGrid w:linePitch="360"/>
        </w:sectPr>
      </w:pPr>
    </w:p>
    <w:p w14:paraId="5648F692" w14:textId="77777777" w:rsidR="00987D33" w:rsidRDefault="00987D33" w:rsidP="00987D33">
      <w:pPr>
        <w:rPr>
          <w:b/>
          <w:i/>
          <w:sz w:val="26"/>
          <w:szCs w:val="26"/>
        </w:rPr>
      </w:pPr>
      <w:r>
        <w:rPr>
          <w:b/>
          <w:i/>
          <w:sz w:val="26"/>
          <w:szCs w:val="26"/>
        </w:rPr>
        <w:lastRenderedPageBreak/>
        <w:t>UNIVERSITY OF MAINE SYSTEM</w:t>
      </w:r>
    </w:p>
    <w:p w14:paraId="48282311" w14:textId="77777777" w:rsidR="00987D33" w:rsidRDefault="00987D33" w:rsidP="00987D33">
      <w:pPr>
        <w:pStyle w:val="AFR1"/>
        <w:spacing w:after="0"/>
      </w:pPr>
      <w:r>
        <w:t>MANAGEMENT’S DISCUSSION AND ANALYSIS</w:t>
      </w:r>
    </w:p>
    <w:p w14:paraId="46D62FD2" w14:textId="75142424" w:rsidR="00987D33" w:rsidRDefault="00987D33" w:rsidP="00987D33">
      <w:pPr>
        <w:pBdr>
          <w:bottom w:val="single" w:sz="18" w:space="1" w:color="00688D"/>
        </w:pBdr>
        <w:spacing w:after="240"/>
        <w:rPr>
          <w:b/>
          <w:i/>
          <w:sz w:val="26"/>
          <w:szCs w:val="26"/>
        </w:rPr>
      </w:pPr>
      <w:r>
        <w:rPr>
          <w:b/>
          <w:i/>
          <w:sz w:val="26"/>
          <w:szCs w:val="26"/>
        </w:rPr>
        <w:t>JUNE 30, 202</w:t>
      </w:r>
      <w:r w:rsidR="00424070">
        <w:rPr>
          <w:b/>
          <w:i/>
          <w:sz w:val="26"/>
          <w:szCs w:val="26"/>
        </w:rPr>
        <w:t>2</w:t>
      </w:r>
      <w:r>
        <w:rPr>
          <w:b/>
          <w:i/>
          <w:sz w:val="26"/>
          <w:szCs w:val="26"/>
        </w:rPr>
        <w:t xml:space="preserve"> AND 202</w:t>
      </w:r>
      <w:r w:rsidR="00424070">
        <w:rPr>
          <w:b/>
          <w:i/>
          <w:sz w:val="26"/>
          <w:szCs w:val="26"/>
        </w:rPr>
        <w:t>1</w:t>
      </w:r>
      <w:r>
        <w:rPr>
          <w:b/>
          <w:i/>
          <w:sz w:val="26"/>
          <w:szCs w:val="26"/>
        </w:rPr>
        <w:t xml:space="preserve"> (UNAUDITED)</w:t>
      </w:r>
    </w:p>
    <w:p w14:paraId="21F573AB" w14:textId="2ECDD933" w:rsidR="00987D33" w:rsidRDefault="00987D33" w:rsidP="00987D33">
      <w:pPr>
        <w:rPr>
          <w:rFonts w:ascii="Calibri" w:eastAsia="Times New Roman" w:hAnsi="Calibri" w:cs="Tahoma"/>
          <w:sz w:val="24"/>
          <w:szCs w:val="20"/>
        </w:rPr>
      </w:pPr>
      <w:r>
        <w:rPr>
          <w:rFonts w:ascii="Calibri" w:eastAsia="Times New Roman" w:hAnsi="Calibri" w:cs="Tahoma"/>
          <w:sz w:val="24"/>
          <w:szCs w:val="20"/>
        </w:rPr>
        <w:t>The Management’s Discussion and Analysis (MD&amp;A) provides a broad overview of the University of Maine System’s (“the System” or UMS) financial condition as of June 30, 202</w:t>
      </w:r>
      <w:r w:rsidR="00424070">
        <w:rPr>
          <w:rFonts w:ascii="Calibri" w:eastAsia="Times New Roman" w:hAnsi="Calibri" w:cs="Tahoma"/>
          <w:sz w:val="24"/>
          <w:szCs w:val="20"/>
        </w:rPr>
        <w:t>2</w:t>
      </w:r>
      <w:r>
        <w:rPr>
          <w:rFonts w:ascii="Calibri" w:eastAsia="Times New Roman" w:hAnsi="Calibri" w:cs="Tahoma"/>
          <w:sz w:val="24"/>
          <w:szCs w:val="20"/>
        </w:rPr>
        <w:t xml:space="preserve"> and 202</w:t>
      </w:r>
      <w:r w:rsidR="00424070">
        <w:rPr>
          <w:rFonts w:ascii="Calibri" w:eastAsia="Times New Roman" w:hAnsi="Calibri" w:cs="Tahoma"/>
          <w:sz w:val="24"/>
          <w:szCs w:val="20"/>
        </w:rPr>
        <w:t>1</w:t>
      </w:r>
      <w:r>
        <w:rPr>
          <w:rFonts w:ascii="Calibri" w:eastAsia="Times New Roman" w:hAnsi="Calibri" w:cs="Tahoma"/>
          <w:sz w:val="24"/>
          <w:szCs w:val="20"/>
        </w:rPr>
        <w:t>, the results of its operations for the years then ended, significant changes from the previous years, and outlook for the future where appropriate and relevant. Management has prepared the financial statements and related note disclosures along with this MD&amp;A. The MD&amp;A should be read in conjunction with the accompanying basic financial statements and related notes.</w:t>
      </w:r>
    </w:p>
    <w:p w14:paraId="60631B92" w14:textId="77777777" w:rsidR="00987D33" w:rsidRDefault="00987D33" w:rsidP="00987D33">
      <w:pPr>
        <w:pStyle w:val="AFR3"/>
      </w:pPr>
      <w:r>
        <w:t>Mission</w:t>
      </w:r>
    </w:p>
    <w:p w14:paraId="55258F92" w14:textId="1F71E572" w:rsidR="00987D33" w:rsidRDefault="00987D33" w:rsidP="00987D33">
      <w:pPr>
        <w:tabs>
          <w:tab w:val="left" w:pos="4860"/>
        </w:tabs>
        <w:rPr>
          <w:rFonts w:ascii="Calibri" w:eastAsia="Times New Roman" w:hAnsi="Calibri" w:cs="Tahoma"/>
          <w:sz w:val="24"/>
          <w:szCs w:val="24"/>
        </w:rPr>
      </w:pPr>
      <w:r>
        <w:rPr>
          <w:rFonts w:ascii="Calibri" w:eastAsia="Times New Roman" w:hAnsi="Calibri" w:cs="Tahoma"/>
          <w:sz w:val="24"/>
          <w:szCs w:val="24"/>
        </w:rPr>
        <w:t xml:space="preserve">Established in 1968 by the Maine State Legislature, the System is the state’s largest educational enterprise, uniting its public universities </w:t>
      </w:r>
      <w:r>
        <w:rPr>
          <w:rFonts w:ascii="Calibri" w:eastAsia="Times New Roman" w:hAnsi="Calibri" w:cs="Tahoma"/>
          <w:sz w:val="24"/>
          <w:szCs w:val="20"/>
        </w:rPr>
        <w:t xml:space="preserve">in the common purpose of providing </w:t>
      </w:r>
      <w:r>
        <w:rPr>
          <w:rFonts w:ascii="Calibri" w:eastAsia="Times New Roman" w:hAnsi="Calibri" w:cs="Tahoma"/>
          <w:sz w:val="24"/>
          <w:szCs w:val="24"/>
        </w:rPr>
        <w:t xml:space="preserve">high-quality educational undergraduate and graduate opportunities that are accessible, affordable, and relevant to the needs of Maine students, businesses, and communities. </w:t>
      </w:r>
      <w:r>
        <w:rPr>
          <w:rFonts w:ascii="Calibri" w:eastAsia="Times New Roman" w:hAnsi="Calibri" w:cs="Tahoma"/>
          <w:sz w:val="24"/>
          <w:szCs w:val="20"/>
        </w:rPr>
        <w:t xml:space="preserve">The System features </w:t>
      </w:r>
      <w:r w:rsidRPr="00796CA3">
        <w:rPr>
          <w:rFonts w:ascii="Calibri" w:eastAsia="Times New Roman" w:hAnsi="Calibri" w:cs="Tahoma"/>
          <w:sz w:val="24"/>
          <w:szCs w:val="20"/>
        </w:rPr>
        <w:t>seven</w:t>
      </w:r>
      <w:r w:rsidRPr="00886C1B">
        <w:rPr>
          <w:rFonts w:ascii="Calibri" w:eastAsia="Times New Roman" w:hAnsi="Calibri" w:cs="Tahoma"/>
          <w:sz w:val="24"/>
          <w:szCs w:val="20"/>
        </w:rPr>
        <w:t xml:space="preserve"> u</w:t>
      </w:r>
      <w:r>
        <w:rPr>
          <w:rFonts w:ascii="Calibri" w:eastAsia="Times New Roman" w:hAnsi="Calibri" w:cs="Tahoma"/>
          <w:sz w:val="24"/>
          <w:szCs w:val="20"/>
        </w:rPr>
        <w:t xml:space="preserve">niversities—some with multiple campuses—located across the state, a law school, </w:t>
      </w:r>
      <w:r w:rsidRPr="009641E0">
        <w:rPr>
          <w:rFonts w:ascii="Calibri" w:eastAsia="Times New Roman" w:hAnsi="Calibri" w:cs="Tahoma"/>
          <w:sz w:val="24"/>
          <w:szCs w:val="20"/>
        </w:rPr>
        <w:t>eight</w:t>
      </w:r>
      <w:r>
        <w:rPr>
          <w:rFonts w:ascii="Calibri" w:eastAsia="Times New Roman" w:hAnsi="Calibri" w:cs="Tahoma"/>
          <w:sz w:val="24"/>
          <w:szCs w:val="20"/>
        </w:rPr>
        <w:t xml:space="preserve"> outreach centers, an additional 3</w:t>
      </w:r>
      <w:r w:rsidR="00971850">
        <w:rPr>
          <w:rFonts w:ascii="Calibri" w:eastAsia="Times New Roman" w:hAnsi="Calibri" w:cs="Tahoma"/>
          <w:sz w:val="24"/>
          <w:szCs w:val="20"/>
        </w:rPr>
        <w:t>1</w:t>
      </w:r>
      <w:r w:rsidRPr="009013B6">
        <w:rPr>
          <w:rFonts w:ascii="Calibri" w:eastAsia="Times New Roman" w:hAnsi="Calibri" w:cs="Tahoma"/>
          <w:color w:val="FF0000"/>
          <w:sz w:val="24"/>
          <w:szCs w:val="20"/>
        </w:rPr>
        <w:t xml:space="preserve"> </w:t>
      </w:r>
      <w:r>
        <w:rPr>
          <w:rFonts w:ascii="Calibri" w:eastAsia="Times New Roman" w:hAnsi="Calibri" w:cs="Tahoma"/>
          <w:sz w:val="24"/>
          <w:szCs w:val="20"/>
        </w:rPr>
        <w:t xml:space="preserve">course sites, and Cooperative Extension. The System carries out the traditional tripartite mission – teaching, research, and public service. A major resource for the State, the System </w:t>
      </w:r>
      <w:r>
        <w:rPr>
          <w:rFonts w:ascii="Calibri" w:eastAsia="Times New Roman" w:hAnsi="Calibri" w:cs="Tahoma"/>
          <w:sz w:val="24"/>
          <w:szCs w:val="24"/>
        </w:rPr>
        <w:t>drives economic development by conducting world-class research, commercializing valuable ideas, and partnering successfully with businesses and industries throughout Maine and beyond.</w:t>
      </w:r>
    </w:p>
    <w:p w14:paraId="1D01C495" w14:textId="77777777" w:rsidR="00987D33" w:rsidRDefault="00987D33" w:rsidP="00987D33">
      <w:pPr>
        <w:pStyle w:val="AFR3"/>
      </w:pPr>
      <w:r>
        <w:t>Universities, Campuses, and Centers</w:t>
      </w:r>
    </w:p>
    <w:p w14:paraId="67DF5B39" w14:textId="4B0E5A09" w:rsidR="00987D33" w:rsidRDefault="00987D33" w:rsidP="00987D33">
      <w:pPr>
        <w:tabs>
          <w:tab w:val="left" w:pos="4860"/>
        </w:tabs>
        <w:rPr>
          <w:rFonts w:ascii="Calibri" w:eastAsia="Times New Roman" w:hAnsi="Calibri" w:cs="Tahoma"/>
          <w:sz w:val="24"/>
          <w:szCs w:val="24"/>
        </w:rPr>
      </w:pPr>
      <w:r>
        <w:rPr>
          <w:rFonts w:ascii="Calibri" w:eastAsia="Times New Roman" w:hAnsi="Calibri" w:cs="Tahoma"/>
          <w:sz w:val="24"/>
          <w:szCs w:val="24"/>
        </w:rPr>
        <w:t xml:space="preserve">The System is a comprehensive public institution of higher education with </w:t>
      </w:r>
      <w:r w:rsidR="0016773F">
        <w:rPr>
          <w:rFonts w:ascii="Calibri" w:eastAsia="Times New Roman" w:hAnsi="Calibri" w:cs="Tahoma"/>
          <w:sz w:val="24"/>
          <w:szCs w:val="24"/>
        </w:rPr>
        <w:t>over</w:t>
      </w:r>
      <w:r w:rsidRPr="00845A3B">
        <w:rPr>
          <w:rFonts w:ascii="Calibri" w:eastAsia="Times New Roman" w:hAnsi="Calibri" w:cs="Tahoma"/>
          <w:sz w:val="24"/>
          <w:szCs w:val="24"/>
        </w:rPr>
        <w:t xml:space="preserve"> 30,000 </w:t>
      </w:r>
      <w:r>
        <w:rPr>
          <w:rFonts w:ascii="Calibri" w:eastAsia="Times New Roman" w:hAnsi="Calibri" w:cs="Tahoma"/>
          <w:sz w:val="24"/>
          <w:szCs w:val="24"/>
        </w:rPr>
        <w:t xml:space="preserve">enrolled students, supported by the efforts of </w:t>
      </w:r>
      <w:r w:rsidR="00432103">
        <w:rPr>
          <w:rFonts w:ascii="Calibri" w:eastAsia="Times New Roman" w:hAnsi="Calibri" w:cs="Tahoma"/>
          <w:sz w:val="24"/>
          <w:szCs w:val="24"/>
        </w:rPr>
        <w:t>1,173</w:t>
      </w:r>
      <w:r>
        <w:rPr>
          <w:rFonts w:ascii="Calibri" w:eastAsia="Times New Roman" w:hAnsi="Calibri" w:cs="Tahoma"/>
          <w:sz w:val="24"/>
          <w:szCs w:val="24"/>
        </w:rPr>
        <w:t xml:space="preserve"> regular full-time faculty, </w:t>
      </w:r>
      <w:r w:rsidR="00FE4517" w:rsidRPr="00721CFD">
        <w:rPr>
          <w:rFonts w:ascii="Calibri" w:eastAsia="Times New Roman" w:hAnsi="Calibri" w:cs="Tahoma"/>
          <w:sz w:val="24"/>
          <w:szCs w:val="24"/>
        </w:rPr>
        <w:t>8</w:t>
      </w:r>
      <w:r w:rsidR="00FE4517" w:rsidRPr="00FE4517">
        <w:rPr>
          <w:rFonts w:ascii="Calibri" w:eastAsia="Times New Roman" w:hAnsi="Calibri" w:cs="Tahoma"/>
          <w:sz w:val="24"/>
          <w:szCs w:val="24"/>
        </w:rPr>
        <w:t xml:space="preserve">1 </w:t>
      </w:r>
      <w:r w:rsidRPr="00FE4517">
        <w:rPr>
          <w:rFonts w:ascii="Calibri" w:eastAsia="Times New Roman" w:hAnsi="Calibri" w:cs="Tahoma"/>
          <w:sz w:val="24"/>
          <w:szCs w:val="24"/>
        </w:rPr>
        <w:t>regular part-time faculty, 3,10</w:t>
      </w:r>
      <w:r w:rsidR="00432103" w:rsidRPr="00FE4517">
        <w:rPr>
          <w:rFonts w:ascii="Calibri" w:eastAsia="Times New Roman" w:hAnsi="Calibri" w:cs="Tahoma"/>
          <w:sz w:val="24"/>
          <w:szCs w:val="24"/>
        </w:rPr>
        <w:t>6</w:t>
      </w:r>
      <w:r w:rsidRPr="00FE4517">
        <w:rPr>
          <w:rFonts w:ascii="Calibri" w:eastAsia="Times New Roman" w:hAnsi="Calibri" w:cs="Tahoma"/>
          <w:sz w:val="24"/>
          <w:szCs w:val="24"/>
        </w:rPr>
        <w:t xml:space="preserve"> regular full-time staff, and </w:t>
      </w:r>
      <w:r w:rsidR="00FE4517">
        <w:rPr>
          <w:rFonts w:ascii="Calibri" w:eastAsia="Times New Roman" w:hAnsi="Calibri" w:cs="Tahoma"/>
          <w:sz w:val="24"/>
          <w:szCs w:val="24"/>
        </w:rPr>
        <w:t xml:space="preserve">160 </w:t>
      </w:r>
      <w:r>
        <w:rPr>
          <w:rFonts w:ascii="Calibri" w:eastAsia="Times New Roman" w:hAnsi="Calibri" w:cs="Tahoma"/>
          <w:sz w:val="24"/>
          <w:szCs w:val="24"/>
        </w:rPr>
        <w:t>regular part-time staff members.</w:t>
      </w:r>
    </w:p>
    <w:p w14:paraId="7EBB8467" w14:textId="77777777" w:rsidR="00987D33" w:rsidRPr="00DE50BF" w:rsidRDefault="00987D33" w:rsidP="00987D33">
      <w:pPr>
        <w:tabs>
          <w:tab w:val="left" w:pos="4860"/>
        </w:tabs>
        <w:rPr>
          <w:rFonts w:ascii="Calibri" w:eastAsia="Times New Roman" w:hAnsi="Calibri" w:cs="Tahoma"/>
          <w:sz w:val="20"/>
          <w:szCs w:val="24"/>
        </w:rPr>
      </w:pPr>
    </w:p>
    <w:p w14:paraId="7AD3566E" w14:textId="189BAA26" w:rsidR="00987D33" w:rsidRDefault="00987D33" w:rsidP="005A5C0C">
      <w:pPr>
        <w:tabs>
          <w:tab w:val="left" w:pos="4860"/>
        </w:tabs>
        <w:spacing w:after="120"/>
        <w:rPr>
          <w:rFonts w:ascii="Calibri" w:eastAsia="Times New Roman" w:hAnsi="Calibri" w:cs="Tahoma"/>
          <w:sz w:val="24"/>
          <w:szCs w:val="24"/>
        </w:rPr>
      </w:pPr>
      <w:r>
        <w:rPr>
          <w:rFonts w:ascii="Calibri" w:eastAsia="Times New Roman" w:hAnsi="Calibri" w:cs="Tahoma"/>
          <w:sz w:val="24"/>
          <w:szCs w:val="24"/>
        </w:rPr>
        <w:t>From Maine’s largest city to its rural northern borders, our universities are known for excellence in teaching and research. Our universities are:</w:t>
      </w:r>
    </w:p>
    <w:p w14:paraId="26DB20FD" w14:textId="41CFEA8C" w:rsidR="00DC03CF" w:rsidRDefault="00DC03CF" w:rsidP="00721CFD">
      <w:pPr>
        <w:pStyle w:val="ListParagraph"/>
        <w:numPr>
          <w:ilvl w:val="0"/>
          <w:numId w:val="24"/>
        </w:numPr>
        <w:tabs>
          <w:tab w:val="left" w:pos="4860"/>
        </w:tabs>
        <w:rPr>
          <w:rFonts w:ascii="Calibri" w:hAnsi="Calibri" w:cs="Tahoma"/>
        </w:rPr>
      </w:pPr>
      <w:r w:rsidRPr="001E6659">
        <w:rPr>
          <w:rFonts w:ascii="Calibri" w:hAnsi="Calibri" w:cs="Tahoma"/>
          <w:b/>
          <w:bCs/>
        </w:rPr>
        <w:t>The University of Maine (UM)</w:t>
      </w:r>
      <w:r>
        <w:rPr>
          <w:rFonts w:ascii="Calibri" w:hAnsi="Calibri" w:cs="Tahoma"/>
        </w:rPr>
        <w:t xml:space="preserve"> </w:t>
      </w:r>
      <w:r w:rsidR="00D90957" w:rsidRPr="00D90957">
        <w:rPr>
          <w:rFonts w:ascii="Calibri" w:hAnsi="Calibri" w:cs="Tahoma"/>
        </w:rPr>
        <w:t>is the state’s land grant, sea grant and space grant university. As Maine’s flagship public university, UM has a statewide mission of teaching, research and economic development, and community engagement. UM is the state’s only R1 research university and among the most comprehensive higher education institutions in the Northeast, where undergraduate and graduate students have opportunities to participate in groundbreaking research with world-class scholars. UM offers bachelor’s, master’s and doctoral degrees.</w:t>
      </w:r>
    </w:p>
    <w:p w14:paraId="68136CCE" w14:textId="2DA77E7F" w:rsidR="00FF600A" w:rsidRDefault="00FF600A" w:rsidP="00346E2C">
      <w:pPr>
        <w:pStyle w:val="ListParagraph"/>
        <w:numPr>
          <w:ilvl w:val="0"/>
          <w:numId w:val="24"/>
        </w:numPr>
        <w:tabs>
          <w:tab w:val="left" w:pos="4860"/>
        </w:tabs>
        <w:spacing w:before="120"/>
        <w:contextualSpacing w:val="0"/>
        <w:rPr>
          <w:rFonts w:ascii="Calibri" w:hAnsi="Calibri" w:cs="Tahoma"/>
        </w:rPr>
      </w:pPr>
      <w:r w:rsidRPr="001E6659">
        <w:rPr>
          <w:rFonts w:ascii="Calibri" w:hAnsi="Calibri" w:cs="Tahoma"/>
          <w:b/>
          <w:bCs/>
        </w:rPr>
        <w:t>The University of Maine at Augusta</w:t>
      </w:r>
      <w:r>
        <w:rPr>
          <w:rFonts w:ascii="Calibri" w:hAnsi="Calibri" w:cs="Tahoma"/>
        </w:rPr>
        <w:t xml:space="preserve"> </w:t>
      </w:r>
      <w:r w:rsidRPr="001E6659">
        <w:rPr>
          <w:rFonts w:ascii="Calibri" w:hAnsi="Calibri" w:cs="Tahoma"/>
          <w:b/>
          <w:bCs/>
        </w:rPr>
        <w:t>(UMA)</w:t>
      </w:r>
      <w:r>
        <w:rPr>
          <w:rFonts w:ascii="Calibri" w:hAnsi="Calibri" w:cs="Tahoma"/>
        </w:rPr>
        <w:t xml:space="preserve"> is the third largest public university in Maine.  </w:t>
      </w:r>
      <w:r w:rsidRPr="00FF600A">
        <w:rPr>
          <w:rFonts w:ascii="Calibri" w:hAnsi="Calibri" w:cs="Tahoma"/>
        </w:rPr>
        <w:t xml:space="preserve">With campuses in Augusta and Bangor, eight UMA Centers across Maine, and expertise in online and distance learning, UMA is considered the university of choice for </w:t>
      </w:r>
      <w:r w:rsidRPr="00FF600A">
        <w:rPr>
          <w:rFonts w:ascii="Calibri" w:hAnsi="Calibri" w:cs="Tahoma"/>
        </w:rPr>
        <w:lastRenderedPageBreak/>
        <w:t>Mainers who want to receive a quality and affordable education without uprooting their lives.</w:t>
      </w:r>
    </w:p>
    <w:p w14:paraId="129D6D05" w14:textId="23888C2D" w:rsidR="00FF600A" w:rsidRDefault="00FF600A" w:rsidP="00346E2C">
      <w:pPr>
        <w:pStyle w:val="ListParagraph"/>
        <w:numPr>
          <w:ilvl w:val="0"/>
          <w:numId w:val="24"/>
        </w:numPr>
        <w:tabs>
          <w:tab w:val="left" w:pos="4860"/>
        </w:tabs>
        <w:spacing w:before="120"/>
        <w:contextualSpacing w:val="0"/>
        <w:rPr>
          <w:rFonts w:ascii="Calibri" w:hAnsi="Calibri" w:cs="Tahoma"/>
        </w:rPr>
      </w:pPr>
      <w:r>
        <w:rPr>
          <w:rFonts w:ascii="Calibri" w:hAnsi="Calibri" w:cs="Tahoma"/>
          <w:b/>
          <w:bCs/>
        </w:rPr>
        <w:t xml:space="preserve">The University of Maine at Farmington (UMF) </w:t>
      </w:r>
      <w:r w:rsidR="002A3E51" w:rsidRPr="00A72B6B">
        <w:rPr>
          <w:rFonts w:ascii="Calibri" w:hAnsi="Calibri" w:cs="Tahoma"/>
        </w:rPr>
        <w:t xml:space="preserve">was </w:t>
      </w:r>
      <w:r w:rsidR="002A3E51">
        <w:rPr>
          <w:rFonts w:ascii="Calibri" w:hAnsi="Calibri" w:cs="Tahoma"/>
        </w:rPr>
        <w:t xml:space="preserve">established in 1864 as Maine’s first public institution of higher education.  UMF </w:t>
      </w:r>
      <w:r w:rsidRPr="001E6659">
        <w:rPr>
          <w:rFonts w:ascii="Calibri" w:hAnsi="Calibri" w:cs="Tahoma"/>
        </w:rPr>
        <w:t xml:space="preserve">is Maine’s nationally recognized public liberal arts college, </w:t>
      </w:r>
      <w:r w:rsidRPr="00FF600A">
        <w:rPr>
          <w:rFonts w:ascii="Calibri" w:hAnsi="Calibri" w:cs="Tahoma"/>
        </w:rPr>
        <w:t>offering quality programs in teacher education, human services, and arts and sciences.</w:t>
      </w:r>
    </w:p>
    <w:p w14:paraId="08317BDE" w14:textId="696B95BE" w:rsidR="00FF600A" w:rsidRDefault="00FF600A" w:rsidP="00346E2C">
      <w:pPr>
        <w:pStyle w:val="ListParagraph"/>
        <w:numPr>
          <w:ilvl w:val="0"/>
          <w:numId w:val="24"/>
        </w:numPr>
        <w:tabs>
          <w:tab w:val="left" w:pos="4860"/>
        </w:tabs>
        <w:spacing w:before="120"/>
        <w:contextualSpacing w:val="0"/>
        <w:rPr>
          <w:rFonts w:ascii="Calibri" w:hAnsi="Calibri" w:cs="Tahoma"/>
        </w:rPr>
      </w:pPr>
      <w:r>
        <w:rPr>
          <w:rFonts w:ascii="Calibri" w:hAnsi="Calibri" w:cs="Tahoma"/>
          <w:b/>
          <w:bCs/>
        </w:rPr>
        <w:t>The University of Maine at Fort Kent (UMFK)</w:t>
      </w:r>
      <w:r>
        <w:rPr>
          <w:rFonts w:ascii="Calibri" w:hAnsi="Calibri" w:cs="Tahoma"/>
        </w:rPr>
        <w:t xml:space="preserve"> </w:t>
      </w:r>
      <w:r w:rsidR="00716FB7" w:rsidRPr="00716FB7">
        <w:rPr>
          <w:rFonts w:ascii="Calibri" w:hAnsi="Calibri" w:cs="Tahoma"/>
        </w:rPr>
        <w:t>is a campus focused on health sciences and professional programs. Founded in 1878 to meet local, state, and regional workforce needs, UMFK provides a diversity of learners with the education and development needed to be successful professionals and engaged members of their communities in the 21st Century.</w:t>
      </w:r>
    </w:p>
    <w:p w14:paraId="5F5C8ACA" w14:textId="3BD1AC07" w:rsidR="00716FB7" w:rsidRDefault="00716FB7" w:rsidP="00346E2C">
      <w:pPr>
        <w:pStyle w:val="ListParagraph"/>
        <w:numPr>
          <w:ilvl w:val="0"/>
          <w:numId w:val="24"/>
        </w:numPr>
        <w:tabs>
          <w:tab w:val="left" w:pos="4860"/>
        </w:tabs>
        <w:spacing w:before="120"/>
        <w:contextualSpacing w:val="0"/>
        <w:rPr>
          <w:rFonts w:ascii="Calibri" w:hAnsi="Calibri" w:cs="Tahoma"/>
        </w:rPr>
      </w:pPr>
      <w:r>
        <w:rPr>
          <w:rFonts w:ascii="Calibri" w:hAnsi="Calibri" w:cs="Tahoma"/>
          <w:b/>
          <w:bCs/>
        </w:rPr>
        <w:t>The University of Maine at Machias (UMM)</w:t>
      </w:r>
      <w:r>
        <w:rPr>
          <w:rFonts w:ascii="Calibri" w:hAnsi="Calibri" w:cs="Tahoma"/>
        </w:rPr>
        <w:t xml:space="preserve">, </w:t>
      </w:r>
      <w:r w:rsidR="00D90957" w:rsidRPr="00D90957">
        <w:rPr>
          <w:rFonts w:ascii="Calibri" w:hAnsi="Calibri" w:cs="Tahoma"/>
        </w:rPr>
        <w:t>the easternmost university in the nation, is the regional campus of the University of Maine. It offers quality baccalaureate programs with an emphasis on experiential and community-engaged learning. The distinct UMM campus environment and strong regional identity are enhanced by a partnership with the state’s R1 flagship university.</w:t>
      </w:r>
    </w:p>
    <w:p w14:paraId="17A4E0FC" w14:textId="76B626C3" w:rsidR="00716FB7" w:rsidRDefault="00716FB7" w:rsidP="00346E2C">
      <w:pPr>
        <w:pStyle w:val="ListParagraph"/>
        <w:numPr>
          <w:ilvl w:val="0"/>
          <w:numId w:val="24"/>
        </w:numPr>
        <w:tabs>
          <w:tab w:val="left" w:pos="4860"/>
        </w:tabs>
        <w:spacing w:before="120"/>
        <w:contextualSpacing w:val="0"/>
        <w:rPr>
          <w:rFonts w:ascii="Calibri" w:hAnsi="Calibri" w:cs="Tahoma"/>
        </w:rPr>
      </w:pPr>
      <w:r>
        <w:rPr>
          <w:rFonts w:ascii="Calibri" w:hAnsi="Calibri" w:cs="Tahoma"/>
          <w:b/>
          <w:bCs/>
        </w:rPr>
        <w:t>The University of Maine at Presque Isle (UMPI)</w:t>
      </w:r>
      <w:r>
        <w:rPr>
          <w:rFonts w:ascii="Calibri" w:hAnsi="Calibri" w:cs="Tahoma"/>
        </w:rPr>
        <w:t xml:space="preserve"> </w:t>
      </w:r>
      <w:r w:rsidR="001A2830" w:rsidRPr="001A2830">
        <w:rPr>
          <w:rFonts w:ascii="Calibri" w:hAnsi="Calibri" w:cs="Tahoma"/>
        </w:rPr>
        <w:t xml:space="preserve">is a nationally recognized institution of innovation and opportunity, providing students with an affordable and personalized education, a caring, small-university environment, and life-changing experiences that prepare them to be career-ready graduates. Established in 1903, UMPI offers bachelor’s, associate’s, online, and competency-based education degree programs, </w:t>
      </w:r>
      <w:r w:rsidR="002A3E51">
        <w:rPr>
          <w:rFonts w:ascii="Calibri" w:hAnsi="Calibri" w:cs="Tahoma"/>
        </w:rPr>
        <w:t>and one</w:t>
      </w:r>
      <w:r w:rsidR="001A2830" w:rsidRPr="001A2830">
        <w:rPr>
          <w:rFonts w:ascii="Calibri" w:hAnsi="Calibri" w:cs="Tahoma"/>
        </w:rPr>
        <w:t xml:space="preserve"> master’s degree program.</w:t>
      </w:r>
    </w:p>
    <w:p w14:paraId="58ADEBB6" w14:textId="4CE1D753" w:rsidR="001A2830" w:rsidRDefault="001A2830" w:rsidP="00346E2C">
      <w:pPr>
        <w:pStyle w:val="ListParagraph"/>
        <w:numPr>
          <w:ilvl w:val="0"/>
          <w:numId w:val="24"/>
        </w:numPr>
        <w:tabs>
          <w:tab w:val="left" w:pos="4860"/>
        </w:tabs>
        <w:spacing w:before="120"/>
        <w:contextualSpacing w:val="0"/>
        <w:rPr>
          <w:rFonts w:ascii="Calibri" w:hAnsi="Calibri" w:cs="Tahoma"/>
        </w:rPr>
      </w:pPr>
      <w:r>
        <w:rPr>
          <w:rFonts w:ascii="Calibri" w:hAnsi="Calibri" w:cs="Tahoma"/>
          <w:b/>
          <w:bCs/>
        </w:rPr>
        <w:t>The University of Southern Maine (USM)</w:t>
      </w:r>
      <w:r>
        <w:rPr>
          <w:rFonts w:ascii="Calibri" w:hAnsi="Calibri" w:cs="Tahoma"/>
        </w:rPr>
        <w:t xml:space="preserve"> </w:t>
      </w:r>
      <w:r w:rsidRPr="001A2830">
        <w:rPr>
          <w:rFonts w:ascii="Calibri" w:hAnsi="Calibri" w:cs="Tahoma"/>
        </w:rPr>
        <w:t>is northern New England’s outstanding public, regional, comprehensive university, dedicated to providing students with a high-quality, accessible, affordable education. From campuses in Portland, Gorham, and Lewiston-Auburn, USM offers baccalaureate, master’s, and doctoral programs.</w:t>
      </w:r>
    </w:p>
    <w:p w14:paraId="0F0E6153" w14:textId="00B55385" w:rsidR="001A2830" w:rsidRPr="001E6659" w:rsidRDefault="001A2830" w:rsidP="00346E2C">
      <w:pPr>
        <w:pStyle w:val="ListParagraph"/>
        <w:numPr>
          <w:ilvl w:val="0"/>
          <w:numId w:val="24"/>
        </w:numPr>
        <w:tabs>
          <w:tab w:val="left" w:pos="4860"/>
        </w:tabs>
        <w:spacing w:before="120"/>
        <w:contextualSpacing w:val="0"/>
        <w:rPr>
          <w:rFonts w:ascii="Calibri" w:hAnsi="Calibri" w:cs="Tahoma"/>
        </w:rPr>
      </w:pPr>
      <w:r>
        <w:rPr>
          <w:rFonts w:ascii="Calibri" w:hAnsi="Calibri" w:cs="Tahoma"/>
          <w:b/>
          <w:bCs/>
        </w:rPr>
        <w:t>The University of Maine School of Law (Maine Law)</w:t>
      </w:r>
      <w:r w:rsidR="002A3E51">
        <w:rPr>
          <w:rFonts w:ascii="Calibri" w:hAnsi="Calibri" w:cs="Tahoma"/>
        </w:rPr>
        <w:t>,</w:t>
      </w:r>
      <w:r>
        <w:rPr>
          <w:rFonts w:ascii="Calibri" w:hAnsi="Calibri" w:cs="Tahoma"/>
        </w:rPr>
        <w:t xml:space="preserve"> </w:t>
      </w:r>
      <w:r w:rsidRPr="001A2830">
        <w:rPr>
          <w:rFonts w:ascii="Calibri" w:hAnsi="Calibri" w:cs="Tahoma"/>
        </w:rPr>
        <w:t>a free-standing institution within the System and located in Portland, is committed to justice and leadership in a changing world. As the state’s public and only law school, Maine Law provides an accessible and affordable student-focused program of legal education through a rigorous doctrinal and experiential curriculum.</w:t>
      </w:r>
    </w:p>
    <w:p w14:paraId="4753B052" w14:textId="77777777" w:rsidR="002C201C" w:rsidRDefault="002C201C">
      <w:pPr>
        <w:spacing w:after="160" w:line="259" w:lineRule="auto"/>
        <w:rPr>
          <w:b/>
          <w:i/>
          <w:sz w:val="26"/>
          <w:u w:val="single" w:color="000000" w:themeColor="text1"/>
        </w:rPr>
      </w:pPr>
      <w:r>
        <w:br w:type="page"/>
      </w:r>
    </w:p>
    <w:p w14:paraId="0BBEC2AE" w14:textId="4B2436B6" w:rsidR="00987D33" w:rsidRDefault="00987D33">
      <w:pPr>
        <w:pStyle w:val="AFR3"/>
      </w:pPr>
      <w:r>
        <w:lastRenderedPageBreak/>
        <w:t>Student Enrollment</w:t>
      </w:r>
    </w:p>
    <w:p w14:paraId="303F3839" w14:textId="5778FBA7" w:rsidR="00987D33" w:rsidRDefault="00987D33" w:rsidP="00987D33">
      <w:pPr>
        <w:tabs>
          <w:tab w:val="left" w:pos="4860"/>
        </w:tabs>
        <w:spacing w:after="120"/>
        <w:rPr>
          <w:rFonts w:ascii="Calibri" w:eastAsia="Times New Roman" w:hAnsi="Calibri" w:cs="Tahoma"/>
          <w:sz w:val="24"/>
          <w:szCs w:val="24"/>
        </w:rPr>
      </w:pPr>
      <w:r>
        <w:rPr>
          <w:rFonts w:ascii="Calibri" w:eastAsia="Times New Roman" w:hAnsi="Calibri" w:cs="Tahoma"/>
          <w:sz w:val="24"/>
          <w:szCs w:val="24"/>
        </w:rPr>
        <w:t xml:space="preserve">Chart 1 shows student enrollment, including early college, on a headcount basis with </w:t>
      </w:r>
      <w:r w:rsidR="0016773F">
        <w:rPr>
          <w:rFonts w:ascii="Calibri" w:eastAsia="Times New Roman" w:hAnsi="Calibri" w:cs="Tahoma"/>
          <w:sz w:val="24"/>
          <w:szCs w:val="24"/>
        </w:rPr>
        <w:t>30,139</w:t>
      </w:r>
      <w:r>
        <w:rPr>
          <w:rFonts w:ascii="Calibri" w:eastAsia="Times New Roman" w:hAnsi="Calibri" w:cs="Tahoma"/>
          <w:sz w:val="24"/>
          <w:szCs w:val="24"/>
        </w:rPr>
        <w:t xml:space="preserve"> students enrolled for the fall 202</w:t>
      </w:r>
      <w:r w:rsidR="00424070">
        <w:rPr>
          <w:rFonts w:ascii="Calibri" w:eastAsia="Times New Roman" w:hAnsi="Calibri" w:cs="Tahoma"/>
          <w:sz w:val="24"/>
          <w:szCs w:val="24"/>
        </w:rPr>
        <w:t>1</w:t>
      </w:r>
      <w:r>
        <w:rPr>
          <w:rFonts w:ascii="Calibri" w:eastAsia="Times New Roman" w:hAnsi="Calibri" w:cs="Tahoma"/>
          <w:sz w:val="24"/>
          <w:szCs w:val="24"/>
        </w:rPr>
        <w:t xml:space="preserve"> semester, </w:t>
      </w:r>
      <w:r w:rsidR="0016773F">
        <w:rPr>
          <w:rFonts w:ascii="Calibri" w:eastAsia="Times New Roman" w:hAnsi="Calibri" w:cs="Tahoma"/>
          <w:sz w:val="24"/>
          <w:szCs w:val="24"/>
        </w:rPr>
        <w:t>up</w:t>
      </w:r>
      <w:r>
        <w:rPr>
          <w:rFonts w:ascii="Calibri" w:eastAsia="Times New Roman" w:hAnsi="Calibri" w:cs="Tahoma"/>
          <w:sz w:val="24"/>
          <w:szCs w:val="24"/>
        </w:rPr>
        <w:t xml:space="preserve"> 1.</w:t>
      </w:r>
      <w:r w:rsidR="0016773F">
        <w:rPr>
          <w:rFonts w:ascii="Calibri" w:eastAsia="Times New Roman" w:hAnsi="Calibri" w:cs="Tahoma"/>
          <w:sz w:val="24"/>
          <w:szCs w:val="24"/>
        </w:rPr>
        <w:t>5</w:t>
      </w:r>
      <w:r>
        <w:rPr>
          <w:rFonts w:ascii="Calibri" w:eastAsia="Times New Roman" w:hAnsi="Calibri" w:cs="Tahoma"/>
          <w:sz w:val="24"/>
          <w:szCs w:val="24"/>
        </w:rPr>
        <w:t>% from fall 20</w:t>
      </w:r>
      <w:r w:rsidR="00424070">
        <w:rPr>
          <w:rFonts w:ascii="Calibri" w:eastAsia="Times New Roman" w:hAnsi="Calibri" w:cs="Tahoma"/>
          <w:sz w:val="24"/>
          <w:szCs w:val="24"/>
        </w:rPr>
        <w:t>20</w:t>
      </w:r>
      <w:r>
        <w:rPr>
          <w:rFonts w:ascii="Calibri" w:eastAsia="Times New Roman" w:hAnsi="Calibri" w:cs="Tahoma"/>
          <w:sz w:val="24"/>
          <w:szCs w:val="24"/>
        </w:rPr>
        <w:t xml:space="preserve"> and up </w:t>
      </w:r>
      <w:r w:rsidR="00532081">
        <w:rPr>
          <w:rFonts w:ascii="Calibri" w:eastAsia="Times New Roman" w:hAnsi="Calibri" w:cs="Tahoma"/>
          <w:sz w:val="24"/>
          <w:szCs w:val="24"/>
        </w:rPr>
        <w:t>3.9</w:t>
      </w:r>
      <w:r>
        <w:rPr>
          <w:rFonts w:ascii="Calibri" w:eastAsia="Times New Roman" w:hAnsi="Calibri" w:cs="Tahoma"/>
          <w:sz w:val="24"/>
          <w:szCs w:val="24"/>
        </w:rPr>
        <w:t>% since fall 201</w:t>
      </w:r>
      <w:r w:rsidR="00424070">
        <w:rPr>
          <w:rFonts w:ascii="Calibri" w:eastAsia="Times New Roman" w:hAnsi="Calibri" w:cs="Tahoma"/>
          <w:sz w:val="24"/>
          <w:szCs w:val="24"/>
        </w:rPr>
        <w:t>7</w:t>
      </w:r>
      <w:r>
        <w:rPr>
          <w:rFonts w:ascii="Calibri" w:eastAsia="Times New Roman" w:hAnsi="Calibri" w:cs="Tahoma"/>
          <w:sz w:val="24"/>
          <w:szCs w:val="24"/>
        </w:rPr>
        <w:t>. For fall 202</w:t>
      </w:r>
      <w:r w:rsidR="00424070">
        <w:rPr>
          <w:rFonts w:ascii="Calibri" w:eastAsia="Times New Roman" w:hAnsi="Calibri" w:cs="Tahoma"/>
          <w:sz w:val="24"/>
          <w:szCs w:val="24"/>
        </w:rPr>
        <w:t>1</w:t>
      </w:r>
      <w:r w:rsidR="000B4F29">
        <w:rPr>
          <w:rFonts w:ascii="Calibri" w:eastAsia="Times New Roman" w:hAnsi="Calibri" w:cs="Tahoma"/>
          <w:sz w:val="24"/>
          <w:szCs w:val="24"/>
        </w:rPr>
        <w:t>,</w:t>
      </w:r>
      <w:r>
        <w:rPr>
          <w:rFonts w:ascii="Calibri" w:eastAsia="Times New Roman" w:hAnsi="Calibri" w:cs="Tahoma"/>
          <w:sz w:val="24"/>
          <w:szCs w:val="24"/>
        </w:rPr>
        <w:t xml:space="preserve"> </w:t>
      </w:r>
      <w:r w:rsidR="00532081">
        <w:rPr>
          <w:rFonts w:ascii="Calibri" w:eastAsia="Times New Roman" w:hAnsi="Calibri" w:cs="Tahoma"/>
          <w:sz w:val="24"/>
          <w:szCs w:val="24"/>
        </w:rPr>
        <w:t>61% of the student population were enrolled full-time</w:t>
      </w:r>
      <w:r w:rsidR="000B4F29">
        <w:rPr>
          <w:rFonts w:ascii="Calibri" w:eastAsia="Times New Roman" w:hAnsi="Calibri" w:cs="Tahoma"/>
          <w:sz w:val="24"/>
          <w:szCs w:val="24"/>
        </w:rPr>
        <w:t>,</w:t>
      </w:r>
      <w:r w:rsidR="00532081">
        <w:rPr>
          <w:rFonts w:ascii="Calibri" w:eastAsia="Times New Roman" w:hAnsi="Calibri" w:cs="Tahoma"/>
          <w:sz w:val="24"/>
          <w:szCs w:val="24"/>
        </w:rPr>
        <w:t xml:space="preserve"> </w:t>
      </w:r>
      <w:r w:rsidR="00D85047">
        <w:rPr>
          <w:rFonts w:ascii="Calibri" w:eastAsia="Times New Roman" w:hAnsi="Calibri" w:cs="Tahoma"/>
          <w:sz w:val="24"/>
          <w:szCs w:val="24"/>
        </w:rPr>
        <w:t xml:space="preserve">down </w:t>
      </w:r>
      <w:r w:rsidR="00532081">
        <w:rPr>
          <w:rFonts w:ascii="Calibri" w:eastAsia="Times New Roman" w:hAnsi="Calibri" w:cs="Tahoma"/>
          <w:sz w:val="24"/>
          <w:szCs w:val="24"/>
        </w:rPr>
        <w:t>fr</w:t>
      </w:r>
      <w:r w:rsidR="00D85047">
        <w:rPr>
          <w:rFonts w:ascii="Calibri" w:eastAsia="Times New Roman" w:hAnsi="Calibri" w:cs="Tahoma"/>
          <w:sz w:val="24"/>
          <w:szCs w:val="24"/>
        </w:rPr>
        <w:t>om 63% in</w:t>
      </w:r>
      <w:r w:rsidR="00532081">
        <w:rPr>
          <w:rFonts w:ascii="Calibri" w:eastAsia="Times New Roman" w:hAnsi="Calibri" w:cs="Tahoma"/>
          <w:sz w:val="24"/>
          <w:szCs w:val="24"/>
        </w:rPr>
        <w:t xml:space="preserve"> </w:t>
      </w:r>
      <w:r>
        <w:rPr>
          <w:rFonts w:ascii="Calibri" w:eastAsia="Times New Roman" w:hAnsi="Calibri" w:cs="Tahoma"/>
          <w:sz w:val="24"/>
          <w:szCs w:val="24"/>
        </w:rPr>
        <w:t>fall 20</w:t>
      </w:r>
      <w:r w:rsidR="00424070">
        <w:rPr>
          <w:rFonts w:ascii="Calibri" w:eastAsia="Times New Roman" w:hAnsi="Calibri" w:cs="Tahoma"/>
          <w:sz w:val="24"/>
          <w:szCs w:val="24"/>
        </w:rPr>
        <w:t>20</w:t>
      </w:r>
      <w:r>
        <w:rPr>
          <w:rFonts w:ascii="Calibri" w:eastAsia="Times New Roman" w:hAnsi="Calibri" w:cs="Tahoma"/>
          <w:sz w:val="24"/>
          <w:szCs w:val="24"/>
        </w:rPr>
        <w:t>.</w:t>
      </w:r>
    </w:p>
    <w:p w14:paraId="045CA03A" w14:textId="5D50046D" w:rsidR="00987D33" w:rsidRDefault="0016773F" w:rsidP="00A90034">
      <w:pPr>
        <w:tabs>
          <w:tab w:val="left" w:pos="4860"/>
        </w:tabs>
        <w:ind w:left="360" w:hanging="360"/>
        <w:jc w:val="center"/>
        <w:rPr>
          <w:rFonts w:ascii="Calibri" w:eastAsia="Times New Roman" w:hAnsi="Calibri" w:cs="Tahoma"/>
          <w:szCs w:val="24"/>
        </w:rPr>
      </w:pPr>
      <w:r>
        <w:rPr>
          <w:noProof/>
        </w:rPr>
        <w:drawing>
          <wp:inline distT="0" distB="0" distL="0" distR="0" wp14:anchorId="61C6AAB4" wp14:editId="077E737F">
            <wp:extent cx="5486400" cy="3200400"/>
            <wp:effectExtent l="0" t="0" r="0" b="0"/>
            <wp:docPr id="7" name="Chart 7">
              <a:extLst xmlns:a="http://schemas.openxmlformats.org/drawingml/2006/main">
                <a:ext uri="{FF2B5EF4-FFF2-40B4-BE49-F238E27FC236}">
                  <a16:creationId xmlns:a16="http://schemas.microsoft.com/office/drawing/2014/main" id="{00000000-0008-0000-01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7B896A" w14:textId="105D9EB9" w:rsidR="00987D33" w:rsidRDefault="00987D33" w:rsidP="00987D33">
      <w:pPr>
        <w:tabs>
          <w:tab w:val="left" w:pos="4860"/>
        </w:tabs>
        <w:spacing w:before="360"/>
        <w:rPr>
          <w:rFonts w:ascii="Calibri" w:eastAsia="Times New Roman" w:hAnsi="Calibri" w:cs="Tahoma"/>
          <w:color w:val="FF0000"/>
          <w:szCs w:val="24"/>
        </w:rPr>
      </w:pPr>
      <w:r>
        <w:rPr>
          <w:rFonts w:ascii="Calibri" w:eastAsia="Times New Roman" w:hAnsi="Calibri" w:cs="Tahoma"/>
          <w:sz w:val="24"/>
          <w:szCs w:val="24"/>
        </w:rPr>
        <w:t>Chart 2 and Table 1 show student enrollment, including early college, on a full-time equivalent (FTE) basis with 21,</w:t>
      </w:r>
      <w:r w:rsidR="00BB5ECA">
        <w:rPr>
          <w:rFonts w:ascii="Calibri" w:eastAsia="Times New Roman" w:hAnsi="Calibri" w:cs="Tahoma"/>
          <w:sz w:val="24"/>
          <w:szCs w:val="24"/>
        </w:rPr>
        <w:t>535</w:t>
      </w:r>
      <w:r>
        <w:rPr>
          <w:rFonts w:ascii="Calibri" w:eastAsia="Times New Roman" w:hAnsi="Calibri" w:cs="Tahoma"/>
          <w:sz w:val="24"/>
          <w:szCs w:val="24"/>
        </w:rPr>
        <w:t xml:space="preserve"> FTE students enrolled for the fall 202</w:t>
      </w:r>
      <w:r w:rsidR="00BB5ECA">
        <w:rPr>
          <w:rFonts w:ascii="Calibri" w:eastAsia="Times New Roman" w:hAnsi="Calibri" w:cs="Tahoma"/>
          <w:sz w:val="24"/>
          <w:szCs w:val="24"/>
        </w:rPr>
        <w:t>1</w:t>
      </w:r>
      <w:r>
        <w:rPr>
          <w:rFonts w:ascii="Calibri" w:eastAsia="Times New Roman" w:hAnsi="Calibri" w:cs="Tahoma"/>
          <w:sz w:val="24"/>
          <w:szCs w:val="24"/>
        </w:rPr>
        <w:t xml:space="preserve"> semester, down </w:t>
      </w:r>
      <w:r w:rsidR="0049002A">
        <w:rPr>
          <w:rFonts w:ascii="Calibri" w:eastAsia="Times New Roman" w:hAnsi="Calibri" w:cs="Tahoma"/>
          <w:sz w:val="24"/>
          <w:szCs w:val="24"/>
        </w:rPr>
        <w:t>0.4</w:t>
      </w:r>
      <w:r>
        <w:rPr>
          <w:rFonts w:ascii="Calibri" w:eastAsia="Times New Roman" w:hAnsi="Calibri" w:cs="Tahoma"/>
          <w:sz w:val="24"/>
          <w:szCs w:val="24"/>
        </w:rPr>
        <w:t>% from fall 20</w:t>
      </w:r>
      <w:r w:rsidR="0049002A">
        <w:rPr>
          <w:rFonts w:ascii="Calibri" w:eastAsia="Times New Roman" w:hAnsi="Calibri" w:cs="Tahoma"/>
          <w:sz w:val="24"/>
          <w:szCs w:val="24"/>
        </w:rPr>
        <w:t>20</w:t>
      </w:r>
      <w:r>
        <w:rPr>
          <w:rFonts w:ascii="Calibri" w:eastAsia="Times New Roman" w:hAnsi="Calibri" w:cs="Tahoma"/>
          <w:sz w:val="24"/>
          <w:szCs w:val="24"/>
        </w:rPr>
        <w:t xml:space="preserve"> and down 1.</w:t>
      </w:r>
      <w:r w:rsidR="0049002A">
        <w:rPr>
          <w:rFonts w:ascii="Calibri" w:eastAsia="Times New Roman" w:hAnsi="Calibri" w:cs="Tahoma"/>
          <w:sz w:val="24"/>
          <w:szCs w:val="24"/>
        </w:rPr>
        <w:t>3</w:t>
      </w:r>
      <w:r>
        <w:rPr>
          <w:rFonts w:ascii="Calibri" w:eastAsia="Times New Roman" w:hAnsi="Calibri" w:cs="Tahoma"/>
          <w:sz w:val="24"/>
          <w:szCs w:val="24"/>
        </w:rPr>
        <w:t>% from fall 201</w:t>
      </w:r>
      <w:r w:rsidR="0049002A">
        <w:rPr>
          <w:rFonts w:ascii="Calibri" w:eastAsia="Times New Roman" w:hAnsi="Calibri" w:cs="Tahoma"/>
          <w:sz w:val="24"/>
          <w:szCs w:val="24"/>
        </w:rPr>
        <w:t>7</w:t>
      </w:r>
      <w:r>
        <w:rPr>
          <w:rFonts w:ascii="Calibri" w:eastAsia="Times New Roman" w:hAnsi="Calibri" w:cs="Tahoma"/>
          <w:sz w:val="24"/>
          <w:szCs w:val="24"/>
        </w:rPr>
        <w:t>. For fall 202</w:t>
      </w:r>
      <w:r w:rsidR="0049002A">
        <w:rPr>
          <w:rFonts w:ascii="Calibri" w:eastAsia="Times New Roman" w:hAnsi="Calibri" w:cs="Tahoma"/>
          <w:sz w:val="24"/>
          <w:szCs w:val="24"/>
        </w:rPr>
        <w:t>1</w:t>
      </w:r>
      <w:r>
        <w:rPr>
          <w:rFonts w:ascii="Calibri" w:eastAsia="Times New Roman" w:hAnsi="Calibri" w:cs="Tahoma"/>
          <w:sz w:val="24"/>
          <w:szCs w:val="24"/>
        </w:rPr>
        <w:t xml:space="preserve">, </w:t>
      </w:r>
      <w:r w:rsidR="00287F46" w:rsidRPr="00721CFD">
        <w:rPr>
          <w:rFonts w:ascii="Calibri" w:eastAsia="Times New Roman" w:hAnsi="Calibri" w:cs="Tahoma"/>
          <w:sz w:val="24"/>
          <w:szCs w:val="24"/>
        </w:rPr>
        <w:t>71</w:t>
      </w:r>
      <w:r w:rsidRPr="00721CFD">
        <w:rPr>
          <w:rFonts w:ascii="Calibri" w:eastAsia="Times New Roman" w:hAnsi="Calibri" w:cs="Tahoma"/>
          <w:sz w:val="24"/>
          <w:szCs w:val="24"/>
        </w:rPr>
        <w:t>%</w:t>
      </w:r>
      <w:r>
        <w:rPr>
          <w:rFonts w:ascii="Calibri" w:eastAsia="Times New Roman" w:hAnsi="Calibri" w:cs="Tahoma"/>
          <w:sz w:val="24"/>
          <w:szCs w:val="24"/>
        </w:rPr>
        <w:t xml:space="preserve"> of FTE enrollments were from Maine residents compared to 7</w:t>
      </w:r>
      <w:r w:rsidR="000E63CB">
        <w:rPr>
          <w:rFonts w:ascii="Calibri" w:eastAsia="Times New Roman" w:hAnsi="Calibri" w:cs="Tahoma"/>
          <w:sz w:val="24"/>
          <w:szCs w:val="24"/>
        </w:rPr>
        <w:t>3</w:t>
      </w:r>
      <w:r>
        <w:rPr>
          <w:rFonts w:ascii="Calibri" w:eastAsia="Times New Roman" w:hAnsi="Calibri" w:cs="Tahoma"/>
          <w:sz w:val="24"/>
          <w:szCs w:val="24"/>
        </w:rPr>
        <w:t>% for fall 20</w:t>
      </w:r>
      <w:r w:rsidR="0049002A">
        <w:rPr>
          <w:rFonts w:ascii="Calibri" w:eastAsia="Times New Roman" w:hAnsi="Calibri" w:cs="Tahoma"/>
          <w:sz w:val="24"/>
          <w:szCs w:val="24"/>
        </w:rPr>
        <w:t>20</w:t>
      </w:r>
      <w:r>
        <w:rPr>
          <w:rFonts w:ascii="Calibri" w:eastAsia="Times New Roman" w:hAnsi="Calibri" w:cs="Tahoma"/>
          <w:sz w:val="24"/>
          <w:szCs w:val="24"/>
        </w:rPr>
        <w:t>.</w:t>
      </w:r>
    </w:p>
    <w:p w14:paraId="4A83B8ED" w14:textId="5A152E64" w:rsidR="00E575CF" w:rsidRDefault="000B4F29" w:rsidP="007840A5">
      <w:pPr>
        <w:tabs>
          <w:tab w:val="left" w:pos="4860"/>
          <w:tab w:val="left" w:pos="8280"/>
        </w:tabs>
        <w:spacing w:before="160" w:after="160"/>
        <w:jc w:val="center"/>
        <w:rPr>
          <w:b/>
          <w:sz w:val="28"/>
        </w:rPr>
      </w:pPr>
      <w:r w:rsidRPr="000B4F29">
        <w:rPr>
          <w:noProof/>
        </w:rPr>
        <w:lastRenderedPageBreak/>
        <w:t xml:space="preserve"> </w:t>
      </w:r>
      <w:r>
        <w:rPr>
          <w:noProof/>
        </w:rPr>
        <w:drawing>
          <wp:inline distT="0" distB="0" distL="0" distR="0" wp14:anchorId="4423C7B7" wp14:editId="19217295">
            <wp:extent cx="5486400" cy="3200400"/>
            <wp:effectExtent l="0" t="0" r="0" b="0"/>
            <wp:docPr id="24" name="Chart 24">
              <a:extLst xmlns:a="http://schemas.openxmlformats.org/drawingml/2006/main">
                <a:ext uri="{FF2B5EF4-FFF2-40B4-BE49-F238E27FC236}">
                  <a16:creationId xmlns:a16="http://schemas.microsoft.com/office/drawing/2014/main" id="{00000000-0008-0000-04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FFDDC3" w14:textId="2944ABE8" w:rsidR="00987D33" w:rsidRPr="00100DD0" w:rsidRDefault="00987D33" w:rsidP="00987D33">
      <w:pPr>
        <w:tabs>
          <w:tab w:val="left" w:pos="4860"/>
          <w:tab w:val="left" w:pos="8280"/>
        </w:tabs>
        <w:spacing w:before="360" w:after="160"/>
        <w:jc w:val="center"/>
        <w:rPr>
          <w:b/>
        </w:rPr>
      </w:pPr>
      <w:r w:rsidRPr="00100DD0">
        <w:rPr>
          <w:b/>
          <w:sz w:val="28"/>
        </w:rPr>
        <w:t>Table 1: Student FTE Enrollment</w:t>
      </w:r>
      <w:r>
        <w:rPr>
          <w:b/>
        </w:rPr>
        <w:fldChar w:fldCharType="begin"/>
      </w:r>
      <w:r w:rsidRPr="00100DD0">
        <w:rPr>
          <w:b/>
        </w:rPr>
        <w:instrText xml:space="preserve"> LINK Excel.Sheet.12 "\\\\wv-o-fs-sws1.sws.ad.maine.edu\\groupshares\\McMahan\\ACCTG DEPT - WRKG\\GL CLOSE WKPS\\YE CLOSE 2021\\YEFY21 WKPS\\Fin Stmts 21\\Annual Financial Report FY21\\2021 MD&amp;A Charts &amp; Tables\\C1.C2.T1 Fall Enroll 2020.xlsx" "Table 1-Report Version!R2C1:R10C12" \a \f 4 \h  \* MERGEFORMAT </w:instrText>
      </w:r>
      <w:r>
        <w:rPr>
          <w:b/>
        </w:rPr>
        <w:fldChar w:fldCharType="separate"/>
      </w:r>
    </w:p>
    <w:tbl>
      <w:tblPr>
        <w:tblW w:w="9360" w:type="dxa"/>
        <w:jc w:val="center"/>
        <w:tblLayout w:type="fixed"/>
        <w:tblCellMar>
          <w:left w:w="29" w:type="dxa"/>
          <w:right w:w="29" w:type="dxa"/>
        </w:tblCellMar>
        <w:tblLook w:val="04E0" w:firstRow="1" w:lastRow="1" w:firstColumn="1" w:lastColumn="0" w:noHBand="0" w:noVBand="1"/>
      </w:tblPr>
      <w:tblGrid>
        <w:gridCol w:w="680"/>
        <w:gridCol w:w="952"/>
        <w:gridCol w:w="770"/>
        <w:gridCol w:w="792"/>
        <w:gridCol w:w="741"/>
        <w:gridCol w:w="792"/>
        <w:gridCol w:w="737"/>
        <w:gridCol w:w="792"/>
        <w:gridCol w:w="768"/>
        <w:gridCol w:w="792"/>
        <w:gridCol w:w="752"/>
        <w:gridCol w:w="792"/>
      </w:tblGrid>
      <w:tr w:rsidR="00D10F67" w:rsidRPr="00653071" w14:paraId="3A57E819" w14:textId="77777777" w:rsidTr="001E6659">
        <w:trPr>
          <w:trHeight w:val="840"/>
          <w:jc w:val="center"/>
        </w:trPr>
        <w:tc>
          <w:tcPr>
            <w:tcW w:w="712" w:type="dxa"/>
            <w:tcBorders>
              <w:top w:val="nil"/>
              <w:left w:val="nil"/>
              <w:bottom w:val="nil"/>
              <w:right w:val="nil"/>
            </w:tcBorders>
            <w:shd w:val="clear" w:color="000000" w:fill="FFFFFF"/>
            <w:noWrap/>
            <w:vAlign w:val="bottom"/>
          </w:tcPr>
          <w:p w14:paraId="2DEB6F63" w14:textId="77E979AE" w:rsidR="00D10F67" w:rsidRPr="001E6659" w:rsidRDefault="00D10F67" w:rsidP="001E6659">
            <w:pPr>
              <w:jc w:val="center"/>
              <w:rPr>
                <w:rFonts w:ascii="Calibri" w:eastAsia="Times New Roman" w:hAnsi="Calibri" w:cs="Calibri"/>
                <w:sz w:val="19"/>
                <w:szCs w:val="19"/>
              </w:rPr>
            </w:pPr>
          </w:p>
        </w:tc>
        <w:tc>
          <w:tcPr>
            <w:tcW w:w="998" w:type="dxa"/>
            <w:tcBorders>
              <w:top w:val="nil"/>
              <w:left w:val="nil"/>
              <w:bottom w:val="nil"/>
              <w:right w:val="nil"/>
            </w:tcBorders>
            <w:shd w:val="clear" w:color="000000" w:fill="FFFFFF"/>
            <w:vAlign w:val="bottom"/>
          </w:tcPr>
          <w:p w14:paraId="3C1CF205" w14:textId="5B5C33F9" w:rsidR="00D10F67" w:rsidRPr="001E6659" w:rsidRDefault="00D10F67">
            <w:pPr>
              <w:jc w:val="center"/>
              <w:rPr>
                <w:rFonts w:ascii="Calibri" w:eastAsia="Times New Roman" w:hAnsi="Calibri" w:cs="Calibri"/>
                <w:b/>
                <w:bCs/>
                <w:sz w:val="19"/>
                <w:szCs w:val="19"/>
              </w:rPr>
            </w:pPr>
            <w:r w:rsidRPr="001E6659">
              <w:rPr>
                <w:rFonts w:ascii="Calibri" w:hAnsi="Calibri" w:cs="Calibri"/>
                <w:b/>
                <w:bCs/>
                <w:color w:val="000000"/>
                <w:sz w:val="19"/>
                <w:szCs w:val="19"/>
              </w:rPr>
              <w:t xml:space="preserve">% Change </w:t>
            </w:r>
            <w:r w:rsidRPr="001E6659">
              <w:rPr>
                <w:rFonts w:ascii="Calibri" w:hAnsi="Calibri" w:cs="Calibri"/>
                <w:b/>
                <w:bCs/>
                <w:color w:val="000000"/>
                <w:sz w:val="19"/>
                <w:szCs w:val="19"/>
              </w:rPr>
              <w:br/>
              <w:t xml:space="preserve">Fall 2017 </w:t>
            </w:r>
            <w:r w:rsidRPr="001E6659">
              <w:rPr>
                <w:rFonts w:ascii="Calibri" w:hAnsi="Calibri" w:cs="Calibri"/>
                <w:b/>
                <w:bCs/>
                <w:color w:val="000000"/>
                <w:sz w:val="19"/>
                <w:szCs w:val="19"/>
              </w:rPr>
              <w:br/>
              <w:t>to 2021</w:t>
            </w:r>
          </w:p>
        </w:tc>
        <w:tc>
          <w:tcPr>
            <w:tcW w:w="808" w:type="dxa"/>
            <w:tcBorders>
              <w:top w:val="nil"/>
              <w:left w:val="nil"/>
              <w:bottom w:val="nil"/>
              <w:right w:val="nil"/>
            </w:tcBorders>
            <w:shd w:val="clear" w:color="000000" w:fill="FFFFFF"/>
            <w:vAlign w:val="bottom"/>
          </w:tcPr>
          <w:p w14:paraId="3D7D877A" w14:textId="7B42C526" w:rsidR="00D10F67" w:rsidRPr="001E6659" w:rsidRDefault="00D10F67">
            <w:pPr>
              <w:jc w:val="center"/>
              <w:rPr>
                <w:rFonts w:ascii="Calibri" w:eastAsia="Times New Roman" w:hAnsi="Calibri" w:cs="Calibri"/>
                <w:b/>
                <w:bCs/>
                <w:sz w:val="19"/>
                <w:szCs w:val="19"/>
              </w:rPr>
            </w:pPr>
            <w:r w:rsidRPr="001E6659">
              <w:rPr>
                <w:rFonts w:ascii="Calibri" w:hAnsi="Calibri" w:cs="Calibri"/>
                <w:b/>
                <w:bCs/>
                <w:color w:val="000000"/>
                <w:sz w:val="19"/>
                <w:szCs w:val="19"/>
              </w:rPr>
              <w:t>Fall 2021</w:t>
            </w:r>
          </w:p>
        </w:tc>
        <w:tc>
          <w:tcPr>
            <w:tcW w:w="831" w:type="dxa"/>
            <w:tcBorders>
              <w:top w:val="nil"/>
              <w:left w:val="nil"/>
              <w:bottom w:val="nil"/>
              <w:right w:val="nil"/>
            </w:tcBorders>
            <w:shd w:val="clear" w:color="000000" w:fill="FFFFFF"/>
            <w:vAlign w:val="bottom"/>
          </w:tcPr>
          <w:p w14:paraId="13C32F1C" w14:textId="4B924002" w:rsidR="00D10F67" w:rsidRPr="001E6659" w:rsidRDefault="00D10F67">
            <w:pPr>
              <w:jc w:val="center"/>
              <w:rPr>
                <w:rFonts w:ascii="Calibri" w:eastAsia="Times New Roman" w:hAnsi="Calibri" w:cs="Calibri"/>
                <w:b/>
                <w:bCs/>
                <w:sz w:val="19"/>
                <w:szCs w:val="19"/>
              </w:rPr>
            </w:pPr>
            <w:r w:rsidRPr="001E6659">
              <w:rPr>
                <w:rFonts w:ascii="Calibri" w:hAnsi="Calibri" w:cs="Calibri"/>
                <w:b/>
                <w:bCs/>
                <w:color w:val="000000"/>
                <w:sz w:val="19"/>
                <w:szCs w:val="19"/>
              </w:rPr>
              <w:t>% Change</w:t>
            </w:r>
          </w:p>
        </w:tc>
        <w:tc>
          <w:tcPr>
            <w:tcW w:w="777" w:type="dxa"/>
            <w:tcBorders>
              <w:top w:val="nil"/>
              <w:left w:val="nil"/>
              <w:bottom w:val="nil"/>
              <w:right w:val="nil"/>
            </w:tcBorders>
            <w:shd w:val="clear" w:color="000000" w:fill="FFFFFF"/>
            <w:vAlign w:val="bottom"/>
          </w:tcPr>
          <w:p w14:paraId="41F30C34" w14:textId="44AE7AA5" w:rsidR="00D10F67" w:rsidRPr="001E6659" w:rsidRDefault="00D10F67">
            <w:pPr>
              <w:jc w:val="center"/>
              <w:rPr>
                <w:rFonts w:ascii="Calibri" w:eastAsia="Times New Roman" w:hAnsi="Calibri" w:cs="Calibri"/>
                <w:b/>
                <w:bCs/>
                <w:sz w:val="19"/>
                <w:szCs w:val="19"/>
              </w:rPr>
            </w:pPr>
            <w:r w:rsidRPr="001E6659">
              <w:rPr>
                <w:rFonts w:ascii="Calibri" w:hAnsi="Calibri" w:cs="Calibri"/>
                <w:b/>
                <w:bCs/>
                <w:color w:val="000000"/>
                <w:sz w:val="19"/>
                <w:szCs w:val="19"/>
              </w:rPr>
              <w:t>Fall 2020</w:t>
            </w:r>
          </w:p>
        </w:tc>
        <w:tc>
          <w:tcPr>
            <w:tcW w:w="831" w:type="dxa"/>
            <w:tcBorders>
              <w:top w:val="nil"/>
              <w:left w:val="nil"/>
              <w:bottom w:val="nil"/>
              <w:right w:val="nil"/>
            </w:tcBorders>
            <w:shd w:val="clear" w:color="000000" w:fill="FFFFFF"/>
            <w:vAlign w:val="bottom"/>
          </w:tcPr>
          <w:p w14:paraId="24280839" w14:textId="74A3F7AF" w:rsidR="00D10F67" w:rsidRPr="001E6659" w:rsidRDefault="00D10F67">
            <w:pPr>
              <w:jc w:val="center"/>
              <w:rPr>
                <w:rFonts w:ascii="Calibri" w:eastAsia="Times New Roman" w:hAnsi="Calibri" w:cs="Calibri"/>
                <w:b/>
                <w:bCs/>
                <w:sz w:val="19"/>
                <w:szCs w:val="19"/>
              </w:rPr>
            </w:pPr>
            <w:r w:rsidRPr="001E6659">
              <w:rPr>
                <w:rFonts w:ascii="Calibri" w:hAnsi="Calibri" w:cs="Calibri"/>
                <w:b/>
                <w:bCs/>
                <w:color w:val="000000"/>
                <w:sz w:val="19"/>
                <w:szCs w:val="19"/>
              </w:rPr>
              <w:t>% Change</w:t>
            </w:r>
          </w:p>
        </w:tc>
        <w:tc>
          <w:tcPr>
            <w:tcW w:w="773" w:type="dxa"/>
            <w:tcBorders>
              <w:top w:val="nil"/>
              <w:left w:val="nil"/>
              <w:bottom w:val="nil"/>
              <w:right w:val="nil"/>
            </w:tcBorders>
            <w:shd w:val="clear" w:color="000000" w:fill="FFFFFF"/>
            <w:vAlign w:val="bottom"/>
          </w:tcPr>
          <w:p w14:paraId="2ED04AAD" w14:textId="5161FC6B" w:rsidR="00D10F67" w:rsidRPr="001E6659" w:rsidRDefault="00D10F67">
            <w:pPr>
              <w:jc w:val="center"/>
              <w:rPr>
                <w:rFonts w:ascii="Calibri" w:eastAsia="Times New Roman" w:hAnsi="Calibri" w:cs="Calibri"/>
                <w:b/>
                <w:bCs/>
                <w:sz w:val="19"/>
                <w:szCs w:val="19"/>
              </w:rPr>
            </w:pPr>
            <w:r w:rsidRPr="001E6659">
              <w:rPr>
                <w:rFonts w:ascii="Calibri" w:hAnsi="Calibri" w:cs="Calibri"/>
                <w:b/>
                <w:bCs/>
                <w:color w:val="000000"/>
                <w:sz w:val="19"/>
                <w:szCs w:val="19"/>
              </w:rPr>
              <w:t>Fall</w:t>
            </w:r>
            <w:r w:rsidRPr="001E6659">
              <w:rPr>
                <w:rFonts w:ascii="Calibri" w:hAnsi="Calibri" w:cs="Calibri"/>
                <w:b/>
                <w:bCs/>
                <w:color w:val="000000"/>
                <w:sz w:val="19"/>
                <w:szCs w:val="19"/>
              </w:rPr>
              <w:br/>
              <w:t>2019</w:t>
            </w:r>
          </w:p>
        </w:tc>
        <w:tc>
          <w:tcPr>
            <w:tcW w:w="831" w:type="dxa"/>
            <w:tcBorders>
              <w:top w:val="nil"/>
              <w:left w:val="nil"/>
              <w:bottom w:val="nil"/>
              <w:right w:val="nil"/>
            </w:tcBorders>
            <w:shd w:val="clear" w:color="000000" w:fill="FFFFFF"/>
            <w:vAlign w:val="bottom"/>
          </w:tcPr>
          <w:p w14:paraId="07CD8BC5" w14:textId="371D7AD9" w:rsidR="00D10F67" w:rsidRPr="001E6659" w:rsidRDefault="00D10F67">
            <w:pPr>
              <w:jc w:val="center"/>
              <w:rPr>
                <w:rFonts w:ascii="Calibri" w:eastAsia="Times New Roman" w:hAnsi="Calibri" w:cs="Calibri"/>
                <w:b/>
                <w:bCs/>
                <w:sz w:val="19"/>
                <w:szCs w:val="19"/>
              </w:rPr>
            </w:pPr>
            <w:r w:rsidRPr="001E6659">
              <w:rPr>
                <w:rFonts w:ascii="Calibri" w:hAnsi="Calibri" w:cs="Calibri"/>
                <w:b/>
                <w:bCs/>
                <w:color w:val="000000"/>
                <w:sz w:val="19"/>
                <w:szCs w:val="19"/>
              </w:rPr>
              <w:t>%</w:t>
            </w:r>
            <w:r w:rsidRPr="001E6659">
              <w:rPr>
                <w:rFonts w:ascii="Calibri" w:hAnsi="Calibri" w:cs="Calibri"/>
                <w:b/>
                <w:bCs/>
                <w:color w:val="000000"/>
                <w:sz w:val="19"/>
                <w:szCs w:val="19"/>
              </w:rPr>
              <w:br/>
              <w:t>Change</w:t>
            </w:r>
          </w:p>
        </w:tc>
        <w:tc>
          <w:tcPr>
            <w:tcW w:w="805" w:type="dxa"/>
            <w:tcBorders>
              <w:top w:val="nil"/>
              <w:left w:val="nil"/>
              <w:bottom w:val="nil"/>
              <w:right w:val="nil"/>
            </w:tcBorders>
            <w:shd w:val="clear" w:color="000000" w:fill="FFFFFF"/>
            <w:vAlign w:val="bottom"/>
          </w:tcPr>
          <w:p w14:paraId="7377AB87" w14:textId="00FEB8D8" w:rsidR="00D10F67" w:rsidRPr="001E6659" w:rsidRDefault="00D10F67">
            <w:pPr>
              <w:jc w:val="center"/>
              <w:rPr>
                <w:rFonts w:ascii="Calibri" w:eastAsia="Times New Roman" w:hAnsi="Calibri" w:cs="Calibri"/>
                <w:b/>
                <w:bCs/>
                <w:sz w:val="19"/>
                <w:szCs w:val="19"/>
              </w:rPr>
            </w:pPr>
            <w:r w:rsidRPr="001E6659">
              <w:rPr>
                <w:rFonts w:ascii="Calibri" w:hAnsi="Calibri" w:cs="Calibri"/>
                <w:b/>
                <w:bCs/>
                <w:color w:val="000000"/>
                <w:sz w:val="19"/>
                <w:szCs w:val="19"/>
              </w:rPr>
              <w:t>Fall</w:t>
            </w:r>
            <w:r w:rsidRPr="001E6659">
              <w:rPr>
                <w:rFonts w:ascii="Calibri" w:hAnsi="Calibri" w:cs="Calibri"/>
                <w:b/>
                <w:bCs/>
                <w:color w:val="000000"/>
                <w:sz w:val="19"/>
                <w:szCs w:val="19"/>
              </w:rPr>
              <w:br/>
              <w:t>2018</w:t>
            </w:r>
          </w:p>
        </w:tc>
        <w:tc>
          <w:tcPr>
            <w:tcW w:w="831" w:type="dxa"/>
            <w:tcBorders>
              <w:top w:val="nil"/>
              <w:left w:val="nil"/>
              <w:bottom w:val="nil"/>
              <w:right w:val="nil"/>
            </w:tcBorders>
            <w:shd w:val="clear" w:color="000000" w:fill="FFFFFF"/>
            <w:vAlign w:val="bottom"/>
          </w:tcPr>
          <w:p w14:paraId="50FC4544" w14:textId="4705DA0F" w:rsidR="00D10F67" w:rsidRPr="001E6659" w:rsidRDefault="00D10F67">
            <w:pPr>
              <w:jc w:val="center"/>
              <w:rPr>
                <w:rFonts w:ascii="Calibri" w:eastAsia="Times New Roman" w:hAnsi="Calibri" w:cs="Calibri"/>
                <w:b/>
                <w:bCs/>
                <w:sz w:val="19"/>
                <w:szCs w:val="19"/>
              </w:rPr>
            </w:pPr>
            <w:r w:rsidRPr="001E6659">
              <w:rPr>
                <w:rFonts w:ascii="Calibri" w:hAnsi="Calibri" w:cs="Calibri"/>
                <w:b/>
                <w:bCs/>
                <w:color w:val="000000"/>
                <w:sz w:val="19"/>
                <w:szCs w:val="19"/>
              </w:rPr>
              <w:t>%</w:t>
            </w:r>
            <w:r w:rsidRPr="001E6659">
              <w:rPr>
                <w:rFonts w:ascii="Calibri" w:hAnsi="Calibri" w:cs="Calibri"/>
                <w:b/>
                <w:bCs/>
                <w:color w:val="000000"/>
                <w:sz w:val="19"/>
                <w:szCs w:val="19"/>
              </w:rPr>
              <w:br/>
              <w:t>Change</w:t>
            </w:r>
          </w:p>
        </w:tc>
        <w:tc>
          <w:tcPr>
            <w:tcW w:w="789" w:type="dxa"/>
            <w:tcBorders>
              <w:top w:val="nil"/>
              <w:left w:val="nil"/>
              <w:bottom w:val="nil"/>
              <w:right w:val="nil"/>
            </w:tcBorders>
            <w:shd w:val="clear" w:color="000000" w:fill="FFFFFF"/>
            <w:vAlign w:val="bottom"/>
          </w:tcPr>
          <w:p w14:paraId="78FA18D7" w14:textId="468B5601" w:rsidR="00D10F67" w:rsidRPr="001E6659" w:rsidRDefault="00D10F67">
            <w:pPr>
              <w:jc w:val="center"/>
              <w:rPr>
                <w:rFonts w:ascii="Calibri" w:eastAsia="Times New Roman" w:hAnsi="Calibri" w:cs="Calibri"/>
                <w:b/>
                <w:bCs/>
                <w:sz w:val="19"/>
                <w:szCs w:val="19"/>
              </w:rPr>
            </w:pPr>
            <w:r w:rsidRPr="001E6659">
              <w:rPr>
                <w:rFonts w:ascii="Calibri" w:hAnsi="Calibri" w:cs="Calibri"/>
                <w:b/>
                <w:bCs/>
                <w:color w:val="000000"/>
                <w:sz w:val="19"/>
                <w:szCs w:val="19"/>
              </w:rPr>
              <w:t xml:space="preserve">Fall </w:t>
            </w:r>
            <w:r w:rsidRPr="001E6659">
              <w:rPr>
                <w:rFonts w:ascii="Calibri" w:hAnsi="Calibri" w:cs="Calibri"/>
                <w:b/>
                <w:bCs/>
                <w:color w:val="000000"/>
                <w:sz w:val="19"/>
                <w:szCs w:val="19"/>
              </w:rPr>
              <w:br/>
              <w:t>2017</w:t>
            </w:r>
          </w:p>
        </w:tc>
        <w:tc>
          <w:tcPr>
            <w:tcW w:w="831" w:type="dxa"/>
            <w:tcBorders>
              <w:top w:val="nil"/>
              <w:left w:val="nil"/>
              <w:bottom w:val="nil"/>
              <w:right w:val="nil"/>
            </w:tcBorders>
            <w:shd w:val="clear" w:color="000000" w:fill="FFFFFF"/>
            <w:vAlign w:val="bottom"/>
          </w:tcPr>
          <w:p w14:paraId="2D97F9D3" w14:textId="6A6F4086" w:rsidR="00D10F67" w:rsidRPr="001E6659" w:rsidRDefault="00D10F67">
            <w:pPr>
              <w:jc w:val="center"/>
              <w:rPr>
                <w:rFonts w:ascii="Calibri" w:eastAsia="Times New Roman" w:hAnsi="Calibri" w:cs="Calibri"/>
                <w:b/>
                <w:bCs/>
                <w:sz w:val="19"/>
                <w:szCs w:val="19"/>
              </w:rPr>
            </w:pPr>
            <w:r w:rsidRPr="001E6659">
              <w:rPr>
                <w:rFonts w:ascii="Calibri" w:hAnsi="Calibri" w:cs="Calibri"/>
                <w:b/>
                <w:bCs/>
                <w:color w:val="000000"/>
                <w:sz w:val="19"/>
                <w:szCs w:val="19"/>
              </w:rPr>
              <w:t>%</w:t>
            </w:r>
            <w:r w:rsidRPr="001E6659">
              <w:rPr>
                <w:rFonts w:ascii="Calibri" w:hAnsi="Calibri" w:cs="Calibri"/>
                <w:b/>
                <w:bCs/>
                <w:color w:val="000000"/>
                <w:sz w:val="19"/>
                <w:szCs w:val="19"/>
              </w:rPr>
              <w:br/>
              <w:t>Change</w:t>
            </w:r>
          </w:p>
        </w:tc>
      </w:tr>
      <w:tr w:rsidR="00D10F67" w:rsidRPr="00653071" w14:paraId="10616ECB" w14:textId="77777777" w:rsidTr="001E6659">
        <w:trPr>
          <w:trHeight w:val="288"/>
          <w:jc w:val="center"/>
        </w:trPr>
        <w:tc>
          <w:tcPr>
            <w:tcW w:w="712" w:type="dxa"/>
            <w:tcBorders>
              <w:top w:val="single" w:sz="8" w:space="0" w:color="00688D"/>
              <w:left w:val="nil"/>
              <w:bottom w:val="nil"/>
              <w:right w:val="nil"/>
            </w:tcBorders>
            <w:shd w:val="clear" w:color="000000" w:fill="FFFFFF"/>
            <w:noWrap/>
            <w:vAlign w:val="bottom"/>
          </w:tcPr>
          <w:p w14:paraId="596FD5C1" w14:textId="490B3E8E" w:rsidR="00D10F67" w:rsidRPr="001E6659" w:rsidRDefault="00D10F67" w:rsidP="00D10F67">
            <w:pPr>
              <w:rPr>
                <w:rFonts w:ascii="Calibri" w:eastAsia="Times New Roman" w:hAnsi="Calibri" w:cs="Calibri"/>
                <w:sz w:val="19"/>
                <w:szCs w:val="19"/>
              </w:rPr>
            </w:pPr>
            <w:r w:rsidRPr="001E6659">
              <w:rPr>
                <w:rFonts w:ascii="Calibri" w:hAnsi="Calibri" w:cs="Calibri"/>
                <w:sz w:val="19"/>
                <w:szCs w:val="19"/>
              </w:rPr>
              <w:t>UM</w:t>
            </w:r>
          </w:p>
        </w:tc>
        <w:tc>
          <w:tcPr>
            <w:tcW w:w="998" w:type="dxa"/>
            <w:tcBorders>
              <w:top w:val="single" w:sz="8" w:space="0" w:color="00688D"/>
              <w:left w:val="single" w:sz="4" w:space="0" w:color="00688D"/>
              <w:bottom w:val="nil"/>
              <w:right w:val="single" w:sz="4" w:space="0" w:color="00688D"/>
            </w:tcBorders>
            <w:shd w:val="clear" w:color="000000" w:fill="D9D9D9"/>
            <w:noWrap/>
            <w:vAlign w:val="bottom"/>
          </w:tcPr>
          <w:p w14:paraId="326842AD" w14:textId="4F6B9A50"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i/>
                <w:iCs/>
                <w:sz w:val="19"/>
                <w:szCs w:val="19"/>
              </w:rPr>
              <w:t>0.5%</w:t>
            </w:r>
          </w:p>
        </w:tc>
        <w:tc>
          <w:tcPr>
            <w:tcW w:w="808" w:type="dxa"/>
            <w:tcBorders>
              <w:top w:val="single" w:sz="8" w:space="0" w:color="00688D"/>
              <w:left w:val="nil"/>
              <w:bottom w:val="nil"/>
              <w:right w:val="nil"/>
            </w:tcBorders>
            <w:shd w:val="clear" w:color="000000" w:fill="FFFFFF"/>
            <w:noWrap/>
            <w:vAlign w:val="bottom"/>
          </w:tcPr>
          <w:p w14:paraId="64D2C076" w14:textId="6E0BC8E6"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9,926</w:t>
            </w:r>
          </w:p>
        </w:tc>
        <w:tc>
          <w:tcPr>
            <w:tcW w:w="831" w:type="dxa"/>
            <w:tcBorders>
              <w:top w:val="single" w:sz="8" w:space="0" w:color="00688D"/>
              <w:left w:val="nil"/>
              <w:bottom w:val="nil"/>
              <w:right w:val="nil"/>
            </w:tcBorders>
            <w:shd w:val="clear" w:color="000000" w:fill="D9D9D9"/>
            <w:noWrap/>
            <w:vAlign w:val="bottom"/>
          </w:tcPr>
          <w:p w14:paraId="042E5200" w14:textId="55271797"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1.6%</w:t>
            </w:r>
          </w:p>
        </w:tc>
        <w:tc>
          <w:tcPr>
            <w:tcW w:w="777" w:type="dxa"/>
            <w:tcBorders>
              <w:top w:val="single" w:sz="8" w:space="0" w:color="00688D"/>
              <w:left w:val="nil"/>
              <w:bottom w:val="nil"/>
              <w:right w:val="nil"/>
            </w:tcBorders>
            <w:shd w:val="clear" w:color="000000" w:fill="FFFFFF"/>
            <w:noWrap/>
            <w:vAlign w:val="bottom"/>
          </w:tcPr>
          <w:p w14:paraId="000C8965" w14:textId="57C0D565"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9,773</w:t>
            </w:r>
          </w:p>
        </w:tc>
        <w:tc>
          <w:tcPr>
            <w:tcW w:w="831" w:type="dxa"/>
            <w:tcBorders>
              <w:top w:val="single" w:sz="8" w:space="0" w:color="00688D"/>
              <w:left w:val="nil"/>
              <w:bottom w:val="nil"/>
              <w:right w:val="nil"/>
            </w:tcBorders>
            <w:shd w:val="clear" w:color="000000" w:fill="D9D9D9"/>
            <w:noWrap/>
            <w:vAlign w:val="bottom"/>
          </w:tcPr>
          <w:p w14:paraId="7BFF8E6D" w14:textId="1BC75FDB"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-0.1%</w:t>
            </w:r>
          </w:p>
        </w:tc>
        <w:tc>
          <w:tcPr>
            <w:tcW w:w="773" w:type="dxa"/>
            <w:tcBorders>
              <w:top w:val="single" w:sz="8" w:space="0" w:color="00688D"/>
              <w:left w:val="nil"/>
              <w:bottom w:val="nil"/>
              <w:right w:val="nil"/>
            </w:tcBorders>
            <w:shd w:val="clear" w:color="000000" w:fill="FFFFFF"/>
            <w:noWrap/>
            <w:vAlign w:val="bottom"/>
          </w:tcPr>
          <w:p w14:paraId="1607E848" w14:textId="4AB51812"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9,782</w:t>
            </w:r>
          </w:p>
        </w:tc>
        <w:tc>
          <w:tcPr>
            <w:tcW w:w="831" w:type="dxa"/>
            <w:tcBorders>
              <w:top w:val="single" w:sz="8" w:space="0" w:color="00688D"/>
              <w:left w:val="nil"/>
              <w:bottom w:val="nil"/>
              <w:right w:val="nil"/>
            </w:tcBorders>
            <w:shd w:val="clear" w:color="000000" w:fill="D9D9D9"/>
            <w:noWrap/>
            <w:vAlign w:val="bottom"/>
          </w:tcPr>
          <w:p w14:paraId="4866DD02" w14:textId="20693745"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0.3%</w:t>
            </w:r>
          </w:p>
        </w:tc>
        <w:tc>
          <w:tcPr>
            <w:tcW w:w="805" w:type="dxa"/>
            <w:tcBorders>
              <w:top w:val="single" w:sz="8" w:space="0" w:color="00688D"/>
              <w:left w:val="nil"/>
              <w:bottom w:val="nil"/>
              <w:right w:val="nil"/>
            </w:tcBorders>
            <w:shd w:val="clear" w:color="000000" w:fill="FFFFFF"/>
            <w:noWrap/>
            <w:vAlign w:val="bottom"/>
          </w:tcPr>
          <w:p w14:paraId="2D39812D" w14:textId="7F7A058A"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9,750</w:t>
            </w:r>
          </w:p>
        </w:tc>
        <w:tc>
          <w:tcPr>
            <w:tcW w:w="831" w:type="dxa"/>
            <w:tcBorders>
              <w:top w:val="single" w:sz="8" w:space="0" w:color="00688D"/>
              <w:left w:val="nil"/>
              <w:bottom w:val="nil"/>
              <w:right w:val="nil"/>
            </w:tcBorders>
            <w:shd w:val="clear" w:color="000000" w:fill="D9D9D9"/>
            <w:noWrap/>
            <w:vAlign w:val="bottom"/>
          </w:tcPr>
          <w:p w14:paraId="121D60F6" w14:textId="0733772C"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0.3%</w:t>
            </w:r>
          </w:p>
        </w:tc>
        <w:tc>
          <w:tcPr>
            <w:tcW w:w="789" w:type="dxa"/>
            <w:tcBorders>
              <w:top w:val="single" w:sz="8" w:space="0" w:color="00688D"/>
              <w:left w:val="nil"/>
              <w:bottom w:val="nil"/>
              <w:right w:val="nil"/>
            </w:tcBorders>
            <w:shd w:val="clear" w:color="000000" w:fill="FFFFFF"/>
            <w:noWrap/>
            <w:vAlign w:val="bottom"/>
          </w:tcPr>
          <w:p w14:paraId="0C1D6708" w14:textId="5C6F8629"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9,720</w:t>
            </w:r>
          </w:p>
        </w:tc>
        <w:tc>
          <w:tcPr>
            <w:tcW w:w="831" w:type="dxa"/>
            <w:tcBorders>
              <w:top w:val="single" w:sz="8" w:space="0" w:color="00688D"/>
              <w:left w:val="nil"/>
              <w:bottom w:val="nil"/>
              <w:right w:val="nil"/>
            </w:tcBorders>
            <w:shd w:val="clear" w:color="000000" w:fill="D9D9D9"/>
            <w:noWrap/>
            <w:vAlign w:val="bottom"/>
          </w:tcPr>
          <w:p w14:paraId="5F065115" w14:textId="3D7AAF0F"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1.3%</w:t>
            </w:r>
          </w:p>
        </w:tc>
      </w:tr>
      <w:tr w:rsidR="00D10F67" w:rsidRPr="00653071" w14:paraId="65FA93FB" w14:textId="77777777" w:rsidTr="001E6659">
        <w:trPr>
          <w:trHeight w:val="288"/>
          <w:jc w:val="center"/>
        </w:trPr>
        <w:tc>
          <w:tcPr>
            <w:tcW w:w="712" w:type="dxa"/>
            <w:tcBorders>
              <w:top w:val="nil"/>
              <w:left w:val="nil"/>
              <w:bottom w:val="nil"/>
              <w:right w:val="nil"/>
            </w:tcBorders>
            <w:shd w:val="clear" w:color="000000" w:fill="FFFFFF"/>
            <w:noWrap/>
            <w:vAlign w:val="bottom"/>
          </w:tcPr>
          <w:p w14:paraId="04E42543" w14:textId="269A95F6" w:rsidR="00D10F67" w:rsidRPr="001E6659" w:rsidRDefault="00D10F67" w:rsidP="00D10F67">
            <w:pPr>
              <w:rPr>
                <w:rFonts w:ascii="Calibri" w:eastAsia="Times New Roman" w:hAnsi="Calibri" w:cs="Calibri"/>
                <w:sz w:val="19"/>
                <w:szCs w:val="19"/>
              </w:rPr>
            </w:pPr>
            <w:r w:rsidRPr="001E6659">
              <w:rPr>
                <w:rFonts w:ascii="Calibri" w:hAnsi="Calibri" w:cs="Calibri"/>
                <w:sz w:val="19"/>
                <w:szCs w:val="19"/>
              </w:rPr>
              <w:t>UMA</w:t>
            </w:r>
          </w:p>
        </w:tc>
        <w:tc>
          <w:tcPr>
            <w:tcW w:w="998" w:type="dxa"/>
            <w:tcBorders>
              <w:top w:val="nil"/>
              <w:left w:val="single" w:sz="4" w:space="0" w:color="00688D"/>
              <w:bottom w:val="nil"/>
              <w:right w:val="single" w:sz="4" w:space="0" w:color="00688D"/>
            </w:tcBorders>
            <w:shd w:val="clear" w:color="000000" w:fill="D9D9D9"/>
            <w:noWrap/>
            <w:vAlign w:val="bottom"/>
          </w:tcPr>
          <w:p w14:paraId="3F7621B4" w14:textId="1377CB19"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i/>
                <w:iCs/>
                <w:sz w:val="19"/>
                <w:szCs w:val="19"/>
              </w:rPr>
              <w:t>6.2%</w:t>
            </w:r>
          </w:p>
        </w:tc>
        <w:tc>
          <w:tcPr>
            <w:tcW w:w="808" w:type="dxa"/>
            <w:tcBorders>
              <w:top w:val="nil"/>
              <w:left w:val="nil"/>
              <w:bottom w:val="nil"/>
              <w:right w:val="nil"/>
            </w:tcBorders>
            <w:shd w:val="clear" w:color="000000" w:fill="FFFFFF"/>
            <w:noWrap/>
            <w:vAlign w:val="bottom"/>
          </w:tcPr>
          <w:p w14:paraId="31F7D03B" w14:textId="75B7318E"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2,358</w:t>
            </w:r>
          </w:p>
        </w:tc>
        <w:tc>
          <w:tcPr>
            <w:tcW w:w="831" w:type="dxa"/>
            <w:tcBorders>
              <w:top w:val="nil"/>
              <w:left w:val="nil"/>
              <w:bottom w:val="nil"/>
              <w:right w:val="nil"/>
            </w:tcBorders>
            <w:shd w:val="clear" w:color="000000" w:fill="D9D9D9"/>
            <w:noWrap/>
            <w:vAlign w:val="bottom"/>
          </w:tcPr>
          <w:p w14:paraId="0AFC391C" w14:textId="0FF50CA0"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2.3%</w:t>
            </w:r>
          </w:p>
        </w:tc>
        <w:tc>
          <w:tcPr>
            <w:tcW w:w="777" w:type="dxa"/>
            <w:tcBorders>
              <w:top w:val="nil"/>
              <w:left w:val="nil"/>
              <w:bottom w:val="nil"/>
              <w:right w:val="nil"/>
            </w:tcBorders>
            <w:shd w:val="clear" w:color="000000" w:fill="FFFFFF"/>
            <w:noWrap/>
            <w:vAlign w:val="bottom"/>
          </w:tcPr>
          <w:p w14:paraId="09279A34" w14:textId="46F2094D"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2,304</w:t>
            </w:r>
          </w:p>
        </w:tc>
        <w:tc>
          <w:tcPr>
            <w:tcW w:w="831" w:type="dxa"/>
            <w:tcBorders>
              <w:top w:val="nil"/>
              <w:left w:val="nil"/>
              <w:bottom w:val="nil"/>
              <w:right w:val="nil"/>
            </w:tcBorders>
            <w:shd w:val="clear" w:color="000000" w:fill="D9D9D9"/>
            <w:noWrap/>
            <w:vAlign w:val="bottom"/>
          </w:tcPr>
          <w:p w14:paraId="4F5364C0" w14:textId="4E5BAB22"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-1.3%</w:t>
            </w:r>
          </w:p>
        </w:tc>
        <w:tc>
          <w:tcPr>
            <w:tcW w:w="773" w:type="dxa"/>
            <w:tcBorders>
              <w:top w:val="nil"/>
              <w:left w:val="nil"/>
              <w:bottom w:val="nil"/>
              <w:right w:val="nil"/>
            </w:tcBorders>
            <w:shd w:val="clear" w:color="000000" w:fill="FFFFFF"/>
            <w:noWrap/>
            <w:vAlign w:val="bottom"/>
          </w:tcPr>
          <w:p w14:paraId="4D4D0BDE" w14:textId="2DC1213A"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2,335</w:t>
            </w:r>
          </w:p>
        </w:tc>
        <w:tc>
          <w:tcPr>
            <w:tcW w:w="831" w:type="dxa"/>
            <w:tcBorders>
              <w:top w:val="nil"/>
              <w:left w:val="nil"/>
              <w:bottom w:val="nil"/>
              <w:right w:val="nil"/>
            </w:tcBorders>
            <w:shd w:val="clear" w:color="000000" w:fill="D9D9D9"/>
            <w:noWrap/>
            <w:vAlign w:val="bottom"/>
          </w:tcPr>
          <w:p w14:paraId="1FCD0FA1" w14:textId="65247ACC"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3.9%</w:t>
            </w:r>
          </w:p>
        </w:tc>
        <w:tc>
          <w:tcPr>
            <w:tcW w:w="805" w:type="dxa"/>
            <w:tcBorders>
              <w:top w:val="nil"/>
              <w:left w:val="nil"/>
              <w:bottom w:val="nil"/>
              <w:right w:val="nil"/>
            </w:tcBorders>
            <w:shd w:val="clear" w:color="000000" w:fill="FFFFFF"/>
            <w:noWrap/>
            <w:vAlign w:val="bottom"/>
          </w:tcPr>
          <w:p w14:paraId="18DD4E03" w14:textId="4387BDF3"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2,247</w:t>
            </w:r>
          </w:p>
        </w:tc>
        <w:tc>
          <w:tcPr>
            <w:tcW w:w="831" w:type="dxa"/>
            <w:tcBorders>
              <w:top w:val="nil"/>
              <w:left w:val="nil"/>
              <w:bottom w:val="nil"/>
              <w:right w:val="nil"/>
            </w:tcBorders>
            <w:shd w:val="clear" w:color="000000" w:fill="D9D9D9"/>
            <w:noWrap/>
            <w:vAlign w:val="bottom"/>
          </w:tcPr>
          <w:p w14:paraId="7D06773E" w14:textId="498EE4F3"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3.6%</w:t>
            </w:r>
          </w:p>
        </w:tc>
        <w:tc>
          <w:tcPr>
            <w:tcW w:w="789" w:type="dxa"/>
            <w:tcBorders>
              <w:top w:val="nil"/>
              <w:left w:val="nil"/>
              <w:bottom w:val="nil"/>
              <w:right w:val="nil"/>
            </w:tcBorders>
            <w:shd w:val="clear" w:color="000000" w:fill="FFFFFF"/>
            <w:noWrap/>
            <w:vAlign w:val="bottom"/>
          </w:tcPr>
          <w:p w14:paraId="7C198187" w14:textId="09F217AC"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2,169</w:t>
            </w:r>
          </w:p>
        </w:tc>
        <w:tc>
          <w:tcPr>
            <w:tcW w:w="831" w:type="dxa"/>
            <w:tcBorders>
              <w:top w:val="nil"/>
              <w:left w:val="nil"/>
              <w:bottom w:val="nil"/>
              <w:right w:val="nil"/>
            </w:tcBorders>
            <w:shd w:val="clear" w:color="000000" w:fill="D9D9D9"/>
            <w:noWrap/>
            <w:vAlign w:val="bottom"/>
          </w:tcPr>
          <w:p w14:paraId="798B098E" w14:textId="2782C959"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-10.4%</w:t>
            </w:r>
          </w:p>
        </w:tc>
      </w:tr>
      <w:tr w:rsidR="00D10F67" w:rsidRPr="00653071" w14:paraId="52EB895A" w14:textId="77777777" w:rsidTr="001E6659">
        <w:trPr>
          <w:trHeight w:val="288"/>
          <w:jc w:val="center"/>
        </w:trPr>
        <w:tc>
          <w:tcPr>
            <w:tcW w:w="712" w:type="dxa"/>
            <w:tcBorders>
              <w:top w:val="nil"/>
              <w:left w:val="nil"/>
              <w:bottom w:val="nil"/>
              <w:right w:val="nil"/>
            </w:tcBorders>
            <w:shd w:val="clear" w:color="000000" w:fill="FFFFFF"/>
            <w:noWrap/>
            <w:vAlign w:val="bottom"/>
          </w:tcPr>
          <w:p w14:paraId="590BE6B7" w14:textId="5F732715" w:rsidR="00D10F67" w:rsidRPr="001E6659" w:rsidRDefault="00D10F67" w:rsidP="00D10F67">
            <w:pPr>
              <w:rPr>
                <w:rFonts w:ascii="Calibri" w:eastAsia="Times New Roman" w:hAnsi="Calibri" w:cs="Calibri"/>
                <w:sz w:val="19"/>
                <w:szCs w:val="19"/>
              </w:rPr>
            </w:pPr>
            <w:r w:rsidRPr="001E6659">
              <w:rPr>
                <w:rFonts w:ascii="Calibri" w:hAnsi="Calibri" w:cs="Calibri"/>
                <w:sz w:val="19"/>
                <w:szCs w:val="19"/>
              </w:rPr>
              <w:t>UMF</w:t>
            </w:r>
          </w:p>
        </w:tc>
        <w:tc>
          <w:tcPr>
            <w:tcW w:w="998" w:type="dxa"/>
            <w:tcBorders>
              <w:top w:val="nil"/>
              <w:left w:val="single" w:sz="4" w:space="0" w:color="00688D"/>
              <w:bottom w:val="nil"/>
              <w:right w:val="single" w:sz="4" w:space="0" w:color="00688D"/>
            </w:tcBorders>
            <w:shd w:val="clear" w:color="000000" w:fill="D9D9D9"/>
            <w:noWrap/>
            <w:vAlign w:val="bottom"/>
          </w:tcPr>
          <w:p w14:paraId="389ECEDA" w14:textId="5FAF42F8"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i/>
                <w:iCs/>
                <w:sz w:val="19"/>
                <w:szCs w:val="19"/>
              </w:rPr>
              <w:t>-12.4%</w:t>
            </w:r>
          </w:p>
        </w:tc>
        <w:tc>
          <w:tcPr>
            <w:tcW w:w="808" w:type="dxa"/>
            <w:tcBorders>
              <w:top w:val="nil"/>
              <w:left w:val="nil"/>
              <w:bottom w:val="nil"/>
              <w:right w:val="nil"/>
            </w:tcBorders>
            <w:shd w:val="clear" w:color="000000" w:fill="FFFFFF"/>
            <w:noWrap/>
            <w:vAlign w:val="bottom"/>
          </w:tcPr>
          <w:p w14:paraId="3F7248E7" w14:textId="61A904F9"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1,437</w:t>
            </w:r>
          </w:p>
        </w:tc>
        <w:tc>
          <w:tcPr>
            <w:tcW w:w="831" w:type="dxa"/>
            <w:tcBorders>
              <w:top w:val="nil"/>
              <w:left w:val="nil"/>
              <w:bottom w:val="nil"/>
              <w:right w:val="nil"/>
            </w:tcBorders>
            <w:shd w:val="clear" w:color="000000" w:fill="D9D9D9"/>
            <w:noWrap/>
            <w:vAlign w:val="bottom"/>
          </w:tcPr>
          <w:p w14:paraId="1E63993E" w14:textId="2C30BF57"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-4.8%</w:t>
            </w:r>
          </w:p>
        </w:tc>
        <w:tc>
          <w:tcPr>
            <w:tcW w:w="777" w:type="dxa"/>
            <w:tcBorders>
              <w:top w:val="nil"/>
              <w:left w:val="nil"/>
              <w:bottom w:val="nil"/>
              <w:right w:val="nil"/>
            </w:tcBorders>
            <w:shd w:val="clear" w:color="000000" w:fill="FFFFFF"/>
            <w:noWrap/>
            <w:vAlign w:val="bottom"/>
          </w:tcPr>
          <w:p w14:paraId="6DFA9266" w14:textId="6529423F"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1,510</w:t>
            </w:r>
          </w:p>
        </w:tc>
        <w:tc>
          <w:tcPr>
            <w:tcW w:w="831" w:type="dxa"/>
            <w:tcBorders>
              <w:top w:val="nil"/>
              <w:left w:val="nil"/>
              <w:bottom w:val="nil"/>
              <w:right w:val="nil"/>
            </w:tcBorders>
            <w:shd w:val="clear" w:color="000000" w:fill="D9D9D9"/>
            <w:noWrap/>
            <w:vAlign w:val="bottom"/>
          </w:tcPr>
          <w:p w14:paraId="40CF39B5" w14:textId="7ADF5C53"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-4.4%</w:t>
            </w:r>
          </w:p>
        </w:tc>
        <w:tc>
          <w:tcPr>
            <w:tcW w:w="773" w:type="dxa"/>
            <w:tcBorders>
              <w:top w:val="nil"/>
              <w:left w:val="nil"/>
              <w:bottom w:val="nil"/>
              <w:right w:val="nil"/>
            </w:tcBorders>
            <w:shd w:val="clear" w:color="000000" w:fill="FFFFFF"/>
            <w:noWrap/>
            <w:vAlign w:val="bottom"/>
          </w:tcPr>
          <w:p w14:paraId="68E5A8E5" w14:textId="65E5DC81"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1,579</w:t>
            </w:r>
          </w:p>
        </w:tc>
        <w:tc>
          <w:tcPr>
            <w:tcW w:w="831" w:type="dxa"/>
            <w:tcBorders>
              <w:top w:val="nil"/>
              <w:left w:val="nil"/>
              <w:bottom w:val="nil"/>
              <w:right w:val="nil"/>
            </w:tcBorders>
            <w:shd w:val="clear" w:color="000000" w:fill="D9D9D9"/>
            <w:noWrap/>
            <w:vAlign w:val="bottom"/>
          </w:tcPr>
          <w:p w14:paraId="4D8D58B8" w14:textId="3E49208C"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-3.8%</w:t>
            </w:r>
          </w:p>
        </w:tc>
        <w:tc>
          <w:tcPr>
            <w:tcW w:w="805" w:type="dxa"/>
            <w:tcBorders>
              <w:top w:val="nil"/>
              <w:left w:val="nil"/>
              <w:bottom w:val="nil"/>
              <w:right w:val="nil"/>
            </w:tcBorders>
            <w:shd w:val="clear" w:color="000000" w:fill="FFFFFF"/>
            <w:noWrap/>
            <w:vAlign w:val="bottom"/>
          </w:tcPr>
          <w:p w14:paraId="42916A87" w14:textId="167272FA"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1,641</w:t>
            </w:r>
          </w:p>
        </w:tc>
        <w:tc>
          <w:tcPr>
            <w:tcW w:w="831" w:type="dxa"/>
            <w:tcBorders>
              <w:top w:val="nil"/>
              <w:left w:val="nil"/>
              <w:bottom w:val="nil"/>
              <w:right w:val="nil"/>
            </w:tcBorders>
            <w:shd w:val="clear" w:color="000000" w:fill="D9D9D9"/>
            <w:noWrap/>
            <w:vAlign w:val="bottom"/>
          </w:tcPr>
          <w:p w14:paraId="5FB09528" w14:textId="3FB1ABAD"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-4.8%</w:t>
            </w:r>
          </w:p>
        </w:tc>
        <w:tc>
          <w:tcPr>
            <w:tcW w:w="789" w:type="dxa"/>
            <w:tcBorders>
              <w:top w:val="nil"/>
              <w:left w:val="nil"/>
              <w:bottom w:val="nil"/>
              <w:right w:val="nil"/>
            </w:tcBorders>
            <w:shd w:val="clear" w:color="000000" w:fill="FFFFFF"/>
            <w:noWrap/>
            <w:vAlign w:val="bottom"/>
          </w:tcPr>
          <w:p w14:paraId="145710C0" w14:textId="1E13D0EF"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1,723</w:t>
            </w:r>
          </w:p>
        </w:tc>
        <w:tc>
          <w:tcPr>
            <w:tcW w:w="831" w:type="dxa"/>
            <w:tcBorders>
              <w:top w:val="nil"/>
              <w:left w:val="nil"/>
              <w:bottom w:val="nil"/>
              <w:right w:val="nil"/>
            </w:tcBorders>
            <w:shd w:val="clear" w:color="000000" w:fill="D9D9D9"/>
            <w:noWrap/>
            <w:vAlign w:val="bottom"/>
          </w:tcPr>
          <w:p w14:paraId="6B2A5AD5" w14:textId="7943266E"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0.8%</w:t>
            </w:r>
          </w:p>
        </w:tc>
      </w:tr>
      <w:tr w:rsidR="00D10F67" w:rsidRPr="00653071" w14:paraId="6E1AAA44" w14:textId="77777777" w:rsidTr="001E6659">
        <w:trPr>
          <w:trHeight w:val="288"/>
          <w:jc w:val="center"/>
        </w:trPr>
        <w:tc>
          <w:tcPr>
            <w:tcW w:w="712" w:type="dxa"/>
            <w:tcBorders>
              <w:top w:val="nil"/>
              <w:left w:val="nil"/>
              <w:bottom w:val="nil"/>
              <w:right w:val="nil"/>
            </w:tcBorders>
            <w:shd w:val="clear" w:color="000000" w:fill="FFFFFF"/>
            <w:noWrap/>
            <w:vAlign w:val="bottom"/>
          </w:tcPr>
          <w:p w14:paraId="310111CB" w14:textId="2026405A" w:rsidR="00D10F67" w:rsidRPr="001E6659" w:rsidRDefault="00D10F67" w:rsidP="00D10F67">
            <w:pPr>
              <w:rPr>
                <w:rFonts w:ascii="Calibri" w:eastAsia="Times New Roman" w:hAnsi="Calibri" w:cs="Calibri"/>
                <w:sz w:val="19"/>
                <w:szCs w:val="19"/>
              </w:rPr>
            </w:pPr>
            <w:r w:rsidRPr="001E6659">
              <w:rPr>
                <w:rFonts w:ascii="Calibri" w:hAnsi="Calibri" w:cs="Calibri"/>
                <w:sz w:val="19"/>
                <w:szCs w:val="19"/>
              </w:rPr>
              <w:t>UMFK</w:t>
            </w:r>
          </w:p>
        </w:tc>
        <w:tc>
          <w:tcPr>
            <w:tcW w:w="998" w:type="dxa"/>
            <w:tcBorders>
              <w:top w:val="nil"/>
              <w:left w:val="single" w:sz="4" w:space="0" w:color="00688D"/>
              <w:bottom w:val="nil"/>
              <w:right w:val="single" w:sz="4" w:space="0" w:color="00688D"/>
            </w:tcBorders>
            <w:shd w:val="clear" w:color="000000" w:fill="D9D9D9"/>
            <w:noWrap/>
            <w:vAlign w:val="bottom"/>
          </w:tcPr>
          <w:p w14:paraId="11147942" w14:textId="767F6FDE"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i/>
                <w:iCs/>
                <w:sz w:val="19"/>
                <w:szCs w:val="19"/>
              </w:rPr>
              <w:t>-14.5%</w:t>
            </w:r>
          </w:p>
        </w:tc>
        <w:tc>
          <w:tcPr>
            <w:tcW w:w="808" w:type="dxa"/>
            <w:tcBorders>
              <w:top w:val="nil"/>
              <w:left w:val="nil"/>
              <w:bottom w:val="nil"/>
              <w:right w:val="nil"/>
            </w:tcBorders>
            <w:shd w:val="clear" w:color="000000" w:fill="FFFFFF"/>
            <w:noWrap/>
            <w:vAlign w:val="bottom"/>
          </w:tcPr>
          <w:p w14:paraId="597C8AA7" w14:textId="11F39A2D"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718</w:t>
            </w:r>
          </w:p>
        </w:tc>
        <w:tc>
          <w:tcPr>
            <w:tcW w:w="831" w:type="dxa"/>
            <w:tcBorders>
              <w:top w:val="nil"/>
              <w:left w:val="nil"/>
              <w:bottom w:val="nil"/>
              <w:right w:val="nil"/>
            </w:tcBorders>
            <w:shd w:val="clear" w:color="000000" w:fill="D9D9D9"/>
            <w:noWrap/>
            <w:vAlign w:val="bottom"/>
          </w:tcPr>
          <w:p w14:paraId="19E012EB" w14:textId="496E7402"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-11.6%</w:t>
            </w:r>
          </w:p>
        </w:tc>
        <w:tc>
          <w:tcPr>
            <w:tcW w:w="777" w:type="dxa"/>
            <w:tcBorders>
              <w:top w:val="nil"/>
              <w:left w:val="nil"/>
              <w:bottom w:val="nil"/>
              <w:right w:val="nil"/>
            </w:tcBorders>
            <w:shd w:val="clear" w:color="000000" w:fill="FFFFFF"/>
            <w:noWrap/>
            <w:vAlign w:val="bottom"/>
          </w:tcPr>
          <w:p w14:paraId="44428A93" w14:textId="2D654B64"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812</w:t>
            </w:r>
          </w:p>
        </w:tc>
        <w:tc>
          <w:tcPr>
            <w:tcW w:w="831" w:type="dxa"/>
            <w:tcBorders>
              <w:top w:val="nil"/>
              <w:left w:val="nil"/>
              <w:bottom w:val="nil"/>
              <w:right w:val="nil"/>
            </w:tcBorders>
            <w:shd w:val="clear" w:color="000000" w:fill="D9D9D9"/>
            <w:noWrap/>
            <w:vAlign w:val="bottom"/>
          </w:tcPr>
          <w:p w14:paraId="47CB1500" w14:textId="220A0CED"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-3.6%</w:t>
            </w:r>
          </w:p>
        </w:tc>
        <w:tc>
          <w:tcPr>
            <w:tcW w:w="773" w:type="dxa"/>
            <w:tcBorders>
              <w:top w:val="nil"/>
              <w:left w:val="nil"/>
              <w:bottom w:val="nil"/>
              <w:right w:val="nil"/>
            </w:tcBorders>
            <w:shd w:val="clear" w:color="000000" w:fill="FFFFFF"/>
            <w:noWrap/>
            <w:vAlign w:val="bottom"/>
          </w:tcPr>
          <w:p w14:paraId="54F1748B" w14:textId="769EB284"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842</w:t>
            </w:r>
          </w:p>
        </w:tc>
        <w:tc>
          <w:tcPr>
            <w:tcW w:w="831" w:type="dxa"/>
            <w:tcBorders>
              <w:top w:val="nil"/>
              <w:left w:val="nil"/>
              <w:bottom w:val="nil"/>
              <w:right w:val="nil"/>
            </w:tcBorders>
            <w:shd w:val="clear" w:color="000000" w:fill="D9D9D9"/>
            <w:noWrap/>
            <w:vAlign w:val="bottom"/>
          </w:tcPr>
          <w:p w14:paraId="4E10E6A4" w14:textId="41336AAA"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-11.7%</w:t>
            </w:r>
          </w:p>
        </w:tc>
        <w:tc>
          <w:tcPr>
            <w:tcW w:w="805" w:type="dxa"/>
            <w:tcBorders>
              <w:top w:val="nil"/>
              <w:left w:val="nil"/>
              <w:bottom w:val="nil"/>
              <w:right w:val="nil"/>
            </w:tcBorders>
            <w:shd w:val="clear" w:color="000000" w:fill="FFFFFF"/>
            <w:noWrap/>
            <w:vAlign w:val="bottom"/>
          </w:tcPr>
          <w:p w14:paraId="796CFBDD" w14:textId="6C8FC735"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954</w:t>
            </w:r>
          </w:p>
        </w:tc>
        <w:tc>
          <w:tcPr>
            <w:tcW w:w="831" w:type="dxa"/>
            <w:tcBorders>
              <w:top w:val="nil"/>
              <w:left w:val="nil"/>
              <w:bottom w:val="nil"/>
              <w:right w:val="nil"/>
            </w:tcBorders>
            <w:shd w:val="clear" w:color="000000" w:fill="D9D9D9"/>
            <w:noWrap/>
            <w:vAlign w:val="bottom"/>
          </w:tcPr>
          <w:p w14:paraId="650748C4" w14:textId="62DA3915"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0.4%</w:t>
            </w:r>
          </w:p>
        </w:tc>
        <w:tc>
          <w:tcPr>
            <w:tcW w:w="789" w:type="dxa"/>
            <w:tcBorders>
              <w:top w:val="nil"/>
              <w:left w:val="nil"/>
              <w:bottom w:val="nil"/>
              <w:right w:val="nil"/>
            </w:tcBorders>
            <w:shd w:val="clear" w:color="000000" w:fill="FFFFFF"/>
            <w:noWrap/>
            <w:vAlign w:val="bottom"/>
          </w:tcPr>
          <w:p w14:paraId="637F6E3A" w14:textId="68CCCC25"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950</w:t>
            </w:r>
          </w:p>
        </w:tc>
        <w:tc>
          <w:tcPr>
            <w:tcW w:w="831" w:type="dxa"/>
            <w:tcBorders>
              <w:top w:val="nil"/>
              <w:left w:val="nil"/>
              <w:bottom w:val="nil"/>
              <w:right w:val="nil"/>
            </w:tcBorders>
            <w:shd w:val="clear" w:color="000000" w:fill="D9D9D9"/>
            <w:noWrap/>
            <w:vAlign w:val="bottom"/>
          </w:tcPr>
          <w:p w14:paraId="2AB49DE9" w14:textId="13C08867"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-9.7%</w:t>
            </w:r>
          </w:p>
        </w:tc>
      </w:tr>
      <w:tr w:rsidR="00D10F67" w:rsidRPr="00653071" w14:paraId="63FD81DB" w14:textId="77777777" w:rsidTr="001E6659">
        <w:trPr>
          <w:trHeight w:val="288"/>
          <w:jc w:val="center"/>
        </w:trPr>
        <w:tc>
          <w:tcPr>
            <w:tcW w:w="712" w:type="dxa"/>
            <w:tcBorders>
              <w:top w:val="nil"/>
              <w:left w:val="nil"/>
              <w:bottom w:val="nil"/>
              <w:right w:val="nil"/>
            </w:tcBorders>
            <w:shd w:val="clear" w:color="000000" w:fill="FFFFFF"/>
            <w:noWrap/>
            <w:vAlign w:val="bottom"/>
          </w:tcPr>
          <w:p w14:paraId="1002DC81" w14:textId="5C3D8C8A" w:rsidR="00D10F67" w:rsidRPr="001E6659" w:rsidRDefault="00D10F67" w:rsidP="00D10F67">
            <w:pPr>
              <w:rPr>
                <w:rFonts w:ascii="Calibri" w:eastAsia="Times New Roman" w:hAnsi="Calibri" w:cs="Calibri"/>
                <w:sz w:val="19"/>
                <w:szCs w:val="19"/>
              </w:rPr>
            </w:pPr>
            <w:r w:rsidRPr="001E6659">
              <w:rPr>
                <w:rFonts w:ascii="Calibri" w:hAnsi="Calibri" w:cs="Calibri"/>
                <w:sz w:val="19"/>
                <w:szCs w:val="19"/>
              </w:rPr>
              <w:t>UMM</w:t>
            </w:r>
          </w:p>
        </w:tc>
        <w:tc>
          <w:tcPr>
            <w:tcW w:w="998" w:type="dxa"/>
            <w:tcBorders>
              <w:top w:val="nil"/>
              <w:left w:val="single" w:sz="4" w:space="0" w:color="00688D"/>
              <w:bottom w:val="nil"/>
              <w:right w:val="single" w:sz="4" w:space="0" w:color="00688D"/>
            </w:tcBorders>
            <w:shd w:val="clear" w:color="000000" w:fill="D9D9D9"/>
            <w:noWrap/>
            <w:vAlign w:val="bottom"/>
          </w:tcPr>
          <w:p w14:paraId="58D2069F" w14:textId="40458205"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i/>
                <w:iCs/>
                <w:sz w:val="19"/>
                <w:szCs w:val="19"/>
              </w:rPr>
              <w:t>-12.2%</w:t>
            </w:r>
          </w:p>
        </w:tc>
        <w:tc>
          <w:tcPr>
            <w:tcW w:w="808" w:type="dxa"/>
            <w:tcBorders>
              <w:top w:val="nil"/>
              <w:left w:val="nil"/>
              <w:bottom w:val="nil"/>
              <w:right w:val="nil"/>
            </w:tcBorders>
            <w:shd w:val="clear" w:color="000000" w:fill="FFFFFF"/>
            <w:noWrap/>
            <w:vAlign w:val="bottom"/>
          </w:tcPr>
          <w:p w14:paraId="0C54DFBA" w14:textId="4599C545"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381</w:t>
            </w:r>
          </w:p>
        </w:tc>
        <w:tc>
          <w:tcPr>
            <w:tcW w:w="831" w:type="dxa"/>
            <w:tcBorders>
              <w:top w:val="nil"/>
              <w:left w:val="nil"/>
              <w:bottom w:val="nil"/>
              <w:right w:val="nil"/>
            </w:tcBorders>
            <w:shd w:val="clear" w:color="000000" w:fill="D9D9D9"/>
            <w:noWrap/>
            <w:vAlign w:val="bottom"/>
          </w:tcPr>
          <w:p w14:paraId="2F178D81" w14:textId="3731BE89"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-4.2%</w:t>
            </w:r>
          </w:p>
        </w:tc>
        <w:tc>
          <w:tcPr>
            <w:tcW w:w="777" w:type="dxa"/>
            <w:tcBorders>
              <w:top w:val="nil"/>
              <w:left w:val="nil"/>
              <w:bottom w:val="nil"/>
              <w:right w:val="nil"/>
            </w:tcBorders>
            <w:shd w:val="clear" w:color="000000" w:fill="FFFFFF"/>
            <w:noWrap/>
            <w:vAlign w:val="bottom"/>
          </w:tcPr>
          <w:p w14:paraId="359C6AC6" w14:textId="0A6758C7"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397</w:t>
            </w:r>
          </w:p>
        </w:tc>
        <w:tc>
          <w:tcPr>
            <w:tcW w:w="831" w:type="dxa"/>
            <w:tcBorders>
              <w:top w:val="nil"/>
              <w:left w:val="nil"/>
              <w:bottom w:val="nil"/>
              <w:right w:val="nil"/>
            </w:tcBorders>
            <w:shd w:val="clear" w:color="000000" w:fill="D9D9D9"/>
            <w:noWrap/>
            <w:vAlign w:val="bottom"/>
          </w:tcPr>
          <w:p w14:paraId="4CB910C2" w14:textId="39C576F3"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-1.5%</w:t>
            </w:r>
          </w:p>
        </w:tc>
        <w:tc>
          <w:tcPr>
            <w:tcW w:w="773" w:type="dxa"/>
            <w:tcBorders>
              <w:top w:val="nil"/>
              <w:left w:val="nil"/>
              <w:bottom w:val="nil"/>
              <w:right w:val="nil"/>
            </w:tcBorders>
            <w:shd w:val="clear" w:color="000000" w:fill="FFFFFF"/>
            <w:noWrap/>
            <w:vAlign w:val="bottom"/>
          </w:tcPr>
          <w:p w14:paraId="72C4D2B7" w14:textId="67712C01"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403</w:t>
            </w:r>
          </w:p>
        </w:tc>
        <w:tc>
          <w:tcPr>
            <w:tcW w:w="831" w:type="dxa"/>
            <w:tcBorders>
              <w:top w:val="nil"/>
              <w:left w:val="nil"/>
              <w:bottom w:val="nil"/>
              <w:right w:val="nil"/>
            </w:tcBorders>
            <w:shd w:val="clear" w:color="000000" w:fill="D9D9D9"/>
            <w:noWrap/>
            <w:vAlign w:val="bottom"/>
          </w:tcPr>
          <w:p w14:paraId="03D4BA6F" w14:textId="7BB2197F"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-5.2%</w:t>
            </w:r>
          </w:p>
        </w:tc>
        <w:tc>
          <w:tcPr>
            <w:tcW w:w="805" w:type="dxa"/>
            <w:tcBorders>
              <w:top w:val="nil"/>
              <w:left w:val="nil"/>
              <w:bottom w:val="nil"/>
              <w:right w:val="nil"/>
            </w:tcBorders>
            <w:shd w:val="clear" w:color="000000" w:fill="FFFFFF"/>
            <w:noWrap/>
            <w:vAlign w:val="bottom"/>
          </w:tcPr>
          <w:p w14:paraId="1300E2DC" w14:textId="7A8915FE"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425</w:t>
            </w:r>
          </w:p>
        </w:tc>
        <w:tc>
          <w:tcPr>
            <w:tcW w:w="831" w:type="dxa"/>
            <w:tcBorders>
              <w:top w:val="nil"/>
              <w:left w:val="nil"/>
              <w:bottom w:val="nil"/>
              <w:right w:val="nil"/>
            </w:tcBorders>
            <w:shd w:val="clear" w:color="000000" w:fill="D9D9D9"/>
            <w:noWrap/>
            <w:vAlign w:val="bottom"/>
          </w:tcPr>
          <w:p w14:paraId="240BBDAF" w14:textId="781DB106"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-6.0%</w:t>
            </w:r>
          </w:p>
        </w:tc>
        <w:tc>
          <w:tcPr>
            <w:tcW w:w="789" w:type="dxa"/>
            <w:tcBorders>
              <w:top w:val="nil"/>
              <w:left w:val="nil"/>
              <w:bottom w:val="nil"/>
              <w:right w:val="nil"/>
            </w:tcBorders>
            <w:shd w:val="clear" w:color="000000" w:fill="FFFFFF"/>
            <w:noWrap/>
            <w:vAlign w:val="bottom"/>
          </w:tcPr>
          <w:p w14:paraId="7178990B" w14:textId="261D27D8"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452</w:t>
            </w:r>
          </w:p>
        </w:tc>
        <w:tc>
          <w:tcPr>
            <w:tcW w:w="831" w:type="dxa"/>
            <w:tcBorders>
              <w:top w:val="nil"/>
              <w:left w:val="nil"/>
              <w:bottom w:val="nil"/>
              <w:right w:val="nil"/>
            </w:tcBorders>
            <w:shd w:val="clear" w:color="000000" w:fill="D9D9D9"/>
            <w:noWrap/>
            <w:vAlign w:val="bottom"/>
          </w:tcPr>
          <w:p w14:paraId="3A943D39" w14:textId="478E5C44"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-8.1%</w:t>
            </w:r>
          </w:p>
        </w:tc>
      </w:tr>
      <w:tr w:rsidR="00D10F67" w:rsidRPr="00653071" w14:paraId="0EAB6C14" w14:textId="77777777" w:rsidTr="001C54A3">
        <w:trPr>
          <w:trHeight w:val="288"/>
          <w:jc w:val="center"/>
        </w:trPr>
        <w:tc>
          <w:tcPr>
            <w:tcW w:w="712" w:type="dxa"/>
            <w:tcBorders>
              <w:top w:val="nil"/>
              <w:left w:val="nil"/>
              <w:bottom w:val="nil"/>
              <w:right w:val="nil"/>
            </w:tcBorders>
            <w:shd w:val="clear" w:color="000000" w:fill="FFFFFF"/>
            <w:noWrap/>
            <w:vAlign w:val="bottom"/>
          </w:tcPr>
          <w:p w14:paraId="0F6B99B6" w14:textId="3B766B87" w:rsidR="00D10F67" w:rsidRPr="001E6659" w:rsidRDefault="00D10F67" w:rsidP="00D10F67">
            <w:pPr>
              <w:rPr>
                <w:rFonts w:ascii="Calibri" w:eastAsia="Times New Roman" w:hAnsi="Calibri" w:cs="Calibri"/>
                <w:sz w:val="19"/>
                <w:szCs w:val="19"/>
              </w:rPr>
            </w:pPr>
            <w:r w:rsidRPr="001E6659">
              <w:rPr>
                <w:rFonts w:ascii="Calibri" w:hAnsi="Calibri" w:cs="Calibri"/>
                <w:sz w:val="19"/>
                <w:szCs w:val="19"/>
              </w:rPr>
              <w:t>UMPI</w:t>
            </w:r>
          </w:p>
        </w:tc>
        <w:tc>
          <w:tcPr>
            <w:tcW w:w="998" w:type="dxa"/>
            <w:tcBorders>
              <w:top w:val="nil"/>
              <w:left w:val="single" w:sz="4" w:space="0" w:color="00688D"/>
              <w:bottom w:val="nil"/>
              <w:right w:val="single" w:sz="4" w:space="0" w:color="00688D"/>
            </w:tcBorders>
            <w:shd w:val="clear" w:color="000000" w:fill="D9D9D9"/>
            <w:noWrap/>
            <w:vAlign w:val="bottom"/>
          </w:tcPr>
          <w:p w14:paraId="2DF484DB" w14:textId="4907F72E"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i/>
                <w:iCs/>
                <w:sz w:val="19"/>
                <w:szCs w:val="19"/>
              </w:rPr>
              <w:t>4.7%</w:t>
            </w:r>
          </w:p>
        </w:tc>
        <w:tc>
          <w:tcPr>
            <w:tcW w:w="808" w:type="dxa"/>
            <w:tcBorders>
              <w:top w:val="nil"/>
              <w:left w:val="nil"/>
              <w:right w:val="nil"/>
            </w:tcBorders>
            <w:shd w:val="clear" w:color="000000" w:fill="FFFFFF"/>
            <w:noWrap/>
            <w:vAlign w:val="bottom"/>
          </w:tcPr>
          <w:p w14:paraId="18997FB5" w14:textId="51A27115"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1,038</w:t>
            </w:r>
          </w:p>
        </w:tc>
        <w:tc>
          <w:tcPr>
            <w:tcW w:w="831" w:type="dxa"/>
            <w:tcBorders>
              <w:top w:val="nil"/>
              <w:left w:val="nil"/>
              <w:right w:val="nil"/>
            </w:tcBorders>
            <w:shd w:val="clear" w:color="000000" w:fill="D9D9D9"/>
            <w:noWrap/>
            <w:vAlign w:val="bottom"/>
          </w:tcPr>
          <w:p w14:paraId="53C4F46E" w14:textId="5FD91682"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9.9%</w:t>
            </w:r>
          </w:p>
        </w:tc>
        <w:tc>
          <w:tcPr>
            <w:tcW w:w="777" w:type="dxa"/>
            <w:tcBorders>
              <w:top w:val="nil"/>
              <w:left w:val="nil"/>
              <w:right w:val="nil"/>
            </w:tcBorders>
            <w:shd w:val="clear" w:color="000000" w:fill="FFFFFF"/>
            <w:noWrap/>
            <w:vAlign w:val="bottom"/>
          </w:tcPr>
          <w:p w14:paraId="45E20A36" w14:textId="264157F0"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945</w:t>
            </w:r>
          </w:p>
        </w:tc>
        <w:tc>
          <w:tcPr>
            <w:tcW w:w="831" w:type="dxa"/>
            <w:tcBorders>
              <w:top w:val="nil"/>
              <w:left w:val="nil"/>
              <w:right w:val="nil"/>
            </w:tcBorders>
            <w:shd w:val="clear" w:color="000000" w:fill="D9D9D9"/>
            <w:noWrap/>
            <w:vAlign w:val="bottom"/>
          </w:tcPr>
          <w:p w14:paraId="0BAE82D3" w14:textId="33D75C71"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9.9%</w:t>
            </w:r>
          </w:p>
        </w:tc>
        <w:tc>
          <w:tcPr>
            <w:tcW w:w="773" w:type="dxa"/>
            <w:tcBorders>
              <w:top w:val="nil"/>
              <w:left w:val="nil"/>
              <w:right w:val="nil"/>
            </w:tcBorders>
            <w:shd w:val="clear" w:color="000000" w:fill="FFFFFF"/>
            <w:noWrap/>
            <w:vAlign w:val="bottom"/>
          </w:tcPr>
          <w:p w14:paraId="40DD9DE3" w14:textId="6802351D"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860</w:t>
            </w:r>
          </w:p>
        </w:tc>
        <w:tc>
          <w:tcPr>
            <w:tcW w:w="831" w:type="dxa"/>
            <w:tcBorders>
              <w:top w:val="nil"/>
              <w:left w:val="nil"/>
              <w:right w:val="nil"/>
            </w:tcBorders>
            <w:shd w:val="clear" w:color="000000" w:fill="D9D9D9"/>
            <w:noWrap/>
            <w:vAlign w:val="bottom"/>
          </w:tcPr>
          <w:p w14:paraId="10FEE103" w14:textId="37BC801D"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-7.8%</w:t>
            </w:r>
          </w:p>
        </w:tc>
        <w:tc>
          <w:tcPr>
            <w:tcW w:w="805" w:type="dxa"/>
            <w:tcBorders>
              <w:top w:val="nil"/>
              <w:left w:val="nil"/>
              <w:right w:val="nil"/>
            </w:tcBorders>
            <w:shd w:val="clear" w:color="000000" w:fill="FFFFFF"/>
            <w:noWrap/>
            <w:vAlign w:val="bottom"/>
          </w:tcPr>
          <w:p w14:paraId="1D0AF7E0" w14:textId="558BA58F"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933</w:t>
            </w:r>
          </w:p>
        </w:tc>
        <w:tc>
          <w:tcPr>
            <w:tcW w:w="831" w:type="dxa"/>
            <w:tcBorders>
              <w:top w:val="nil"/>
              <w:left w:val="nil"/>
              <w:right w:val="nil"/>
            </w:tcBorders>
            <w:shd w:val="clear" w:color="000000" w:fill="D9D9D9"/>
            <w:noWrap/>
            <w:vAlign w:val="bottom"/>
          </w:tcPr>
          <w:p w14:paraId="48D4004D" w14:textId="695B54A9"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3.3%</w:t>
            </w:r>
          </w:p>
        </w:tc>
        <w:tc>
          <w:tcPr>
            <w:tcW w:w="789" w:type="dxa"/>
            <w:tcBorders>
              <w:top w:val="nil"/>
              <w:left w:val="nil"/>
              <w:right w:val="nil"/>
            </w:tcBorders>
            <w:shd w:val="clear" w:color="000000" w:fill="FFFFFF"/>
            <w:noWrap/>
            <w:vAlign w:val="bottom"/>
          </w:tcPr>
          <w:p w14:paraId="081C5F18" w14:textId="6FCBBEF1"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903</w:t>
            </w:r>
          </w:p>
        </w:tc>
        <w:tc>
          <w:tcPr>
            <w:tcW w:w="831" w:type="dxa"/>
            <w:tcBorders>
              <w:top w:val="nil"/>
              <w:left w:val="nil"/>
              <w:bottom w:val="nil"/>
              <w:right w:val="nil"/>
            </w:tcBorders>
            <w:shd w:val="clear" w:color="000000" w:fill="D9D9D9"/>
            <w:noWrap/>
            <w:vAlign w:val="bottom"/>
          </w:tcPr>
          <w:p w14:paraId="4378DC62" w14:textId="766924CD"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2.0%</w:t>
            </w:r>
          </w:p>
        </w:tc>
      </w:tr>
      <w:tr w:rsidR="00D10F67" w:rsidRPr="00653071" w14:paraId="7DE554D2" w14:textId="77777777" w:rsidTr="001C54A3">
        <w:trPr>
          <w:trHeight w:val="288"/>
          <w:jc w:val="center"/>
        </w:trPr>
        <w:tc>
          <w:tcPr>
            <w:tcW w:w="712" w:type="dxa"/>
            <w:tcBorders>
              <w:top w:val="nil"/>
              <w:left w:val="nil"/>
              <w:bottom w:val="nil"/>
              <w:right w:val="nil"/>
            </w:tcBorders>
            <w:shd w:val="clear" w:color="000000" w:fill="FFFFFF"/>
            <w:noWrap/>
            <w:vAlign w:val="bottom"/>
          </w:tcPr>
          <w:p w14:paraId="615DF1E3" w14:textId="3AB5B30D" w:rsidR="00D10F67" w:rsidRPr="001E6659" w:rsidRDefault="00D10F67" w:rsidP="00D10F67">
            <w:pPr>
              <w:rPr>
                <w:rFonts w:ascii="Calibri" w:eastAsia="Times New Roman" w:hAnsi="Calibri" w:cs="Calibri"/>
                <w:sz w:val="19"/>
                <w:szCs w:val="19"/>
              </w:rPr>
            </w:pPr>
            <w:r w:rsidRPr="001E6659">
              <w:rPr>
                <w:rFonts w:ascii="Calibri" w:hAnsi="Calibri" w:cs="Calibri"/>
                <w:sz w:val="19"/>
                <w:szCs w:val="19"/>
              </w:rPr>
              <w:t>USM</w:t>
            </w:r>
          </w:p>
        </w:tc>
        <w:tc>
          <w:tcPr>
            <w:tcW w:w="998" w:type="dxa"/>
            <w:tcBorders>
              <w:top w:val="nil"/>
              <w:left w:val="single" w:sz="4" w:space="0" w:color="00688D"/>
              <w:bottom w:val="nil"/>
              <w:right w:val="single" w:sz="4" w:space="0" w:color="00688D"/>
            </w:tcBorders>
            <w:shd w:val="clear" w:color="000000" w:fill="D9D9D9"/>
            <w:noWrap/>
            <w:vAlign w:val="bottom"/>
          </w:tcPr>
          <w:p w14:paraId="6C157B43" w14:textId="67A2C6D2"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i/>
                <w:iCs/>
                <w:sz w:val="19"/>
                <w:szCs w:val="19"/>
              </w:rPr>
              <w:t>-1.9%</w:t>
            </w:r>
          </w:p>
        </w:tc>
        <w:tc>
          <w:tcPr>
            <w:tcW w:w="808" w:type="dxa"/>
            <w:tcBorders>
              <w:top w:val="nil"/>
              <w:left w:val="nil"/>
              <w:right w:val="nil"/>
            </w:tcBorders>
            <w:shd w:val="clear" w:color="000000" w:fill="FFFFFF"/>
            <w:noWrap/>
            <w:vAlign w:val="bottom"/>
          </w:tcPr>
          <w:p w14:paraId="0F26A577" w14:textId="6AB262F8"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5,428</w:t>
            </w:r>
          </w:p>
        </w:tc>
        <w:tc>
          <w:tcPr>
            <w:tcW w:w="831" w:type="dxa"/>
            <w:tcBorders>
              <w:top w:val="nil"/>
              <w:left w:val="nil"/>
              <w:right w:val="nil"/>
            </w:tcBorders>
            <w:shd w:val="clear" w:color="000000" w:fill="D9D9D9"/>
            <w:noWrap/>
            <w:vAlign w:val="bottom"/>
          </w:tcPr>
          <w:p w14:paraId="58A67DE7" w14:textId="588BA786"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0.2%</w:t>
            </w:r>
          </w:p>
        </w:tc>
        <w:tc>
          <w:tcPr>
            <w:tcW w:w="777" w:type="dxa"/>
            <w:tcBorders>
              <w:top w:val="nil"/>
              <w:left w:val="nil"/>
              <w:right w:val="nil"/>
            </w:tcBorders>
            <w:shd w:val="clear" w:color="000000" w:fill="FFFFFF"/>
            <w:noWrap/>
            <w:vAlign w:val="bottom"/>
          </w:tcPr>
          <w:p w14:paraId="0638DF30" w14:textId="68C979E4"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5,</w:t>
            </w:r>
            <w:r w:rsidR="00EF5CF4">
              <w:rPr>
                <w:rFonts w:ascii="Calibri" w:hAnsi="Calibri" w:cs="Calibri"/>
                <w:b/>
                <w:bCs/>
                <w:sz w:val="19"/>
                <w:szCs w:val="19"/>
              </w:rPr>
              <w:t>633</w:t>
            </w:r>
          </w:p>
        </w:tc>
        <w:tc>
          <w:tcPr>
            <w:tcW w:w="831" w:type="dxa"/>
            <w:tcBorders>
              <w:top w:val="nil"/>
              <w:left w:val="nil"/>
              <w:right w:val="nil"/>
            </w:tcBorders>
            <w:shd w:val="clear" w:color="000000" w:fill="D9D9D9"/>
            <w:noWrap/>
            <w:vAlign w:val="bottom"/>
          </w:tcPr>
          <w:p w14:paraId="4ED6E6DD" w14:textId="1292F289"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-2.6%</w:t>
            </w:r>
          </w:p>
        </w:tc>
        <w:tc>
          <w:tcPr>
            <w:tcW w:w="773" w:type="dxa"/>
            <w:tcBorders>
              <w:top w:val="nil"/>
              <w:left w:val="nil"/>
              <w:right w:val="nil"/>
            </w:tcBorders>
            <w:shd w:val="clear" w:color="000000" w:fill="FFFFFF"/>
            <w:noWrap/>
            <w:vAlign w:val="bottom"/>
          </w:tcPr>
          <w:p w14:paraId="25638F7E" w14:textId="145608F5"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5,</w:t>
            </w:r>
            <w:r w:rsidR="00EF5CF4">
              <w:rPr>
                <w:rFonts w:ascii="Calibri" w:hAnsi="Calibri" w:cs="Calibri"/>
                <w:sz w:val="19"/>
                <w:szCs w:val="19"/>
              </w:rPr>
              <w:t>879</w:t>
            </w:r>
          </w:p>
        </w:tc>
        <w:tc>
          <w:tcPr>
            <w:tcW w:w="831" w:type="dxa"/>
            <w:tcBorders>
              <w:top w:val="nil"/>
              <w:left w:val="nil"/>
              <w:right w:val="nil"/>
            </w:tcBorders>
            <w:shd w:val="clear" w:color="000000" w:fill="D9D9D9"/>
            <w:noWrap/>
            <w:vAlign w:val="bottom"/>
          </w:tcPr>
          <w:p w14:paraId="77849B21" w14:textId="04A7228E"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-1.2%</w:t>
            </w:r>
          </w:p>
        </w:tc>
        <w:tc>
          <w:tcPr>
            <w:tcW w:w="805" w:type="dxa"/>
            <w:tcBorders>
              <w:top w:val="nil"/>
              <w:left w:val="nil"/>
              <w:right w:val="nil"/>
            </w:tcBorders>
            <w:shd w:val="clear" w:color="000000" w:fill="FFFFFF"/>
            <w:noWrap/>
            <w:vAlign w:val="bottom"/>
          </w:tcPr>
          <w:p w14:paraId="35403055" w14:textId="43A24C69"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5,</w:t>
            </w:r>
            <w:r w:rsidR="00EF5CF4">
              <w:rPr>
                <w:rFonts w:ascii="Calibri" w:hAnsi="Calibri" w:cs="Calibri"/>
                <w:sz w:val="19"/>
                <w:szCs w:val="19"/>
              </w:rPr>
              <w:t>836</w:t>
            </w:r>
          </w:p>
        </w:tc>
        <w:tc>
          <w:tcPr>
            <w:tcW w:w="831" w:type="dxa"/>
            <w:tcBorders>
              <w:top w:val="nil"/>
              <w:left w:val="nil"/>
              <w:right w:val="nil"/>
            </w:tcBorders>
            <w:shd w:val="clear" w:color="000000" w:fill="D9D9D9"/>
            <w:noWrap/>
            <w:vAlign w:val="bottom"/>
          </w:tcPr>
          <w:p w14:paraId="7A8B03B8" w14:textId="6C8B3692"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2.0%</w:t>
            </w:r>
          </w:p>
        </w:tc>
        <w:tc>
          <w:tcPr>
            <w:tcW w:w="789" w:type="dxa"/>
            <w:tcBorders>
              <w:top w:val="nil"/>
              <w:left w:val="nil"/>
              <w:right w:val="nil"/>
            </w:tcBorders>
            <w:shd w:val="clear" w:color="000000" w:fill="FFFFFF"/>
            <w:noWrap/>
            <w:vAlign w:val="bottom"/>
          </w:tcPr>
          <w:p w14:paraId="421A97B0" w14:textId="445A34D5"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5,</w:t>
            </w:r>
            <w:r w:rsidR="00EF5CF4">
              <w:rPr>
                <w:rFonts w:ascii="Calibri" w:hAnsi="Calibri" w:cs="Calibri"/>
                <w:sz w:val="19"/>
                <w:szCs w:val="19"/>
              </w:rPr>
              <w:t>666</w:t>
            </w:r>
          </w:p>
        </w:tc>
        <w:tc>
          <w:tcPr>
            <w:tcW w:w="831" w:type="dxa"/>
            <w:tcBorders>
              <w:top w:val="nil"/>
              <w:left w:val="nil"/>
              <w:bottom w:val="nil"/>
              <w:right w:val="nil"/>
            </w:tcBorders>
            <w:shd w:val="clear" w:color="000000" w:fill="D9D9D9"/>
            <w:noWrap/>
            <w:vAlign w:val="bottom"/>
          </w:tcPr>
          <w:p w14:paraId="113A1FDE" w14:textId="6C15C908"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3.8%</w:t>
            </w:r>
          </w:p>
        </w:tc>
      </w:tr>
      <w:tr w:rsidR="00AA2E43" w:rsidRPr="00653071" w14:paraId="01988637" w14:textId="77777777" w:rsidTr="0067694E">
        <w:trPr>
          <w:trHeight w:val="300"/>
          <w:jc w:val="center"/>
        </w:trPr>
        <w:tc>
          <w:tcPr>
            <w:tcW w:w="712" w:type="dxa"/>
            <w:tcBorders>
              <w:top w:val="nil"/>
              <w:left w:val="nil"/>
              <w:bottom w:val="nil"/>
              <w:right w:val="nil"/>
            </w:tcBorders>
            <w:shd w:val="clear" w:color="000000" w:fill="FFFFFF"/>
            <w:noWrap/>
            <w:vAlign w:val="bottom"/>
          </w:tcPr>
          <w:p w14:paraId="61F3FFF0" w14:textId="4DF4FF70" w:rsidR="00D10F67" w:rsidRPr="001E6659" w:rsidRDefault="00D10F67" w:rsidP="00D10F67">
            <w:pPr>
              <w:rPr>
                <w:rFonts w:ascii="Calibri" w:eastAsia="Times New Roman" w:hAnsi="Calibri" w:cs="Calibri"/>
                <w:b/>
                <w:bCs/>
                <w:sz w:val="19"/>
                <w:szCs w:val="19"/>
              </w:rPr>
            </w:pPr>
            <w:r w:rsidRPr="001E6659">
              <w:rPr>
                <w:rFonts w:ascii="Calibri" w:hAnsi="Calibri" w:cs="Calibri"/>
                <w:sz w:val="19"/>
                <w:szCs w:val="19"/>
              </w:rPr>
              <w:t>LAW</w:t>
            </w:r>
          </w:p>
        </w:tc>
        <w:tc>
          <w:tcPr>
            <w:tcW w:w="998" w:type="dxa"/>
            <w:tcBorders>
              <w:top w:val="nil"/>
              <w:left w:val="single" w:sz="4" w:space="0" w:color="00688D"/>
              <w:bottom w:val="nil"/>
              <w:right w:val="single" w:sz="4" w:space="0" w:color="00688D"/>
            </w:tcBorders>
            <w:shd w:val="clear" w:color="000000" w:fill="D9D9D9"/>
            <w:noWrap/>
            <w:vAlign w:val="bottom"/>
          </w:tcPr>
          <w:p w14:paraId="68AE7992" w14:textId="7179DC4D"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i/>
                <w:iCs/>
                <w:sz w:val="19"/>
                <w:szCs w:val="19"/>
              </w:rPr>
              <w:t>6.7%</w:t>
            </w:r>
          </w:p>
        </w:tc>
        <w:tc>
          <w:tcPr>
            <w:tcW w:w="808" w:type="dxa"/>
            <w:tcBorders>
              <w:left w:val="nil"/>
              <w:bottom w:val="single" w:sz="4" w:space="0" w:color="auto"/>
              <w:right w:val="nil"/>
            </w:tcBorders>
            <w:shd w:val="clear" w:color="000000" w:fill="FFFFFF"/>
            <w:noWrap/>
            <w:vAlign w:val="bottom"/>
          </w:tcPr>
          <w:p w14:paraId="087AB8A6" w14:textId="6B05744D"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249</w:t>
            </w:r>
          </w:p>
        </w:tc>
        <w:tc>
          <w:tcPr>
            <w:tcW w:w="831" w:type="dxa"/>
            <w:tcBorders>
              <w:left w:val="nil"/>
              <w:bottom w:val="nil"/>
              <w:right w:val="nil"/>
            </w:tcBorders>
            <w:shd w:val="clear" w:color="000000" w:fill="D9D9D9"/>
            <w:noWrap/>
            <w:vAlign w:val="bottom"/>
          </w:tcPr>
          <w:p w14:paraId="670A6D47" w14:textId="4B4B9167"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2.2%</w:t>
            </w:r>
          </w:p>
        </w:tc>
        <w:tc>
          <w:tcPr>
            <w:tcW w:w="777" w:type="dxa"/>
            <w:tcBorders>
              <w:left w:val="nil"/>
              <w:bottom w:val="single" w:sz="4" w:space="0" w:color="auto"/>
              <w:right w:val="nil"/>
            </w:tcBorders>
            <w:shd w:val="clear" w:color="000000" w:fill="FFFFFF"/>
            <w:noWrap/>
            <w:vAlign w:val="bottom"/>
          </w:tcPr>
          <w:p w14:paraId="160F26BF" w14:textId="2D15F7C2"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244</w:t>
            </w:r>
          </w:p>
        </w:tc>
        <w:tc>
          <w:tcPr>
            <w:tcW w:w="831" w:type="dxa"/>
            <w:tcBorders>
              <w:left w:val="nil"/>
              <w:bottom w:val="nil"/>
              <w:right w:val="nil"/>
            </w:tcBorders>
            <w:shd w:val="clear" w:color="000000" w:fill="D9D9D9"/>
            <w:noWrap/>
            <w:vAlign w:val="bottom"/>
          </w:tcPr>
          <w:p w14:paraId="5E4E1AB8" w14:textId="3ECE9110" w:rsidR="00D10F67" w:rsidRPr="001E6659" w:rsidRDefault="00D10F67" w:rsidP="00D10F67">
            <w:pPr>
              <w:jc w:val="right"/>
              <w:rPr>
                <w:rFonts w:ascii="Calibri" w:eastAsia="Times New Roman" w:hAnsi="Calibri" w:cs="Calibri"/>
                <w:b/>
                <w:bCs/>
                <w:sz w:val="19"/>
                <w:szCs w:val="19"/>
              </w:rPr>
            </w:pPr>
            <w:r w:rsidRPr="001E6659">
              <w:rPr>
                <w:rFonts w:ascii="Calibri" w:hAnsi="Calibri" w:cs="Calibri"/>
                <w:b/>
                <w:bCs/>
                <w:sz w:val="19"/>
                <w:szCs w:val="19"/>
              </w:rPr>
              <w:t>0.0%</w:t>
            </w:r>
          </w:p>
        </w:tc>
        <w:tc>
          <w:tcPr>
            <w:tcW w:w="773" w:type="dxa"/>
            <w:tcBorders>
              <w:left w:val="nil"/>
              <w:bottom w:val="single" w:sz="4" w:space="0" w:color="auto"/>
              <w:right w:val="nil"/>
            </w:tcBorders>
            <w:shd w:val="clear" w:color="000000" w:fill="FFFFFF"/>
            <w:noWrap/>
            <w:vAlign w:val="bottom"/>
          </w:tcPr>
          <w:p w14:paraId="7563DA8F" w14:textId="159FE683"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244</w:t>
            </w:r>
          </w:p>
        </w:tc>
        <w:tc>
          <w:tcPr>
            <w:tcW w:w="831" w:type="dxa"/>
            <w:tcBorders>
              <w:left w:val="nil"/>
              <w:bottom w:val="nil"/>
              <w:right w:val="nil"/>
            </w:tcBorders>
            <w:shd w:val="clear" w:color="000000" w:fill="D9D9D9"/>
            <w:noWrap/>
            <w:vAlign w:val="bottom"/>
          </w:tcPr>
          <w:p w14:paraId="12C4985D" w14:textId="325ADEF2"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-1.1%</w:t>
            </w:r>
          </w:p>
        </w:tc>
        <w:tc>
          <w:tcPr>
            <w:tcW w:w="805" w:type="dxa"/>
            <w:tcBorders>
              <w:left w:val="nil"/>
              <w:bottom w:val="single" w:sz="4" w:space="0" w:color="auto"/>
              <w:right w:val="nil"/>
            </w:tcBorders>
            <w:shd w:val="clear" w:color="000000" w:fill="FFFFFF"/>
            <w:noWrap/>
            <w:vAlign w:val="bottom"/>
          </w:tcPr>
          <w:p w14:paraId="1B15D75E" w14:textId="6327BBF5"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247</w:t>
            </w:r>
          </w:p>
        </w:tc>
        <w:tc>
          <w:tcPr>
            <w:tcW w:w="831" w:type="dxa"/>
            <w:tcBorders>
              <w:left w:val="nil"/>
              <w:bottom w:val="nil"/>
              <w:right w:val="nil"/>
            </w:tcBorders>
            <w:shd w:val="clear" w:color="000000" w:fill="D9D9D9"/>
            <w:noWrap/>
            <w:vAlign w:val="bottom"/>
          </w:tcPr>
          <w:p w14:paraId="2FF3F1BD" w14:textId="0662A23D"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7.9%</w:t>
            </w:r>
          </w:p>
        </w:tc>
        <w:tc>
          <w:tcPr>
            <w:tcW w:w="789" w:type="dxa"/>
            <w:tcBorders>
              <w:left w:val="nil"/>
              <w:bottom w:val="single" w:sz="4" w:space="0" w:color="auto"/>
              <w:right w:val="nil"/>
            </w:tcBorders>
            <w:shd w:val="clear" w:color="000000" w:fill="FFFFFF"/>
            <w:noWrap/>
            <w:vAlign w:val="bottom"/>
          </w:tcPr>
          <w:p w14:paraId="3C8DA92A" w14:textId="10F6B7C9"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229</w:t>
            </w:r>
          </w:p>
        </w:tc>
        <w:tc>
          <w:tcPr>
            <w:tcW w:w="831" w:type="dxa"/>
            <w:tcBorders>
              <w:top w:val="nil"/>
              <w:left w:val="nil"/>
              <w:bottom w:val="nil"/>
              <w:right w:val="nil"/>
            </w:tcBorders>
            <w:shd w:val="clear" w:color="000000" w:fill="D9D9D9"/>
            <w:noWrap/>
            <w:vAlign w:val="bottom"/>
          </w:tcPr>
          <w:p w14:paraId="219F915E" w14:textId="63F54148" w:rsidR="00D10F67" w:rsidRPr="001E6659" w:rsidRDefault="00D10F67" w:rsidP="00D10F67">
            <w:pPr>
              <w:jc w:val="right"/>
              <w:rPr>
                <w:rFonts w:ascii="Calibri" w:eastAsia="Times New Roman" w:hAnsi="Calibri" w:cs="Calibri"/>
                <w:sz w:val="19"/>
                <w:szCs w:val="19"/>
              </w:rPr>
            </w:pPr>
            <w:r w:rsidRPr="001E6659">
              <w:rPr>
                <w:rFonts w:ascii="Calibri" w:hAnsi="Calibri" w:cs="Calibri"/>
                <w:sz w:val="19"/>
                <w:szCs w:val="19"/>
              </w:rPr>
              <w:t>-0.3%</w:t>
            </w:r>
          </w:p>
        </w:tc>
      </w:tr>
      <w:tr w:rsidR="001E6659" w:rsidRPr="00653071" w14:paraId="4459085D" w14:textId="77777777" w:rsidTr="001C196F">
        <w:trPr>
          <w:trHeight w:val="300"/>
          <w:jc w:val="center"/>
        </w:trPr>
        <w:tc>
          <w:tcPr>
            <w:tcW w:w="712" w:type="dxa"/>
            <w:tcBorders>
              <w:top w:val="nil"/>
              <w:left w:val="nil"/>
              <w:bottom w:val="nil"/>
              <w:right w:val="nil"/>
            </w:tcBorders>
            <w:shd w:val="clear" w:color="000000" w:fill="FFFFFF"/>
            <w:noWrap/>
            <w:vAlign w:val="bottom"/>
          </w:tcPr>
          <w:p w14:paraId="73E8B289" w14:textId="4F86EEDF" w:rsidR="00D10F67" w:rsidRPr="001E6659" w:rsidRDefault="00D10F67" w:rsidP="00D10F67">
            <w:pPr>
              <w:rPr>
                <w:rFonts w:ascii="Calibri" w:hAnsi="Calibri" w:cs="Calibri"/>
                <w:sz w:val="19"/>
                <w:szCs w:val="19"/>
              </w:rPr>
            </w:pPr>
            <w:r w:rsidRPr="001E6659">
              <w:rPr>
                <w:rFonts w:ascii="Calibri" w:hAnsi="Calibri" w:cs="Calibri"/>
                <w:b/>
                <w:bCs/>
                <w:sz w:val="19"/>
                <w:szCs w:val="19"/>
              </w:rPr>
              <w:t>Total</w:t>
            </w:r>
          </w:p>
        </w:tc>
        <w:tc>
          <w:tcPr>
            <w:tcW w:w="998" w:type="dxa"/>
            <w:tcBorders>
              <w:top w:val="nil"/>
              <w:left w:val="single" w:sz="4" w:space="0" w:color="00688D"/>
              <w:bottom w:val="nil"/>
              <w:right w:val="single" w:sz="4" w:space="0" w:color="00688D"/>
            </w:tcBorders>
            <w:shd w:val="clear" w:color="000000" w:fill="D9D9D9"/>
            <w:noWrap/>
            <w:vAlign w:val="bottom"/>
          </w:tcPr>
          <w:p w14:paraId="41163352" w14:textId="0686BD1A" w:rsidR="00D10F67" w:rsidRPr="001E6659" w:rsidRDefault="00D10F67" w:rsidP="00D10F67">
            <w:pPr>
              <w:jc w:val="right"/>
              <w:rPr>
                <w:rFonts w:ascii="Calibri" w:hAnsi="Calibri" w:cs="Calibri"/>
                <w:b/>
                <w:bCs/>
                <w:i/>
                <w:iCs/>
                <w:sz w:val="19"/>
                <w:szCs w:val="19"/>
              </w:rPr>
            </w:pPr>
            <w:r w:rsidRPr="001E6659">
              <w:rPr>
                <w:rFonts w:ascii="Calibri" w:hAnsi="Calibri" w:cs="Calibri"/>
                <w:b/>
                <w:bCs/>
                <w:i/>
                <w:iCs/>
                <w:sz w:val="19"/>
                <w:szCs w:val="19"/>
              </w:rPr>
              <w:t>-0.2%</w:t>
            </w:r>
          </w:p>
        </w:tc>
        <w:tc>
          <w:tcPr>
            <w:tcW w:w="808" w:type="dxa"/>
            <w:tcBorders>
              <w:top w:val="single" w:sz="4" w:space="0" w:color="auto"/>
              <w:left w:val="nil"/>
              <w:bottom w:val="double" w:sz="4" w:space="0" w:color="auto"/>
              <w:right w:val="nil"/>
            </w:tcBorders>
            <w:shd w:val="clear" w:color="000000" w:fill="FFFFFF"/>
            <w:noWrap/>
            <w:vAlign w:val="bottom"/>
          </w:tcPr>
          <w:p w14:paraId="0BBBACE1" w14:textId="7A114AFC" w:rsidR="00D10F67" w:rsidRPr="001E6659" w:rsidRDefault="00D10F67" w:rsidP="00D10F67">
            <w:pPr>
              <w:jc w:val="right"/>
              <w:rPr>
                <w:rFonts w:ascii="Calibri" w:hAnsi="Calibri" w:cs="Calibri"/>
                <w:b/>
                <w:bCs/>
                <w:sz w:val="19"/>
                <w:szCs w:val="19"/>
              </w:rPr>
            </w:pPr>
            <w:r w:rsidRPr="001E6659">
              <w:rPr>
                <w:rFonts w:ascii="Calibri" w:hAnsi="Calibri" w:cs="Calibri"/>
                <w:b/>
                <w:bCs/>
                <w:sz w:val="19"/>
                <w:szCs w:val="19"/>
              </w:rPr>
              <w:t>21,535</w:t>
            </w:r>
          </w:p>
        </w:tc>
        <w:tc>
          <w:tcPr>
            <w:tcW w:w="831" w:type="dxa"/>
            <w:tcBorders>
              <w:top w:val="nil"/>
              <w:left w:val="nil"/>
              <w:bottom w:val="nil"/>
              <w:right w:val="nil"/>
            </w:tcBorders>
            <w:shd w:val="clear" w:color="000000" w:fill="D9D9D9"/>
            <w:noWrap/>
            <w:vAlign w:val="bottom"/>
          </w:tcPr>
          <w:p w14:paraId="39E3F048" w14:textId="04769CC3" w:rsidR="00D10F67" w:rsidRPr="001E6659" w:rsidRDefault="00D10F67" w:rsidP="00D10F67">
            <w:pPr>
              <w:jc w:val="right"/>
              <w:rPr>
                <w:rFonts w:ascii="Calibri" w:hAnsi="Calibri" w:cs="Calibri"/>
                <w:b/>
                <w:bCs/>
                <w:sz w:val="19"/>
                <w:szCs w:val="19"/>
              </w:rPr>
            </w:pPr>
            <w:r w:rsidRPr="001E6659">
              <w:rPr>
                <w:rFonts w:ascii="Calibri" w:hAnsi="Calibri" w:cs="Calibri"/>
                <w:b/>
                <w:bCs/>
                <w:i/>
                <w:iCs/>
                <w:sz w:val="19"/>
                <w:szCs w:val="19"/>
              </w:rPr>
              <w:t>-0.5%</w:t>
            </w:r>
          </w:p>
        </w:tc>
        <w:tc>
          <w:tcPr>
            <w:tcW w:w="777" w:type="dxa"/>
            <w:tcBorders>
              <w:top w:val="single" w:sz="4" w:space="0" w:color="auto"/>
              <w:left w:val="nil"/>
              <w:bottom w:val="double" w:sz="6" w:space="0" w:color="auto"/>
              <w:right w:val="nil"/>
            </w:tcBorders>
            <w:shd w:val="clear" w:color="000000" w:fill="FFFFFF"/>
            <w:noWrap/>
            <w:vAlign w:val="bottom"/>
          </w:tcPr>
          <w:p w14:paraId="7885CB00" w14:textId="55689804" w:rsidR="00D10F67" w:rsidRPr="001E6659" w:rsidRDefault="00D10F67" w:rsidP="00D10F67">
            <w:pPr>
              <w:jc w:val="right"/>
              <w:rPr>
                <w:rFonts w:ascii="Calibri" w:hAnsi="Calibri" w:cs="Calibri"/>
                <w:b/>
                <w:bCs/>
                <w:sz w:val="19"/>
                <w:szCs w:val="19"/>
              </w:rPr>
            </w:pPr>
            <w:r w:rsidRPr="001E6659">
              <w:rPr>
                <w:rFonts w:ascii="Calibri" w:hAnsi="Calibri" w:cs="Calibri"/>
                <w:b/>
                <w:bCs/>
                <w:sz w:val="19"/>
                <w:szCs w:val="19"/>
              </w:rPr>
              <w:t>21,618</w:t>
            </w:r>
          </w:p>
        </w:tc>
        <w:tc>
          <w:tcPr>
            <w:tcW w:w="831" w:type="dxa"/>
            <w:tcBorders>
              <w:top w:val="nil"/>
              <w:left w:val="nil"/>
              <w:bottom w:val="nil"/>
              <w:right w:val="nil"/>
            </w:tcBorders>
            <w:shd w:val="clear" w:color="000000" w:fill="D9D9D9"/>
            <w:noWrap/>
            <w:vAlign w:val="bottom"/>
          </w:tcPr>
          <w:p w14:paraId="3FC9BED4" w14:textId="289CAD9E" w:rsidR="00D10F67" w:rsidRPr="001E6659" w:rsidRDefault="00D10F67" w:rsidP="00D10F67">
            <w:pPr>
              <w:jc w:val="right"/>
              <w:rPr>
                <w:rFonts w:ascii="Calibri" w:hAnsi="Calibri" w:cs="Calibri"/>
                <w:b/>
                <w:bCs/>
                <w:sz w:val="19"/>
                <w:szCs w:val="19"/>
              </w:rPr>
            </w:pPr>
            <w:r w:rsidRPr="001E6659">
              <w:rPr>
                <w:rFonts w:ascii="Calibri" w:hAnsi="Calibri" w:cs="Calibri"/>
                <w:b/>
                <w:bCs/>
                <w:sz w:val="19"/>
                <w:szCs w:val="19"/>
              </w:rPr>
              <w:t>0.1%</w:t>
            </w:r>
          </w:p>
        </w:tc>
        <w:tc>
          <w:tcPr>
            <w:tcW w:w="773" w:type="dxa"/>
            <w:tcBorders>
              <w:top w:val="single" w:sz="4" w:space="0" w:color="auto"/>
              <w:left w:val="nil"/>
              <w:bottom w:val="double" w:sz="6" w:space="0" w:color="auto"/>
              <w:right w:val="nil"/>
            </w:tcBorders>
            <w:shd w:val="clear" w:color="000000" w:fill="FFFFFF"/>
            <w:noWrap/>
            <w:vAlign w:val="bottom"/>
          </w:tcPr>
          <w:p w14:paraId="39AAA05C" w14:textId="53A99D4E" w:rsidR="00D10F67" w:rsidRPr="001E6659" w:rsidRDefault="00D10F67" w:rsidP="00D10F67">
            <w:pPr>
              <w:jc w:val="right"/>
              <w:rPr>
                <w:rFonts w:ascii="Calibri" w:hAnsi="Calibri" w:cs="Calibri"/>
                <w:sz w:val="19"/>
                <w:szCs w:val="19"/>
              </w:rPr>
            </w:pPr>
            <w:r w:rsidRPr="001E6659">
              <w:rPr>
                <w:rFonts w:ascii="Calibri" w:hAnsi="Calibri" w:cs="Calibri"/>
                <w:sz w:val="19"/>
                <w:szCs w:val="19"/>
              </w:rPr>
              <w:t>21,</w:t>
            </w:r>
            <w:r w:rsidR="00EF5CF4">
              <w:rPr>
                <w:rFonts w:ascii="Calibri" w:hAnsi="Calibri" w:cs="Calibri"/>
                <w:sz w:val="19"/>
                <w:szCs w:val="19"/>
              </w:rPr>
              <w:t>924</w:t>
            </w:r>
          </w:p>
        </w:tc>
        <w:tc>
          <w:tcPr>
            <w:tcW w:w="831" w:type="dxa"/>
            <w:tcBorders>
              <w:top w:val="nil"/>
              <w:left w:val="nil"/>
              <w:bottom w:val="nil"/>
              <w:right w:val="nil"/>
            </w:tcBorders>
            <w:shd w:val="clear" w:color="000000" w:fill="D9D9D9"/>
            <w:noWrap/>
            <w:vAlign w:val="bottom"/>
          </w:tcPr>
          <w:p w14:paraId="61D6BEFD" w14:textId="01C93C60" w:rsidR="00D10F67" w:rsidRPr="001E6659" w:rsidRDefault="00D10F67" w:rsidP="00D10F67">
            <w:pPr>
              <w:jc w:val="right"/>
              <w:rPr>
                <w:rFonts w:ascii="Calibri" w:hAnsi="Calibri" w:cs="Calibri"/>
                <w:sz w:val="19"/>
                <w:szCs w:val="19"/>
              </w:rPr>
            </w:pPr>
            <w:r w:rsidRPr="001E6659">
              <w:rPr>
                <w:rFonts w:ascii="Calibri" w:hAnsi="Calibri" w:cs="Calibri"/>
                <w:sz w:val="19"/>
                <w:szCs w:val="19"/>
              </w:rPr>
              <w:t>-1.0%</w:t>
            </w:r>
          </w:p>
        </w:tc>
        <w:tc>
          <w:tcPr>
            <w:tcW w:w="805" w:type="dxa"/>
            <w:tcBorders>
              <w:top w:val="single" w:sz="4" w:space="0" w:color="auto"/>
              <w:left w:val="nil"/>
              <w:bottom w:val="double" w:sz="6" w:space="0" w:color="auto"/>
              <w:right w:val="nil"/>
            </w:tcBorders>
            <w:shd w:val="clear" w:color="000000" w:fill="FFFFFF"/>
            <w:noWrap/>
            <w:vAlign w:val="bottom"/>
          </w:tcPr>
          <w:p w14:paraId="0669DA63" w14:textId="2D048F94" w:rsidR="00D10F67" w:rsidRPr="001E6659" w:rsidRDefault="00D10F67" w:rsidP="00D10F67">
            <w:pPr>
              <w:jc w:val="right"/>
              <w:rPr>
                <w:rFonts w:ascii="Calibri" w:hAnsi="Calibri" w:cs="Calibri"/>
                <w:sz w:val="19"/>
                <w:szCs w:val="19"/>
              </w:rPr>
            </w:pPr>
            <w:r w:rsidRPr="001E6659">
              <w:rPr>
                <w:rFonts w:ascii="Calibri" w:hAnsi="Calibri" w:cs="Calibri"/>
                <w:sz w:val="19"/>
                <w:szCs w:val="19"/>
              </w:rPr>
              <w:t>2</w:t>
            </w:r>
            <w:r w:rsidR="00EF5CF4">
              <w:rPr>
                <w:rFonts w:ascii="Calibri" w:hAnsi="Calibri" w:cs="Calibri"/>
                <w:sz w:val="19"/>
                <w:szCs w:val="19"/>
              </w:rPr>
              <w:t>2,033</w:t>
            </w:r>
          </w:p>
        </w:tc>
        <w:tc>
          <w:tcPr>
            <w:tcW w:w="831" w:type="dxa"/>
            <w:tcBorders>
              <w:top w:val="nil"/>
              <w:left w:val="nil"/>
              <w:bottom w:val="nil"/>
              <w:right w:val="nil"/>
            </w:tcBorders>
            <w:shd w:val="clear" w:color="000000" w:fill="D9D9D9"/>
            <w:noWrap/>
            <w:vAlign w:val="bottom"/>
          </w:tcPr>
          <w:p w14:paraId="25EBBFB7" w14:textId="3581685F" w:rsidR="00D10F67" w:rsidRPr="001E6659" w:rsidRDefault="00D10F67" w:rsidP="00D10F67">
            <w:pPr>
              <w:jc w:val="right"/>
              <w:rPr>
                <w:rFonts w:ascii="Calibri" w:hAnsi="Calibri" w:cs="Calibri"/>
                <w:sz w:val="19"/>
                <w:szCs w:val="19"/>
              </w:rPr>
            </w:pPr>
            <w:r w:rsidRPr="001E6659">
              <w:rPr>
                <w:rFonts w:ascii="Calibri" w:hAnsi="Calibri" w:cs="Calibri"/>
                <w:sz w:val="19"/>
                <w:szCs w:val="19"/>
              </w:rPr>
              <w:t>0.7%</w:t>
            </w:r>
          </w:p>
        </w:tc>
        <w:tc>
          <w:tcPr>
            <w:tcW w:w="789" w:type="dxa"/>
            <w:tcBorders>
              <w:top w:val="single" w:sz="4" w:space="0" w:color="auto"/>
              <w:left w:val="nil"/>
              <w:bottom w:val="double" w:sz="6" w:space="0" w:color="auto"/>
              <w:right w:val="nil"/>
            </w:tcBorders>
            <w:shd w:val="clear" w:color="000000" w:fill="FFFFFF"/>
            <w:noWrap/>
            <w:vAlign w:val="bottom"/>
          </w:tcPr>
          <w:p w14:paraId="60268859" w14:textId="2304FD3B" w:rsidR="00D10F67" w:rsidRPr="001E6659" w:rsidRDefault="00D10F67" w:rsidP="00D10F67">
            <w:pPr>
              <w:jc w:val="right"/>
              <w:rPr>
                <w:rFonts w:ascii="Calibri" w:hAnsi="Calibri" w:cs="Calibri"/>
                <w:sz w:val="19"/>
                <w:szCs w:val="19"/>
              </w:rPr>
            </w:pPr>
            <w:r w:rsidRPr="001E6659">
              <w:rPr>
                <w:rFonts w:ascii="Calibri" w:hAnsi="Calibri" w:cs="Calibri"/>
                <w:sz w:val="19"/>
                <w:szCs w:val="19"/>
              </w:rPr>
              <w:t>21,</w:t>
            </w:r>
            <w:r w:rsidR="00EF5CF4">
              <w:rPr>
                <w:rFonts w:ascii="Calibri" w:hAnsi="Calibri" w:cs="Calibri"/>
                <w:sz w:val="19"/>
                <w:szCs w:val="19"/>
              </w:rPr>
              <w:t>812</w:t>
            </w:r>
          </w:p>
        </w:tc>
        <w:tc>
          <w:tcPr>
            <w:tcW w:w="831" w:type="dxa"/>
            <w:tcBorders>
              <w:top w:val="nil"/>
              <w:left w:val="nil"/>
              <w:bottom w:val="nil"/>
              <w:right w:val="nil"/>
            </w:tcBorders>
            <w:shd w:val="clear" w:color="000000" w:fill="D9D9D9"/>
            <w:noWrap/>
            <w:vAlign w:val="bottom"/>
          </w:tcPr>
          <w:p w14:paraId="4149B95D" w14:textId="1B396FA8" w:rsidR="00D10F67" w:rsidRPr="001E6659" w:rsidRDefault="00D10F67" w:rsidP="00D10F67">
            <w:pPr>
              <w:jc w:val="right"/>
              <w:rPr>
                <w:rFonts w:ascii="Calibri" w:hAnsi="Calibri" w:cs="Calibri"/>
                <w:sz w:val="19"/>
                <w:szCs w:val="19"/>
              </w:rPr>
            </w:pPr>
            <w:r w:rsidRPr="001E6659">
              <w:rPr>
                <w:rFonts w:ascii="Calibri" w:hAnsi="Calibri" w:cs="Calibri"/>
                <w:sz w:val="19"/>
                <w:szCs w:val="19"/>
              </w:rPr>
              <w:t>-0.2%</w:t>
            </w:r>
          </w:p>
        </w:tc>
      </w:tr>
    </w:tbl>
    <w:p w14:paraId="53618EE5" w14:textId="77777777" w:rsidR="00987D33" w:rsidRPr="00540652" w:rsidRDefault="00987D33" w:rsidP="00987D33">
      <w:pPr>
        <w:tabs>
          <w:tab w:val="left" w:pos="4860"/>
          <w:tab w:val="left" w:pos="8280"/>
        </w:tabs>
        <w:jc w:val="center"/>
        <w:rPr>
          <w:rFonts w:ascii="Calibri" w:eastAsia="Times New Roman" w:hAnsi="Calibri" w:cs="Tahoma"/>
          <w:bCs/>
          <w:smallCaps/>
          <w:sz w:val="2"/>
        </w:rPr>
      </w:pPr>
      <w:r>
        <w:rPr>
          <w:rFonts w:ascii="Calibri" w:eastAsia="Times New Roman" w:hAnsi="Calibri" w:cs="Tahoma"/>
          <w:b/>
          <w:bCs/>
          <w:smallCaps/>
          <w:u w:val="single"/>
        </w:rPr>
        <w:fldChar w:fldCharType="end"/>
      </w:r>
    </w:p>
    <w:p w14:paraId="77D1E44B" w14:textId="77777777" w:rsidR="002C201C" w:rsidRDefault="002C201C">
      <w:pPr>
        <w:spacing w:after="160" w:line="259" w:lineRule="auto"/>
        <w:rPr>
          <w:b/>
          <w:i/>
          <w:sz w:val="26"/>
          <w:u w:val="single"/>
        </w:rPr>
      </w:pPr>
      <w:r>
        <w:br w:type="page"/>
      </w:r>
    </w:p>
    <w:p w14:paraId="6EB5C25D" w14:textId="29D8A8D6" w:rsidR="00987D33" w:rsidRDefault="00987D33" w:rsidP="00987D33">
      <w:pPr>
        <w:pStyle w:val="ReportHeading3"/>
        <w:spacing w:before="240"/>
      </w:pPr>
      <w:r>
        <w:lastRenderedPageBreak/>
        <w:t>Student Comprehensive Cost of Education</w:t>
      </w:r>
    </w:p>
    <w:p w14:paraId="4DEE5049" w14:textId="70C3D59F" w:rsidR="00987D33" w:rsidRDefault="00987D33" w:rsidP="00987D33">
      <w:pPr>
        <w:tabs>
          <w:tab w:val="left" w:pos="4860"/>
        </w:tabs>
        <w:rPr>
          <w:rFonts w:ascii="Calibri" w:eastAsia="Times New Roman" w:hAnsi="Calibri" w:cs="Tahoma"/>
          <w:sz w:val="24"/>
          <w:szCs w:val="24"/>
        </w:rPr>
      </w:pPr>
      <w:r>
        <w:rPr>
          <w:rFonts w:ascii="Calibri" w:eastAsia="Times New Roman" w:hAnsi="Calibri" w:cs="Tahoma"/>
          <w:sz w:val="24"/>
          <w:szCs w:val="24"/>
        </w:rPr>
        <w:t>Net student fee revenue, totaling $</w:t>
      </w:r>
      <w:r w:rsidR="00E933F2" w:rsidRPr="00721CFD">
        <w:rPr>
          <w:rFonts w:ascii="Calibri" w:eastAsia="Times New Roman" w:hAnsi="Calibri" w:cs="Tahoma"/>
          <w:sz w:val="24"/>
          <w:szCs w:val="24"/>
        </w:rPr>
        <w:t>2</w:t>
      </w:r>
      <w:r w:rsidR="00E933F2">
        <w:rPr>
          <w:rFonts w:ascii="Calibri" w:eastAsia="Times New Roman" w:hAnsi="Calibri" w:cs="Tahoma"/>
          <w:sz w:val="24"/>
          <w:szCs w:val="24"/>
        </w:rPr>
        <w:t xml:space="preserve">63 </w:t>
      </w:r>
      <w:r>
        <w:rPr>
          <w:rFonts w:ascii="Calibri" w:eastAsia="Times New Roman" w:hAnsi="Calibri" w:cs="Tahoma"/>
          <w:sz w:val="24"/>
          <w:szCs w:val="24"/>
        </w:rPr>
        <w:t xml:space="preserve">million in </w:t>
      </w:r>
      <w:r w:rsidR="001C196F">
        <w:rPr>
          <w:rFonts w:ascii="Calibri" w:eastAsia="Times New Roman" w:hAnsi="Calibri" w:cs="Tahoma"/>
          <w:sz w:val="24"/>
          <w:szCs w:val="24"/>
        </w:rPr>
        <w:t xml:space="preserve">FY22 </w:t>
      </w:r>
      <w:r>
        <w:rPr>
          <w:rFonts w:ascii="Calibri" w:eastAsia="Times New Roman" w:hAnsi="Calibri" w:cs="Tahoma"/>
          <w:sz w:val="24"/>
          <w:szCs w:val="24"/>
        </w:rPr>
        <w:t>and $</w:t>
      </w:r>
      <w:r w:rsidR="001C196F">
        <w:rPr>
          <w:rFonts w:ascii="Calibri" w:eastAsia="Times New Roman" w:hAnsi="Calibri" w:cs="Tahoma"/>
          <w:sz w:val="24"/>
          <w:szCs w:val="24"/>
        </w:rPr>
        <w:t xml:space="preserve">238 </w:t>
      </w:r>
      <w:r>
        <w:rPr>
          <w:rFonts w:ascii="Calibri" w:eastAsia="Times New Roman" w:hAnsi="Calibri" w:cs="Tahoma"/>
          <w:sz w:val="24"/>
          <w:szCs w:val="24"/>
        </w:rPr>
        <w:t xml:space="preserve">million in </w:t>
      </w:r>
      <w:r w:rsidR="001C196F">
        <w:rPr>
          <w:rFonts w:ascii="Calibri" w:eastAsia="Times New Roman" w:hAnsi="Calibri" w:cs="Tahoma"/>
          <w:sz w:val="24"/>
          <w:szCs w:val="24"/>
        </w:rPr>
        <w:t>FY21</w:t>
      </w:r>
      <w:r>
        <w:rPr>
          <w:rFonts w:ascii="Calibri" w:eastAsia="Times New Roman" w:hAnsi="Calibri" w:cs="Tahoma"/>
          <w:sz w:val="24"/>
          <w:szCs w:val="24"/>
        </w:rPr>
        <w:t xml:space="preserve">, is the System’s greatest source of revenue, contributing </w:t>
      </w:r>
      <w:r w:rsidR="00E933F2" w:rsidRPr="00721CFD">
        <w:rPr>
          <w:rFonts w:ascii="Calibri" w:eastAsia="Times New Roman" w:hAnsi="Calibri" w:cs="Tahoma"/>
          <w:sz w:val="24"/>
          <w:szCs w:val="24"/>
        </w:rPr>
        <w:t>3</w:t>
      </w:r>
      <w:r w:rsidR="00E933F2">
        <w:rPr>
          <w:rFonts w:ascii="Calibri" w:eastAsia="Times New Roman" w:hAnsi="Calibri" w:cs="Tahoma"/>
          <w:sz w:val="24"/>
          <w:szCs w:val="24"/>
        </w:rPr>
        <w:t>3</w:t>
      </w:r>
      <w:r w:rsidRPr="00AE71D8">
        <w:rPr>
          <w:rFonts w:ascii="Calibri" w:eastAsia="Times New Roman" w:hAnsi="Calibri" w:cs="Tahoma"/>
          <w:sz w:val="24"/>
          <w:szCs w:val="24"/>
        </w:rPr>
        <w:t>%</w:t>
      </w:r>
      <w:r>
        <w:rPr>
          <w:rFonts w:ascii="Calibri" w:eastAsia="Times New Roman" w:hAnsi="Calibri" w:cs="Tahoma"/>
          <w:sz w:val="24"/>
          <w:szCs w:val="24"/>
        </w:rPr>
        <w:t xml:space="preserve"> of total operating and net nonoperating revenues for FY2</w:t>
      </w:r>
      <w:r w:rsidR="001C196F">
        <w:rPr>
          <w:rFonts w:ascii="Calibri" w:eastAsia="Times New Roman" w:hAnsi="Calibri" w:cs="Tahoma"/>
          <w:sz w:val="24"/>
          <w:szCs w:val="24"/>
        </w:rPr>
        <w:t>2</w:t>
      </w:r>
      <w:r>
        <w:rPr>
          <w:rFonts w:ascii="Calibri" w:eastAsia="Times New Roman" w:hAnsi="Calibri" w:cs="Tahoma"/>
          <w:sz w:val="24"/>
          <w:szCs w:val="24"/>
        </w:rPr>
        <w:t xml:space="preserve">. </w:t>
      </w:r>
      <w:r>
        <w:rPr>
          <w:rFonts w:eastAsia="Times New Roman" w:cstheme="minorHAnsi"/>
          <w:sz w:val="24"/>
        </w:rPr>
        <w:t xml:space="preserve">Net student fees represented </w:t>
      </w:r>
      <w:r w:rsidR="001C196F" w:rsidRPr="001C196F">
        <w:rPr>
          <w:rFonts w:eastAsia="Times New Roman" w:cstheme="minorHAnsi"/>
          <w:sz w:val="24"/>
        </w:rPr>
        <w:t>3</w:t>
      </w:r>
      <w:r w:rsidR="001C196F">
        <w:rPr>
          <w:rFonts w:eastAsia="Times New Roman" w:cstheme="minorHAnsi"/>
          <w:sz w:val="24"/>
        </w:rPr>
        <w:t>2</w:t>
      </w:r>
      <w:r>
        <w:rPr>
          <w:rFonts w:eastAsia="Times New Roman" w:cstheme="minorHAnsi"/>
          <w:sz w:val="24"/>
        </w:rPr>
        <w:t xml:space="preserve">% of the total operating and net nonoperating revenues for </w:t>
      </w:r>
      <w:r w:rsidR="001C196F">
        <w:rPr>
          <w:rFonts w:eastAsia="Times New Roman" w:cstheme="minorHAnsi"/>
          <w:sz w:val="24"/>
        </w:rPr>
        <w:t>FY21</w:t>
      </w:r>
      <w:r>
        <w:rPr>
          <w:rFonts w:eastAsia="Times New Roman" w:cstheme="minorHAnsi"/>
          <w:sz w:val="24"/>
        </w:rPr>
        <w:t>.</w:t>
      </w:r>
      <w:r>
        <w:rPr>
          <w:rFonts w:ascii="Calibri" w:eastAsia="Times New Roman" w:hAnsi="Calibri" w:cs="Tahoma"/>
          <w:sz w:val="24"/>
          <w:szCs w:val="24"/>
        </w:rPr>
        <w:t xml:space="preserve"> Such revenues are impacted by enrollment levels; tuition, room and board, and fee levels; and the amount of scholarship allowances provided to students.</w:t>
      </w:r>
    </w:p>
    <w:p w14:paraId="4A8AECF1" w14:textId="77777777" w:rsidR="00987D33" w:rsidRPr="00DE50BF" w:rsidRDefault="00987D33" w:rsidP="00987D33">
      <w:pPr>
        <w:tabs>
          <w:tab w:val="left" w:pos="4860"/>
        </w:tabs>
        <w:ind w:left="360"/>
        <w:rPr>
          <w:rFonts w:ascii="Calibri" w:eastAsia="Times New Roman" w:hAnsi="Calibri" w:cs="Tahoma"/>
          <w:sz w:val="20"/>
          <w:szCs w:val="24"/>
        </w:rPr>
      </w:pPr>
    </w:p>
    <w:p w14:paraId="4EB0AD05" w14:textId="2F3B8207" w:rsidR="00987D33" w:rsidRDefault="00987D33" w:rsidP="00987D33">
      <w:pPr>
        <w:tabs>
          <w:tab w:val="left" w:pos="4860"/>
        </w:tabs>
        <w:rPr>
          <w:rFonts w:ascii="Calibri" w:eastAsia="Times New Roman" w:hAnsi="Calibri" w:cs="Tahoma"/>
          <w:sz w:val="24"/>
          <w:szCs w:val="24"/>
        </w:rPr>
      </w:pPr>
      <w:r>
        <w:rPr>
          <w:rFonts w:ascii="Calibri" w:eastAsia="Times New Roman" w:hAnsi="Calibri" w:cs="Tahoma"/>
          <w:sz w:val="24"/>
          <w:szCs w:val="24"/>
        </w:rPr>
        <w:t xml:space="preserve">The average comprehensive cost of education (tuition, mandatory fees, and room and board) for UMS undergraduate, graduate, and law school students is shown in Table 2. The percentage changes for the comprehensive cost of education in </w:t>
      </w:r>
      <w:r w:rsidR="001C196F">
        <w:rPr>
          <w:rFonts w:ascii="Calibri" w:eastAsia="Times New Roman" w:hAnsi="Calibri" w:cs="Tahoma"/>
          <w:sz w:val="24"/>
          <w:szCs w:val="24"/>
        </w:rPr>
        <w:t xml:space="preserve">FY22 </w:t>
      </w:r>
      <w:r>
        <w:rPr>
          <w:rFonts w:ascii="Calibri" w:eastAsia="Times New Roman" w:hAnsi="Calibri" w:cs="Tahoma"/>
          <w:sz w:val="24"/>
          <w:szCs w:val="24"/>
        </w:rPr>
        <w:t xml:space="preserve">range from an increase of </w:t>
      </w:r>
      <w:r w:rsidR="00EB5ED1">
        <w:rPr>
          <w:rFonts w:ascii="Calibri" w:eastAsia="Times New Roman" w:hAnsi="Calibri" w:cs="Tahoma"/>
          <w:sz w:val="24"/>
          <w:szCs w:val="24"/>
        </w:rPr>
        <w:t>3.6% for</w:t>
      </w:r>
      <w:r w:rsidR="00DE7E2B">
        <w:rPr>
          <w:rFonts w:ascii="Calibri" w:eastAsia="Times New Roman" w:hAnsi="Calibri" w:cs="Tahoma"/>
          <w:sz w:val="24"/>
          <w:szCs w:val="24"/>
        </w:rPr>
        <w:t xml:space="preserve"> in-state, out-of-state, and Canadian undergraduate students to an increase of </w:t>
      </w:r>
      <w:r w:rsidR="00EB5ED1">
        <w:rPr>
          <w:rFonts w:ascii="Calibri" w:eastAsia="Times New Roman" w:hAnsi="Calibri" w:cs="Tahoma"/>
          <w:sz w:val="24"/>
          <w:szCs w:val="24"/>
        </w:rPr>
        <w:t>6.7</w:t>
      </w:r>
      <w:r>
        <w:rPr>
          <w:rFonts w:ascii="Calibri" w:eastAsia="Times New Roman" w:hAnsi="Calibri" w:cs="Tahoma"/>
          <w:sz w:val="24"/>
          <w:szCs w:val="24"/>
        </w:rPr>
        <w:t xml:space="preserve">% for </w:t>
      </w:r>
      <w:r w:rsidR="00EB5ED1">
        <w:rPr>
          <w:rFonts w:ascii="Calibri" w:eastAsia="Times New Roman" w:hAnsi="Calibri" w:cs="Tahoma"/>
          <w:sz w:val="24"/>
          <w:szCs w:val="24"/>
        </w:rPr>
        <w:t>in-state law</w:t>
      </w:r>
      <w:r>
        <w:rPr>
          <w:rFonts w:ascii="Calibri" w:eastAsia="Times New Roman" w:hAnsi="Calibri" w:cs="Tahoma"/>
          <w:sz w:val="24"/>
          <w:szCs w:val="24"/>
        </w:rPr>
        <w:t xml:space="preserve"> students.</w:t>
      </w:r>
      <w:r w:rsidR="00DE7E2B">
        <w:rPr>
          <w:rFonts w:ascii="Calibri" w:eastAsia="Times New Roman" w:hAnsi="Calibri" w:cs="Tahoma"/>
          <w:sz w:val="24"/>
          <w:szCs w:val="24"/>
        </w:rPr>
        <w:t xml:space="preserve"> </w:t>
      </w:r>
      <w:r>
        <w:rPr>
          <w:rFonts w:ascii="Calibri" w:eastAsia="Times New Roman" w:hAnsi="Calibri" w:cs="Tahoma"/>
          <w:sz w:val="24"/>
          <w:szCs w:val="24"/>
        </w:rPr>
        <w:t xml:space="preserve"> Percentage changes in </w:t>
      </w:r>
      <w:r w:rsidR="00DE7E2B">
        <w:rPr>
          <w:rFonts w:ascii="Calibri" w:eastAsia="Times New Roman" w:hAnsi="Calibri" w:cs="Tahoma"/>
          <w:sz w:val="24"/>
          <w:szCs w:val="24"/>
        </w:rPr>
        <w:t xml:space="preserve">FY21 </w:t>
      </w:r>
      <w:r>
        <w:rPr>
          <w:rFonts w:ascii="Calibri" w:eastAsia="Times New Roman" w:hAnsi="Calibri" w:cs="Tahoma"/>
          <w:sz w:val="24"/>
          <w:szCs w:val="24"/>
        </w:rPr>
        <w:t xml:space="preserve">ranged from an increase of </w:t>
      </w:r>
      <w:r w:rsidR="00DE7E2B">
        <w:rPr>
          <w:rFonts w:ascii="Calibri" w:eastAsia="Times New Roman" w:hAnsi="Calibri" w:cs="Tahoma"/>
          <w:sz w:val="24"/>
          <w:szCs w:val="24"/>
        </w:rPr>
        <w:t>3.2</w:t>
      </w:r>
      <w:r>
        <w:rPr>
          <w:rFonts w:ascii="Calibri" w:eastAsia="Times New Roman" w:hAnsi="Calibri" w:cs="Tahoma"/>
          <w:sz w:val="24"/>
          <w:szCs w:val="24"/>
        </w:rPr>
        <w:t xml:space="preserve">% for </w:t>
      </w:r>
      <w:r w:rsidR="00DE7E2B">
        <w:rPr>
          <w:rFonts w:ascii="Calibri" w:eastAsia="Times New Roman" w:hAnsi="Calibri" w:cs="Tahoma"/>
          <w:sz w:val="24"/>
          <w:szCs w:val="24"/>
        </w:rPr>
        <w:t>out-of</w:t>
      </w:r>
      <w:r>
        <w:rPr>
          <w:rFonts w:ascii="Calibri" w:eastAsia="Times New Roman" w:hAnsi="Calibri" w:cs="Tahoma"/>
          <w:sz w:val="24"/>
          <w:szCs w:val="24"/>
        </w:rPr>
        <w:t>-state</w:t>
      </w:r>
      <w:r w:rsidR="00DE7E2B">
        <w:rPr>
          <w:rFonts w:ascii="Calibri" w:eastAsia="Times New Roman" w:hAnsi="Calibri" w:cs="Tahoma"/>
          <w:sz w:val="24"/>
          <w:szCs w:val="24"/>
        </w:rPr>
        <w:t xml:space="preserve"> and</w:t>
      </w:r>
      <w:r>
        <w:rPr>
          <w:rFonts w:ascii="Calibri" w:eastAsia="Times New Roman" w:hAnsi="Calibri" w:cs="Tahoma"/>
          <w:sz w:val="24"/>
          <w:szCs w:val="24"/>
        </w:rPr>
        <w:t xml:space="preserve"> NEBHE undergraduate students, down to a </w:t>
      </w:r>
      <w:r w:rsidR="00DE7E2B">
        <w:rPr>
          <w:rFonts w:ascii="Calibri" w:eastAsia="Times New Roman" w:hAnsi="Calibri" w:cs="Tahoma"/>
          <w:sz w:val="24"/>
          <w:szCs w:val="24"/>
        </w:rPr>
        <w:t xml:space="preserve">decrease </w:t>
      </w:r>
      <w:r>
        <w:rPr>
          <w:rFonts w:ascii="Calibri" w:eastAsia="Times New Roman" w:hAnsi="Calibri" w:cs="Tahoma"/>
          <w:sz w:val="24"/>
          <w:szCs w:val="24"/>
        </w:rPr>
        <w:t xml:space="preserve">of </w:t>
      </w:r>
      <w:r w:rsidR="00DE7E2B">
        <w:rPr>
          <w:rFonts w:ascii="Calibri" w:eastAsia="Times New Roman" w:hAnsi="Calibri" w:cs="Tahoma"/>
          <w:sz w:val="24"/>
          <w:szCs w:val="24"/>
        </w:rPr>
        <w:t>20.3</w:t>
      </w:r>
      <w:r>
        <w:rPr>
          <w:rFonts w:ascii="Calibri" w:eastAsia="Times New Roman" w:hAnsi="Calibri" w:cs="Tahoma"/>
          <w:sz w:val="24"/>
          <w:szCs w:val="24"/>
        </w:rPr>
        <w:t xml:space="preserve">% for </w:t>
      </w:r>
      <w:r w:rsidR="00DE7E2B">
        <w:rPr>
          <w:rFonts w:ascii="Calibri" w:eastAsia="Times New Roman" w:hAnsi="Calibri" w:cs="Tahoma"/>
          <w:sz w:val="24"/>
          <w:szCs w:val="24"/>
        </w:rPr>
        <w:t xml:space="preserve">Canadian </w:t>
      </w:r>
      <w:r w:rsidR="00D27EB0">
        <w:rPr>
          <w:rFonts w:ascii="Calibri" w:eastAsia="Times New Roman" w:hAnsi="Calibri" w:cs="Tahoma"/>
          <w:sz w:val="24"/>
          <w:szCs w:val="24"/>
        </w:rPr>
        <w:t>g</w:t>
      </w:r>
      <w:r w:rsidR="00DE7E2B">
        <w:rPr>
          <w:rFonts w:ascii="Calibri" w:eastAsia="Times New Roman" w:hAnsi="Calibri" w:cs="Tahoma"/>
          <w:sz w:val="24"/>
          <w:szCs w:val="24"/>
        </w:rPr>
        <w:t>raduate</w:t>
      </w:r>
      <w:r>
        <w:rPr>
          <w:rFonts w:ascii="Calibri" w:eastAsia="Times New Roman" w:hAnsi="Calibri" w:cs="Tahoma"/>
          <w:sz w:val="24"/>
          <w:szCs w:val="24"/>
        </w:rPr>
        <w:t xml:space="preserve"> students.</w:t>
      </w:r>
    </w:p>
    <w:p w14:paraId="6AEA7FFE" w14:textId="77777777" w:rsidR="00987D33" w:rsidRDefault="00987D33" w:rsidP="00987D33">
      <w:pPr>
        <w:tabs>
          <w:tab w:val="left" w:pos="4860"/>
        </w:tabs>
        <w:rPr>
          <w:rFonts w:ascii="Calibri" w:eastAsia="Times New Roman" w:hAnsi="Calibri" w:cs="Tahoma"/>
          <w:sz w:val="24"/>
          <w:szCs w:val="24"/>
        </w:rPr>
      </w:pPr>
    </w:p>
    <w:p w14:paraId="413D11AF" w14:textId="4B5E442D" w:rsidR="00987D33" w:rsidRDefault="00987D33" w:rsidP="00987D33">
      <w:pPr>
        <w:tabs>
          <w:tab w:val="left" w:pos="4860"/>
        </w:tabs>
        <w:rPr>
          <w:rFonts w:ascii="Calibri" w:eastAsia="Times New Roman" w:hAnsi="Calibri" w:cs="Tahoma"/>
          <w:sz w:val="24"/>
          <w:szCs w:val="24"/>
        </w:rPr>
      </w:pPr>
      <w:r>
        <w:rPr>
          <w:rFonts w:ascii="Calibri" w:eastAsia="Times New Roman" w:hAnsi="Calibri" w:cs="Tahoma"/>
          <w:sz w:val="24"/>
          <w:szCs w:val="24"/>
        </w:rPr>
        <w:t xml:space="preserve">The </w:t>
      </w:r>
      <w:r w:rsidR="002339CB">
        <w:rPr>
          <w:rFonts w:ascii="Calibri" w:eastAsia="Times New Roman" w:hAnsi="Calibri" w:cs="Tahoma"/>
          <w:sz w:val="24"/>
          <w:szCs w:val="24"/>
        </w:rPr>
        <w:t xml:space="preserve">FY22 </w:t>
      </w:r>
      <w:r>
        <w:rPr>
          <w:rFonts w:ascii="Calibri" w:eastAsia="Times New Roman" w:hAnsi="Calibri" w:cs="Tahoma"/>
          <w:sz w:val="24"/>
          <w:szCs w:val="24"/>
        </w:rPr>
        <w:t xml:space="preserve">in-state undergraduate tuition increased </w:t>
      </w:r>
      <w:r w:rsidR="005D6E34">
        <w:rPr>
          <w:rFonts w:ascii="Calibri" w:eastAsia="Times New Roman" w:hAnsi="Calibri" w:cs="Tahoma"/>
          <w:sz w:val="24"/>
          <w:szCs w:val="24"/>
        </w:rPr>
        <w:t>at UM and UMM, by 26.0% and 15.1% respectively, which includes the revenue neutral “roll-up” of the mandatory fees into the tuition rate.</w:t>
      </w:r>
      <w:r>
        <w:rPr>
          <w:rFonts w:ascii="Calibri" w:eastAsia="Times New Roman" w:hAnsi="Calibri" w:cs="Tahoma"/>
          <w:sz w:val="24"/>
          <w:szCs w:val="24"/>
        </w:rPr>
        <w:t xml:space="preserve"> </w:t>
      </w:r>
      <w:r w:rsidR="005D6E34">
        <w:rPr>
          <w:rFonts w:ascii="Calibri" w:eastAsia="Times New Roman" w:hAnsi="Calibri" w:cs="Tahoma"/>
          <w:sz w:val="24"/>
          <w:szCs w:val="24"/>
        </w:rPr>
        <w:t xml:space="preserve"> T</w:t>
      </w:r>
      <w:r>
        <w:rPr>
          <w:rFonts w:ascii="Calibri" w:eastAsia="Times New Roman" w:hAnsi="Calibri" w:cs="Tahoma"/>
          <w:sz w:val="24"/>
          <w:szCs w:val="24"/>
        </w:rPr>
        <w:t xml:space="preserve">he overall </w:t>
      </w:r>
      <w:r w:rsidR="005D6E34">
        <w:rPr>
          <w:rFonts w:ascii="Calibri" w:eastAsia="Times New Roman" w:hAnsi="Calibri" w:cs="Tahoma"/>
          <w:sz w:val="24"/>
          <w:szCs w:val="24"/>
        </w:rPr>
        <w:t xml:space="preserve">System-wide </w:t>
      </w:r>
      <w:r>
        <w:rPr>
          <w:rFonts w:ascii="Calibri" w:eastAsia="Times New Roman" w:hAnsi="Calibri" w:cs="Tahoma"/>
          <w:sz w:val="24"/>
          <w:szCs w:val="24"/>
        </w:rPr>
        <w:t>average comprehensive cost of education for this same category of students increased 3.</w:t>
      </w:r>
      <w:r w:rsidR="00094916">
        <w:rPr>
          <w:rFonts w:ascii="Calibri" w:eastAsia="Times New Roman" w:hAnsi="Calibri" w:cs="Tahoma"/>
          <w:sz w:val="24"/>
          <w:szCs w:val="24"/>
        </w:rPr>
        <w:t>6</w:t>
      </w:r>
      <w:r>
        <w:rPr>
          <w:rFonts w:ascii="Calibri" w:eastAsia="Times New Roman" w:hAnsi="Calibri" w:cs="Tahoma"/>
          <w:sz w:val="24"/>
          <w:szCs w:val="24"/>
        </w:rPr>
        <w:t xml:space="preserve">%. In </w:t>
      </w:r>
      <w:r w:rsidR="002339CB">
        <w:rPr>
          <w:rFonts w:ascii="Calibri" w:eastAsia="Times New Roman" w:hAnsi="Calibri" w:cs="Tahoma"/>
          <w:sz w:val="24"/>
          <w:szCs w:val="24"/>
        </w:rPr>
        <w:t>FY21</w:t>
      </w:r>
      <w:r>
        <w:rPr>
          <w:rFonts w:ascii="Calibri" w:eastAsia="Times New Roman" w:hAnsi="Calibri" w:cs="Tahoma"/>
          <w:sz w:val="24"/>
          <w:szCs w:val="24"/>
        </w:rPr>
        <w:t>, the System increased tuition for in-state undergraduate students by a system-wide average of 2.</w:t>
      </w:r>
      <w:r w:rsidR="002339CB">
        <w:rPr>
          <w:rFonts w:ascii="Calibri" w:eastAsia="Times New Roman" w:hAnsi="Calibri" w:cs="Tahoma"/>
          <w:sz w:val="24"/>
          <w:szCs w:val="24"/>
        </w:rPr>
        <w:t>5</w:t>
      </w:r>
      <w:r>
        <w:rPr>
          <w:rFonts w:ascii="Calibri" w:eastAsia="Times New Roman" w:hAnsi="Calibri" w:cs="Tahoma"/>
          <w:sz w:val="24"/>
          <w:szCs w:val="24"/>
        </w:rPr>
        <w:t xml:space="preserve">% where the overall average comprehensive cost of education for this same category of students increased </w:t>
      </w:r>
      <w:r w:rsidR="002339CB">
        <w:rPr>
          <w:rFonts w:ascii="Calibri" w:eastAsia="Times New Roman" w:hAnsi="Calibri" w:cs="Tahoma"/>
          <w:sz w:val="24"/>
          <w:szCs w:val="24"/>
        </w:rPr>
        <w:t>3.0</w:t>
      </w:r>
      <w:r>
        <w:rPr>
          <w:rFonts w:ascii="Calibri" w:eastAsia="Times New Roman" w:hAnsi="Calibri" w:cs="Tahoma"/>
          <w:sz w:val="24"/>
          <w:szCs w:val="24"/>
        </w:rPr>
        <w:t>%.</w:t>
      </w:r>
    </w:p>
    <w:p w14:paraId="21AD78F8" w14:textId="59A53590" w:rsidR="00E575CF" w:rsidRDefault="00E575CF">
      <w:pPr>
        <w:spacing w:after="160" w:line="259" w:lineRule="auto"/>
        <w:rPr>
          <w:rFonts w:ascii="Calibri" w:eastAsia="Times New Roman" w:hAnsi="Calibri" w:cs="Tahoma"/>
          <w:b/>
          <w:sz w:val="24"/>
          <w:szCs w:val="24"/>
        </w:rPr>
      </w:pPr>
    </w:p>
    <w:p w14:paraId="41DC7CF9" w14:textId="4E4AABCB" w:rsidR="00987D33" w:rsidRPr="00540652" w:rsidRDefault="00987D33" w:rsidP="00987D33">
      <w:pPr>
        <w:tabs>
          <w:tab w:val="left" w:pos="4860"/>
        </w:tabs>
        <w:jc w:val="center"/>
        <w:rPr>
          <w:rFonts w:ascii="Calibri" w:eastAsia="Times New Roman" w:hAnsi="Calibri" w:cs="Tahoma"/>
          <w:b/>
          <w:sz w:val="24"/>
          <w:szCs w:val="24"/>
        </w:rPr>
      </w:pPr>
      <w:r w:rsidRPr="00540652">
        <w:rPr>
          <w:rFonts w:ascii="Calibri" w:eastAsia="Times New Roman" w:hAnsi="Calibri" w:cs="Tahoma"/>
          <w:b/>
          <w:sz w:val="24"/>
          <w:szCs w:val="24"/>
        </w:rPr>
        <w:t>Table 2: Student Comprehensive Cost of Education</w:t>
      </w:r>
    </w:p>
    <w:p w14:paraId="42B34189" w14:textId="77777777" w:rsidR="00987D33" w:rsidRPr="00540652" w:rsidRDefault="00987D33" w:rsidP="00987D33">
      <w:pPr>
        <w:tabs>
          <w:tab w:val="left" w:pos="4860"/>
        </w:tabs>
        <w:spacing w:after="120"/>
        <w:jc w:val="center"/>
        <w:rPr>
          <w:rFonts w:ascii="Calibri" w:eastAsia="Times New Roman" w:hAnsi="Calibri" w:cs="Tahoma"/>
          <w:b/>
          <w:sz w:val="24"/>
          <w:szCs w:val="24"/>
        </w:rPr>
      </w:pPr>
      <w:r w:rsidRPr="00540652">
        <w:rPr>
          <w:rFonts w:ascii="Calibri" w:eastAsia="Times New Roman" w:hAnsi="Calibri" w:cs="Tahoma"/>
          <w:b/>
          <w:sz w:val="24"/>
          <w:szCs w:val="24"/>
        </w:rPr>
        <w:t>Tuition, Mandatory Fees, and Room and Board Fiscal Year Averages</w:t>
      </w:r>
    </w:p>
    <w:tbl>
      <w:tblPr>
        <w:tblW w:w="9360" w:type="dxa"/>
        <w:tblLayout w:type="fixed"/>
        <w:tblCellMar>
          <w:left w:w="14" w:type="dxa"/>
          <w:right w:w="14" w:type="dxa"/>
        </w:tblCellMar>
        <w:tblLook w:val="04A0" w:firstRow="1" w:lastRow="0" w:firstColumn="1" w:lastColumn="0" w:noHBand="0" w:noVBand="1"/>
      </w:tblPr>
      <w:tblGrid>
        <w:gridCol w:w="1836"/>
        <w:gridCol w:w="918"/>
        <w:gridCol w:w="734"/>
        <w:gridCol w:w="734"/>
        <w:gridCol w:w="734"/>
        <w:gridCol w:w="734"/>
        <w:gridCol w:w="734"/>
        <w:gridCol w:w="734"/>
        <w:gridCol w:w="734"/>
        <w:gridCol w:w="734"/>
        <w:gridCol w:w="734"/>
      </w:tblGrid>
      <w:tr w:rsidR="00CD768A" w:rsidRPr="00E12C39" w14:paraId="0211E3FE" w14:textId="77777777" w:rsidTr="00FB47FE">
        <w:trPr>
          <w:trHeight w:val="288"/>
        </w:trPr>
        <w:tc>
          <w:tcPr>
            <w:tcW w:w="1836" w:type="dxa"/>
            <w:tcBorders>
              <w:top w:val="nil"/>
              <w:left w:val="nil"/>
              <w:bottom w:val="single" w:sz="18" w:space="0" w:color="00688D"/>
              <w:right w:val="nil"/>
            </w:tcBorders>
            <w:shd w:val="clear" w:color="000000" w:fill="FFFFFF"/>
            <w:noWrap/>
            <w:vAlign w:val="bottom"/>
          </w:tcPr>
          <w:p w14:paraId="27B920F5"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w:t>
            </w:r>
          </w:p>
        </w:tc>
        <w:tc>
          <w:tcPr>
            <w:tcW w:w="918" w:type="dxa"/>
            <w:tcBorders>
              <w:top w:val="nil"/>
              <w:left w:val="nil"/>
              <w:bottom w:val="single" w:sz="18" w:space="0" w:color="00688D"/>
              <w:right w:val="nil"/>
            </w:tcBorders>
            <w:shd w:val="clear" w:color="000000" w:fill="FFFFFF"/>
            <w:noWrap/>
            <w:vAlign w:val="bottom"/>
          </w:tcPr>
          <w:p w14:paraId="04322396"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2022</w:t>
            </w:r>
          </w:p>
        </w:tc>
        <w:tc>
          <w:tcPr>
            <w:tcW w:w="734" w:type="dxa"/>
            <w:tcBorders>
              <w:top w:val="nil"/>
              <w:left w:val="nil"/>
              <w:bottom w:val="single" w:sz="18" w:space="0" w:color="00688D"/>
              <w:right w:val="nil"/>
            </w:tcBorders>
            <w:shd w:val="clear" w:color="auto" w:fill="auto"/>
            <w:noWrap/>
            <w:vAlign w:val="bottom"/>
          </w:tcPr>
          <w:p w14:paraId="128BD709" w14:textId="2D3DA588" w:rsidR="00E12C39" w:rsidRPr="00E12C39" w:rsidRDefault="00E12C39" w:rsidP="00FB47FE">
            <w:pPr>
              <w:jc w:val="right"/>
              <w:rPr>
                <w:rFonts w:ascii="Calibri" w:hAnsi="Calibri" w:cs="Calibri"/>
                <w:color w:val="0D0D0D"/>
                <w:sz w:val="19"/>
                <w:szCs w:val="19"/>
              </w:rPr>
            </w:pPr>
          </w:p>
        </w:tc>
        <w:tc>
          <w:tcPr>
            <w:tcW w:w="734" w:type="dxa"/>
            <w:tcBorders>
              <w:top w:val="nil"/>
              <w:left w:val="nil"/>
              <w:bottom w:val="single" w:sz="18" w:space="0" w:color="00688D"/>
              <w:right w:val="nil"/>
            </w:tcBorders>
            <w:shd w:val="clear" w:color="auto" w:fill="auto"/>
            <w:noWrap/>
            <w:vAlign w:val="bottom"/>
          </w:tcPr>
          <w:p w14:paraId="19C527D3"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2021</w:t>
            </w:r>
          </w:p>
        </w:tc>
        <w:tc>
          <w:tcPr>
            <w:tcW w:w="734" w:type="dxa"/>
            <w:tcBorders>
              <w:top w:val="nil"/>
              <w:left w:val="nil"/>
              <w:bottom w:val="single" w:sz="18" w:space="0" w:color="00688D"/>
              <w:right w:val="nil"/>
            </w:tcBorders>
            <w:shd w:val="clear" w:color="auto" w:fill="auto"/>
            <w:noWrap/>
            <w:vAlign w:val="bottom"/>
          </w:tcPr>
          <w:p w14:paraId="3B957BEE" w14:textId="31042235" w:rsidR="00E12C39" w:rsidRPr="00E12C39" w:rsidRDefault="00E12C39" w:rsidP="00FB47FE">
            <w:pPr>
              <w:jc w:val="right"/>
              <w:rPr>
                <w:rFonts w:ascii="Calibri" w:hAnsi="Calibri" w:cs="Calibri"/>
                <w:color w:val="0D0D0D"/>
                <w:sz w:val="19"/>
                <w:szCs w:val="19"/>
              </w:rPr>
            </w:pPr>
          </w:p>
        </w:tc>
        <w:tc>
          <w:tcPr>
            <w:tcW w:w="734" w:type="dxa"/>
            <w:tcBorders>
              <w:top w:val="nil"/>
              <w:left w:val="nil"/>
              <w:bottom w:val="single" w:sz="18" w:space="0" w:color="00688D"/>
              <w:right w:val="nil"/>
            </w:tcBorders>
            <w:shd w:val="clear" w:color="auto" w:fill="auto"/>
            <w:noWrap/>
            <w:vAlign w:val="bottom"/>
          </w:tcPr>
          <w:p w14:paraId="70C02EBA"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2020</w:t>
            </w:r>
          </w:p>
        </w:tc>
        <w:tc>
          <w:tcPr>
            <w:tcW w:w="734" w:type="dxa"/>
            <w:tcBorders>
              <w:top w:val="nil"/>
              <w:left w:val="nil"/>
              <w:bottom w:val="single" w:sz="18" w:space="0" w:color="00688D"/>
              <w:right w:val="nil"/>
            </w:tcBorders>
            <w:shd w:val="clear" w:color="auto" w:fill="auto"/>
            <w:noWrap/>
            <w:vAlign w:val="bottom"/>
          </w:tcPr>
          <w:p w14:paraId="17CD8A89" w14:textId="06A126E5" w:rsidR="00E12C39" w:rsidRPr="00E12C39" w:rsidRDefault="00E12C39" w:rsidP="00FB47FE">
            <w:pPr>
              <w:jc w:val="right"/>
              <w:rPr>
                <w:rFonts w:ascii="Calibri" w:hAnsi="Calibri" w:cs="Calibri"/>
                <w:color w:val="0D0D0D"/>
                <w:sz w:val="19"/>
                <w:szCs w:val="19"/>
              </w:rPr>
            </w:pPr>
          </w:p>
        </w:tc>
        <w:tc>
          <w:tcPr>
            <w:tcW w:w="734" w:type="dxa"/>
            <w:tcBorders>
              <w:top w:val="nil"/>
              <w:left w:val="nil"/>
              <w:bottom w:val="single" w:sz="18" w:space="0" w:color="00688D"/>
              <w:right w:val="nil"/>
            </w:tcBorders>
            <w:shd w:val="clear" w:color="auto" w:fill="auto"/>
            <w:noWrap/>
            <w:vAlign w:val="bottom"/>
          </w:tcPr>
          <w:p w14:paraId="43487213"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2019</w:t>
            </w:r>
          </w:p>
        </w:tc>
        <w:tc>
          <w:tcPr>
            <w:tcW w:w="734" w:type="dxa"/>
            <w:tcBorders>
              <w:top w:val="nil"/>
              <w:left w:val="nil"/>
              <w:bottom w:val="single" w:sz="18" w:space="0" w:color="00688D"/>
              <w:right w:val="nil"/>
            </w:tcBorders>
            <w:shd w:val="clear" w:color="auto" w:fill="auto"/>
            <w:noWrap/>
            <w:vAlign w:val="bottom"/>
          </w:tcPr>
          <w:p w14:paraId="4D4D279B" w14:textId="6F5DD849" w:rsidR="00E12C39" w:rsidRPr="00E12C39" w:rsidRDefault="00E12C39" w:rsidP="00FB47FE">
            <w:pPr>
              <w:jc w:val="right"/>
              <w:rPr>
                <w:rFonts w:ascii="Calibri" w:hAnsi="Calibri" w:cs="Calibri"/>
                <w:color w:val="0D0D0D"/>
                <w:sz w:val="19"/>
                <w:szCs w:val="19"/>
              </w:rPr>
            </w:pPr>
          </w:p>
        </w:tc>
        <w:tc>
          <w:tcPr>
            <w:tcW w:w="734" w:type="dxa"/>
            <w:tcBorders>
              <w:top w:val="nil"/>
              <w:left w:val="nil"/>
              <w:bottom w:val="single" w:sz="18" w:space="0" w:color="00688D"/>
              <w:right w:val="nil"/>
            </w:tcBorders>
            <w:shd w:val="clear" w:color="auto" w:fill="auto"/>
            <w:noWrap/>
            <w:vAlign w:val="bottom"/>
          </w:tcPr>
          <w:p w14:paraId="23F543F2"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2018</w:t>
            </w:r>
          </w:p>
        </w:tc>
        <w:tc>
          <w:tcPr>
            <w:tcW w:w="734" w:type="dxa"/>
            <w:tcBorders>
              <w:top w:val="nil"/>
              <w:left w:val="nil"/>
              <w:bottom w:val="single" w:sz="18" w:space="0" w:color="00688D"/>
              <w:right w:val="nil"/>
            </w:tcBorders>
            <w:shd w:val="clear" w:color="auto" w:fill="auto"/>
            <w:noWrap/>
            <w:vAlign w:val="bottom"/>
          </w:tcPr>
          <w:p w14:paraId="133C5E34"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w:t>
            </w:r>
          </w:p>
        </w:tc>
      </w:tr>
      <w:tr w:rsidR="00CD768A" w:rsidRPr="00E12C39" w14:paraId="000D966A" w14:textId="77777777" w:rsidTr="00FB47FE">
        <w:trPr>
          <w:trHeight w:val="288"/>
        </w:trPr>
        <w:tc>
          <w:tcPr>
            <w:tcW w:w="1836" w:type="dxa"/>
            <w:tcBorders>
              <w:top w:val="single" w:sz="18" w:space="0" w:color="00688D"/>
              <w:left w:val="nil"/>
              <w:bottom w:val="nil"/>
              <w:right w:val="nil"/>
            </w:tcBorders>
            <w:shd w:val="clear" w:color="000000" w:fill="FFFFFF"/>
            <w:noWrap/>
            <w:vAlign w:val="bottom"/>
          </w:tcPr>
          <w:p w14:paraId="4AB33452"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w:t>
            </w:r>
          </w:p>
        </w:tc>
        <w:tc>
          <w:tcPr>
            <w:tcW w:w="918" w:type="dxa"/>
            <w:tcBorders>
              <w:top w:val="single" w:sz="18" w:space="0" w:color="00688D"/>
              <w:left w:val="nil"/>
              <w:bottom w:val="nil"/>
              <w:right w:val="nil"/>
            </w:tcBorders>
            <w:shd w:val="clear" w:color="000000" w:fill="FFFFFF"/>
            <w:noWrap/>
            <w:vAlign w:val="bottom"/>
          </w:tcPr>
          <w:p w14:paraId="57EAFE56" w14:textId="77777777" w:rsidR="00E12C39" w:rsidRPr="00E12C39" w:rsidRDefault="00E12C39" w:rsidP="00FB47FE">
            <w:pPr>
              <w:jc w:val="center"/>
              <w:rPr>
                <w:rFonts w:ascii="Calibri" w:hAnsi="Calibri" w:cs="Calibri"/>
                <w:b/>
                <w:bCs/>
                <w:color w:val="0D0D0D"/>
                <w:sz w:val="19"/>
                <w:szCs w:val="19"/>
              </w:rPr>
            </w:pPr>
            <w:r w:rsidRPr="00E12C39">
              <w:rPr>
                <w:rFonts w:ascii="Calibri" w:hAnsi="Calibri" w:cs="Calibri"/>
                <w:b/>
                <w:bCs/>
                <w:color w:val="0D0D0D"/>
                <w:sz w:val="19"/>
                <w:szCs w:val="19"/>
              </w:rPr>
              <w:t>Cost</w:t>
            </w:r>
          </w:p>
        </w:tc>
        <w:tc>
          <w:tcPr>
            <w:tcW w:w="734" w:type="dxa"/>
            <w:tcBorders>
              <w:top w:val="single" w:sz="18" w:space="0" w:color="00688D"/>
              <w:left w:val="nil"/>
              <w:bottom w:val="nil"/>
              <w:right w:val="nil"/>
            </w:tcBorders>
            <w:shd w:val="clear" w:color="auto" w:fill="auto"/>
            <w:noWrap/>
            <w:vAlign w:val="bottom"/>
          </w:tcPr>
          <w:p w14:paraId="6D2C0D32" w14:textId="77777777" w:rsidR="00E12C39" w:rsidRPr="00E12C39" w:rsidRDefault="00E12C39" w:rsidP="00FB47FE">
            <w:pPr>
              <w:jc w:val="center"/>
              <w:rPr>
                <w:rFonts w:ascii="Calibri" w:hAnsi="Calibri" w:cs="Calibri"/>
                <w:color w:val="0D0D0D"/>
                <w:sz w:val="19"/>
                <w:szCs w:val="19"/>
              </w:rPr>
            </w:pPr>
            <w:r w:rsidRPr="00E12C39">
              <w:rPr>
                <w:rFonts w:ascii="Calibri" w:hAnsi="Calibri" w:cs="Calibri"/>
                <w:color w:val="0D0D0D"/>
                <w:sz w:val="19"/>
                <w:szCs w:val="19"/>
              </w:rPr>
              <w:t>%</w:t>
            </w:r>
            <w:r w:rsidRPr="00E12C39">
              <w:rPr>
                <w:rFonts w:ascii="Calibri" w:hAnsi="Calibri" w:cs="Calibri"/>
                <w:color w:val="0D0D0D"/>
                <w:sz w:val="19"/>
                <w:szCs w:val="19"/>
              </w:rPr>
              <w:br/>
              <w:t>Change</w:t>
            </w:r>
          </w:p>
        </w:tc>
        <w:tc>
          <w:tcPr>
            <w:tcW w:w="734" w:type="dxa"/>
            <w:tcBorders>
              <w:top w:val="single" w:sz="18" w:space="0" w:color="00688D"/>
              <w:left w:val="nil"/>
              <w:bottom w:val="nil"/>
              <w:right w:val="nil"/>
            </w:tcBorders>
            <w:shd w:val="clear" w:color="auto" w:fill="auto"/>
            <w:noWrap/>
            <w:vAlign w:val="bottom"/>
          </w:tcPr>
          <w:p w14:paraId="4E031CD7" w14:textId="77777777" w:rsidR="00E12C39" w:rsidRPr="00E12C39" w:rsidRDefault="00E12C39" w:rsidP="00FB47FE">
            <w:pPr>
              <w:jc w:val="center"/>
              <w:rPr>
                <w:rFonts w:ascii="Calibri" w:hAnsi="Calibri" w:cs="Calibri"/>
                <w:b/>
                <w:bCs/>
                <w:color w:val="0D0D0D"/>
                <w:sz w:val="19"/>
                <w:szCs w:val="19"/>
              </w:rPr>
            </w:pPr>
            <w:r w:rsidRPr="00E12C39">
              <w:rPr>
                <w:rFonts w:ascii="Calibri" w:hAnsi="Calibri" w:cs="Calibri"/>
                <w:b/>
                <w:bCs/>
                <w:color w:val="0D0D0D"/>
                <w:sz w:val="19"/>
                <w:szCs w:val="19"/>
              </w:rPr>
              <w:t>Cost</w:t>
            </w:r>
          </w:p>
        </w:tc>
        <w:tc>
          <w:tcPr>
            <w:tcW w:w="734" w:type="dxa"/>
            <w:tcBorders>
              <w:top w:val="single" w:sz="18" w:space="0" w:color="00688D"/>
              <w:left w:val="nil"/>
              <w:bottom w:val="nil"/>
              <w:right w:val="nil"/>
            </w:tcBorders>
            <w:shd w:val="clear" w:color="auto" w:fill="auto"/>
            <w:noWrap/>
            <w:vAlign w:val="bottom"/>
          </w:tcPr>
          <w:p w14:paraId="687650AD" w14:textId="77777777" w:rsidR="00E12C39" w:rsidRPr="00E12C39" w:rsidRDefault="00E12C39" w:rsidP="00FB47FE">
            <w:pPr>
              <w:jc w:val="center"/>
              <w:rPr>
                <w:rFonts w:ascii="Calibri" w:hAnsi="Calibri" w:cs="Calibri"/>
                <w:color w:val="0D0D0D"/>
                <w:sz w:val="19"/>
                <w:szCs w:val="19"/>
              </w:rPr>
            </w:pPr>
            <w:r w:rsidRPr="00E12C39">
              <w:rPr>
                <w:rFonts w:ascii="Calibri" w:hAnsi="Calibri" w:cs="Calibri"/>
                <w:color w:val="0D0D0D"/>
                <w:sz w:val="19"/>
                <w:szCs w:val="19"/>
              </w:rPr>
              <w:t>%</w:t>
            </w:r>
            <w:r w:rsidRPr="00E12C39">
              <w:rPr>
                <w:rFonts w:ascii="Calibri" w:hAnsi="Calibri" w:cs="Calibri"/>
                <w:color w:val="0D0D0D"/>
                <w:sz w:val="19"/>
                <w:szCs w:val="19"/>
              </w:rPr>
              <w:br/>
              <w:t>Change</w:t>
            </w:r>
          </w:p>
        </w:tc>
        <w:tc>
          <w:tcPr>
            <w:tcW w:w="734" w:type="dxa"/>
            <w:tcBorders>
              <w:top w:val="single" w:sz="18" w:space="0" w:color="00688D"/>
              <w:left w:val="nil"/>
              <w:bottom w:val="nil"/>
              <w:right w:val="nil"/>
            </w:tcBorders>
            <w:shd w:val="clear" w:color="auto" w:fill="auto"/>
            <w:noWrap/>
            <w:vAlign w:val="bottom"/>
          </w:tcPr>
          <w:p w14:paraId="1E01DE42" w14:textId="77777777" w:rsidR="00E12C39" w:rsidRPr="00E12C39" w:rsidRDefault="00E12C39" w:rsidP="00FB47FE">
            <w:pPr>
              <w:jc w:val="center"/>
              <w:rPr>
                <w:rFonts w:ascii="Calibri" w:hAnsi="Calibri" w:cs="Calibri"/>
                <w:color w:val="0D0D0D"/>
                <w:sz w:val="19"/>
                <w:szCs w:val="19"/>
              </w:rPr>
            </w:pPr>
            <w:r w:rsidRPr="00E12C39">
              <w:rPr>
                <w:rFonts w:ascii="Calibri" w:hAnsi="Calibri" w:cs="Calibri"/>
                <w:color w:val="0D0D0D"/>
                <w:sz w:val="19"/>
                <w:szCs w:val="19"/>
              </w:rPr>
              <w:t>Cost</w:t>
            </w:r>
          </w:p>
        </w:tc>
        <w:tc>
          <w:tcPr>
            <w:tcW w:w="734" w:type="dxa"/>
            <w:tcBorders>
              <w:top w:val="single" w:sz="18" w:space="0" w:color="00688D"/>
              <w:left w:val="nil"/>
              <w:bottom w:val="nil"/>
              <w:right w:val="nil"/>
            </w:tcBorders>
            <w:shd w:val="clear" w:color="auto" w:fill="auto"/>
            <w:noWrap/>
            <w:vAlign w:val="bottom"/>
          </w:tcPr>
          <w:p w14:paraId="48B8428C" w14:textId="77777777" w:rsidR="00E12C39" w:rsidRPr="00E12C39" w:rsidRDefault="00E12C39" w:rsidP="00FB47FE">
            <w:pPr>
              <w:jc w:val="center"/>
              <w:rPr>
                <w:rFonts w:ascii="Calibri" w:hAnsi="Calibri" w:cs="Calibri"/>
                <w:color w:val="0D0D0D"/>
                <w:sz w:val="19"/>
                <w:szCs w:val="19"/>
              </w:rPr>
            </w:pPr>
            <w:r w:rsidRPr="00E12C39">
              <w:rPr>
                <w:rFonts w:ascii="Calibri" w:hAnsi="Calibri" w:cs="Calibri"/>
                <w:color w:val="0D0D0D"/>
                <w:sz w:val="19"/>
                <w:szCs w:val="19"/>
              </w:rPr>
              <w:t>%</w:t>
            </w:r>
            <w:r w:rsidRPr="00E12C39">
              <w:rPr>
                <w:rFonts w:ascii="Calibri" w:hAnsi="Calibri" w:cs="Calibri"/>
                <w:color w:val="0D0D0D"/>
                <w:sz w:val="19"/>
                <w:szCs w:val="19"/>
              </w:rPr>
              <w:br/>
              <w:t>Change</w:t>
            </w:r>
          </w:p>
        </w:tc>
        <w:tc>
          <w:tcPr>
            <w:tcW w:w="734" w:type="dxa"/>
            <w:tcBorders>
              <w:top w:val="single" w:sz="18" w:space="0" w:color="00688D"/>
              <w:left w:val="nil"/>
              <w:bottom w:val="nil"/>
              <w:right w:val="nil"/>
            </w:tcBorders>
            <w:shd w:val="clear" w:color="auto" w:fill="auto"/>
            <w:noWrap/>
            <w:vAlign w:val="bottom"/>
          </w:tcPr>
          <w:p w14:paraId="5FDDD404" w14:textId="77777777" w:rsidR="00E12C39" w:rsidRPr="00E12C39" w:rsidRDefault="00E12C39" w:rsidP="00FB47FE">
            <w:pPr>
              <w:jc w:val="center"/>
              <w:rPr>
                <w:rFonts w:ascii="Calibri" w:hAnsi="Calibri" w:cs="Calibri"/>
                <w:color w:val="0D0D0D"/>
                <w:sz w:val="19"/>
                <w:szCs w:val="19"/>
              </w:rPr>
            </w:pPr>
            <w:r w:rsidRPr="00E12C39">
              <w:rPr>
                <w:rFonts w:ascii="Calibri" w:hAnsi="Calibri" w:cs="Calibri"/>
                <w:color w:val="0D0D0D"/>
                <w:sz w:val="19"/>
                <w:szCs w:val="19"/>
              </w:rPr>
              <w:t>Cost</w:t>
            </w:r>
          </w:p>
        </w:tc>
        <w:tc>
          <w:tcPr>
            <w:tcW w:w="734" w:type="dxa"/>
            <w:tcBorders>
              <w:top w:val="single" w:sz="18" w:space="0" w:color="00688D"/>
              <w:left w:val="nil"/>
              <w:bottom w:val="nil"/>
              <w:right w:val="nil"/>
            </w:tcBorders>
            <w:shd w:val="clear" w:color="auto" w:fill="auto"/>
            <w:noWrap/>
            <w:vAlign w:val="bottom"/>
          </w:tcPr>
          <w:p w14:paraId="5C1B9184" w14:textId="77777777" w:rsidR="00E12C39" w:rsidRPr="00E12C39" w:rsidRDefault="00E12C39" w:rsidP="00FB47FE">
            <w:pPr>
              <w:jc w:val="center"/>
              <w:rPr>
                <w:rFonts w:ascii="Calibri" w:hAnsi="Calibri" w:cs="Calibri"/>
                <w:color w:val="0D0D0D"/>
                <w:sz w:val="19"/>
                <w:szCs w:val="19"/>
              </w:rPr>
            </w:pPr>
            <w:r w:rsidRPr="00E12C39">
              <w:rPr>
                <w:rFonts w:ascii="Calibri" w:hAnsi="Calibri" w:cs="Calibri"/>
                <w:color w:val="0D0D0D"/>
                <w:sz w:val="19"/>
                <w:szCs w:val="19"/>
              </w:rPr>
              <w:t>%</w:t>
            </w:r>
            <w:r w:rsidRPr="00E12C39">
              <w:rPr>
                <w:rFonts w:ascii="Calibri" w:hAnsi="Calibri" w:cs="Calibri"/>
                <w:color w:val="0D0D0D"/>
                <w:sz w:val="19"/>
                <w:szCs w:val="19"/>
              </w:rPr>
              <w:br/>
              <w:t>Change</w:t>
            </w:r>
          </w:p>
        </w:tc>
        <w:tc>
          <w:tcPr>
            <w:tcW w:w="734" w:type="dxa"/>
            <w:tcBorders>
              <w:top w:val="single" w:sz="18" w:space="0" w:color="00688D"/>
              <w:left w:val="nil"/>
              <w:bottom w:val="nil"/>
              <w:right w:val="nil"/>
            </w:tcBorders>
            <w:shd w:val="clear" w:color="auto" w:fill="auto"/>
            <w:noWrap/>
            <w:vAlign w:val="bottom"/>
          </w:tcPr>
          <w:p w14:paraId="28AA5CA8" w14:textId="77777777" w:rsidR="00E12C39" w:rsidRPr="00E12C39" w:rsidRDefault="00E12C39" w:rsidP="00FB47FE">
            <w:pPr>
              <w:jc w:val="center"/>
              <w:rPr>
                <w:rFonts w:ascii="Calibri" w:hAnsi="Calibri" w:cs="Calibri"/>
                <w:color w:val="0D0D0D"/>
                <w:sz w:val="19"/>
                <w:szCs w:val="19"/>
              </w:rPr>
            </w:pPr>
            <w:r w:rsidRPr="00E12C39">
              <w:rPr>
                <w:rFonts w:ascii="Calibri" w:hAnsi="Calibri" w:cs="Calibri"/>
                <w:color w:val="0D0D0D"/>
                <w:sz w:val="19"/>
                <w:szCs w:val="19"/>
              </w:rPr>
              <w:t>Cost</w:t>
            </w:r>
          </w:p>
        </w:tc>
        <w:tc>
          <w:tcPr>
            <w:tcW w:w="734" w:type="dxa"/>
            <w:tcBorders>
              <w:top w:val="single" w:sz="18" w:space="0" w:color="00688D"/>
              <w:left w:val="nil"/>
              <w:bottom w:val="nil"/>
              <w:right w:val="nil"/>
            </w:tcBorders>
            <w:shd w:val="clear" w:color="auto" w:fill="auto"/>
            <w:noWrap/>
            <w:vAlign w:val="bottom"/>
          </w:tcPr>
          <w:p w14:paraId="2AB15B7F" w14:textId="77777777" w:rsidR="00E12C39" w:rsidRPr="00E12C39" w:rsidRDefault="00E12C39" w:rsidP="00FB47FE">
            <w:pPr>
              <w:jc w:val="center"/>
              <w:rPr>
                <w:rFonts w:ascii="Calibri" w:hAnsi="Calibri" w:cs="Calibri"/>
                <w:color w:val="0D0D0D"/>
                <w:sz w:val="19"/>
                <w:szCs w:val="19"/>
              </w:rPr>
            </w:pPr>
            <w:r w:rsidRPr="00E12C39">
              <w:rPr>
                <w:rFonts w:ascii="Calibri" w:hAnsi="Calibri" w:cs="Calibri"/>
                <w:color w:val="0D0D0D"/>
                <w:sz w:val="19"/>
                <w:szCs w:val="19"/>
              </w:rPr>
              <w:t>%</w:t>
            </w:r>
            <w:r w:rsidRPr="00E12C39">
              <w:rPr>
                <w:rFonts w:ascii="Calibri" w:hAnsi="Calibri" w:cs="Calibri"/>
                <w:color w:val="0D0D0D"/>
                <w:sz w:val="19"/>
                <w:szCs w:val="19"/>
              </w:rPr>
              <w:br/>
              <w:t>Change</w:t>
            </w:r>
          </w:p>
        </w:tc>
      </w:tr>
      <w:tr w:rsidR="00C719D8" w:rsidRPr="00E12C39" w14:paraId="06659B6A" w14:textId="77777777" w:rsidTr="00FB47FE">
        <w:trPr>
          <w:trHeight w:val="288"/>
        </w:trPr>
        <w:tc>
          <w:tcPr>
            <w:tcW w:w="1836" w:type="dxa"/>
            <w:tcBorders>
              <w:top w:val="nil"/>
              <w:left w:val="nil"/>
              <w:bottom w:val="nil"/>
              <w:right w:val="nil"/>
            </w:tcBorders>
            <w:shd w:val="clear" w:color="000000" w:fill="FFFFFF"/>
            <w:noWrap/>
            <w:vAlign w:val="bottom"/>
          </w:tcPr>
          <w:p w14:paraId="06865315" w14:textId="77777777" w:rsidR="00E12C39" w:rsidRPr="00FB47FE" w:rsidRDefault="00E12C39" w:rsidP="00E12C39">
            <w:pPr>
              <w:rPr>
                <w:rFonts w:ascii="Calibri" w:hAnsi="Calibri" w:cs="Calibri"/>
                <w:b/>
                <w:bCs/>
                <w:color w:val="0D0D0D"/>
                <w:sz w:val="19"/>
                <w:szCs w:val="19"/>
              </w:rPr>
            </w:pPr>
            <w:r w:rsidRPr="00FB47FE">
              <w:rPr>
                <w:rFonts w:ascii="Calibri" w:hAnsi="Calibri" w:cs="Calibri"/>
                <w:b/>
                <w:bCs/>
                <w:color w:val="0D0D0D"/>
                <w:sz w:val="19"/>
                <w:szCs w:val="19"/>
              </w:rPr>
              <w:t>Undergraduate:</w:t>
            </w:r>
          </w:p>
        </w:tc>
        <w:tc>
          <w:tcPr>
            <w:tcW w:w="918" w:type="dxa"/>
            <w:tcBorders>
              <w:top w:val="nil"/>
              <w:left w:val="nil"/>
              <w:bottom w:val="nil"/>
              <w:right w:val="nil"/>
            </w:tcBorders>
            <w:shd w:val="clear" w:color="000000" w:fill="FFFFFF"/>
            <w:noWrap/>
            <w:vAlign w:val="bottom"/>
          </w:tcPr>
          <w:p w14:paraId="6A2DF2C4" w14:textId="77777777" w:rsidR="00E12C39" w:rsidRPr="00E12C39" w:rsidRDefault="00E12C39" w:rsidP="00E12C39">
            <w:pPr>
              <w:rPr>
                <w:rFonts w:ascii="Calibri" w:hAnsi="Calibri" w:cs="Calibri"/>
                <w:b/>
                <w:bCs/>
                <w:color w:val="0D0D0D"/>
                <w:sz w:val="19"/>
                <w:szCs w:val="19"/>
              </w:rPr>
            </w:pPr>
            <w:r w:rsidRPr="00E12C39">
              <w:rPr>
                <w:rFonts w:ascii="Calibri" w:hAnsi="Calibri" w:cs="Calibri"/>
                <w:b/>
                <w:bCs/>
                <w:color w:val="0D0D0D"/>
                <w:sz w:val="19"/>
                <w:szCs w:val="19"/>
              </w:rPr>
              <w:t> </w:t>
            </w:r>
          </w:p>
        </w:tc>
        <w:tc>
          <w:tcPr>
            <w:tcW w:w="734" w:type="dxa"/>
            <w:tcBorders>
              <w:top w:val="nil"/>
              <w:left w:val="nil"/>
              <w:bottom w:val="nil"/>
              <w:right w:val="nil"/>
            </w:tcBorders>
            <w:shd w:val="clear" w:color="000000" w:fill="BFBFBF"/>
            <w:noWrap/>
            <w:vAlign w:val="bottom"/>
          </w:tcPr>
          <w:p w14:paraId="7FC7347F"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1835F08A" w14:textId="77777777" w:rsidR="00E12C39" w:rsidRPr="00E12C39" w:rsidRDefault="00E12C39" w:rsidP="00E12C39">
            <w:pPr>
              <w:rPr>
                <w:rFonts w:ascii="Calibri" w:hAnsi="Calibri" w:cs="Calibri"/>
                <w:b/>
                <w:bCs/>
                <w:color w:val="0D0D0D"/>
                <w:sz w:val="19"/>
                <w:szCs w:val="19"/>
              </w:rPr>
            </w:pPr>
            <w:r w:rsidRPr="00E12C39">
              <w:rPr>
                <w:rFonts w:ascii="Calibri" w:hAnsi="Calibri" w:cs="Calibri"/>
                <w:b/>
                <w:bCs/>
                <w:color w:val="0D0D0D"/>
                <w:sz w:val="19"/>
                <w:szCs w:val="19"/>
              </w:rPr>
              <w:t> </w:t>
            </w:r>
          </w:p>
        </w:tc>
        <w:tc>
          <w:tcPr>
            <w:tcW w:w="734" w:type="dxa"/>
            <w:tcBorders>
              <w:top w:val="nil"/>
              <w:left w:val="nil"/>
              <w:bottom w:val="nil"/>
              <w:right w:val="nil"/>
            </w:tcBorders>
            <w:shd w:val="clear" w:color="000000" w:fill="BFBFBF"/>
            <w:noWrap/>
            <w:vAlign w:val="bottom"/>
          </w:tcPr>
          <w:p w14:paraId="6859901C"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4EFA61EE"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BFBFBF"/>
            <w:noWrap/>
            <w:vAlign w:val="bottom"/>
          </w:tcPr>
          <w:p w14:paraId="768BC68B"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6B4CAF97"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BFBFBF"/>
            <w:noWrap/>
            <w:vAlign w:val="bottom"/>
          </w:tcPr>
          <w:p w14:paraId="77F91FAD"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2B411860"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BFBFBF"/>
            <w:noWrap/>
            <w:vAlign w:val="bottom"/>
          </w:tcPr>
          <w:p w14:paraId="7B50DD55"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w:t>
            </w:r>
          </w:p>
        </w:tc>
      </w:tr>
      <w:tr w:rsidR="00C719D8" w:rsidRPr="00E12C39" w14:paraId="7183DF7F" w14:textId="77777777" w:rsidTr="00FB47FE">
        <w:trPr>
          <w:trHeight w:val="288"/>
        </w:trPr>
        <w:tc>
          <w:tcPr>
            <w:tcW w:w="1836" w:type="dxa"/>
            <w:tcBorders>
              <w:top w:val="nil"/>
              <w:left w:val="nil"/>
              <w:bottom w:val="nil"/>
              <w:right w:val="nil"/>
            </w:tcBorders>
            <w:shd w:val="clear" w:color="000000" w:fill="FFFFFF"/>
            <w:noWrap/>
            <w:vAlign w:val="bottom"/>
          </w:tcPr>
          <w:p w14:paraId="2EC7BDD2"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In-State</w:t>
            </w:r>
          </w:p>
        </w:tc>
        <w:tc>
          <w:tcPr>
            <w:tcW w:w="918" w:type="dxa"/>
            <w:tcBorders>
              <w:top w:val="nil"/>
              <w:left w:val="nil"/>
              <w:bottom w:val="nil"/>
              <w:right w:val="nil"/>
            </w:tcBorders>
            <w:shd w:val="clear" w:color="000000" w:fill="FFFFFF"/>
            <w:noWrap/>
            <w:vAlign w:val="bottom"/>
          </w:tcPr>
          <w:p w14:paraId="3FC9FBA7"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$19,548</w:t>
            </w:r>
          </w:p>
        </w:tc>
        <w:tc>
          <w:tcPr>
            <w:tcW w:w="734" w:type="dxa"/>
            <w:tcBorders>
              <w:top w:val="nil"/>
              <w:left w:val="nil"/>
              <w:bottom w:val="nil"/>
              <w:right w:val="nil"/>
            </w:tcBorders>
            <w:shd w:val="clear" w:color="000000" w:fill="BFBFBF"/>
            <w:noWrap/>
            <w:vAlign w:val="bottom"/>
          </w:tcPr>
          <w:p w14:paraId="42C811C1"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3.6%</w:t>
            </w:r>
          </w:p>
        </w:tc>
        <w:tc>
          <w:tcPr>
            <w:tcW w:w="734" w:type="dxa"/>
            <w:tcBorders>
              <w:top w:val="nil"/>
              <w:left w:val="nil"/>
              <w:bottom w:val="nil"/>
              <w:right w:val="nil"/>
            </w:tcBorders>
            <w:shd w:val="clear" w:color="000000" w:fill="FFFFFF"/>
            <w:noWrap/>
            <w:vAlign w:val="bottom"/>
          </w:tcPr>
          <w:p w14:paraId="105DFC06"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$18,877</w:t>
            </w:r>
          </w:p>
        </w:tc>
        <w:tc>
          <w:tcPr>
            <w:tcW w:w="734" w:type="dxa"/>
            <w:tcBorders>
              <w:top w:val="nil"/>
              <w:left w:val="nil"/>
              <w:bottom w:val="nil"/>
              <w:right w:val="nil"/>
            </w:tcBorders>
            <w:shd w:val="clear" w:color="000000" w:fill="BFBFBF"/>
            <w:noWrap/>
            <w:vAlign w:val="bottom"/>
          </w:tcPr>
          <w:p w14:paraId="009A1CAB"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3.0%</w:t>
            </w:r>
          </w:p>
        </w:tc>
        <w:tc>
          <w:tcPr>
            <w:tcW w:w="734" w:type="dxa"/>
            <w:tcBorders>
              <w:top w:val="nil"/>
              <w:left w:val="nil"/>
              <w:bottom w:val="nil"/>
              <w:right w:val="nil"/>
            </w:tcBorders>
            <w:shd w:val="clear" w:color="000000" w:fill="FFFFFF"/>
            <w:noWrap/>
            <w:vAlign w:val="bottom"/>
          </w:tcPr>
          <w:p w14:paraId="334A7F39"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$18,321</w:t>
            </w:r>
          </w:p>
        </w:tc>
        <w:tc>
          <w:tcPr>
            <w:tcW w:w="734" w:type="dxa"/>
            <w:tcBorders>
              <w:top w:val="nil"/>
              <w:left w:val="nil"/>
              <w:bottom w:val="nil"/>
              <w:right w:val="nil"/>
            </w:tcBorders>
            <w:shd w:val="clear" w:color="000000" w:fill="BFBFBF"/>
            <w:noWrap/>
            <w:vAlign w:val="bottom"/>
          </w:tcPr>
          <w:p w14:paraId="4BFF82E7"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2.8%</w:t>
            </w:r>
          </w:p>
        </w:tc>
        <w:tc>
          <w:tcPr>
            <w:tcW w:w="734" w:type="dxa"/>
            <w:tcBorders>
              <w:top w:val="nil"/>
              <w:left w:val="nil"/>
              <w:bottom w:val="nil"/>
              <w:right w:val="nil"/>
            </w:tcBorders>
            <w:shd w:val="clear" w:color="000000" w:fill="FFFFFF"/>
            <w:noWrap/>
            <w:vAlign w:val="bottom"/>
          </w:tcPr>
          <w:p w14:paraId="244DAB0E"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$17,819</w:t>
            </w:r>
          </w:p>
        </w:tc>
        <w:tc>
          <w:tcPr>
            <w:tcW w:w="734" w:type="dxa"/>
            <w:tcBorders>
              <w:top w:val="nil"/>
              <w:left w:val="nil"/>
              <w:bottom w:val="nil"/>
              <w:right w:val="nil"/>
            </w:tcBorders>
            <w:shd w:val="clear" w:color="000000" w:fill="BFBFBF"/>
            <w:noWrap/>
            <w:vAlign w:val="bottom"/>
          </w:tcPr>
          <w:p w14:paraId="52A7ECAF"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1.7%</w:t>
            </w:r>
          </w:p>
        </w:tc>
        <w:tc>
          <w:tcPr>
            <w:tcW w:w="734" w:type="dxa"/>
            <w:tcBorders>
              <w:top w:val="nil"/>
              <w:left w:val="nil"/>
              <w:bottom w:val="nil"/>
              <w:right w:val="nil"/>
            </w:tcBorders>
            <w:shd w:val="clear" w:color="000000" w:fill="FFFFFF"/>
            <w:noWrap/>
            <w:vAlign w:val="bottom"/>
          </w:tcPr>
          <w:p w14:paraId="0F2FE30C"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$17,520</w:t>
            </w:r>
          </w:p>
        </w:tc>
        <w:tc>
          <w:tcPr>
            <w:tcW w:w="734" w:type="dxa"/>
            <w:tcBorders>
              <w:top w:val="nil"/>
              <w:left w:val="nil"/>
              <w:bottom w:val="nil"/>
              <w:right w:val="nil"/>
            </w:tcBorders>
            <w:shd w:val="clear" w:color="000000" w:fill="BFBFBF"/>
            <w:noWrap/>
            <w:vAlign w:val="bottom"/>
          </w:tcPr>
          <w:p w14:paraId="3B26054C"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2.7%</w:t>
            </w:r>
          </w:p>
        </w:tc>
      </w:tr>
      <w:tr w:rsidR="00C719D8" w:rsidRPr="00E12C39" w14:paraId="3ABC45CF" w14:textId="77777777" w:rsidTr="00FB47FE">
        <w:trPr>
          <w:trHeight w:val="288"/>
        </w:trPr>
        <w:tc>
          <w:tcPr>
            <w:tcW w:w="1836" w:type="dxa"/>
            <w:tcBorders>
              <w:top w:val="nil"/>
              <w:left w:val="nil"/>
              <w:bottom w:val="nil"/>
              <w:right w:val="nil"/>
            </w:tcBorders>
            <w:shd w:val="clear" w:color="000000" w:fill="FFFFFF"/>
            <w:noWrap/>
            <w:vAlign w:val="bottom"/>
          </w:tcPr>
          <w:p w14:paraId="489F2DCC"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Out-of-State</w:t>
            </w:r>
          </w:p>
        </w:tc>
        <w:tc>
          <w:tcPr>
            <w:tcW w:w="918" w:type="dxa"/>
            <w:tcBorders>
              <w:top w:val="nil"/>
              <w:left w:val="nil"/>
              <w:bottom w:val="nil"/>
              <w:right w:val="nil"/>
            </w:tcBorders>
            <w:shd w:val="clear" w:color="000000" w:fill="FFFFFF"/>
            <w:noWrap/>
            <w:vAlign w:val="bottom"/>
          </w:tcPr>
          <w:p w14:paraId="1DACB4EB"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30,399</w:t>
            </w:r>
          </w:p>
        </w:tc>
        <w:tc>
          <w:tcPr>
            <w:tcW w:w="734" w:type="dxa"/>
            <w:tcBorders>
              <w:top w:val="nil"/>
              <w:left w:val="nil"/>
              <w:bottom w:val="nil"/>
              <w:right w:val="nil"/>
            </w:tcBorders>
            <w:shd w:val="clear" w:color="000000" w:fill="BFBFBF"/>
            <w:noWrap/>
            <w:vAlign w:val="bottom"/>
          </w:tcPr>
          <w:p w14:paraId="05A54BA1"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3.6%</w:t>
            </w:r>
          </w:p>
        </w:tc>
        <w:tc>
          <w:tcPr>
            <w:tcW w:w="734" w:type="dxa"/>
            <w:tcBorders>
              <w:top w:val="nil"/>
              <w:left w:val="nil"/>
              <w:bottom w:val="nil"/>
              <w:right w:val="nil"/>
            </w:tcBorders>
            <w:shd w:val="clear" w:color="000000" w:fill="FFFFFF"/>
            <w:noWrap/>
            <w:vAlign w:val="bottom"/>
          </w:tcPr>
          <w:p w14:paraId="31531211"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29,337</w:t>
            </w:r>
          </w:p>
        </w:tc>
        <w:tc>
          <w:tcPr>
            <w:tcW w:w="734" w:type="dxa"/>
            <w:tcBorders>
              <w:top w:val="nil"/>
              <w:left w:val="nil"/>
              <w:bottom w:val="nil"/>
              <w:right w:val="nil"/>
            </w:tcBorders>
            <w:shd w:val="clear" w:color="000000" w:fill="BFBFBF"/>
            <w:noWrap/>
            <w:vAlign w:val="bottom"/>
          </w:tcPr>
          <w:p w14:paraId="5AE8E0F4"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3.2%</w:t>
            </w:r>
          </w:p>
        </w:tc>
        <w:tc>
          <w:tcPr>
            <w:tcW w:w="734" w:type="dxa"/>
            <w:tcBorders>
              <w:top w:val="nil"/>
              <w:left w:val="nil"/>
              <w:bottom w:val="nil"/>
              <w:right w:val="nil"/>
            </w:tcBorders>
            <w:shd w:val="clear" w:color="000000" w:fill="FFFFFF"/>
            <w:noWrap/>
            <w:vAlign w:val="bottom"/>
          </w:tcPr>
          <w:p w14:paraId="330AD51F"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28,425</w:t>
            </w:r>
          </w:p>
        </w:tc>
        <w:tc>
          <w:tcPr>
            <w:tcW w:w="734" w:type="dxa"/>
            <w:tcBorders>
              <w:top w:val="nil"/>
              <w:left w:val="nil"/>
              <w:bottom w:val="nil"/>
              <w:right w:val="nil"/>
            </w:tcBorders>
            <w:shd w:val="clear" w:color="000000" w:fill="BFBFBF"/>
            <w:noWrap/>
            <w:vAlign w:val="bottom"/>
          </w:tcPr>
          <w:p w14:paraId="419ECFFE"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2.2%</w:t>
            </w:r>
          </w:p>
        </w:tc>
        <w:tc>
          <w:tcPr>
            <w:tcW w:w="734" w:type="dxa"/>
            <w:tcBorders>
              <w:top w:val="nil"/>
              <w:left w:val="nil"/>
              <w:bottom w:val="nil"/>
              <w:right w:val="nil"/>
            </w:tcBorders>
            <w:shd w:val="clear" w:color="000000" w:fill="FFFFFF"/>
            <w:noWrap/>
            <w:vAlign w:val="bottom"/>
          </w:tcPr>
          <w:p w14:paraId="049E12ED"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27,809</w:t>
            </w:r>
          </w:p>
        </w:tc>
        <w:tc>
          <w:tcPr>
            <w:tcW w:w="734" w:type="dxa"/>
            <w:tcBorders>
              <w:top w:val="nil"/>
              <w:left w:val="nil"/>
              <w:bottom w:val="nil"/>
              <w:right w:val="nil"/>
            </w:tcBorders>
            <w:shd w:val="clear" w:color="000000" w:fill="BFBFBF"/>
            <w:noWrap/>
            <w:vAlign w:val="bottom"/>
          </w:tcPr>
          <w:p w14:paraId="3F48C4CC"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0.4%</w:t>
            </w:r>
          </w:p>
        </w:tc>
        <w:tc>
          <w:tcPr>
            <w:tcW w:w="734" w:type="dxa"/>
            <w:tcBorders>
              <w:top w:val="nil"/>
              <w:left w:val="nil"/>
              <w:bottom w:val="nil"/>
              <w:right w:val="nil"/>
            </w:tcBorders>
            <w:shd w:val="clear" w:color="000000" w:fill="FFFFFF"/>
            <w:noWrap/>
            <w:vAlign w:val="bottom"/>
          </w:tcPr>
          <w:p w14:paraId="65B29083"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27,707</w:t>
            </w:r>
          </w:p>
        </w:tc>
        <w:tc>
          <w:tcPr>
            <w:tcW w:w="734" w:type="dxa"/>
            <w:tcBorders>
              <w:top w:val="nil"/>
              <w:left w:val="nil"/>
              <w:bottom w:val="nil"/>
              <w:right w:val="nil"/>
            </w:tcBorders>
            <w:shd w:val="clear" w:color="000000" w:fill="BFBFBF"/>
            <w:noWrap/>
            <w:vAlign w:val="bottom"/>
          </w:tcPr>
          <w:p w14:paraId="0E5ED998"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2.9%</w:t>
            </w:r>
          </w:p>
        </w:tc>
      </w:tr>
      <w:tr w:rsidR="00C719D8" w:rsidRPr="00E12C39" w14:paraId="6FF2A41C" w14:textId="77777777" w:rsidTr="00FB47FE">
        <w:trPr>
          <w:trHeight w:val="288"/>
        </w:trPr>
        <w:tc>
          <w:tcPr>
            <w:tcW w:w="1836" w:type="dxa"/>
            <w:tcBorders>
              <w:top w:val="nil"/>
              <w:left w:val="nil"/>
              <w:bottom w:val="nil"/>
              <w:right w:val="nil"/>
            </w:tcBorders>
            <w:shd w:val="clear" w:color="000000" w:fill="FFFFFF"/>
            <w:noWrap/>
            <w:vAlign w:val="bottom"/>
          </w:tcPr>
          <w:p w14:paraId="7180A993"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xml:space="preserve">NEBHE </w:t>
            </w:r>
          </w:p>
        </w:tc>
        <w:tc>
          <w:tcPr>
            <w:tcW w:w="918" w:type="dxa"/>
            <w:tcBorders>
              <w:top w:val="nil"/>
              <w:left w:val="nil"/>
              <w:bottom w:val="nil"/>
              <w:right w:val="nil"/>
            </w:tcBorders>
            <w:shd w:val="clear" w:color="000000" w:fill="FFFFFF"/>
            <w:noWrap/>
            <w:vAlign w:val="bottom"/>
          </w:tcPr>
          <w:p w14:paraId="6FF65B12"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25,109</w:t>
            </w:r>
          </w:p>
        </w:tc>
        <w:tc>
          <w:tcPr>
            <w:tcW w:w="734" w:type="dxa"/>
            <w:tcBorders>
              <w:top w:val="nil"/>
              <w:left w:val="nil"/>
              <w:bottom w:val="nil"/>
              <w:right w:val="nil"/>
            </w:tcBorders>
            <w:shd w:val="clear" w:color="000000" w:fill="BFBFBF"/>
            <w:noWrap/>
            <w:vAlign w:val="bottom"/>
          </w:tcPr>
          <w:p w14:paraId="5910A651"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4.7%</w:t>
            </w:r>
          </w:p>
        </w:tc>
        <w:tc>
          <w:tcPr>
            <w:tcW w:w="734" w:type="dxa"/>
            <w:tcBorders>
              <w:top w:val="nil"/>
              <w:left w:val="nil"/>
              <w:bottom w:val="nil"/>
              <w:right w:val="nil"/>
            </w:tcBorders>
            <w:shd w:val="clear" w:color="000000" w:fill="FFFFFF"/>
            <w:noWrap/>
            <w:vAlign w:val="bottom"/>
          </w:tcPr>
          <w:p w14:paraId="6EC9571A"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23,979</w:t>
            </w:r>
          </w:p>
        </w:tc>
        <w:tc>
          <w:tcPr>
            <w:tcW w:w="734" w:type="dxa"/>
            <w:tcBorders>
              <w:top w:val="nil"/>
              <w:left w:val="nil"/>
              <w:bottom w:val="nil"/>
              <w:right w:val="nil"/>
            </w:tcBorders>
            <w:shd w:val="clear" w:color="000000" w:fill="BFBFBF"/>
            <w:noWrap/>
            <w:vAlign w:val="bottom"/>
          </w:tcPr>
          <w:p w14:paraId="3D1F6CF1"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3.2%</w:t>
            </w:r>
          </w:p>
        </w:tc>
        <w:tc>
          <w:tcPr>
            <w:tcW w:w="734" w:type="dxa"/>
            <w:tcBorders>
              <w:top w:val="nil"/>
              <w:left w:val="nil"/>
              <w:bottom w:val="nil"/>
              <w:right w:val="nil"/>
            </w:tcBorders>
            <w:shd w:val="clear" w:color="000000" w:fill="FFFFFF"/>
            <w:noWrap/>
            <w:vAlign w:val="bottom"/>
          </w:tcPr>
          <w:p w14:paraId="79A333FC"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23,229</w:t>
            </w:r>
          </w:p>
        </w:tc>
        <w:tc>
          <w:tcPr>
            <w:tcW w:w="734" w:type="dxa"/>
            <w:tcBorders>
              <w:top w:val="nil"/>
              <w:left w:val="nil"/>
              <w:bottom w:val="nil"/>
              <w:right w:val="nil"/>
            </w:tcBorders>
            <w:shd w:val="clear" w:color="000000" w:fill="BFBFBF"/>
            <w:noWrap/>
            <w:vAlign w:val="bottom"/>
          </w:tcPr>
          <w:p w14:paraId="050E53F8"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2.8%</w:t>
            </w:r>
          </w:p>
        </w:tc>
        <w:tc>
          <w:tcPr>
            <w:tcW w:w="734" w:type="dxa"/>
            <w:tcBorders>
              <w:top w:val="nil"/>
              <w:left w:val="nil"/>
              <w:bottom w:val="nil"/>
              <w:right w:val="nil"/>
            </w:tcBorders>
            <w:shd w:val="clear" w:color="000000" w:fill="FFFFFF"/>
            <w:noWrap/>
            <w:vAlign w:val="bottom"/>
          </w:tcPr>
          <w:p w14:paraId="11B809AB"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22,593</w:t>
            </w:r>
          </w:p>
        </w:tc>
        <w:tc>
          <w:tcPr>
            <w:tcW w:w="734" w:type="dxa"/>
            <w:tcBorders>
              <w:top w:val="nil"/>
              <w:left w:val="nil"/>
              <w:bottom w:val="nil"/>
              <w:right w:val="nil"/>
            </w:tcBorders>
            <w:shd w:val="clear" w:color="000000" w:fill="BFBFBF"/>
            <w:noWrap/>
            <w:vAlign w:val="bottom"/>
          </w:tcPr>
          <w:p w14:paraId="5C579DEA"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2.6%</w:t>
            </w:r>
          </w:p>
        </w:tc>
        <w:tc>
          <w:tcPr>
            <w:tcW w:w="734" w:type="dxa"/>
            <w:tcBorders>
              <w:top w:val="nil"/>
              <w:left w:val="nil"/>
              <w:bottom w:val="nil"/>
              <w:right w:val="nil"/>
            </w:tcBorders>
            <w:shd w:val="clear" w:color="000000" w:fill="FFFFFF"/>
            <w:noWrap/>
            <w:vAlign w:val="bottom"/>
          </w:tcPr>
          <w:p w14:paraId="28520E13"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22,015</w:t>
            </w:r>
          </w:p>
        </w:tc>
        <w:tc>
          <w:tcPr>
            <w:tcW w:w="734" w:type="dxa"/>
            <w:tcBorders>
              <w:top w:val="nil"/>
              <w:left w:val="nil"/>
              <w:bottom w:val="nil"/>
              <w:right w:val="nil"/>
            </w:tcBorders>
            <w:shd w:val="clear" w:color="000000" w:fill="BFBFBF"/>
            <w:noWrap/>
            <w:vAlign w:val="bottom"/>
          </w:tcPr>
          <w:p w14:paraId="6EF2B03D"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4.6%</w:t>
            </w:r>
          </w:p>
        </w:tc>
      </w:tr>
      <w:tr w:rsidR="00C719D8" w:rsidRPr="00E12C39" w14:paraId="58E0CF6F" w14:textId="77777777" w:rsidTr="00FB47FE">
        <w:trPr>
          <w:trHeight w:val="288"/>
        </w:trPr>
        <w:tc>
          <w:tcPr>
            <w:tcW w:w="1836" w:type="dxa"/>
            <w:tcBorders>
              <w:top w:val="nil"/>
              <w:left w:val="nil"/>
              <w:bottom w:val="nil"/>
              <w:right w:val="nil"/>
            </w:tcBorders>
            <w:shd w:val="clear" w:color="000000" w:fill="FFFFFF"/>
            <w:noWrap/>
            <w:vAlign w:val="bottom"/>
          </w:tcPr>
          <w:p w14:paraId="50792DE2"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Canadian</w:t>
            </w:r>
          </w:p>
        </w:tc>
        <w:tc>
          <w:tcPr>
            <w:tcW w:w="918" w:type="dxa"/>
            <w:tcBorders>
              <w:top w:val="nil"/>
              <w:left w:val="nil"/>
              <w:bottom w:val="nil"/>
              <w:right w:val="nil"/>
            </w:tcBorders>
            <w:shd w:val="clear" w:color="000000" w:fill="FFFFFF"/>
            <w:noWrap/>
            <w:vAlign w:val="bottom"/>
          </w:tcPr>
          <w:p w14:paraId="53E204F3"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19,548</w:t>
            </w:r>
          </w:p>
        </w:tc>
        <w:tc>
          <w:tcPr>
            <w:tcW w:w="734" w:type="dxa"/>
            <w:tcBorders>
              <w:top w:val="nil"/>
              <w:left w:val="nil"/>
              <w:bottom w:val="nil"/>
              <w:right w:val="nil"/>
            </w:tcBorders>
            <w:shd w:val="clear" w:color="000000" w:fill="BFBFBF"/>
            <w:noWrap/>
            <w:vAlign w:val="bottom"/>
          </w:tcPr>
          <w:p w14:paraId="20E4D3EB"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3.6%</w:t>
            </w:r>
          </w:p>
        </w:tc>
        <w:tc>
          <w:tcPr>
            <w:tcW w:w="734" w:type="dxa"/>
            <w:tcBorders>
              <w:top w:val="nil"/>
              <w:left w:val="nil"/>
              <w:bottom w:val="nil"/>
              <w:right w:val="nil"/>
            </w:tcBorders>
            <w:shd w:val="clear" w:color="000000" w:fill="FFFFFF"/>
            <w:noWrap/>
            <w:vAlign w:val="bottom"/>
          </w:tcPr>
          <w:p w14:paraId="05A29898"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18,877</w:t>
            </w:r>
          </w:p>
        </w:tc>
        <w:tc>
          <w:tcPr>
            <w:tcW w:w="734" w:type="dxa"/>
            <w:tcBorders>
              <w:top w:val="nil"/>
              <w:left w:val="nil"/>
              <w:bottom w:val="nil"/>
              <w:right w:val="nil"/>
            </w:tcBorders>
            <w:shd w:val="clear" w:color="000000" w:fill="BFBFBF"/>
            <w:noWrap/>
            <w:vAlign w:val="bottom"/>
          </w:tcPr>
          <w:p w14:paraId="49C4B7DD"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-18.7%</w:t>
            </w:r>
          </w:p>
        </w:tc>
        <w:tc>
          <w:tcPr>
            <w:tcW w:w="734" w:type="dxa"/>
            <w:tcBorders>
              <w:top w:val="nil"/>
              <w:left w:val="nil"/>
              <w:bottom w:val="nil"/>
              <w:right w:val="nil"/>
            </w:tcBorders>
            <w:shd w:val="clear" w:color="000000" w:fill="FFFFFF"/>
            <w:noWrap/>
            <w:vAlign w:val="bottom"/>
          </w:tcPr>
          <w:p w14:paraId="1ACE7F6A"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23,229</w:t>
            </w:r>
          </w:p>
        </w:tc>
        <w:tc>
          <w:tcPr>
            <w:tcW w:w="734" w:type="dxa"/>
            <w:tcBorders>
              <w:top w:val="nil"/>
              <w:left w:val="nil"/>
              <w:bottom w:val="nil"/>
              <w:right w:val="nil"/>
            </w:tcBorders>
            <w:shd w:val="clear" w:color="000000" w:fill="BFBFBF"/>
            <w:noWrap/>
            <w:vAlign w:val="bottom"/>
          </w:tcPr>
          <w:p w14:paraId="7EFACF15"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2.8%</w:t>
            </w:r>
          </w:p>
        </w:tc>
        <w:tc>
          <w:tcPr>
            <w:tcW w:w="734" w:type="dxa"/>
            <w:tcBorders>
              <w:top w:val="nil"/>
              <w:left w:val="nil"/>
              <w:bottom w:val="nil"/>
              <w:right w:val="nil"/>
            </w:tcBorders>
            <w:shd w:val="clear" w:color="000000" w:fill="FFFFFF"/>
            <w:noWrap/>
            <w:vAlign w:val="bottom"/>
          </w:tcPr>
          <w:p w14:paraId="76E76711"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22,593</w:t>
            </w:r>
          </w:p>
        </w:tc>
        <w:tc>
          <w:tcPr>
            <w:tcW w:w="734" w:type="dxa"/>
            <w:tcBorders>
              <w:top w:val="nil"/>
              <w:left w:val="nil"/>
              <w:bottom w:val="nil"/>
              <w:right w:val="nil"/>
            </w:tcBorders>
            <w:shd w:val="clear" w:color="000000" w:fill="BFBFBF"/>
            <w:noWrap/>
            <w:vAlign w:val="bottom"/>
          </w:tcPr>
          <w:p w14:paraId="2669DC8E"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2.5%</w:t>
            </w:r>
          </w:p>
        </w:tc>
        <w:tc>
          <w:tcPr>
            <w:tcW w:w="734" w:type="dxa"/>
            <w:tcBorders>
              <w:top w:val="nil"/>
              <w:left w:val="nil"/>
              <w:bottom w:val="nil"/>
              <w:right w:val="nil"/>
            </w:tcBorders>
            <w:shd w:val="clear" w:color="000000" w:fill="FFFFFF"/>
            <w:noWrap/>
            <w:vAlign w:val="bottom"/>
          </w:tcPr>
          <w:p w14:paraId="463F0449"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22,045</w:t>
            </w:r>
          </w:p>
        </w:tc>
        <w:tc>
          <w:tcPr>
            <w:tcW w:w="734" w:type="dxa"/>
            <w:tcBorders>
              <w:top w:val="nil"/>
              <w:left w:val="nil"/>
              <w:bottom w:val="nil"/>
              <w:right w:val="nil"/>
            </w:tcBorders>
            <w:shd w:val="clear" w:color="000000" w:fill="BFBFBF"/>
            <w:noWrap/>
            <w:vAlign w:val="bottom"/>
          </w:tcPr>
          <w:p w14:paraId="7A94300B"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4.6%</w:t>
            </w:r>
          </w:p>
        </w:tc>
      </w:tr>
      <w:tr w:rsidR="00C719D8" w:rsidRPr="00E12C39" w14:paraId="478C4F77" w14:textId="77777777" w:rsidTr="00FB47FE">
        <w:trPr>
          <w:trHeight w:val="288"/>
        </w:trPr>
        <w:tc>
          <w:tcPr>
            <w:tcW w:w="1836" w:type="dxa"/>
            <w:tcBorders>
              <w:top w:val="nil"/>
              <w:left w:val="nil"/>
              <w:bottom w:val="nil"/>
              <w:right w:val="nil"/>
            </w:tcBorders>
            <w:shd w:val="clear" w:color="000000" w:fill="FFFFFF"/>
            <w:noWrap/>
            <w:vAlign w:val="bottom"/>
          </w:tcPr>
          <w:p w14:paraId="125E6E12" w14:textId="77777777" w:rsidR="00E12C39" w:rsidRPr="00FB47FE" w:rsidRDefault="00E12C39" w:rsidP="00E12C39">
            <w:pPr>
              <w:rPr>
                <w:rFonts w:ascii="Calibri" w:hAnsi="Calibri" w:cs="Calibri"/>
                <w:b/>
                <w:bCs/>
                <w:color w:val="0D0D0D"/>
                <w:sz w:val="19"/>
                <w:szCs w:val="19"/>
              </w:rPr>
            </w:pPr>
            <w:r w:rsidRPr="00FB47FE">
              <w:rPr>
                <w:rFonts w:ascii="Calibri" w:hAnsi="Calibri" w:cs="Calibri"/>
                <w:b/>
                <w:bCs/>
                <w:color w:val="0D0D0D"/>
                <w:sz w:val="19"/>
                <w:szCs w:val="19"/>
              </w:rPr>
              <w:t>Graduate:</w:t>
            </w:r>
          </w:p>
        </w:tc>
        <w:tc>
          <w:tcPr>
            <w:tcW w:w="918" w:type="dxa"/>
            <w:tcBorders>
              <w:top w:val="nil"/>
              <w:left w:val="nil"/>
              <w:bottom w:val="nil"/>
              <w:right w:val="nil"/>
            </w:tcBorders>
            <w:shd w:val="clear" w:color="000000" w:fill="FFFFFF"/>
            <w:noWrap/>
            <w:vAlign w:val="bottom"/>
          </w:tcPr>
          <w:p w14:paraId="4BB15C8A"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 </w:t>
            </w:r>
          </w:p>
        </w:tc>
        <w:tc>
          <w:tcPr>
            <w:tcW w:w="734" w:type="dxa"/>
            <w:tcBorders>
              <w:top w:val="nil"/>
              <w:left w:val="nil"/>
              <w:bottom w:val="nil"/>
              <w:right w:val="nil"/>
            </w:tcBorders>
            <w:shd w:val="clear" w:color="000000" w:fill="BFBFBF"/>
            <w:noWrap/>
            <w:vAlign w:val="bottom"/>
          </w:tcPr>
          <w:p w14:paraId="6E37F638"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73EDA53F"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 </w:t>
            </w:r>
          </w:p>
        </w:tc>
        <w:tc>
          <w:tcPr>
            <w:tcW w:w="734" w:type="dxa"/>
            <w:tcBorders>
              <w:top w:val="nil"/>
              <w:left w:val="nil"/>
              <w:bottom w:val="nil"/>
              <w:right w:val="nil"/>
            </w:tcBorders>
            <w:shd w:val="clear" w:color="000000" w:fill="BFBFBF"/>
            <w:noWrap/>
            <w:vAlign w:val="bottom"/>
          </w:tcPr>
          <w:p w14:paraId="7EE95918"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590BED9F"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BFBFBF"/>
            <w:noWrap/>
            <w:vAlign w:val="bottom"/>
          </w:tcPr>
          <w:p w14:paraId="39A7C900"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74D6CF7A"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BFBFBF"/>
            <w:noWrap/>
            <w:vAlign w:val="bottom"/>
          </w:tcPr>
          <w:p w14:paraId="6FE26A49"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5C14732C"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BFBFBF"/>
            <w:noWrap/>
            <w:vAlign w:val="bottom"/>
          </w:tcPr>
          <w:p w14:paraId="1793342E"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r>
      <w:tr w:rsidR="00C719D8" w:rsidRPr="00E12C39" w14:paraId="31B0BA7F" w14:textId="77777777" w:rsidTr="00FB47FE">
        <w:trPr>
          <w:trHeight w:val="288"/>
        </w:trPr>
        <w:tc>
          <w:tcPr>
            <w:tcW w:w="1836" w:type="dxa"/>
            <w:tcBorders>
              <w:top w:val="nil"/>
              <w:left w:val="nil"/>
              <w:bottom w:val="nil"/>
              <w:right w:val="nil"/>
            </w:tcBorders>
            <w:shd w:val="clear" w:color="000000" w:fill="FFFFFF"/>
            <w:noWrap/>
            <w:vAlign w:val="bottom"/>
          </w:tcPr>
          <w:p w14:paraId="58BF4C52"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In-State</w:t>
            </w:r>
          </w:p>
        </w:tc>
        <w:tc>
          <w:tcPr>
            <w:tcW w:w="918" w:type="dxa"/>
            <w:tcBorders>
              <w:top w:val="nil"/>
              <w:left w:val="nil"/>
              <w:bottom w:val="nil"/>
              <w:right w:val="nil"/>
            </w:tcBorders>
            <w:shd w:val="clear" w:color="000000" w:fill="FFFFFF"/>
            <w:noWrap/>
            <w:vAlign w:val="bottom"/>
          </w:tcPr>
          <w:p w14:paraId="3DDFC326"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$19,524</w:t>
            </w:r>
          </w:p>
        </w:tc>
        <w:tc>
          <w:tcPr>
            <w:tcW w:w="734" w:type="dxa"/>
            <w:tcBorders>
              <w:top w:val="nil"/>
              <w:left w:val="nil"/>
              <w:bottom w:val="nil"/>
              <w:right w:val="nil"/>
            </w:tcBorders>
            <w:shd w:val="clear" w:color="000000" w:fill="BFBFBF"/>
            <w:noWrap/>
            <w:vAlign w:val="bottom"/>
          </w:tcPr>
          <w:p w14:paraId="4C4E6F15"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4.5%</w:t>
            </w:r>
          </w:p>
        </w:tc>
        <w:tc>
          <w:tcPr>
            <w:tcW w:w="734" w:type="dxa"/>
            <w:tcBorders>
              <w:top w:val="nil"/>
              <w:left w:val="nil"/>
              <w:bottom w:val="nil"/>
              <w:right w:val="nil"/>
            </w:tcBorders>
            <w:shd w:val="clear" w:color="000000" w:fill="FFFFFF"/>
            <w:noWrap/>
            <w:vAlign w:val="bottom"/>
          </w:tcPr>
          <w:p w14:paraId="78085024"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$18,683</w:t>
            </w:r>
          </w:p>
        </w:tc>
        <w:tc>
          <w:tcPr>
            <w:tcW w:w="734" w:type="dxa"/>
            <w:tcBorders>
              <w:top w:val="nil"/>
              <w:left w:val="nil"/>
              <w:bottom w:val="nil"/>
              <w:right w:val="nil"/>
            </w:tcBorders>
            <w:shd w:val="clear" w:color="000000" w:fill="BFBFBF"/>
            <w:noWrap/>
            <w:vAlign w:val="bottom"/>
          </w:tcPr>
          <w:p w14:paraId="71F77B46"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2.3%</w:t>
            </w:r>
          </w:p>
        </w:tc>
        <w:tc>
          <w:tcPr>
            <w:tcW w:w="734" w:type="dxa"/>
            <w:tcBorders>
              <w:top w:val="nil"/>
              <w:left w:val="nil"/>
              <w:bottom w:val="nil"/>
              <w:right w:val="nil"/>
            </w:tcBorders>
            <w:shd w:val="clear" w:color="000000" w:fill="FFFFFF"/>
            <w:noWrap/>
            <w:vAlign w:val="bottom"/>
          </w:tcPr>
          <w:p w14:paraId="3E41128F"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$18,262</w:t>
            </w:r>
          </w:p>
        </w:tc>
        <w:tc>
          <w:tcPr>
            <w:tcW w:w="734" w:type="dxa"/>
            <w:tcBorders>
              <w:top w:val="nil"/>
              <w:left w:val="nil"/>
              <w:bottom w:val="nil"/>
              <w:right w:val="nil"/>
            </w:tcBorders>
            <w:shd w:val="clear" w:color="000000" w:fill="BFBFBF"/>
            <w:noWrap/>
            <w:vAlign w:val="bottom"/>
          </w:tcPr>
          <w:p w14:paraId="6171C19A"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1.0%</w:t>
            </w:r>
          </w:p>
        </w:tc>
        <w:tc>
          <w:tcPr>
            <w:tcW w:w="734" w:type="dxa"/>
            <w:tcBorders>
              <w:top w:val="nil"/>
              <w:left w:val="nil"/>
              <w:bottom w:val="nil"/>
              <w:right w:val="nil"/>
            </w:tcBorders>
            <w:shd w:val="clear" w:color="000000" w:fill="FFFFFF"/>
            <w:noWrap/>
            <w:vAlign w:val="bottom"/>
          </w:tcPr>
          <w:p w14:paraId="641D1FFD"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$18,081</w:t>
            </w:r>
          </w:p>
        </w:tc>
        <w:tc>
          <w:tcPr>
            <w:tcW w:w="734" w:type="dxa"/>
            <w:tcBorders>
              <w:top w:val="nil"/>
              <w:left w:val="nil"/>
              <w:bottom w:val="nil"/>
              <w:right w:val="nil"/>
            </w:tcBorders>
            <w:shd w:val="clear" w:color="000000" w:fill="BFBFBF"/>
            <w:noWrap/>
            <w:vAlign w:val="bottom"/>
          </w:tcPr>
          <w:p w14:paraId="4C610E17"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3.3%</w:t>
            </w:r>
          </w:p>
        </w:tc>
        <w:tc>
          <w:tcPr>
            <w:tcW w:w="734" w:type="dxa"/>
            <w:tcBorders>
              <w:top w:val="nil"/>
              <w:left w:val="nil"/>
              <w:bottom w:val="nil"/>
              <w:right w:val="nil"/>
            </w:tcBorders>
            <w:shd w:val="clear" w:color="000000" w:fill="FFFFFF"/>
            <w:noWrap/>
            <w:vAlign w:val="bottom"/>
          </w:tcPr>
          <w:p w14:paraId="426678C0"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$17,501</w:t>
            </w:r>
          </w:p>
        </w:tc>
        <w:tc>
          <w:tcPr>
            <w:tcW w:w="734" w:type="dxa"/>
            <w:tcBorders>
              <w:top w:val="nil"/>
              <w:left w:val="nil"/>
              <w:bottom w:val="nil"/>
              <w:right w:val="nil"/>
            </w:tcBorders>
            <w:shd w:val="clear" w:color="000000" w:fill="BFBFBF"/>
            <w:noWrap/>
            <w:vAlign w:val="bottom"/>
          </w:tcPr>
          <w:p w14:paraId="703322E8"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2.3%</w:t>
            </w:r>
          </w:p>
        </w:tc>
      </w:tr>
      <w:tr w:rsidR="00C719D8" w:rsidRPr="00E12C39" w14:paraId="23533C50" w14:textId="77777777" w:rsidTr="00FB47FE">
        <w:trPr>
          <w:trHeight w:val="288"/>
        </w:trPr>
        <w:tc>
          <w:tcPr>
            <w:tcW w:w="1836" w:type="dxa"/>
            <w:tcBorders>
              <w:top w:val="nil"/>
              <w:left w:val="nil"/>
              <w:bottom w:val="nil"/>
              <w:right w:val="nil"/>
            </w:tcBorders>
            <w:shd w:val="clear" w:color="000000" w:fill="FFFFFF"/>
            <w:noWrap/>
            <w:vAlign w:val="bottom"/>
          </w:tcPr>
          <w:p w14:paraId="46D483C2"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Out-of-State</w:t>
            </w:r>
          </w:p>
        </w:tc>
        <w:tc>
          <w:tcPr>
            <w:tcW w:w="918" w:type="dxa"/>
            <w:tcBorders>
              <w:top w:val="nil"/>
              <w:left w:val="nil"/>
              <w:bottom w:val="nil"/>
              <w:right w:val="nil"/>
            </w:tcBorders>
            <w:shd w:val="clear" w:color="000000" w:fill="FFFFFF"/>
            <w:noWrap/>
            <w:vAlign w:val="bottom"/>
          </w:tcPr>
          <w:p w14:paraId="61CF9166"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28,470</w:t>
            </w:r>
          </w:p>
        </w:tc>
        <w:tc>
          <w:tcPr>
            <w:tcW w:w="734" w:type="dxa"/>
            <w:tcBorders>
              <w:top w:val="nil"/>
              <w:left w:val="nil"/>
              <w:bottom w:val="nil"/>
              <w:right w:val="nil"/>
            </w:tcBorders>
            <w:shd w:val="clear" w:color="000000" w:fill="BFBFBF"/>
            <w:noWrap/>
            <w:vAlign w:val="bottom"/>
          </w:tcPr>
          <w:p w14:paraId="7309F3C8"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4.5%</w:t>
            </w:r>
          </w:p>
        </w:tc>
        <w:tc>
          <w:tcPr>
            <w:tcW w:w="734" w:type="dxa"/>
            <w:tcBorders>
              <w:top w:val="nil"/>
              <w:left w:val="nil"/>
              <w:bottom w:val="nil"/>
              <w:right w:val="nil"/>
            </w:tcBorders>
            <w:shd w:val="clear" w:color="000000" w:fill="FFFFFF"/>
            <w:noWrap/>
            <w:vAlign w:val="bottom"/>
          </w:tcPr>
          <w:p w14:paraId="5FDA37EA"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27,251</w:t>
            </w:r>
          </w:p>
        </w:tc>
        <w:tc>
          <w:tcPr>
            <w:tcW w:w="734" w:type="dxa"/>
            <w:tcBorders>
              <w:top w:val="nil"/>
              <w:left w:val="nil"/>
              <w:bottom w:val="nil"/>
              <w:right w:val="nil"/>
            </w:tcBorders>
            <w:shd w:val="clear" w:color="000000" w:fill="BFBFBF"/>
            <w:noWrap/>
            <w:vAlign w:val="bottom"/>
          </w:tcPr>
          <w:p w14:paraId="519FFA60"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-8.9%</w:t>
            </w:r>
          </w:p>
        </w:tc>
        <w:tc>
          <w:tcPr>
            <w:tcW w:w="734" w:type="dxa"/>
            <w:tcBorders>
              <w:top w:val="nil"/>
              <w:left w:val="nil"/>
              <w:bottom w:val="nil"/>
              <w:right w:val="nil"/>
            </w:tcBorders>
            <w:shd w:val="clear" w:color="000000" w:fill="FFFFFF"/>
            <w:noWrap/>
            <w:vAlign w:val="bottom"/>
          </w:tcPr>
          <w:p w14:paraId="01552413"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29,902</w:t>
            </w:r>
          </w:p>
        </w:tc>
        <w:tc>
          <w:tcPr>
            <w:tcW w:w="734" w:type="dxa"/>
            <w:tcBorders>
              <w:top w:val="nil"/>
              <w:left w:val="nil"/>
              <w:bottom w:val="nil"/>
              <w:right w:val="nil"/>
            </w:tcBorders>
            <w:shd w:val="clear" w:color="000000" w:fill="BFBFBF"/>
            <w:noWrap/>
            <w:vAlign w:val="bottom"/>
          </w:tcPr>
          <w:p w14:paraId="3A558F4C"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2.0%</w:t>
            </w:r>
          </w:p>
        </w:tc>
        <w:tc>
          <w:tcPr>
            <w:tcW w:w="734" w:type="dxa"/>
            <w:tcBorders>
              <w:top w:val="nil"/>
              <w:left w:val="nil"/>
              <w:bottom w:val="nil"/>
              <w:right w:val="nil"/>
            </w:tcBorders>
            <w:shd w:val="clear" w:color="000000" w:fill="FFFFFF"/>
            <w:noWrap/>
            <w:vAlign w:val="bottom"/>
          </w:tcPr>
          <w:p w14:paraId="7F671865"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29,313</w:t>
            </w:r>
          </w:p>
        </w:tc>
        <w:tc>
          <w:tcPr>
            <w:tcW w:w="734" w:type="dxa"/>
            <w:tcBorders>
              <w:top w:val="nil"/>
              <w:left w:val="nil"/>
              <w:bottom w:val="nil"/>
              <w:right w:val="nil"/>
            </w:tcBorders>
            <w:shd w:val="clear" w:color="000000" w:fill="BFBFBF"/>
            <w:noWrap/>
            <w:vAlign w:val="bottom"/>
          </w:tcPr>
          <w:p w14:paraId="311FD26E"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3.1%</w:t>
            </w:r>
          </w:p>
        </w:tc>
        <w:tc>
          <w:tcPr>
            <w:tcW w:w="734" w:type="dxa"/>
            <w:tcBorders>
              <w:top w:val="nil"/>
              <w:left w:val="nil"/>
              <w:bottom w:val="nil"/>
              <w:right w:val="nil"/>
            </w:tcBorders>
            <w:shd w:val="clear" w:color="000000" w:fill="FFFFFF"/>
            <w:noWrap/>
            <w:vAlign w:val="bottom"/>
          </w:tcPr>
          <w:p w14:paraId="2CD883A1"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28,427</w:t>
            </w:r>
          </w:p>
        </w:tc>
        <w:tc>
          <w:tcPr>
            <w:tcW w:w="734" w:type="dxa"/>
            <w:tcBorders>
              <w:top w:val="nil"/>
              <w:left w:val="nil"/>
              <w:bottom w:val="nil"/>
              <w:right w:val="nil"/>
            </w:tcBorders>
            <w:shd w:val="clear" w:color="000000" w:fill="BFBFBF"/>
            <w:noWrap/>
            <w:vAlign w:val="bottom"/>
          </w:tcPr>
          <w:p w14:paraId="093E7DC6"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2.7%</w:t>
            </w:r>
          </w:p>
        </w:tc>
      </w:tr>
      <w:tr w:rsidR="00C719D8" w:rsidRPr="00E12C39" w14:paraId="3970C58C" w14:textId="77777777" w:rsidTr="00FB47FE">
        <w:trPr>
          <w:trHeight w:val="288"/>
        </w:trPr>
        <w:tc>
          <w:tcPr>
            <w:tcW w:w="1836" w:type="dxa"/>
            <w:tcBorders>
              <w:top w:val="nil"/>
              <w:left w:val="nil"/>
              <w:bottom w:val="nil"/>
              <w:right w:val="nil"/>
            </w:tcBorders>
            <w:shd w:val="clear" w:color="000000" w:fill="FFFFFF"/>
            <w:noWrap/>
            <w:vAlign w:val="bottom"/>
          </w:tcPr>
          <w:p w14:paraId="6D21B65D"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NEBHE</w:t>
            </w:r>
          </w:p>
        </w:tc>
        <w:tc>
          <w:tcPr>
            <w:tcW w:w="918" w:type="dxa"/>
            <w:tcBorders>
              <w:top w:val="nil"/>
              <w:left w:val="nil"/>
              <w:bottom w:val="nil"/>
              <w:right w:val="nil"/>
            </w:tcBorders>
            <w:shd w:val="clear" w:color="000000" w:fill="FFFFFF"/>
            <w:noWrap/>
            <w:vAlign w:val="bottom"/>
          </w:tcPr>
          <w:p w14:paraId="415DED52"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25,604</w:t>
            </w:r>
          </w:p>
        </w:tc>
        <w:tc>
          <w:tcPr>
            <w:tcW w:w="734" w:type="dxa"/>
            <w:tcBorders>
              <w:top w:val="nil"/>
              <w:left w:val="nil"/>
              <w:bottom w:val="nil"/>
              <w:right w:val="nil"/>
            </w:tcBorders>
            <w:shd w:val="clear" w:color="000000" w:fill="BFBFBF"/>
            <w:noWrap/>
            <w:vAlign w:val="bottom"/>
          </w:tcPr>
          <w:p w14:paraId="4B662D0B"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6.3%</w:t>
            </w:r>
          </w:p>
        </w:tc>
        <w:tc>
          <w:tcPr>
            <w:tcW w:w="734" w:type="dxa"/>
            <w:tcBorders>
              <w:top w:val="nil"/>
              <w:left w:val="nil"/>
              <w:bottom w:val="nil"/>
              <w:right w:val="nil"/>
            </w:tcBorders>
            <w:shd w:val="clear" w:color="000000" w:fill="FFFFFF"/>
            <w:noWrap/>
            <w:vAlign w:val="bottom"/>
          </w:tcPr>
          <w:p w14:paraId="29DAD910"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24,097</w:t>
            </w:r>
          </w:p>
        </w:tc>
        <w:tc>
          <w:tcPr>
            <w:tcW w:w="734" w:type="dxa"/>
            <w:tcBorders>
              <w:top w:val="nil"/>
              <w:left w:val="nil"/>
              <w:bottom w:val="nil"/>
              <w:right w:val="nil"/>
            </w:tcBorders>
            <w:shd w:val="clear" w:color="000000" w:fill="BFBFBF"/>
            <w:noWrap/>
            <w:vAlign w:val="bottom"/>
          </w:tcPr>
          <w:p w14:paraId="4BC5FB07"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2.2%</w:t>
            </w:r>
          </w:p>
        </w:tc>
        <w:tc>
          <w:tcPr>
            <w:tcW w:w="734" w:type="dxa"/>
            <w:tcBorders>
              <w:top w:val="nil"/>
              <w:left w:val="nil"/>
              <w:bottom w:val="nil"/>
              <w:right w:val="nil"/>
            </w:tcBorders>
            <w:shd w:val="clear" w:color="000000" w:fill="FFFFFF"/>
            <w:noWrap/>
            <w:vAlign w:val="bottom"/>
          </w:tcPr>
          <w:p w14:paraId="053C0893"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23,578</w:t>
            </w:r>
          </w:p>
        </w:tc>
        <w:tc>
          <w:tcPr>
            <w:tcW w:w="734" w:type="dxa"/>
            <w:tcBorders>
              <w:top w:val="nil"/>
              <w:left w:val="nil"/>
              <w:bottom w:val="nil"/>
              <w:right w:val="nil"/>
            </w:tcBorders>
            <w:shd w:val="clear" w:color="000000" w:fill="BFBFBF"/>
            <w:noWrap/>
            <w:vAlign w:val="bottom"/>
          </w:tcPr>
          <w:p w14:paraId="6B219863"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2.6%</w:t>
            </w:r>
          </w:p>
        </w:tc>
        <w:tc>
          <w:tcPr>
            <w:tcW w:w="734" w:type="dxa"/>
            <w:tcBorders>
              <w:top w:val="nil"/>
              <w:left w:val="nil"/>
              <w:bottom w:val="nil"/>
              <w:right w:val="nil"/>
            </w:tcBorders>
            <w:shd w:val="clear" w:color="000000" w:fill="FFFFFF"/>
            <w:noWrap/>
            <w:vAlign w:val="bottom"/>
          </w:tcPr>
          <w:p w14:paraId="02DFF585"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22,983</w:t>
            </w:r>
          </w:p>
        </w:tc>
        <w:tc>
          <w:tcPr>
            <w:tcW w:w="734" w:type="dxa"/>
            <w:tcBorders>
              <w:top w:val="nil"/>
              <w:left w:val="nil"/>
              <w:bottom w:val="nil"/>
              <w:right w:val="nil"/>
            </w:tcBorders>
            <w:shd w:val="clear" w:color="000000" w:fill="BFBFBF"/>
            <w:noWrap/>
            <w:vAlign w:val="bottom"/>
          </w:tcPr>
          <w:p w14:paraId="64DAA3FD"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2.8%</w:t>
            </w:r>
          </w:p>
        </w:tc>
        <w:tc>
          <w:tcPr>
            <w:tcW w:w="734" w:type="dxa"/>
            <w:tcBorders>
              <w:top w:val="nil"/>
              <w:left w:val="nil"/>
              <w:bottom w:val="nil"/>
              <w:right w:val="nil"/>
            </w:tcBorders>
            <w:shd w:val="clear" w:color="000000" w:fill="FFFFFF"/>
            <w:noWrap/>
            <w:vAlign w:val="bottom"/>
          </w:tcPr>
          <w:p w14:paraId="32D2155A"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22,350</w:t>
            </w:r>
          </w:p>
        </w:tc>
        <w:tc>
          <w:tcPr>
            <w:tcW w:w="734" w:type="dxa"/>
            <w:tcBorders>
              <w:top w:val="nil"/>
              <w:left w:val="nil"/>
              <w:bottom w:val="nil"/>
              <w:right w:val="nil"/>
            </w:tcBorders>
            <w:shd w:val="clear" w:color="000000" w:fill="BFBFBF"/>
            <w:noWrap/>
            <w:vAlign w:val="bottom"/>
          </w:tcPr>
          <w:p w14:paraId="4089F284"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4.0%</w:t>
            </w:r>
          </w:p>
        </w:tc>
      </w:tr>
      <w:tr w:rsidR="00C719D8" w:rsidRPr="00E12C39" w14:paraId="098F3F94" w14:textId="77777777" w:rsidTr="00FB47FE">
        <w:trPr>
          <w:trHeight w:val="288"/>
        </w:trPr>
        <w:tc>
          <w:tcPr>
            <w:tcW w:w="1836" w:type="dxa"/>
            <w:tcBorders>
              <w:top w:val="nil"/>
              <w:left w:val="nil"/>
              <w:bottom w:val="nil"/>
              <w:right w:val="nil"/>
            </w:tcBorders>
            <w:shd w:val="clear" w:color="000000" w:fill="FFFFFF"/>
            <w:noWrap/>
            <w:vAlign w:val="bottom"/>
          </w:tcPr>
          <w:p w14:paraId="5DB155C4"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Canadian</w:t>
            </w:r>
          </w:p>
        </w:tc>
        <w:tc>
          <w:tcPr>
            <w:tcW w:w="918" w:type="dxa"/>
            <w:tcBorders>
              <w:top w:val="nil"/>
              <w:left w:val="nil"/>
              <w:bottom w:val="nil"/>
              <w:right w:val="nil"/>
            </w:tcBorders>
            <w:shd w:val="clear" w:color="000000" w:fill="FFFFFF"/>
            <w:noWrap/>
            <w:vAlign w:val="bottom"/>
          </w:tcPr>
          <w:p w14:paraId="77341BB0"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19,524</w:t>
            </w:r>
          </w:p>
        </w:tc>
        <w:tc>
          <w:tcPr>
            <w:tcW w:w="734" w:type="dxa"/>
            <w:tcBorders>
              <w:top w:val="nil"/>
              <w:left w:val="nil"/>
              <w:bottom w:val="nil"/>
              <w:right w:val="nil"/>
            </w:tcBorders>
            <w:shd w:val="clear" w:color="000000" w:fill="BFBFBF"/>
            <w:noWrap/>
            <w:vAlign w:val="bottom"/>
          </w:tcPr>
          <w:p w14:paraId="251726D3"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3.9%</w:t>
            </w:r>
          </w:p>
        </w:tc>
        <w:tc>
          <w:tcPr>
            <w:tcW w:w="734" w:type="dxa"/>
            <w:tcBorders>
              <w:top w:val="nil"/>
              <w:left w:val="nil"/>
              <w:bottom w:val="nil"/>
              <w:right w:val="nil"/>
            </w:tcBorders>
            <w:shd w:val="clear" w:color="000000" w:fill="FFFFFF"/>
            <w:noWrap/>
            <w:vAlign w:val="bottom"/>
          </w:tcPr>
          <w:p w14:paraId="0439381C"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18,787</w:t>
            </w:r>
          </w:p>
        </w:tc>
        <w:tc>
          <w:tcPr>
            <w:tcW w:w="734" w:type="dxa"/>
            <w:tcBorders>
              <w:top w:val="nil"/>
              <w:left w:val="nil"/>
              <w:bottom w:val="nil"/>
              <w:right w:val="nil"/>
            </w:tcBorders>
            <w:shd w:val="clear" w:color="000000" w:fill="BFBFBF"/>
            <w:noWrap/>
            <w:vAlign w:val="bottom"/>
          </w:tcPr>
          <w:p w14:paraId="222A3A47"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-20.3%</w:t>
            </w:r>
          </w:p>
        </w:tc>
        <w:tc>
          <w:tcPr>
            <w:tcW w:w="734" w:type="dxa"/>
            <w:tcBorders>
              <w:top w:val="nil"/>
              <w:left w:val="nil"/>
              <w:bottom w:val="nil"/>
              <w:right w:val="nil"/>
            </w:tcBorders>
            <w:shd w:val="clear" w:color="000000" w:fill="FFFFFF"/>
            <w:noWrap/>
            <w:vAlign w:val="bottom"/>
          </w:tcPr>
          <w:p w14:paraId="490A80CC"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23,578</w:t>
            </w:r>
          </w:p>
        </w:tc>
        <w:tc>
          <w:tcPr>
            <w:tcW w:w="734" w:type="dxa"/>
            <w:tcBorders>
              <w:top w:val="nil"/>
              <w:left w:val="nil"/>
              <w:bottom w:val="nil"/>
              <w:right w:val="nil"/>
            </w:tcBorders>
            <w:shd w:val="clear" w:color="000000" w:fill="BFBFBF"/>
            <w:noWrap/>
            <w:vAlign w:val="bottom"/>
          </w:tcPr>
          <w:p w14:paraId="32FBE522"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2.6%</w:t>
            </w:r>
          </w:p>
        </w:tc>
        <w:tc>
          <w:tcPr>
            <w:tcW w:w="734" w:type="dxa"/>
            <w:tcBorders>
              <w:top w:val="nil"/>
              <w:left w:val="nil"/>
              <w:bottom w:val="nil"/>
              <w:right w:val="nil"/>
            </w:tcBorders>
            <w:shd w:val="clear" w:color="000000" w:fill="FFFFFF"/>
            <w:noWrap/>
            <w:vAlign w:val="bottom"/>
          </w:tcPr>
          <w:p w14:paraId="049206B9"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22,983</w:t>
            </w:r>
          </w:p>
        </w:tc>
        <w:tc>
          <w:tcPr>
            <w:tcW w:w="734" w:type="dxa"/>
            <w:tcBorders>
              <w:top w:val="nil"/>
              <w:left w:val="nil"/>
              <w:bottom w:val="nil"/>
              <w:right w:val="nil"/>
            </w:tcBorders>
            <w:shd w:val="clear" w:color="000000" w:fill="BFBFBF"/>
            <w:noWrap/>
            <w:vAlign w:val="bottom"/>
          </w:tcPr>
          <w:p w14:paraId="7118919D"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2.8%</w:t>
            </w:r>
          </w:p>
        </w:tc>
        <w:tc>
          <w:tcPr>
            <w:tcW w:w="734" w:type="dxa"/>
            <w:tcBorders>
              <w:top w:val="nil"/>
              <w:left w:val="nil"/>
              <w:bottom w:val="nil"/>
              <w:right w:val="nil"/>
            </w:tcBorders>
            <w:shd w:val="clear" w:color="000000" w:fill="FFFFFF"/>
            <w:noWrap/>
            <w:vAlign w:val="bottom"/>
          </w:tcPr>
          <w:p w14:paraId="56972CE5"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22,350</w:t>
            </w:r>
          </w:p>
        </w:tc>
        <w:tc>
          <w:tcPr>
            <w:tcW w:w="734" w:type="dxa"/>
            <w:tcBorders>
              <w:top w:val="nil"/>
              <w:left w:val="nil"/>
              <w:bottom w:val="nil"/>
              <w:right w:val="nil"/>
            </w:tcBorders>
            <w:shd w:val="clear" w:color="000000" w:fill="BFBFBF"/>
            <w:noWrap/>
            <w:vAlign w:val="bottom"/>
          </w:tcPr>
          <w:p w14:paraId="00A22696"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4.0%</w:t>
            </w:r>
          </w:p>
        </w:tc>
      </w:tr>
      <w:tr w:rsidR="00C719D8" w:rsidRPr="00E12C39" w14:paraId="461A7992" w14:textId="77777777" w:rsidTr="00FB47FE">
        <w:trPr>
          <w:trHeight w:val="288"/>
        </w:trPr>
        <w:tc>
          <w:tcPr>
            <w:tcW w:w="1836" w:type="dxa"/>
            <w:tcBorders>
              <w:top w:val="nil"/>
              <w:left w:val="nil"/>
              <w:bottom w:val="nil"/>
              <w:right w:val="nil"/>
            </w:tcBorders>
            <w:shd w:val="clear" w:color="000000" w:fill="FFFFFF"/>
            <w:noWrap/>
            <w:vAlign w:val="bottom"/>
          </w:tcPr>
          <w:p w14:paraId="3D479ED0" w14:textId="77777777" w:rsidR="00E12C39" w:rsidRPr="00FB47FE" w:rsidRDefault="00E12C39" w:rsidP="00E12C39">
            <w:pPr>
              <w:rPr>
                <w:rFonts w:ascii="Calibri" w:hAnsi="Calibri" w:cs="Calibri"/>
                <w:b/>
                <w:bCs/>
                <w:color w:val="0D0D0D"/>
                <w:sz w:val="19"/>
                <w:szCs w:val="19"/>
              </w:rPr>
            </w:pPr>
            <w:r w:rsidRPr="00FB47FE">
              <w:rPr>
                <w:rFonts w:ascii="Calibri" w:hAnsi="Calibri" w:cs="Calibri"/>
                <w:b/>
                <w:bCs/>
                <w:color w:val="0D0D0D"/>
                <w:sz w:val="19"/>
                <w:szCs w:val="19"/>
              </w:rPr>
              <w:t>Law School:</w:t>
            </w:r>
          </w:p>
        </w:tc>
        <w:tc>
          <w:tcPr>
            <w:tcW w:w="918" w:type="dxa"/>
            <w:tcBorders>
              <w:top w:val="nil"/>
              <w:left w:val="nil"/>
              <w:bottom w:val="nil"/>
              <w:right w:val="nil"/>
            </w:tcBorders>
            <w:shd w:val="clear" w:color="000000" w:fill="FFFFFF"/>
            <w:noWrap/>
            <w:vAlign w:val="bottom"/>
          </w:tcPr>
          <w:p w14:paraId="7FA46900"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 </w:t>
            </w:r>
          </w:p>
        </w:tc>
        <w:tc>
          <w:tcPr>
            <w:tcW w:w="734" w:type="dxa"/>
            <w:tcBorders>
              <w:top w:val="nil"/>
              <w:left w:val="nil"/>
              <w:bottom w:val="nil"/>
              <w:right w:val="nil"/>
            </w:tcBorders>
            <w:shd w:val="clear" w:color="000000" w:fill="BFBFBF"/>
            <w:noWrap/>
            <w:vAlign w:val="bottom"/>
          </w:tcPr>
          <w:p w14:paraId="615D243A"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4D43AF65"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 </w:t>
            </w:r>
          </w:p>
        </w:tc>
        <w:tc>
          <w:tcPr>
            <w:tcW w:w="734" w:type="dxa"/>
            <w:tcBorders>
              <w:top w:val="nil"/>
              <w:left w:val="nil"/>
              <w:bottom w:val="nil"/>
              <w:right w:val="nil"/>
            </w:tcBorders>
            <w:shd w:val="clear" w:color="000000" w:fill="BFBFBF"/>
            <w:noWrap/>
            <w:vAlign w:val="bottom"/>
          </w:tcPr>
          <w:p w14:paraId="38AC85DE"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4D9856C3"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BFBFBF"/>
            <w:noWrap/>
            <w:vAlign w:val="bottom"/>
          </w:tcPr>
          <w:p w14:paraId="68454AC2"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4551DF19"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BFBFBF"/>
            <w:noWrap/>
            <w:vAlign w:val="bottom"/>
          </w:tcPr>
          <w:p w14:paraId="70E8AE20"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FFFFFF"/>
            <w:noWrap/>
            <w:vAlign w:val="bottom"/>
          </w:tcPr>
          <w:p w14:paraId="296CFEFB"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c>
          <w:tcPr>
            <w:tcW w:w="734" w:type="dxa"/>
            <w:tcBorders>
              <w:top w:val="nil"/>
              <w:left w:val="nil"/>
              <w:bottom w:val="nil"/>
              <w:right w:val="nil"/>
            </w:tcBorders>
            <w:shd w:val="clear" w:color="000000" w:fill="BFBFBF"/>
            <w:noWrap/>
            <w:vAlign w:val="bottom"/>
          </w:tcPr>
          <w:p w14:paraId="557EB8AD"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 </w:t>
            </w:r>
          </w:p>
        </w:tc>
      </w:tr>
      <w:tr w:rsidR="00C719D8" w:rsidRPr="00E12C39" w14:paraId="5B14DED0" w14:textId="77777777" w:rsidTr="00FB47FE">
        <w:trPr>
          <w:trHeight w:val="288"/>
        </w:trPr>
        <w:tc>
          <w:tcPr>
            <w:tcW w:w="1836" w:type="dxa"/>
            <w:tcBorders>
              <w:top w:val="nil"/>
              <w:left w:val="nil"/>
              <w:bottom w:val="nil"/>
              <w:right w:val="nil"/>
            </w:tcBorders>
            <w:shd w:val="clear" w:color="000000" w:fill="FFFFFF"/>
            <w:noWrap/>
            <w:vAlign w:val="bottom"/>
          </w:tcPr>
          <w:p w14:paraId="316A66ED"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In-State</w:t>
            </w:r>
          </w:p>
        </w:tc>
        <w:tc>
          <w:tcPr>
            <w:tcW w:w="918" w:type="dxa"/>
            <w:tcBorders>
              <w:top w:val="nil"/>
              <w:left w:val="nil"/>
              <w:bottom w:val="nil"/>
              <w:right w:val="nil"/>
            </w:tcBorders>
            <w:shd w:val="clear" w:color="000000" w:fill="FFFFFF"/>
            <w:noWrap/>
            <w:vAlign w:val="bottom"/>
          </w:tcPr>
          <w:p w14:paraId="59FB7108"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$35,555</w:t>
            </w:r>
          </w:p>
        </w:tc>
        <w:tc>
          <w:tcPr>
            <w:tcW w:w="734" w:type="dxa"/>
            <w:tcBorders>
              <w:top w:val="nil"/>
              <w:left w:val="nil"/>
              <w:bottom w:val="nil"/>
              <w:right w:val="nil"/>
            </w:tcBorders>
            <w:shd w:val="clear" w:color="000000" w:fill="BFBFBF"/>
            <w:noWrap/>
            <w:vAlign w:val="bottom"/>
          </w:tcPr>
          <w:p w14:paraId="1E2C1F11"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6.7%</w:t>
            </w:r>
          </w:p>
        </w:tc>
        <w:tc>
          <w:tcPr>
            <w:tcW w:w="734" w:type="dxa"/>
            <w:tcBorders>
              <w:top w:val="nil"/>
              <w:left w:val="nil"/>
              <w:bottom w:val="nil"/>
              <w:right w:val="nil"/>
            </w:tcBorders>
            <w:shd w:val="clear" w:color="000000" w:fill="FFFFFF"/>
            <w:noWrap/>
            <w:vAlign w:val="bottom"/>
          </w:tcPr>
          <w:p w14:paraId="1DB09CE1"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$33,310</w:t>
            </w:r>
          </w:p>
        </w:tc>
        <w:tc>
          <w:tcPr>
            <w:tcW w:w="734" w:type="dxa"/>
            <w:tcBorders>
              <w:top w:val="nil"/>
              <w:left w:val="nil"/>
              <w:bottom w:val="nil"/>
              <w:right w:val="nil"/>
            </w:tcBorders>
            <w:shd w:val="clear" w:color="000000" w:fill="BFBFBF"/>
            <w:noWrap/>
            <w:vAlign w:val="bottom"/>
          </w:tcPr>
          <w:p w14:paraId="1B7F2514"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0.9%</w:t>
            </w:r>
          </w:p>
        </w:tc>
        <w:tc>
          <w:tcPr>
            <w:tcW w:w="734" w:type="dxa"/>
            <w:tcBorders>
              <w:top w:val="nil"/>
              <w:left w:val="nil"/>
              <w:bottom w:val="nil"/>
              <w:right w:val="nil"/>
            </w:tcBorders>
            <w:shd w:val="clear" w:color="000000" w:fill="FFFFFF"/>
            <w:noWrap/>
            <w:vAlign w:val="bottom"/>
          </w:tcPr>
          <w:p w14:paraId="77BE32B9"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$33,005</w:t>
            </w:r>
          </w:p>
        </w:tc>
        <w:tc>
          <w:tcPr>
            <w:tcW w:w="734" w:type="dxa"/>
            <w:tcBorders>
              <w:top w:val="nil"/>
              <w:left w:val="nil"/>
              <w:bottom w:val="nil"/>
              <w:right w:val="nil"/>
            </w:tcBorders>
            <w:shd w:val="clear" w:color="000000" w:fill="BFBFBF"/>
            <w:noWrap/>
            <w:vAlign w:val="bottom"/>
          </w:tcPr>
          <w:p w14:paraId="56ACE7D4"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0.8%</w:t>
            </w:r>
          </w:p>
        </w:tc>
        <w:tc>
          <w:tcPr>
            <w:tcW w:w="734" w:type="dxa"/>
            <w:tcBorders>
              <w:top w:val="nil"/>
              <w:left w:val="nil"/>
              <w:bottom w:val="nil"/>
              <w:right w:val="nil"/>
            </w:tcBorders>
            <w:shd w:val="clear" w:color="000000" w:fill="FFFFFF"/>
            <w:noWrap/>
            <w:vAlign w:val="bottom"/>
          </w:tcPr>
          <w:p w14:paraId="42469D56"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$32,740</w:t>
            </w:r>
          </w:p>
        </w:tc>
        <w:tc>
          <w:tcPr>
            <w:tcW w:w="734" w:type="dxa"/>
            <w:tcBorders>
              <w:top w:val="nil"/>
              <w:left w:val="nil"/>
              <w:bottom w:val="nil"/>
              <w:right w:val="nil"/>
            </w:tcBorders>
            <w:shd w:val="clear" w:color="000000" w:fill="BFBFBF"/>
            <w:noWrap/>
            <w:vAlign w:val="bottom"/>
          </w:tcPr>
          <w:p w14:paraId="2A0EC69B"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0.9%</w:t>
            </w:r>
          </w:p>
        </w:tc>
        <w:tc>
          <w:tcPr>
            <w:tcW w:w="734" w:type="dxa"/>
            <w:tcBorders>
              <w:top w:val="nil"/>
              <w:left w:val="nil"/>
              <w:bottom w:val="nil"/>
              <w:right w:val="nil"/>
            </w:tcBorders>
            <w:shd w:val="clear" w:color="000000" w:fill="FFFFFF"/>
            <w:noWrap/>
            <w:vAlign w:val="bottom"/>
          </w:tcPr>
          <w:p w14:paraId="13E60466"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$32,460</w:t>
            </w:r>
          </w:p>
        </w:tc>
        <w:tc>
          <w:tcPr>
            <w:tcW w:w="734" w:type="dxa"/>
            <w:tcBorders>
              <w:top w:val="nil"/>
              <w:left w:val="nil"/>
              <w:bottom w:val="nil"/>
              <w:right w:val="nil"/>
            </w:tcBorders>
            <w:shd w:val="clear" w:color="000000" w:fill="BFBFBF"/>
            <w:noWrap/>
            <w:vAlign w:val="bottom"/>
          </w:tcPr>
          <w:p w14:paraId="7A437998"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0.1%</w:t>
            </w:r>
          </w:p>
        </w:tc>
      </w:tr>
      <w:tr w:rsidR="00C719D8" w:rsidRPr="00E12C39" w14:paraId="13B8A098" w14:textId="77777777" w:rsidTr="00FB47FE">
        <w:trPr>
          <w:trHeight w:val="288"/>
        </w:trPr>
        <w:tc>
          <w:tcPr>
            <w:tcW w:w="1836" w:type="dxa"/>
            <w:tcBorders>
              <w:top w:val="nil"/>
              <w:left w:val="nil"/>
              <w:bottom w:val="nil"/>
              <w:right w:val="nil"/>
            </w:tcBorders>
            <w:shd w:val="clear" w:color="000000" w:fill="FFFFFF"/>
            <w:noWrap/>
            <w:vAlign w:val="bottom"/>
          </w:tcPr>
          <w:p w14:paraId="5B9C5C80"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Out-of-State</w:t>
            </w:r>
          </w:p>
        </w:tc>
        <w:tc>
          <w:tcPr>
            <w:tcW w:w="918" w:type="dxa"/>
            <w:tcBorders>
              <w:top w:val="nil"/>
              <w:left w:val="nil"/>
              <w:bottom w:val="nil"/>
              <w:right w:val="nil"/>
            </w:tcBorders>
            <w:shd w:val="clear" w:color="000000" w:fill="FFFFFF"/>
            <w:noWrap/>
            <w:vAlign w:val="bottom"/>
          </w:tcPr>
          <w:p w14:paraId="189576AA"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47,045</w:t>
            </w:r>
          </w:p>
        </w:tc>
        <w:tc>
          <w:tcPr>
            <w:tcW w:w="734" w:type="dxa"/>
            <w:tcBorders>
              <w:top w:val="nil"/>
              <w:left w:val="nil"/>
              <w:bottom w:val="nil"/>
              <w:right w:val="nil"/>
            </w:tcBorders>
            <w:shd w:val="clear" w:color="000000" w:fill="BFBFBF"/>
            <w:noWrap/>
            <w:vAlign w:val="bottom"/>
          </w:tcPr>
          <w:p w14:paraId="38F61B45"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5.0%</w:t>
            </w:r>
          </w:p>
        </w:tc>
        <w:tc>
          <w:tcPr>
            <w:tcW w:w="734" w:type="dxa"/>
            <w:tcBorders>
              <w:top w:val="nil"/>
              <w:left w:val="nil"/>
              <w:bottom w:val="nil"/>
              <w:right w:val="nil"/>
            </w:tcBorders>
            <w:shd w:val="clear" w:color="000000" w:fill="FFFFFF"/>
            <w:noWrap/>
            <w:vAlign w:val="bottom"/>
          </w:tcPr>
          <w:p w14:paraId="5480F2CB"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44,800</w:t>
            </w:r>
          </w:p>
        </w:tc>
        <w:tc>
          <w:tcPr>
            <w:tcW w:w="734" w:type="dxa"/>
            <w:tcBorders>
              <w:top w:val="nil"/>
              <w:left w:val="nil"/>
              <w:bottom w:val="nil"/>
              <w:right w:val="nil"/>
            </w:tcBorders>
            <w:shd w:val="clear" w:color="000000" w:fill="BFBFBF"/>
            <w:noWrap/>
            <w:vAlign w:val="bottom"/>
          </w:tcPr>
          <w:p w14:paraId="71EF2F95"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0.7%</w:t>
            </w:r>
          </w:p>
        </w:tc>
        <w:tc>
          <w:tcPr>
            <w:tcW w:w="734" w:type="dxa"/>
            <w:tcBorders>
              <w:top w:val="nil"/>
              <w:left w:val="nil"/>
              <w:bottom w:val="nil"/>
              <w:right w:val="nil"/>
            </w:tcBorders>
            <w:shd w:val="clear" w:color="000000" w:fill="FFFFFF"/>
            <w:noWrap/>
            <w:vAlign w:val="bottom"/>
          </w:tcPr>
          <w:p w14:paraId="00015F2B"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44,495</w:t>
            </w:r>
          </w:p>
        </w:tc>
        <w:tc>
          <w:tcPr>
            <w:tcW w:w="734" w:type="dxa"/>
            <w:tcBorders>
              <w:top w:val="nil"/>
              <w:left w:val="nil"/>
              <w:bottom w:val="nil"/>
              <w:right w:val="nil"/>
            </w:tcBorders>
            <w:shd w:val="clear" w:color="000000" w:fill="BFBFBF"/>
            <w:noWrap/>
            <w:vAlign w:val="bottom"/>
          </w:tcPr>
          <w:p w14:paraId="4FACA7CC"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1.6%</w:t>
            </w:r>
          </w:p>
        </w:tc>
        <w:tc>
          <w:tcPr>
            <w:tcW w:w="734" w:type="dxa"/>
            <w:tcBorders>
              <w:top w:val="nil"/>
              <w:left w:val="nil"/>
              <w:bottom w:val="nil"/>
              <w:right w:val="nil"/>
            </w:tcBorders>
            <w:shd w:val="clear" w:color="000000" w:fill="FFFFFF"/>
            <w:noWrap/>
            <w:vAlign w:val="bottom"/>
          </w:tcPr>
          <w:p w14:paraId="2DAE1946"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43,810</w:t>
            </w:r>
          </w:p>
        </w:tc>
        <w:tc>
          <w:tcPr>
            <w:tcW w:w="734" w:type="dxa"/>
            <w:tcBorders>
              <w:top w:val="nil"/>
              <w:left w:val="nil"/>
              <w:bottom w:val="nil"/>
              <w:right w:val="nil"/>
            </w:tcBorders>
            <w:shd w:val="clear" w:color="000000" w:fill="BFBFBF"/>
            <w:noWrap/>
            <w:vAlign w:val="bottom"/>
          </w:tcPr>
          <w:p w14:paraId="0B0C63CE"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0.6%</w:t>
            </w:r>
          </w:p>
        </w:tc>
        <w:tc>
          <w:tcPr>
            <w:tcW w:w="734" w:type="dxa"/>
            <w:tcBorders>
              <w:top w:val="nil"/>
              <w:left w:val="nil"/>
              <w:bottom w:val="nil"/>
              <w:right w:val="nil"/>
            </w:tcBorders>
            <w:shd w:val="clear" w:color="000000" w:fill="FFFFFF"/>
            <w:noWrap/>
            <w:vAlign w:val="bottom"/>
          </w:tcPr>
          <w:p w14:paraId="755D9359"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43,530</w:t>
            </w:r>
          </w:p>
        </w:tc>
        <w:tc>
          <w:tcPr>
            <w:tcW w:w="734" w:type="dxa"/>
            <w:tcBorders>
              <w:top w:val="nil"/>
              <w:left w:val="nil"/>
              <w:bottom w:val="nil"/>
              <w:right w:val="nil"/>
            </w:tcBorders>
            <w:shd w:val="clear" w:color="000000" w:fill="BFBFBF"/>
            <w:noWrap/>
            <w:vAlign w:val="bottom"/>
          </w:tcPr>
          <w:p w14:paraId="21EAC268"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0.1%</w:t>
            </w:r>
          </w:p>
        </w:tc>
      </w:tr>
      <w:tr w:rsidR="00C719D8" w:rsidRPr="00E12C39" w14:paraId="4354A43B" w14:textId="77777777" w:rsidTr="00FB47FE">
        <w:trPr>
          <w:trHeight w:val="288"/>
        </w:trPr>
        <w:tc>
          <w:tcPr>
            <w:tcW w:w="1836" w:type="dxa"/>
            <w:tcBorders>
              <w:top w:val="nil"/>
              <w:left w:val="nil"/>
              <w:bottom w:val="nil"/>
              <w:right w:val="nil"/>
            </w:tcBorders>
            <w:shd w:val="clear" w:color="000000" w:fill="FFFFFF"/>
            <w:noWrap/>
            <w:vAlign w:val="bottom"/>
          </w:tcPr>
          <w:p w14:paraId="5B296555" w14:textId="77777777" w:rsidR="00E12C39" w:rsidRPr="00E12C39" w:rsidRDefault="00E12C39" w:rsidP="00E12C39">
            <w:pPr>
              <w:rPr>
                <w:rFonts w:ascii="Calibri" w:hAnsi="Calibri" w:cs="Calibri"/>
                <w:color w:val="0D0D0D"/>
                <w:sz w:val="19"/>
                <w:szCs w:val="19"/>
              </w:rPr>
            </w:pPr>
            <w:r w:rsidRPr="00E12C39">
              <w:rPr>
                <w:rFonts w:ascii="Calibri" w:hAnsi="Calibri" w:cs="Calibri"/>
                <w:color w:val="0D0D0D"/>
                <w:sz w:val="19"/>
                <w:szCs w:val="19"/>
              </w:rPr>
              <w:t xml:space="preserve">NEBHE/Canadian </w:t>
            </w:r>
          </w:p>
        </w:tc>
        <w:tc>
          <w:tcPr>
            <w:tcW w:w="918" w:type="dxa"/>
            <w:tcBorders>
              <w:top w:val="nil"/>
              <w:left w:val="nil"/>
              <w:bottom w:val="nil"/>
              <w:right w:val="nil"/>
            </w:tcBorders>
            <w:shd w:val="clear" w:color="000000" w:fill="FFFFFF"/>
            <w:noWrap/>
            <w:vAlign w:val="bottom"/>
          </w:tcPr>
          <w:p w14:paraId="5E215474"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44,015</w:t>
            </w:r>
          </w:p>
        </w:tc>
        <w:tc>
          <w:tcPr>
            <w:tcW w:w="734" w:type="dxa"/>
            <w:tcBorders>
              <w:top w:val="nil"/>
              <w:left w:val="nil"/>
              <w:bottom w:val="nil"/>
              <w:right w:val="nil"/>
            </w:tcBorders>
            <w:shd w:val="clear" w:color="000000" w:fill="BFBFBF"/>
            <w:noWrap/>
            <w:vAlign w:val="bottom"/>
          </w:tcPr>
          <w:p w14:paraId="3FB1D988"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5.4%</w:t>
            </w:r>
          </w:p>
        </w:tc>
        <w:tc>
          <w:tcPr>
            <w:tcW w:w="734" w:type="dxa"/>
            <w:tcBorders>
              <w:top w:val="nil"/>
              <w:left w:val="nil"/>
              <w:bottom w:val="nil"/>
              <w:right w:val="nil"/>
            </w:tcBorders>
            <w:shd w:val="clear" w:color="000000" w:fill="FFFFFF"/>
            <w:noWrap/>
            <w:vAlign w:val="bottom"/>
          </w:tcPr>
          <w:p w14:paraId="24F305C2" w14:textId="77777777" w:rsidR="00E12C39" w:rsidRPr="00E12C39" w:rsidRDefault="00E12C39" w:rsidP="00FB47FE">
            <w:pPr>
              <w:jc w:val="right"/>
              <w:rPr>
                <w:rFonts w:ascii="Calibri" w:hAnsi="Calibri" w:cs="Calibri"/>
                <w:b/>
                <w:bCs/>
                <w:color w:val="0D0D0D"/>
                <w:sz w:val="19"/>
                <w:szCs w:val="19"/>
              </w:rPr>
            </w:pPr>
            <w:r w:rsidRPr="00E12C39">
              <w:rPr>
                <w:rFonts w:ascii="Calibri" w:hAnsi="Calibri" w:cs="Calibri"/>
                <w:b/>
                <w:bCs/>
                <w:color w:val="0D0D0D"/>
                <w:sz w:val="19"/>
                <w:szCs w:val="19"/>
              </w:rPr>
              <w:t>41,770</w:t>
            </w:r>
          </w:p>
        </w:tc>
        <w:tc>
          <w:tcPr>
            <w:tcW w:w="734" w:type="dxa"/>
            <w:tcBorders>
              <w:top w:val="nil"/>
              <w:left w:val="nil"/>
              <w:bottom w:val="nil"/>
              <w:right w:val="nil"/>
            </w:tcBorders>
            <w:shd w:val="clear" w:color="000000" w:fill="BFBFBF"/>
            <w:noWrap/>
            <w:vAlign w:val="bottom"/>
          </w:tcPr>
          <w:p w14:paraId="1A30A4AB"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0.7%</w:t>
            </w:r>
          </w:p>
        </w:tc>
        <w:tc>
          <w:tcPr>
            <w:tcW w:w="734" w:type="dxa"/>
            <w:tcBorders>
              <w:top w:val="nil"/>
              <w:left w:val="nil"/>
              <w:bottom w:val="nil"/>
              <w:right w:val="nil"/>
            </w:tcBorders>
            <w:shd w:val="clear" w:color="000000" w:fill="FFFFFF"/>
            <w:noWrap/>
            <w:vAlign w:val="bottom"/>
          </w:tcPr>
          <w:p w14:paraId="5729E8A5"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41,465</w:t>
            </w:r>
          </w:p>
        </w:tc>
        <w:tc>
          <w:tcPr>
            <w:tcW w:w="734" w:type="dxa"/>
            <w:tcBorders>
              <w:top w:val="nil"/>
              <w:left w:val="nil"/>
              <w:bottom w:val="nil"/>
              <w:right w:val="nil"/>
            </w:tcBorders>
            <w:shd w:val="clear" w:color="000000" w:fill="BFBFBF"/>
            <w:noWrap/>
            <w:vAlign w:val="bottom"/>
          </w:tcPr>
          <w:p w14:paraId="7DCEE871"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1.5%</w:t>
            </w:r>
          </w:p>
        </w:tc>
        <w:tc>
          <w:tcPr>
            <w:tcW w:w="734" w:type="dxa"/>
            <w:tcBorders>
              <w:top w:val="nil"/>
              <w:left w:val="nil"/>
              <w:bottom w:val="nil"/>
              <w:right w:val="nil"/>
            </w:tcBorders>
            <w:shd w:val="clear" w:color="000000" w:fill="FFFFFF"/>
            <w:noWrap/>
            <w:vAlign w:val="bottom"/>
          </w:tcPr>
          <w:p w14:paraId="05B8237A"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40,870</w:t>
            </w:r>
          </w:p>
        </w:tc>
        <w:tc>
          <w:tcPr>
            <w:tcW w:w="734" w:type="dxa"/>
            <w:tcBorders>
              <w:top w:val="nil"/>
              <w:left w:val="nil"/>
              <w:bottom w:val="nil"/>
              <w:right w:val="nil"/>
            </w:tcBorders>
            <w:shd w:val="clear" w:color="000000" w:fill="BFBFBF"/>
            <w:noWrap/>
            <w:vAlign w:val="bottom"/>
          </w:tcPr>
          <w:p w14:paraId="0435AC82"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0.7%</w:t>
            </w:r>
          </w:p>
        </w:tc>
        <w:tc>
          <w:tcPr>
            <w:tcW w:w="734" w:type="dxa"/>
            <w:tcBorders>
              <w:top w:val="nil"/>
              <w:left w:val="nil"/>
              <w:bottom w:val="nil"/>
              <w:right w:val="nil"/>
            </w:tcBorders>
            <w:shd w:val="clear" w:color="000000" w:fill="FFFFFF"/>
            <w:noWrap/>
            <w:vAlign w:val="bottom"/>
          </w:tcPr>
          <w:p w14:paraId="1A2798A6"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40,590</w:t>
            </w:r>
          </w:p>
        </w:tc>
        <w:tc>
          <w:tcPr>
            <w:tcW w:w="734" w:type="dxa"/>
            <w:tcBorders>
              <w:top w:val="nil"/>
              <w:left w:val="nil"/>
              <w:bottom w:val="nil"/>
              <w:right w:val="nil"/>
            </w:tcBorders>
            <w:shd w:val="clear" w:color="000000" w:fill="BFBFBF"/>
            <w:noWrap/>
            <w:vAlign w:val="bottom"/>
          </w:tcPr>
          <w:p w14:paraId="7C17CC3A" w14:textId="77777777" w:rsidR="00E12C39" w:rsidRPr="00E12C39" w:rsidRDefault="00E12C39" w:rsidP="00FB47FE">
            <w:pPr>
              <w:jc w:val="right"/>
              <w:rPr>
                <w:rFonts w:ascii="Calibri" w:hAnsi="Calibri" w:cs="Calibri"/>
                <w:color w:val="0D0D0D"/>
                <w:sz w:val="19"/>
                <w:szCs w:val="19"/>
              </w:rPr>
            </w:pPr>
            <w:r w:rsidRPr="00E12C39">
              <w:rPr>
                <w:rFonts w:ascii="Calibri" w:hAnsi="Calibri" w:cs="Calibri"/>
                <w:color w:val="0D0D0D"/>
                <w:sz w:val="19"/>
                <w:szCs w:val="19"/>
              </w:rPr>
              <w:t>0.1%</w:t>
            </w:r>
          </w:p>
        </w:tc>
      </w:tr>
    </w:tbl>
    <w:p w14:paraId="670E59EC" w14:textId="28CA6CEE" w:rsidR="00987D33" w:rsidRDefault="00987D33" w:rsidP="00FB47FE">
      <w:pPr>
        <w:spacing w:before="120"/>
        <w:ind w:left="90"/>
        <w:rPr>
          <w:rFonts w:eastAsia="Times New Roman" w:cstheme="majorBidi"/>
          <w:b/>
          <w:i/>
          <w:iCs/>
          <w:smallCaps/>
          <w:noProof/>
          <w:color w:val="000000" w:themeColor="text1"/>
          <w:sz w:val="32"/>
          <w:szCs w:val="28"/>
          <w:u w:color="5B9BD5"/>
        </w:rPr>
      </w:pPr>
      <w:r w:rsidRPr="00790AF8">
        <w:rPr>
          <w:i/>
          <w:color w:val="0D0D0D" w:themeColor="text1" w:themeTint="F2"/>
          <w:sz w:val="18"/>
          <w:szCs w:val="18"/>
        </w:rPr>
        <w:t>Note: Some amounts presented in the above Table 2 for 2019 differ from FY2019’s MD&amp;A and are based upon restated amounts included in the System report titled, ‘Student Charges FY2020’.</w:t>
      </w:r>
    </w:p>
    <w:p w14:paraId="2C9CACB8" w14:textId="77777777" w:rsidR="00987D33" w:rsidRDefault="00987D33" w:rsidP="00987D33">
      <w:pPr>
        <w:pStyle w:val="AFR2"/>
        <w:spacing w:before="480"/>
        <w:rPr>
          <w:rFonts w:eastAsia="Times New Roman"/>
        </w:rPr>
      </w:pPr>
      <w:r>
        <w:rPr>
          <w:rFonts w:eastAsia="Times New Roman"/>
        </w:rPr>
        <w:lastRenderedPageBreak/>
        <w:t>Overview of the Financial Statements</w:t>
      </w:r>
    </w:p>
    <w:p w14:paraId="119ADD99" w14:textId="77777777" w:rsidR="00987D33" w:rsidRDefault="00987D33" w:rsidP="00987D33">
      <w:pPr>
        <w:spacing w:after="120"/>
        <w:rPr>
          <w:rFonts w:ascii="Calibri" w:eastAsia="Times New Roman" w:hAnsi="Calibri" w:cs="Tahoma"/>
          <w:sz w:val="24"/>
        </w:rPr>
      </w:pPr>
      <w:r>
        <w:rPr>
          <w:rFonts w:ascii="Calibri" w:eastAsia="Times New Roman" w:hAnsi="Calibri" w:cs="Tahoma"/>
          <w:sz w:val="24"/>
        </w:rPr>
        <w:t>This discussion and analysis is an introduction to the System’s financial statements which are prepared in accordance with U.S. generally accepted accounting principles and are comprised of four components: 1) system-wide financial statements, 2) component unit financial statements, 3) fiduciary funds financial statements, and 4) notes to the financial statements. This report also contains other supplementary information in addition to the basic financial statements.</w:t>
      </w:r>
    </w:p>
    <w:p w14:paraId="7D33E662" w14:textId="77777777" w:rsidR="00987D33" w:rsidRPr="0043381C" w:rsidRDefault="00987D33" w:rsidP="00987D33">
      <w:pPr>
        <w:spacing w:before="240"/>
        <w:rPr>
          <w:rFonts w:ascii="Calibri" w:eastAsia="Times New Roman" w:hAnsi="Calibri" w:cs="Tahoma"/>
          <w:sz w:val="24"/>
        </w:rPr>
      </w:pPr>
      <w:r>
        <w:rPr>
          <w:rFonts w:ascii="Calibri" w:eastAsia="Times New Roman" w:hAnsi="Calibri" w:cs="Tahoma"/>
          <w:sz w:val="24"/>
        </w:rPr>
        <w:t>The University of Maine Foundation is a legally separate tax-exempt component unit of the System. This entity’s financial position and activities are discretely presented in the System’s financial statements as required by Governmental Accounting Standards Board (GASB) statements</w:t>
      </w:r>
      <w:r>
        <w:rPr>
          <w:rFonts w:ascii="Calibri" w:eastAsia="Times New Roman" w:hAnsi="Calibri" w:cs="Tahoma"/>
          <w:i/>
          <w:sz w:val="24"/>
        </w:rPr>
        <w:t xml:space="preserve">. </w:t>
      </w:r>
      <w:r>
        <w:rPr>
          <w:rFonts w:ascii="Calibri" w:eastAsia="Times New Roman" w:hAnsi="Calibri" w:cs="Tahoma"/>
          <w:sz w:val="24"/>
        </w:rPr>
        <w:t xml:space="preserve">This MD&amp;A includes information only for the System, not </w:t>
      </w:r>
      <w:r w:rsidRPr="0043381C">
        <w:rPr>
          <w:rFonts w:ascii="Calibri" w:eastAsia="Times New Roman" w:hAnsi="Calibri" w:cs="Tahoma"/>
          <w:sz w:val="24"/>
        </w:rPr>
        <w:t>its component unit.</w:t>
      </w:r>
    </w:p>
    <w:p w14:paraId="4B1A3975" w14:textId="77777777" w:rsidR="00987D33" w:rsidRPr="00B67972" w:rsidRDefault="00987D33" w:rsidP="00987D33">
      <w:pPr>
        <w:spacing w:before="240" w:after="120"/>
        <w:rPr>
          <w:rFonts w:ascii="Calibri" w:eastAsia="Times New Roman" w:hAnsi="Calibri" w:cs="Tahoma"/>
          <w:b/>
          <w:sz w:val="24"/>
          <w:u w:val="single"/>
        </w:rPr>
      </w:pPr>
      <w:r w:rsidRPr="00B67972">
        <w:rPr>
          <w:b/>
          <w:i/>
          <w:sz w:val="26"/>
          <w:u w:val="single" w:color="000000" w:themeColor="text1"/>
        </w:rPr>
        <w:t>System-wide Financial Statements</w:t>
      </w:r>
    </w:p>
    <w:p w14:paraId="481B2115" w14:textId="77777777" w:rsidR="00987D33" w:rsidRPr="00B67972" w:rsidRDefault="00987D33" w:rsidP="00987D33">
      <w:pPr>
        <w:rPr>
          <w:rFonts w:ascii="Calibri" w:eastAsia="Times New Roman" w:hAnsi="Calibri" w:cs="Tahoma"/>
          <w:sz w:val="24"/>
        </w:rPr>
      </w:pPr>
      <w:r w:rsidRPr="00B67972">
        <w:rPr>
          <w:rFonts w:ascii="Calibri" w:eastAsia="Times New Roman" w:hAnsi="Calibri" w:cs="Tahoma"/>
          <w:sz w:val="24"/>
        </w:rPr>
        <w:t>These financial statements report information about the System’s assets, liabilities, deferred inflows and outflows, net position, revenues, and expenses and are comprised of the following:</w:t>
      </w:r>
    </w:p>
    <w:p w14:paraId="53D10BD4" w14:textId="77777777" w:rsidR="00987D33" w:rsidRDefault="00987D33" w:rsidP="00987D33">
      <w:pPr>
        <w:rPr>
          <w:rFonts w:ascii="Calibri" w:eastAsia="Times New Roman" w:hAnsi="Calibri" w:cs="Tahoma"/>
          <w:color w:val="FF0000"/>
          <w:sz w:val="24"/>
        </w:rPr>
      </w:pPr>
    </w:p>
    <w:p w14:paraId="15BF9EC2" w14:textId="77777777" w:rsidR="00987D33" w:rsidRDefault="00987D33" w:rsidP="00721CFD">
      <w:pPr>
        <w:numPr>
          <w:ilvl w:val="0"/>
          <w:numId w:val="1"/>
        </w:numPr>
        <w:ind w:left="720"/>
        <w:rPr>
          <w:rFonts w:ascii="Calibri" w:eastAsia="Times New Roman" w:hAnsi="Calibri" w:cs="Tahoma"/>
          <w:sz w:val="24"/>
        </w:rPr>
      </w:pPr>
      <w:r>
        <w:rPr>
          <w:rFonts w:ascii="Calibri" w:eastAsia="Times New Roman" w:hAnsi="Calibri" w:cs="Tahoma"/>
          <w:sz w:val="24"/>
        </w:rPr>
        <w:t>Statements of Net Position</w:t>
      </w:r>
    </w:p>
    <w:p w14:paraId="733A2AAD" w14:textId="77777777" w:rsidR="00987D33" w:rsidRDefault="00987D33" w:rsidP="00721CFD">
      <w:pPr>
        <w:numPr>
          <w:ilvl w:val="0"/>
          <w:numId w:val="1"/>
        </w:numPr>
        <w:tabs>
          <w:tab w:val="num" w:pos="1080"/>
        </w:tabs>
        <w:ind w:left="720"/>
        <w:rPr>
          <w:rFonts w:ascii="Calibri" w:eastAsia="Times New Roman" w:hAnsi="Calibri" w:cs="Tahoma"/>
          <w:sz w:val="24"/>
        </w:rPr>
      </w:pPr>
      <w:r>
        <w:rPr>
          <w:rFonts w:ascii="Calibri" w:eastAsia="Times New Roman" w:hAnsi="Calibri" w:cs="Tahoma"/>
          <w:sz w:val="24"/>
        </w:rPr>
        <w:t>Statements of Revenues, Expenses, and Changes in Net Position</w:t>
      </w:r>
    </w:p>
    <w:p w14:paraId="19842384" w14:textId="77777777" w:rsidR="00987D33" w:rsidRDefault="00987D33" w:rsidP="00721CFD">
      <w:pPr>
        <w:numPr>
          <w:ilvl w:val="0"/>
          <w:numId w:val="1"/>
        </w:numPr>
        <w:tabs>
          <w:tab w:val="num" w:pos="1080"/>
        </w:tabs>
        <w:ind w:left="720"/>
        <w:rPr>
          <w:rFonts w:ascii="Calibri" w:eastAsia="Times New Roman" w:hAnsi="Calibri" w:cs="Tahoma"/>
          <w:sz w:val="24"/>
        </w:rPr>
      </w:pPr>
      <w:r>
        <w:rPr>
          <w:rFonts w:ascii="Calibri" w:eastAsia="Times New Roman" w:hAnsi="Calibri" w:cs="Tahoma"/>
          <w:sz w:val="24"/>
        </w:rPr>
        <w:t>Statements of Cash Flows</w:t>
      </w:r>
    </w:p>
    <w:p w14:paraId="7D532B62" w14:textId="77777777" w:rsidR="00987D33" w:rsidRPr="00A316AD" w:rsidRDefault="00987D33" w:rsidP="00987D33">
      <w:pPr>
        <w:spacing w:before="240" w:after="120"/>
        <w:rPr>
          <w:rFonts w:ascii="Calibri" w:eastAsia="Times New Roman" w:hAnsi="Calibri" w:cs="Tahoma"/>
          <w:b/>
          <w:sz w:val="24"/>
          <w:u w:val="single"/>
        </w:rPr>
      </w:pPr>
      <w:r w:rsidRPr="00A316AD">
        <w:rPr>
          <w:b/>
          <w:i/>
          <w:sz w:val="26"/>
          <w:u w:val="single" w:color="000000" w:themeColor="text1"/>
        </w:rPr>
        <w:t>Fiduciary Funds Financial Statements</w:t>
      </w:r>
    </w:p>
    <w:p w14:paraId="7AB443C9" w14:textId="0B043A10" w:rsidR="00987D33" w:rsidRPr="007867F1" w:rsidRDefault="00987D33" w:rsidP="00987D33">
      <w:pPr>
        <w:rPr>
          <w:rFonts w:ascii="Calibri" w:eastAsia="Times New Roman" w:hAnsi="Calibri" w:cs="Tahoma"/>
          <w:sz w:val="24"/>
        </w:rPr>
      </w:pPr>
      <w:r w:rsidRPr="007867F1">
        <w:rPr>
          <w:rFonts w:ascii="Calibri" w:eastAsia="Times New Roman" w:hAnsi="Calibri" w:cs="Tahoma"/>
          <w:sz w:val="24"/>
        </w:rPr>
        <w:t xml:space="preserve">These financial statements include information about assets held by the System </w:t>
      </w:r>
      <w:r>
        <w:rPr>
          <w:rFonts w:ascii="Calibri" w:eastAsia="Times New Roman" w:hAnsi="Calibri" w:cs="Tahoma"/>
          <w:sz w:val="24"/>
        </w:rPr>
        <w:t xml:space="preserve">on behalf of other entities </w:t>
      </w:r>
      <w:r w:rsidRPr="007867F1">
        <w:rPr>
          <w:rFonts w:ascii="Calibri" w:eastAsia="Times New Roman" w:hAnsi="Calibri" w:cs="Tahoma"/>
          <w:sz w:val="24"/>
        </w:rPr>
        <w:t>as a</w:t>
      </w:r>
      <w:r>
        <w:rPr>
          <w:rFonts w:ascii="Calibri" w:eastAsia="Times New Roman" w:hAnsi="Calibri" w:cs="Tahoma"/>
          <w:sz w:val="24"/>
        </w:rPr>
        <w:t xml:space="preserve"> trustee or fiduciary</w:t>
      </w:r>
      <w:r w:rsidRPr="007867F1">
        <w:rPr>
          <w:rFonts w:ascii="Calibri" w:eastAsia="Times New Roman" w:hAnsi="Calibri" w:cs="Tahoma"/>
          <w:sz w:val="24"/>
        </w:rPr>
        <w:t xml:space="preserve">. The System is responsible for ensuring </w:t>
      </w:r>
      <w:r>
        <w:rPr>
          <w:rFonts w:ascii="Calibri" w:eastAsia="Times New Roman" w:hAnsi="Calibri" w:cs="Tahoma"/>
          <w:sz w:val="24"/>
        </w:rPr>
        <w:t>such</w:t>
      </w:r>
      <w:r w:rsidRPr="007867F1">
        <w:rPr>
          <w:rFonts w:ascii="Calibri" w:eastAsia="Times New Roman" w:hAnsi="Calibri" w:cs="Tahoma"/>
          <w:sz w:val="24"/>
        </w:rPr>
        <w:t xml:space="preserve"> assets are used only for their intended purposes and by those to whom the assets belong. Included in these fiduciary financial statements are </w:t>
      </w:r>
      <w:r>
        <w:rPr>
          <w:rFonts w:ascii="Calibri" w:eastAsia="Times New Roman" w:hAnsi="Calibri" w:cs="Tahoma"/>
          <w:sz w:val="24"/>
        </w:rPr>
        <w:t>investments</w:t>
      </w:r>
      <w:r w:rsidRPr="007867F1">
        <w:rPr>
          <w:rFonts w:ascii="Calibri" w:eastAsia="Times New Roman" w:hAnsi="Calibri" w:cs="Tahoma"/>
          <w:sz w:val="24"/>
        </w:rPr>
        <w:t xml:space="preserve"> held on behalf of the System’s pension and other postemployment benefit trusts, </w:t>
      </w:r>
      <w:r>
        <w:rPr>
          <w:rFonts w:ascii="Calibri" w:eastAsia="Times New Roman" w:hAnsi="Calibri" w:cs="Tahoma"/>
          <w:sz w:val="24"/>
        </w:rPr>
        <w:t>monies</w:t>
      </w:r>
      <w:r w:rsidRPr="007867F1">
        <w:rPr>
          <w:rFonts w:ascii="Calibri" w:eastAsia="Times New Roman" w:hAnsi="Calibri" w:cs="Tahoma"/>
          <w:sz w:val="24"/>
        </w:rPr>
        <w:t xml:space="preserve"> invested by external parties in the System’s managed investment and endowment pools, and cash held on behalf of various student government groups.</w:t>
      </w:r>
    </w:p>
    <w:p w14:paraId="70997984" w14:textId="77777777" w:rsidR="00987D33" w:rsidRPr="007867F1" w:rsidRDefault="00987D33" w:rsidP="00987D33">
      <w:pPr>
        <w:rPr>
          <w:rFonts w:ascii="Calibri" w:eastAsia="Times New Roman" w:hAnsi="Calibri" w:cs="Tahoma"/>
          <w:sz w:val="24"/>
        </w:rPr>
      </w:pPr>
    </w:p>
    <w:p w14:paraId="4AD7B4C3" w14:textId="77777777" w:rsidR="00987D33" w:rsidRPr="007867F1" w:rsidRDefault="00987D33" w:rsidP="00987D33">
      <w:pPr>
        <w:spacing w:after="120"/>
        <w:rPr>
          <w:rFonts w:ascii="Calibri" w:eastAsia="Times New Roman" w:hAnsi="Calibri" w:cs="Tahoma"/>
          <w:sz w:val="24"/>
        </w:rPr>
      </w:pPr>
      <w:r w:rsidRPr="007867F1">
        <w:rPr>
          <w:rFonts w:ascii="Calibri" w:eastAsia="Times New Roman" w:hAnsi="Calibri" w:cs="Tahoma"/>
          <w:sz w:val="24"/>
        </w:rPr>
        <w:t>The fiduciary funds financial statements are comprised of the following:</w:t>
      </w:r>
    </w:p>
    <w:p w14:paraId="503E87C3" w14:textId="77777777" w:rsidR="00987D33" w:rsidRPr="007867F1" w:rsidRDefault="00987D33" w:rsidP="00721CFD">
      <w:pPr>
        <w:pStyle w:val="ListParagraph"/>
        <w:numPr>
          <w:ilvl w:val="0"/>
          <w:numId w:val="14"/>
        </w:numPr>
        <w:contextualSpacing w:val="0"/>
        <w:rPr>
          <w:rFonts w:ascii="Calibri" w:hAnsi="Calibri" w:cs="Tahoma"/>
        </w:rPr>
      </w:pPr>
      <w:r w:rsidRPr="007867F1">
        <w:rPr>
          <w:rFonts w:ascii="Calibri" w:hAnsi="Calibri" w:cs="Tahoma"/>
        </w:rPr>
        <w:t>Statements of Fiduciary Net Position</w:t>
      </w:r>
    </w:p>
    <w:p w14:paraId="09EB2566" w14:textId="77777777" w:rsidR="00987D33" w:rsidRPr="007867F1" w:rsidRDefault="00987D33" w:rsidP="00721CFD">
      <w:pPr>
        <w:pStyle w:val="ListParagraph"/>
        <w:numPr>
          <w:ilvl w:val="0"/>
          <w:numId w:val="14"/>
        </w:numPr>
        <w:contextualSpacing w:val="0"/>
        <w:rPr>
          <w:rFonts w:ascii="Calibri" w:hAnsi="Calibri" w:cs="Tahoma"/>
        </w:rPr>
      </w:pPr>
      <w:r w:rsidRPr="007867F1">
        <w:rPr>
          <w:rFonts w:ascii="Calibri" w:hAnsi="Calibri" w:cs="Tahoma"/>
        </w:rPr>
        <w:t>Statements of Changes in Fiduciary Net Position</w:t>
      </w:r>
    </w:p>
    <w:p w14:paraId="1D068091" w14:textId="77777777" w:rsidR="00987D33" w:rsidRPr="00A316AD" w:rsidRDefault="00987D33" w:rsidP="00987D33">
      <w:pPr>
        <w:spacing w:before="240" w:after="120"/>
        <w:rPr>
          <w:rFonts w:ascii="Calibri" w:hAnsi="Calibri" w:cs="Tahoma"/>
          <w:b/>
          <w:u w:val="single"/>
        </w:rPr>
      </w:pPr>
      <w:r w:rsidRPr="00A316AD">
        <w:rPr>
          <w:b/>
          <w:i/>
          <w:sz w:val="26"/>
          <w:u w:val="single" w:color="000000" w:themeColor="text1"/>
        </w:rPr>
        <w:t>Notes to the Financial Statements</w:t>
      </w:r>
    </w:p>
    <w:p w14:paraId="1D7EEB3B" w14:textId="77777777" w:rsidR="00987D33" w:rsidRPr="00790AF8" w:rsidRDefault="00987D33" w:rsidP="00987D33">
      <w:pPr>
        <w:rPr>
          <w:rFonts w:ascii="Calibri" w:hAnsi="Calibri" w:cs="Tahoma"/>
          <w:sz w:val="24"/>
          <w:szCs w:val="24"/>
        </w:rPr>
      </w:pPr>
      <w:r w:rsidRPr="00790AF8">
        <w:rPr>
          <w:rFonts w:ascii="Calibri" w:hAnsi="Calibri" w:cs="Tahoma"/>
          <w:sz w:val="24"/>
          <w:szCs w:val="24"/>
        </w:rPr>
        <w:t>The notes to the financial statements provide additional information that is essential to a full understanding of the data provided in both the system-wide and fiduciary funds financial statements.</w:t>
      </w:r>
    </w:p>
    <w:p w14:paraId="6D3166B5" w14:textId="77777777" w:rsidR="002C201C" w:rsidRDefault="002C201C">
      <w:pPr>
        <w:spacing w:after="160" w:line="259" w:lineRule="auto"/>
        <w:rPr>
          <w:b/>
          <w:i/>
          <w:sz w:val="26"/>
          <w:u w:val="single" w:color="000000" w:themeColor="text1"/>
        </w:rPr>
      </w:pPr>
      <w:r>
        <w:rPr>
          <w:b/>
          <w:i/>
          <w:sz w:val="26"/>
          <w:u w:val="single" w:color="000000" w:themeColor="text1"/>
        </w:rPr>
        <w:br w:type="page"/>
      </w:r>
    </w:p>
    <w:p w14:paraId="291304E3" w14:textId="6258368B" w:rsidR="00987D33" w:rsidRPr="00A316AD" w:rsidRDefault="00987D33" w:rsidP="00987D33">
      <w:pPr>
        <w:spacing w:before="240" w:after="120"/>
        <w:rPr>
          <w:rFonts w:ascii="Calibri" w:hAnsi="Calibri" w:cs="Tahoma"/>
          <w:b/>
          <w:u w:val="single"/>
        </w:rPr>
      </w:pPr>
      <w:r>
        <w:rPr>
          <w:b/>
          <w:i/>
          <w:sz w:val="26"/>
          <w:u w:val="single" w:color="000000" w:themeColor="text1"/>
        </w:rPr>
        <w:lastRenderedPageBreak/>
        <w:t>Other</w:t>
      </w:r>
      <w:r w:rsidRPr="00A316AD">
        <w:rPr>
          <w:b/>
          <w:i/>
          <w:sz w:val="26"/>
          <w:u w:val="single" w:color="000000" w:themeColor="text1"/>
        </w:rPr>
        <w:t xml:space="preserve"> Information</w:t>
      </w:r>
    </w:p>
    <w:p w14:paraId="59AF32C2" w14:textId="77777777" w:rsidR="00987D33" w:rsidRPr="00790AF8" w:rsidRDefault="00987D33" w:rsidP="00987D33">
      <w:pPr>
        <w:rPr>
          <w:rFonts w:ascii="Calibri" w:hAnsi="Calibri" w:cs="Tahoma"/>
          <w:sz w:val="24"/>
          <w:szCs w:val="24"/>
        </w:rPr>
      </w:pPr>
      <w:r w:rsidRPr="00790AF8">
        <w:rPr>
          <w:rFonts w:ascii="Calibri" w:hAnsi="Calibri" w:cs="Tahoma"/>
          <w:sz w:val="24"/>
          <w:szCs w:val="24"/>
        </w:rPr>
        <w:t>This report also provides certain required supplementary information related to the System’s retirement and other postemployment benefit plans and a Schedule of Activities required by the State of Maine.</w:t>
      </w:r>
    </w:p>
    <w:p w14:paraId="313B2275" w14:textId="77777777" w:rsidR="00987D33" w:rsidRDefault="00987D33" w:rsidP="00987D33">
      <w:pPr>
        <w:pStyle w:val="AFR2"/>
        <w:rPr>
          <w:rFonts w:eastAsia="Times New Roman"/>
        </w:rPr>
      </w:pPr>
      <w:r>
        <w:rPr>
          <w:rFonts w:eastAsia="Times New Roman"/>
        </w:rPr>
        <w:t>Statements of Net Position</w:t>
      </w:r>
    </w:p>
    <w:p w14:paraId="44A59E26" w14:textId="40D98850" w:rsidR="00987D33" w:rsidRDefault="00987D33" w:rsidP="00987D33">
      <w:pPr>
        <w:rPr>
          <w:rFonts w:ascii="Calibri" w:hAnsi="Calibri" w:cs="Tahoma"/>
          <w:sz w:val="24"/>
        </w:rPr>
      </w:pPr>
      <w:r>
        <w:rPr>
          <w:rFonts w:ascii="Calibri" w:hAnsi="Calibri" w:cs="Tahoma"/>
          <w:sz w:val="24"/>
        </w:rPr>
        <w:t xml:space="preserve">The Statements of Net Position present the financial position of the System at one point in time – June 30 – and include all assets, deferred outflows of resources, liabilities, deferred inflows of resources, and net position of the System. These statements are the primary statements used to report financial condition. Net position represents the residual interest in the System’s assets and deferred outflows of resources after liabilities and deferred inflows of resources are deducted. The change in net position is an indicator of whether the overall financial condition has improved or deteriorated during the year. Table 3 </w:t>
      </w:r>
      <w:r w:rsidRPr="00D0786F">
        <w:rPr>
          <w:rFonts w:ascii="Calibri" w:hAnsi="Calibri" w:cs="Tahoma"/>
          <w:sz w:val="24"/>
        </w:rPr>
        <w:t xml:space="preserve">on page </w:t>
      </w:r>
      <w:r w:rsidR="00AE3B63" w:rsidRPr="00D0786F">
        <w:rPr>
          <w:rFonts w:ascii="Calibri" w:hAnsi="Calibri" w:cs="Tahoma"/>
          <w:color w:val="0D0D0D" w:themeColor="text1" w:themeTint="F2"/>
          <w:sz w:val="24"/>
        </w:rPr>
        <w:t>1</w:t>
      </w:r>
      <w:r w:rsidR="00304161" w:rsidRPr="00D0786F">
        <w:rPr>
          <w:rFonts w:ascii="Calibri" w:hAnsi="Calibri" w:cs="Tahoma"/>
          <w:color w:val="0D0D0D" w:themeColor="text1" w:themeTint="F2"/>
          <w:sz w:val="24"/>
        </w:rPr>
        <w:t>9</w:t>
      </w:r>
      <w:r w:rsidR="00AE3B63">
        <w:rPr>
          <w:rFonts w:ascii="Calibri" w:hAnsi="Calibri" w:cs="Tahoma"/>
          <w:sz w:val="24"/>
        </w:rPr>
        <w:t xml:space="preserve"> </w:t>
      </w:r>
      <w:r>
        <w:rPr>
          <w:rFonts w:ascii="Calibri" w:hAnsi="Calibri" w:cs="Tahoma"/>
          <w:sz w:val="24"/>
        </w:rPr>
        <w:t>shows Condensed Statements of Net Position for the past five years.</w:t>
      </w:r>
    </w:p>
    <w:p w14:paraId="20B0E1C3" w14:textId="77777777" w:rsidR="00987D33" w:rsidRDefault="00987D33" w:rsidP="00987D33">
      <w:pPr>
        <w:pStyle w:val="AFR3"/>
      </w:pPr>
      <w:r w:rsidRPr="00721CFD">
        <w:t>Restatement of Prior Year</w:t>
      </w:r>
    </w:p>
    <w:p w14:paraId="3CD1B408" w14:textId="2AFFDCA4" w:rsidR="00987D33" w:rsidRDefault="00987D33" w:rsidP="00987D33">
      <w:pPr>
        <w:pStyle w:val="AFR3"/>
        <w:spacing w:before="0"/>
        <w:rPr>
          <w:rFonts w:ascii="Calibri" w:hAnsi="Calibri" w:cs="Tahoma"/>
          <w:b w:val="0"/>
          <w:i w:val="0"/>
          <w:sz w:val="24"/>
          <w:u w:val="none"/>
        </w:rPr>
      </w:pPr>
      <w:r>
        <w:rPr>
          <w:rFonts w:ascii="Calibri" w:hAnsi="Calibri" w:cs="Tahoma"/>
          <w:b w:val="0"/>
          <w:i w:val="0"/>
          <w:sz w:val="24"/>
          <w:u w:val="none"/>
        </w:rPr>
        <w:t xml:space="preserve">The </w:t>
      </w:r>
      <w:r w:rsidR="00E933F2">
        <w:rPr>
          <w:rFonts w:ascii="Calibri" w:hAnsi="Calibri" w:cs="Tahoma"/>
          <w:b w:val="0"/>
          <w:i w:val="0"/>
          <w:sz w:val="24"/>
          <w:u w:val="none"/>
        </w:rPr>
        <w:t xml:space="preserve">FY21 </w:t>
      </w:r>
      <w:r>
        <w:rPr>
          <w:rFonts w:ascii="Calibri" w:hAnsi="Calibri" w:cs="Tahoma"/>
          <w:b w:val="0"/>
          <w:i w:val="0"/>
          <w:sz w:val="24"/>
          <w:u w:val="none"/>
        </w:rPr>
        <w:t xml:space="preserve">financial statements have been restated to reflect adoption of GASB Statement No. </w:t>
      </w:r>
      <w:r w:rsidR="00E933F2">
        <w:rPr>
          <w:rFonts w:ascii="Calibri" w:hAnsi="Calibri" w:cs="Tahoma"/>
          <w:b w:val="0"/>
          <w:i w:val="0"/>
          <w:sz w:val="24"/>
          <w:u w:val="none"/>
        </w:rPr>
        <w:t>87</w:t>
      </w:r>
      <w:r>
        <w:rPr>
          <w:rFonts w:ascii="Calibri" w:hAnsi="Calibri" w:cs="Tahoma"/>
          <w:b w:val="0"/>
          <w:i w:val="0"/>
          <w:sz w:val="24"/>
          <w:u w:val="none"/>
        </w:rPr>
        <w:t xml:space="preserve">, </w:t>
      </w:r>
      <w:r w:rsidR="00E933F2">
        <w:rPr>
          <w:rFonts w:ascii="Calibri" w:hAnsi="Calibri" w:cs="Tahoma"/>
          <w:b w:val="0"/>
          <w:sz w:val="24"/>
          <w:u w:val="none"/>
        </w:rPr>
        <w:t>Leas</w:t>
      </w:r>
      <w:r w:rsidRPr="00A316AD">
        <w:rPr>
          <w:rFonts w:ascii="Calibri" w:hAnsi="Calibri" w:cs="Tahoma"/>
          <w:b w:val="0"/>
          <w:sz w:val="24"/>
          <w:u w:val="none"/>
        </w:rPr>
        <w:t>es</w:t>
      </w:r>
      <w:r>
        <w:rPr>
          <w:rFonts w:ascii="Calibri" w:hAnsi="Calibri" w:cs="Tahoma"/>
          <w:b w:val="0"/>
          <w:i w:val="0"/>
          <w:sz w:val="24"/>
          <w:u w:val="none"/>
        </w:rPr>
        <w:t xml:space="preserve">. The overall impact on the </w:t>
      </w:r>
      <w:r w:rsidR="00E933F2">
        <w:rPr>
          <w:rFonts w:ascii="Calibri" w:hAnsi="Calibri" w:cs="Tahoma"/>
          <w:b w:val="0"/>
          <w:i w:val="0"/>
          <w:sz w:val="24"/>
          <w:u w:val="none"/>
        </w:rPr>
        <w:t xml:space="preserve">FY21 </w:t>
      </w:r>
      <w:r>
        <w:rPr>
          <w:rFonts w:ascii="Calibri" w:hAnsi="Calibri" w:cs="Tahoma"/>
          <w:b w:val="0"/>
          <w:i w:val="0"/>
          <w:sz w:val="24"/>
          <w:u w:val="none"/>
        </w:rPr>
        <w:t>data in the Condensed Statements of Net Position is that:</w:t>
      </w:r>
    </w:p>
    <w:p w14:paraId="53F4679A" w14:textId="05A399F8" w:rsidR="00987D33" w:rsidRPr="00C535AA" w:rsidRDefault="0014676D" w:rsidP="00721CFD">
      <w:pPr>
        <w:pStyle w:val="AFR3"/>
        <w:numPr>
          <w:ilvl w:val="0"/>
          <w:numId w:val="15"/>
        </w:numPr>
        <w:spacing w:before="0" w:after="0"/>
        <w:rPr>
          <w:rFonts w:ascii="Calibri" w:hAnsi="Calibri" w:cs="Tahoma"/>
          <w:b w:val="0"/>
          <w:i w:val="0"/>
          <w:sz w:val="24"/>
          <w:u w:val="none"/>
        </w:rPr>
      </w:pPr>
      <w:r w:rsidRPr="00721CFD">
        <w:rPr>
          <w:rFonts w:ascii="Calibri" w:hAnsi="Calibri" w:cs="Tahoma"/>
          <w:b w:val="0"/>
          <w:i w:val="0"/>
          <w:sz w:val="24"/>
          <w:u w:val="none"/>
        </w:rPr>
        <w:t>Notes and leases receivable, net increased $3</w:t>
      </w:r>
      <w:r w:rsidR="00B143DB">
        <w:rPr>
          <w:rFonts w:ascii="Calibri" w:hAnsi="Calibri" w:cs="Tahoma"/>
          <w:b w:val="0"/>
          <w:i w:val="0"/>
          <w:sz w:val="24"/>
          <w:u w:val="none"/>
        </w:rPr>
        <w:t xml:space="preserve"> million</w:t>
      </w:r>
    </w:p>
    <w:p w14:paraId="623770D6" w14:textId="2AF11F89" w:rsidR="00987D33" w:rsidRPr="00C535AA" w:rsidRDefault="0014676D" w:rsidP="00721CFD">
      <w:pPr>
        <w:pStyle w:val="AFR3"/>
        <w:numPr>
          <w:ilvl w:val="0"/>
          <w:numId w:val="15"/>
        </w:numPr>
        <w:spacing w:before="0" w:after="0"/>
        <w:rPr>
          <w:rFonts w:ascii="Calibri" w:hAnsi="Calibri" w:cs="Tahoma"/>
          <w:b w:val="0"/>
          <w:i w:val="0"/>
          <w:sz w:val="24"/>
          <w:u w:val="none"/>
        </w:rPr>
      </w:pPr>
      <w:r w:rsidRPr="00721CFD">
        <w:rPr>
          <w:rFonts w:ascii="Calibri" w:hAnsi="Calibri" w:cs="Tahoma"/>
          <w:b w:val="0"/>
          <w:i w:val="0"/>
          <w:sz w:val="24"/>
          <w:u w:val="none"/>
        </w:rPr>
        <w:t xml:space="preserve">Capital and right </w:t>
      </w:r>
      <w:r w:rsidR="00616F3F">
        <w:rPr>
          <w:rFonts w:ascii="Calibri" w:hAnsi="Calibri" w:cs="Tahoma"/>
          <w:b w:val="0"/>
          <w:i w:val="0"/>
          <w:sz w:val="24"/>
          <w:u w:val="none"/>
        </w:rPr>
        <w:t>of</w:t>
      </w:r>
      <w:r w:rsidR="00616F3F" w:rsidRPr="00721CFD">
        <w:rPr>
          <w:rFonts w:ascii="Calibri" w:hAnsi="Calibri" w:cs="Tahoma"/>
          <w:b w:val="0"/>
          <w:i w:val="0"/>
          <w:sz w:val="24"/>
          <w:u w:val="none"/>
        </w:rPr>
        <w:t xml:space="preserve"> </w:t>
      </w:r>
      <w:r w:rsidRPr="00721CFD">
        <w:rPr>
          <w:rFonts w:ascii="Calibri" w:hAnsi="Calibri" w:cs="Tahoma"/>
          <w:b w:val="0"/>
          <w:i w:val="0"/>
          <w:sz w:val="24"/>
          <w:u w:val="none"/>
        </w:rPr>
        <w:t>use assets, net increased $1</w:t>
      </w:r>
      <w:r w:rsidR="00B143DB">
        <w:rPr>
          <w:rFonts w:ascii="Calibri" w:hAnsi="Calibri" w:cs="Tahoma"/>
          <w:b w:val="0"/>
          <w:i w:val="0"/>
          <w:sz w:val="24"/>
          <w:u w:val="none"/>
        </w:rPr>
        <w:t>3 million</w:t>
      </w:r>
    </w:p>
    <w:p w14:paraId="03F09F2F" w14:textId="0E216E56" w:rsidR="00987D33" w:rsidRPr="00C535AA" w:rsidRDefault="00C535AA" w:rsidP="00721CFD">
      <w:pPr>
        <w:pStyle w:val="AFR3"/>
        <w:numPr>
          <w:ilvl w:val="0"/>
          <w:numId w:val="15"/>
        </w:numPr>
        <w:spacing w:before="0" w:after="0"/>
        <w:rPr>
          <w:rFonts w:ascii="Calibri" w:hAnsi="Calibri" w:cs="Tahoma"/>
          <w:b w:val="0"/>
          <w:i w:val="0"/>
          <w:sz w:val="24"/>
          <w:u w:val="none"/>
        </w:rPr>
      </w:pPr>
      <w:r w:rsidRPr="00C535AA">
        <w:rPr>
          <w:rFonts w:ascii="Calibri" w:hAnsi="Calibri" w:cs="Tahoma"/>
          <w:b w:val="0"/>
          <w:i w:val="0"/>
          <w:sz w:val="24"/>
          <w:u w:val="none"/>
        </w:rPr>
        <w:t>L</w:t>
      </w:r>
      <w:r w:rsidR="006E72C1">
        <w:rPr>
          <w:rFonts w:ascii="Calibri" w:hAnsi="Calibri" w:cs="Tahoma"/>
          <w:b w:val="0"/>
          <w:i w:val="0"/>
          <w:sz w:val="24"/>
          <w:u w:val="none"/>
        </w:rPr>
        <w:t>ease liabilities</w:t>
      </w:r>
      <w:r w:rsidRPr="00C535AA">
        <w:rPr>
          <w:rFonts w:ascii="Calibri" w:hAnsi="Calibri" w:cs="Tahoma"/>
          <w:b w:val="0"/>
          <w:i w:val="0"/>
          <w:sz w:val="24"/>
          <w:u w:val="none"/>
        </w:rPr>
        <w:t xml:space="preserve"> increased $1</w:t>
      </w:r>
      <w:r w:rsidR="00B143DB">
        <w:rPr>
          <w:rFonts w:ascii="Calibri" w:hAnsi="Calibri" w:cs="Tahoma"/>
          <w:b w:val="0"/>
          <w:i w:val="0"/>
          <w:sz w:val="24"/>
          <w:u w:val="none"/>
        </w:rPr>
        <w:t>4 million</w:t>
      </w:r>
    </w:p>
    <w:p w14:paraId="3AFA909D" w14:textId="11BB98B5" w:rsidR="00987D33" w:rsidRDefault="00987D33" w:rsidP="00987D33">
      <w:pPr>
        <w:pStyle w:val="AFR3"/>
      </w:pPr>
      <w:r w:rsidRPr="00102416">
        <w:t>Postemployment Health Plan</w:t>
      </w:r>
      <w:r w:rsidR="00535993">
        <w:t xml:space="preserve"> Considerations</w:t>
      </w:r>
    </w:p>
    <w:p w14:paraId="398AB73E" w14:textId="22808D94" w:rsidR="00987D33" w:rsidRDefault="00987D33" w:rsidP="00987D33">
      <w:pPr>
        <w:pStyle w:val="AFR3"/>
        <w:rPr>
          <w:rFonts w:ascii="Calibri" w:hAnsi="Calibri" w:cs="Tahoma"/>
          <w:b w:val="0"/>
          <w:i w:val="0"/>
          <w:sz w:val="24"/>
          <w:u w:val="none"/>
        </w:rPr>
      </w:pPr>
      <w:r>
        <w:rPr>
          <w:rFonts w:ascii="Calibri" w:hAnsi="Calibri" w:cs="Tahoma"/>
          <w:b w:val="0"/>
          <w:i w:val="0"/>
          <w:sz w:val="24"/>
          <w:u w:val="none"/>
        </w:rPr>
        <w:t>The System’s Other Postemployment Benefits (OPEB) plan</w:t>
      </w:r>
      <w:r w:rsidR="0019007E">
        <w:rPr>
          <w:rFonts w:ascii="Calibri" w:hAnsi="Calibri" w:cs="Tahoma"/>
          <w:b w:val="0"/>
          <w:i w:val="0"/>
          <w:sz w:val="24"/>
          <w:u w:val="none"/>
        </w:rPr>
        <w:t>’s</w:t>
      </w:r>
      <w:r>
        <w:rPr>
          <w:rFonts w:ascii="Calibri" w:hAnsi="Calibri" w:cs="Tahoma"/>
          <w:b w:val="0"/>
          <w:i w:val="0"/>
          <w:sz w:val="24"/>
          <w:u w:val="none"/>
        </w:rPr>
        <w:t xml:space="preserve"> impact on the </w:t>
      </w:r>
      <w:r w:rsidR="00DD496C">
        <w:rPr>
          <w:rFonts w:ascii="Calibri" w:hAnsi="Calibri" w:cs="Tahoma"/>
          <w:b w:val="0"/>
          <w:i w:val="0"/>
          <w:sz w:val="24"/>
          <w:u w:val="none"/>
        </w:rPr>
        <w:t xml:space="preserve">FY22 </w:t>
      </w:r>
      <w:r>
        <w:rPr>
          <w:rFonts w:ascii="Calibri" w:hAnsi="Calibri" w:cs="Tahoma"/>
          <w:b w:val="0"/>
          <w:i w:val="0"/>
          <w:sz w:val="24"/>
          <w:u w:val="none"/>
        </w:rPr>
        <w:t>Statement of Net Position</w:t>
      </w:r>
      <w:r w:rsidR="0019007E">
        <w:rPr>
          <w:rFonts w:ascii="Calibri" w:hAnsi="Calibri" w:cs="Tahoma"/>
          <w:b w:val="0"/>
          <w:i w:val="0"/>
          <w:sz w:val="24"/>
          <w:u w:val="none"/>
        </w:rPr>
        <w:t xml:space="preserve"> is</w:t>
      </w:r>
      <w:r>
        <w:rPr>
          <w:rFonts w:ascii="Calibri" w:hAnsi="Calibri" w:cs="Tahoma"/>
          <w:b w:val="0"/>
          <w:i w:val="0"/>
          <w:sz w:val="24"/>
          <w:u w:val="none"/>
        </w:rPr>
        <w:t xml:space="preserve"> primarily due to </w:t>
      </w:r>
      <w:r w:rsidR="00162AE8">
        <w:rPr>
          <w:rFonts w:ascii="Calibri" w:hAnsi="Calibri" w:cs="Tahoma"/>
          <w:b w:val="0"/>
          <w:i w:val="0"/>
          <w:sz w:val="24"/>
          <w:u w:val="none"/>
        </w:rPr>
        <w:t xml:space="preserve">the </w:t>
      </w:r>
      <w:r w:rsidR="008063EB">
        <w:rPr>
          <w:rFonts w:ascii="Calibri" w:hAnsi="Calibri" w:cs="Tahoma"/>
          <w:b w:val="0"/>
          <w:i w:val="0"/>
          <w:sz w:val="24"/>
          <w:u w:val="none"/>
        </w:rPr>
        <w:t>decrease in the OPEB Trust assets</w:t>
      </w:r>
      <w:r w:rsidRPr="00162AE8">
        <w:rPr>
          <w:rFonts w:ascii="Calibri" w:hAnsi="Calibri" w:cs="Tahoma"/>
          <w:b w:val="0"/>
          <w:i w:val="0"/>
          <w:sz w:val="24"/>
          <w:u w:val="none"/>
        </w:rPr>
        <w:t>.</w:t>
      </w:r>
      <w:r>
        <w:rPr>
          <w:rFonts w:ascii="Calibri" w:hAnsi="Calibri" w:cs="Tahoma"/>
          <w:b w:val="0"/>
          <w:i w:val="0"/>
          <w:sz w:val="24"/>
          <w:u w:val="none"/>
        </w:rPr>
        <w:t xml:space="preserve"> </w:t>
      </w:r>
    </w:p>
    <w:p w14:paraId="19A4A80F" w14:textId="0FE17C9A" w:rsidR="00987D33" w:rsidRDefault="00987D33" w:rsidP="00987D33">
      <w:pPr>
        <w:pStyle w:val="AFR3"/>
        <w:rPr>
          <w:rFonts w:ascii="Calibri" w:hAnsi="Calibri" w:cs="Tahoma"/>
          <w:b w:val="0"/>
          <w:i w:val="0"/>
          <w:sz w:val="24"/>
          <w:u w:val="none"/>
        </w:rPr>
      </w:pPr>
      <w:r>
        <w:rPr>
          <w:rFonts w:ascii="Calibri" w:hAnsi="Calibri" w:cs="Tahoma"/>
          <w:b w:val="0"/>
          <w:i w:val="0"/>
          <w:sz w:val="24"/>
          <w:u w:val="none"/>
        </w:rPr>
        <w:t>For reporting in the System’s Condensed Statements of Net Position, the total OPEB liability</w:t>
      </w:r>
      <w:r w:rsidR="00E14B7F">
        <w:rPr>
          <w:rFonts w:ascii="Calibri" w:hAnsi="Calibri" w:cs="Tahoma"/>
          <w:b w:val="0"/>
          <w:i w:val="0"/>
          <w:sz w:val="24"/>
          <w:u w:val="none"/>
        </w:rPr>
        <w:t>/asset</w:t>
      </w:r>
      <w:r>
        <w:rPr>
          <w:rFonts w:ascii="Calibri" w:hAnsi="Calibri" w:cs="Tahoma"/>
          <w:b w:val="0"/>
          <w:i w:val="0"/>
          <w:sz w:val="24"/>
          <w:u w:val="none"/>
        </w:rPr>
        <w:t xml:space="preserve"> is netted with the value of the UMS OPEB Trust assets. At June 30, 202</w:t>
      </w:r>
      <w:r w:rsidR="00DD496C">
        <w:rPr>
          <w:rFonts w:ascii="Calibri" w:hAnsi="Calibri" w:cs="Tahoma"/>
          <w:b w:val="0"/>
          <w:i w:val="0"/>
          <w:sz w:val="24"/>
          <w:u w:val="none"/>
        </w:rPr>
        <w:t>2</w:t>
      </w:r>
      <w:r>
        <w:rPr>
          <w:rFonts w:ascii="Calibri" w:hAnsi="Calibri" w:cs="Tahoma"/>
          <w:b w:val="0"/>
          <w:i w:val="0"/>
          <w:sz w:val="24"/>
          <w:u w:val="none"/>
        </w:rPr>
        <w:t xml:space="preserve">, the System had a net OPEB </w:t>
      </w:r>
      <w:r w:rsidR="00E14B7F">
        <w:rPr>
          <w:rFonts w:ascii="Calibri" w:hAnsi="Calibri" w:cs="Tahoma"/>
          <w:b w:val="0"/>
          <w:i w:val="0"/>
          <w:sz w:val="24"/>
          <w:u w:val="none"/>
        </w:rPr>
        <w:t xml:space="preserve">liability of </w:t>
      </w:r>
      <w:r w:rsidR="00DD496C">
        <w:rPr>
          <w:rFonts w:ascii="Calibri" w:hAnsi="Calibri" w:cs="Tahoma"/>
          <w:b w:val="0"/>
          <w:i w:val="0"/>
          <w:sz w:val="24"/>
          <w:u w:val="none"/>
        </w:rPr>
        <w:t>$</w:t>
      </w:r>
      <w:r w:rsidR="00E14B7F">
        <w:rPr>
          <w:rFonts w:ascii="Calibri" w:hAnsi="Calibri" w:cs="Tahoma"/>
          <w:b w:val="0"/>
          <w:i w:val="0"/>
          <w:sz w:val="24"/>
          <w:u w:val="none"/>
        </w:rPr>
        <w:t xml:space="preserve">18 million </w:t>
      </w:r>
      <w:r w:rsidR="00DD496C">
        <w:rPr>
          <w:rFonts w:ascii="Calibri" w:hAnsi="Calibri" w:cs="Tahoma"/>
          <w:b w:val="0"/>
          <w:i w:val="0"/>
          <w:sz w:val="24"/>
          <w:u w:val="none"/>
        </w:rPr>
        <w:t xml:space="preserve">compared with a net OPEB </w:t>
      </w:r>
      <w:r w:rsidR="00E14B7F">
        <w:rPr>
          <w:rFonts w:ascii="Calibri" w:hAnsi="Calibri" w:cs="Tahoma"/>
          <w:b w:val="0"/>
          <w:i w:val="0"/>
          <w:sz w:val="24"/>
          <w:u w:val="none"/>
        </w:rPr>
        <w:t xml:space="preserve">asset </w:t>
      </w:r>
      <w:r w:rsidR="00DD496C">
        <w:rPr>
          <w:rFonts w:ascii="Calibri" w:hAnsi="Calibri" w:cs="Tahoma"/>
          <w:b w:val="0"/>
          <w:i w:val="0"/>
          <w:sz w:val="24"/>
          <w:u w:val="none"/>
        </w:rPr>
        <w:t xml:space="preserve">of </w:t>
      </w:r>
      <w:r>
        <w:rPr>
          <w:rFonts w:ascii="Calibri" w:hAnsi="Calibri" w:cs="Tahoma"/>
          <w:b w:val="0"/>
          <w:i w:val="0"/>
          <w:sz w:val="24"/>
          <w:u w:val="none"/>
        </w:rPr>
        <w:t xml:space="preserve">$18 million at June 30, </w:t>
      </w:r>
      <w:r w:rsidR="00DD496C">
        <w:rPr>
          <w:rFonts w:ascii="Calibri" w:hAnsi="Calibri" w:cs="Tahoma"/>
          <w:b w:val="0"/>
          <w:i w:val="0"/>
          <w:sz w:val="24"/>
          <w:u w:val="none"/>
        </w:rPr>
        <w:t>2021</w:t>
      </w:r>
      <w:r>
        <w:rPr>
          <w:rFonts w:ascii="Calibri" w:hAnsi="Calibri" w:cs="Tahoma"/>
          <w:b w:val="0"/>
          <w:i w:val="0"/>
          <w:sz w:val="24"/>
          <w:u w:val="none"/>
        </w:rPr>
        <w:t>.</w:t>
      </w:r>
    </w:p>
    <w:p w14:paraId="5CCFF574" w14:textId="3342BF27" w:rsidR="00987D33" w:rsidRDefault="00987D33" w:rsidP="00987D33">
      <w:pPr>
        <w:pStyle w:val="AFR3"/>
        <w:rPr>
          <w:rFonts w:ascii="Calibri" w:hAnsi="Calibri" w:cs="Tahoma"/>
          <w:b w:val="0"/>
          <w:i w:val="0"/>
          <w:sz w:val="24"/>
          <w:u w:val="none"/>
        </w:rPr>
      </w:pPr>
      <w:r>
        <w:rPr>
          <w:rFonts w:ascii="Calibri" w:hAnsi="Calibri" w:cs="Tahoma"/>
          <w:b w:val="0"/>
          <w:i w:val="0"/>
          <w:sz w:val="24"/>
          <w:u w:val="none"/>
        </w:rPr>
        <w:t xml:space="preserve">Other lines of the Condensed Statements of Net Position that were significantly adjusted by the </w:t>
      </w:r>
      <w:r w:rsidR="00DD496C">
        <w:rPr>
          <w:rFonts w:ascii="Calibri" w:hAnsi="Calibri" w:cs="Tahoma"/>
          <w:b w:val="0"/>
          <w:i w:val="0"/>
          <w:sz w:val="24"/>
          <w:u w:val="none"/>
        </w:rPr>
        <w:t xml:space="preserve">FY22 </w:t>
      </w:r>
      <w:r>
        <w:rPr>
          <w:rFonts w:ascii="Calibri" w:hAnsi="Calibri" w:cs="Tahoma"/>
          <w:b w:val="0"/>
          <w:i w:val="0"/>
          <w:sz w:val="24"/>
          <w:u w:val="none"/>
        </w:rPr>
        <w:t>actuarial results include the following:</w:t>
      </w:r>
    </w:p>
    <w:p w14:paraId="31085136" w14:textId="3E5E4305" w:rsidR="00987D33" w:rsidRPr="006662FE" w:rsidRDefault="00987D33" w:rsidP="00C95891">
      <w:pPr>
        <w:pStyle w:val="AFR3"/>
        <w:numPr>
          <w:ilvl w:val="0"/>
          <w:numId w:val="21"/>
        </w:numPr>
        <w:spacing w:before="0" w:after="0"/>
        <w:rPr>
          <w:rFonts w:ascii="Calibri" w:hAnsi="Calibri" w:cs="Tahoma"/>
          <w:b w:val="0"/>
          <w:i w:val="0"/>
          <w:sz w:val="24"/>
          <w:u w:val="none"/>
        </w:rPr>
      </w:pPr>
      <w:r w:rsidRPr="006662FE">
        <w:rPr>
          <w:rFonts w:ascii="Calibri" w:hAnsi="Calibri" w:cs="Tahoma"/>
          <w:b w:val="0"/>
          <w:i w:val="0"/>
          <w:sz w:val="24"/>
          <w:u w:val="none"/>
        </w:rPr>
        <w:t xml:space="preserve">Deferred outflows of resources associated with the OPEB plan </w:t>
      </w:r>
      <w:r w:rsidR="006662FE" w:rsidRPr="00721CFD">
        <w:rPr>
          <w:rFonts w:ascii="Calibri" w:hAnsi="Calibri" w:cs="Tahoma"/>
          <w:b w:val="0"/>
          <w:i w:val="0"/>
          <w:sz w:val="24"/>
          <w:u w:val="none"/>
        </w:rPr>
        <w:t>in</w:t>
      </w:r>
      <w:r w:rsidR="006662FE" w:rsidRPr="006662FE">
        <w:rPr>
          <w:rFonts w:ascii="Calibri" w:hAnsi="Calibri" w:cs="Tahoma"/>
          <w:b w:val="0"/>
          <w:i w:val="0"/>
          <w:sz w:val="24"/>
          <w:u w:val="none"/>
        </w:rPr>
        <w:t xml:space="preserve">creased </w:t>
      </w:r>
      <w:r w:rsidRPr="006662FE">
        <w:rPr>
          <w:rFonts w:ascii="Calibri" w:hAnsi="Calibri" w:cs="Tahoma"/>
          <w:b w:val="0"/>
          <w:i w:val="0"/>
          <w:sz w:val="24"/>
          <w:u w:val="none"/>
        </w:rPr>
        <w:t>$</w:t>
      </w:r>
      <w:r w:rsidR="006662FE" w:rsidRPr="006662FE">
        <w:rPr>
          <w:rFonts w:ascii="Calibri" w:hAnsi="Calibri" w:cs="Tahoma"/>
          <w:b w:val="0"/>
          <w:i w:val="0"/>
          <w:sz w:val="24"/>
          <w:u w:val="none"/>
        </w:rPr>
        <w:t>1</w:t>
      </w:r>
      <w:r w:rsidR="006662FE" w:rsidRPr="00721CFD">
        <w:rPr>
          <w:rFonts w:ascii="Calibri" w:hAnsi="Calibri" w:cs="Tahoma"/>
          <w:b w:val="0"/>
          <w:i w:val="0"/>
          <w:sz w:val="24"/>
          <w:u w:val="none"/>
        </w:rPr>
        <w:t>4</w:t>
      </w:r>
      <w:r w:rsidR="006662FE" w:rsidRPr="006662FE">
        <w:rPr>
          <w:rFonts w:ascii="Calibri" w:hAnsi="Calibri" w:cs="Tahoma"/>
          <w:b w:val="0"/>
          <w:i w:val="0"/>
          <w:sz w:val="24"/>
          <w:u w:val="none"/>
        </w:rPr>
        <w:t xml:space="preserve"> </w:t>
      </w:r>
      <w:r w:rsidRPr="006662FE">
        <w:rPr>
          <w:rFonts w:ascii="Calibri" w:hAnsi="Calibri" w:cs="Tahoma"/>
          <w:b w:val="0"/>
          <w:i w:val="0"/>
          <w:sz w:val="24"/>
          <w:u w:val="none"/>
        </w:rPr>
        <w:t>million.</w:t>
      </w:r>
    </w:p>
    <w:p w14:paraId="3C581B40" w14:textId="5415A9F9" w:rsidR="00987D33" w:rsidRDefault="00987D33" w:rsidP="00C95891">
      <w:pPr>
        <w:pStyle w:val="AFR3"/>
        <w:numPr>
          <w:ilvl w:val="0"/>
          <w:numId w:val="21"/>
        </w:numPr>
        <w:spacing w:before="0" w:after="0"/>
      </w:pPr>
      <w:r w:rsidRPr="006662FE">
        <w:rPr>
          <w:rFonts w:ascii="Calibri" w:hAnsi="Calibri" w:cs="Tahoma"/>
          <w:b w:val="0"/>
          <w:i w:val="0"/>
          <w:sz w:val="24"/>
          <w:u w:val="none"/>
        </w:rPr>
        <w:t xml:space="preserve">Deferred inflows of resources associated with the OPEB plan </w:t>
      </w:r>
      <w:r w:rsidR="006662FE" w:rsidRPr="00721CFD">
        <w:rPr>
          <w:rFonts w:ascii="Calibri" w:hAnsi="Calibri" w:cs="Tahoma"/>
          <w:b w:val="0"/>
          <w:i w:val="0"/>
          <w:sz w:val="24"/>
          <w:u w:val="none"/>
        </w:rPr>
        <w:t>de</w:t>
      </w:r>
      <w:r w:rsidR="006662FE" w:rsidRPr="006662FE">
        <w:rPr>
          <w:rFonts w:ascii="Calibri" w:hAnsi="Calibri" w:cs="Tahoma"/>
          <w:b w:val="0"/>
          <w:i w:val="0"/>
          <w:sz w:val="24"/>
          <w:u w:val="none"/>
        </w:rPr>
        <w:t xml:space="preserve">creased </w:t>
      </w:r>
      <w:r w:rsidRPr="006662FE">
        <w:rPr>
          <w:rFonts w:ascii="Calibri" w:hAnsi="Calibri" w:cs="Tahoma"/>
          <w:b w:val="0"/>
          <w:i w:val="0"/>
          <w:sz w:val="24"/>
          <w:u w:val="none"/>
        </w:rPr>
        <w:t>$</w:t>
      </w:r>
      <w:r w:rsidR="00042E28" w:rsidRPr="006662FE">
        <w:rPr>
          <w:rFonts w:ascii="Calibri" w:hAnsi="Calibri" w:cs="Tahoma"/>
          <w:b w:val="0"/>
          <w:i w:val="0"/>
          <w:sz w:val="24"/>
          <w:u w:val="none"/>
        </w:rPr>
        <w:t>2</w:t>
      </w:r>
      <w:r w:rsidR="00042E28">
        <w:rPr>
          <w:rFonts w:ascii="Calibri" w:hAnsi="Calibri" w:cs="Tahoma"/>
          <w:b w:val="0"/>
          <w:bCs/>
          <w:i w:val="0"/>
          <w:iCs/>
          <w:sz w:val="24"/>
          <w:u w:val="none"/>
        </w:rPr>
        <w:t>4</w:t>
      </w:r>
      <w:r w:rsidR="00042E28" w:rsidRPr="006662FE">
        <w:rPr>
          <w:rFonts w:ascii="Calibri" w:hAnsi="Calibri" w:cs="Tahoma"/>
          <w:b w:val="0"/>
          <w:i w:val="0"/>
          <w:sz w:val="24"/>
          <w:u w:val="none"/>
        </w:rPr>
        <w:t xml:space="preserve"> </w:t>
      </w:r>
      <w:r w:rsidRPr="006662FE">
        <w:rPr>
          <w:rFonts w:ascii="Calibri" w:hAnsi="Calibri" w:cs="Tahoma"/>
          <w:b w:val="0"/>
          <w:i w:val="0"/>
          <w:sz w:val="24"/>
          <w:u w:val="none"/>
        </w:rPr>
        <w:t>million.</w:t>
      </w:r>
    </w:p>
    <w:p w14:paraId="4285E526" w14:textId="77777777" w:rsidR="002C201C" w:rsidRDefault="002C201C">
      <w:pPr>
        <w:spacing w:after="160" w:line="259" w:lineRule="auto"/>
        <w:rPr>
          <w:b/>
          <w:i/>
          <w:sz w:val="26"/>
          <w:u w:val="single" w:color="000000" w:themeColor="text1"/>
        </w:rPr>
      </w:pPr>
      <w:r>
        <w:br w:type="page"/>
      </w:r>
    </w:p>
    <w:p w14:paraId="1B1A3A3F" w14:textId="21F4AC62" w:rsidR="00987D33" w:rsidRDefault="00987D33" w:rsidP="00987D33">
      <w:pPr>
        <w:pStyle w:val="AFR3"/>
      </w:pPr>
      <w:r>
        <w:lastRenderedPageBreak/>
        <w:t>Overview of Condensed Statements of Net Position</w:t>
      </w:r>
    </w:p>
    <w:p w14:paraId="58394E1D" w14:textId="5DC6A5B2" w:rsidR="00987D33" w:rsidRPr="005205E4" w:rsidRDefault="00987D33" w:rsidP="00987D33">
      <w:pPr>
        <w:rPr>
          <w:rFonts w:ascii="Calibri" w:hAnsi="Calibri" w:cs="Tahoma"/>
          <w:sz w:val="24"/>
        </w:rPr>
      </w:pPr>
      <w:r>
        <w:rPr>
          <w:rFonts w:ascii="Calibri" w:hAnsi="Calibri" w:cs="Tahoma"/>
          <w:sz w:val="24"/>
        </w:rPr>
        <w:t xml:space="preserve">As shown in Table 3, assets and liabilities are classified as current or noncurrent.  Current assets are available to satisfy current liabilities, which in turn are those amounts expected to be payable within the next year. Total assets and deferred outflows of resources </w:t>
      </w:r>
      <w:r w:rsidRPr="005205E4">
        <w:rPr>
          <w:rFonts w:ascii="Calibri" w:hAnsi="Calibri" w:cs="Tahoma"/>
          <w:sz w:val="24"/>
        </w:rPr>
        <w:t xml:space="preserve">of </w:t>
      </w:r>
      <w:r w:rsidRPr="00A316AD">
        <w:rPr>
          <w:rFonts w:ascii="Calibri" w:hAnsi="Calibri" w:cs="Tahoma"/>
          <w:sz w:val="24"/>
        </w:rPr>
        <w:t>$1.</w:t>
      </w:r>
      <w:r w:rsidR="006628EC">
        <w:rPr>
          <w:rFonts w:ascii="Calibri" w:hAnsi="Calibri" w:cs="Tahoma"/>
          <w:sz w:val="24"/>
        </w:rPr>
        <w:t>4</w:t>
      </w:r>
      <w:r w:rsidR="006628EC" w:rsidRPr="005205E4">
        <w:rPr>
          <w:rFonts w:ascii="Calibri" w:hAnsi="Calibri" w:cs="Tahoma"/>
          <w:sz w:val="24"/>
        </w:rPr>
        <w:t xml:space="preserve"> </w:t>
      </w:r>
      <w:r w:rsidRPr="005205E4">
        <w:rPr>
          <w:rFonts w:ascii="Calibri" w:hAnsi="Calibri" w:cs="Tahoma"/>
          <w:sz w:val="24"/>
        </w:rPr>
        <w:t xml:space="preserve">billion </w:t>
      </w:r>
      <w:r>
        <w:rPr>
          <w:rFonts w:ascii="Calibri" w:hAnsi="Calibri" w:cs="Tahoma"/>
          <w:sz w:val="24"/>
        </w:rPr>
        <w:t xml:space="preserve">at June 30, </w:t>
      </w:r>
      <w:r w:rsidR="006628EC" w:rsidRPr="005205E4">
        <w:rPr>
          <w:rFonts w:ascii="Calibri" w:hAnsi="Calibri" w:cs="Tahoma"/>
          <w:sz w:val="24"/>
        </w:rPr>
        <w:t>202</w:t>
      </w:r>
      <w:r w:rsidR="006628EC">
        <w:rPr>
          <w:rFonts w:ascii="Calibri" w:hAnsi="Calibri" w:cs="Tahoma"/>
          <w:sz w:val="24"/>
        </w:rPr>
        <w:t>2</w:t>
      </w:r>
      <w:r w:rsidRPr="005205E4">
        <w:rPr>
          <w:rFonts w:ascii="Calibri" w:hAnsi="Calibri" w:cs="Tahoma"/>
          <w:sz w:val="24"/>
        </w:rPr>
        <w:t xml:space="preserve">, </w:t>
      </w:r>
      <w:r w:rsidRPr="00A316AD">
        <w:rPr>
          <w:rFonts w:ascii="Calibri" w:hAnsi="Calibri" w:cs="Tahoma"/>
          <w:sz w:val="24"/>
        </w:rPr>
        <w:t>increased</w:t>
      </w:r>
      <w:r w:rsidRPr="005205E4">
        <w:rPr>
          <w:rFonts w:ascii="Calibri" w:hAnsi="Calibri" w:cs="Tahoma"/>
          <w:sz w:val="24"/>
        </w:rPr>
        <w:t xml:space="preserve"> </w:t>
      </w:r>
      <w:r w:rsidRPr="00A316AD">
        <w:rPr>
          <w:rFonts w:ascii="Calibri" w:hAnsi="Calibri" w:cs="Tahoma"/>
          <w:sz w:val="24"/>
        </w:rPr>
        <w:t>$</w:t>
      </w:r>
      <w:r w:rsidR="006628EC">
        <w:rPr>
          <w:rFonts w:ascii="Calibri" w:hAnsi="Calibri" w:cs="Tahoma"/>
          <w:sz w:val="24"/>
        </w:rPr>
        <w:t>4</w:t>
      </w:r>
      <w:r w:rsidR="006E72C1">
        <w:rPr>
          <w:rFonts w:ascii="Calibri" w:hAnsi="Calibri" w:cs="Tahoma"/>
          <w:sz w:val="24"/>
        </w:rPr>
        <w:t>7</w:t>
      </w:r>
      <w:r w:rsidRPr="005205E4">
        <w:rPr>
          <w:rFonts w:ascii="Calibri" w:hAnsi="Calibri" w:cs="Tahoma"/>
          <w:sz w:val="24"/>
        </w:rPr>
        <w:t xml:space="preserve"> million, or </w:t>
      </w:r>
      <w:r w:rsidR="006628EC">
        <w:rPr>
          <w:rFonts w:ascii="Calibri" w:hAnsi="Calibri" w:cs="Tahoma"/>
          <w:sz w:val="24"/>
        </w:rPr>
        <w:t>3</w:t>
      </w:r>
      <w:r w:rsidRPr="00A316AD">
        <w:rPr>
          <w:rFonts w:ascii="Calibri" w:hAnsi="Calibri" w:cs="Tahoma"/>
          <w:sz w:val="24"/>
        </w:rPr>
        <w:t>%</w:t>
      </w:r>
      <w:r w:rsidRPr="005205E4">
        <w:rPr>
          <w:rFonts w:ascii="Calibri" w:hAnsi="Calibri" w:cs="Tahoma"/>
          <w:sz w:val="24"/>
        </w:rPr>
        <w:t xml:space="preserve"> over the prior year.</w:t>
      </w:r>
    </w:p>
    <w:p w14:paraId="29769676" w14:textId="77777777" w:rsidR="00987D33" w:rsidRPr="00DE50BF" w:rsidRDefault="00987D33" w:rsidP="00987D33">
      <w:pPr>
        <w:rPr>
          <w:rFonts w:cstheme="minorHAnsi"/>
          <w:sz w:val="20"/>
          <w:szCs w:val="20"/>
        </w:rPr>
      </w:pPr>
    </w:p>
    <w:p w14:paraId="4577043C" w14:textId="6DF7FC90" w:rsidR="00987D33" w:rsidRDefault="00987D33" w:rsidP="00987D33">
      <w:pPr>
        <w:rPr>
          <w:rFonts w:ascii="Calibri" w:eastAsia="Times New Roman" w:hAnsi="Calibri" w:cs="Tahoma"/>
          <w:sz w:val="24"/>
        </w:rPr>
      </w:pPr>
      <w:r>
        <w:rPr>
          <w:rFonts w:ascii="Calibri" w:hAnsi="Calibri" w:cs="Tahoma"/>
          <w:sz w:val="24"/>
        </w:rPr>
        <w:t xml:space="preserve">The major component of current assets is operating investments, which </w:t>
      </w:r>
      <w:r w:rsidRPr="005205E4">
        <w:rPr>
          <w:rFonts w:ascii="Calibri" w:hAnsi="Calibri" w:cs="Tahoma"/>
          <w:sz w:val="24"/>
        </w:rPr>
        <w:t xml:space="preserve">totaled </w:t>
      </w:r>
      <w:r w:rsidRPr="00E239E3">
        <w:rPr>
          <w:rFonts w:ascii="Calibri" w:hAnsi="Calibri" w:cs="Tahoma"/>
          <w:sz w:val="24"/>
        </w:rPr>
        <w:t>$</w:t>
      </w:r>
      <w:r w:rsidR="00E933F2">
        <w:rPr>
          <w:rFonts w:ascii="Calibri" w:hAnsi="Calibri" w:cs="Tahoma"/>
          <w:sz w:val="24"/>
        </w:rPr>
        <w:t>307</w:t>
      </w:r>
      <w:r w:rsidR="00E933F2" w:rsidRPr="005205E4">
        <w:rPr>
          <w:rFonts w:ascii="Calibri" w:hAnsi="Calibri" w:cs="Tahoma"/>
          <w:sz w:val="24"/>
        </w:rPr>
        <w:t xml:space="preserve"> </w:t>
      </w:r>
      <w:r w:rsidRPr="005205E4">
        <w:rPr>
          <w:rFonts w:ascii="Calibri" w:hAnsi="Calibri" w:cs="Tahoma"/>
          <w:sz w:val="24"/>
        </w:rPr>
        <w:t xml:space="preserve">million </w:t>
      </w:r>
      <w:r>
        <w:rPr>
          <w:rFonts w:ascii="Calibri" w:hAnsi="Calibri" w:cs="Tahoma"/>
          <w:sz w:val="24"/>
        </w:rPr>
        <w:t xml:space="preserve">at June 30, </w:t>
      </w:r>
      <w:r w:rsidR="00427466">
        <w:rPr>
          <w:rFonts w:ascii="Calibri" w:hAnsi="Calibri" w:cs="Tahoma"/>
          <w:sz w:val="24"/>
        </w:rPr>
        <w:t xml:space="preserve">2022 </w:t>
      </w:r>
      <w:r>
        <w:rPr>
          <w:rFonts w:ascii="Calibri" w:hAnsi="Calibri" w:cs="Tahoma"/>
          <w:sz w:val="24"/>
        </w:rPr>
        <w:t>and $</w:t>
      </w:r>
      <w:r w:rsidR="00427466">
        <w:rPr>
          <w:rFonts w:ascii="Calibri" w:hAnsi="Calibri" w:cs="Tahoma"/>
          <w:sz w:val="24"/>
        </w:rPr>
        <w:t xml:space="preserve">286 </w:t>
      </w:r>
      <w:r>
        <w:rPr>
          <w:rFonts w:ascii="Calibri" w:hAnsi="Calibri" w:cs="Tahoma"/>
          <w:sz w:val="24"/>
        </w:rPr>
        <w:t xml:space="preserve">million at June 30, </w:t>
      </w:r>
      <w:r w:rsidR="00427466">
        <w:rPr>
          <w:rFonts w:ascii="Calibri" w:hAnsi="Calibri" w:cs="Tahoma"/>
          <w:sz w:val="24"/>
        </w:rPr>
        <w:t>2021</w:t>
      </w:r>
      <w:r>
        <w:rPr>
          <w:rFonts w:ascii="Calibri" w:hAnsi="Calibri" w:cs="Tahoma"/>
          <w:sz w:val="24"/>
        </w:rPr>
        <w:t xml:space="preserve">. </w:t>
      </w:r>
      <w:r>
        <w:rPr>
          <w:rFonts w:ascii="Calibri" w:eastAsia="Times New Roman" w:hAnsi="Calibri" w:cs="Tahoma"/>
          <w:sz w:val="24"/>
        </w:rPr>
        <w:t xml:space="preserve">Noncurrent assets consist mainly of endowment investments and capital assets, net of depreciation. Endowment investments totaled </w:t>
      </w:r>
      <w:r w:rsidRPr="00E239E3">
        <w:rPr>
          <w:rFonts w:ascii="Calibri" w:eastAsia="Times New Roman" w:hAnsi="Calibri" w:cs="Tahoma"/>
          <w:sz w:val="24"/>
        </w:rPr>
        <w:t>$</w:t>
      </w:r>
      <w:r w:rsidR="00E933F2" w:rsidRPr="00721CFD">
        <w:rPr>
          <w:rFonts w:ascii="Calibri" w:eastAsia="Times New Roman" w:hAnsi="Calibri" w:cs="Tahoma"/>
          <w:sz w:val="24"/>
        </w:rPr>
        <w:t>1</w:t>
      </w:r>
      <w:r w:rsidR="00E933F2">
        <w:rPr>
          <w:rFonts w:ascii="Calibri" w:eastAsia="Times New Roman" w:hAnsi="Calibri" w:cs="Tahoma"/>
          <w:sz w:val="24"/>
        </w:rPr>
        <w:t>41</w:t>
      </w:r>
      <w:r w:rsidR="00E933F2" w:rsidRPr="00E239E3">
        <w:rPr>
          <w:rFonts w:ascii="Calibri" w:eastAsia="Times New Roman" w:hAnsi="Calibri" w:cs="Tahoma"/>
          <w:sz w:val="24"/>
        </w:rPr>
        <w:t xml:space="preserve"> </w:t>
      </w:r>
      <w:r w:rsidRPr="00E239E3">
        <w:rPr>
          <w:rFonts w:ascii="Calibri" w:eastAsia="Times New Roman" w:hAnsi="Calibri" w:cs="Tahoma"/>
          <w:sz w:val="24"/>
        </w:rPr>
        <w:t xml:space="preserve">million at June 30, </w:t>
      </w:r>
      <w:r w:rsidR="00427466" w:rsidRPr="00E239E3">
        <w:rPr>
          <w:rFonts w:ascii="Calibri" w:eastAsia="Times New Roman" w:hAnsi="Calibri" w:cs="Tahoma"/>
          <w:sz w:val="24"/>
        </w:rPr>
        <w:t>202</w:t>
      </w:r>
      <w:r w:rsidR="00427466">
        <w:rPr>
          <w:rFonts w:ascii="Calibri" w:eastAsia="Times New Roman" w:hAnsi="Calibri" w:cs="Tahoma"/>
          <w:sz w:val="24"/>
        </w:rPr>
        <w:t>2</w:t>
      </w:r>
      <w:r w:rsidRPr="00E239E3">
        <w:rPr>
          <w:rFonts w:ascii="Calibri" w:eastAsia="Times New Roman" w:hAnsi="Calibri" w:cs="Tahoma"/>
          <w:sz w:val="24"/>
        </w:rPr>
        <w:t xml:space="preserve">, a </w:t>
      </w:r>
      <w:r w:rsidR="00E933F2">
        <w:rPr>
          <w:rFonts w:ascii="Calibri" w:eastAsia="Times New Roman" w:hAnsi="Calibri" w:cs="Tahoma"/>
          <w:sz w:val="24"/>
        </w:rPr>
        <w:t>de</w:t>
      </w:r>
      <w:r w:rsidRPr="00E239E3">
        <w:rPr>
          <w:rFonts w:ascii="Calibri" w:eastAsia="Times New Roman" w:hAnsi="Calibri" w:cs="Tahoma"/>
          <w:sz w:val="24"/>
        </w:rPr>
        <w:t>crease of $</w:t>
      </w:r>
      <w:r w:rsidR="00E933F2">
        <w:rPr>
          <w:rFonts w:ascii="Calibri" w:eastAsia="Times New Roman" w:hAnsi="Calibri" w:cs="Tahoma"/>
          <w:sz w:val="24"/>
        </w:rPr>
        <w:t>25</w:t>
      </w:r>
      <w:r w:rsidR="00E933F2" w:rsidRPr="00E239E3">
        <w:rPr>
          <w:rFonts w:ascii="Calibri" w:eastAsia="Times New Roman" w:hAnsi="Calibri" w:cs="Tahoma"/>
          <w:sz w:val="24"/>
        </w:rPr>
        <w:t xml:space="preserve"> </w:t>
      </w:r>
      <w:r w:rsidRPr="00E239E3">
        <w:rPr>
          <w:rFonts w:ascii="Calibri" w:eastAsia="Times New Roman" w:hAnsi="Calibri" w:cs="Tahoma"/>
          <w:sz w:val="24"/>
        </w:rPr>
        <w:t xml:space="preserve">million, or </w:t>
      </w:r>
      <w:r w:rsidR="00E933F2">
        <w:rPr>
          <w:rFonts w:ascii="Calibri" w:eastAsia="Times New Roman" w:hAnsi="Calibri" w:cs="Tahoma"/>
          <w:sz w:val="24"/>
        </w:rPr>
        <w:t>15</w:t>
      </w:r>
      <w:r w:rsidRPr="00E239E3">
        <w:rPr>
          <w:rFonts w:ascii="Calibri" w:eastAsia="Times New Roman" w:hAnsi="Calibri" w:cs="Tahoma"/>
          <w:sz w:val="24"/>
        </w:rPr>
        <w:t xml:space="preserve">%, from </w:t>
      </w:r>
      <w:r>
        <w:rPr>
          <w:rFonts w:ascii="Calibri" w:eastAsia="Times New Roman" w:hAnsi="Calibri" w:cs="Tahoma"/>
          <w:sz w:val="24"/>
        </w:rPr>
        <w:t xml:space="preserve">the </w:t>
      </w:r>
      <w:r w:rsidR="00427466">
        <w:rPr>
          <w:rFonts w:ascii="Calibri" w:eastAsia="Times New Roman" w:hAnsi="Calibri" w:cs="Tahoma"/>
          <w:sz w:val="24"/>
        </w:rPr>
        <w:t xml:space="preserve">FY21 </w:t>
      </w:r>
      <w:r>
        <w:rPr>
          <w:rFonts w:ascii="Calibri" w:eastAsia="Times New Roman" w:hAnsi="Calibri" w:cs="Tahoma"/>
          <w:sz w:val="24"/>
        </w:rPr>
        <w:t xml:space="preserve">year-end balance of </w:t>
      </w:r>
      <w:r w:rsidRPr="00E239E3">
        <w:rPr>
          <w:rFonts w:ascii="Calibri" w:eastAsia="Times New Roman" w:hAnsi="Calibri" w:cs="Tahoma"/>
          <w:sz w:val="24"/>
        </w:rPr>
        <w:t>$</w:t>
      </w:r>
      <w:r w:rsidR="00427466">
        <w:rPr>
          <w:rFonts w:ascii="Calibri" w:eastAsia="Times New Roman" w:hAnsi="Calibri" w:cs="Tahoma"/>
          <w:sz w:val="24"/>
        </w:rPr>
        <w:t>166</w:t>
      </w:r>
      <w:r w:rsidR="00427466" w:rsidRPr="00CA1110">
        <w:rPr>
          <w:rFonts w:ascii="Calibri" w:eastAsia="Times New Roman" w:hAnsi="Calibri" w:cs="Tahoma"/>
          <w:sz w:val="24"/>
        </w:rPr>
        <w:t xml:space="preserve"> </w:t>
      </w:r>
      <w:r>
        <w:rPr>
          <w:rFonts w:ascii="Calibri" w:eastAsia="Times New Roman" w:hAnsi="Calibri" w:cs="Tahoma"/>
          <w:sz w:val="24"/>
        </w:rPr>
        <w:t>million, and a $</w:t>
      </w:r>
      <w:r w:rsidR="00E377A7">
        <w:rPr>
          <w:rFonts w:ascii="Calibri" w:eastAsia="Times New Roman" w:hAnsi="Calibri" w:cs="Tahoma"/>
          <w:sz w:val="24"/>
        </w:rPr>
        <w:t xml:space="preserve">6 </w:t>
      </w:r>
      <w:r>
        <w:rPr>
          <w:rFonts w:ascii="Calibri" w:eastAsia="Times New Roman" w:hAnsi="Calibri" w:cs="Tahoma"/>
          <w:sz w:val="24"/>
        </w:rPr>
        <w:t xml:space="preserve">million, or </w:t>
      </w:r>
      <w:r w:rsidR="00E377A7">
        <w:rPr>
          <w:rFonts w:ascii="Calibri" w:eastAsia="Times New Roman" w:hAnsi="Calibri" w:cs="Tahoma"/>
          <w:sz w:val="24"/>
        </w:rPr>
        <w:t>4</w:t>
      </w:r>
      <w:r>
        <w:rPr>
          <w:rFonts w:ascii="Calibri" w:eastAsia="Times New Roman" w:hAnsi="Calibri" w:cs="Tahoma"/>
          <w:sz w:val="24"/>
        </w:rPr>
        <w:t xml:space="preserve">%, increase from </w:t>
      </w:r>
      <w:r w:rsidR="00427466">
        <w:rPr>
          <w:rFonts w:ascii="Calibri" w:eastAsia="Times New Roman" w:hAnsi="Calibri" w:cs="Tahoma"/>
          <w:sz w:val="24"/>
        </w:rPr>
        <w:t>FY20</w:t>
      </w:r>
      <w:r>
        <w:rPr>
          <w:rFonts w:ascii="Calibri" w:eastAsia="Times New Roman" w:hAnsi="Calibri" w:cs="Tahoma"/>
          <w:sz w:val="24"/>
        </w:rPr>
        <w:t xml:space="preserve">. Capital </w:t>
      </w:r>
      <w:r w:rsidR="00E377A7">
        <w:rPr>
          <w:rFonts w:ascii="Calibri" w:eastAsia="Times New Roman" w:hAnsi="Calibri" w:cs="Tahoma"/>
          <w:sz w:val="24"/>
        </w:rPr>
        <w:t xml:space="preserve">and right </w:t>
      </w:r>
      <w:r w:rsidR="00616F3F">
        <w:rPr>
          <w:rFonts w:ascii="Calibri" w:eastAsia="Times New Roman" w:hAnsi="Calibri" w:cs="Tahoma"/>
          <w:sz w:val="24"/>
        </w:rPr>
        <w:t xml:space="preserve">of </w:t>
      </w:r>
      <w:r w:rsidR="00E377A7">
        <w:rPr>
          <w:rFonts w:ascii="Calibri" w:eastAsia="Times New Roman" w:hAnsi="Calibri" w:cs="Tahoma"/>
          <w:sz w:val="24"/>
        </w:rPr>
        <w:t>use assets,</w:t>
      </w:r>
      <w:r>
        <w:rPr>
          <w:rFonts w:ascii="Calibri" w:eastAsia="Times New Roman" w:hAnsi="Calibri" w:cs="Tahoma"/>
          <w:sz w:val="24"/>
        </w:rPr>
        <w:t xml:space="preserve"> net of accumulated depreciation totaled </w:t>
      </w:r>
      <w:r w:rsidRPr="00E239E3">
        <w:rPr>
          <w:rFonts w:ascii="Calibri" w:eastAsia="Times New Roman" w:hAnsi="Calibri" w:cs="Tahoma"/>
          <w:sz w:val="24"/>
        </w:rPr>
        <w:t>$</w:t>
      </w:r>
      <w:r w:rsidR="00E377A7">
        <w:rPr>
          <w:rFonts w:ascii="Calibri" w:eastAsia="Times New Roman" w:hAnsi="Calibri" w:cs="Tahoma"/>
          <w:sz w:val="24"/>
        </w:rPr>
        <w:t>795</w:t>
      </w:r>
      <w:r w:rsidR="00E377A7" w:rsidRPr="00D37859">
        <w:rPr>
          <w:rFonts w:ascii="Calibri" w:eastAsia="Times New Roman" w:hAnsi="Calibri" w:cs="Tahoma"/>
          <w:sz w:val="24"/>
        </w:rPr>
        <w:t xml:space="preserve"> </w:t>
      </w:r>
      <w:r>
        <w:rPr>
          <w:rFonts w:ascii="Calibri" w:eastAsia="Times New Roman" w:hAnsi="Calibri" w:cs="Tahoma"/>
          <w:sz w:val="24"/>
        </w:rPr>
        <w:t xml:space="preserve">million and </w:t>
      </w:r>
      <w:r w:rsidRPr="00B946D7">
        <w:rPr>
          <w:rFonts w:ascii="Calibri" w:eastAsia="Times New Roman" w:hAnsi="Calibri" w:cs="Tahoma"/>
          <w:sz w:val="24"/>
        </w:rPr>
        <w:t>$</w:t>
      </w:r>
      <w:r w:rsidR="00E377A7">
        <w:rPr>
          <w:rFonts w:ascii="Calibri" w:eastAsia="Times New Roman" w:hAnsi="Calibri" w:cs="Tahoma"/>
          <w:sz w:val="24"/>
        </w:rPr>
        <w:t>701</w:t>
      </w:r>
      <w:r w:rsidR="00427466" w:rsidRPr="00B946D7">
        <w:rPr>
          <w:rFonts w:ascii="Calibri" w:eastAsia="Times New Roman" w:hAnsi="Calibri" w:cs="Tahoma"/>
          <w:sz w:val="24"/>
        </w:rPr>
        <w:t xml:space="preserve"> </w:t>
      </w:r>
      <w:r>
        <w:rPr>
          <w:rFonts w:ascii="Calibri" w:eastAsia="Times New Roman" w:hAnsi="Calibri" w:cs="Tahoma"/>
          <w:sz w:val="24"/>
        </w:rPr>
        <w:t xml:space="preserve">million at June 30, </w:t>
      </w:r>
      <w:r w:rsidR="00427466">
        <w:rPr>
          <w:rFonts w:ascii="Calibri" w:eastAsia="Times New Roman" w:hAnsi="Calibri" w:cs="Tahoma"/>
          <w:sz w:val="24"/>
        </w:rPr>
        <w:t xml:space="preserve">2022 </w:t>
      </w:r>
      <w:r>
        <w:rPr>
          <w:rFonts w:ascii="Calibri" w:eastAsia="Times New Roman" w:hAnsi="Calibri" w:cs="Tahoma"/>
          <w:sz w:val="24"/>
        </w:rPr>
        <w:t xml:space="preserve">and </w:t>
      </w:r>
      <w:r w:rsidR="00427466">
        <w:rPr>
          <w:rFonts w:ascii="Calibri" w:eastAsia="Times New Roman" w:hAnsi="Calibri" w:cs="Tahoma"/>
          <w:sz w:val="24"/>
        </w:rPr>
        <w:t>2021</w:t>
      </w:r>
      <w:r>
        <w:rPr>
          <w:rFonts w:ascii="Calibri" w:eastAsia="Times New Roman" w:hAnsi="Calibri" w:cs="Tahoma"/>
          <w:sz w:val="24"/>
        </w:rPr>
        <w:t>, respectively.</w:t>
      </w:r>
    </w:p>
    <w:p w14:paraId="01EA43B3" w14:textId="77777777" w:rsidR="00987D33" w:rsidRPr="00DE50BF" w:rsidRDefault="00987D33" w:rsidP="00987D33">
      <w:pPr>
        <w:ind w:left="360"/>
        <w:rPr>
          <w:rFonts w:cstheme="minorHAnsi"/>
          <w:sz w:val="20"/>
          <w:szCs w:val="20"/>
        </w:rPr>
      </w:pPr>
    </w:p>
    <w:p w14:paraId="1333CB99" w14:textId="06BDC466" w:rsidR="00987D33" w:rsidRDefault="00987D33" w:rsidP="00987D33">
      <w:pPr>
        <w:rPr>
          <w:rFonts w:ascii="Calibri" w:hAnsi="Calibri" w:cs="Tahoma"/>
          <w:sz w:val="24"/>
        </w:rPr>
      </w:pPr>
      <w:r>
        <w:rPr>
          <w:rFonts w:ascii="Calibri" w:hAnsi="Calibri" w:cs="Tahoma"/>
          <w:sz w:val="24"/>
        </w:rPr>
        <w:t>Current liabilities of $</w:t>
      </w:r>
      <w:r w:rsidR="00E377A7">
        <w:rPr>
          <w:rFonts w:ascii="Calibri" w:hAnsi="Calibri" w:cs="Tahoma"/>
          <w:sz w:val="24"/>
        </w:rPr>
        <w:t xml:space="preserve">171 </w:t>
      </w:r>
      <w:r>
        <w:rPr>
          <w:rFonts w:ascii="Calibri" w:hAnsi="Calibri" w:cs="Tahoma"/>
          <w:sz w:val="24"/>
        </w:rPr>
        <w:t>million and $</w:t>
      </w:r>
      <w:r w:rsidR="006E72C1">
        <w:rPr>
          <w:rFonts w:ascii="Calibri" w:hAnsi="Calibri" w:cs="Tahoma"/>
          <w:sz w:val="24"/>
        </w:rPr>
        <w:t xml:space="preserve">98 </w:t>
      </w:r>
      <w:r>
        <w:rPr>
          <w:rFonts w:ascii="Calibri" w:hAnsi="Calibri" w:cs="Tahoma"/>
          <w:sz w:val="24"/>
        </w:rPr>
        <w:t>million at June 30, 202</w:t>
      </w:r>
      <w:r w:rsidR="00CC12D2">
        <w:rPr>
          <w:rFonts w:ascii="Calibri" w:hAnsi="Calibri" w:cs="Tahoma"/>
          <w:sz w:val="24"/>
        </w:rPr>
        <w:t>2</w:t>
      </w:r>
      <w:r>
        <w:rPr>
          <w:rFonts w:ascii="Calibri" w:hAnsi="Calibri" w:cs="Tahoma"/>
          <w:sz w:val="24"/>
        </w:rPr>
        <w:t xml:space="preserve"> and </w:t>
      </w:r>
      <w:r w:rsidR="00CC12D2">
        <w:rPr>
          <w:rFonts w:ascii="Calibri" w:hAnsi="Calibri" w:cs="Tahoma"/>
          <w:sz w:val="24"/>
        </w:rPr>
        <w:t>2021</w:t>
      </w:r>
      <w:r>
        <w:rPr>
          <w:rFonts w:ascii="Calibri" w:hAnsi="Calibri" w:cs="Tahoma"/>
          <w:sz w:val="24"/>
        </w:rPr>
        <w:t xml:space="preserve">, respectively, consist primarily of accounts payable and various accrued liabilities including those for the System’s healthcare claims, defined contribution retirement plan and payroll taxes. Impacts to accounts payable and accrued liabilities include </w:t>
      </w:r>
      <w:r w:rsidRPr="006662FE">
        <w:rPr>
          <w:rFonts w:ascii="Calibri" w:hAnsi="Calibri" w:cs="Tahoma"/>
          <w:sz w:val="24"/>
        </w:rPr>
        <w:t>the timing of the last check cycle for the fiscal year, the level of construction activity in progress, and budget constraints.</w:t>
      </w:r>
    </w:p>
    <w:p w14:paraId="45166E72" w14:textId="77777777" w:rsidR="00987D33" w:rsidRPr="00DE50BF" w:rsidRDefault="00987D33" w:rsidP="00987D33">
      <w:pPr>
        <w:ind w:left="360"/>
        <w:rPr>
          <w:rFonts w:cstheme="minorHAnsi"/>
          <w:sz w:val="20"/>
          <w:szCs w:val="20"/>
        </w:rPr>
      </w:pPr>
    </w:p>
    <w:p w14:paraId="0897EF4C" w14:textId="6F161779" w:rsidR="00987D33" w:rsidRDefault="00987D33" w:rsidP="00987D33">
      <w:pPr>
        <w:rPr>
          <w:rFonts w:ascii="Calibri" w:eastAsia="Times New Roman" w:hAnsi="Calibri" w:cs="Tahoma"/>
          <w:bCs/>
          <w:sz w:val="24"/>
          <w:szCs w:val="20"/>
        </w:rPr>
      </w:pPr>
      <w:r>
        <w:rPr>
          <w:rFonts w:ascii="Calibri" w:eastAsia="Times New Roman" w:hAnsi="Calibri" w:cs="Tahoma"/>
          <w:sz w:val="24"/>
        </w:rPr>
        <w:t>At $</w:t>
      </w:r>
      <w:r w:rsidR="00E377A7" w:rsidRPr="00721CFD">
        <w:rPr>
          <w:rFonts w:ascii="Calibri" w:eastAsia="Times New Roman" w:hAnsi="Calibri" w:cs="Tahoma"/>
          <w:sz w:val="24"/>
        </w:rPr>
        <w:t>2</w:t>
      </w:r>
      <w:r w:rsidR="00E377A7">
        <w:rPr>
          <w:rFonts w:ascii="Calibri" w:eastAsia="Times New Roman" w:hAnsi="Calibri" w:cs="Tahoma"/>
          <w:sz w:val="24"/>
        </w:rPr>
        <w:t xml:space="preserve">16 </w:t>
      </w:r>
      <w:r>
        <w:rPr>
          <w:rFonts w:ascii="Calibri" w:eastAsia="Times New Roman" w:hAnsi="Calibri" w:cs="Tahoma"/>
          <w:sz w:val="24"/>
        </w:rPr>
        <w:t>million, total noncurrent liabilities</w:t>
      </w:r>
      <w:r w:rsidRPr="00162FC5">
        <w:rPr>
          <w:rFonts w:ascii="Calibri" w:eastAsia="Times New Roman" w:hAnsi="Calibri" w:cs="Tahoma"/>
          <w:color w:val="FF0000"/>
          <w:sz w:val="24"/>
        </w:rPr>
        <w:t xml:space="preserve"> </w:t>
      </w:r>
      <w:r w:rsidRPr="00721CFD">
        <w:rPr>
          <w:rFonts w:ascii="Calibri" w:eastAsia="Times New Roman" w:hAnsi="Calibri" w:cs="Tahoma"/>
          <w:sz w:val="24"/>
        </w:rPr>
        <w:t>de</w:t>
      </w:r>
      <w:r w:rsidRPr="00E239E3">
        <w:rPr>
          <w:rFonts w:ascii="Calibri" w:eastAsia="Times New Roman" w:hAnsi="Calibri" w:cs="Tahoma"/>
          <w:sz w:val="24"/>
        </w:rPr>
        <w:t>creased $</w:t>
      </w:r>
      <w:r w:rsidR="00E377A7" w:rsidRPr="00721CFD">
        <w:rPr>
          <w:rFonts w:ascii="Calibri" w:eastAsia="Times New Roman" w:hAnsi="Calibri" w:cs="Tahoma"/>
          <w:sz w:val="24"/>
        </w:rPr>
        <w:t>23</w:t>
      </w:r>
      <w:r w:rsidR="00E377A7" w:rsidRPr="00D37859">
        <w:rPr>
          <w:rFonts w:ascii="Calibri" w:eastAsia="Times New Roman" w:hAnsi="Calibri" w:cs="Tahoma"/>
          <w:sz w:val="24"/>
        </w:rPr>
        <w:t xml:space="preserve"> </w:t>
      </w:r>
      <w:r>
        <w:rPr>
          <w:rFonts w:ascii="Calibri" w:eastAsia="Times New Roman" w:hAnsi="Calibri" w:cs="Tahoma"/>
          <w:sz w:val="24"/>
        </w:rPr>
        <w:t xml:space="preserve">million, or </w:t>
      </w:r>
      <w:r w:rsidR="00E377A7" w:rsidRPr="00721CFD">
        <w:rPr>
          <w:rFonts w:ascii="Calibri" w:eastAsia="Times New Roman" w:hAnsi="Calibri" w:cs="Tahoma"/>
          <w:sz w:val="24"/>
        </w:rPr>
        <w:t>1</w:t>
      </w:r>
      <w:r w:rsidR="00E377A7">
        <w:rPr>
          <w:rFonts w:ascii="Calibri" w:eastAsia="Times New Roman" w:hAnsi="Calibri" w:cs="Tahoma"/>
          <w:sz w:val="24"/>
        </w:rPr>
        <w:t>0</w:t>
      </w:r>
      <w:r w:rsidRPr="00E239E3">
        <w:rPr>
          <w:rFonts w:ascii="Calibri" w:eastAsia="Times New Roman" w:hAnsi="Calibri" w:cs="Tahoma"/>
          <w:sz w:val="24"/>
        </w:rPr>
        <w:t>%</w:t>
      </w:r>
      <w:r>
        <w:rPr>
          <w:rFonts w:ascii="Calibri" w:eastAsia="Times New Roman" w:hAnsi="Calibri" w:cs="Tahoma"/>
          <w:sz w:val="24"/>
        </w:rPr>
        <w:t xml:space="preserve">, from June 30, </w:t>
      </w:r>
      <w:r w:rsidR="00CC12D2">
        <w:rPr>
          <w:rFonts w:ascii="Calibri" w:eastAsia="Times New Roman" w:hAnsi="Calibri" w:cs="Tahoma"/>
          <w:sz w:val="24"/>
        </w:rPr>
        <w:t xml:space="preserve">2021 </w:t>
      </w:r>
      <w:r>
        <w:rPr>
          <w:rFonts w:ascii="Calibri" w:eastAsia="Times New Roman" w:hAnsi="Calibri" w:cs="Tahoma"/>
          <w:sz w:val="24"/>
        </w:rPr>
        <w:t xml:space="preserve">to </w:t>
      </w:r>
      <w:r w:rsidR="00CC12D2">
        <w:rPr>
          <w:rFonts w:ascii="Calibri" w:eastAsia="Times New Roman" w:hAnsi="Calibri" w:cs="Tahoma"/>
          <w:sz w:val="24"/>
        </w:rPr>
        <w:t>2022</w:t>
      </w:r>
      <w:r>
        <w:rPr>
          <w:rFonts w:ascii="Calibri" w:eastAsia="Times New Roman" w:hAnsi="Calibri" w:cs="Tahoma"/>
          <w:sz w:val="24"/>
        </w:rPr>
        <w:t xml:space="preserve">. This </w:t>
      </w:r>
      <w:r w:rsidRPr="00721CFD">
        <w:rPr>
          <w:rFonts w:ascii="Calibri" w:eastAsia="Times New Roman" w:hAnsi="Calibri" w:cs="Tahoma"/>
          <w:sz w:val="24"/>
        </w:rPr>
        <w:t>de</w:t>
      </w:r>
      <w:r w:rsidRPr="00D37859">
        <w:rPr>
          <w:rFonts w:ascii="Calibri" w:eastAsia="Times New Roman" w:hAnsi="Calibri" w:cs="Tahoma"/>
          <w:sz w:val="24"/>
        </w:rPr>
        <w:t>crease i</w:t>
      </w:r>
      <w:r>
        <w:rPr>
          <w:rFonts w:ascii="Calibri" w:eastAsia="Times New Roman" w:hAnsi="Calibri" w:cs="Tahoma"/>
          <w:sz w:val="24"/>
        </w:rPr>
        <w:t>s primarily the result of a $</w:t>
      </w:r>
      <w:r w:rsidR="0007246A" w:rsidRPr="00721CFD">
        <w:rPr>
          <w:rFonts w:ascii="Calibri" w:eastAsia="Times New Roman" w:hAnsi="Calibri" w:cs="Tahoma"/>
          <w:sz w:val="24"/>
        </w:rPr>
        <w:t>36</w:t>
      </w:r>
      <w:r w:rsidRPr="00721CFD">
        <w:rPr>
          <w:rFonts w:ascii="Calibri" w:eastAsia="Times New Roman" w:hAnsi="Calibri" w:cs="Tahoma"/>
          <w:sz w:val="24"/>
        </w:rPr>
        <w:t xml:space="preserve"> million decrease in long-term debt</w:t>
      </w:r>
      <w:r w:rsidR="0007246A">
        <w:rPr>
          <w:rFonts w:ascii="Calibri" w:eastAsia="Times New Roman" w:hAnsi="Calibri" w:cs="Tahoma"/>
          <w:sz w:val="24"/>
        </w:rPr>
        <w:t xml:space="preserve"> and an increase of $18 million in acc</w:t>
      </w:r>
      <w:r w:rsidR="00042E28">
        <w:rPr>
          <w:rFonts w:ascii="Calibri" w:eastAsia="Times New Roman" w:hAnsi="Calibri" w:cs="Tahoma"/>
          <w:sz w:val="24"/>
        </w:rPr>
        <w:t>ounts payable</w:t>
      </w:r>
      <w:r>
        <w:rPr>
          <w:rFonts w:ascii="Calibri" w:eastAsia="Times New Roman" w:hAnsi="Calibri" w:cs="Tahoma"/>
          <w:sz w:val="24"/>
        </w:rPr>
        <w:t xml:space="preserve">. For </w:t>
      </w:r>
      <w:r w:rsidR="00CC12D2">
        <w:rPr>
          <w:rFonts w:ascii="Calibri" w:eastAsia="Times New Roman" w:hAnsi="Calibri" w:cs="Tahoma"/>
          <w:sz w:val="24"/>
        </w:rPr>
        <w:t xml:space="preserve">FY21 </w:t>
      </w:r>
      <w:r>
        <w:rPr>
          <w:rFonts w:ascii="Calibri" w:eastAsia="Times New Roman" w:hAnsi="Calibri" w:cs="Tahoma"/>
          <w:sz w:val="24"/>
        </w:rPr>
        <w:t xml:space="preserve">and </w:t>
      </w:r>
      <w:r w:rsidR="00CC12D2">
        <w:rPr>
          <w:rFonts w:ascii="Calibri" w:eastAsia="Times New Roman" w:hAnsi="Calibri" w:cs="Tahoma"/>
          <w:sz w:val="24"/>
        </w:rPr>
        <w:t>FY20</w:t>
      </w:r>
      <w:r>
        <w:rPr>
          <w:rFonts w:ascii="Calibri" w:eastAsia="Times New Roman" w:hAnsi="Calibri" w:cs="Tahoma"/>
          <w:sz w:val="24"/>
        </w:rPr>
        <w:t>, the System had t</w:t>
      </w:r>
      <w:r>
        <w:rPr>
          <w:rFonts w:ascii="Calibri" w:eastAsia="Times New Roman" w:hAnsi="Calibri" w:cs="Tahoma"/>
          <w:bCs/>
          <w:sz w:val="24"/>
          <w:szCs w:val="20"/>
        </w:rPr>
        <w:t>otal noncurrent liabilities of $</w:t>
      </w:r>
      <w:r w:rsidRPr="00721CFD">
        <w:rPr>
          <w:rFonts w:ascii="Calibri" w:eastAsia="Times New Roman" w:hAnsi="Calibri" w:cs="Tahoma"/>
          <w:bCs/>
          <w:sz w:val="24"/>
          <w:szCs w:val="20"/>
        </w:rPr>
        <w:t>2</w:t>
      </w:r>
      <w:r w:rsidR="0007246A" w:rsidRPr="00721CFD">
        <w:rPr>
          <w:rFonts w:ascii="Calibri" w:eastAsia="Times New Roman" w:hAnsi="Calibri" w:cs="Tahoma"/>
          <w:bCs/>
          <w:sz w:val="24"/>
          <w:szCs w:val="20"/>
        </w:rPr>
        <w:t>39</w:t>
      </w:r>
      <w:r w:rsidRPr="00721CFD">
        <w:rPr>
          <w:rFonts w:ascii="Calibri" w:eastAsia="Times New Roman" w:hAnsi="Calibri" w:cs="Tahoma"/>
          <w:bCs/>
          <w:sz w:val="24"/>
          <w:szCs w:val="20"/>
        </w:rPr>
        <w:t xml:space="preserve"> million</w:t>
      </w:r>
      <w:r w:rsidR="0007246A" w:rsidRPr="00721CFD">
        <w:rPr>
          <w:rFonts w:ascii="Calibri" w:eastAsia="Times New Roman" w:hAnsi="Calibri" w:cs="Tahoma"/>
          <w:bCs/>
          <w:sz w:val="24"/>
          <w:szCs w:val="20"/>
        </w:rPr>
        <w:t xml:space="preserve"> and $280 million respectively</w:t>
      </w:r>
      <w:r w:rsidRPr="00721CFD">
        <w:rPr>
          <w:rFonts w:ascii="Calibri" w:eastAsia="Times New Roman" w:hAnsi="Calibri" w:cs="Tahoma"/>
          <w:bCs/>
          <w:sz w:val="24"/>
          <w:szCs w:val="20"/>
        </w:rPr>
        <w:t>, with the change</w:t>
      </w:r>
      <w:r w:rsidR="00A07FFB" w:rsidRPr="00721CFD">
        <w:rPr>
          <w:rFonts w:ascii="Calibri" w:eastAsia="Times New Roman" w:hAnsi="Calibri" w:cs="Tahoma"/>
          <w:bCs/>
          <w:sz w:val="24"/>
          <w:szCs w:val="20"/>
        </w:rPr>
        <w:t>s</w:t>
      </w:r>
      <w:r w:rsidRPr="00721CFD">
        <w:rPr>
          <w:rFonts w:ascii="Calibri" w:eastAsia="Times New Roman" w:hAnsi="Calibri" w:cs="Tahoma"/>
          <w:bCs/>
          <w:sz w:val="24"/>
          <w:szCs w:val="20"/>
        </w:rPr>
        <w:t xml:space="preserve"> being a </w:t>
      </w:r>
      <w:r w:rsidR="006E72C1">
        <w:rPr>
          <w:rFonts w:ascii="Calibri" w:eastAsia="Times New Roman" w:hAnsi="Calibri" w:cs="Tahoma"/>
          <w:bCs/>
          <w:sz w:val="24"/>
          <w:szCs w:val="20"/>
        </w:rPr>
        <w:t xml:space="preserve">$13 million increase in lease liabilities, a </w:t>
      </w:r>
      <w:r w:rsidRPr="00721CFD">
        <w:rPr>
          <w:rFonts w:ascii="Calibri" w:eastAsia="Times New Roman" w:hAnsi="Calibri" w:cs="Tahoma"/>
          <w:bCs/>
          <w:sz w:val="24"/>
          <w:szCs w:val="20"/>
        </w:rPr>
        <w:t>$</w:t>
      </w:r>
      <w:r w:rsidR="006E72C1">
        <w:rPr>
          <w:rFonts w:ascii="Calibri" w:eastAsia="Times New Roman" w:hAnsi="Calibri" w:cs="Tahoma"/>
          <w:bCs/>
          <w:sz w:val="24"/>
          <w:szCs w:val="20"/>
        </w:rPr>
        <w:t>29</w:t>
      </w:r>
      <w:r w:rsidR="006E72C1" w:rsidRPr="00721CFD">
        <w:rPr>
          <w:rFonts w:ascii="Calibri" w:eastAsia="Times New Roman" w:hAnsi="Calibri" w:cs="Tahoma"/>
          <w:bCs/>
          <w:sz w:val="24"/>
          <w:szCs w:val="20"/>
        </w:rPr>
        <w:t xml:space="preserve"> </w:t>
      </w:r>
      <w:r w:rsidRPr="00721CFD">
        <w:rPr>
          <w:rFonts w:ascii="Calibri" w:eastAsia="Times New Roman" w:hAnsi="Calibri" w:cs="Tahoma"/>
          <w:bCs/>
          <w:sz w:val="24"/>
          <w:szCs w:val="20"/>
        </w:rPr>
        <w:t xml:space="preserve">million increase in </w:t>
      </w:r>
      <w:r w:rsidR="00A07FFB" w:rsidRPr="00721CFD">
        <w:rPr>
          <w:rFonts w:ascii="Calibri" w:eastAsia="Times New Roman" w:hAnsi="Calibri" w:cs="Tahoma"/>
          <w:bCs/>
          <w:sz w:val="24"/>
          <w:szCs w:val="20"/>
        </w:rPr>
        <w:t>long-term debt and an $</w:t>
      </w:r>
      <w:r w:rsidR="006E72C1" w:rsidRPr="00721CFD">
        <w:rPr>
          <w:rFonts w:ascii="Calibri" w:eastAsia="Times New Roman" w:hAnsi="Calibri" w:cs="Tahoma"/>
          <w:bCs/>
          <w:sz w:val="24"/>
          <w:szCs w:val="20"/>
        </w:rPr>
        <w:t>8</w:t>
      </w:r>
      <w:r w:rsidR="006E72C1">
        <w:rPr>
          <w:rFonts w:ascii="Calibri" w:eastAsia="Times New Roman" w:hAnsi="Calibri" w:cs="Tahoma"/>
          <w:bCs/>
          <w:sz w:val="24"/>
          <w:szCs w:val="20"/>
        </w:rPr>
        <w:t>3</w:t>
      </w:r>
      <w:r w:rsidR="006E72C1" w:rsidRPr="00721CFD">
        <w:rPr>
          <w:rFonts w:ascii="Calibri" w:eastAsia="Times New Roman" w:hAnsi="Calibri" w:cs="Tahoma"/>
          <w:bCs/>
          <w:sz w:val="24"/>
          <w:szCs w:val="20"/>
        </w:rPr>
        <w:t xml:space="preserve"> </w:t>
      </w:r>
      <w:r w:rsidR="00A07FFB" w:rsidRPr="00721CFD">
        <w:rPr>
          <w:rFonts w:ascii="Calibri" w:eastAsia="Times New Roman" w:hAnsi="Calibri" w:cs="Tahoma"/>
          <w:bCs/>
          <w:sz w:val="24"/>
          <w:szCs w:val="20"/>
        </w:rPr>
        <w:t xml:space="preserve">million decrease in </w:t>
      </w:r>
      <w:r w:rsidR="006E72C1">
        <w:rPr>
          <w:rFonts w:ascii="Calibri" w:eastAsia="Times New Roman" w:hAnsi="Calibri" w:cs="Tahoma"/>
          <w:bCs/>
          <w:sz w:val="24"/>
          <w:szCs w:val="20"/>
        </w:rPr>
        <w:t xml:space="preserve">other </w:t>
      </w:r>
      <w:r w:rsidRPr="00721CFD">
        <w:rPr>
          <w:rFonts w:ascii="Calibri" w:eastAsia="Times New Roman" w:hAnsi="Calibri" w:cs="Tahoma"/>
          <w:bCs/>
          <w:sz w:val="24"/>
          <w:szCs w:val="20"/>
        </w:rPr>
        <w:t>noncurrent liabilities</w:t>
      </w:r>
      <w:r w:rsidRPr="00A07FFB">
        <w:rPr>
          <w:rFonts w:ascii="Calibri" w:eastAsia="Times New Roman" w:hAnsi="Calibri" w:cs="Tahoma"/>
          <w:bCs/>
          <w:sz w:val="24"/>
          <w:szCs w:val="20"/>
        </w:rPr>
        <w:t>.</w:t>
      </w:r>
    </w:p>
    <w:p w14:paraId="47C3EEF5" w14:textId="77777777" w:rsidR="00987D33" w:rsidRPr="00790AF8" w:rsidRDefault="00987D33" w:rsidP="00987D33">
      <w:pPr>
        <w:rPr>
          <w:rFonts w:ascii="Calibri" w:hAnsi="Calibri" w:cs="Tahoma"/>
          <w:sz w:val="20"/>
          <w:szCs w:val="20"/>
        </w:rPr>
      </w:pPr>
    </w:p>
    <w:p w14:paraId="4E77439F" w14:textId="005D36CD" w:rsidR="00C535AA" w:rsidRDefault="00987D33" w:rsidP="00721CFD">
      <w:pPr>
        <w:rPr>
          <w:rFonts w:ascii="Calibri" w:hAnsi="Calibri" w:cs="Tahoma"/>
          <w:color w:val="0D0D0D" w:themeColor="text1" w:themeTint="F2"/>
          <w:sz w:val="24"/>
        </w:rPr>
        <w:sectPr w:rsidR="00C535AA" w:rsidSect="00624B76">
          <w:headerReference w:type="default" r:id="rId23"/>
          <w:pgSz w:w="12240" w:h="15840"/>
          <w:pgMar w:top="1440" w:right="1440" w:bottom="1440" w:left="1440" w:header="720" w:footer="720" w:gutter="0"/>
          <w:cols w:space="720"/>
          <w:titlePg/>
          <w:docGrid w:linePitch="360"/>
        </w:sectPr>
      </w:pPr>
      <w:r>
        <w:rPr>
          <w:rFonts w:ascii="Calibri" w:hAnsi="Calibri" w:cs="Tahoma"/>
          <w:sz w:val="24"/>
        </w:rPr>
        <w:t>Total net position at June 30, 202</w:t>
      </w:r>
      <w:r w:rsidR="00CC12D2">
        <w:rPr>
          <w:rFonts w:ascii="Calibri" w:hAnsi="Calibri" w:cs="Tahoma"/>
          <w:sz w:val="24"/>
        </w:rPr>
        <w:t>2</w:t>
      </w:r>
      <w:r>
        <w:rPr>
          <w:rFonts w:ascii="Calibri" w:hAnsi="Calibri" w:cs="Tahoma"/>
          <w:sz w:val="24"/>
        </w:rPr>
        <w:t xml:space="preserve"> of $</w:t>
      </w:r>
      <w:r w:rsidR="006E72C1">
        <w:rPr>
          <w:rFonts w:ascii="Calibri" w:hAnsi="Calibri" w:cs="Tahoma"/>
          <w:sz w:val="24"/>
        </w:rPr>
        <w:t>96</w:t>
      </w:r>
      <w:r w:rsidR="006B537A">
        <w:rPr>
          <w:rFonts w:ascii="Calibri" w:hAnsi="Calibri" w:cs="Tahoma"/>
          <w:sz w:val="24"/>
        </w:rPr>
        <w:t>9</w:t>
      </w:r>
      <w:r w:rsidR="006E72C1">
        <w:rPr>
          <w:rFonts w:ascii="Calibri" w:hAnsi="Calibri" w:cs="Tahoma"/>
          <w:sz w:val="24"/>
        </w:rPr>
        <w:t xml:space="preserve"> </w:t>
      </w:r>
      <w:r w:rsidRPr="00AA1A8F">
        <w:rPr>
          <w:rFonts w:ascii="Calibri" w:hAnsi="Calibri" w:cs="Tahoma"/>
          <w:sz w:val="24"/>
        </w:rPr>
        <w:t xml:space="preserve">million </w:t>
      </w:r>
      <w:r w:rsidRPr="00721CFD">
        <w:rPr>
          <w:rFonts w:ascii="Calibri" w:hAnsi="Calibri" w:cs="Tahoma"/>
          <w:sz w:val="24"/>
        </w:rPr>
        <w:t>in</w:t>
      </w:r>
      <w:r w:rsidRPr="00E239E3">
        <w:rPr>
          <w:rFonts w:ascii="Calibri" w:hAnsi="Calibri" w:cs="Tahoma"/>
          <w:sz w:val="24"/>
        </w:rPr>
        <w:t>creased</w:t>
      </w:r>
      <w:r w:rsidRPr="00AA1A8F">
        <w:rPr>
          <w:rFonts w:ascii="Calibri" w:hAnsi="Calibri" w:cs="Tahoma"/>
          <w:sz w:val="24"/>
        </w:rPr>
        <w:t xml:space="preserve"> </w:t>
      </w:r>
      <w:r>
        <w:rPr>
          <w:rFonts w:ascii="Calibri" w:hAnsi="Calibri" w:cs="Tahoma"/>
          <w:sz w:val="24"/>
        </w:rPr>
        <w:t>$</w:t>
      </w:r>
      <w:r w:rsidR="006E72C1">
        <w:rPr>
          <w:rFonts w:ascii="Calibri" w:hAnsi="Calibri" w:cs="Tahoma"/>
          <w:sz w:val="24"/>
        </w:rPr>
        <w:t>2</w:t>
      </w:r>
      <w:r w:rsidR="006B537A">
        <w:rPr>
          <w:rFonts w:ascii="Calibri" w:hAnsi="Calibri" w:cs="Tahoma"/>
          <w:sz w:val="24"/>
        </w:rPr>
        <w:t>5</w:t>
      </w:r>
      <w:r w:rsidR="006E72C1">
        <w:rPr>
          <w:rFonts w:ascii="Calibri" w:hAnsi="Calibri" w:cs="Tahoma"/>
          <w:sz w:val="24"/>
        </w:rPr>
        <w:t xml:space="preserve"> </w:t>
      </w:r>
      <w:r>
        <w:rPr>
          <w:rFonts w:ascii="Calibri" w:hAnsi="Calibri" w:cs="Tahoma"/>
          <w:sz w:val="24"/>
        </w:rPr>
        <w:t xml:space="preserve">million, or </w:t>
      </w:r>
      <w:r w:rsidR="006B537A">
        <w:rPr>
          <w:rFonts w:ascii="Calibri" w:hAnsi="Calibri" w:cs="Tahoma"/>
          <w:sz w:val="24"/>
        </w:rPr>
        <w:t>3</w:t>
      </w:r>
      <w:r w:rsidRPr="00AA1A8F">
        <w:rPr>
          <w:rFonts w:ascii="Calibri" w:hAnsi="Calibri" w:cs="Tahoma"/>
          <w:sz w:val="24"/>
        </w:rPr>
        <w:t>%</w:t>
      </w:r>
      <w:r w:rsidRPr="00A316AD">
        <w:rPr>
          <w:rFonts w:ascii="Calibri" w:hAnsi="Calibri" w:cs="Tahoma"/>
          <w:sz w:val="24"/>
        </w:rPr>
        <w:t>,</w:t>
      </w:r>
      <w:r>
        <w:rPr>
          <w:rFonts w:ascii="Calibri" w:hAnsi="Calibri" w:cs="Tahoma"/>
          <w:sz w:val="24"/>
        </w:rPr>
        <w:t xml:space="preserve"> from the June 30, </w:t>
      </w:r>
      <w:r w:rsidR="00CC12D2">
        <w:rPr>
          <w:rFonts w:ascii="Calibri" w:hAnsi="Calibri" w:cs="Tahoma"/>
          <w:sz w:val="24"/>
        </w:rPr>
        <w:t xml:space="preserve">2021 </w:t>
      </w:r>
      <w:r>
        <w:rPr>
          <w:rFonts w:ascii="Calibri" w:hAnsi="Calibri" w:cs="Tahoma"/>
          <w:sz w:val="24"/>
        </w:rPr>
        <w:t>balance, which</w:t>
      </w:r>
      <w:r w:rsidRPr="00AA1A8F">
        <w:rPr>
          <w:rFonts w:ascii="Calibri" w:hAnsi="Calibri" w:cs="Tahoma"/>
          <w:sz w:val="24"/>
        </w:rPr>
        <w:t xml:space="preserve"> </w:t>
      </w:r>
      <w:r w:rsidRPr="00E239E3">
        <w:rPr>
          <w:rFonts w:ascii="Calibri" w:hAnsi="Calibri" w:cs="Tahoma"/>
          <w:sz w:val="24"/>
        </w:rPr>
        <w:t xml:space="preserve">increased </w:t>
      </w:r>
      <w:r w:rsidRPr="00B946D7">
        <w:rPr>
          <w:rFonts w:ascii="Calibri" w:hAnsi="Calibri" w:cs="Tahoma"/>
          <w:sz w:val="24"/>
        </w:rPr>
        <w:t>$</w:t>
      </w:r>
      <w:r w:rsidR="00A07FFB">
        <w:rPr>
          <w:rFonts w:ascii="Calibri" w:hAnsi="Calibri" w:cs="Tahoma"/>
          <w:sz w:val="24"/>
        </w:rPr>
        <w:t xml:space="preserve">112 </w:t>
      </w:r>
      <w:r>
        <w:rPr>
          <w:rFonts w:ascii="Calibri" w:hAnsi="Calibri" w:cs="Tahoma"/>
          <w:sz w:val="24"/>
        </w:rPr>
        <w:t xml:space="preserve">million, or </w:t>
      </w:r>
      <w:r w:rsidR="00A07FFB">
        <w:rPr>
          <w:rFonts w:ascii="Calibri" w:hAnsi="Calibri" w:cs="Tahoma"/>
          <w:sz w:val="24"/>
        </w:rPr>
        <w:t>88</w:t>
      </w:r>
      <w:r>
        <w:rPr>
          <w:rFonts w:ascii="Calibri" w:hAnsi="Calibri" w:cs="Tahoma"/>
          <w:sz w:val="24"/>
        </w:rPr>
        <w:t xml:space="preserve">%, from the June 30, </w:t>
      </w:r>
      <w:r w:rsidR="00CC12D2">
        <w:rPr>
          <w:rFonts w:ascii="Calibri" w:hAnsi="Calibri" w:cs="Tahoma"/>
          <w:sz w:val="24"/>
        </w:rPr>
        <w:t xml:space="preserve">2020 </w:t>
      </w:r>
      <w:r>
        <w:rPr>
          <w:rFonts w:ascii="Calibri" w:hAnsi="Calibri" w:cs="Tahoma"/>
          <w:sz w:val="24"/>
        </w:rPr>
        <w:t xml:space="preserve">balance.  Additional information about net position is presented on page </w:t>
      </w:r>
      <w:r w:rsidR="00042E28" w:rsidRPr="006B537A">
        <w:rPr>
          <w:rFonts w:ascii="Calibri" w:hAnsi="Calibri" w:cs="Tahoma"/>
          <w:color w:val="0D0D0D" w:themeColor="text1" w:themeTint="F2"/>
          <w:sz w:val="24"/>
        </w:rPr>
        <w:t>2</w:t>
      </w:r>
      <w:r w:rsidR="00304161">
        <w:rPr>
          <w:rFonts w:ascii="Calibri" w:hAnsi="Calibri" w:cs="Tahoma"/>
          <w:color w:val="0D0D0D" w:themeColor="text1" w:themeTint="F2"/>
          <w:sz w:val="24"/>
        </w:rPr>
        <w:t>5</w:t>
      </w:r>
      <w:r w:rsidRPr="00790AF8">
        <w:rPr>
          <w:rFonts w:ascii="Calibri" w:hAnsi="Calibri" w:cs="Tahoma"/>
          <w:color w:val="0D0D0D" w:themeColor="text1" w:themeTint="F2"/>
          <w:sz w:val="24"/>
        </w:rPr>
        <w:t>.</w:t>
      </w:r>
    </w:p>
    <w:p w14:paraId="5E008C61" w14:textId="77777777" w:rsidR="002C201C" w:rsidRDefault="002C201C">
      <w:pPr>
        <w:spacing w:after="160" w:line="259" w:lineRule="auto"/>
        <w:rPr>
          <w:b/>
          <w:bCs/>
          <w:color w:val="0D0D0D" w:themeColor="text1" w:themeTint="F2"/>
          <w:sz w:val="28"/>
          <w:szCs w:val="28"/>
        </w:rPr>
      </w:pPr>
      <w:r>
        <w:rPr>
          <w:b/>
          <w:bCs/>
          <w:color w:val="0D0D0D" w:themeColor="text1" w:themeTint="F2"/>
          <w:sz w:val="28"/>
          <w:szCs w:val="28"/>
        </w:rPr>
        <w:br w:type="page"/>
      </w:r>
    </w:p>
    <w:p w14:paraId="415BF2C6" w14:textId="7BA758A4" w:rsidR="00F9691F" w:rsidRPr="00721CFD" w:rsidRDefault="00F9691F" w:rsidP="00721CFD">
      <w:pPr>
        <w:jc w:val="center"/>
        <w:rPr>
          <w:b/>
          <w:bCs/>
          <w:color w:val="0D0D0D" w:themeColor="text1" w:themeTint="F2"/>
        </w:rPr>
      </w:pPr>
      <w:r w:rsidRPr="00721CFD">
        <w:rPr>
          <w:b/>
          <w:bCs/>
          <w:color w:val="0D0D0D" w:themeColor="text1" w:themeTint="F2"/>
          <w:sz w:val="28"/>
          <w:szCs w:val="28"/>
        </w:rPr>
        <w:lastRenderedPageBreak/>
        <w:t>Table 3: Condensed Statements of Net Position as of June 30</w:t>
      </w:r>
    </w:p>
    <w:p w14:paraId="7F5BC043" w14:textId="4EE9E7C0" w:rsidR="00F9691F" w:rsidRDefault="00F9691F" w:rsidP="00721CFD">
      <w:pPr>
        <w:jc w:val="center"/>
      </w:pPr>
      <w:r w:rsidRPr="00721CFD">
        <w:rPr>
          <w:b/>
          <w:bCs/>
          <w:color w:val="0D0D0D" w:themeColor="text1" w:themeTint="F2"/>
        </w:rPr>
        <w:t>(In millions)</w:t>
      </w:r>
    </w:p>
    <w:p w14:paraId="66C4790A" w14:textId="7AB23B06" w:rsidR="00987D33" w:rsidRDefault="006223C2" w:rsidP="002101BA">
      <w:pPr>
        <w:rPr>
          <w:b/>
          <w:i/>
          <w:sz w:val="26"/>
          <w:u w:val="single" w:color="000000" w:themeColor="text1"/>
        </w:rPr>
      </w:pPr>
      <w:r w:rsidRPr="006223C2">
        <w:rPr>
          <w:noProof/>
        </w:rPr>
        <w:drawing>
          <wp:inline distT="0" distB="0" distL="0" distR="0" wp14:anchorId="2A1C157E" wp14:editId="317EE47E">
            <wp:extent cx="5943600" cy="4522470"/>
            <wp:effectExtent l="0" t="0" r="0" b="0"/>
            <wp:docPr id="1" name="Picture 1" descr="Condensed Statements of Net Position as of June 30 (in millions)&#10; 2022 % Change &quot;Restated&#10;2021&quot; % Change Restated 2020 Restated 2019 2018&#10;Current Assets       &#10;Operating Investments  $307  7%  $286  8%  $264   $248   $252 &#10;Other  79  -5%  84  28%  65   75   55 &#10;Noncurrent Assets       &#10;Endowment investments  141  -15%  166  23%  135   138   154 &#10;Capital assets, net  798  16%  701  1%  683   685   700 &#10;Other  36  -58%  88  93%  44   48   57 &#10;Total Assets  1,361  4%  1,325  10%  1,191   1,194   1,218 &#10;Deferred Outflows of Resources  32  78%  18  -42%  31   22   12 &#10;Total Assets and Deferred Outflows  $1,393  5%  $1,343  9%  $1,222   $1,216   $1,230 &#10;Current Liabilities       &#10;Lease liabilities - current portion  $2  100%  $1  100%  $-   $-  &#10;Long-term debt - current portion  56  300%  14  0%  14   15   14 &#10;Other  113  36%  83  41%  59   59   54 &#10;Noncurrent Liabilities       &#10;Lease liabilities  33  154%  13  100%   &#10;Long-term debt  96  -37%  153  23%  124   135   148 &#10;Other  87  19%  73  -53%  156   145   180 &#10;Total Liabilities  387  15%  337  -5%  353   354   396 &#10;Deferred Inflows of Resources  37  -40%  62  68%  37   44   20 &#10;Total Liabilities and Deferred Inflows  424  6%  399  2%  390   398   416 &#10;Net investment in capital assets  589  7%  549  0%  547   542   551 &#10;Restricted Nonexpendable  71  3%  69  3%  67   66   59 &#10;Restricted Expendable  147  2%  144  25%  115   116   115 &#10;Unrestricted  162  -11%  182  77%  103   94   89 &#10;Total Net Position   969  3%  944  13%  832   818   814 &#10;Total Liabilities, Deferred Inflows and Net Position  $1,393  4%  $1,343  10%  $1,222   $1,216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densed Statements of Net Position as of June 30 (in millions)&#10; 2022 % Change &quot;Restated&#10;2021&quot; % Change Restated 2020 Restated 2019 2018&#10;Current Assets       &#10;Operating Investments  $307  7%  $286  8%  $264   $248   $252 &#10;Other  79  -5%  84  28%  65   75   55 &#10;Noncurrent Assets       &#10;Endowment investments  141  -15%  166  23%  135   138   154 &#10;Capital assets, net  798  16%  701  1%  683   685   700 &#10;Other  36  -58%  88  93%  44   48   57 &#10;Total Assets  1,361  4%  1,325  10%  1,191   1,194   1,218 &#10;Deferred Outflows of Resources  32  78%  18  -42%  31   22   12 &#10;Total Assets and Deferred Outflows  $1,393  5%  $1,343  9%  $1,222   $1,216   $1,230 &#10;Current Liabilities       &#10;Lease liabilities - current portion  $2  100%  $1  100%  $-   $-  &#10;Long-term debt - current portion  56  300%  14  0%  14   15   14 &#10;Other  113  36%  83  41%  59   59   54 &#10;Noncurrent Liabilities       &#10;Lease liabilities  33  154%  13  100%   &#10;Long-term debt  96  -37%  153  23%  124   135   148 &#10;Other  87  19%  73  -53%  156   145   180 &#10;Total Liabilities  387  15%  337  -5%  353   354   396 &#10;Deferred Inflows of Resources  37  -40%  62  68%  37   44   20 &#10;Total Liabilities and Deferred Inflows  424  6%  399  2%  390   398   416 &#10;Net investment in capital assets  589  7%  549  0%  547   542   551 &#10;Restricted Nonexpendable  71  3%  69  3%  67   66   59 &#10;Restricted Expendable  147  2%  144  25%  115   116   115 &#10;Unrestricted  162  -11%  182  77%  103   94   89 &#10;Total Net Position   969  3%  944  13%  832   818   814 &#10;Total Liabilities, Deferred Inflows and Net Position  $1,393  4%  $1,343  10%  $1,222   $1,216   $1,2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22470"/>
                    </a:xfrm>
                    <a:prstGeom prst="rect">
                      <a:avLst/>
                    </a:prstGeom>
                    <a:noFill/>
                    <a:ln>
                      <a:noFill/>
                    </a:ln>
                  </pic:spPr>
                </pic:pic>
              </a:graphicData>
            </a:graphic>
          </wp:inline>
        </w:drawing>
      </w:r>
    </w:p>
    <w:p w14:paraId="43A79001" w14:textId="77777777" w:rsidR="002C201C" w:rsidRDefault="002C201C">
      <w:pPr>
        <w:spacing w:after="160" w:line="259" w:lineRule="auto"/>
        <w:rPr>
          <w:b/>
          <w:i/>
          <w:sz w:val="26"/>
          <w:u w:val="single" w:color="000000" w:themeColor="text1"/>
        </w:rPr>
      </w:pPr>
      <w:r>
        <w:br w:type="page"/>
      </w:r>
    </w:p>
    <w:p w14:paraId="1A645B36" w14:textId="26F2976A" w:rsidR="00987D33" w:rsidRPr="008D4582" w:rsidRDefault="00987D33" w:rsidP="00987D33">
      <w:pPr>
        <w:pStyle w:val="AFR3"/>
      </w:pPr>
      <w:r w:rsidRPr="00452591">
        <w:lastRenderedPageBreak/>
        <w:t>Managed Investment Pool (MIP)</w:t>
      </w:r>
    </w:p>
    <w:p w14:paraId="170BF3A5" w14:textId="5F882A9F" w:rsidR="00987D33" w:rsidRDefault="00987D33" w:rsidP="00987D33">
      <w:pPr>
        <w:tabs>
          <w:tab w:val="left" w:pos="4860"/>
        </w:tabs>
        <w:rPr>
          <w:rFonts w:ascii="Calibri" w:eastAsia="Times New Roman" w:hAnsi="Calibri" w:cs="Tahoma"/>
          <w:sz w:val="24"/>
        </w:rPr>
      </w:pPr>
      <w:r>
        <w:rPr>
          <w:rFonts w:ascii="Calibri" w:eastAsia="Times New Roman" w:hAnsi="Calibri" w:cs="Tahoma"/>
          <w:sz w:val="24"/>
        </w:rPr>
        <w:t xml:space="preserve">The System pools certain funds for investment purposes including the System’s endowment pool monies, endowment monies belonging to the System’s affiliated organizations, and monies on behalf of the following entities: the UMS OPEB Trust, </w:t>
      </w:r>
      <w:r w:rsidRPr="00721CFD">
        <w:rPr>
          <w:rFonts w:ascii="Calibri" w:eastAsia="Times New Roman" w:hAnsi="Calibri" w:cs="Tahoma"/>
          <w:sz w:val="24"/>
        </w:rPr>
        <w:t>Maine Maritime Academy</w:t>
      </w:r>
      <w:r>
        <w:rPr>
          <w:rFonts w:ascii="Calibri" w:eastAsia="Times New Roman" w:hAnsi="Calibri" w:cs="Tahoma"/>
          <w:sz w:val="24"/>
        </w:rPr>
        <w:t xml:space="preserve"> (MMA)</w:t>
      </w:r>
      <w:r w:rsidR="00040E01">
        <w:rPr>
          <w:rFonts w:ascii="Calibri" w:eastAsia="Times New Roman" w:hAnsi="Calibri" w:cs="Tahoma"/>
          <w:sz w:val="24"/>
        </w:rPr>
        <w:t xml:space="preserve"> [redeemed in spring 2022]</w:t>
      </w:r>
      <w:r>
        <w:rPr>
          <w:rFonts w:ascii="Calibri" w:eastAsia="Times New Roman" w:hAnsi="Calibri" w:cs="Tahoma"/>
          <w:sz w:val="24"/>
        </w:rPr>
        <w:t xml:space="preserve">, </w:t>
      </w:r>
      <w:r w:rsidR="00040E01">
        <w:rPr>
          <w:rFonts w:ascii="Calibri" w:eastAsia="Times New Roman" w:hAnsi="Calibri" w:cs="Tahoma"/>
          <w:sz w:val="24"/>
        </w:rPr>
        <w:t xml:space="preserve">USM Osher Map Library Foundation [new member in </w:t>
      </w:r>
      <w:r w:rsidR="002101BA">
        <w:rPr>
          <w:rFonts w:ascii="Calibri" w:eastAsia="Times New Roman" w:hAnsi="Calibri" w:cs="Tahoma"/>
          <w:sz w:val="24"/>
        </w:rPr>
        <w:t>FY</w:t>
      </w:r>
      <w:r w:rsidR="00040E01">
        <w:rPr>
          <w:rFonts w:ascii="Calibri" w:eastAsia="Times New Roman" w:hAnsi="Calibri" w:cs="Tahoma"/>
          <w:sz w:val="24"/>
        </w:rPr>
        <w:t xml:space="preserve">22], </w:t>
      </w:r>
      <w:r>
        <w:rPr>
          <w:rFonts w:ascii="Calibri" w:eastAsia="Times New Roman" w:hAnsi="Calibri" w:cs="Tahoma"/>
          <w:sz w:val="24"/>
        </w:rPr>
        <w:t>and the University of Maine School of Law Foundation.</w:t>
      </w:r>
    </w:p>
    <w:p w14:paraId="408ED04A" w14:textId="77777777" w:rsidR="00987D33" w:rsidRPr="00DE50BF" w:rsidRDefault="00987D33" w:rsidP="00987D33">
      <w:pPr>
        <w:tabs>
          <w:tab w:val="left" w:pos="4860"/>
        </w:tabs>
        <w:rPr>
          <w:rFonts w:ascii="Calibri" w:eastAsia="Times New Roman" w:hAnsi="Calibri" w:cs="Tahoma"/>
          <w:sz w:val="20"/>
        </w:rPr>
      </w:pPr>
    </w:p>
    <w:p w14:paraId="41D98E6F" w14:textId="404F7964" w:rsidR="00987D33" w:rsidRPr="00DD3935" w:rsidRDefault="00987D33" w:rsidP="00987D33">
      <w:pPr>
        <w:tabs>
          <w:tab w:val="left" w:pos="4860"/>
        </w:tabs>
        <w:spacing w:after="240"/>
        <w:rPr>
          <w:rFonts w:ascii="Calibri" w:eastAsia="Times New Roman" w:hAnsi="Calibri" w:cs="Tahoma"/>
          <w:sz w:val="24"/>
        </w:rPr>
      </w:pPr>
      <w:r>
        <w:rPr>
          <w:rFonts w:ascii="Calibri" w:eastAsia="Times New Roman" w:hAnsi="Calibri" w:cs="Tahoma"/>
          <w:sz w:val="24"/>
        </w:rPr>
        <w:t xml:space="preserve">Chart </w:t>
      </w:r>
      <w:r w:rsidR="00E575CF">
        <w:rPr>
          <w:rFonts w:ascii="Calibri" w:eastAsia="Times New Roman" w:hAnsi="Calibri" w:cs="Tahoma"/>
          <w:sz w:val="24"/>
        </w:rPr>
        <w:t xml:space="preserve">3 </w:t>
      </w:r>
      <w:r>
        <w:rPr>
          <w:rFonts w:ascii="Calibri" w:eastAsia="Times New Roman" w:hAnsi="Calibri" w:cs="Tahoma"/>
          <w:sz w:val="24"/>
        </w:rPr>
        <w:t xml:space="preserve">shows the June 30, </w:t>
      </w:r>
      <w:r w:rsidR="001E3BE6">
        <w:rPr>
          <w:rFonts w:ascii="Calibri" w:eastAsia="Times New Roman" w:hAnsi="Calibri" w:cs="Tahoma"/>
          <w:sz w:val="24"/>
        </w:rPr>
        <w:t>2020</w:t>
      </w:r>
      <w:r>
        <w:rPr>
          <w:rFonts w:ascii="Calibri" w:eastAsia="Times New Roman" w:hAnsi="Calibri" w:cs="Tahoma"/>
          <w:sz w:val="24"/>
        </w:rPr>
        <w:t xml:space="preserve">, </w:t>
      </w:r>
      <w:r w:rsidR="001E3BE6">
        <w:rPr>
          <w:rFonts w:ascii="Calibri" w:eastAsia="Times New Roman" w:hAnsi="Calibri" w:cs="Tahoma"/>
          <w:sz w:val="24"/>
        </w:rPr>
        <w:t xml:space="preserve">2021 </w:t>
      </w:r>
      <w:r>
        <w:rPr>
          <w:rFonts w:ascii="Calibri" w:eastAsia="Times New Roman" w:hAnsi="Calibri" w:cs="Tahoma"/>
          <w:sz w:val="24"/>
        </w:rPr>
        <w:t xml:space="preserve">and </w:t>
      </w:r>
      <w:r w:rsidR="001E3BE6">
        <w:rPr>
          <w:rFonts w:ascii="Calibri" w:eastAsia="Times New Roman" w:hAnsi="Calibri" w:cs="Tahoma"/>
          <w:sz w:val="24"/>
        </w:rPr>
        <w:t xml:space="preserve">2022 </w:t>
      </w:r>
      <w:r>
        <w:rPr>
          <w:rFonts w:ascii="Calibri" w:eastAsia="Times New Roman" w:hAnsi="Calibri" w:cs="Tahoma"/>
          <w:sz w:val="24"/>
        </w:rPr>
        <w:t>fair values of the MIP investments, including the amounts held on behalf of each entity.</w:t>
      </w:r>
    </w:p>
    <w:p w14:paraId="523A1336" w14:textId="0627A3A9" w:rsidR="00987D33" w:rsidRDefault="00DC24A1" w:rsidP="00987D33">
      <w:pPr>
        <w:tabs>
          <w:tab w:val="left" w:pos="4860"/>
        </w:tabs>
        <w:spacing w:before="240"/>
        <w:jc w:val="center"/>
        <w:rPr>
          <w:rFonts w:ascii="Calibri" w:eastAsia="Times New Roman" w:hAnsi="Calibri" w:cs="Tahoma"/>
          <w:sz w:val="24"/>
        </w:rPr>
      </w:pPr>
      <w:r>
        <w:rPr>
          <w:noProof/>
        </w:rPr>
        <w:drawing>
          <wp:inline distT="0" distB="0" distL="0" distR="0" wp14:anchorId="18B77625" wp14:editId="6C108D4A">
            <wp:extent cx="5486400" cy="3200400"/>
            <wp:effectExtent l="0" t="0" r="0" b="0"/>
            <wp:docPr id="41" name="Chart 41">
              <a:extLst xmlns:a="http://schemas.openxmlformats.org/drawingml/2006/main">
                <a:ext uri="{FF2B5EF4-FFF2-40B4-BE49-F238E27FC236}">
                  <a16:creationId xmlns:a16="http://schemas.microsoft.com/office/drawing/2014/main" id="{00000000-0008-0000-0000-000005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FFE51F" w14:textId="7475FA44" w:rsidR="00987D33" w:rsidRDefault="00987D33" w:rsidP="00987D33">
      <w:pPr>
        <w:tabs>
          <w:tab w:val="left" w:pos="4860"/>
        </w:tabs>
        <w:spacing w:before="240"/>
        <w:rPr>
          <w:rFonts w:ascii="Calibri" w:eastAsia="Times New Roman" w:hAnsi="Calibri" w:cs="Tahoma"/>
          <w:sz w:val="24"/>
        </w:rPr>
      </w:pPr>
      <w:r>
        <w:rPr>
          <w:rFonts w:ascii="Calibri" w:eastAsia="Times New Roman" w:hAnsi="Calibri" w:cs="Tahoma"/>
          <w:sz w:val="24"/>
        </w:rPr>
        <w:t xml:space="preserve">‘UMS Endowments’ noted in Chart 4 is the System’s share of the MIP investments and is included as part of the ‘Endowment Investments’ noted in the accompanying Condensed Statements of Net Position. The portion of the MIP representing UMS Affiliates’ Endowments is included in the Statements of Fiduciary Net Position as ‘Investment in UMS endowment pool’. The total of the OPEB Trust, </w:t>
      </w:r>
      <w:r w:rsidRPr="00721CFD">
        <w:rPr>
          <w:rFonts w:ascii="Calibri" w:eastAsia="Times New Roman" w:hAnsi="Calibri" w:cs="Tahoma"/>
          <w:sz w:val="24"/>
        </w:rPr>
        <w:t>MMA</w:t>
      </w:r>
      <w:r>
        <w:rPr>
          <w:rFonts w:ascii="Calibri" w:eastAsia="Times New Roman" w:hAnsi="Calibri" w:cs="Tahoma"/>
          <w:sz w:val="24"/>
        </w:rPr>
        <w:t xml:space="preserve">, </w:t>
      </w:r>
      <w:r w:rsidR="00040E01">
        <w:rPr>
          <w:rFonts w:ascii="Calibri" w:eastAsia="Times New Roman" w:hAnsi="Calibri" w:cs="Tahoma"/>
          <w:sz w:val="24"/>
        </w:rPr>
        <w:t xml:space="preserve">University of Southern Maine Osher Map Library Foundation </w:t>
      </w:r>
      <w:r>
        <w:rPr>
          <w:rFonts w:ascii="Calibri" w:eastAsia="Times New Roman" w:hAnsi="Calibri" w:cs="Tahoma"/>
          <w:sz w:val="24"/>
        </w:rPr>
        <w:t>and the University of Maine School of Law Foundation portions of the MIP are included in the Statements of Fiduciary Net Position as ‘Investment in UMS managed investment pool’.</w:t>
      </w:r>
    </w:p>
    <w:p w14:paraId="2C059C52" w14:textId="77777777" w:rsidR="00987D33" w:rsidRPr="00DE50BF" w:rsidRDefault="00987D33" w:rsidP="00987D33">
      <w:pPr>
        <w:tabs>
          <w:tab w:val="left" w:pos="4860"/>
        </w:tabs>
        <w:rPr>
          <w:rFonts w:ascii="Calibri" w:eastAsia="Times New Roman" w:hAnsi="Calibri" w:cs="Tahoma"/>
          <w:sz w:val="20"/>
        </w:rPr>
      </w:pPr>
    </w:p>
    <w:p w14:paraId="4617D027" w14:textId="5D30D9C2" w:rsidR="00987D33" w:rsidRDefault="00987D33" w:rsidP="00987D33">
      <w:pPr>
        <w:tabs>
          <w:tab w:val="left" w:pos="4860"/>
        </w:tabs>
        <w:spacing w:after="120"/>
        <w:rPr>
          <w:rFonts w:ascii="Calibri" w:eastAsia="Times New Roman" w:hAnsi="Calibri" w:cs="Tahoma"/>
          <w:sz w:val="24"/>
        </w:rPr>
      </w:pPr>
      <w:r>
        <w:rPr>
          <w:rFonts w:ascii="Calibri" w:eastAsia="Times New Roman" w:hAnsi="Calibri" w:cs="Tahoma"/>
          <w:sz w:val="24"/>
        </w:rPr>
        <w:t xml:space="preserve">The MIP investments are diversified among a number of asset classes to minimize risk while optimizing return. Chart </w:t>
      </w:r>
      <w:r w:rsidR="00E575CF">
        <w:rPr>
          <w:rFonts w:ascii="Calibri" w:eastAsia="Times New Roman" w:hAnsi="Calibri" w:cs="Tahoma"/>
          <w:sz w:val="24"/>
        </w:rPr>
        <w:t xml:space="preserve">4 </w:t>
      </w:r>
      <w:r>
        <w:rPr>
          <w:rFonts w:ascii="Calibri" w:eastAsia="Times New Roman" w:hAnsi="Calibri" w:cs="Tahoma"/>
          <w:sz w:val="24"/>
        </w:rPr>
        <w:t>illustrates the percentage of holdings in each asset class and how they have changed over the past 5 years.</w:t>
      </w:r>
    </w:p>
    <w:p w14:paraId="1A9946A8" w14:textId="245B7C55" w:rsidR="00987D33" w:rsidRDefault="00957345" w:rsidP="00987D33">
      <w:pPr>
        <w:tabs>
          <w:tab w:val="left" w:pos="4860"/>
        </w:tabs>
        <w:spacing w:after="120"/>
        <w:rPr>
          <w:rFonts w:ascii="Calibri" w:eastAsia="Times New Roman" w:hAnsi="Calibri" w:cs="Tahoma"/>
          <w:sz w:val="24"/>
          <w:szCs w:val="24"/>
        </w:rPr>
      </w:pPr>
      <w:r>
        <w:rPr>
          <w:noProof/>
        </w:rPr>
        <w:lastRenderedPageBreak/>
        <w:drawing>
          <wp:inline distT="0" distB="0" distL="0" distR="0" wp14:anchorId="02E423E2" wp14:editId="52092FB7">
            <wp:extent cx="5943600" cy="3453765"/>
            <wp:effectExtent l="0" t="0" r="0" b="0"/>
            <wp:docPr id="12" name="Chart 12">
              <a:extLst xmlns:a="http://schemas.openxmlformats.org/drawingml/2006/main">
                <a:ext uri="{FF2B5EF4-FFF2-40B4-BE49-F238E27FC236}">
                  <a16:creationId xmlns:a16="http://schemas.microsoft.com/office/drawing/2014/main" id="{00000000-0008-0000-0100-000009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87D33">
        <w:rPr>
          <w:rFonts w:ascii="Calibri" w:eastAsia="Times New Roman" w:hAnsi="Calibri" w:cs="Tahoma"/>
          <w:sz w:val="24"/>
          <w:szCs w:val="24"/>
        </w:rPr>
        <w:t>As</w:t>
      </w:r>
      <w:r w:rsidR="00987D33">
        <w:rPr>
          <w:rFonts w:ascii="Calibri" w:eastAsia="Times New Roman" w:hAnsi="Calibri" w:cs="Tahoma"/>
          <w:sz w:val="24"/>
        </w:rPr>
        <w:t xml:space="preserve"> shown in Chart </w:t>
      </w:r>
      <w:r w:rsidR="00E575CF">
        <w:rPr>
          <w:rFonts w:ascii="Calibri" w:eastAsia="Times New Roman" w:hAnsi="Calibri" w:cs="Tahoma"/>
          <w:sz w:val="24"/>
        </w:rPr>
        <w:t>5</w:t>
      </w:r>
      <w:r w:rsidR="00987D33">
        <w:rPr>
          <w:rFonts w:ascii="Calibri" w:eastAsia="Times New Roman" w:hAnsi="Calibri" w:cs="Tahoma"/>
          <w:sz w:val="24"/>
        </w:rPr>
        <w:t xml:space="preserve">, </w:t>
      </w:r>
      <w:r w:rsidR="00987D33">
        <w:rPr>
          <w:rFonts w:ascii="Calibri" w:eastAsia="Times New Roman" w:hAnsi="Calibri" w:cs="Tahoma"/>
          <w:sz w:val="24"/>
          <w:szCs w:val="24"/>
        </w:rPr>
        <w:t xml:space="preserve">in </w:t>
      </w:r>
      <w:r w:rsidR="001E3BE6">
        <w:rPr>
          <w:rFonts w:ascii="Calibri" w:eastAsia="Times New Roman" w:hAnsi="Calibri" w:cs="Tahoma"/>
          <w:sz w:val="24"/>
          <w:szCs w:val="24"/>
        </w:rPr>
        <w:t xml:space="preserve">FY22 </w:t>
      </w:r>
      <w:r w:rsidR="00987D33">
        <w:rPr>
          <w:rFonts w:ascii="Calibri" w:eastAsia="Times New Roman" w:hAnsi="Calibri" w:cs="Tahoma"/>
          <w:sz w:val="24"/>
          <w:szCs w:val="24"/>
        </w:rPr>
        <w:t xml:space="preserve">the MIP realized a net of fees </w:t>
      </w:r>
      <w:r w:rsidR="006628EC">
        <w:rPr>
          <w:rFonts w:ascii="Calibri" w:eastAsia="Times New Roman" w:hAnsi="Calibri" w:cs="Tahoma"/>
          <w:sz w:val="24"/>
          <w:szCs w:val="24"/>
        </w:rPr>
        <w:t>loss</w:t>
      </w:r>
      <w:r w:rsidR="006628EC" w:rsidRPr="00172B24">
        <w:rPr>
          <w:rFonts w:ascii="Calibri" w:eastAsia="Times New Roman" w:hAnsi="Calibri" w:cs="Tahoma"/>
          <w:sz w:val="24"/>
          <w:szCs w:val="24"/>
        </w:rPr>
        <w:t xml:space="preserve"> </w:t>
      </w:r>
      <w:r w:rsidR="00987D33" w:rsidRPr="00172B24">
        <w:rPr>
          <w:rFonts w:ascii="Calibri" w:eastAsia="Times New Roman" w:hAnsi="Calibri" w:cs="Tahoma"/>
          <w:sz w:val="24"/>
          <w:szCs w:val="24"/>
        </w:rPr>
        <w:t xml:space="preserve">of </w:t>
      </w:r>
      <w:r w:rsidR="005119C2" w:rsidRPr="003A4A61">
        <w:rPr>
          <w:rFonts w:ascii="Calibri" w:eastAsia="Times New Roman" w:hAnsi="Calibri" w:cs="Tahoma"/>
          <w:sz w:val="24"/>
          <w:szCs w:val="24"/>
        </w:rPr>
        <w:t>(12.5)</w:t>
      </w:r>
      <w:r w:rsidR="00987D33" w:rsidRPr="003A4A61">
        <w:rPr>
          <w:rFonts w:ascii="Calibri" w:eastAsia="Times New Roman" w:hAnsi="Calibri" w:cs="Tahoma"/>
          <w:sz w:val="24"/>
          <w:szCs w:val="24"/>
        </w:rPr>
        <w:t xml:space="preserve">%, </w:t>
      </w:r>
      <w:r w:rsidR="005119C2">
        <w:rPr>
          <w:rFonts w:ascii="Calibri" w:eastAsia="Times New Roman" w:hAnsi="Calibri" w:cs="Tahoma"/>
          <w:sz w:val="24"/>
          <w:szCs w:val="24"/>
        </w:rPr>
        <w:t>down</w:t>
      </w:r>
      <w:r w:rsidR="005119C2" w:rsidRPr="00172B24">
        <w:rPr>
          <w:rFonts w:ascii="Calibri" w:eastAsia="Times New Roman" w:hAnsi="Calibri" w:cs="Tahoma"/>
          <w:sz w:val="24"/>
          <w:szCs w:val="24"/>
        </w:rPr>
        <w:t xml:space="preserve"> </w:t>
      </w:r>
      <w:r w:rsidR="00987D33">
        <w:rPr>
          <w:rFonts w:ascii="Calibri" w:eastAsia="Times New Roman" w:hAnsi="Calibri" w:cs="Tahoma"/>
          <w:sz w:val="24"/>
          <w:szCs w:val="24"/>
        </w:rPr>
        <w:t>from</w:t>
      </w:r>
      <w:r w:rsidR="006628EC">
        <w:rPr>
          <w:rFonts w:ascii="Calibri" w:eastAsia="Times New Roman" w:hAnsi="Calibri" w:cs="Tahoma"/>
          <w:sz w:val="24"/>
          <w:szCs w:val="24"/>
        </w:rPr>
        <w:t xml:space="preserve"> a return of</w:t>
      </w:r>
      <w:r w:rsidR="00987D33">
        <w:rPr>
          <w:rFonts w:ascii="Calibri" w:eastAsia="Times New Roman" w:hAnsi="Calibri" w:cs="Tahoma"/>
          <w:sz w:val="24"/>
          <w:szCs w:val="24"/>
        </w:rPr>
        <w:t xml:space="preserve"> </w:t>
      </w:r>
      <w:r w:rsidR="001E3BE6">
        <w:rPr>
          <w:rFonts w:ascii="Calibri" w:eastAsia="Times New Roman" w:hAnsi="Calibri" w:cs="Tahoma"/>
          <w:sz w:val="24"/>
          <w:szCs w:val="24"/>
        </w:rPr>
        <w:t>27</w:t>
      </w:r>
      <w:r w:rsidR="00987D33" w:rsidRPr="00B946D7">
        <w:rPr>
          <w:rFonts w:ascii="Calibri" w:eastAsia="Times New Roman" w:hAnsi="Calibri" w:cs="Tahoma"/>
          <w:sz w:val="24"/>
          <w:szCs w:val="24"/>
        </w:rPr>
        <w:t>.1</w:t>
      </w:r>
      <w:r w:rsidR="00987D33" w:rsidRPr="00C77182">
        <w:rPr>
          <w:rFonts w:ascii="Calibri" w:eastAsia="Times New Roman" w:hAnsi="Calibri" w:cs="Tahoma"/>
          <w:sz w:val="24"/>
          <w:szCs w:val="24"/>
        </w:rPr>
        <w:t>%</w:t>
      </w:r>
      <w:r w:rsidR="00987D33">
        <w:rPr>
          <w:rFonts w:ascii="Calibri" w:eastAsia="Times New Roman" w:hAnsi="Calibri" w:cs="Tahoma"/>
          <w:sz w:val="24"/>
          <w:szCs w:val="24"/>
        </w:rPr>
        <w:t xml:space="preserve"> in </w:t>
      </w:r>
      <w:r w:rsidR="001E3BE6">
        <w:rPr>
          <w:rFonts w:ascii="Calibri" w:eastAsia="Times New Roman" w:hAnsi="Calibri" w:cs="Tahoma"/>
          <w:sz w:val="24"/>
          <w:szCs w:val="24"/>
        </w:rPr>
        <w:t>FY21</w:t>
      </w:r>
      <w:r w:rsidR="00987D33">
        <w:rPr>
          <w:rFonts w:ascii="Calibri" w:eastAsia="Times New Roman" w:hAnsi="Calibri" w:cs="Tahoma"/>
          <w:sz w:val="24"/>
          <w:szCs w:val="24"/>
        </w:rPr>
        <w:t xml:space="preserve">. The pooled investments have a 5-year annualized net of fees return of </w:t>
      </w:r>
      <w:r w:rsidR="006628EC">
        <w:rPr>
          <w:rFonts w:ascii="Calibri" w:eastAsia="Times New Roman" w:hAnsi="Calibri" w:cs="Tahoma"/>
          <w:sz w:val="24"/>
          <w:szCs w:val="24"/>
        </w:rPr>
        <w:t>4.3</w:t>
      </w:r>
      <w:r w:rsidR="00987D33" w:rsidRPr="00116231">
        <w:rPr>
          <w:rFonts w:ascii="Calibri" w:eastAsia="Times New Roman" w:hAnsi="Calibri" w:cs="Tahoma"/>
          <w:sz w:val="24"/>
          <w:szCs w:val="24"/>
        </w:rPr>
        <w:t>%</w:t>
      </w:r>
      <w:r w:rsidR="00987D33" w:rsidRPr="00172B24">
        <w:rPr>
          <w:rFonts w:ascii="Calibri" w:eastAsia="Times New Roman" w:hAnsi="Calibri" w:cs="Tahoma"/>
          <w:sz w:val="24"/>
          <w:szCs w:val="24"/>
        </w:rPr>
        <w:t>.</w:t>
      </w:r>
    </w:p>
    <w:p w14:paraId="05385062" w14:textId="1434C8F8" w:rsidR="00987D33" w:rsidRDefault="00957345" w:rsidP="00987D33">
      <w:pPr>
        <w:tabs>
          <w:tab w:val="left" w:pos="9000"/>
        </w:tabs>
        <w:spacing w:before="160" w:after="160"/>
        <w:ind w:left="360" w:hanging="360"/>
        <w:jc w:val="center"/>
        <w:rPr>
          <w:b/>
          <w:i/>
          <w:sz w:val="26"/>
          <w:u w:val="single" w:color="000000" w:themeColor="text1"/>
        </w:rPr>
      </w:pPr>
      <w:r>
        <w:rPr>
          <w:noProof/>
        </w:rPr>
        <w:drawing>
          <wp:inline distT="0" distB="0" distL="0" distR="0" wp14:anchorId="02C4B8E4" wp14:editId="4578659C">
            <wp:extent cx="4572000" cy="2827020"/>
            <wp:effectExtent l="0" t="0" r="0" b="0"/>
            <wp:docPr id="14" name="Chart 14">
              <a:extLst xmlns:a="http://schemas.openxmlformats.org/drawingml/2006/main">
                <a:ext uri="{FF2B5EF4-FFF2-40B4-BE49-F238E27FC236}">
                  <a16:creationId xmlns:a16="http://schemas.microsoft.com/office/drawing/2014/main" id="{00000000-0008-0000-02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87D33">
        <w:br w:type="page"/>
      </w:r>
    </w:p>
    <w:p w14:paraId="5C707FAA" w14:textId="77777777" w:rsidR="00987D33" w:rsidRDefault="00987D33" w:rsidP="00987D33">
      <w:pPr>
        <w:pStyle w:val="AFR3"/>
      </w:pPr>
      <w:r>
        <w:lastRenderedPageBreak/>
        <w:t>Endowments (Including Affiliates)</w:t>
      </w:r>
    </w:p>
    <w:p w14:paraId="62DE8235" w14:textId="77777777" w:rsidR="00987D33" w:rsidRDefault="00987D33" w:rsidP="00987D33">
      <w:pPr>
        <w:tabs>
          <w:tab w:val="left" w:pos="4860"/>
        </w:tabs>
        <w:rPr>
          <w:rFonts w:eastAsia="Times New Roman" w:cstheme="minorHAnsi"/>
          <w:sz w:val="24"/>
        </w:rPr>
      </w:pPr>
      <w:r>
        <w:rPr>
          <w:rFonts w:eastAsia="Times New Roman" w:cstheme="minorHAnsi"/>
          <w:sz w:val="24"/>
        </w:rPr>
        <w:t>Endowments are generally created from donor gifts or bequests with the funds invested to create present and future income with the original amount of the gift (corpus) retained in perpetuity and are considered restricted non-expendable. If the donor established criteria to determine how the expendable amounts are to be used, such amounts are considered restricted expendable. If the use of expendable amounts is left to the discretion of the System, the endowment income and appreciation are considered unrestricted.</w:t>
      </w:r>
    </w:p>
    <w:p w14:paraId="0D362936" w14:textId="77777777" w:rsidR="00987D33" w:rsidRPr="00DE50BF" w:rsidRDefault="00987D33" w:rsidP="00987D33">
      <w:pPr>
        <w:tabs>
          <w:tab w:val="left" w:pos="4860"/>
        </w:tabs>
        <w:rPr>
          <w:rFonts w:eastAsia="Times New Roman" w:cstheme="minorHAnsi"/>
          <w:sz w:val="20"/>
        </w:rPr>
      </w:pPr>
    </w:p>
    <w:p w14:paraId="71D7BD0E" w14:textId="4AD3E28C" w:rsidR="00987D33" w:rsidRDefault="00987D33" w:rsidP="00987D33">
      <w:pPr>
        <w:rPr>
          <w:rFonts w:eastAsia="Times New Roman" w:cstheme="minorHAnsi"/>
          <w:sz w:val="24"/>
          <w:szCs w:val="24"/>
        </w:rPr>
      </w:pPr>
      <w:r>
        <w:rPr>
          <w:rFonts w:eastAsia="Times New Roman" w:cstheme="minorHAnsi"/>
          <w:sz w:val="24"/>
          <w:szCs w:val="24"/>
        </w:rPr>
        <w:t xml:space="preserve">As mentioned in the previous MIP section, the System uses a pooled investment approach for its endowments (unless otherwise specified by the donor) and the endowments of three affiliates. Affiliates investing in the endowment pool include: the University of Maine at Fort Kent Foundation, the University of Southern Maine Foundation, and the John L. Martin Scholarship Fund, Inc. </w:t>
      </w:r>
      <w:r w:rsidR="00A93093">
        <w:rPr>
          <w:rFonts w:eastAsia="Times New Roman" w:cstheme="minorHAnsi"/>
          <w:sz w:val="24"/>
          <w:szCs w:val="24"/>
        </w:rPr>
        <w:t xml:space="preserve"> </w:t>
      </w:r>
    </w:p>
    <w:p w14:paraId="7C7CA404" w14:textId="77777777" w:rsidR="00987D33" w:rsidRPr="00DE50BF" w:rsidRDefault="00987D33" w:rsidP="00987D33">
      <w:pPr>
        <w:ind w:left="360"/>
        <w:rPr>
          <w:rFonts w:eastAsia="Times New Roman" w:cstheme="minorHAnsi"/>
          <w:sz w:val="20"/>
          <w:szCs w:val="24"/>
        </w:rPr>
      </w:pPr>
    </w:p>
    <w:p w14:paraId="54AD16E0" w14:textId="608A4E5E" w:rsidR="00987D33" w:rsidRPr="00A67908" w:rsidRDefault="00987D33" w:rsidP="00987D33">
      <w:pPr>
        <w:rPr>
          <w:rFonts w:eastAsia="Times New Roman" w:cstheme="minorHAnsi"/>
          <w:sz w:val="24"/>
          <w:szCs w:val="24"/>
        </w:rPr>
      </w:pPr>
      <w:r w:rsidRPr="00A67908">
        <w:rPr>
          <w:rFonts w:eastAsia="Times New Roman" w:cstheme="minorHAnsi"/>
          <w:sz w:val="24"/>
          <w:szCs w:val="24"/>
        </w:rPr>
        <w:t xml:space="preserve">As shown in Chart </w:t>
      </w:r>
      <w:r w:rsidR="00E575CF">
        <w:rPr>
          <w:rFonts w:eastAsia="Times New Roman" w:cstheme="minorHAnsi"/>
          <w:sz w:val="24"/>
          <w:szCs w:val="24"/>
        </w:rPr>
        <w:t>6</w:t>
      </w:r>
      <w:r w:rsidRPr="00A67908">
        <w:rPr>
          <w:rFonts w:eastAsia="Times New Roman" w:cstheme="minorHAnsi"/>
          <w:sz w:val="24"/>
          <w:szCs w:val="24"/>
        </w:rPr>
        <w:t>, the UMS and its affiliates share of these pooled endowment investments had a fair value of $</w:t>
      </w:r>
      <w:r w:rsidR="00AD1246" w:rsidRPr="00721CFD">
        <w:rPr>
          <w:rFonts w:eastAsia="Times New Roman" w:cstheme="minorHAnsi"/>
          <w:sz w:val="24"/>
          <w:szCs w:val="24"/>
        </w:rPr>
        <w:t>1</w:t>
      </w:r>
      <w:r w:rsidR="00AD1246" w:rsidRPr="00AD1246">
        <w:rPr>
          <w:rFonts w:eastAsia="Times New Roman" w:cstheme="minorHAnsi"/>
          <w:sz w:val="24"/>
          <w:szCs w:val="24"/>
        </w:rPr>
        <w:t xml:space="preserve">68 </w:t>
      </w:r>
      <w:r w:rsidRPr="00AD1246">
        <w:rPr>
          <w:rFonts w:eastAsia="Times New Roman" w:cstheme="minorHAnsi"/>
          <w:sz w:val="24"/>
          <w:szCs w:val="24"/>
        </w:rPr>
        <w:t xml:space="preserve">million at June 30, </w:t>
      </w:r>
      <w:r w:rsidR="001E3BE6" w:rsidRPr="00AD1246">
        <w:rPr>
          <w:rFonts w:eastAsia="Times New Roman" w:cstheme="minorHAnsi"/>
          <w:sz w:val="24"/>
          <w:szCs w:val="24"/>
        </w:rPr>
        <w:t>2022</w:t>
      </w:r>
      <w:r w:rsidRPr="00AD1246">
        <w:rPr>
          <w:rFonts w:eastAsia="Times New Roman" w:cstheme="minorHAnsi"/>
          <w:sz w:val="24"/>
          <w:szCs w:val="24"/>
        </w:rPr>
        <w:t xml:space="preserve">, a </w:t>
      </w:r>
      <w:r w:rsidR="00AD1246" w:rsidRPr="00AD1246">
        <w:rPr>
          <w:rFonts w:eastAsia="Times New Roman" w:cstheme="minorHAnsi"/>
          <w:sz w:val="24"/>
          <w:szCs w:val="24"/>
        </w:rPr>
        <w:t>de</w:t>
      </w:r>
      <w:r w:rsidRPr="00AD1246">
        <w:rPr>
          <w:rFonts w:eastAsia="Times New Roman" w:cstheme="minorHAnsi"/>
          <w:sz w:val="24"/>
          <w:szCs w:val="24"/>
        </w:rPr>
        <w:t>crease of $</w:t>
      </w:r>
      <w:r w:rsidR="00AD1246" w:rsidRPr="00AD1246">
        <w:rPr>
          <w:rFonts w:eastAsia="Times New Roman" w:cstheme="minorHAnsi"/>
          <w:sz w:val="24"/>
          <w:szCs w:val="24"/>
        </w:rPr>
        <w:t>28</w:t>
      </w:r>
      <w:r w:rsidR="00AD1246" w:rsidRPr="00A67908">
        <w:rPr>
          <w:rFonts w:eastAsia="Times New Roman" w:cstheme="minorHAnsi"/>
          <w:sz w:val="24"/>
          <w:szCs w:val="24"/>
        </w:rPr>
        <w:t xml:space="preserve"> </w:t>
      </w:r>
      <w:r w:rsidRPr="00A67908">
        <w:rPr>
          <w:rFonts w:eastAsia="Times New Roman" w:cstheme="minorHAnsi"/>
          <w:sz w:val="24"/>
          <w:szCs w:val="24"/>
        </w:rPr>
        <w:t xml:space="preserve">million from the prior year. This included a </w:t>
      </w:r>
      <w:r w:rsidR="00D255F4">
        <w:rPr>
          <w:rFonts w:eastAsia="Times New Roman" w:cstheme="minorHAnsi"/>
          <w:sz w:val="24"/>
          <w:szCs w:val="24"/>
        </w:rPr>
        <w:t>de</w:t>
      </w:r>
      <w:r w:rsidRPr="00A67908">
        <w:rPr>
          <w:rFonts w:eastAsia="Times New Roman" w:cstheme="minorHAnsi"/>
          <w:sz w:val="24"/>
          <w:szCs w:val="24"/>
        </w:rPr>
        <w:t xml:space="preserve">crease </w:t>
      </w:r>
      <w:r>
        <w:rPr>
          <w:rFonts w:eastAsia="Times New Roman" w:cstheme="minorHAnsi"/>
          <w:sz w:val="24"/>
          <w:szCs w:val="24"/>
        </w:rPr>
        <w:t xml:space="preserve">of </w:t>
      </w:r>
      <w:r w:rsidRPr="00A67908">
        <w:rPr>
          <w:rFonts w:eastAsia="Times New Roman" w:cstheme="minorHAnsi"/>
          <w:sz w:val="24"/>
          <w:szCs w:val="24"/>
        </w:rPr>
        <w:t>$</w:t>
      </w:r>
      <w:r w:rsidR="00D255F4" w:rsidRPr="00EE6F2E">
        <w:rPr>
          <w:rFonts w:eastAsia="Times New Roman" w:cstheme="minorHAnsi"/>
          <w:sz w:val="24"/>
          <w:szCs w:val="24"/>
        </w:rPr>
        <w:t xml:space="preserve">26 </w:t>
      </w:r>
      <w:r w:rsidRPr="00EE6F2E">
        <w:rPr>
          <w:rFonts w:eastAsia="Times New Roman" w:cstheme="minorHAnsi"/>
          <w:sz w:val="24"/>
          <w:szCs w:val="24"/>
        </w:rPr>
        <w:t xml:space="preserve">million in </w:t>
      </w:r>
      <w:r w:rsidR="00D255F4" w:rsidRPr="00EE6F2E">
        <w:rPr>
          <w:rFonts w:eastAsia="Times New Roman" w:cstheme="minorHAnsi"/>
          <w:sz w:val="24"/>
          <w:szCs w:val="24"/>
        </w:rPr>
        <w:t xml:space="preserve">negative </w:t>
      </w:r>
      <w:r w:rsidRPr="00EE6F2E">
        <w:rPr>
          <w:rFonts w:eastAsia="Times New Roman" w:cstheme="minorHAnsi"/>
          <w:sz w:val="24"/>
          <w:szCs w:val="24"/>
        </w:rPr>
        <w:t>net performance less $</w:t>
      </w:r>
      <w:r w:rsidR="00EE6F2E" w:rsidRPr="00721CFD">
        <w:rPr>
          <w:rFonts w:eastAsia="Times New Roman" w:cstheme="minorHAnsi"/>
          <w:sz w:val="24"/>
          <w:szCs w:val="24"/>
        </w:rPr>
        <w:t>7</w:t>
      </w:r>
      <w:r w:rsidRPr="00A67908">
        <w:rPr>
          <w:rFonts w:eastAsia="Times New Roman" w:cstheme="minorHAnsi"/>
          <w:sz w:val="24"/>
          <w:szCs w:val="24"/>
        </w:rPr>
        <w:t xml:space="preserve"> million distributed for scholarships and other operating activities</w:t>
      </w:r>
      <w:r w:rsidR="00BA329E">
        <w:rPr>
          <w:rFonts w:eastAsia="Times New Roman" w:cstheme="minorHAnsi"/>
          <w:sz w:val="24"/>
          <w:szCs w:val="24"/>
        </w:rPr>
        <w:t xml:space="preserve"> offset by contributions of $</w:t>
      </w:r>
      <w:r w:rsidR="003A3329">
        <w:rPr>
          <w:rFonts w:eastAsia="Times New Roman" w:cstheme="minorHAnsi"/>
          <w:sz w:val="24"/>
          <w:szCs w:val="24"/>
        </w:rPr>
        <w:t xml:space="preserve">5 </w:t>
      </w:r>
      <w:r w:rsidR="00BA329E">
        <w:rPr>
          <w:rFonts w:eastAsia="Times New Roman" w:cstheme="minorHAnsi"/>
          <w:sz w:val="24"/>
          <w:szCs w:val="24"/>
        </w:rPr>
        <w:t>million</w:t>
      </w:r>
      <w:r w:rsidRPr="00A67908">
        <w:rPr>
          <w:rFonts w:eastAsia="Times New Roman" w:cstheme="minorHAnsi"/>
          <w:sz w:val="24"/>
          <w:szCs w:val="24"/>
        </w:rPr>
        <w:t>.</w:t>
      </w:r>
    </w:p>
    <w:p w14:paraId="0F537F19" w14:textId="77777777" w:rsidR="00987D33" w:rsidRPr="00A67908" w:rsidRDefault="00987D33" w:rsidP="00987D33">
      <w:pPr>
        <w:ind w:left="360"/>
        <w:rPr>
          <w:rFonts w:eastAsia="Times New Roman" w:cstheme="minorHAnsi"/>
          <w:sz w:val="20"/>
          <w:szCs w:val="24"/>
        </w:rPr>
      </w:pPr>
    </w:p>
    <w:p w14:paraId="113F8EE4" w14:textId="7D1105B4" w:rsidR="00987D33" w:rsidRDefault="00987D33" w:rsidP="00987D33">
      <w:pPr>
        <w:spacing w:after="240"/>
        <w:rPr>
          <w:rFonts w:eastAsia="Times New Roman" w:cstheme="minorHAnsi"/>
          <w:sz w:val="24"/>
          <w:szCs w:val="24"/>
        </w:rPr>
      </w:pPr>
      <w:r w:rsidRPr="00A67908">
        <w:rPr>
          <w:rFonts w:eastAsia="Times New Roman" w:cstheme="minorHAnsi"/>
          <w:sz w:val="24"/>
          <w:szCs w:val="24"/>
        </w:rPr>
        <w:t xml:space="preserve">The pool’s June 30, </w:t>
      </w:r>
      <w:r w:rsidR="001E3BE6" w:rsidRPr="00A67908">
        <w:rPr>
          <w:rFonts w:eastAsia="Times New Roman" w:cstheme="minorHAnsi"/>
          <w:sz w:val="24"/>
          <w:szCs w:val="24"/>
        </w:rPr>
        <w:t>202</w:t>
      </w:r>
      <w:r w:rsidR="001E3BE6">
        <w:rPr>
          <w:rFonts w:eastAsia="Times New Roman" w:cstheme="minorHAnsi"/>
          <w:sz w:val="24"/>
          <w:szCs w:val="24"/>
        </w:rPr>
        <w:t>1</w:t>
      </w:r>
      <w:r w:rsidR="001E3BE6" w:rsidRPr="00A67908">
        <w:rPr>
          <w:rFonts w:eastAsia="Times New Roman" w:cstheme="minorHAnsi"/>
          <w:sz w:val="24"/>
          <w:szCs w:val="24"/>
        </w:rPr>
        <w:t xml:space="preserve"> </w:t>
      </w:r>
      <w:r w:rsidRPr="00A67908">
        <w:rPr>
          <w:rFonts w:eastAsia="Times New Roman" w:cstheme="minorHAnsi"/>
          <w:sz w:val="24"/>
          <w:szCs w:val="24"/>
        </w:rPr>
        <w:t>fair value of $</w:t>
      </w:r>
      <w:r w:rsidR="001E3BE6" w:rsidRPr="00A67908">
        <w:rPr>
          <w:rFonts w:eastAsia="Times New Roman" w:cstheme="minorHAnsi"/>
          <w:sz w:val="24"/>
          <w:szCs w:val="24"/>
        </w:rPr>
        <w:t>1</w:t>
      </w:r>
      <w:r w:rsidR="001E3BE6">
        <w:rPr>
          <w:rFonts w:eastAsia="Times New Roman" w:cstheme="minorHAnsi"/>
          <w:sz w:val="24"/>
          <w:szCs w:val="24"/>
        </w:rPr>
        <w:t>96</w:t>
      </w:r>
      <w:r w:rsidR="001E3BE6" w:rsidRPr="00A67908">
        <w:rPr>
          <w:rFonts w:eastAsia="Times New Roman" w:cstheme="minorHAnsi"/>
          <w:sz w:val="24"/>
          <w:szCs w:val="24"/>
        </w:rPr>
        <w:t xml:space="preserve"> </w:t>
      </w:r>
      <w:r w:rsidRPr="00A67908">
        <w:rPr>
          <w:rFonts w:eastAsia="Times New Roman" w:cstheme="minorHAnsi"/>
          <w:sz w:val="24"/>
          <w:szCs w:val="24"/>
        </w:rPr>
        <w:t>million had increased $</w:t>
      </w:r>
      <w:r w:rsidR="008D30D8">
        <w:rPr>
          <w:rFonts w:eastAsia="Times New Roman" w:cstheme="minorHAnsi"/>
          <w:sz w:val="24"/>
          <w:szCs w:val="24"/>
        </w:rPr>
        <w:t>35</w:t>
      </w:r>
      <w:r w:rsidR="008D30D8" w:rsidRPr="00A67908">
        <w:rPr>
          <w:rFonts w:eastAsia="Times New Roman" w:cstheme="minorHAnsi"/>
          <w:sz w:val="24"/>
          <w:szCs w:val="24"/>
        </w:rPr>
        <w:t xml:space="preserve"> </w:t>
      </w:r>
      <w:r w:rsidRPr="00A67908">
        <w:rPr>
          <w:rFonts w:eastAsia="Times New Roman" w:cstheme="minorHAnsi"/>
          <w:sz w:val="24"/>
          <w:szCs w:val="24"/>
        </w:rPr>
        <w:t xml:space="preserve">million from the </w:t>
      </w:r>
      <w:r w:rsidR="001E3BE6" w:rsidRPr="00A67908">
        <w:rPr>
          <w:rFonts w:eastAsia="Times New Roman" w:cstheme="minorHAnsi"/>
          <w:sz w:val="24"/>
          <w:szCs w:val="24"/>
        </w:rPr>
        <w:t>20</w:t>
      </w:r>
      <w:r w:rsidR="001E3BE6">
        <w:rPr>
          <w:rFonts w:eastAsia="Times New Roman" w:cstheme="minorHAnsi"/>
          <w:sz w:val="24"/>
          <w:szCs w:val="24"/>
        </w:rPr>
        <w:t>20</w:t>
      </w:r>
      <w:r w:rsidR="001E3BE6" w:rsidRPr="00A67908">
        <w:rPr>
          <w:rFonts w:eastAsia="Times New Roman" w:cstheme="minorHAnsi"/>
          <w:sz w:val="24"/>
          <w:szCs w:val="24"/>
        </w:rPr>
        <w:t xml:space="preserve"> </w:t>
      </w:r>
      <w:r w:rsidRPr="00A67908">
        <w:rPr>
          <w:rFonts w:eastAsia="Times New Roman" w:cstheme="minorHAnsi"/>
          <w:sz w:val="24"/>
          <w:szCs w:val="24"/>
        </w:rPr>
        <w:t>year-end fair value of $</w:t>
      </w:r>
      <w:r w:rsidR="001E3BE6" w:rsidRPr="00A67908">
        <w:rPr>
          <w:rFonts w:eastAsia="Times New Roman" w:cstheme="minorHAnsi"/>
          <w:sz w:val="24"/>
          <w:szCs w:val="24"/>
        </w:rPr>
        <w:t>16</w:t>
      </w:r>
      <w:r w:rsidR="001E3BE6">
        <w:rPr>
          <w:rFonts w:eastAsia="Times New Roman" w:cstheme="minorHAnsi"/>
          <w:sz w:val="24"/>
          <w:szCs w:val="24"/>
        </w:rPr>
        <w:t>1</w:t>
      </w:r>
      <w:r w:rsidR="001E3BE6" w:rsidRPr="00A67908">
        <w:rPr>
          <w:rFonts w:eastAsia="Times New Roman" w:cstheme="minorHAnsi"/>
          <w:sz w:val="24"/>
          <w:szCs w:val="24"/>
        </w:rPr>
        <w:t xml:space="preserve"> </w:t>
      </w:r>
      <w:r w:rsidRPr="00A67908">
        <w:rPr>
          <w:rFonts w:eastAsia="Times New Roman" w:cstheme="minorHAnsi"/>
          <w:sz w:val="24"/>
          <w:szCs w:val="24"/>
        </w:rPr>
        <w:t>million. This increase included $</w:t>
      </w:r>
      <w:r w:rsidR="001E3BE6">
        <w:rPr>
          <w:rFonts w:eastAsia="Times New Roman" w:cstheme="minorHAnsi"/>
          <w:sz w:val="24"/>
          <w:szCs w:val="24"/>
        </w:rPr>
        <w:t>4</w:t>
      </w:r>
      <w:r w:rsidRPr="00A67908">
        <w:rPr>
          <w:rFonts w:eastAsia="Times New Roman" w:cstheme="minorHAnsi"/>
          <w:sz w:val="24"/>
          <w:szCs w:val="24"/>
        </w:rPr>
        <w:t>2 million in positive net performance less $</w:t>
      </w:r>
      <w:r w:rsidR="001E3BE6">
        <w:rPr>
          <w:rFonts w:eastAsia="Times New Roman" w:cstheme="minorHAnsi"/>
          <w:sz w:val="24"/>
          <w:szCs w:val="24"/>
        </w:rPr>
        <w:t>7</w:t>
      </w:r>
      <w:r w:rsidR="001E3BE6" w:rsidRPr="00A67908">
        <w:rPr>
          <w:rFonts w:eastAsia="Times New Roman" w:cstheme="minorHAnsi"/>
          <w:sz w:val="24"/>
          <w:szCs w:val="24"/>
        </w:rPr>
        <w:t xml:space="preserve"> </w:t>
      </w:r>
      <w:r w:rsidRPr="00A67908">
        <w:rPr>
          <w:rFonts w:eastAsia="Times New Roman" w:cstheme="minorHAnsi"/>
          <w:sz w:val="24"/>
          <w:szCs w:val="24"/>
        </w:rPr>
        <w:t>million distributed for scholarships and other operating activities.</w:t>
      </w:r>
    </w:p>
    <w:p w14:paraId="4E598C21" w14:textId="1C881A96" w:rsidR="00987D33" w:rsidRDefault="00957345" w:rsidP="00987D33">
      <w:pPr>
        <w:spacing w:after="240"/>
        <w:jc w:val="center"/>
        <w:rPr>
          <w:rFonts w:eastAsia="Times New Roman" w:cstheme="minorHAnsi"/>
          <w:sz w:val="24"/>
          <w:szCs w:val="24"/>
        </w:rPr>
      </w:pPr>
      <w:r>
        <w:rPr>
          <w:noProof/>
        </w:rPr>
        <w:drawing>
          <wp:inline distT="0" distB="0" distL="0" distR="0" wp14:anchorId="4F5B2474" wp14:editId="36DEDB41">
            <wp:extent cx="5486400" cy="3200400"/>
            <wp:effectExtent l="0" t="0" r="0" b="0"/>
            <wp:docPr id="16" name="Chart 16">
              <a:extLst xmlns:a="http://schemas.openxmlformats.org/drawingml/2006/main">
                <a:ext uri="{FF2B5EF4-FFF2-40B4-BE49-F238E27FC236}">
                  <a16:creationId xmlns:a16="http://schemas.microsoft.com/office/drawing/2014/main" id="{00000000-0008-0000-0300-00000200000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61BCE1" w14:textId="0D7A9C05" w:rsidR="00987D33" w:rsidRDefault="00987D33" w:rsidP="00987D33">
      <w:pPr>
        <w:rPr>
          <w:rFonts w:cstheme="minorHAnsi"/>
          <w:sz w:val="24"/>
        </w:rPr>
      </w:pPr>
      <w:r>
        <w:rPr>
          <w:rFonts w:cstheme="minorHAnsi"/>
          <w:sz w:val="24"/>
        </w:rPr>
        <w:t>Of the $</w:t>
      </w:r>
      <w:r w:rsidR="0018120B" w:rsidRPr="00721CFD">
        <w:rPr>
          <w:rFonts w:cstheme="minorHAnsi"/>
          <w:sz w:val="24"/>
        </w:rPr>
        <w:t>1</w:t>
      </w:r>
      <w:r w:rsidR="0018120B" w:rsidRPr="0018120B">
        <w:rPr>
          <w:rFonts w:cstheme="minorHAnsi"/>
          <w:sz w:val="24"/>
        </w:rPr>
        <w:t xml:space="preserve">68 </w:t>
      </w:r>
      <w:r w:rsidRPr="0018120B">
        <w:rPr>
          <w:rFonts w:cstheme="minorHAnsi"/>
          <w:sz w:val="24"/>
        </w:rPr>
        <w:t>million in pooled endowment investment</w:t>
      </w:r>
      <w:r w:rsidR="008D30D8">
        <w:rPr>
          <w:rFonts w:cstheme="minorHAnsi"/>
          <w:sz w:val="24"/>
        </w:rPr>
        <w:t>s</w:t>
      </w:r>
      <w:r w:rsidRPr="0018120B">
        <w:rPr>
          <w:rFonts w:cstheme="minorHAnsi"/>
          <w:sz w:val="24"/>
        </w:rPr>
        <w:t xml:space="preserve">, </w:t>
      </w:r>
      <w:r w:rsidR="008D30D8">
        <w:rPr>
          <w:rFonts w:cstheme="minorHAnsi"/>
          <w:sz w:val="24"/>
        </w:rPr>
        <w:t xml:space="preserve">at June 30, 2022, </w:t>
      </w:r>
      <w:r w:rsidRPr="0018120B">
        <w:rPr>
          <w:rFonts w:cstheme="minorHAnsi"/>
          <w:sz w:val="24"/>
        </w:rPr>
        <w:t>$</w:t>
      </w:r>
      <w:r w:rsidR="0018120B" w:rsidRPr="00721CFD">
        <w:rPr>
          <w:rFonts w:cstheme="minorHAnsi"/>
          <w:sz w:val="24"/>
        </w:rPr>
        <w:t>1</w:t>
      </w:r>
      <w:r w:rsidR="0018120B" w:rsidRPr="0018120B">
        <w:rPr>
          <w:rFonts w:cstheme="minorHAnsi"/>
          <w:sz w:val="24"/>
        </w:rPr>
        <w:t xml:space="preserve">38 </w:t>
      </w:r>
      <w:r w:rsidRPr="0018120B">
        <w:rPr>
          <w:rFonts w:cstheme="minorHAnsi"/>
          <w:sz w:val="24"/>
        </w:rPr>
        <w:t>million are UMS Endowments and $</w:t>
      </w:r>
      <w:r w:rsidR="0018120B" w:rsidRPr="00721CFD">
        <w:rPr>
          <w:rFonts w:cstheme="minorHAnsi"/>
          <w:sz w:val="24"/>
        </w:rPr>
        <w:t>3</w:t>
      </w:r>
      <w:r w:rsidR="0018120B" w:rsidRPr="0018120B">
        <w:rPr>
          <w:rFonts w:cstheme="minorHAnsi"/>
          <w:sz w:val="24"/>
        </w:rPr>
        <w:t>0</w:t>
      </w:r>
      <w:r w:rsidR="0018120B">
        <w:rPr>
          <w:rFonts w:cstheme="minorHAnsi"/>
          <w:sz w:val="24"/>
        </w:rPr>
        <w:t xml:space="preserve"> </w:t>
      </w:r>
      <w:r>
        <w:rPr>
          <w:rFonts w:cstheme="minorHAnsi"/>
          <w:sz w:val="24"/>
        </w:rPr>
        <w:t xml:space="preserve">million are Affiliates Endowments. The fair value of the UMS Endowments is reported as part of the ‘Endowment Investments’ in the accompanying </w:t>
      </w:r>
      <w:r>
        <w:rPr>
          <w:rFonts w:cstheme="minorHAnsi"/>
          <w:sz w:val="24"/>
        </w:rPr>
        <w:lastRenderedPageBreak/>
        <w:t>Condensed Statements of Net Position, and the fair value of the Affiliates Endowments is reported in the Statements of Fiduciary Net Position as ‘Investment in UMS endowment pool’.</w:t>
      </w:r>
    </w:p>
    <w:p w14:paraId="2C97FD59" w14:textId="77777777" w:rsidR="00987D33" w:rsidRPr="002008D4" w:rsidRDefault="00987D33" w:rsidP="00987D33">
      <w:pPr>
        <w:rPr>
          <w:rFonts w:cstheme="minorHAnsi"/>
          <w:sz w:val="20"/>
          <w:szCs w:val="20"/>
        </w:rPr>
      </w:pPr>
    </w:p>
    <w:p w14:paraId="5DDF119A" w14:textId="280568D9" w:rsidR="00987D33" w:rsidRDefault="00987D33" w:rsidP="00987D33">
      <w:pPr>
        <w:rPr>
          <w:rFonts w:cstheme="minorHAnsi"/>
          <w:sz w:val="24"/>
        </w:rPr>
      </w:pPr>
      <w:r>
        <w:rPr>
          <w:rFonts w:cstheme="minorHAnsi"/>
          <w:sz w:val="24"/>
        </w:rPr>
        <w:t xml:space="preserve">The UMS endowment distribution formula is designed to smooth market volatility. The method uses a 3-year market value average with a percentage-spending rate applied. The spending rate applied in </w:t>
      </w:r>
      <w:r w:rsidRPr="008E0F06">
        <w:rPr>
          <w:rFonts w:cstheme="minorHAnsi"/>
          <w:sz w:val="24"/>
        </w:rPr>
        <w:t>FY17 thru FY2</w:t>
      </w:r>
      <w:r w:rsidR="001E3BE6">
        <w:rPr>
          <w:rFonts w:cstheme="minorHAnsi"/>
          <w:sz w:val="24"/>
        </w:rPr>
        <w:t>2</w:t>
      </w:r>
      <w:r w:rsidRPr="008E0F06">
        <w:rPr>
          <w:rFonts w:cstheme="minorHAnsi"/>
          <w:sz w:val="24"/>
        </w:rPr>
        <w:t xml:space="preserve"> was 4.5</w:t>
      </w:r>
      <w:r>
        <w:rPr>
          <w:rFonts w:cstheme="minorHAnsi"/>
          <w:sz w:val="24"/>
        </w:rPr>
        <w:t>%.</w:t>
      </w:r>
    </w:p>
    <w:p w14:paraId="51B32BB8" w14:textId="77777777" w:rsidR="00987D33" w:rsidRDefault="00987D33" w:rsidP="00987D33">
      <w:pPr>
        <w:pStyle w:val="AFR3"/>
        <w:rPr>
          <w:rFonts w:cstheme="minorHAnsi"/>
        </w:rPr>
      </w:pPr>
      <w:r>
        <w:rPr>
          <w:rFonts w:cstheme="minorHAnsi"/>
        </w:rPr>
        <w:t>Capital Assets and Debt Activities</w:t>
      </w:r>
    </w:p>
    <w:p w14:paraId="61A10576" w14:textId="72941DD4" w:rsidR="00987D33" w:rsidRDefault="00987D33" w:rsidP="00987D33">
      <w:pPr>
        <w:rPr>
          <w:rFonts w:cstheme="minorHAnsi"/>
          <w:sz w:val="24"/>
        </w:rPr>
      </w:pPr>
      <w:r>
        <w:rPr>
          <w:rFonts w:cstheme="minorHAnsi"/>
          <w:sz w:val="24"/>
        </w:rPr>
        <w:t xml:space="preserve">Table 4 on the </w:t>
      </w:r>
      <w:r w:rsidRPr="00831AE2">
        <w:rPr>
          <w:rFonts w:cstheme="minorHAnsi"/>
          <w:sz w:val="24"/>
        </w:rPr>
        <w:t>next</w:t>
      </w:r>
      <w:r>
        <w:rPr>
          <w:rFonts w:cstheme="minorHAnsi"/>
          <w:sz w:val="24"/>
        </w:rPr>
        <w:t xml:space="preserve"> </w:t>
      </w:r>
      <w:r w:rsidRPr="002008D4">
        <w:rPr>
          <w:rFonts w:cstheme="minorHAnsi"/>
          <w:sz w:val="24"/>
        </w:rPr>
        <w:t xml:space="preserve">page </w:t>
      </w:r>
      <w:r>
        <w:rPr>
          <w:rFonts w:cstheme="minorHAnsi"/>
          <w:sz w:val="24"/>
        </w:rPr>
        <w:t xml:space="preserve">shows the status of major capital construction projects as of June 30, </w:t>
      </w:r>
      <w:r w:rsidR="00BD6112">
        <w:rPr>
          <w:rFonts w:cstheme="minorHAnsi"/>
          <w:sz w:val="24"/>
        </w:rPr>
        <w:t xml:space="preserve">2022 </w:t>
      </w:r>
      <w:r>
        <w:rPr>
          <w:rFonts w:cstheme="minorHAnsi"/>
          <w:sz w:val="24"/>
        </w:rPr>
        <w:t>and the related budget approved by the UMS Board of Trustees.</w:t>
      </w:r>
    </w:p>
    <w:p w14:paraId="795B74FA" w14:textId="77777777" w:rsidR="00987D33" w:rsidRPr="00DE50BF" w:rsidRDefault="00987D33" w:rsidP="00987D33">
      <w:pPr>
        <w:ind w:left="360"/>
        <w:rPr>
          <w:rFonts w:cstheme="minorHAnsi"/>
          <w:sz w:val="20"/>
          <w:szCs w:val="20"/>
        </w:rPr>
      </w:pPr>
    </w:p>
    <w:p w14:paraId="44A3975A" w14:textId="77777777" w:rsidR="00987D33" w:rsidRDefault="00987D33" w:rsidP="00987D33">
      <w:pPr>
        <w:rPr>
          <w:rFonts w:cstheme="minorHAnsi"/>
          <w:sz w:val="24"/>
        </w:rPr>
      </w:pPr>
      <w:r>
        <w:rPr>
          <w:rFonts w:cstheme="minorHAnsi"/>
          <w:sz w:val="24"/>
        </w:rPr>
        <w:t>The System’s facilities are critical to each university’s mission as they provide the physical framework and environment for education, research, cultural</w:t>
      </w:r>
      <w:bookmarkStart w:id="4" w:name="OLE_LINK9"/>
      <w:bookmarkStart w:id="5" w:name="OLE_LINK8"/>
      <w:r>
        <w:rPr>
          <w:rFonts w:cstheme="minorHAnsi"/>
          <w:sz w:val="24"/>
        </w:rPr>
        <w:t xml:space="preserve"> programs, and residential life. The System continually evaluates its long-term capital and strategic needs, including which facilities to upgrade, retire, or build. </w:t>
      </w:r>
      <w:bookmarkEnd w:id="4"/>
      <w:bookmarkEnd w:id="5"/>
      <w:r>
        <w:rPr>
          <w:rFonts w:cstheme="minorHAnsi"/>
          <w:sz w:val="24"/>
        </w:rPr>
        <w:t>Capital assets are funded with various sources of funds including state bonds, gifts, grants, educational and general funds, and System revenue bonds.</w:t>
      </w:r>
    </w:p>
    <w:p w14:paraId="52F22D56" w14:textId="77777777" w:rsidR="00987D33" w:rsidRPr="00DE50BF" w:rsidRDefault="00987D33" w:rsidP="00987D33">
      <w:pPr>
        <w:ind w:left="360"/>
        <w:rPr>
          <w:rFonts w:cstheme="minorHAnsi"/>
          <w:sz w:val="20"/>
          <w:szCs w:val="20"/>
        </w:rPr>
      </w:pPr>
    </w:p>
    <w:p w14:paraId="2FC22DAF" w14:textId="47D87C16" w:rsidR="00987D33" w:rsidRDefault="00987D33" w:rsidP="00987D33">
      <w:pPr>
        <w:rPr>
          <w:rFonts w:cstheme="minorHAnsi"/>
          <w:sz w:val="24"/>
        </w:rPr>
      </w:pPr>
      <w:r>
        <w:rPr>
          <w:rFonts w:cstheme="minorHAnsi"/>
          <w:sz w:val="24"/>
        </w:rPr>
        <w:t xml:space="preserve">During </w:t>
      </w:r>
      <w:r w:rsidR="00BD6112">
        <w:rPr>
          <w:rFonts w:cstheme="minorHAnsi"/>
          <w:sz w:val="24"/>
        </w:rPr>
        <w:t>FY22</w:t>
      </w:r>
      <w:r>
        <w:rPr>
          <w:rFonts w:cstheme="minorHAnsi"/>
          <w:sz w:val="24"/>
        </w:rPr>
        <w:t xml:space="preserve">, the System had capital asset additions </w:t>
      </w:r>
      <w:r w:rsidRPr="00B14597">
        <w:rPr>
          <w:rFonts w:cstheme="minorHAnsi"/>
          <w:sz w:val="24"/>
        </w:rPr>
        <w:t>of $</w:t>
      </w:r>
      <w:r w:rsidR="00715CF8">
        <w:rPr>
          <w:rFonts w:cstheme="minorHAnsi"/>
          <w:sz w:val="24"/>
        </w:rPr>
        <w:t>119</w:t>
      </w:r>
      <w:r w:rsidR="00715CF8" w:rsidRPr="00B14597">
        <w:rPr>
          <w:rFonts w:cstheme="minorHAnsi"/>
          <w:sz w:val="24"/>
        </w:rPr>
        <w:t xml:space="preserve"> </w:t>
      </w:r>
      <w:r w:rsidRPr="00B14597">
        <w:rPr>
          <w:rFonts w:cstheme="minorHAnsi"/>
          <w:sz w:val="24"/>
        </w:rPr>
        <w:t>million, which included $</w:t>
      </w:r>
      <w:r w:rsidR="00715CF8">
        <w:rPr>
          <w:rFonts w:cstheme="minorHAnsi"/>
          <w:sz w:val="24"/>
        </w:rPr>
        <w:t>114</w:t>
      </w:r>
      <w:r w:rsidR="00715CF8" w:rsidRPr="00B14597">
        <w:rPr>
          <w:rFonts w:cstheme="minorHAnsi"/>
          <w:sz w:val="24"/>
        </w:rPr>
        <w:t xml:space="preserve"> </w:t>
      </w:r>
      <w:r>
        <w:rPr>
          <w:rFonts w:cstheme="minorHAnsi"/>
          <w:sz w:val="24"/>
        </w:rPr>
        <w:t xml:space="preserve">million of construction in progress, </w:t>
      </w:r>
      <w:r w:rsidRPr="00B14597">
        <w:rPr>
          <w:rFonts w:cstheme="minorHAnsi"/>
          <w:sz w:val="24"/>
        </w:rPr>
        <w:t>and $</w:t>
      </w:r>
      <w:r w:rsidR="00715CF8">
        <w:rPr>
          <w:rFonts w:cstheme="minorHAnsi"/>
          <w:sz w:val="24"/>
        </w:rPr>
        <w:t>5</w:t>
      </w:r>
      <w:r w:rsidR="00715CF8" w:rsidRPr="00B14597">
        <w:rPr>
          <w:rFonts w:cstheme="minorHAnsi"/>
          <w:sz w:val="24"/>
        </w:rPr>
        <w:t xml:space="preserve"> </w:t>
      </w:r>
      <w:r w:rsidRPr="00B14597">
        <w:rPr>
          <w:rFonts w:cstheme="minorHAnsi"/>
          <w:sz w:val="24"/>
        </w:rPr>
        <w:t>million of equipment</w:t>
      </w:r>
      <w:r>
        <w:rPr>
          <w:rFonts w:cstheme="minorHAnsi"/>
          <w:sz w:val="24"/>
        </w:rPr>
        <w:t xml:space="preserve">. In </w:t>
      </w:r>
      <w:r w:rsidR="00BD6112">
        <w:rPr>
          <w:rFonts w:cstheme="minorHAnsi"/>
          <w:sz w:val="24"/>
        </w:rPr>
        <w:t>FY21</w:t>
      </w:r>
      <w:r>
        <w:rPr>
          <w:rFonts w:cstheme="minorHAnsi"/>
          <w:sz w:val="24"/>
        </w:rPr>
        <w:t>, the System had capital asset additions of $</w:t>
      </w:r>
      <w:r w:rsidR="00BD6112">
        <w:rPr>
          <w:rFonts w:cstheme="minorHAnsi"/>
          <w:sz w:val="24"/>
        </w:rPr>
        <w:t xml:space="preserve">50 </w:t>
      </w:r>
      <w:r>
        <w:rPr>
          <w:rFonts w:cstheme="minorHAnsi"/>
          <w:sz w:val="24"/>
        </w:rPr>
        <w:t>million, which included $</w:t>
      </w:r>
      <w:r w:rsidR="00BD6112">
        <w:rPr>
          <w:rFonts w:cstheme="minorHAnsi"/>
          <w:sz w:val="24"/>
        </w:rPr>
        <w:t xml:space="preserve">46 </w:t>
      </w:r>
      <w:r>
        <w:rPr>
          <w:rFonts w:cstheme="minorHAnsi"/>
          <w:sz w:val="24"/>
        </w:rPr>
        <w:t>million of construction in progress</w:t>
      </w:r>
      <w:r w:rsidR="00BD6112">
        <w:rPr>
          <w:rFonts w:cstheme="minorHAnsi"/>
          <w:sz w:val="24"/>
        </w:rPr>
        <w:t xml:space="preserve"> and</w:t>
      </w:r>
      <w:r>
        <w:rPr>
          <w:rFonts w:cstheme="minorHAnsi"/>
          <w:sz w:val="24"/>
        </w:rPr>
        <w:t xml:space="preserve"> $</w:t>
      </w:r>
      <w:r w:rsidR="00BD6112">
        <w:rPr>
          <w:rFonts w:cstheme="minorHAnsi"/>
          <w:sz w:val="24"/>
        </w:rPr>
        <w:t xml:space="preserve">4 </w:t>
      </w:r>
      <w:r>
        <w:rPr>
          <w:rFonts w:cstheme="minorHAnsi"/>
          <w:sz w:val="24"/>
        </w:rPr>
        <w:t xml:space="preserve">million of equipment. </w:t>
      </w:r>
    </w:p>
    <w:p w14:paraId="475F6C90" w14:textId="77777777" w:rsidR="00987D33" w:rsidRDefault="00987D33" w:rsidP="00987D33">
      <w:pPr>
        <w:rPr>
          <w:rFonts w:cstheme="minorHAnsi"/>
          <w:sz w:val="24"/>
        </w:rPr>
      </w:pPr>
    </w:p>
    <w:p w14:paraId="32D4AFEC" w14:textId="1F05ED2C" w:rsidR="00987D33" w:rsidRDefault="00987D33" w:rsidP="00987D33">
      <w:pPr>
        <w:spacing w:line="256" w:lineRule="auto"/>
        <w:rPr>
          <w:rFonts w:cstheme="minorHAnsi"/>
          <w:sz w:val="24"/>
        </w:rPr>
      </w:pPr>
      <w:r>
        <w:rPr>
          <w:rFonts w:cstheme="minorHAnsi"/>
          <w:sz w:val="24"/>
        </w:rPr>
        <w:t xml:space="preserve">The System strives to manage </w:t>
      </w:r>
      <w:r w:rsidR="00BA329E">
        <w:rPr>
          <w:rFonts w:cstheme="minorHAnsi"/>
          <w:sz w:val="24"/>
        </w:rPr>
        <w:t>all</w:t>
      </w:r>
      <w:r>
        <w:rPr>
          <w:rFonts w:cstheme="minorHAnsi"/>
          <w:sz w:val="24"/>
        </w:rPr>
        <w:t xml:space="preserve"> its financial resources effectively, including the prudent use of debt to finance construction projects that support the System’s mission. </w:t>
      </w:r>
      <w:r w:rsidRPr="00721CFD">
        <w:rPr>
          <w:rFonts w:cstheme="minorHAnsi"/>
          <w:sz w:val="24"/>
        </w:rPr>
        <w:t>In May 2021, the System issued $43 million of bond anticipation notes (BAN) to partially finance UM’s Ferland Engineering Education and Design Center project and USM’s new residence hall project and new parking garage project both on the Portland campus. These three projects are noted in Table 4. The System issu</w:t>
      </w:r>
      <w:r w:rsidR="00C535AA" w:rsidRPr="00721CFD">
        <w:rPr>
          <w:rFonts w:cstheme="minorHAnsi"/>
          <w:sz w:val="24"/>
        </w:rPr>
        <w:t>ed</w:t>
      </w:r>
      <w:r w:rsidRPr="00721CFD">
        <w:rPr>
          <w:rFonts w:cstheme="minorHAnsi"/>
          <w:sz w:val="24"/>
        </w:rPr>
        <w:t xml:space="preserve"> new revenue bonds in FY2</w:t>
      </w:r>
      <w:r w:rsidR="00C535AA" w:rsidRPr="00721CFD">
        <w:rPr>
          <w:rFonts w:cstheme="minorHAnsi"/>
          <w:sz w:val="24"/>
        </w:rPr>
        <w:t>3</w:t>
      </w:r>
      <w:r w:rsidRPr="00721CFD">
        <w:rPr>
          <w:rFonts w:cstheme="minorHAnsi"/>
          <w:sz w:val="24"/>
        </w:rPr>
        <w:t xml:space="preserve"> to pay off the BAN, to refund prior debt, and to finance additional capital projects.</w:t>
      </w:r>
    </w:p>
    <w:p w14:paraId="246DC1E2" w14:textId="77777777" w:rsidR="00987D33" w:rsidRDefault="00987D33" w:rsidP="00987D33">
      <w:pPr>
        <w:spacing w:line="256" w:lineRule="auto"/>
        <w:rPr>
          <w:rFonts w:cstheme="minorHAnsi"/>
          <w:sz w:val="24"/>
        </w:rPr>
      </w:pPr>
    </w:p>
    <w:p w14:paraId="21B3CA14" w14:textId="3485DE5A" w:rsidR="00987D33" w:rsidRDefault="00987D33" w:rsidP="00987D33">
      <w:pPr>
        <w:spacing w:line="256" w:lineRule="auto"/>
        <w:rPr>
          <w:rFonts w:cstheme="minorHAnsi"/>
          <w:b/>
          <w:sz w:val="24"/>
        </w:rPr>
      </w:pPr>
      <w:r>
        <w:rPr>
          <w:rFonts w:cstheme="minorHAnsi"/>
          <w:sz w:val="24"/>
        </w:rPr>
        <w:t xml:space="preserve">The System’s total outstanding debt as of June 30, </w:t>
      </w:r>
      <w:r w:rsidR="00BD6112">
        <w:rPr>
          <w:rFonts w:cstheme="minorHAnsi"/>
          <w:sz w:val="24"/>
        </w:rPr>
        <w:t xml:space="preserve">2022 </w:t>
      </w:r>
      <w:r>
        <w:rPr>
          <w:rFonts w:cstheme="minorHAnsi"/>
          <w:sz w:val="24"/>
        </w:rPr>
        <w:t xml:space="preserve">was </w:t>
      </w:r>
      <w:r w:rsidRPr="00B14597">
        <w:rPr>
          <w:rFonts w:cstheme="minorHAnsi"/>
          <w:sz w:val="24"/>
        </w:rPr>
        <w:t>$</w:t>
      </w:r>
      <w:r w:rsidR="006B2BFC">
        <w:rPr>
          <w:rFonts w:cstheme="minorHAnsi"/>
          <w:sz w:val="24"/>
        </w:rPr>
        <w:t>1</w:t>
      </w:r>
      <w:r w:rsidR="002C0103">
        <w:rPr>
          <w:rFonts w:cstheme="minorHAnsi"/>
          <w:sz w:val="24"/>
        </w:rPr>
        <w:t>52</w:t>
      </w:r>
      <w:r w:rsidR="006B2BFC" w:rsidRPr="00B14597">
        <w:rPr>
          <w:rFonts w:cstheme="minorHAnsi"/>
          <w:sz w:val="24"/>
        </w:rPr>
        <w:t xml:space="preserve"> </w:t>
      </w:r>
      <w:r w:rsidRPr="00B14597">
        <w:rPr>
          <w:rFonts w:cstheme="minorHAnsi"/>
          <w:sz w:val="24"/>
        </w:rPr>
        <w:t xml:space="preserve">million, a </w:t>
      </w:r>
      <w:r w:rsidR="002C0103">
        <w:rPr>
          <w:rFonts w:cstheme="minorHAnsi"/>
          <w:sz w:val="24"/>
        </w:rPr>
        <w:t>de</w:t>
      </w:r>
      <w:r w:rsidRPr="00B14597">
        <w:rPr>
          <w:rFonts w:cstheme="minorHAnsi"/>
          <w:sz w:val="24"/>
        </w:rPr>
        <w:t>crease of $</w:t>
      </w:r>
      <w:r w:rsidR="002C0103">
        <w:rPr>
          <w:rFonts w:cstheme="minorHAnsi"/>
          <w:sz w:val="24"/>
        </w:rPr>
        <w:t>15</w:t>
      </w:r>
      <w:r w:rsidR="000975DC" w:rsidRPr="00B14597">
        <w:rPr>
          <w:rFonts w:cstheme="minorHAnsi"/>
          <w:sz w:val="24"/>
        </w:rPr>
        <w:t xml:space="preserve"> </w:t>
      </w:r>
      <w:r w:rsidRPr="00B14597">
        <w:rPr>
          <w:rFonts w:cstheme="minorHAnsi"/>
          <w:sz w:val="24"/>
        </w:rPr>
        <w:t xml:space="preserve">million, or </w:t>
      </w:r>
      <w:r w:rsidR="002C0103">
        <w:rPr>
          <w:rFonts w:cstheme="minorHAnsi"/>
          <w:sz w:val="24"/>
        </w:rPr>
        <w:t>9</w:t>
      </w:r>
      <w:r w:rsidRPr="00B14597">
        <w:rPr>
          <w:rFonts w:cstheme="minorHAnsi"/>
          <w:sz w:val="24"/>
        </w:rPr>
        <w:t xml:space="preserve">%, </w:t>
      </w:r>
      <w:r>
        <w:rPr>
          <w:rFonts w:cstheme="minorHAnsi"/>
          <w:sz w:val="24"/>
        </w:rPr>
        <w:t xml:space="preserve">from the </w:t>
      </w:r>
      <w:r w:rsidR="00BD6112">
        <w:rPr>
          <w:rFonts w:cstheme="minorHAnsi"/>
          <w:sz w:val="24"/>
        </w:rPr>
        <w:t xml:space="preserve">FY21 </w:t>
      </w:r>
      <w:r>
        <w:rPr>
          <w:rFonts w:cstheme="minorHAnsi"/>
          <w:sz w:val="24"/>
        </w:rPr>
        <w:t>total debt of $</w:t>
      </w:r>
      <w:r w:rsidR="00334585">
        <w:rPr>
          <w:rFonts w:cstheme="minorHAnsi"/>
          <w:sz w:val="24"/>
        </w:rPr>
        <w:t>1</w:t>
      </w:r>
      <w:r w:rsidR="002C0103">
        <w:rPr>
          <w:rFonts w:cstheme="minorHAnsi"/>
          <w:sz w:val="24"/>
        </w:rPr>
        <w:t>67</w:t>
      </w:r>
      <w:r w:rsidR="00334585">
        <w:rPr>
          <w:rFonts w:cstheme="minorHAnsi"/>
          <w:sz w:val="24"/>
        </w:rPr>
        <w:t xml:space="preserve"> </w:t>
      </w:r>
      <w:r>
        <w:rPr>
          <w:rFonts w:cstheme="minorHAnsi"/>
          <w:sz w:val="24"/>
        </w:rPr>
        <w:t xml:space="preserve">million. In </w:t>
      </w:r>
      <w:r w:rsidR="00BD6112">
        <w:rPr>
          <w:rFonts w:cstheme="minorHAnsi"/>
          <w:sz w:val="24"/>
        </w:rPr>
        <w:t>FY21</w:t>
      </w:r>
      <w:r>
        <w:rPr>
          <w:rFonts w:cstheme="minorHAnsi"/>
          <w:sz w:val="24"/>
        </w:rPr>
        <w:t xml:space="preserve">, total debt </w:t>
      </w:r>
      <w:r w:rsidR="00BD6112">
        <w:rPr>
          <w:rFonts w:cstheme="minorHAnsi"/>
          <w:sz w:val="24"/>
        </w:rPr>
        <w:t xml:space="preserve">increased </w:t>
      </w:r>
      <w:r>
        <w:rPr>
          <w:rFonts w:cstheme="minorHAnsi"/>
          <w:sz w:val="24"/>
        </w:rPr>
        <w:t>$</w:t>
      </w:r>
      <w:r w:rsidR="002C0103">
        <w:rPr>
          <w:rFonts w:cstheme="minorHAnsi"/>
          <w:sz w:val="24"/>
        </w:rPr>
        <w:t>29</w:t>
      </w:r>
      <w:r w:rsidR="00426531">
        <w:rPr>
          <w:rFonts w:cstheme="minorHAnsi"/>
          <w:sz w:val="24"/>
        </w:rPr>
        <w:t xml:space="preserve"> </w:t>
      </w:r>
      <w:r>
        <w:rPr>
          <w:rFonts w:cstheme="minorHAnsi"/>
          <w:sz w:val="24"/>
        </w:rPr>
        <w:t xml:space="preserve">million, or </w:t>
      </w:r>
      <w:r w:rsidR="00426531">
        <w:rPr>
          <w:rFonts w:cstheme="minorHAnsi"/>
          <w:sz w:val="24"/>
        </w:rPr>
        <w:t>2</w:t>
      </w:r>
      <w:r w:rsidR="002C0103">
        <w:rPr>
          <w:rFonts w:cstheme="minorHAnsi"/>
          <w:sz w:val="24"/>
        </w:rPr>
        <w:t>1</w:t>
      </w:r>
      <w:r>
        <w:rPr>
          <w:rFonts w:cstheme="minorHAnsi"/>
          <w:sz w:val="24"/>
        </w:rPr>
        <w:t xml:space="preserve">%, from the </w:t>
      </w:r>
      <w:r w:rsidR="00BD6112">
        <w:rPr>
          <w:rFonts w:cstheme="minorHAnsi"/>
          <w:sz w:val="24"/>
        </w:rPr>
        <w:t xml:space="preserve">FY20 </w:t>
      </w:r>
      <w:r>
        <w:rPr>
          <w:rFonts w:cstheme="minorHAnsi"/>
          <w:sz w:val="24"/>
        </w:rPr>
        <w:t>total debt of $1</w:t>
      </w:r>
      <w:r w:rsidR="002C0103">
        <w:rPr>
          <w:rFonts w:cstheme="minorHAnsi"/>
          <w:sz w:val="24"/>
        </w:rPr>
        <w:t>38</w:t>
      </w:r>
      <w:r>
        <w:rPr>
          <w:rFonts w:cstheme="minorHAnsi"/>
          <w:sz w:val="24"/>
        </w:rPr>
        <w:t xml:space="preserve"> million.</w:t>
      </w:r>
      <w:r>
        <w:rPr>
          <w:rFonts w:cstheme="minorHAnsi"/>
          <w:b/>
          <w:sz w:val="24"/>
        </w:rPr>
        <w:br w:type="page"/>
      </w:r>
    </w:p>
    <w:p w14:paraId="095C25FB" w14:textId="1AA9584F" w:rsidR="00987D33" w:rsidRPr="001A18A6" w:rsidRDefault="00987D33" w:rsidP="00987D33">
      <w:pPr>
        <w:jc w:val="center"/>
        <w:rPr>
          <w:rFonts w:cstheme="minorHAnsi"/>
          <w:b/>
          <w:sz w:val="24"/>
        </w:rPr>
      </w:pPr>
      <w:r w:rsidRPr="001A18A6">
        <w:rPr>
          <w:rFonts w:cstheme="minorHAnsi"/>
          <w:b/>
          <w:sz w:val="24"/>
        </w:rPr>
        <w:lastRenderedPageBreak/>
        <w:t xml:space="preserve">Table 4: Major Capital Projects Completed During </w:t>
      </w:r>
      <w:r w:rsidR="006B2BFC" w:rsidRPr="001A18A6">
        <w:rPr>
          <w:rFonts w:cstheme="minorHAnsi"/>
          <w:b/>
          <w:sz w:val="24"/>
        </w:rPr>
        <w:t>FY2</w:t>
      </w:r>
      <w:r w:rsidR="006B2BFC">
        <w:rPr>
          <w:rFonts w:cstheme="minorHAnsi"/>
          <w:b/>
          <w:sz w:val="24"/>
        </w:rPr>
        <w:t>2</w:t>
      </w:r>
      <w:r w:rsidR="006B2BFC" w:rsidRPr="001A18A6">
        <w:rPr>
          <w:rFonts w:cstheme="minorHAnsi"/>
          <w:b/>
          <w:sz w:val="24"/>
        </w:rPr>
        <w:t xml:space="preserve"> </w:t>
      </w:r>
      <w:r w:rsidRPr="001A18A6">
        <w:rPr>
          <w:rFonts w:cstheme="minorHAnsi"/>
          <w:b/>
          <w:sz w:val="24"/>
        </w:rPr>
        <w:t xml:space="preserve">or In Progress at June 30, </w:t>
      </w:r>
      <w:r w:rsidR="00BA329E" w:rsidRPr="001A18A6">
        <w:rPr>
          <w:rFonts w:cstheme="minorHAnsi"/>
          <w:b/>
          <w:sz w:val="24"/>
        </w:rPr>
        <w:t>202</w:t>
      </w:r>
      <w:r w:rsidR="00BA329E">
        <w:rPr>
          <w:rFonts w:cstheme="minorHAnsi"/>
          <w:b/>
          <w:sz w:val="24"/>
        </w:rPr>
        <w:t>2</w:t>
      </w:r>
    </w:p>
    <w:p w14:paraId="2F29B0F4" w14:textId="77777777" w:rsidR="00987D33" w:rsidRPr="006D6C84" w:rsidRDefault="00987D33" w:rsidP="00987D33">
      <w:pPr>
        <w:jc w:val="center"/>
        <w:rPr>
          <w:rFonts w:cstheme="minorHAnsi"/>
          <w:b/>
          <w:sz w:val="21"/>
          <w:szCs w:val="21"/>
        </w:rPr>
      </w:pPr>
      <w:r w:rsidRPr="006D6C84">
        <w:rPr>
          <w:rFonts w:cstheme="minorHAnsi"/>
          <w:b/>
          <w:sz w:val="21"/>
          <w:szCs w:val="21"/>
        </w:rPr>
        <w:t>(In millions)</w:t>
      </w:r>
    </w:p>
    <w:p w14:paraId="6D763EE7" w14:textId="77777777" w:rsidR="00987D33" w:rsidRPr="00790AF8" w:rsidRDefault="00987D33" w:rsidP="00987D33">
      <w:pPr>
        <w:rPr>
          <w:rFonts w:cstheme="minorHAnsi"/>
          <w:sz w:val="16"/>
        </w:rPr>
      </w:pPr>
    </w:p>
    <w:p w14:paraId="6C5821F2" w14:textId="53386547" w:rsidR="00987D33" w:rsidRDefault="00A92E3A" w:rsidP="00987D33">
      <w:pPr>
        <w:jc w:val="center"/>
        <w:rPr>
          <w:rFonts w:cstheme="minorHAnsi"/>
          <w:sz w:val="24"/>
        </w:rPr>
      </w:pPr>
      <w:r w:rsidRPr="00A92E3A">
        <w:rPr>
          <w:noProof/>
        </w:rPr>
        <w:drawing>
          <wp:inline distT="0" distB="0" distL="0" distR="0" wp14:anchorId="6FF0702E" wp14:editId="0E217B59">
            <wp:extent cx="5687799" cy="7680960"/>
            <wp:effectExtent l="0" t="0" r="8255" b="0"/>
            <wp:docPr id="21" name="Picture 21" descr="Project Funding Source Status BOT Approved Budget&#10;UMA   &#10;•Randall Welcome Center 2018 State Bond In Progress  2.10 &#10;•Handley Hall HVAC System Upgrade 2018 State Bond, Educational &amp; General In Progress  1.20 &#10;•Katz Library HVAC Repairs HEERF In Progress  1.10 &#10;•Medical Laboratory Technology Internal Loan, Education &amp; General In Progress  1.65 &#10;•Camden Hall Vet Tech Internal Loan, Education &amp; General In Progress  1.60 &#10;UMF   &#10;•Dearborn Gym Hot Water Upgrades 2010 State Bond, 2018 State Bond In Progress  0.85 &#10;•274 Front St Renovation 2018 State Bond, MJRP, Grant, Federal Earmark In Progress  3.10 &#10;•Fitness &amp; Recreation Center Façade Replacement 2018 State Bond In Progress  0.90 &#10;UMFK   &#10;•Enrollment/Advancement Center 2018 State Bond, Educational &amp; General In Progress  3.25 &#10;UM   &#10;•Advanced Structures and Composites Center (ASCC) Equipment Gift, Grant In Progress  1.53 &#10;•Darling Marine Center Waterfront Infrastructure Grants, Educational &amp; General In Progress  5.50 &#10;•Engineering Education and Design Center Educational &amp; General, Gifts, 2022 Revenue Bond In Progress  78.00 &#10;•Energy Center Phase 2 Educational &amp; General, 2022 Revenue Bond, Grant In Progress  5.70 &#10;•ASCC Renovation - Mezzanine Office Expansion Educational &amp; General, Grants In Progress  1.40 &#10;•Neville Hall Renovations 2018 State Bond In Progress  1.50 &#10;•ASCC Green Engineering &amp; Materials (GEM) Lab Educational &amp; General In Progress  1.50 &#10;•ASCC Secure Clean Lab Suite Grants In Progress  2.50 &#10;•Steampit line SA10 Educational &amp; General In Progress  0.64 &#10;•HVAC Systems &amp; Controls Upgrades Educational &amp; General In Progress  10.00 &#10;•UM Priority 1 Athletic Fields Gifts and HAF Grant In Progress  1.00 &#10;•UM Adaptive Reuse Project/Historic P3 Educational &amp; General In Progress  3.00 &#10;USM   &#10;•Center for the Arts Gifts In Progress  4.20 &#10;•Career and Student Success Center 2018 State Bond, Educational &amp; General, and Gifts In Progress  26.60 &#10;•Portland Residence Hall Revenue Bond, Educational &amp; General In Progress  72.80 &#10;•Bailey Hall Fire Protection and Electrical Upgrades 2018 State Bond, Educational &amp; General In Progress  4.39 &#10;•Wishcamper Parking Lot Educational &amp; General Complete  1.71 &#10;•Portland Parking Garage Educational &amp; General In Progress  23.00 &#10;•Fitness Equipment Purchase and Space Renovation Educational &amp; General In Progress  0.77 &#10;•Steam Line Educational &amp; General In Progress  0.60 &#10;•Dubyak Center 2018 State Bond, MJRP In Progress  2.50 &#10;•Hannaford Field turf Replacement Educational &amp; General In Progress  0.90 &#10;•Inter-Professional Education Lab Gifts In Progress  0.90 &#10;UMPI   &#10;•Greenhouse 2013 State bond, Gift, and MEIF Complete  0.93 &#10;•Folsom 105 Nursing Renovation 2018 State Bond Complete  0.76 &#10;•Wieden Renovation 2018 State Bond and Grants In Progress  7.70 &#10;•Solar Array Education &amp; General In Progress  1.10 &#10;UMS   &#10;•300 Fore St. Portland Renovation Education &amp; General, Gifts, Grants In Progress  12.80 &#10;•IT Infrastructure - Wireless and Classroom Technology Upgrades 2017 Revenue Bond In Progress  19.00 &#10;•MaineStreet Upgrade 2017 Revenue Bond In Progress  2.00 &#10;   &#10;TOTAL    $3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roject Funding Source Status BOT Approved Budget&#10;UMA   &#10;•Randall Welcome Center 2018 State Bond In Progress  2.10 &#10;•Handley Hall HVAC System Upgrade 2018 State Bond, Educational &amp; General In Progress  1.20 &#10;•Katz Library HVAC Repairs HEERF In Progress  1.10 &#10;•Medical Laboratory Technology Internal Loan, Education &amp; General In Progress  1.65 &#10;•Camden Hall Vet Tech Internal Loan, Education &amp; General In Progress  1.60 &#10;UMF   &#10;•Dearborn Gym Hot Water Upgrades 2010 State Bond, 2018 State Bond In Progress  0.85 &#10;•274 Front St Renovation 2018 State Bond, MJRP, Grant, Federal Earmark In Progress  3.10 &#10;•Fitness &amp; Recreation Center Façade Replacement 2018 State Bond In Progress  0.90 &#10;UMFK   &#10;•Enrollment/Advancement Center 2018 State Bond, Educational &amp; General In Progress  3.25 &#10;UM   &#10;•Advanced Structures and Composites Center (ASCC) Equipment Gift, Grant In Progress  1.53 &#10;•Darling Marine Center Waterfront Infrastructure Grants, Educational &amp; General In Progress  5.50 &#10;•Engineering Education and Design Center Educational &amp; General, Gifts, 2022 Revenue Bond In Progress  78.00 &#10;•Energy Center Phase 2 Educational &amp; General, 2022 Revenue Bond, Grant In Progress  5.70 &#10;•ASCC Renovation - Mezzanine Office Expansion Educational &amp; General, Grants In Progress  1.40 &#10;•Neville Hall Renovations 2018 State Bond In Progress  1.50 &#10;•ASCC Green Engineering &amp; Materials (GEM) Lab Educational &amp; General In Progress  1.50 &#10;•ASCC Secure Clean Lab Suite Grants In Progress  2.50 &#10;•Steampit line SA10 Educational &amp; General In Progress  0.64 &#10;•HVAC Systems &amp; Controls Upgrades Educational &amp; General In Progress  10.00 &#10;•UM Priority 1 Athletic Fields Gifts and HAF Grant In Progress  1.00 &#10;•UM Adaptive Reuse Project/Historic P3 Educational &amp; General In Progress  3.00 &#10;USM   &#10;•Center for the Arts Gifts In Progress  4.20 &#10;•Career and Student Success Center 2018 State Bond, Educational &amp; General, and Gifts In Progress  26.60 &#10;•Portland Residence Hall Revenue Bond, Educational &amp; General In Progress  72.80 &#10;•Bailey Hall Fire Protection and Electrical Upgrades 2018 State Bond, Educational &amp; General In Progress  4.39 &#10;•Wishcamper Parking Lot Educational &amp; General Complete  1.71 &#10;•Portland Parking Garage Educational &amp; General In Progress  23.00 &#10;•Fitness Equipment Purchase and Space Renovation Educational &amp; General In Progress  0.77 &#10;•Steam Line Educational &amp; General In Progress  0.60 &#10;•Dubyak Center 2018 State Bond, MJRP In Progress  2.50 &#10;•Hannaford Field turf Replacement Educational &amp; General In Progress  0.90 &#10;•Inter-Professional Education Lab Gifts In Progress  0.90 &#10;UMPI   &#10;•Greenhouse 2013 State bond, Gift, and MEIF Complete  0.93 &#10;•Folsom 105 Nursing Renovation 2018 State Bond Complete  0.76 &#10;•Wieden Renovation 2018 State Bond and Grants In Progress  7.70 &#10;•Solar Array Education &amp; General In Progress  1.10 &#10;UMS   &#10;•300 Fore St. Portland Renovation Education &amp; General, Gifts, Grants In Progress  12.80 &#10;•IT Infrastructure - Wireless and Classroom Technology Upgrades 2017 Revenue Bond In Progress  19.00 &#10;•MaineStreet Upgrade 2017 Revenue Bond In Progress  2.00 &#10;   &#10;TOTAL    $310.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7799" cy="7680960"/>
                    </a:xfrm>
                    <a:prstGeom prst="rect">
                      <a:avLst/>
                    </a:prstGeom>
                    <a:noFill/>
                    <a:ln>
                      <a:noFill/>
                    </a:ln>
                  </pic:spPr>
                </pic:pic>
              </a:graphicData>
            </a:graphic>
          </wp:inline>
        </w:drawing>
      </w:r>
      <w:r w:rsidR="00987D33">
        <w:rPr>
          <w:rFonts w:cstheme="minorHAnsi"/>
          <w:sz w:val="24"/>
        </w:rPr>
        <w:br w:type="page"/>
      </w:r>
    </w:p>
    <w:p w14:paraId="0C1B2ED6" w14:textId="77777777" w:rsidR="00987D33" w:rsidRDefault="00987D33" w:rsidP="00987D33">
      <w:pPr>
        <w:pStyle w:val="AFR3"/>
        <w:rPr>
          <w:rFonts w:cstheme="minorHAnsi"/>
        </w:rPr>
      </w:pPr>
      <w:r>
        <w:rPr>
          <w:rFonts w:cstheme="minorHAnsi"/>
        </w:rPr>
        <w:lastRenderedPageBreak/>
        <w:t>Deferred Outflows and Inflows of Resources</w:t>
      </w:r>
    </w:p>
    <w:p w14:paraId="09E08D34" w14:textId="77777777" w:rsidR="00987D33" w:rsidRDefault="00987D33" w:rsidP="00987D33">
      <w:pPr>
        <w:rPr>
          <w:rFonts w:cstheme="minorHAnsi"/>
          <w:sz w:val="24"/>
        </w:rPr>
      </w:pPr>
      <w:r>
        <w:rPr>
          <w:rFonts w:cstheme="minorHAnsi"/>
          <w:sz w:val="24"/>
        </w:rPr>
        <w:t>The System’s deferred outflows and deferred inflows of resources primarily relate to the System’s defined benefit pension plans and its other postemployment health plan (OPEB). The total of these deferrals can fluctuate significantly from year-to-year depending on changes in assumptions used for the plans, differences between expected and actual experience, and differences between projected and actual earnings on plan investments.  To smooth the impact of these changes, they are amortized over a period of years.</w:t>
      </w:r>
    </w:p>
    <w:p w14:paraId="0695C5FB" w14:textId="77777777" w:rsidR="00987D33" w:rsidRPr="002008D4" w:rsidRDefault="00987D33" w:rsidP="00987D33">
      <w:pPr>
        <w:rPr>
          <w:rFonts w:cstheme="minorHAnsi"/>
          <w:sz w:val="20"/>
          <w:szCs w:val="20"/>
        </w:rPr>
      </w:pPr>
    </w:p>
    <w:p w14:paraId="3AD8E99A" w14:textId="3D138339" w:rsidR="00987D33" w:rsidRDefault="00987D33" w:rsidP="00987D33">
      <w:pPr>
        <w:rPr>
          <w:rFonts w:cstheme="minorHAnsi"/>
          <w:sz w:val="24"/>
        </w:rPr>
      </w:pPr>
      <w:r>
        <w:rPr>
          <w:rFonts w:cstheme="minorHAnsi"/>
          <w:sz w:val="24"/>
        </w:rPr>
        <w:t xml:space="preserve">At June 30, </w:t>
      </w:r>
      <w:r w:rsidR="008B28D7">
        <w:rPr>
          <w:rFonts w:cstheme="minorHAnsi"/>
          <w:sz w:val="24"/>
        </w:rPr>
        <w:t xml:space="preserve">2022 </w:t>
      </w:r>
      <w:r>
        <w:rPr>
          <w:rFonts w:cstheme="minorHAnsi"/>
          <w:sz w:val="24"/>
        </w:rPr>
        <w:t>deferred outflows of resources totaled $</w:t>
      </w:r>
      <w:r w:rsidR="00B50055">
        <w:rPr>
          <w:rFonts w:cstheme="minorHAnsi"/>
          <w:sz w:val="24"/>
        </w:rPr>
        <w:t xml:space="preserve">32 </w:t>
      </w:r>
      <w:r>
        <w:rPr>
          <w:rFonts w:cstheme="minorHAnsi"/>
          <w:sz w:val="24"/>
        </w:rPr>
        <w:t>million, a</w:t>
      </w:r>
      <w:r w:rsidR="00B50055">
        <w:rPr>
          <w:rFonts w:cstheme="minorHAnsi"/>
          <w:sz w:val="24"/>
        </w:rPr>
        <w:t>n</w:t>
      </w:r>
      <w:r>
        <w:rPr>
          <w:rFonts w:cstheme="minorHAnsi"/>
          <w:sz w:val="24"/>
        </w:rPr>
        <w:t xml:space="preserve"> </w:t>
      </w:r>
      <w:r w:rsidR="00B50055">
        <w:rPr>
          <w:rFonts w:cstheme="minorHAnsi"/>
          <w:sz w:val="24"/>
        </w:rPr>
        <w:t>in</w:t>
      </w:r>
      <w:r w:rsidR="00B50055" w:rsidRPr="00A316AD">
        <w:rPr>
          <w:rFonts w:cstheme="minorHAnsi"/>
          <w:sz w:val="24"/>
        </w:rPr>
        <w:t xml:space="preserve">crease </w:t>
      </w:r>
      <w:r>
        <w:rPr>
          <w:rFonts w:cstheme="minorHAnsi"/>
          <w:sz w:val="24"/>
        </w:rPr>
        <w:t xml:space="preserve">of </w:t>
      </w:r>
      <w:r w:rsidRPr="00A316AD">
        <w:rPr>
          <w:rFonts w:cstheme="minorHAnsi"/>
          <w:sz w:val="24"/>
        </w:rPr>
        <w:t>$</w:t>
      </w:r>
      <w:r w:rsidR="00B50055">
        <w:rPr>
          <w:rFonts w:cstheme="minorHAnsi"/>
          <w:sz w:val="24"/>
        </w:rPr>
        <w:t xml:space="preserve">14 </w:t>
      </w:r>
      <w:r>
        <w:rPr>
          <w:rFonts w:cstheme="minorHAnsi"/>
          <w:sz w:val="24"/>
        </w:rPr>
        <w:t xml:space="preserve">million from the prior year balance of </w:t>
      </w:r>
      <w:r w:rsidRPr="00FA191E">
        <w:rPr>
          <w:rFonts w:cstheme="minorHAnsi"/>
          <w:sz w:val="24"/>
        </w:rPr>
        <w:t>$</w:t>
      </w:r>
      <w:r w:rsidR="00B50055">
        <w:rPr>
          <w:rFonts w:cstheme="minorHAnsi"/>
          <w:sz w:val="24"/>
        </w:rPr>
        <w:t xml:space="preserve">18 </w:t>
      </w:r>
      <w:r>
        <w:rPr>
          <w:rFonts w:cstheme="minorHAnsi"/>
          <w:sz w:val="24"/>
        </w:rPr>
        <w:t xml:space="preserve">million. The </w:t>
      </w:r>
      <w:r w:rsidR="00B50055">
        <w:rPr>
          <w:rFonts w:cstheme="minorHAnsi"/>
          <w:sz w:val="24"/>
        </w:rPr>
        <w:t>in</w:t>
      </w:r>
      <w:r w:rsidR="00B50055" w:rsidRPr="00A316AD">
        <w:rPr>
          <w:rFonts w:cstheme="minorHAnsi"/>
          <w:sz w:val="24"/>
        </w:rPr>
        <w:t>crease</w:t>
      </w:r>
      <w:r w:rsidR="00B50055" w:rsidRPr="00A67908">
        <w:rPr>
          <w:rFonts w:cstheme="minorHAnsi"/>
          <w:sz w:val="24"/>
        </w:rPr>
        <w:t xml:space="preserve"> </w:t>
      </w:r>
      <w:r w:rsidRPr="00A67908">
        <w:rPr>
          <w:rFonts w:cstheme="minorHAnsi"/>
          <w:sz w:val="24"/>
        </w:rPr>
        <w:t>i</w:t>
      </w:r>
      <w:r>
        <w:rPr>
          <w:rFonts w:cstheme="minorHAnsi"/>
          <w:sz w:val="24"/>
        </w:rPr>
        <w:t>s primarily due to a</w:t>
      </w:r>
      <w:r w:rsidR="006662FE">
        <w:rPr>
          <w:rFonts w:cstheme="minorHAnsi"/>
          <w:sz w:val="24"/>
        </w:rPr>
        <w:t>n</w:t>
      </w:r>
      <w:r>
        <w:rPr>
          <w:rFonts w:cstheme="minorHAnsi"/>
          <w:sz w:val="24"/>
        </w:rPr>
        <w:t xml:space="preserve"> </w:t>
      </w:r>
      <w:r w:rsidR="00B50055" w:rsidRPr="006662FE">
        <w:rPr>
          <w:rFonts w:cstheme="minorHAnsi"/>
          <w:sz w:val="24"/>
        </w:rPr>
        <w:t>in</w:t>
      </w:r>
      <w:r w:rsidR="00B50055" w:rsidRPr="00A316AD">
        <w:rPr>
          <w:rFonts w:cstheme="minorHAnsi"/>
          <w:sz w:val="24"/>
        </w:rPr>
        <w:t>crease</w:t>
      </w:r>
      <w:r w:rsidR="00B50055" w:rsidRPr="00A67908">
        <w:rPr>
          <w:rFonts w:cstheme="minorHAnsi"/>
          <w:sz w:val="24"/>
        </w:rPr>
        <w:t xml:space="preserve"> </w:t>
      </w:r>
      <w:r w:rsidRPr="00A67908">
        <w:rPr>
          <w:rFonts w:cstheme="minorHAnsi"/>
          <w:sz w:val="24"/>
        </w:rPr>
        <w:t xml:space="preserve">of </w:t>
      </w:r>
      <w:r w:rsidRPr="00A316AD">
        <w:rPr>
          <w:rFonts w:cstheme="minorHAnsi"/>
          <w:sz w:val="24"/>
        </w:rPr>
        <w:t>$</w:t>
      </w:r>
      <w:r w:rsidR="006662FE" w:rsidRPr="00721CFD">
        <w:rPr>
          <w:rFonts w:cstheme="minorHAnsi"/>
          <w:sz w:val="24"/>
        </w:rPr>
        <w:t>1</w:t>
      </w:r>
      <w:r w:rsidR="006662FE">
        <w:rPr>
          <w:rFonts w:cstheme="minorHAnsi"/>
          <w:sz w:val="24"/>
        </w:rPr>
        <w:t xml:space="preserve">4 </w:t>
      </w:r>
      <w:r>
        <w:rPr>
          <w:rFonts w:cstheme="minorHAnsi"/>
          <w:sz w:val="24"/>
        </w:rPr>
        <w:t xml:space="preserve">million related to OPEB. In </w:t>
      </w:r>
      <w:r w:rsidR="008B28D7">
        <w:rPr>
          <w:rFonts w:cstheme="minorHAnsi"/>
          <w:sz w:val="24"/>
        </w:rPr>
        <w:t>FY21</w:t>
      </w:r>
      <w:r>
        <w:rPr>
          <w:rFonts w:cstheme="minorHAnsi"/>
          <w:sz w:val="24"/>
        </w:rPr>
        <w:t xml:space="preserve">, the System’s deferred outflows of resources </w:t>
      </w:r>
      <w:r w:rsidR="008B28D7">
        <w:rPr>
          <w:rFonts w:cstheme="minorHAnsi"/>
          <w:sz w:val="24"/>
        </w:rPr>
        <w:t xml:space="preserve">decreased </w:t>
      </w:r>
      <w:r>
        <w:rPr>
          <w:rFonts w:cstheme="minorHAnsi"/>
          <w:sz w:val="24"/>
        </w:rPr>
        <w:t>$</w:t>
      </w:r>
      <w:r w:rsidR="008B28D7">
        <w:rPr>
          <w:rFonts w:cstheme="minorHAnsi"/>
          <w:sz w:val="24"/>
        </w:rPr>
        <w:t xml:space="preserve">13 </w:t>
      </w:r>
      <w:r>
        <w:rPr>
          <w:rFonts w:cstheme="minorHAnsi"/>
          <w:sz w:val="24"/>
        </w:rPr>
        <w:t xml:space="preserve">million from the June 30, </w:t>
      </w:r>
      <w:r w:rsidR="008B28D7">
        <w:rPr>
          <w:rFonts w:cstheme="minorHAnsi"/>
          <w:sz w:val="24"/>
        </w:rPr>
        <w:t xml:space="preserve">2020 </w:t>
      </w:r>
      <w:r>
        <w:rPr>
          <w:rFonts w:cstheme="minorHAnsi"/>
          <w:sz w:val="24"/>
        </w:rPr>
        <w:t>balance of $</w:t>
      </w:r>
      <w:r w:rsidR="008B28D7">
        <w:rPr>
          <w:rFonts w:cstheme="minorHAnsi"/>
          <w:sz w:val="24"/>
        </w:rPr>
        <w:t xml:space="preserve">31 </w:t>
      </w:r>
      <w:r>
        <w:rPr>
          <w:rFonts w:cstheme="minorHAnsi"/>
          <w:sz w:val="24"/>
        </w:rPr>
        <w:t>million, primarily due to a $</w:t>
      </w:r>
      <w:r w:rsidR="008B28D7">
        <w:rPr>
          <w:rFonts w:cstheme="minorHAnsi"/>
          <w:sz w:val="24"/>
        </w:rPr>
        <w:t xml:space="preserve">13 </w:t>
      </w:r>
      <w:r>
        <w:rPr>
          <w:rFonts w:cstheme="minorHAnsi"/>
          <w:sz w:val="24"/>
        </w:rPr>
        <w:t xml:space="preserve">million </w:t>
      </w:r>
      <w:r w:rsidR="008B28D7">
        <w:rPr>
          <w:rFonts w:cstheme="minorHAnsi"/>
          <w:sz w:val="24"/>
        </w:rPr>
        <w:t>de</w:t>
      </w:r>
      <w:r>
        <w:rPr>
          <w:rFonts w:cstheme="minorHAnsi"/>
          <w:sz w:val="24"/>
        </w:rPr>
        <w:t>crease also related to OPEB.</w:t>
      </w:r>
    </w:p>
    <w:p w14:paraId="2E86945C" w14:textId="77777777" w:rsidR="00987D33" w:rsidRPr="00DE50BF" w:rsidRDefault="00987D33" w:rsidP="00987D33">
      <w:pPr>
        <w:rPr>
          <w:rFonts w:cstheme="minorHAnsi"/>
          <w:sz w:val="20"/>
          <w:szCs w:val="20"/>
        </w:rPr>
      </w:pPr>
    </w:p>
    <w:p w14:paraId="7BF657F9" w14:textId="11DE82A3" w:rsidR="00987D33" w:rsidRDefault="00987D33" w:rsidP="00987D33">
      <w:pPr>
        <w:rPr>
          <w:rFonts w:cstheme="minorHAnsi"/>
          <w:sz w:val="24"/>
        </w:rPr>
      </w:pPr>
      <w:r>
        <w:rPr>
          <w:rFonts w:cstheme="minorHAnsi"/>
          <w:sz w:val="24"/>
        </w:rPr>
        <w:t xml:space="preserve">Deferred inflows of resources of </w:t>
      </w:r>
      <w:r w:rsidRPr="00A316AD">
        <w:rPr>
          <w:rFonts w:cstheme="minorHAnsi"/>
          <w:sz w:val="24"/>
        </w:rPr>
        <w:t>$</w:t>
      </w:r>
      <w:r w:rsidR="00B50055">
        <w:rPr>
          <w:rFonts w:cstheme="minorHAnsi"/>
          <w:sz w:val="24"/>
        </w:rPr>
        <w:t>37</w:t>
      </w:r>
      <w:r w:rsidR="00B50055" w:rsidRPr="00A67908">
        <w:rPr>
          <w:rFonts w:cstheme="minorHAnsi"/>
          <w:sz w:val="24"/>
        </w:rPr>
        <w:t xml:space="preserve"> </w:t>
      </w:r>
      <w:r w:rsidRPr="00A67908">
        <w:rPr>
          <w:rFonts w:cstheme="minorHAnsi"/>
          <w:sz w:val="24"/>
        </w:rPr>
        <w:t xml:space="preserve">million </w:t>
      </w:r>
      <w:r>
        <w:rPr>
          <w:rFonts w:cstheme="minorHAnsi"/>
          <w:sz w:val="24"/>
        </w:rPr>
        <w:t xml:space="preserve">at June 30, </w:t>
      </w:r>
      <w:r w:rsidR="008B28D7">
        <w:rPr>
          <w:rFonts w:cstheme="minorHAnsi"/>
          <w:sz w:val="24"/>
        </w:rPr>
        <w:t xml:space="preserve">2022 </w:t>
      </w:r>
      <w:r w:rsidR="00B50055">
        <w:rPr>
          <w:rFonts w:cstheme="minorHAnsi"/>
          <w:sz w:val="24"/>
        </w:rPr>
        <w:t>de</w:t>
      </w:r>
      <w:r w:rsidR="00B50055" w:rsidRPr="00A316AD">
        <w:rPr>
          <w:rFonts w:cstheme="minorHAnsi"/>
          <w:sz w:val="24"/>
        </w:rPr>
        <w:t xml:space="preserve">creased </w:t>
      </w:r>
      <w:r w:rsidRPr="00A316AD">
        <w:rPr>
          <w:rFonts w:cstheme="minorHAnsi"/>
          <w:sz w:val="24"/>
        </w:rPr>
        <w:t>$</w:t>
      </w:r>
      <w:r w:rsidR="006B2BFC">
        <w:rPr>
          <w:rFonts w:cstheme="minorHAnsi"/>
          <w:sz w:val="24"/>
        </w:rPr>
        <w:t xml:space="preserve">25 </w:t>
      </w:r>
      <w:r>
        <w:rPr>
          <w:rFonts w:cstheme="minorHAnsi"/>
          <w:sz w:val="24"/>
        </w:rPr>
        <w:t>million from the $</w:t>
      </w:r>
      <w:r w:rsidR="00B50055">
        <w:rPr>
          <w:rFonts w:cstheme="minorHAnsi"/>
          <w:sz w:val="24"/>
        </w:rPr>
        <w:t>62</w:t>
      </w:r>
      <w:r w:rsidR="008B28D7">
        <w:rPr>
          <w:rFonts w:cstheme="minorHAnsi"/>
          <w:sz w:val="24"/>
        </w:rPr>
        <w:t xml:space="preserve"> </w:t>
      </w:r>
      <w:r>
        <w:rPr>
          <w:rFonts w:cstheme="minorHAnsi"/>
          <w:sz w:val="24"/>
        </w:rPr>
        <w:t xml:space="preserve">million at June 30, </w:t>
      </w:r>
      <w:r w:rsidR="008B28D7">
        <w:rPr>
          <w:rFonts w:cstheme="minorHAnsi"/>
          <w:sz w:val="24"/>
        </w:rPr>
        <w:t>2021</w:t>
      </w:r>
      <w:r>
        <w:rPr>
          <w:rFonts w:cstheme="minorHAnsi"/>
          <w:sz w:val="24"/>
        </w:rPr>
        <w:t xml:space="preserve">. The </w:t>
      </w:r>
      <w:r w:rsidR="00B50055">
        <w:rPr>
          <w:rFonts w:cstheme="minorHAnsi"/>
          <w:sz w:val="24"/>
        </w:rPr>
        <w:t>de</w:t>
      </w:r>
      <w:r w:rsidR="00B50055" w:rsidRPr="00A316AD">
        <w:rPr>
          <w:rFonts w:cstheme="minorHAnsi"/>
          <w:sz w:val="24"/>
        </w:rPr>
        <w:t>crease</w:t>
      </w:r>
      <w:r w:rsidR="00B50055">
        <w:rPr>
          <w:rFonts w:cstheme="minorHAnsi"/>
          <w:sz w:val="24"/>
        </w:rPr>
        <w:t xml:space="preserve"> </w:t>
      </w:r>
      <w:r>
        <w:rPr>
          <w:rFonts w:cstheme="minorHAnsi"/>
          <w:sz w:val="24"/>
        </w:rPr>
        <w:t xml:space="preserve">is primarily due to a </w:t>
      </w:r>
      <w:r w:rsidR="00B50055">
        <w:rPr>
          <w:rFonts w:cstheme="minorHAnsi"/>
          <w:sz w:val="24"/>
        </w:rPr>
        <w:t>de</w:t>
      </w:r>
      <w:r w:rsidRPr="00A316AD">
        <w:rPr>
          <w:rFonts w:cstheme="minorHAnsi"/>
          <w:sz w:val="24"/>
        </w:rPr>
        <w:t>crease</w:t>
      </w:r>
      <w:r>
        <w:rPr>
          <w:rFonts w:cstheme="minorHAnsi"/>
          <w:sz w:val="24"/>
        </w:rPr>
        <w:t xml:space="preserve"> of </w:t>
      </w:r>
      <w:r w:rsidRPr="00A316AD">
        <w:rPr>
          <w:rFonts w:cstheme="minorHAnsi"/>
          <w:sz w:val="24"/>
        </w:rPr>
        <w:t>$</w:t>
      </w:r>
      <w:r w:rsidR="00BD3F1C" w:rsidRPr="00721CFD">
        <w:rPr>
          <w:rFonts w:cstheme="minorHAnsi"/>
          <w:sz w:val="24"/>
        </w:rPr>
        <w:t>2</w:t>
      </w:r>
      <w:r w:rsidR="00BD3F1C">
        <w:rPr>
          <w:rFonts w:cstheme="minorHAnsi"/>
          <w:sz w:val="24"/>
        </w:rPr>
        <w:t>4</w:t>
      </w:r>
      <w:r w:rsidR="00BD3F1C" w:rsidRPr="00DC124B">
        <w:rPr>
          <w:rFonts w:cstheme="minorHAnsi"/>
          <w:sz w:val="24"/>
        </w:rPr>
        <w:t xml:space="preserve"> </w:t>
      </w:r>
      <w:r>
        <w:rPr>
          <w:rFonts w:cstheme="minorHAnsi"/>
          <w:sz w:val="24"/>
        </w:rPr>
        <w:t xml:space="preserve">million related to the System’s OPEB plan. In </w:t>
      </w:r>
      <w:r w:rsidR="008B28D7">
        <w:rPr>
          <w:rFonts w:cstheme="minorHAnsi"/>
          <w:sz w:val="24"/>
        </w:rPr>
        <w:t>FY21</w:t>
      </w:r>
      <w:r>
        <w:rPr>
          <w:rFonts w:cstheme="minorHAnsi"/>
          <w:sz w:val="24"/>
        </w:rPr>
        <w:t xml:space="preserve">, the System’s deferred inflows of resources </w:t>
      </w:r>
      <w:r w:rsidR="008B28D7">
        <w:rPr>
          <w:rFonts w:cstheme="minorHAnsi"/>
          <w:sz w:val="24"/>
        </w:rPr>
        <w:t xml:space="preserve">increased </w:t>
      </w:r>
      <w:r>
        <w:rPr>
          <w:rFonts w:cstheme="minorHAnsi"/>
          <w:sz w:val="24"/>
        </w:rPr>
        <w:t>$</w:t>
      </w:r>
      <w:r w:rsidR="008B28D7">
        <w:rPr>
          <w:rFonts w:cstheme="minorHAnsi"/>
          <w:sz w:val="24"/>
        </w:rPr>
        <w:t>2</w:t>
      </w:r>
      <w:r w:rsidR="0053792C">
        <w:rPr>
          <w:rFonts w:cstheme="minorHAnsi"/>
          <w:sz w:val="24"/>
        </w:rPr>
        <w:t>5</w:t>
      </w:r>
      <w:r w:rsidR="008B28D7">
        <w:rPr>
          <w:rFonts w:cstheme="minorHAnsi"/>
          <w:sz w:val="24"/>
        </w:rPr>
        <w:t xml:space="preserve"> </w:t>
      </w:r>
      <w:r>
        <w:rPr>
          <w:rFonts w:cstheme="minorHAnsi"/>
          <w:sz w:val="24"/>
        </w:rPr>
        <w:t>million from the $</w:t>
      </w:r>
      <w:r w:rsidR="008B28D7">
        <w:rPr>
          <w:rFonts w:cstheme="minorHAnsi"/>
          <w:sz w:val="24"/>
        </w:rPr>
        <w:t xml:space="preserve">37 </w:t>
      </w:r>
      <w:r>
        <w:rPr>
          <w:rFonts w:cstheme="minorHAnsi"/>
          <w:sz w:val="24"/>
        </w:rPr>
        <w:t xml:space="preserve">million at June 30, </w:t>
      </w:r>
      <w:r w:rsidR="008B28D7">
        <w:rPr>
          <w:rFonts w:cstheme="minorHAnsi"/>
          <w:sz w:val="24"/>
        </w:rPr>
        <w:t>2020</w:t>
      </w:r>
      <w:r>
        <w:rPr>
          <w:rFonts w:cstheme="minorHAnsi"/>
          <w:sz w:val="24"/>
        </w:rPr>
        <w:t>, primarily due to a</w:t>
      </w:r>
      <w:r w:rsidR="008B28D7">
        <w:rPr>
          <w:rFonts w:cstheme="minorHAnsi"/>
          <w:sz w:val="24"/>
        </w:rPr>
        <w:t>n</w:t>
      </w:r>
      <w:r>
        <w:rPr>
          <w:rFonts w:cstheme="minorHAnsi"/>
          <w:sz w:val="24"/>
        </w:rPr>
        <w:t xml:space="preserve"> </w:t>
      </w:r>
      <w:r w:rsidR="008B28D7">
        <w:rPr>
          <w:rFonts w:cstheme="minorHAnsi"/>
          <w:sz w:val="24"/>
        </w:rPr>
        <w:t xml:space="preserve">increase </w:t>
      </w:r>
      <w:r>
        <w:rPr>
          <w:rFonts w:cstheme="minorHAnsi"/>
          <w:sz w:val="24"/>
        </w:rPr>
        <w:t>of $</w:t>
      </w:r>
      <w:r w:rsidR="008B28D7">
        <w:rPr>
          <w:rFonts w:cstheme="minorHAnsi"/>
          <w:sz w:val="24"/>
        </w:rPr>
        <w:t>22</w:t>
      </w:r>
      <w:r>
        <w:rPr>
          <w:rFonts w:cstheme="minorHAnsi"/>
          <w:sz w:val="24"/>
        </w:rPr>
        <w:t xml:space="preserve"> million related to the System’s OPEB plan.</w:t>
      </w:r>
    </w:p>
    <w:p w14:paraId="3499E165" w14:textId="77777777" w:rsidR="00987D33" w:rsidRDefault="00987D33" w:rsidP="00987D33">
      <w:pPr>
        <w:pStyle w:val="AFR3"/>
        <w:rPr>
          <w:rFonts w:cstheme="minorHAnsi"/>
        </w:rPr>
      </w:pPr>
      <w:r>
        <w:rPr>
          <w:rFonts w:cstheme="minorHAnsi"/>
        </w:rPr>
        <w:t>Net Position</w:t>
      </w:r>
    </w:p>
    <w:p w14:paraId="0E68B5F0" w14:textId="644B324C" w:rsidR="00987D33" w:rsidRPr="00AA74FC" w:rsidRDefault="00987D33" w:rsidP="00987D33">
      <w:pPr>
        <w:rPr>
          <w:rFonts w:cstheme="minorHAnsi"/>
          <w:sz w:val="24"/>
        </w:rPr>
      </w:pPr>
      <w:r>
        <w:rPr>
          <w:rFonts w:cstheme="minorHAnsi"/>
          <w:color w:val="000000" w:themeColor="text1"/>
          <w:sz w:val="24"/>
        </w:rPr>
        <w:t xml:space="preserve">As seen in the Condensed Statements of Net Position shown in Table 3 </w:t>
      </w:r>
      <w:r w:rsidRPr="00790722">
        <w:rPr>
          <w:rFonts w:cstheme="minorHAnsi"/>
          <w:color w:val="000000" w:themeColor="text1"/>
          <w:sz w:val="24"/>
        </w:rPr>
        <w:t>on page</w:t>
      </w:r>
      <w:r>
        <w:rPr>
          <w:rFonts w:cstheme="minorHAnsi"/>
          <w:color w:val="000000" w:themeColor="text1"/>
          <w:sz w:val="24"/>
        </w:rPr>
        <w:t xml:space="preserve"> </w:t>
      </w:r>
      <w:r w:rsidR="000A5316" w:rsidRPr="003B2FB3">
        <w:rPr>
          <w:rFonts w:cstheme="minorHAnsi"/>
          <w:color w:val="0D0D0D" w:themeColor="text1" w:themeTint="F2"/>
          <w:sz w:val="24"/>
        </w:rPr>
        <w:t>1</w:t>
      </w:r>
      <w:r w:rsidR="00304161">
        <w:rPr>
          <w:rFonts w:cstheme="minorHAnsi"/>
          <w:color w:val="0D0D0D" w:themeColor="text1" w:themeTint="F2"/>
          <w:sz w:val="24"/>
        </w:rPr>
        <w:t>9</w:t>
      </w:r>
      <w:r w:rsidRPr="006E44D1">
        <w:rPr>
          <w:rFonts w:cstheme="minorHAnsi"/>
          <w:color w:val="0D0D0D" w:themeColor="text1" w:themeTint="F2"/>
          <w:sz w:val="24"/>
        </w:rPr>
        <w:t>,</w:t>
      </w:r>
      <w:r w:rsidRPr="00753E47">
        <w:rPr>
          <w:rFonts w:cstheme="minorHAnsi"/>
          <w:sz w:val="24"/>
        </w:rPr>
        <w:t xml:space="preserve"> </w:t>
      </w:r>
      <w:r w:rsidRPr="00AA74FC">
        <w:rPr>
          <w:rFonts w:cstheme="minorHAnsi"/>
          <w:sz w:val="24"/>
        </w:rPr>
        <w:t>the System’s total net position is presented by the below noted four categories.</w:t>
      </w:r>
    </w:p>
    <w:p w14:paraId="62186E49" w14:textId="77777777" w:rsidR="00987D33" w:rsidRPr="00B73AEE" w:rsidRDefault="00987D33" w:rsidP="00987D33">
      <w:pPr>
        <w:rPr>
          <w:rFonts w:cstheme="minorHAnsi"/>
          <w:color w:val="FF0000"/>
          <w:sz w:val="20"/>
        </w:rPr>
      </w:pPr>
    </w:p>
    <w:p w14:paraId="5E4BC5E7" w14:textId="540D881B" w:rsidR="00987D33" w:rsidRDefault="00987D33" w:rsidP="00987D33">
      <w:pPr>
        <w:rPr>
          <w:rFonts w:cstheme="minorHAnsi"/>
          <w:color w:val="000000" w:themeColor="text1"/>
          <w:sz w:val="24"/>
        </w:rPr>
      </w:pPr>
      <w:r>
        <w:rPr>
          <w:rFonts w:cstheme="minorHAnsi"/>
          <w:b/>
          <w:color w:val="000000" w:themeColor="text1"/>
          <w:sz w:val="24"/>
        </w:rPr>
        <w:t>Net investment in capital assets</w:t>
      </w:r>
      <w:r>
        <w:rPr>
          <w:rFonts w:cstheme="minorHAnsi"/>
          <w:color w:val="000000" w:themeColor="text1"/>
          <w:sz w:val="24"/>
        </w:rPr>
        <w:t xml:space="preserve"> represents the historical cost of the System’s capital assets reduced by total accumulated depreciation and outstanding balances of debt attributable to the acquisition, construction, or improvement of those assets. The System’s net investment in capital assets was </w:t>
      </w:r>
      <w:r w:rsidRPr="00FA191E">
        <w:rPr>
          <w:rFonts w:cstheme="minorHAnsi"/>
          <w:sz w:val="24"/>
        </w:rPr>
        <w:t>$</w:t>
      </w:r>
      <w:r w:rsidR="003F37CD">
        <w:rPr>
          <w:rFonts w:cstheme="minorHAnsi"/>
          <w:sz w:val="24"/>
        </w:rPr>
        <w:t>589</w:t>
      </w:r>
      <w:r w:rsidR="003F37CD">
        <w:rPr>
          <w:rFonts w:cstheme="minorHAnsi"/>
          <w:color w:val="000000" w:themeColor="text1"/>
          <w:sz w:val="24"/>
        </w:rPr>
        <w:t xml:space="preserve"> </w:t>
      </w:r>
      <w:r>
        <w:rPr>
          <w:rFonts w:cstheme="minorHAnsi"/>
          <w:color w:val="000000" w:themeColor="text1"/>
          <w:sz w:val="24"/>
        </w:rPr>
        <w:t xml:space="preserve">million at June 30, </w:t>
      </w:r>
      <w:r w:rsidR="00F02E2A">
        <w:rPr>
          <w:rFonts w:cstheme="minorHAnsi"/>
          <w:color w:val="000000" w:themeColor="text1"/>
          <w:sz w:val="24"/>
        </w:rPr>
        <w:t xml:space="preserve">2022 </w:t>
      </w:r>
      <w:r>
        <w:rPr>
          <w:rFonts w:cstheme="minorHAnsi"/>
          <w:color w:val="000000" w:themeColor="text1"/>
          <w:sz w:val="24"/>
        </w:rPr>
        <w:t>and $</w:t>
      </w:r>
      <w:r w:rsidR="00F02E2A">
        <w:rPr>
          <w:rFonts w:cstheme="minorHAnsi"/>
          <w:color w:val="000000" w:themeColor="text1"/>
          <w:sz w:val="24"/>
        </w:rPr>
        <w:t>5</w:t>
      </w:r>
      <w:r w:rsidR="0053792C">
        <w:rPr>
          <w:rFonts w:cstheme="minorHAnsi"/>
          <w:color w:val="000000" w:themeColor="text1"/>
          <w:sz w:val="24"/>
        </w:rPr>
        <w:t>49</w:t>
      </w:r>
      <w:r w:rsidR="00F02E2A">
        <w:rPr>
          <w:rFonts w:cstheme="minorHAnsi"/>
          <w:color w:val="000000" w:themeColor="text1"/>
          <w:sz w:val="24"/>
        </w:rPr>
        <w:t xml:space="preserve"> </w:t>
      </w:r>
      <w:r>
        <w:rPr>
          <w:rFonts w:cstheme="minorHAnsi"/>
          <w:color w:val="000000" w:themeColor="text1"/>
          <w:sz w:val="24"/>
        </w:rPr>
        <w:t xml:space="preserve">million at June 30, </w:t>
      </w:r>
      <w:r w:rsidR="00F02E2A">
        <w:rPr>
          <w:rFonts w:cstheme="minorHAnsi"/>
          <w:color w:val="000000" w:themeColor="text1"/>
          <w:sz w:val="24"/>
        </w:rPr>
        <w:t>2021</w:t>
      </w:r>
      <w:r>
        <w:rPr>
          <w:rFonts w:cstheme="minorHAnsi"/>
          <w:color w:val="000000" w:themeColor="text1"/>
          <w:sz w:val="24"/>
        </w:rPr>
        <w:t>.</w:t>
      </w:r>
    </w:p>
    <w:p w14:paraId="1BF41187" w14:textId="77777777" w:rsidR="00987D33" w:rsidRPr="00DE50BF" w:rsidRDefault="00987D33" w:rsidP="00987D33">
      <w:pPr>
        <w:rPr>
          <w:rFonts w:cstheme="minorHAnsi"/>
          <w:color w:val="000000" w:themeColor="text1"/>
          <w:sz w:val="20"/>
        </w:rPr>
      </w:pPr>
    </w:p>
    <w:p w14:paraId="7D511D04" w14:textId="37FD6570" w:rsidR="00987D33" w:rsidRDefault="00987D33" w:rsidP="00987D33">
      <w:pPr>
        <w:rPr>
          <w:rFonts w:cstheme="minorHAnsi"/>
          <w:color w:val="000000" w:themeColor="text1"/>
          <w:sz w:val="24"/>
        </w:rPr>
      </w:pPr>
      <w:r>
        <w:rPr>
          <w:rFonts w:cstheme="minorHAnsi"/>
          <w:color w:val="000000" w:themeColor="text1"/>
          <w:sz w:val="24"/>
        </w:rPr>
        <w:t xml:space="preserve">The </w:t>
      </w:r>
      <w:r w:rsidR="00F02E2A" w:rsidRPr="00FA191E">
        <w:rPr>
          <w:rFonts w:cstheme="minorHAnsi"/>
          <w:sz w:val="24"/>
        </w:rPr>
        <w:t>FY2</w:t>
      </w:r>
      <w:r w:rsidR="00F02E2A">
        <w:rPr>
          <w:rFonts w:cstheme="minorHAnsi"/>
          <w:sz w:val="24"/>
        </w:rPr>
        <w:t>2</w:t>
      </w:r>
      <w:r w:rsidR="00F02E2A" w:rsidRPr="00FA191E">
        <w:rPr>
          <w:rFonts w:cstheme="minorHAnsi"/>
          <w:sz w:val="24"/>
        </w:rPr>
        <w:t xml:space="preserve"> </w:t>
      </w:r>
      <w:r w:rsidRPr="00721CFD">
        <w:rPr>
          <w:rFonts w:cstheme="minorHAnsi"/>
          <w:sz w:val="24"/>
        </w:rPr>
        <w:t>in</w:t>
      </w:r>
      <w:r w:rsidRPr="00FA191E">
        <w:rPr>
          <w:rFonts w:cstheme="minorHAnsi"/>
          <w:sz w:val="24"/>
        </w:rPr>
        <w:t xml:space="preserve">crease </w:t>
      </w:r>
      <w:r>
        <w:rPr>
          <w:rFonts w:cstheme="minorHAnsi"/>
          <w:color w:val="000000" w:themeColor="text1"/>
          <w:sz w:val="24"/>
        </w:rPr>
        <w:t xml:space="preserve">in net investment in capital assets of </w:t>
      </w:r>
      <w:r w:rsidRPr="00FA191E">
        <w:rPr>
          <w:rFonts w:cstheme="minorHAnsi"/>
          <w:sz w:val="24"/>
        </w:rPr>
        <w:t>$</w:t>
      </w:r>
      <w:r w:rsidR="003F37CD">
        <w:rPr>
          <w:rFonts w:cstheme="minorHAnsi"/>
          <w:sz w:val="24"/>
        </w:rPr>
        <w:t>40</w:t>
      </w:r>
      <w:r w:rsidR="006B2BFC" w:rsidRPr="00136C79">
        <w:rPr>
          <w:rFonts w:cstheme="minorHAnsi"/>
          <w:sz w:val="24"/>
        </w:rPr>
        <w:t xml:space="preserve"> </w:t>
      </w:r>
      <w:r>
        <w:rPr>
          <w:rFonts w:cstheme="minorHAnsi"/>
          <w:color w:val="000000" w:themeColor="text1"/>
          <w:sz w:val="24"/>
        </w:rPr>
        <w:t xml:space="preserve">million was comprised of capital </w:t>
      </w:r>
      <w:r w:rsidRPr="00FA191E">
        <w:rPr>
          <w:rFonts w:cstheme="minorHAnsi"/>
          <w:sz w:val="24"/>
        </w:rPr>
        <w:t xml:space="preserve">asset </w:t>
      </w:r>
      <w:r w:rsidR="00E56947">
        <w:rPr>
          <w:rFonts w:cstheme="minorHAnsi"/>
          <w:sz w:val="24"/>
        </w:rPr>
        <w:t>additions</w:t>
      </w:r>
      <w:r w:rsidR="00E56947" w:rsidRPr="00FA191E">
        <w:rPr>
          <w:rFonts w:cstheme="minorHAnsi"/>
          <w:sz w:val="24"/>
        </w:rPr>
        <w:t xml:space="preserve"> </w:t>
      </w:r>
      <w:r w:rsidRPr="00FA191E">
        <w:rPr>
          <w:rFonts w:cstheme="minorHAnsi"/>
          <w:sz w:val="24"/>
        </w:rPr>
        <w:t>of $</w:t>
      </w:r>
      <w:r w:rsidR="0062262D">
        <w:rPr>
          <w:rFonts w:cstheme="minorHAnsi"/>
          <w:sz w:val="24"/>
        </w:rPr>
        <w:t>119</w:t>
      </w:r>
      <w:r w:rsidR="0062262D" w:rsidRPr="00FA191E">
        <w:rPr>
          <w:rFonts w:cstheme="minorHAnsi"/>
          <w:sz w:val="24"/>
        </w:rPr>
        <w:t xml:space="preserve"> </w:t>
      </w:r>
      <w:r>
        <w:rPr>
          <w:rFonts w:cstheme="minorHAnsi"/>
          <w:color w:val="000000" w:themeColor="text1"/>
          <w:sz w:val="24"/>
        </w:rPr>
        <w:t xml:space="preserve">million </w:t>
      </w:r>
      <w:r w:rsidRPr="00701541">
        <w:rPr>
          <w:rFonts w:cstheme="minorHAnsi"/>
          <w:sz w:val="24"/>
        </w:rPr>
        <w:t>less $</w:t>
      </w:r>
      <w:r w:rsidR="00FC4B1F" w:rsidRPr="00721CFD">
        <w:rPr>
          <w:rFonts w:cstheme="minorHAnsi"/>
          <w:sz w:val="24"/>
        </w:rPr>
        <w:t>4</w:t>
      </w:r>
      <w:r w:rsidR="00FC4B1F">
        <w:rPr>
          <w:rFonts w:cstheme="minorHAnsi"/>
          <w:sz w:val="24"/>
        </w:rPr>
        <w:t>4</w:t>
      </w:r>
      <w:r w:rsidR="00FC4B1F" w:rsidRPr="00701541">
        <w:rPr>
          <w:rFonts w:cstheme="minorHAnsi"/>
          <w:sz w:val="24"/>
        </w:rPr>
        <w:t xml:space="preserve"> </w:t>
      </w:r>
      <w:r>
        <w:rPr>
          <w:rFonts w:cstheme="minorHAnsi"/>
          <w:color w:val="000000" w:themeColor="text1"/>
          <w:sz w:val="24"/>
        </w:rPr>
        <w:t>million of depreciation expense,</w:t>
      </w:r>
      <w:r w:rsidRPr="00701541">
        <w:rPr>
          <w:rFonts w:cstheme="minorHAnsi"/>
          <w:sz w:val="24"/>
        </w:rPr>
        <w:t xml:space="preserve"> </w:t>
      </w:r>
      <w:r>
        <w:rPr>
          <w:rFonts w:cstheme="minorHAnsi"/>
          <w:sz w:val="24"/>
        </w:rPr>
        <w:t xml:space="preserve">less </w:t>
      </w:r>
      <w:r w:rsidRPr="00701541">
        <w:rPr>
          <w:rFonts w:cstheme="minorHAnsi"/>
          <w:sz w:val="24"/>
        </w:rPr>
        <w:t>$</w:t>
      </w:r>
      <w:r w:rsidR="0053792C">
        <w:rPr>
          <w:rFonts w:cstheme="minorHAnsi"/>
          <w:sz w:val="24"/>
        </w:rPr>
        <w:t>1</w:t>
      </w:r>
      <w:r w:rsidR="0053792C">
        <w:rPr>
          <w:rFonts w:cstheme="minorHAnsi"/>
          <w:color w:val="000000" w:themeColor="text1"/>
          <w:sz w:val="24"/>
        </w:rPr>
        <w:t xml:space="preserve"> </w:t>
      </w:r>
      <w:r>
        <w:rPr>
          <w:rFonts w:cstheme="minorHAnsi"/>
          <w:color w:val="000000" w:themeColor="text1"/>
          <w:sz w:val="24"/>
        </w:rPr>
        <w:t xml:space="preserve">million of capital asset retirements, </w:t>
      </w:r>
      <w:r w:rsidR="008A349A">
        <w:rPr>
          <w:rFonts w:cstheme="minorHAnsi"/>
          <w:sz w:val="24"/>
        </w:rPr>
        <w:t>less</w:t>
      </w:r>
      <w:r w:rsidR="008A349A">
        <w:rPr>
          <w:rFonts w:cstheme="minorHAnsi"/>
          <w:color w:val="000000" w:themeColor="text1"/>
          <w:sz w:val="24"/>
        </w:rPr>
        <w:t xml:space="preserve"> </w:t>
      </w:r>
      <w:r w:rsidRPr="00D83E6F">
        <w:rPr>
          <w:rFonts w:cstheme="minorHAnsi"/>
          <w:color w:val="000000" w:themeColor="text1"/>
          <w:sz w:val="24"/>
        </w:rPr>
        <w:t>a</w:t>
      </w:r>
      <w:r w:rsidR="008A349A">
        <w:rPr>
          <w:rFonts w:cstheme="minorHAnsi"/>
          <w:color w:val="000000" w:themeColor="text1"/>
          <w:sz w:val="24"/>
        </w:rPr>
        <w:t>n</w:t>
      </w:r>
      <w:r w:rsidRPr="00D83E6F">
        <w:rPr>
          <w:rFonts w:cstheme="minorHAnsi"/>
          <w:color w:val="000000" w:themeColor="text1"/>
          <w:sz w:val="24"/>
        </w:rPr>
        <w:t xml:space="preserve"> </w:t>
      </w:r>
      <w:r w:rsidR="008A349A">
        <w:rPr>
          <w:rFonts w:cstheme="minorHAnsi"/>
          <w:color w:val="000000" w:themeColor="text1"/>
          <w:sz w:val="24"/>
        </w:rPr>
        <w:t>increase</w:t>
      </w:r>
      <w:r w:rsidRPr="00D83E6F">
        <w:rPr>
          <w:rFonts w:cstheme="minorHAnsi"/>
          <w:color w:val="000000" w:themeColor="text1"/>
          <w:sz w:val="24"/>
        </w:rPr>
        <w:t xml:space="preserve"> in debt</w:t>
      </w:r>
      <w:r>
        <w:rPr>
          <w:rFonts w:cstheme="minorHAnsi"/>
          <w:color w:val="000000" w:themeColor="text1"/>
          <w:sz w:val="24"/>
        </w:rPr>
        <w:t xml:space="preserve"> </w:t>
      </w:r>
      <w:r w:rsidR="005955F3">
        <w:rPr>
          <w:rFonts w:cstheme="minorHAnsi"/>
          <w:color w:val="000000" w:themeColor="text1"/>
          <w:sz w:val="24"/>
        </w:rPr>
        <w:t xml:space="preserve">and other liabilities </w:t>
      </w:r>
      <w:r>
        <w:rPr>
          <w:rFonts w:cstheme="minorHAnsi"/>
          <w:color w:val="000000" w:themeColor="text1"/>
          <w:sz w:val="24"/>
        </w:rPr>
        <w:t xml:space="preserve">of </w:t>
      </w:r>
      <w:r w:rsidRPr="00BE2B5B">
        <w:rPr>
          <w:rFonts w:cstheme="minorHAnsi"/>
          <w:sz w:val="24"/>
        </w:rPr>
        <w:t>$</w:t>
      </w:r>
      <w:r w:rsidR="008A349A">
        <w:rPr>
          <w:rFonts w:cstheme="minorHAnsi"/>
          <w:sz w:val="24"/>
        </w:rPr>
        <w:t>7</w:t>
      </w:r>
      <w:r w:rsidR="008A349A">
        <w:rPr>
          <w:rFonts w:cstheme="minorHAnsi"/>
          <w:color w:val="000000" w:themeColor="text1"/>
          <w:sz w:val="24"/>
        </w:rPr>
        <w:t xml:space="preserve"> </w:t>
      </w:r>
      <w:r>
        <w:rPr>
          <w:rFonts w:cstheme="minorHAnsi"/>
          <w:color w:val="000000" w:themeColor="text1"/>
          <w:sz w:val="24"/>
        </w:rPr>
        <w:t>million</w:t>
      </w:r>
      <w:r w:rsidR="003B2FB3">
        <w:rPr>
          <w:rFonts w:cstheme="minorHAnsi"/>
          <w:color w:val="000000" w:themeColor="text1"/>
          <w:sz w:val="24"/>
        </w:rPr>
        <w:t xml:space="preserve">, </w:t>
      </w:r>
      <w:r w:rsidR="007E0D29">
        <w:rPr>
          <w:rFonts w:cstheme="minorHAnsi"/>
          <w:color w:val="000000" w:themeColor="text1"/>
          <w:sz w:val="24"/>
        </w:rPr>
        <w:t>and less</w:t>
      </w:r>
      <w:r w:rsidR="005955F3">
        <w:rPr>
          <w:rFonts w:cstheme="minorHAnsi"/>
          <w:color w:val="000000" w:themeColor="text1"/>
          <w:sz w:val="24"/>
        </w:rPr>
        <w:t xml:space="preserve"> a $27 million reclassification of debt from unexpended plant to invested in capital assets</w:t>
      </w:r>
      <w:r>
        <w:rPr>
          <w:rFonts w:cstheme="minorHAnsi"/>
          <w:color w:val="000000" w:themeColor="text1"/>
          <w:sz w:val="24"/>
        </w:rPr>
        <w:t>.</w:t>
      </w:r>
    </w:p>
    <w:p w14:paraId="2BD30C67" w14:textId="77777777" w:rsidR="00987D33" w:rsidRPr="00DE50BF" w:rsidRDefault="00987D33" w:rsidP="00987D33">
      <w:pPr>
        <w:rPr>
          <w:rFonts w:cstheme="minorHAnsi"/>
          <w:color w:val="000000" w:themeColor="text1"/>
          <w:sz w:val="20"/>
        </w:rPr>
      </w:pPr>
    </w:p>
    <w:p w14:paraId="5A8F9F43" w14:textId="3D43ABDA" w:rsidR="00987D33" w:rsidRDefault="00987D33" w:rsidP="00987D33">
      <w:pPr>
        <w:rPr>
          <w:rFonts w:cstheme="minorHAnsi"/>
          <w:color w:val="000000" w:themeColor="text1"/>
          <w:sz w:val="24"/>
        </w:rPr>
      </w:pPr>
      <w:r w:rsidRPr="006A730E">
        <w:rPr>
          <w:rFonts w:cstheme="minorHAnsi"/>
          <w:color w:val="000000" w:themeColor="text1"/>
          <w:sz w:val="24"/>
        </w:rPr>
        <w:t xml:space="preserve">The </w:t>
      </w:r>
      <w:r w:rsidR="00F02E2A" w:rsidRPr="006A730E">
        <w:rPr>
          <w:rFonts w:cstheme="minorHAnsi"/>
          <w:color w:val="000000" w:themeColor="text1"/>
          <w:sz w:val="24"/>
        </w:rPr>
        <w:t xml:space="preserve">FY21 </w:t>
      </w:r>
      <w:r w:rsidR="00D023F3">
        <w:rPr>
          <w:rFonts w:cstheme="minorHAnsi"/>
          <w:color w:val="000000" w:themeColor="text1"/>
          <w:sz w:val="24"/>
        </w:rPr>
        <w:t>increase</w:t>
      </w:r>
      <w:r w:rsidR="00673FF8" w:rsidRPr="006A730E">
        <w:rPr>
          <w:rFonts w:cstheme="minorHAnsi"/>
          <w:color w:val="000000" w:themeColor="text1"/>
          <w:sz w:val="24"/>
        </w:rPr>
        <w:t xml:space="preserve"> </w:t>
      </w:r>
      <w:r w:rsidRPr="006A730E">
        <w:rPr>
          <w:rFonts w:cstheme="minorHAnsi"/>
          <w:color w:val="000000" w:themeColor="text1"/>
          <w:sz w:val="24"/>
        </w:rPr>
        <w:t>in net investment in capital assets of $</w:t>
      </w:r>
      <w:r w:rsidR="00846900">
        <w:rPr>
          <w:rFonts w:cstheme="minorHAnsi"/>
          <w:color w:val="000000" w:themeColor="text1"/>
          <w:sz w:val="24"/>
        </w:rPr>
        <w:t>2</w:t>
      </w:r>
      <w:r w:rsidR="006B2BFC" w:rsidRPr="006A730E">
        <w:rPr>
          <w:rFonts w:cstheme="minorHAnsi"/>
          <w:color w:val="000000" w:themeColor="text1"/>
          <w:sz w:val="24"/>
        </w:rPr>
        <w:t xml:space="preserve"> </w:t>
      </w:r>
      <w:r w:rsidRPr="006A730E">
        <w:rPr>
          <w:rFonts w:cstheme="minorHAnsi"/>
          <w:color w:val="000000" w:themeColor="text1"/>
          <w:sz w:val="24"/>
        </w:rPr>
        <w:t xml:space="preserve">million was comprised of capital asset </w:t>
      </w:r>
      <w:r w:rsidR="00E56947" w:rsidRPr="006A730E">
        <w:rPr>
          <w:rFonts w:cstheme="minorHAnsi"/>
          <w:color w:val="000000" w:themeColor="text1"/>
          <w:sz w:val="24"/>
        </w:rPr>
        <w:t xml:space="preserve">additions </w:t>
      </w:r>
      <w:r w:rsidRPr="006A730E">
        <w:rPr>
          <w:rFonts w:cstheme="minorHAnsi"/>
          <w:color w:val="000000" w:themeColor="text1"/>
          <w:sz w:val="24"/>
        </w:rPr>
        <w:t>of $</w:t>
      </w:r>
      <w:r w:rsidR="00F02E2A" w:rsidRPr="006A730E">
        <w:rPr>
          <w:rFonts w:cstheme="minorHAnsi"/>
          <w:color w:val="000000" w:themeColor="text1"/>
          <w:sz w:val="24"/>
        </w:rPr>
        <w:t xml:space="preserve">50 </w:t>
      </w:r>
      <w:r w:rsidRPr="006A730E">
        <w:rPr>
          <w:rFonts w:cstheme="minorHAnsi"/>
          <w:color w:val="000000" w:themeColor="text1"/>
          <w:sz w:val="24"/>
        </w:rPr>
        <w:t>million less $</w:t>
      </w:r>
      <w:r w:rsidR="00AE574F" w:rsidRPr="006A730E">
        <w:rPr>
          <w:rFonts w:cstheme="minorHAnsi"/>
          <w:color w:val="000000" w:themeColor="text1"/>
          <w:sz w:val="24"/>
        </w:rPr>
        <w:t>4</w:t>
      </w:r>
      <w:r w:rsidR="00673FF8" w:rsidRPr="003B2FB3">
        <w:rPr>
          <w:rFonts w:cstheme="minorHAnsi"/>
          <w:color w:val="000000" w:themeColor="text1"/>
          <w:sz w:val="24"/>
        </w:rPr>
        <w:t>4</w:t>
      </w:r>
      <w:r w:rsidR="00AE574F" w:rsidRPr="006A730E">
        <w:rPr>
          <w:rFonts w:cstheme="minorHAnsi"/>
          <w:color w:val="000000" w:themeColor="text1"/>
          <w:sz w:val="24"/>
        </w:rPr>
        <w:t xml:space="preserve"> </w:t>
      </w:r>
      <w:r w:rsidRPr="006A730E">
        <w:rPr>
          <w:rFonts w:cstheme="minorHAnsi"/>
          <w:color w:val="000000" w:themeColor="text1"/>
          <w:sz w:val="24"/>
        </w:rPr>
        <w:t>million of depreciation expense, less $</w:t>
      </w:r>
      <w:r w:rsidR="00F02E2A" w:rsidRPr="006A730E">
        <w:rPr>
          <w:rFonts w:cstheme="minorHAnsi"/>
          <w:color w:val="000000" w:themeColor="text1"/>
          <w:sz w:val="24"/>
        </w:rPr>
        <w:t xml:space="preserve">2 </w:t>
      </w:r>
      <w:r w:rsidRPr="006A730E">
        <w:rPr>
          <w:rFonts w:cstheme="minorHAnsi"/>
          <w:color w:val="000000" w:themeColor="text1"/>
          <w:sz w:val="24"/>
        </w:rPr>
        <w:t>million of capital asset retirements, less new debt of $</w:t>
      </w:r>
      <w:r w:rsidR="00FA25EA" w:rsidRPr="006A730E">
        <w:rPr>
          <w:rFonts w:cstheme="minorHAnsi"/>
          <w:color w:val="000000" w:themeColor="text1"/>
          <w:sz w:val="24"/>
        </w:rPr>
        <w:t>1</w:t>
      </w:r>
      <w:r w:rsidR="00D023F3">
        <w:rPr>
          <w:rFonts w:cstheme="minorHAnsi"/>
          <w:color w:val="000000" w:themeColor="text1"/>
          <w:sz w:val="24"/>
        </w:rPr>
        <w:t>6</w:t>
      </w:r>
      <w:r w:rsidR="00FA25EA" w:rsidRPr="006A730E">
        <w:rPr>
          <w:rFonts w:cstheme="minorHAnsi"/>
          <w:color w:val="000000" w:themeColor="text1"/>
          <w:sz w:val="24"/>
        </w:rPr>
        <w:t xml:space="preserve"> </w:t>
      </w:r>
      <w:r w:rsidRPr="006A730E">
        <w:rPr>
          <w:rFonts w:cstheme="minorHAnsi"/>
          <w:color w:val="000000" w:themeColor="text1"/>
          <w:sz w:val="24"/>
        </w:rPr>
        <w:t>million, plus a reduction in debt of $</w:t>
      </w:r>
      <w:r w:rsidR="00846900" w:rsidRPr="006A730E">
        <w:rPr>
          <w:rFonts w:cstheme="minorHAnsi"/>
          <w:color w:val="000000" w:themeColor="text1"/>
          <w:sz w:val="24"/>
        </w:rPr>
        <w:t>1</w:t>
      </w:r>
      <w:r w:rsidR="00846900">
        <w:rPr>
          <w:rFonts w:cstheme="minorHAnsi"/>
          <w:color w:val="000000" w:themeColor="text1"/>
          <w:sz w:val="24"/>
        </w:rPr>
        <w:t>4</w:t>
      </w:r>
      <w:r w:rsidR="00846900" w:rsidRPr="006A730E">
        <w:rPr>
          <w:rFonts w:cstheme="minorHAnsi"/>
          <w:color w:val="000000" w:themeColor="text1"/>
          <w:sz w:val="24"/>
        </w:rPr>
        <w:t xml:space="preserve"> </w:t>
      </w:r>
      <w:r w:rsidRPr="006A730E">
        <w:rPr>
          <w:rFonts w:cstheme="minorHAnsi"/>
          <w:color w:val="000000" w:themeColor="text1"/>
          <w:sz w:val="24"/>
        </w:rPr>
        <w:t>million.</w:t>
      </w:r>
    </w:p>
    <w:p w14:paraId="52DDB0FE" w14:textId="77777777" w:rsidR="00987D33" w:rsidRPr="00DE50BF" w:rsidRDefault="00987D33" w:rsidP="00987D33">
      <w:pPr>
        <w:rPr>
          <w:rFonts w:cstheme="minorHAnsi"/>
          <w:color w:val="000000" w:themeColor="text1"/>
          <w:sz w:val="20"/>
        </w:rPr>
      </w:pPr>
    </w:p>
    <w:p w14:paraId="1DDBF072" w14:textId="7830142C" w:rsidR="00987D33" w:rsidRDefault="00987D33" w:rsidP="00987D33">
      <w:pPr>
        <w:rPr>
          <w:rFonts w:cstheme="minorHAnsi"/>
          <w:color w:val="000000" w:themeColor="text1"/>
          <w:sz w:val="24"/>
        </w:rPr>
      </w:pPr>
      <w:r>
        <w:rPr>
          <w:rFonts w:cstheme="minorHAnsi"/>
          <w:b/>
          <w:color w:val="000000" w:themeColor="text1"/>
          <w:sz w:val="24"/>
        </w:rPr>
        <w:t>Restricted-nonexpendable net position</w:t>
      </w:r>
      <w:r>
        <w:rPr>
          <w:rFonts w:cstheme="minorHAnsi"/>
          <w:color w:val="000000" w:themeColor="text1"/>
          <w:sz w:val="24"/>
        </w:rPr>
        <w:t xml:space="preserve"> represents the corpus of the System’s permanent endowment funds. Items that impact this category of net position include new endowment gifts and fair value fluctuations for those endowments whose fair value has fallen below the endowment corpus. The June 30, </w:t>
      </w:r>
      <w:r w:rsidR="00F02E2A">
        <w:rPr>
          <w:rFonts w:cstheme="minorHAnsi"/>
          <w:color w:val="000000" w:themeColor="text1"/>
          <w:sz w:val="24"/>
        </w:rPr>
        <w:t xml:space="preserve">2022 </w:t>
      </w:r>
      <w:r>
        <w:rPr>
          <w:rFonts w:cstheme="minorHAnsi"/>
          <w:color w:val="000000" w:themeColor="text1"/>
          <w:sz w:val="24"/>
        </w:rPr>
        <w:t xml:space="preserve">balance of </w:t>
      </w:r>
      <w:r w:rsidRPr="00A316AD">
        <w:rPr>
          <w:rFonts w:cstheme="minorHAnsi"/>
          <w:sz w:val="24"/>
        </w:rPr>
        <w:t>$</w:t>
      </w:r>
      <w:r w:rsidR="00E44FB8">
        <w:rPr>
          <w:rFonts w:cstheme="minorHAnsi"/>
          <w:sz w:val="24"/>
        </w:rPr>
        <w:t>71</w:t>
      </w:r>
      <w:r w:rsidR="00E44FB8">
        <w:rPr>
          <w:rFonts w:cstheme="minorHAnsi"/>
          <w:color w:val="000000" w:themeColor="text1"/>
          <w:sz w:val="24"/>
        </w:rPr>
        <w:t xml:space="preserve"> </w:t>
      </w:r>
      <w:r>
        <w:rPr>
          <w:rFonts w:cstheme="minorHAnsi"/>
          <w:color w:val="000000" w:themeColor="text1"/>
          <w:sz w:val="24"/>
        </w:rPr>
        <w:t xml:space="preserve">million </w:t>
      </w:r>
      <w:r w:rsidRPr="00721CFD">
        <w:rPr>
          <w:rFonts w:cstheme="minorHAnsi"/>
          <w:sz w:val="24"/>
        </w:rPr>
        <w:t>in</w:t>
      </w:r>
      <w:r w:rsidRPr="00A316AD">
        <w:rPr>
          <w:rFonts w:cstheme="minorHAnsi"/>
          <w:sz w:val="24"/>
        </w:rPr>
        <w:t>creased $</w:t>
      </w:r>
      <w:r w:rsidRPr="00721CFD">
        <w:rPr>
          <w:rFonts w:cstheme="minorHAnsi"/>
          <w:sz w:val="24"/>
        </w:rPr>
        <w:t>2</w:t>
      </w:r>
      <w:r>
        <w:rPr>
          <w:rFonts w:cstheme="minorHAnsi"/>
          <w:color w:val="000000" w:themeColor="text1"/>
          <w:sz w:val="24"/>
        </w:rPr>
        <w:t xml:space="preserve"> million, or </w:t>
      </w:r>
      <w:r w:rsidRPr="00721CFD">
        <w:rPr>
          <w:rFonts w:cstheme="minorHAnsi"/>
          <w:color w:val="000000" w:themeColor="text1"/>
          <w:sz w:val="24"/>
        </w:rPr>
        <w:t>3</w:t>
      </w:r>
      <w:r w:rsidRPr="00A316AD">
        <w:rPr>
          <w:rFonts w:cstheme="minorHAnsi"/>
          <w:sz w:val="24"/>
        </w:rPr>
        <w:t>%</w:t>
      </w:r>
      <w:r>
        <w:rPr>
          <w:rFonts w:cstheme="minorHAnsi"/>
          <w:color w:val="000000" w:themeColor="text1"/>
          <w:sz w:val="24"/>
        </w:rPr>
        <w:t>, over the $</w:t>
      </w:r>
      <w:r w:rsidR="00F02E2A">
        <w:rPr>
          <w:rFonts w:cstheme="minorHAnsi"/>
          <w:color w:val="000000" w:themeColor="text1"/>
          <w:sz w:val="24"/>
        </w:rPr>
        <w:t xml:space="preserve">69 </w:t>
      </w:r>
      <w:r>
        <w:rPr>
          <w:rFonts w:cstheme="minorHAnsi"/>
          <w:color w:val="000000" w:themeColor="text1"/>
          <w:sz w:val="24"/>
        </w:rPr>
        <w:t xml:space="preserve">million at June 30, </w:t>
      </w:r>
      <w:r w:rsidR="00F02E2A">
        <w:rPr>
          <w:rFonts w:cstheme="minorHAnsi"/>
          <w:color w:val="000000" w:themeColor="text1"/>
          <w:sz w:val="24"/>
        </w:rPr>
        <w:t>2021</w:t>
      </w:r>
      <w:r>
        <w:rPr>
          <w:rFonts w:cstheme="minorHAnsi"/>
          <w:color w:val="000000" w:themeColor="text1"/>
          <w:sz w:val="24"/>
        </w:rPr>
        <w:t xml:space="preserve">. For </w:t>
      </w:r>
      <w:r w:rsidR="00F02E2A">
        <w:rPr>
          <w:rFonts w:cstheme="minorHAnsi"/>
          <w:color w:val="000000" w:themeColor="text1"/>
          <w:sz w:val="24"/>
        </w:rPr>
        <w:t>FY21</w:t>
      </w:r>
      <w:r>
        <w:rPr>
          <w:rFonts w:cstheme="minorHAnsi"/>
          <w:color w:val="000000" w:themeColor="text1"/>
          <w:sz w:val="24"/>
        </w:rPr>
        <w:t>, restricted-</w:t>
      </w:r>
      <w:r w:rsidR="006B2BFC">
        <w:rPr>
          <w:rFonts w:cstheme="minorHAnsi"/>
          <w:color w:val="000000" w:themeColor="text1"/>
          <w:sz w:val="24"/>
        </w:rPr>
        <w:t>non</w:t>
      </w:r>
      <w:r>
        <w:rPr>
          <w:rFonts w:cstheme="minorHAnsi"/>
          <w:color w:val="000000" w:themeColor="text1"/>
          <w:sz w:val="24"/>
        </w:rPr>
        <w:t>expendable net position increased $</w:t>
      </w:r>
      <w:r w:rsidR="00F02E2A">
        <w:rPr>
          <w:rFonts w:cstheme="minorHAnsi"/>
          <w:color w:val="000000" w:themeColor="text1"/>
          <w:sz w:val="24"/>
        </w:rPr>
        <w:t xml:space="preserve">2 </w:t>
      </w:r>
      <w:r>
        <w:rPr>
          <w:rFonts w:cstheme="minorHAnsi"/>
          <w:color w:val="000000" w:themeColor="text1"/>
          <w:sz w:val="24"/>
        </w:rPr>
        <w:t xml:space="preserve">million, or </w:t>
      </w:r>
      <w:r w:rsidR="00F02E2A">
        <w:rPr>
          <w:rFonts w:cstheme="minorHAnsi"/>
          <w:color w:val="000000" w:themeColor="text1"/>
          <w:sz w:val="24"/>
        </w:rPr>
        <w:t>3</w:t>
      </w:r>
      <w:r>
        <w:rPr>
          <w:rFonts w:cstheme="minorHAnsi"/>
          <w:color w:val="000000" w:themeColor="text1"/>
          <w:sz w:val="24"/>
        </w:rPr>
        <w:t xml:space="preserve">%, from the </w:t>
      </w:r>
      <w:r w:rsidR="00F02E2A">
        <w:rPr>
          <w:rFonts w:cstheme="minorHAnsi"/>
          <w:color w:val="000000" w:themeColor="text1"/>
          <w:sz w:val="24"/>
        </w:rPr>
        <w:t xml:space="preserve">FY20 </w:t>
      </w:r>
      <w:r>
        <w:rPr>
          <w:rFonts w:cstheme="minorHAnsi"/>
          <w:color w:val="000000" w:themeColor="text1"/>
          <w:sz w:val="24"/>
        </w:rPr>
        <w:t>year-end balance of $</w:t>
      </w:r>
      <w:r w:rsidR="00F02E2A">
        <w:rPr>
          <w:rFonts w:cstheme="minorHAnsi"/>
          <w:color w:val="000000" w:themeColor="text1"/>
          <w:sz w:val="24"/>
        </w:rPr>
        <w:t>6</w:t>
      </w:r>
      <w:r w:rsidR="001E1FD4">
        <w:rPr>
          <w:rFonts w:cstheme="minorHAnsi"/>
          <w:color w:val="000000" w:themeColor="text1"/>
          <w:sz w:val="24"/>
        </w:rPr>
        <w:t>7</w:t>
      </w:r>
      <w:r w:rsidR="00F02E2A">
        <w:rPr>
          <w:rFonts w:cstheme="minorHAnsi"/>
          <w:color w:val="000000" w:themeColor="text1"/>
          <w:sz w:val="24"/>
        </w:rPr>
        <w:t xml:space="preserve"> </w:t>
      </w:r>
      <w:r>
        <w:rPr>
          <w:rFonts w:cstheme="minorHAnsi"/>
          <w:color w:val="000000" w:themeColor="text1"/>
          <w:sz w:val="24"/>
        </w:rPr>
        <w:t>million.</w:t>
      </w:r>
    </w:p>
    <w:p w14:paraId="42147A10" w14:textId="6A25509F" w:rsidR="00987D33" w:rsidRDefault="00987D33" w:rsidP="00987D33">
      <w:pPr>
        <w:tabs>
          <w:tab w:val="left" w:pos="630"/>
        </w:tabs>
        <w:rPr>
          <w:rFonts w:cstheme="minorHAnsi"/>
          <w:color w:val="000000" w:themeColor="text1"/>
          <w:sz w:val="24"/>
          <w:shd w:val="clear" w:color="auto" w:fill="FFFFFF" w:themeFill="background1"/>
        </w:rPr>
      </w:pPr>
      <w:r>
        <w:rPr>
          <w:rFonts w:cstheme="minorHAnsi"/>
          <w:b/>
          <w:color w:val="000000" w:themeColor="text1"/>
          <w:sz w:val="24"/>
          <w:shd w:val="clear" w:color="auto" w:fill="FFFFFF" w:themeFill="background1"/>
        </w:rPr>
        <w:lastRenderedPageBreak/>
        <w:t>Restricted-expendable net position</w:t>
      </w:r>
      <w:r>
        <w:rPr>
          <w:rFonts w:cstheme="minorHAnsi"/>
          <w:color w:val="000000" w:themeColor="text1"/>
          <w:sz w:val="24"/>
          <w:shd w:val="clear" w:color="auto" w:fill="FFFFFF" w:themeFill="background1"/>
        </w:rPr>
        <w:t xml:space="preserve"> consists of a variety of funds including unexpended gifts, quasi-endowments and appreciation on true endowments, subject to externally imposed conditions on spending. The restrictions include a variety of purposes including student financial aid, capital asset acquisitions, research, and public service. The June 30, </w:t>
      </w:r>
      <w:r w:rsidR="001E1FD4">
        <w:rPr>
          <w:rFonts w:cstheme="minorHAnsi"/>
          <w:color w:val="000000" w:themeColor="text1"/>
          <w:sz w:val="24"/>
          <w:shd w:val="clear" w:color="auto" w:fill="FFFFFF" w:themeFill="background1"/>
        </w:rPr>
        <w:t xml:space="preserve">2022 </w:t>
      </w:r>
      <w:r>
        <w:rPr>
          <w:rFonts w:cstheme="minorHAnsi"/>
          <w:color w:val="000000" w:themeColor="text1"/>
          <w:sz w:val="24"/>
          <w:shd w:val="clear" w:color="auto" w:fill="FFFFFF" w:themeFill="background1"/>
        </w:rPr>
        <w:t xml:space="preserve">balance of </w:t>
      </w:r>
      <w:r w:rsidRPr="00A316AD">
        <w:rPr>
          <w:rFonts w:cstheme="minorHAnsi"/>
          <w:sz w:val="24"/>
          <w:shd w:val="clear" w:color="auto" w:fill="FFFFFF" w:themeFill="background1"/>
        </w:rPr>
        <w:t>$</w:t>
      </w:r>
      <w:r w:rsidR="00B14CBD" w:rsidRPr="00721CFD">
        <w:rPr>
          <w:rFonts w:cstheme="minorHAnsi"/>
          <w:sz w:val="24"/>
          <w:shd w:val="clear" w:color="auto" w:fill="FFFFFF" w:themeFill="background1"/>
        </w:rPr>
        <w:t>1</w:t>
      </w:r>
      <w:r w:rsidR="00B14CBD">
        <w:rPr>
          <w:rFonts w:cstheme="minorHAnsi"/>
          <w:sz w:val="24"/>
          <w:shd w:val="clear" w:color="auto" w:fill="FFFFFF" w:themeFill="background1"/>
        </w:rPr>
        <w:t>47</w:t>
      </w:r>
      <w:r w:rsidR="00B14CBD">
        <w:rPr>
          <w:rFonts w:cstheme="minorHAnsi"/>
          <w:color w:val="000000" w:themeColor="text1"/>
          <w:sz w:val="24"/>
          <w:shd w:val="clear" w:color="auto" w:fill="FFFFFF" w:themeFill="background1"/>
        </w:rPr>
        <w:t xml:space="preserve"> </w:t>
      </w:r>
      <w:r>
        <w:rPr>
          <w:rFonts w:cstheme="minorHAnsi"/>
          <w:color w:val="000000" w:themeColor="text1"/>
          <w:sz w:val="24"/>
          <w:shd w:val="clear" w:color="auto" w:fill="FFFFFF" w:themeFill="background1"/>
        </w:rPr>
        <w:t xml:space="preserve">million </w:t>
      </w:r>
      <w:r w:rsidR="00EA4D04">
        <w:rPr>
          <w:rFonts w:cstheme="minorHAnsi"/>
          <w:color w:val="000000" w:themeColor="text1"/>
          <w:sz w:val="24"/>
          <w:shd w:val="clear" w:color="auto" w:fill="FFFFFF" w:themeFill="background1"/>
        </w:rPr>
        <w:t>in</w:t>
      </w:r>
      <w:r w:rsidR="00EA4D04" w:rsidRPr="00A316AD">
        <w:rPr>
          <w:rFonts w:cstheme="minorHAnsi"/>
          <w:sz w:val="24"/>
          <w:shd w:val="clear" w:color="auto" w:fill="FFFFFF" w:themeFill="background1"/>
        </w:rPr>
        <w:t>crease</w:t>
      </w:r>
      <w:r w:rsidR="00EA4D04">
        <w:rPr>
          <w:rFonts w:cstheme="minorHAnsi"/>
          <w:sz w:val="24"/>
          <w:shd w:val="clear" w:color="auto" w:fill="FFFFFF" w:themeFill="background1"/>
        </w:rPr>
        <w:t xml:space="preserve">d </w:t>
      </w:r>
      <w:r w:rsidRPr="00A316AD">
        <w:rPr>
          <w:rFonts w:cstheme="minorHAnsi"/>
          <w:sz w:val="24"/>
          <w:shd w:val="clear" w:color="auto" w:fill="FFFFFF" w:themeFill="background1"/>
        </w:rPr>
        <w:t>$</w:t>
      </w:r>
      <w:r w:rsidR="00EA4D04">
        <w:rPr>
          <w:rFonts w:cstheme="minorHAnsi"/>
          <w:sz w:val="24"/>
          <w:shd w:val="clear" w:color="auto" w:fill="FFFFFF" w:themeFill="background1"/>
        </w:rPr>
        <w:t>3</w:t>
      </w:r>
      <w:r w:rsidR="006B2BFC">
        <w:rPr>
          <w:rFonts w:cstheme="minorHAnsi"/>
          <w:color w:val="000000" w:themeColor="text1"/>
          <w:sz w:val="24"/>
          <w:shd w:val="clear" w:color="auto" w:fill="FFFFFF" w:themeFill="background1"/>
        </w:rPr>
        <w:t xml:space="preserve"> </w:t>
      </w:r>
      <w:r>
        <w:rPr>
          <w:rFonts w:cstheme="minorHAnsi"/>
          <w:color w:val="000000" w:themeColor="text1"/>
          <w:sz w:val="24"/>
          <w:shd w:val="clear" w:color="auto" w:fill="FFFFFF" w:themeFill="background1"/>
        </w:rPr>
        <w:t xml:space="preserve">million, or </w:t>
      </w:r>
      <w:r w:rsidR="00EA4D04">
        <w:rPr>
          <w:rFonts w:cstheme="minorHAnsi"/>
          <w:color w:val="000000" w:themeColor="text1"/>
          <w:sz w:val="24"/>
          <w:shd w:val="clear" w:color="auto" w:fill="FFFFFF" w:themeFill="background1"/>
        </w:rPr>
        <w:t>2</w:t>
      </w:r>
      <w:r w:rsidRPr="00A316AD">
        <w:rPr>
          <w:rFonts w:cstheme="minorHAnsi"/>
          <w:sz w:val="24"/>
          <w:shd w:val="clear" w:color="auto" w:fill="FFFFFF" w:themeFill="background1"/>
        </w:rPr>
        <w:t>%</w:t>
      </w:r>
      <w:r>
        <w:rPr>
          <w:rFonts w:cstheme="minorHAnsi"/>
          <w:sz w:val="24"/>
          <w:shd w:val="clear" w:color="auto" w:fill="FFFFFF" w:themeFill="background1"/>
        </w:rPr>
        <w:t xml:space="preserve"> </w:t>
      </w:r>
      <w:r w:rsidR="006B2BFC">
        <w:rPr>
          <w:rFonts w:cstheme="minorHAnsi"/>
          <w:sz w:val="24"/>
          <w:shd w:val="clear" w:color="auto" w:fill="FFFFFF" w:themeFill="background1"/>
        </w:rPr>
        <w:t xml:space="preserve">from </w:t>
      </w:r>
      <w:r>
        <w:rPr>
          <w:rFonts w:cstheme="minorHAnsi"/>
          <w:sz w:val="24"/>
          <w:shd w:val="clear" w:color="auto" w:fill="FFFFFF" w:themeFill="background1"/>
        </w:rPr>
        <w:t xml:space="preserve">the June 30, </w:t>
      </w:r>
      <w:r w:rsidR="001E1FD4">
        <w:rPr>
          <w:rFonts w:cstheme="minorHAnsi"/>
          <w:sz w:val="24"/>
          <w:shd w:val="clear" w:color="auto" w:fill="FFFFFF" w:themeFill="background1"/>
        </w:rPr>
        <w:t xml:space="preserve">2021 </w:t>
      </w:r>
      <w:r>
        <w:rPr>
          <w:rFonts w:cstheme="minorHAnsi"/>
          <w:sz w:val="24"/>
          <w:shd w:val="clear" w:color="auto" w:fill="FFFFFF" w:themeFill="background1"/>
        </w:rPr>
        <w:t>balance of $</w:t>
      </w:r>
      <w:r w:rsidR="001E1FD4">
        <w:rPr>
          <w:rFonts w:cstheme="minorHAnsi"/>
          <w:sz w:val="24"/>
          <w:shd w:val="clear" w:color="auto" w:fill="FFFFFF" w:themeFill="background1"/>
        </w:rPr>
        <w:t xml:space="preserve">144 </w:t>
      </w:r>
      <w:r>
        <w:rPr>
          <w:rFonts w:cstheme="minorHAnsi"/>
          <w:sz w:val="24"/>
          <w:shd w:val="clear" w:color="auto" w:fill="FFFFFF" w:themeFill="background1"/>
        </w:rPr>
        <w:t xml:space="preserve">million.  This </w:t>
      </w:r>
      <w:r w:rsidR="00EA4D04">
        <w:rPr>
          <w:rFonts w:cstheme="minorHAnsi"/>
          <w:sz w:val="24"/>
          <w:shd w:val="clear" w:color="auto" w:fill="FFFFFF" w:themeFill="background1"/>
        </w:rPr>
        <w:t xml:space="preserve">increase </w:t>
      </w:r>
      <w:r>
        <w:rPr>
          <w:rFonts w:cstheme="minorHAnsi"/>
          <w:color w:val="000000" w:themeColor="text1"/>
          <w:sz w:val="24"/>
          <w:shd w:val="clear" w:color="auto" w:fill="FFFFFF" w:themeFill="background1"/>
        </w:rPr>
        <w:t>is primarily attributable to</w:t>
      </w:r>
      <w:r w:rsidR="00A20757">
        <w:rPr>
          <w:rFonts w:cstheme="minorHAnsi"/>
          <w:color w:val="000000" w:themeColor="text1"/>
          <w:sz w:val="24"/>
          <w:shd w:val="clear" w:color="auto" w:fill="FFFFFF" w:themeFill="background1"/>
        </w:rPr>
        <w:t xml:space="preserve"> </w:t>
      </w:r>
      <w:r w:rsidR="00A20757">
        <w:rPr>
          <w:rFonts w:cstheme="minorHAnsi"/>
          <w:sz w:val="24"/>
          <w:shd w:val="clear" w:color="auto" w:fill="FFFFFF" w:themeFill="background1"/>
        </w:rPr>
        <w:t>a $</w:t>
      </w:r>
      <w:r w:rsidR="002A45FF">
        <w:rPr>
          <w:rFonts w:cstheme="minorHAnsi"/>
          <w:sz w:val="24"/>
          <w:shd w:val="clear" w:color="auto" w:fill="FFFFFF" w:themeFill="background1"/>
        </w:rPr>
        <w:t>25</w:t>
      </w:r>
      <w:r w:rsidR="00A20757">
        <w:rPr>
          <w:rFonts w:cstheme="minorHAnsi"/>
          <w:sz w:val="24"/>
          <w:shd w:val="clear" w:color="auto" w:fill="FFFFFF" w:themeFill="background1"/>
        </w:rPr>
        <w:t xml:space="preserve"> million increase in unspent restricted gift balances and a net $2 million increase from other managed restricted-expendable funds.  Offsetting these increases was</w:t>
      </w:r>
      <w:r>
        <w:rPr>
          <w:rFonts w:cstheme="minorHAnsi"/>
          <w:color w:val="000000" w:themeColor="text1"/>
          <w:sz w:val="24"/>
          <w:shd w:val="clear" w:color="auto" w:fill="FFFFFF" w:themeFill="background1"/>
        </w:rPr>
        <w:t xml:space="preserve"> </w:t>
      </w:r>
      <w:r w:rsidR="00EA4D04">
        <w:rPr>
          <w:rFonts w:cstheme="minorHAnsi"/>
          <w:color w:val="000000" w:themeColor="text1"/>
          <w:sz w:val="24"/>
          <w:shd w:val="clear" w:color="auto" w:fill="FFFFFF" w:themeFill="background1"/>
        </w:rPr>
        <w:t xml:space="preserve">a </w:t>
      </w:r>
      <w:r>
        <w:rPr>
          <w:rFonts w:cstheme="minorHAnsi"/>
          <w:sz w:val="24"/>
          <w:shd w:val="clear" w:color="auto" w:fill="FFFFFF" w:themeFill="background1"/>
        </w:rPr>
        <w:t>$</w:t>
      </w:r>
      <w:r w:rsidR="00EC6706" w:rsidRPr="00721CFD">
        <w:rPr>
          <w:rFonts w:cstheme="minorHAnsi"/>
          <w:sz w:val="24"/>
          <w:shd w:val="clear" w:color="auto" w:fill="FFFFFF" w:themeFill="background1"/>
        </w:rPr>
        <w:t>2</w:t>
      </w:r>
      <w:r w:rsidR="00746DB0">
        <w:rPr>
          <w:rFonts w:cstheme="minorHAnsi"/>
          <w:sz w:val="24"/>
          <w:shd w:val="clear" w:color="auto" w:fill="FFFFFF" w:themeFill="background1"/>
        </w:rPr>
        <w:t>4</w:t>
      </w:r>
      <w:r w:rsidR="00EC6706" w:rsidRPr="00EC6706">
        <w:rPr>
          <w:rFonts w:cstheme="minorHAnsi"/>
          <w:sz w:val="24"/>
          <w:shd w:val="clear" w:color="auto" w:fill="FFFFFF" w:themeFill="background1"/>
        </w:rPr>
        <w:t xml:space="preserve"> </w:t>
      </w:r>
      <w:r w:rsidRPr="00EC6706">
        <w:rPr>
          <w:rFonts w:cstheme="minorHAnsi"/>
          <w:sz w:val="24"/>
          <w:shd w:val="clear" w:color="auto" w:fill="FFFFFF" w:themeFill="background1"/>
        </w:rPr>
        <w:t xml:space="preserve">million </w:t>
      </w:r>
      <w:r w:rsidR="006B2BFC">
        <w:rPr>
          <w:rFonts w:cstheme="minorHAnsi"/>
          <w:sz w:val="24"/>
          <w:shd w:val="clear" w:color="auto" w:fill="FFFFFF" w:themeFill="background1"/>
        </w:rPr>
        <w:t xml:space="preserve">decrease in the expendable portion of endowments, resulting from </w:t>
      </w:r>
      <w:r w:rsidR="00A764E8">
        <w:rPr>
          <w:rFonts w:cstheme="minorHAnsi"/>
          <w:sz w:val="24"/>
          <w:shd w:val="clear" w:color="auto" w:fill="FFFFFF" w:themeFill="background1"/>
        </w:rPr>
        <w:t xml:space="preserve">negative </w:t>
      </w:r>
      <w:r w:rsidR="006B2BFC">
        <w:rPr>
          <w:rFonts w:cstheme="minorHAnsi"/>
          <w:sz w:val="24"/>
          <w:shd w:val="clear" w:color="auto" w:fill="FFFFFF" w:themeFill="background1"/>
        </w:rPr>
        <w:t>investment performance and endowment income distributed for operations.</w:t>
      </w:r>
      <w:r w:rsidR="00746DB0">
        <w:rPr>
          <w:rFonts w:cstheme="minorHAnsi"/>
          <w:sz w:val="24"/>
          <w:shd w:val="clear" w:color="auto" w:fill="FFFFFF" w:themeFill="background1"/>
        </w:rPr>
        <w:t xml:space="preserve"> </w:t>
      </w:r>
      <w:r w:rsidR="006B2BFC">
        <w:rPr>
          <w:rFonts w:cstheme="minorHAnsi"/>
          <w:sz w:val="24"/>
          <w:shd w:val="clear" w:color="auto" w:fill="FFFFFF" w:themeFill="background1"/>
        </w:rPr>
        <w:t xml:space="preserve"> </w:t>
      </w:r>
    </w:p>
    <w:p w14:paraId="269B8298" w14:textId="77777777" w:rsidR="00987D33" w:rsidRPr="00DE50BF" w:rsidRDefault="00987D33" w:rsidP="00987D33">
      <w:pPr>
        <w:tabs>
          <w:tab w:val="left" w:pos="630"/>
        </w:tabs>
        <w:rPr>
          <w:rFonts w:cstheme="minorHAnsi"/>
          <w:color w:val="000000" w:themeColor="text1"/>
          <w:sz w:val="20"/>
          <w:szCs w:val="20"/>
          <w:shd w:val="clear" w:color="auto" w:fill="FFFFFF" w:themeFill="background1"/>
        </w:rPr>
      </w:pPr>
    </w:p>
    <w:p w14:paraId="36EDBF56" w14:textId="12F63979" w:rsidR="00987D33" w:rsidRDefault="00987D33" w:rsidP="00987D33">
      <w:pPr>
        <w:tabs>
          <w:tab w:val="left" w:pos="630"/>
        </w:tabs>
        <w:rPr>
          <w:rFonts w:cstheme="minorHAnsi"/>
          <w:color w:val="000000" w:themeColor="text1"/>
          <w:sz w:val="24"/>
          <w:shd w:val="clear" w:color="auto" w:fill="FFFFFF" w:themeFill="background1"/>
        </w:rPr>
      </w:pPr>
      <w:r>
        <w:rPr>
          <w:rFonts w:cstheme="minorHAnsi"/>
          <w:color w:val="000000" w:themeColor="text1"/>
          <w:sz w:val="24"/>
          <w:shd w:val="clear" w:color="auto" w:fill="FFFFFF" w:themeFill="background1"/>
        </w:rPr>
        <w:t xml:space="preserve">The </w:t>
      </w:r>
      <w:r w:rsidR="001E1FD4">
        <w:rPr>
          <w:rFonts w:cstheme="minorHAnsi"/>
          <w:color w:val="000000" w:themeColor="text1"/>
          <w:sz w:val="24"/>
          <w:shd w:val="clear" w:color="auto" w:fill="FFFFFF" w:themeFill="background1"/>
        </w:rPr>
        <w:t>FY21 in</w:t>
      </w:r>
      <w:r>
        <w:rPr>
          <w:rFonts w:cstheme="minorHAnsi"/>
          <w:color w:val="000000" w:themeColor="text1"/>
          <w:sz w:val="24"/>
          <w:shd w:val="clear" w:color="auto" w:fill="FFFFFF" w:themeFill="background1"/>
        </w:rPr>
        <w:t>crease of $</w:t>
      </w:r>
      <w:r w:rsidR="001E1FD4">
        <w:rPr>
          <w:rFonts w:cstheme="minorHAnsi"/>
          <w:color w:val="000000" w:themeColor="text1"/>
          <w:sz w:val="24"/>
          <w:shd w:val="clear" w:color="auto" w:fill="FFFFFF" w:themeFill="background1"/>
        </w:rPr>
        <w:t xml:space="preserve">29 </w:t>
      </w:r>
      <w:r>
        <w:rPr>
          <w:rFonts w:cstheme="minorHAnsi"/>
          <w:color w:val="000000" w:themeColor="text1"/>
          <w:sz w:val="24"/>
          <w:shd w:val="clear" w:color="auto" w:fill="FFFFFF" w:themeFill="background1"/>
        </w:rPr>
        <w:t xml:space="preserve">million, or </w:t>
      </w:r>
      <w:r w:rsidR="001E1FD4">
        <w:rPr>
          <w:rFonts w:cstheme="minorHAnsi"/>
          <w:color w:val="000000" w:themeColor="text1"/>
          <w:sz w:val="24"/>
          <w:shd w:val="clear" w:color="auto" w:fill="FFFFFF" w:themeFill="background1"/>
        </w:rPr>
        <w:t>25</w:t>
      </w:r>
      <w:r>
        <w:rPr>
          <w:rFonts w:cstheme="minorHAnsi"/>
          <w:color w:val="000000" w:themeColor="text1"/>
          <w:sz w:val="24"/>
          <w:shd w:val="clear" w:color="auto" w:fill="FFFFFF" w:themeFill="background1"/>
        </w:rPr>
        <w:t xml:space="preserve">%, is primarily attributable to </w:t>
      </w:r>
      <w:r w:rsidR="001E1FD4" w:rsidRPr="001E1FD4">
        <w:rPr>
          <w:rFonts w:cstheme="minorHAnsi"/>
          <w:sz w:val="24"/>
          <w:shd w:val="clear" w:color="auto" w:fill="FFFFFF" w:themeFill="background1"/>
        </w:rPr>
        <w:t>$</w:t>
      </w:r>
      <w:r w:rsidR="001E1FD4" w:rsidRPr="00D53411">
        <w:rPr>
          <w:rFonts w:cstheme="minorHAnsi"/>
          <w:sz w:val="24"/>
          <w:shd w:val="clear" w:color="auto" w:fill="FFFFFF" w:themeFill="background1"/>
        </w:rPr>
        <w:t>25</w:t>
      </w:r>
      <w:r w:rsidR="001E1FD4" w:rsidRPr="001E1FD4">
        <w:rPr>
          <w:rFonts w:cstheme="minorHAnsi"/>
          <w:sz w:val="24"/>
          <w:shd w:val="clear" w:color="auto" w:fill="FFFFFF" w:themeFill="background1"/>
        </w:rPr>
        <w:t xml:space="preserve"> million of </w:t>
      </w:r>
      <w:r w:rsidR="001E1FD4" w:rsidRPr="00D53411">
        <w:rPr>
          <w:rFonts w:cstheme="minorHAnsi"/>
          <w:sz w:val="24"/>
          <w:shd w:val="clear" w:color="auto" w:fill="FFFFFF" w:themeFill="background1"/>
        </w:rPr>
        <w:t>investment performance in excess of endowment income distributed for operations</w:t>
      </w:r>
      <w:r w:rsidR="001E1FD4" w:rsidRPr="001E1FD4">
        <w:rPr>
          <w:rFonts w:cstheme="minorHAnsi"/>
          <w:sz w:val="24"/>
          <w:shd w:val="clear" w:color="auto" w:fill="FFFFFF" w:themeFill="background1"/>
        </w:rPr>
        <w:t xml:space="preserve">, plus a </w:t>
      </w:r>
      <w:r w:rsidR="001E1FD4" w:rsidRPr="00AE3BB9">
        <w:rPr>
          <w:rFonts w:cstheme="minorHAnsi"/>
          <w:sz w:val="24"/>
          <w:shd w:val="clear" w:color="auto" w:fill="FFFFFF" w:themeFill="background1"/>
        </w:rPr>
        <w:t>$</w:t>
      </w:r>
      <w:r w:rsidR="001E1FD4" w:rsidRPr="00D53411">
        <w:rPr>
          <w:rFonts w:cstheme="minorHAnsi"/>
          <w:sz w:val="24"/>
          <w:shd w:val="clear" w:color="auto" w:fill="FFFFFF" w:themeFill="background1"/>
        </w:rPr>
        <w:t>2</w:t>
      </w:r>
      <w:r w:rsidR="001E1FD4" w:rsidRPr="001E1FD4">
        <w:rPr>
          <w:rFonts w:cstheme="minorHAnsi"/>
          <w:sz w:val="24"/>
          <w:shd w:val="clear" w:color="auto" w:fill="FFFFFF" w:themeFill="background1"/>
        </w:rPr>
        <w:t xml:space="preserve"> </w:t>
      </w:r>
      <w:r w:rsidR="001E1FD4" w:rsidRPr="00AE3BB9">
        <w:rPr>
          <w:rFonts w:cstheme="minorHAnsi"/>
          <w:sz w:val="24"/>
          <w:shd w:val="clear" w:color="auto" w:fill="FFFFFF" w:themeFill="background1"/>
        </w:rPr>
        <w:t xml:space="preserve">million increase </w:t>
      </w:r>
      <w:r w:rsidR="001E1FD4" w:rsidRPr="00D53411">
        <w:rPr>
          <w:rFonts w:cstheme="minorHAnsi"/>
          <w:color w:val="000000" w:themeColor="text1"/>
          <w:sz w:val="24"/>
          <w:shd w:val="clear" w:color="auto" w:fill="FFFFFF" w:themeFill="background1"/>
        </w:rPr>
        <w:t>in unspent restricted gift balances</w:t>
      </w:r>
      <w:r w:rsidR="001E1FD4" w:rsidRPr="001E1FD4">
        <w:rPr>
          <w:rFonts w:cstheme="minorHAnsi"/>
          <w:color w:val="000000" w:themeColor="text1"/>
          <w:sz w:val="24"/>
          <w:shd w:val="clear" w:color="auto" w:fill="FFFFFF" w:themeFill="background1"/>
        </w:rPr>
        <w:t>, a $</w:t>
      </w:r>
      <w:r w:rsidR="001E1FD4" w:rsidRPr="00D53411">
        <w:rPr>
          <w:rFonts w:cstheme="minorHAnsi"/>
          <w:color w:val="000000" w:themeColor="text1"/>
          <w:sz w:val="24"/>
          <w:shd w:val="clear" w:color="auto" w:fill="FFFFFF" w:themeFill="background1"/>
        </w:rPr>
        <w:t>1</w:t>
      </w:r>
      <w:r w:rsidR="001E1FD4" w:rsidRPr="001E1FD4">
        <w:rPr>
          <w:rFonts w:cstheme="minorHAnsi"/>
          <w:color w:val="000000" w:themeColor="text1"/>
          <w:sz w:val="24"/>
          <w:shd w:val="clear" w:color="auto" w:fill="FFFFFF" w:themeFill="background1"/>
        </w:rPr>
        <w:t xml:space="preserve"> million increase in </w:t>
      </w:r>
      <w:r w:rsidR="001E1FD4" w:rsidRPr="00D53411">
        <w:rPr>
          <w:rFonts w:cstheme="minorHAnsi"/>
          <w:color w:val="000000" w:themeColor="text1"/>
          <w:sz w:val="24"/>
          <w:shd w:val="clear" w:color="auto" w:fill="FFFFFF" w:themeFill="background1"/>
        </w:rPr>
        <w:t>MEIF funds</w:t>
      </w:r>
      <w:r w:rsidR="001E1FD4" w:rsidRPr="001E1FD4">
        <w:rPr>
          <w:rFonts w:cstheme="minorHAnsi"/>
          <w:color w:val="000000" w:themeColor="text1"/>
          <w:sz w:val="24"/>
          <w:shd w:val="clear" w:color="auto" w:fill="FFFFFF" w:themeFill="background1"/>
        </w:rPr>
        <w:t xml:space="preserve"> and a net $</w:t>
      </w:r>
      <w:r w:rsidR="001E1FD4" w:rsidRPr="00D53411">
        <w:rPr>
          <w:rFonts w:cstheme="minorHAnsi"/>
          <w:color w:val="000000" w:themeColor="text1"/>
          <w:sz w:val="24"/>
          <w:shd w:val="clear" w:color="auto" w:fill="FFFFFF" w:themeFill="background1"/>
        </w:rPr>
        <w:t>1</w:t>
      </w:r>
      <w:r w:rsidR="001E1FD4" w:rsidRPr="001E1FD4">
        <w:rPr>
          <w:rFonts w:cstheme="minorHAnsi"/>
          <w:color w:val="000000" w:themeColor="text1"/>
          <w:sz w:val="24"/>
          <w:shd w:val="clear" w:color="auto" w:fill="FFFFFF" w:themeFill="background1"/>
        </w:rPr>
        <w:t xml:space="preserve"> million increase from other managed restricted-expendable funds</w:t>
      </w:r>
      <w:r w:rsidRPr="007557AB">
        <w:rPr>
          <w:rFonts w:cstheme="minorHAnsi"/>
          <w:color w:val="000000" w:themeColor="text1"/>
          <w:sz w:val="24"/>
          <w:shd w:val="clear" w:color="auto" w:fill="FFFFFF" w:themeFill="background1"/>
        </w:rPr>
        <w:t>.</w:t>
      </w:r>
    </w:p>
    <w:p w14:paraId="59D20FF8" w14:textId="77777777" w:rsidR="00987D33" w:rsidRPr="00DE50BF" w:rsidRDefault="00987D33" w:rsidP="00987D33">
      <w:pPr>
        <w:tabs>
          <w:tab w:val="left" w:pos="630"/>
        </w:tabs>
        <w:ind w:right="288"/>
        <w:rPr>
          <w:rFonts w:cstheme="minorHAnsi"/>
          <w:color w:val="000000" w:themeColor="text1"/>
          <w:sz w:val="20"/>
          <w:szCs w:val="20"/>
          <w:shd w:val="clear" w:color="auto" w:fill="FFFFFF" w:themeFill="background1"/>
        </w:rPr>
      </w:pPr>
    </w:p>
    <w:p w14:paraId="6ABB931B" w14:textId="77777777" w:rsidR="00987D33" w:rsidRDefault="00987D33" w:rsidP="00987D33">
      <w:pPr>
        <w:rPr>
          <w:rFonts w:cstheme="minorHAnsi"/>
          <w:color w:val="000000" w:themeColor="text1"/>
          <w:sz w:val="24"/>
        </w:rPr>
      </w:pPr>
      <w:r>
        <w:rPr>
          <w:rFonts w:cstheme="minorHAnsi"/>
          <w:b/>
          <w:color w:val="000000" w:themeColor="text1"/>
          <w:sz w:val="24"/>
        </w:rPr>
        <w:t>Unrestricted net position</w:t>
      </w:r>
      <w:r>
        <w:rPr>
          <w:rFonts w:cstheme="minorHAnsi"/>
          <w:color w:val="000000" w:themeColor="text1"/>
          <w:sz w:val="24"/>
        </w:rPr>
        <w:t xml:space="preserve"> is not subject to externally imposed stipulations; however, these resources are critical for the financial stability of the UMS and have been designated by management for specific areas, including operational and capital needs, compensating for operating investment and other budget fluctuations, and benefits costs including covering the risks associated with self-insured plans. Given both the physical and financial size of the System, funds must be readily available to cover various situations including emergency and other unforeseen expenditures, strategic priorities, operating losses, over-expenditures on budgeted items, and benefits costs.</w:t>
      </w:r>
    </w:p>
    <w:p w14:paraId="39074FDF" w14:textId="77777777" w:rsidR="00987D33" w:rsidRDefault="00987D33" w:rsidP="00987D33">
      <w:pPr>
        <w:rPr>
          <w:rFonts w:cstheme="minorHAnsi"/>
          <w:color w:val="000000" w:themeColor="text1"/>
          <w:sz w:val="24"/>
        </w:rPr>
      </w:pPr>
    </w:p>
    <w:p w14:paraId="73D41281" w14:textId="6EC07A89" w:rsidR="00987D33" w:rsidRDefault="00987D33" w:rsidP="00C95891">
      <w:pPr>
        <w:rPr>
          <w:rFonts w:eastAsia="Times New Roman" w:cstheme="minorHAnsi"/>
          <w:b/>
          <w:i/>
          <w:iCs/>
          <w:smallCaps/>
          <w:noProof/>
          <w:color w:val="000000" w:themeColor="text1"/>
          <w:sz w:val="32"/>
          <w:szCs w:val="28"/>
          <w:u w:color="5B9BD5"/>
        </w:rPr>
      </w:pPr>
      <w:r>
        <w:rPr>
          <w:rFonts w:cstheme="minorHAnsi"/>
          <w:color w:val="000000" w:themeColor="text1"/>
          <w:sz w:val="24"/>
        </w:rPr>
        <w:t xml:space="preserve">The balance of </w:t>
      </w:r>
      <w:r w:rsidRPr="00A316AD">
        <w:rPr>
          <w:rFonts w:cstheme="minorHAnsi"/>
          <w:sz w:val="24"/>
        </w:rPr>
        <w:t>$</w:t>
      </w:r>
      <w:r w:rsidR="00EA4D04">
        <w:rPr>
          <w:rFonts w:cstheme="minorHAnsi"/>
          <w:sz w:val="24"/>
        </w:rPr>
        <w:t>162</w:t>
      </w:r>
      <w:r w:rsidR="00EA4D04">
        <w:rPr>
          <w:rFonts w:cstheme="minorHAnsi"/>
          <w:color w:val="000000" w:themeColor="text1"/>
          <w:sz w:val="24"/>
        </w:rPr>
        <w:t xml:space="preserve"> </w:t>
      </w:r>
      <w:r>
        <w:rPr>
          <w:rFonts w:cstheme="minorHAnsi"/>
          <w:color w:val="000000" w:themeColor="text1"/>
          <w:sz w:val="24"/>
        </w:rPr>
        <w:t xml:space="preserve">million at June 30, </w:t>
      </w:r>
      <w:r w:rsidR="00B777C0">
        <w:rPr>
          <w:rFonts w:cstheme="minorHAnsi"/>
          <w:color w:val="000000" w:themeColor="text1"/>
          <w:sz w:val="24"/>
        </w:rPr>
        <w:t xml:space="preserve">2022 </w:t>
      </w:r>
      <w:r w:rsidR="009D6ECE">
        <w:rPr>
          <w:rFonts w:cstheme="minorHAnsi"/>
          <w:color w:val="000000" w:themeColor="text1"/>
          <w:sz w:val="24"/>
        </w:rPr>
        <w:t xml:space="preserve">decreased </w:t>
      </w:r>
      <w:r>
        <w:rPr>
          <w:rFonts w:cstheme="minorHAnsi"/>
          <w:color w:val="000000" w:themeColor="text1"/>
          <w:sz w:val="24"/>
        </w:rPr>
        <w:t xml:space="preserve">by </w:t>
      </w:r>
      <w:r w:rsidRPr="00A316AD">
        <w:rPr>
          <w:rFonts w:cstheme="minorHAnsi"/>
          <w:sz w:val="24"/>
        </w:rPr>
        <w:t>$</w:t>
      </w:r>
      <w:r w:rsidR="00EA4D04">
        <w:rPr>
          <w:rFonts w:cstheme="minorHAnsi"/>
          <w:sz w:val="24"/>
        </w:rPr>
        <w:t>20</w:t>
      </w:r>
      <w:r w:rsidR="00EA4D04">
        <w:rPr>
          <w:rFonts w:cstheme="minorHAnsi"/>
          <w:color w:val="000000" w:themeColor="text1"/>
          <w:sz w:val="24"/>
        </w:rPr>
        <w:t xml:space="preserve"> </w:t>
      </w:r>
      <w:r>
        <w:rPr>
          <w:rFonts w:cstheme="minorHAnsi"/>
          <w:color w:val="000000" w:themeColor="text1"/>
          <w:sz w:val="24"/>
        </w:rPr>
        <w:t xml:space="preserve">million, or </w:t>
      </w:r>
      <w:r w:rsidR="00F13B46">
        <w:rPr>
          <w:rFonts w:cstheme="minorHAnsi"/>
          <w:color w:val="000000" w:themeColor="text1"/>
          <w:sz w:val="24"/>
        </w:rPr>
        <w:t>1</w:t>
      </w:r>
      <w:r w:rsidR="00EA4D04">
        <w:rPr>
          <w:rFonts w:cstheme="minorHAnsi"/>
          <w:color w:val="000000" w:themeColor="text1"/>
          <w:sz w:val="24"/>
        </w:rPr>
        <w:t>1</w:t>
      </w:r>
      <w:r w:rsidRPr="00A316AD">
        <w:rPr>
          <w:rFonts w:cstheme="minorHAnsi"/>
          <w:sz w:val="24"/>
        </w:rPr>
        <w:t>%</w:t>
      </w:r>
      <w:r>
        <w:rPr>
          <w:rFonts w:cstheme="minorHAnsi"/>
          <w:color w:val="000000" w:themeColor="text1"/>
          <w:sz w:val="24"/>
        </w:rPr>
        <w:t xml:space="preserve">, from the </w:t>
      </w:r>
      <w:r w:rsidR="00B777C0">
        <w:rPr>
          <w:rFonts w:cstheme="minorHAnsi"/>
          <w:color w:val="000000" w:themeColor="text1"/>
          <w:sz w:val="24"/>
        </w:rPr>
        <w:t xml:space="preserve">FY21 </w:t>
      </w:r>
      <w:r>
        <w:rPr>
          <w:rFonts w:cstheme="minorHAnsi"/>
          <w:color w:val="000000" w:themeColor="text1"/>
          <w:sz w:val="24"/>
        </w:rPr>
        <w:t>year-end balance of $</w:t>
      </w:r>
      <w:r w:rsidR="00B777C0">
        <w:rPr>
          <w:rFonts w:cstheme="minorHAnsi"/>
          <w:color w:val="000000" w:themeColor="text1"/>
          <w:sz w:val="24"/>
        </w:rPr>
        <w:t xml:space="preserve">182 </w:t>
      </w:r>
      <w:r>
        <w:rPr>
          <w:rFonts w:cstheme="minorHAnsi"/>
          <w:color w:val="000000" w:themeColor="text1"/>
          <w:sz w:val="24"/>
        </w:rPr>
        <w:t xml:space="preserve">million. For </w:t>
      </w:r>
      <w:r w:rsidR="00B777C0">
        <w:rPr>
          <w:rFonts w:cstheme="minorHAnsi"/>
          <w:color w:val="000000" w:themeColor="text1"/>
          <w:sz w:val="24"/>
        </w:rPr>
        <w:t>FY21</w:t>
      </w:r>
      <w:r>
        <w:rPr>
          <w:rFonts w:cstheme="minorHAnsi"/>
          <w:color w:val="000000" w:themeColor="text1"/>
          <w:sz w:val="24"/>
        </w:rPr>
        <w:t>, unrestricted net position increased $</w:t>
      </w:r>
      <w:r w:rsidR="00B777C0">
        <w:rPr>
          <w:rFonts w:cstheme="minorHAnsi"/>
          <w:color w:val="000000" w:themeColor="text1"/>
          <w:sz w:val="24"/>
        </w:rPr>
        <w:t>7</w:t>
      </w:r>
      <w:r>
        <w:rPr>
          <w:rFonts w:cstheme="minorHAnsi"/>
          <w:color w:val="000000" w:themeColor="text1"/>
          <w:sz w:val="24"/>
        </w:rPr>
        <w:t xml:space="preserve">9 million, or </w:t>
      </w:r>
      <w:r w:rsidR="00B777C0">
        <w:rPr>
          <w:rFonts w:cstheme="minorHAnsi"/>
          <w:color w:val="000000" w:themeColor="text1"/>
          <w:sz w:val="24"/>
        </w:rPr>
        <w:t>77</w:t>
      </w:r>
      <w:r>
        <w:rPr>
          <w:rFonts w:cstheme="minorHAnsi"/>
          <w:color w:val="000000" w:themeColor="text1"/>
          <w:sz w:val="24"/>
        </w:rPr>
        <w:t xml:space="preserve">%, from the </w:t>
      </w:r>
      <w:r w:rsidR="00B777C0">
        <w:rPr>
          <w:rFonts w:cstheme="minorHAnsi"/>
          <w:color w:val="000000" w:themeColor="text1"/>
          <w:sz w:val="24"/>
        </w:rPr>
        <w:t xml:space="preserve">FY20 </w:t>
      </w:r>
      <w:r>
        <w:rPr>
          <w:rFonts w:cstheme="minorHAnsi"/>
          <w:color w:val="000000" w:themeColor="text1"/>
          <w:sz w:val="24"/>
        </w:rPr>
        <w:t>year-end balance of $</w:t>
      </w:r>
      <w:r w:rsidR="00B777C0">
        <w:rPr>
          <w:rFonts w:cstheme="minorHAnsi"/>
          <w:color w:val="000000" w:themeColor="text1"/>
          <w:sz w:val="24"/>
        </w:rPr>
        <w:t xml:space="preserve">103 </w:t>
      </w:r>
      <w:r>
        <w:rPr>
          <w:rFonts w:cstheme="minorHAnsi"/>
          <w:color w:val="000000" w:themeColor="text1"/>
          <w:sz w:val="24"/>
        </w:rPr>
        <w:t>million.</w:t>
      </w:r>
    </w:p>
    <w:p w14:paraId="29D6E390" w14:textId="77777777" w:rsidR="00987D33" w:rsidRDefault="00987D33" w:rsidP="00987D33">
      <w:pPr>
        <w:pStyle w:val="AFR2"/>
        <w:rPr>
          <w:rFonts w:eastAsia="Times New Roman" w:cstheme="minorHAnsi"/>
        </w:rPr>
      </w:pPr>
      <w:r>
        <w:rPr>
          <w:rFonts w:eastAsia="Times New Roman" w:cstheme="minorHAnsi"/>
        </w:rPr>
        <w:t>Statements of Revenues, Expenses, and Changes in Net Position</w:t>
      </w:r>
    </w:p>
    <w:p w14:paraId="33E4D92A" w14:textId="77777777" w:rsidR="00987D33" w:rsidRDefault="00987D33" w:rsidP="00987D33">
      <w:pPr>
        <w:rPr>
          <w:rFonts w:cstheme="minorHAnsi"/>
          <w:color w:val="000000"/>
          <w:sz w:val="24"/>
        </w:rPr>
      </w:pPr>
      <w:r>
        <w:rPr>
          <w:rFonts w:cstheme="minorHAnsi"/>
          <w:sz w:val="24"/>
        </w:rPr>
        <w:t>The</w:t>
      </w:r>
      <w:r>
        <w:rPr>
          <w:rFonts w:cstheme="minorHAnsi"/>
          <w:color w:val="000000"/>
          <w:sz w:val="24"/>
        </w:rPr>
        <w:t xml:space="preserve"> Statements of Revenues, Expenses, and Changes in Net Position reports operating revenues, operating expenses, nonoperating revenues (expenses), other changes in net position, and the resulting change in net position for the fiscal year. </w:t>
      </w:r>
    </w:p>
    <w:p w14:paraId="6D6BEF88" w14:textId="500825BC" w:rsidR="00987D33" w:rsidRDefault="00026CDA" w:rsidP="00987D33">
      <w:pPr>
        <w:pStyle w:val="AFR3"/>
      </w:pPr>
      <w:r>
        <w:t xml:space="preserve">Restatement </w:t>
      </w:r>
      <w:r w:rsidR="00987D33">
        <w:t>of Prior Year</w:t>
      </w:r>
    </w:p>
    <w:p w14:paraId="631C878E" w14:textId="61D30A52" w:rsidR="008E6480" w:rsidRDefault="008E6480">
      <w:pPr>
        <w:pStyle w:val="AFR3"/>
        <w:spacing w:before="0"/>
        <w:rPr>
          <w:rFonts w:ascii="Calibri" w:hAnsi="Calibri" w:cs="Tahoma"/>
          <w:b w:val="0"/>
          <w:i w:val="0"/>
          <w:sz w:val="24"/>
          <w:u w:val="none"/>
        </w:rPr>
      </w:pPr>
      <w:r>
        <w:rPr>
          <w:rFonts w:ascii="Calibri" w:hAnsi="Calibri" w:cs="Tahoma"/>
          <w:b w:val="0"/>
          <w:i w:val="0"/>
          <w:sz w:val="24"/>
          <w:u w:val="none"/>
        </w:rPr>
        <w:t xml:space="preserve">The FY21 financial statements have been restated to reflect a </w:t>
      </w:r>
      <w:r w:rsidR="00026CDA">
        <w:rPr>
          <w:rFonts w:ascii="Calibri" w:hAnsi="Calibri" w:cs="Tahoma"/>
          <w:b w:val="0"/>
          <w:i w:val="0"/>
          <w:sz w:val="24"/>
          <w:u w:val="none"/>
        </w:rPr>
        <w:t xml:space="preserve">change </w:t>
      </w:r>
      <w:r w:rsidR="00AD5F47">
        <w:rPr>
          <w:rFonts w:ascii="Calibri" w:hAnsi="Calibri" w:cs="Tahoma"/>
          <w:b w:val="0"/>
          <w:i w:val="0"/>
          <w:sz w:val="24"/>
          <w:u w:val="none"/>
        </w:rPr>
        <w:t>in the reporting of revenues and expenses related to leases per</w:t>
      </w:r>
      <w:r w:rsidR="00026CDA">
        <w:rPr>
          <w:rFonts w:ascii="Calibri" w:hAnsi="Calibri" w:cs="Tahoma"/>
          <w:b w:val="0"/>
          <w:i w:val="0"/>
          <w:sz w:val="24"/>
          <w:u w:val="none"/>
        </w:rPr>
        <w:t xml:space="preserve"> the adoption of</w:t>
      </w:r>
      <w:r w:rsidR="00AD5F47">
        <w:rPr>
          <w:rFonts w:ascii="Calibri" w:hAnsi="Calibri" w:cs="Tahoma"/>
          <w:b w:val="0"/>
          <w:i w:val="0"/>
          <w:sz w:val="24"/>
          <w:u w:val="none"/>
        </w:rPr>
        <w:t xml:space="preserve"> GASB 87, </w:t>
      </w:r>
      <w:r w:rsidR="00AD5F47">
        <w:rPr>
          <w:rFonts w:ascii="Calibri" w:hAnsi="Calibri" w:cs="Tahoma"/>
          <w:b w:val="0"/>
          <w:iCs/>
          <w:sz w:val="24"/>
          <w:u w:val="none"/>
        </w:rPr>
        <w:t>Leases</w:t>
      </w:r>
      <w:r w:rsidR="00AD5F47">
        <w:rPr>
          <w:rFonts w:ascii="Calibri" w:hAnsi="Calibri" w:cs="Tahoma"/>
          <w:b w:val="0"/>
          <w:i w:val="0"/>
          <w:sz w:val="24"/>
          <w:u w:val="none"/>
        </w:rPr>
        <w:t xml:space="preserve">.  Revenue and expenses netting to a decrease </w:t>
      </w:r>
      <w:r w:rsidR="001673CF">
        <w:rPr>
          <w:rFonts w:ascii="Calibri" w:hAnsi="Calibri" w:cs="Tahoma"/>
          <w:b w:val="0"/>
          <w:i w:val="0"/>
          <w:sz w:val="24"/>
          <w:u w:val="none"/>
        </w:rPr>
        <w:t xml:space="preserve">in net position </w:t>
      </w:r>
      <w:r w:rsidR="00AD5F47">
        <w:rPr>
          <w:rFonts w:ascii="Calibri" w:hAnsi="Calibri" w:cs="Tahoma"/>
          <w:b w:val="0"/>
          <w:i w:val="0"/>
          <w:sz w:val="24"/>
          <w:u w:val="none"/>
        </w:rPr>
        <w:t>of $</w:t>
      </w:r>
      <w:r w:rsidR="00026CDA">
        <w:rPr>
          <w:rFonts w:ascii="Calibri" w:hAnsi="Calibri" w:cs="Tahoma"/>
          <w:b w:val="0"/>
          <w:i w:val="0"/>
          <w:sz w:val="24"/>
          <w:u w:val="none"/>
        </w:rPr>
        <w:t>351 thousand</w:t>
      </w:r>
      <w:r w:rsidR="00AD5F47">
        <w:rPr>
          <w:rFonts w:ascii="Calibri" w:hAnsi="Calibri" w:cs="Tahoma"/>
          <w:b w:val="0"/>
          <w:i w:val="0"/>
          <w:sz w:val="24"/>
          <w:u w:val="none"/>
        </w:rPr>
        <w:t xml:space="preserve"> </w:t>
      </w:r>
      <w:r w:rsidR="00026CDA">
        <w:rPr>
          <w:rFonts w:ascii="Calibri" w:hAnsi="Calibri" w:cs="Tahoma"/>
          <w:b w:val="0"/>
          <w:i w:val="0"/>
          <w:sz w:val="24"/>
          <w:u w:val="none"/>
        </w:rPr>
        <w:t xml:space="preserve">have </w:t>
      </w:r>
      <w:r w:rsidR="00AD5F47">
        <w:rPr>
          <w:rFonts w:ascii="Calibri" w:hAnsi="Calibri" w:cs="Tahoma"/>
          <w:b w:val="0"/>
          <w:i w:val="0"/>
          <w:sz w:val="24"/>
          <w:u w:val="none"/>
        </w:rPr>
        <w:t xml:space="preserve">been moved in various segments of the Statements of Revenues, Expenses, and Changes in Net Position.  </w:t>
      </w:r>
    </w:p>
    <w:p w14:paraId="4B8DAC86" w14:textId="77777777" w:rsidR="00871C7B" w:rsidRDefault="00871C7B">
      <w:pPr>
        <w:spacing w:after="160" w:line="259" w:lineRule="auto"/>
        <w:rPr>
          <w:b/>
          <w:i/>
          <w:sz w:val="26"/>
          <w:u w:val="single" w:color="000000" w:themeColor="text1"/>
        </w:rPr>
      </w:pPr>
      <w:r>
        <w:rPr>
          <w:b/>
          <w:i/>
          <w:sz w:val="26"/>
          <w:u w:val="single" w:color="000000" w:themeColor="text1"/>
        </w:rPr>
        <w:br w:type="page"/>
      </w:r>
    </w:p>
    <w:p w14:paraId="501F0CFE" w14:textId="4D803C14" w:rsidR="00987D33" w:rsidRPr="00F84C1C" w:rsidRDefault="00987D33" w:rsidP="00987D33">
      <w:pPr>
        <w:spacing w:before="240" w:after="120"/>
        <w:rPr>
          <w:b/>
          <w:i/>
          <w:sz w:val="26"/>
          <w:u w:val="single" w:color="000000" w:themeColor="text1"/>
        </w:rPr>
      </w:pPr>
      <w:r>
        <w:rPr>
          <w:b/>
          <w:i/>
          <w:sz w:val="26"/>
          <w:u w:val="single" w:color="000000" w:themeColor="text1"/>
        </w:rPr>
        <w:lastRenderedPageBreak/>
        <w:t>Overview of Condensed Statements of Revenues, Expenses, and Changes in Net Position</w:t>
      </w:r>
    </w:p>
    <w:p w14:paraId="5242595E" w14:textId="76E16C80" w:rsidR="00987D33" w:rsidRDefault="00987D33" w:rsidP="00987D33">
      <w:pPr>
        <w:spacing w:after="120"/>
        <w:rPr>
          <w:rFonts w:cstheme="minorHAnsi"/>
          <w:color w:val="000000"/>
          <w:sz w:val="24"/>
        </w:rPr>
      </w:pPr>
      <w:r>
        <w:rPr>
          <w:rFonts w:cstheme="minorHAnsi"/>
          <w:color w:val="000000"/>
          <w:sz w:val="24"/>
        </w:rPr>
        <w:t xml:space="preserve">Table 5, on the </w:t>
      </w:r>
      <w:r w:rsidRPr="009F10BE">
        <w:rPr>
          <w:rFonts w:cstheme="minorHAnsi"/>
          <w:color w:val="000000"/>
          <w:sz w:val="24"/>
        </w:rPr>
        <w:t>next page, shows</w:t>
      </w:r>
      <w:r>
        <w:rPr>
          <w:rFonts w:cstheme="minorHAnsi"/>
          <w:color w:val="000000"/>
          <w:sz w:val="24"/>
        </w:rPr>
        <w:t xml:space="preserve"> Condensed Statements of Revenues, Expenses, and Changes in Net Position for the past five fiscal years ended June 30. The </w:t>
      </w:r>
      <w:r w:rsidR="004E1772">
        <w:rPr>
          <w:rFonts w:cstheme="minorHAnsi"/>
          <w:color w:val="000000"/>
          <w:sz w:val="24"/>
        </w:rPr>
        <w:t xml:space="preserve">FY22 </w:t>
      </w:r>
      <w:r>
        <w:rPr>
          <w:rFonts w:cstheme="minorHAnsi"/>
          <w:color w:val="000000"/>
          <w:sz w:val="24"/>
        </w:rPr>
        <w:t xml:space="preserve">net position </w:t>
      </w:r>
      <w:r w:rsidR="00865618">
        <w:rPr>
          <w:rFonts w:cstheme="minorHAnsi"/>
          <w:color w:val="000000"/>
          <w:sz w:val="24"/>
        </w:rPr>
        <w:t xml:space="preserve">increased </w:t>
      </w:r>
      <w:r>
        <w:rPr>
          <w:rFonts w:cstheme="minorHAnsi"/>
          <w:color w:val="000000"/>
          <w:sz w:val="24"/>
        </w:rPr>
        <w:t>$</w:t>
      </w:r>
      <w:r w:rsidR="00871C7B">
        <w:rPr>
          <w:rFonts w:cstheme="minorHAnsi"/>
          <w:color w:val="000000"/>
          <w:sz w:val="24"/>
        </w:rPr>
        <w:t xml:space="preserve">26 </w:t>
      </w:r>
      <w:r>
        <w:rPr>
          <w:rFonts w:cstheme="minorHAnsi"/>
          <w:color w:val="000000"/>
          <w:sz w:val="24"/>
        </w:rPr>
        <w:t xml:space="preserve">million </w:t>
      </w:r>
      <w:r w:rsidR="00865618">
        <w:rPr>
          <w:rFonts w:cstheme="minorHAnsi"/>
          <w:color w:val="000000"/>
          <w:sz w:val="24"/>
        </w:rPr>
        <w:t>while</w:t>
      </w:r>
      <w:r>
        <w:rPr>
          <w:rFonts w:cstheme="minorHAnsi"/>
          <w:color w:val="000000"/>
          <w:sz w:val="24"/>
        </w:rPr>
        <w:t xml:space="preserve"> </w:t>
      </w:r>
      <w:r w:rsidR="004E1772">
        <w:rPr>
          <w:rFonts w:cstheme="minorHAnsi"/>
          <w:color w:val="000000"/>
          <w:sz w:val="24"/>
        </w:rPr>
        <w:t xml:space="preserve">FY21 </w:t>
      </w:r>
      <w:r w:rsidR="00865618">
        <w:rPr>
          <w:rFonts w:cstheme="minorHAnsi"/>
          <w:color w:val="000000"/>
          <w:sz w:val="24"/>
        </w:rPr>
        <w:t>(restated) increased</w:t>
      </w:r>
      <w:r>
        <w:rPr>
          <w:rFonts w:cstheme="minorHAnsi"/>
          <w:color w:val="000000"/>
          <w:sz w:val="24"/>
        </w:rPr>
        <w:t xml:space="preserve"> $</w:t>
      </w:r>
      <w:r w:rsidR="004E1772">
        <w:rPr>
          <w:rFonts w:cstheme="minorHAnsi"/>
          <w:color w:val="000000"/>
          <w:sz w:val="24"/>
        </w:rPr>
        <w:t>11</w:t>
      </w:r>
      <w:r w:rsidR="00F31AA0">
        <w:rPr>
          <w:rFonts w:cstheme="minorHAnsi"/>
          <w:color w:val="000000"/>
          <w:sz w:val="24"/>
        </w:rPr>
        <w:t>2</w:t>
      </w:r>
      <w:r w:rsidR="004E1772">
        <w:rPr>
          <w:rFonts w:cstheme="minorHAnsi"/>
          <w:color w:val="000000"/>
          <w:sz w:val="24"/>
        </w:rPr>
        <w:t xml:space="preserve"> </w:t>
      </w:r>
      <w:r>
        <w:rPr>
          <w:rFonts w:cstheme="minorHAnsi"/>
          <w:color w:val="000000"/>
          <w:sz w:val="24"/>
        </w:rPr>
        <w:t>million</w:t>
      </w:r>
      <w:r w:rsidR="00865618">
        <w:rPr>
          <w:rFonts w:cstheme="minorHAnsi"/>
          <w:color w:val="000000"/>
          <w:sz w:val="24"/>
        </w:rPr>
        <w:t xml:space="preserve"> from FY20</w:t>
      </w:r>
      <w:r>
        <w:rPr>
          <w:rFonts w:cstheme="minorHAnsi"/>
          <w:color w:val="000000"/>
          <w:sz w:val="24"/>
        </w:rPr>
        <w:t xml:space="preserve">. </w:t>
      </w:r>
      <w:r w:rsidR="006B4BE5">
        <w:rPr>
          <w:rFonts w:cstheme="minorHAnsi"/>
          <w:color w:val="000000"/>
          <w:sz w:val="24"/>
        </w:rPr>
        <w:t xml:space="preserve">Notable </w:t>
      </w:r>
      <w:r>
        <w:rPr>
          <w:rFonts w:cstheme="minorHAnsi"/>
          <w:color w:val="000000"/>
          <w:sz w:val="24"/>
        </w:rPr>
        <w:t>factors in this shift include the following:</w:t>
      </w:r>
    </w:p>
    <w:p w14:paraId="6BABDC4C" w14:textId="77777777" w:rsidR="006B4BE5" w:rsidRDefault="006B4BE5" w:rsidP="00F31AA0">
      <w:pPr>
        <w:pStyle w:val="ListParagraph"/>
        <w:numPr>
          <w:ilvl w:val="0"/>
          <w:numId w:val="23"/>
        </w:numPr>
        <w:rPr>
          <w:rFonts w:asciiTheme="minorHAnsi" w:eastAsiaTheme="minorHAnsi" w:hAnsiTheme="minorHAnsi" w:cstheme="minorHAnsi"/>
          <w:color w:val="000000"/>
          <w:szCs w:val="22"/>
        </w:rPr>
      </w:pPr>
      <w:r>
        <w:rPr>
          <w:rFonts w:asciiTheme="minorHAnsi" w:eastAsiaTheme="minorHAnsi" w:hAnsiTheme="minorHAnsi" w:cstheme="minorHAnsi"/>
          <w:color w:val="000000"/>
          <w:szCs w:val="22"/>
        </w:rPr>
        <w:t>$62 million increase in operating revenues</w:t>
      </w:r>
    </w:p>
    <w:p w14:paraId="08BF5EA3" w14:textId="77777777" w:rsidR="006B4BE5" w:rsidRDefault="006B4BE5" w:rsidP="006B4BE5">
      <w:pPr>
        <w:pStyle w:val="ListParagraph"/>
        <w:numPr>
          <w:ilvl w:val="0"/>
          <w:numId w:val="23"/>
        </w:numPr>
        <w:rPr>
          <w:rFonts w:asciiTheme="minorHAnsi" w:eastAsiaTheme="minorHAnsi" w:hAnsiTheme="minorHAnsi" w:cstheme="minorHAnsi"/>
          <w:color w:val="000000"/>
          <w:szCs w:val="22"/>
        </w:rPr>
      </w:pPr>
      <w:r>
        <w:rPr>
          <w:rFonts w:asciiTheme="minorHAnsi" w:eastAsiaTheme="minorHAnsi" w:hAnsiTheme="minorHAnsi" w:cstheme="minorHAnsi"/>
          <w:color w:val="000000"/>
          <w:szCs w:val="22"/>
        </w:rPr>
        <w:t>OPEB expense of $3 million compared with OPEB income of $46 million in FY21</w:t>
      </w:r>
    </w:p>
    <w:p w14:paraId="1A4B31E9" w14:textId="23605722" w:rsidR="006B4BE5" w:rsidRDefault="006B4BE5" w:rsidP="00F31AA0">
      <w:pPr>
        <w:pStyle w:val="ListParagraph"/>
        <w:numPr>
          <w:ilvl w:val="0"/>
          <w:numId w:val="23"/>
        </w:numPr>
        <w:rPr>
          <w:rFonts w:asciiTheme="minorHAnsi" w:eastAsiaTheme="minorHAnsi" w:hAnsiTheme="minorHAnsi" w:cstheme="minorHAnsi"/>
          <w:color w:val="000000"/>
          <w:szCs w:val="22"/>
        </w:rPr>
      </w:pPr>
      <w:r>
        <w:rPr>
          <w:rFonts w:asciiTheme="minorHAnsi" w:eastAsiaTheme="minorHAnsi" w:hAnsiTheme="minorHAnsi" w:cstheme="minorHAnsi"/>
          <w:color w:val="000000"/>
          <w:szCs w:val="22"/>
        </w:rPr>
        <w:t>$82 million increase in other operating expenses</w:t>
      </w:r>
    </w:p>
    <w:p w14:paraId="41FB8938" w14:textId="1236C116" w:rsidR="006B4BE5" w:rsidRDefault="006B4BE5" w:rsidP="00F31AA0">
      <w:pPr>
        <w:pStyle w:val="ListParagraph"/>
        <w:numPr>
          <w:ilvl w:val="0"/>
          <w:numId w:val="23"/>
        </w:numPr>
        <w:rPr>
          <w:rFonts w:asciiTheme="minorHAnsi" w:eastAsiaTheme="minorHAnsi" w:hAnsiTheme="minorHAnsi" w:cstheme="minorHAnsi"/>
          <w:color w:val="000000"/>
          <w:szCs w:val="22"/>
        </w:rPr>
      </w:pPr>
      <w:r>
        <w:rPr>
          <w:rFonts w:asciiTheme="minorHAnsi" w:eastAsiaTheme="minorHAnsi" w:hAnsiTheme="minorHAnsi" w:cstheme="minorHAnsi"/>
          <w:color w:val="000000"/>
          <w:szCs w:val="22"/>
        </w:rPr>
        <w:t>$26 million increase in coronavirus relief funding</w:t>
      </w:r>
    </w:p>
    <w:p w14:paraId="63D53410" w14:textId="37B0F246" w:rsidR="00F31AA0" w:rsidRDefault="00F31AA0" w:rsidP="00F31AA0">
      <w:pPr>
        <w:pStyle w:val="ListParagraph"/>
        <w:numPr>
          <w:ilvl w:val="0"/>
          <w:numId w:val="23"/>
        </w:numPr>
        <w:rPr>
          <w:rFonts w:asciiTheme="minorHAnsi" w:eastAsiaTheme="minorHAnsi" w:hAnsiTheme="minorHAnsi" w:cstheme="minorHAnsi"/>
          <w:color w:val="000000"/>
          <w:szCs w:val="22"/>
        </w:rPr>
      </w:pPr>
      <w:r>
        <w:rPr>
          <w:rFonts w:asciiTheme="minorHAnsi" w:eastAsiaTheme="minorHAnsi" w:hAnsiTheme="minorHAnsi" w:cstheme="minorHAnsi"/>
          <w:color w:val="000000"/>
          <w:szCs w:val="22"/>
        </w:rPr>
        <w:t>$36</w:t>
      </w:r>
      <w:r w:rsidRPr="00975B97">
        <w:rPr>
          <w:rFonts w:asciiTheme="minorHAnsi" w:eastAsiaTheme="minorHAnsi" w:hAnsiTheme="minorHAnsi" w:cstheme="minorHAnsi"/>
          <w:color w:val="000000"/>
          <w:szCs w:val="22"/>
        </w:rPr>
        <w:t xml:space="preserve"> million </w:t>
      </w:r>
      <w:r>
        <w:rPr>
          <w:rFonts w:asciiTheme="minorHAnsi" w:eastAsiaTheme="minorHAnsi" w:hAnsiTheme="minorHAnsi" w:cstheme="minorHAnsi"/>
          <w:color w:val="000000"/>
          <w:szCs w:val="22"/>
        </w:rPr>
        <w:t>de</w:t>
      </w:r>
      <w:r w:rsidRPr="00975B97">
        <w:rPr>
          <w:rFonts w:asciiTheme="minorHAnsi" w:eastAsiaTheme="minorHAnsi" w:hAnsiTheme="minorHAnsi" w:cstheme="minorHAnsi"/>
          <w:color w:val="000000"/>
          <w:szCs w:val="22"/>
        </w:rPr>
        <w:t>crease in investment income</w:t>
      </w:r>
      <w:r>
        <w:rPr>
          <w:rFonts w:asciiTheme="minorHAnsi" w:eastAsiaTheme="minorHAnsi" w:hAnsiTheme="minorHAnsi" w:cstheme="minorHAnsi"/>
          <w:color w:val="000000"/>
          <w:szCs w:val="22"/>
        </w:rPr>
        <w:t xml:space="preserve"> </w:t>
      </w:r>
      <w:r w:rsidR="00C020D3">
        <w:rPr>
          <w:rFonts w:asciiTheme="minorHAnsi" w:eastAsiaTheme="minorHAnsi" w:hAnsiTheme="minorHAnsi" w:cstheme="minorHAnsi"/>
          <w:color w:val="000000"/>
          <w:szCs w:val="22"/>
        </w:rPr>
        <w:t>from operating investments</w:t>
      </w:r>
    </w:p>
    <w:p w14:paraId="566B56F8" w14:textId="49AC43B0" w:rsidR="00987D33" w:rsidRPr="00721CFD" w:rsidRDefault="005012B8" w:rsidP="00721CFD">
      <w:pPr>
        <w:pStyle w:val="ListParagraph"/>
        <w:numPr>
          <w:ilvl w:val="0"/>
          <w:numId w:val="23"/>
        </w:numPr>
        <w:rPr>
          <w:rFonts w:asciiTheme="minorHAnsi" w:eastAsiaTheme="minorHAnsi" w:hAnsiTheme="minorHAnsi" w:cstheme="minorHAnsi"/>
          <w:color w:val="000000"/>
          <w:szCs w:val="22"/>
        </w:rPr>
      </w:pPr>
      <w:r>
        <w:rPr>
          <w:rFonts w:asciiTheme="minorHAnsi" w:eastAsiaTheme="minorHAnsi" w:hAnsiTheme="minorHAnsi" w:cstheme="minorHAnsi"/>
          <w:color w:val="000000"/>
          <w:szCs w:val="22"/>
        </w:rPr>
        <w:t>$</w:t>
      </w:r>
      <w:r w:rsidR="00F31AA0">
        <w:rPr>
          <w:rFonts w:asciiTheme="minorHAnsi" w:eastAsiaTheme="minorHAnsi" w:hAnsiTheme="minorHAnsi" w:cstheme="minorHAnsi"/>
          <w:color w:val="000000"/>
          <w:szCs w:val="22"/>
        </w:rPr>
        <w:t xml:space="preserve">27 </w:t>
      </w:r>
      <w:r>
        <w:rPr>
          <w:rFonts w:asciiTheme="minorHAnsi" w:eastAsiaTheme="minorHAnsi" w:hAnsiTheme="minorHAnsi" w:cstheme="minorHAnsi"/>
          <w:color w:val="000000"/>
          <w:szCs w:val="22"/>
        </w:rPr>
        <w:t xml:space="preserve">million increase in </w:t>
      </w:r>
      <w:r w:rsidR="003532EE">
        <w:rPr>
          <w:rFonts w:asciiTheme="minorHAnsi" w:eastAsiaTheme="minorHAnsi" w:hAnsiTheme="minorHAnsi" w:cstheme="minorHAnsi"/>
          <w:color w:val="000000"/>
          <w:szCs w:val="22"/>
        </w:rPr>
        <w:t xml:space="preserve">capital grants and gifts mainly related to construction of the </w:t>
      </w:r>
      <w:r w:rsidR="003532EE" w:rsidRPr="00721CFD">
        <w:rPr>
          <w:rFonts w:asciiTheme="minorHAnsi" w:eastAsiaTheme="minorHAnsi" w:hAnsiTheme="minorHAnsi" w:cstheme="minorHAnsi"/>
          <w:color w:val="0D0D0D" w:themeColor="text1" w:themeTint="F2"/>
          <w:szCs w:val="22"/>
        </w:rPr>
        <w:t xml:space="preserve">Ferland Engineering </w:t>
      </w:r>
      <w:r w:rsidR="00144924" w:rsidRPr="00721CFD">
        <w:rPr>
          <w:rFonts w:asciiTheme="minorHAnsi" w:eastAsiaTheme="minorHAnsi" w:hAnsiTheme="minorHAnsi" w:cstheme="minorHAnsi"/>
          <w:color w:val="0D0D0D" w:themeColor="text1" w:themeTint="F2"/>
          <w:szCs w:val="22"/>
        </w:rPr>
        <w:t xml:space="preserve">Education and Design </w:t>
      </w:r>
      <w:r w:rsidR="003532EE" w:rsidRPr="00721CFD">
        <w:rPr>
          <w:rFonts w:asciiTheme="minorHAnsi" w:eastAsiaTheme="minorHAnsi" w:hAnsiTheme="minorHAnsi" w:cstheme="minorHAnsi"/>
          <w:color w:val="0D0D0D" w:themeColor="text1" w:themeTint="F2"/>
          <w:szCs w:val="22"/>
        </w:rPr>
        <w:t>Center</w:t>
      </w:r>
    </w:p>
    <w:p w14:paraId="2DC2C647" w14:textId="4C6181EE" w:rsidR="00987D33" w:rsidRDefault="00987D33" w:rsidP="00721CFD">
      <w:pPr>
        <w:pStyle w:val="ListParagraph"/>
        <w:numPr>
          <w:ilvl w:val="0"/>
          <w:numId w:val="23"/>
        </w:numPr>
        <w:rPr>
          <w:rFonts w:asciiTheme="minorHAnsi" w:eastAsiaTheme="minorHAnsi" w:hAnsiTheme="minorHAnsi" w:cstheme="minorHAnsi"/>
          <w:color w:val="000000"/>
          <w:szCs w:val="22"/>
        </w:rPr>
      </w:pPr>
      <w:r w:rsidRPr="00975B97">
        <w:rPr>
          <w:rFonts w:asciiTheme="minorHAnsi" w:eastAsiaTheme="minorHAnsi" w:hAnsiTheme="minorHAnsi" w:cstheme="minorHAnsi"/>
          <w:color w:val="000000"/>
          <w:szCs w:val="22"/>
        </w:rPr>
        <w:t>$</w:t>
      </w:r>
      <w:r w:rsidR="00846D10">
        <w:rPr>
          <w:rFonts w:asciiTheme="minorHAnsi" w:eastAsiaTheme="minorHAnsi" w:hAnsiTheme="minorHAnsi" w:cstheme="minorHAnsi"/>
          <w:color w:val="000000"/>
          <w:szCs w:val="22"/>
        </w:rPr>
        <w:t>55</w:t>
      </w:r>
      <w:r w:rsidR="00846D10" w:rsidRPr="00975B97">
        <w:rPr>
          <w:rFonts w:asciiTheme="minorHAnsi" w:eastAsiaTheme="minorHAnsi" w:hAnsiTheme="minorHAnsi" w:cstheme="minorHAnsi"/>
          <w:color w:val="000000"/>
          <w:szCs w:val="22"/>
        </w:rPr>
        <w:t xml:space="preserve"> </w:t>
      </w:r>
      <w:r w:rsidRPr="00975B97">
        <w:rPr>
          <w:rFonts w:asciiTheme="minorHAnsi" w:eastAsiaTheme="minorHAnsi" w:hAnsiTheme="minorHAnsi" w:cstheme="minorHAnsi"/>
          <w:color w:val="000000"/>
          <w:szCs w:val="22"/>
        </w:rPr>
        <w:t xml:space="preserve">million </w:t>
      </w:r>
      <w:r w:rsidR="00846D10">
        <w:rPr>
          <w:rFonts w:asciiTheme="minorHAnsi" w:eastAsiaTheme="minorHAnsi" w:hAnsiTheme="minorHAnsi" w:cstheme="minorHAnsi"/>
          <w:color w:val="000000"/>
          <w:szCs w:val="22"/>
        </w:rPr>
        <w:t xml:space="preserve">decrease </w:t>
      </w:r>
      <w:r w:rsidRPr="00975B97">
        <w:rPr>
          <w:rFonts w:asciiTheme="minorHAnsi" w:eastAsiaTheme="minorHAnsi" w:hAnsiTheme="minorHAnsi" w:cstheme="minorHAnsi"/>
          <w:color w:val="000000"/>
          <w:szCs w:val="22"/>
        </w:rPr>
        <w:t>in market returns for endowment investments</w:t>
      </w:r>
    </w:p>
    <w:p w14:paraId="41178671" w14:textId="603397FA" w:rsidR="006B4BE5" w:rsidRDefault="006B4BE5" w:rsidP="00721CFD">
      <w:pPr>
        <w:pStyle w:val="ListParagraph"/>
        <w:numPr>
          <w:ilvl w:val="0"/>
          <w:numId w:val="23"/>
        </w:numPr>
        <w:rPr>
          <w:rFonts w:asciiTheme="minorHAnsi" w:eastAsiaTheme="minorHAnsi" w:hAnsiTheme="minorHAnsi" w:cstheme="minorHAnsi"/>
          <w:color w:val="000000"/>
          <w:szCs w:val="22"/>
        </w:rPr>
      </w:pPr>
      <w:r>
        <w:rPr>
          <w:rFonts w:asciiTheme="minorHAnsi" w:eastAsiaTheme="minorHAnsi" w:hAnsiTheme="minorHAnsi" w:cstheme="minorHAnsi"/>
          <w:color w:val="000000"/>
          <w:szCs w:val="22"/>
        </w:rPr>
        <w:t>$</w:t>
      </w:r>
      <w:r w:rsidR="00300692">
        <w:rPr>
          <w:rFonts w:asciiTheme="minorHAnsi" w:eastAsiaTheme="minorHAnsi" w:hAnsiTheme="minorHAnsi" w:cstheme="minorHAnsi"/>
          <w:color w:val="000000"/>
          <w:szCs w:val="22"/>
        </w:rPr>
        <w:t>Net 21 million increase in various other nonoperating revenue lines</w:t>
      </w:r>
    </w:p>
    <w:p w14:paraId="455F0F0F" w14:textId="4529153E" w:rsidR="00865618" w:rsidRPr="00975B97" w:rsidRDefault="00865618" w:rsidP="00C020D3">
      <w:pPr>
        <w:pStyle w:val="ListParagraph"/>
        <w:ind w:left="770"/>
        <w:rPr>
          <w:rFonts w:asciiTheme="minorHAnsi" w:eastAsiaTheme="minorHAnsi" w:hAnsiTheme="minorHAnsi" w:cstheme="minorHAnsi"/>
          <w:color w:val="000000"/>
          <w:szCs w:val="22"/>
        </w:rPr>
      </w:pPr>
    </w:p>
    <w:p w14:paraId="612C37D2" w14:textId="7A635386" w:rsidR="00622C7D" w:rsidRDefault="00987D33" w:rsidP="006A6DC1">
      <w:pPr>
        <w:rPr>
          <w:rFonts w:cstheme="minorHAnsi"/>
          <w:b/>
          <w:color w:val="000000"/>
          <w:sz w:val="24"/>
          <w:szCs w:val="24"/>
        </w:rPr>
      </w:pPr>
      <w:r>
        <w:rPr>
          <w:rFonts w:cstheme="minorHAnsi"/>
          <w:color w:val="000000"/>
          <w:sz w:val="24"/>
        </w:rPr>
        <w:t xml:space="preserve">The </w:t>
      </w:r>
      <w:r w:rsidR="004E1772">
        <w:rPr>
          <w:rFonts w:cstheme="minorHAnsi"/>
          <w:color w:val="000000"/>
          <w:sz w:val="24"/>
        </w:rPr>
        <w:t xml:space="preserve">FY21 </w:t>
      </w:r>
      <w:r>
        <w:rPr>
          <w:rFonts w:cstheme="minorHAnsi"/>
          <w:color w:val="000000"/>
          <w:sz w:val="24"/>
        </w:rPr>
        <w:t>increase in net position of $</w:t>
      </w:r>
      <w:r w:rsidR="004E1772">
        <w:rPr>
          <w:rFonts w:cstheme="minorHAnsi"/>
          <w:color w:val="000000"/>
          <w:sz w:val="24"/>
        </w:rPr>
        <w:t xml:space="preserve">113 </w:t>
      </w:r>
      <w:r>
        <w:rPr>
          <w:rFonts w:cstheme="minorHAnsi"/>
          <w:color w:val="000000"/>
          <w:sz w:val="24"/>
        </w:rPr>
        <w:t>million was up $</w:t>
      </w:r>
      <w:r w:rsidR="004E1772">
        <w:rPr>
          <w:rFonts w:cstheme="minorHAnsi"/>
          <w:color w:val="000000"/>
          <w:sz w:val="24"/>
        </w:rPr>
        <w:t xml:space="preserve">99 </w:t>
      </w:r>
      <w:r>
        <w:rPr>
          <w:rFonts w:cstheme="minorHAnsi"/>
          <w:color w:val="000000"/>
          <w:sz w:val="24"/>
        </w:rPr>
        <w:t xml:space="preserve">million over that for </w:t>
      </w:r>
      <w:r w:rsidR="004E1772">
        <w:rPr>
          <w:rFonts w:cstheme="minorHAnsi"/>
          <w:color w:val="000000"/>
          <w:sz w:val="24"/>
        </w:rPr>
        <w:t>FY20</w:t>
      </w:r>
      <w:r>
        <w:rPr>
          <w:rFonts w:cstheme="minorHAnsi"/>
          <w:color w:val="000000"/>
          <w:sz w:val="24"/>
        </w:rPr>
        <w:t xml:space="preserve">. </w:t>
      </w:r>
      <w:r w:rsidRPr="00721CFD">
        <w:rPr>
          <w:rFonts w:cstheme="minorHAnsi"/>
          <w:color w:val="000000"/>
          <w:sz w:val="24"/>
        </w:rPr>
        <w:t xml:space="preserve">The </w:t>
      </w:r>
      <w:r w:rsidR="003532EE">
        <w:rPr>
          <w:rFonts w:cstheme="minorHAnsi"/>
          <w:color w:val="000000"/>
          <w:sz w:val="24"/>
        </w:rPr>
        <w:t>OPEB income</w:t>
      </w:r>
      <w:r w:rsidRPr="00721CFD">
        <w:rPr>
          <w:rFonts w:cstheme="minorHAnsi"/>
          <w:color w:val="000000"/>
          <w:sz w:val="24"/>
        </w:rPr>
        <w:t xml:space="preserve"> of $</w:t>
      </w:r>
      <w:r w:rsidR="003532EE">
        <w:rPr>
          <w:rFonts w:cstheme="minorHAnsi"/>
          <w:color w:val="000000"/>
          <w:sz w:val="24"/>
        </w:rPr>
        <w:t>46</w:t>
      </w:r>
      <w:r w:rsidR="003532EE" w:rsidRPr="00721CFD">
        <w:rPr>
          <w:rFonts w:cstheme="minorHAnsi"/>
          <w:color w:val="000000"/>
          <w:sz w:val="24"/>
        </w:rPr>
        <w:t xml:space="preserve"> </w:t>
      </w:r>
      <w:r w:rsidRPr="00721CFD">
        <w:rPr>
          <w:rFonts w:cstheme="minorHAnsi"/>
          <w:color w:val="000000"/>
          <w:sz w:val="24"/>
        </w:rPr>
        <w:t>million was a major factor in this increase</w:t>
      </w:r>
      <w:r w:rsidR="00F31AA0">
        <w:rPr>
          <w:rFonts w:cstheme="minorHAnsi"/>
          <w:color w:val="000000"/>
          <w:sz w:val="24"/>
        </w:rPr>
        <w:t xml:space="preserve"> along with extremely strong market returns on operating and endowment investments</w:t>
      </w:r>
      <w:r w:rsidRPr="00721CFD">
        <w:rPr>
          <w:rFonts w:cstheme="minorHAnsi"/>
          <w:color w:val="000000"/>
          <w:sz w:val="24"/>
        </w:rPr>
        <w:t>.</w:t>
      </w:r>
      <w:r w:rsidR="00622C7D">
        <w:rPr>
          <w:rFonts w:cstheme="minorHAnsi"/>
          <w:b/>
          <w:color w:val="000000"/>
          <w:sz w:val="24"/>
          <w:szCs w:val="24"/>
        </w:rPr>
        <w:br w:type="page"/>
      </w:r>
    </w:p>
    <w:p w14:paraId="146FC2AB" w14:textId="5EA453B5" w:rsidR="00987D33" w:rsidRPr="001A18A6" w:rsidRDefault="00987D33" w:rsidP="00721CFD">
      <w:pPr>
        <w:jc w:val="center"/>
        <w:rPr>
          <w:rFonts w:cstheme="minorHAnsi"/>
          <w:b/>
          <w:color w:val="000000"/>
          <w:sz w:val="24"/>
          <w:szCs w:val="24"/>
        </w:rPr>
      </w:pPr>
      <w:r w:rsidRPr="001A18A6">
        <w:rPr>
          <w:rFonts w:cstheme="minorHAnsi"/>
          <w:b/>
          <w:color w:val="000000"/>
          <w:sz w:val="24"/>
          <w:szCs w:val="24"/>
        </w:rPr>
        <w:lastRenderedPageBreak/>
        <w:t>Table 5: Condensed Statements of Revenues, Expenses, and Changes in Net Position</w:t>
      </w:r>
    </w:p>
    <w:p w14:paraId="1E8BCA3A" w14:textId="77777777" w:rsidR="00987D33" w:rsidRPr="001A18A6" w:rsidRDefault="00987D33" w:rsidP="00987D33">
      <w:pPr>
        <w:jc w:val="center"/>
        <w:rPr>
          <w:rFonts w:cstheme="minorHAnsi"/>
          <w:b/>
          <w:color w:val="000000"/>
          <w:sz w:val="24"/>
          <w:szCs w:val="24"/>
        </w:rPr>
      </w:pPr>
      <w:r w:rsidRPr="001A18A6">
        <w:rPr>
          <w:rFonts w:cstheme="minorHAnsi"/>
          <w:b/>
          <w:color w:val="000000"/>
          <w:sz w:val="24"/>
          <w:szCs w:val="24"/>
        </w:rPr>
        <w:t>Years Ended June 30</w:t>
      </w:r>
    </w:p>
    <w:p w14:paraId="73D9DE12" w14:textId="77777777" w:rsidR="00987D33" w:rsidRDefault="00987D33" w:rsidP="00987D33">
      <w:pPr>
        <w:jc w:val="center"/>
        <w:rPr>
          <w:rFonts w:cstheme="minorHAnsi"/>
          <w:b/>
          <w:color w:val="000000"/>
          <w:sz w:val="20"/>
          <w:szCs w:val="24"/>
        </w:rPr>
      </w:pPr>
      <w:r w:rsidRPr="001A18A6">
        <w:rPr>
          <w:rFonts w:cstheme="minorHAnsi"/>
          <w:b/>
          <w:color w:val="000000"/>
          <w:sz w:val="20"/>
          <w:szCs w:val="24"/>
        </w:rPr>
        <w:t>(In millions)</w:t>
      </w:r>
    </w:p>
    <w:p w14:paraId="082951ED" w14:textId="77777777" w:rsidR="00987D33" w:rsidRDefault="00987D33" w:rsidP="00987D33">
      <w:pPr>
        <w:jc w:val="center"/>
        <w:rPr>
          <w:rFonts w:cstheme="minorHAnsi"/>
          <w:b/>
          <w:color w:val="000000"/>
          <w:sz w:val="20"/>
          <w:szCs w:val="24"/>
        </w:rPr>
      </w:pPr>
    </w:p>
    <w:p w14:paraId="3438AE77" w14:textId="398D91EB" w:rsidR="00987D33" w:rsidRDefault="006223C2" w:rsidP="00987D33">
      <w:pPr>
        <w:rPr>
          <w:rFonts w:cstheme="minorHAnsi"/>
          <w:b/>
          <w:color w:val="000000"/>
          <w:sz w:val="20"/>
          <w:szCs w:val="24"/>
        </w:rPr>
      </w:pPr>
      <w:r w:rsidRPr="006223C2">
        <w:rPr>
          <w:noProof/>
        </w:rPr>
        <w:drawing>
          <wp:inline distT="0" distB="0" distL="0" distR="0" wp14:anchorId="7038E0FF" wp14:editId="6A512F6C">
            <wp:extent cx="5943600" cy="4928870"/>
            <wp:effectExtent l="0" t="0" r="0" b="5080"/>
            <wp:docPr id="2" name="Picture 2" descr=" 2022 &quot;Restated&#10;2021&quot; Restated 2020 2019 2018&#10;Operating Revenues     &#10;Net student fees  $263   $239   $248   $264   $256 &#10;Grants, contracts and recovery of indirect costs  163   136   121   113   110 &#10;Other operating revenues  41   30   44   53   52 &#10;Total Operating Revenues  467   405   413   430   418 &#10;Operating Expenses  (811)  (680)  (716)  (724)  (692)&#10;Operating Loss  (344)  (275)  (303)  (294)  (274)&#10;Nonoperating Revenues (Expenses)     &#10;Noncapital State of Maine appropriations  229   218   220   212   211 &#10;Federal Pell grants  34   35   38   40   40 &#10;Coronavirus relief funding  63   37   15   -   - &#10;Gifts currently expendable  20   19   19   16   14 &#10;Endowment return used for operations  6   6   6   6   6 &#10;Investment income (loss)  (14)  22   9   12   7 &#10;Interest expense, net  (4)  (4)  (4)  (4)  (4)&#10;Net Nonoperating Revenues (Expenses)  334   333   303   282   274 &#10;Income (Loss) Before Other Changes in Net Position  (10)  58   -   (12)  - &#10;Other Changes in Net Position     &#10;State of Maine capital appropriations  25   16   14   6   8 &#10;Capital grants and gifts  35   8   3   4   4 &#10;Endow. return, net of amount used for operations   (26)  29   (4)  (2)  3 &#10;Other  2   1   1   8   1 &#10;Total Other Changes in Net Position  36   54   14   16   16 &#10;Change in Net Position  $26   $112   $14   $4   $1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2022 &quot;Restated&#10;2021&quot; Restated 2020 2019 2018&#10;Operating Revenues     &#10;Net student fees  $263   $239   $248   $264   $256 &#10;Grants, contracts and recovery of indirect costs  163   136   121   113   110 &#10;Other operating revenues  41   30   44   53   52 &#10;Total Operating Revenues  467   405   413   430   418 &#10;Operating Expenses  (811)  (680)  (716)  (724)  (692)&#10;Operating Loss  (344)  (275)  (303)  (294)  (274)&#10;Nonoperating Revenues (Expenses)     &#10;Noncapital State of Maine appropriations  229   218   220   212   211 &#10;Federal Pell grants  34   35   38   40   40 &#10;Coronavirus relief funding  63   37   15   -   - &#10;Gifts currently expendable  20   19   19   16   14 &#10;Endowment return used for operations  6   6   6   6   6 &#10;Investment income (loss)  (14)  22   9   12   7 &#10;Interest expense, net  (4)  (4)  (4)  (4)  (4)&#10;Net Nonoperating Revenues (Expenses)  334   333   303   282   274 &#10;Income (Loss) Before Other Changes in Net Position  (10)  58   -   (12)  - &#10;Other Changes in Net Position     &#10;State of Maine capital appropriations  25   16   14   6   8 &#10;Capital grants and gifts  35   8   3   4   4 &#10;Endow. return, net of amount used for operations   (26)  29   (4)  (2)  3 &#10;Other  2   1   1   8   1 &#10;Total Other Changes in Net Position  36   54   14   16   16 &#10;Change in Net Position  $26   $112   $14   $4   $16">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928870"/>
                    </a:xfrm>
                    <a:prstGeom prst="rect">
                      <a:avLst/>
                    </a:prstGeom>
                    <a:noFill/>
                    <a:ln>
                      <a:noFill/>
                    </a:ln>
                  </pic:spPr>
                </pic:pic>
              </a:graphicData>
            </a:graphic>
          </wp:inline>
        </w:drawing>
      </w:r>
    </w:p>
    <w:p w14:paraId="7D89DC00" w14:textId="77777777" w:rsidR="00987D33" w:rsidRDefault="00987D33" w:rsidP="00987D33">
      <w:pPr>
        <w:pStyle w:val="AFR3"/>
        <w:rPr>
          <w:rFonts w:cstheme="minorHAnsi"/>
        </w:rPr>
      </w:pPr>
      <w:r>
        <w:rPr>
          <w:rFonts w:cstheme="minorHAnsi"/>
        </w:rPr>
        <w:t>Operating and Nonoperating Revenue</w:t>
      </w:r>
    </w:p>
    <w:p w14:paraId="2CC9E4DC" w14:textId="77777777" w:rsidR="00987D33" w:rsidRDefault="00987D33" w:rsidP="00987D33">
      <w:pPr>
        <w:spacing w:after="120"/>
        <w:rPr>
          <w:rFonts w:eastAsia="Times New Roman" w:cstheme="minorHAnsi"/>
          <w:sz w:val="24"/>
        </w:rPr>
      </w:pPr>
      <w:r>
        <w:rPr>
          <w:rFonts w:eastAsia="Times New Roman" w:cstheme="minorHAnsi"/>
          <w:sz w:val="24"/>
        </w:rPr>
        <w:t>UMS revenues and expenses are categorized as either operating or nonoperating.</w:t>
      </w:r>
    </w:p>
    <w:p w14:paraId="585DA54F" w14:textId="4527E052" w:rsidR="00987D33" w:rsidRDefault="00987D33" w:rsidP="00721CFD">
      <w:pPr>
        <w:pStyle w:val="ListParagraph"/>
        <w:numPr>
          <w:ilvl w:val="0"/>
          <w:numId w:val="18"/>
        </w:numPr>
        <w:contextualSpacing w:val="0"/>
        <w:rPr>
          <w:rFonts w:cstheme="minorHAnsi"/>
        </w:rPr>
      </w:pPr>
      <w:r w:rsidRPr="00790AF8">
        <w:rPr>
          <w:rFonts w:asciiTheme="minorHAnsi" w:hAnsiTheme="minorHAnsi" w:cstheme="minorHAnsi"/>
          <w:szCs w:val="22"/>
        </w:rPr>
        <w:t xml:space="preserve">In addition to tuition and fees, the System receives </w:t>
      </w:r>
      <w:r>
        <w:rPr>
          <w:rFonts w:asciiTheme="minorHAnsi" w:hAnsiTheme="minorHAnsi" w:cstheme="minorHAnsi"/>
          <w:szCs w:val="22"/>
        </w:rPr>
        <w:t xml:space="preserve">operating </w:t>
      </w:r>
      <w:r w:rsidRPr="00790AF8">
        <w:rPr>
          <w:rFonts w:asciiTheme="minorHAnsi" w:hAnsiTheme="minorHAnsi" w:cstheme="minorHAnsi"/>
          <w:szCs w:val="22"/>
        </w:rPr>
        <w:t xml:space="preserve">revenue from other sources such as governmental and privately funded grants and contracts; </w:t>
      </w:r>
      <w:r w:rsidR="00B15041">
        <w:rPr>
          <w:rFonts w:asciiTheme="minorHAnsi" w:hAnsiTheme="minorHAnsi" w:cstheme="minorHAnsi"/>
          <w:szCs w:val="22"/>
        </w:rPr>
        <w:t>educational sales and services</w:t>
      </w:r>
      <w:r w:rsidRPr="00790AF8">
        <w:rPr>
          <w:rFonts w:asciiTheme="minorHAnsi" w:hAnsiTheme="minorHAnsi" w:cstheme="minorHAnsi"/>
          <w:szCs w:val="22"/>
        </w:rPr>
        <w:t xml:space="preserve">; and </w:t>
      </w:r>
      <w:r w:rsidR="00B15041">
        <w:rPr>
          <w:rFonts w:asciiTheme="minorHAnsi" w:hAnsiTheme="minorHAnsi" w:cstheme="minorHAnsi"/>
          <w:szCs w:val="22"/>
        </w:rPr>
        <w:t>auxiliary enterprises</w:t>
      </w:r>
      <w:r w:rsidRPr="00790AF8">
        <w:rPr>
          <w:rFonts w:asciiTheme="minorHAnsi" w:hAnsiTheme="minorHAnsi" w:cstheme="minorHAnsi"/>
          <w:szCs w:val="22"/>
        </w:rPr>
        <w:t>.</w:t>
      </w:r>
    </w:p>
    <w:p w14:paraId="1B9BBC4A" w14:textId="77777777" w:rsidR="00987D33" w:rsidRPr="00796CA3" w:rsidRDefault="00987D33" w:rsidP="00721CFD">
      <w:pPr>
        <w:pStyle w:val="ListParagraph"/>
        <w:numPr>
          <w:ilvl w:val="0"/>
          <w:numId w:val="18"/>
        </w:numPr>
        <w:contextualSpacing w:val="0"/>
        <w:rPr>
          <w:rFonts w:cstheme="minorHAnsi"/>
        </w:rPr>
      </w:pPr>
      <w:r w:rsidRPr="00790AF8">
        <w:rPr>
          <w:rFonts w:asciiTheme="minorHAnsi" w:hAnsiTheme="minorHAnsi" w:cstheme="minorHAnsi"/>
          <w:szCs w:val="22"/>
        </w:rPr>
        <w:t>Certain significant recurring revenues and expenses are considered nonoperating including state noncapital appropriations, federal Pell grants, coronavirus relief funding, gifts, endowment return used for operations, investment income, and interest expense.</w:t>
      </w:r>
    </w:p>
    <w:p w14:paraId="40932EA3" w14:textId="77777777" w:rsidR="00987D33" w:rsidRDefault="00987D33" w:rsidP="00987D33">
      <w:pPr>
        <w:ind w:left="360"/>
        <w:rPr>
          <w:rFonts w:eastAsia="Times New Roman" w:cstheme="minorHAnsi"/>
        </w:rPr>
      </w:pPr>
    </w:p>
    <w:p w14:paraId="6970EF31" w14:textId="2953A221" w:rsidR="00987D33" w:rsidRDefault="00987D33" w:rsidP="00987D33">
      <w:pPr>
        <w:rPr>
          <w:rFonts w:eastAsia="Times New Roman" w:cstheme="minorHAnsi"/>
          <w:sz w:val="24"/>
        </w:rPr>
      </w:pPr>
      <w:r>
        <w:rPr>
          <w:rFonts w:eastAsia="Times New Roman" w:cstheme="minorHAnsi"/>
          <w:sz w:val="24"/>
        </w:rPr>
        <w:t xml:space="preserve">The following pie charts illustrate the total operating and net nonoperating revenue sources used to fund the System’s activities for </w:t>
      </w:r>
      <w:r w:rsidR="00881C2A">
        <w:rPr>
          <w:rFonts w:eastAsia="Times New Roman" w:cstheme="minorHAnsi"/>
          <w:sz w:val="24"/>
        </w:rPr>
        <w:t xml:space="preserve">FY22 </w:t>
      </w:r>
      <w:r>
        <w:rPr>
          <w:rFonts w:eastAsia="Times New Roman" w:cstheme="minorHAnsi"/>
          <w:sz w:val="24"/>
        </w:rPr>
        <w:t xml:space="preserve">and </w:t>
      </w:r>
      <w:r w:rsidR="00881C2A">
        <w:rPr>
          <w:rFonts w:eastAsia="Times New Roman" w:cstheme="minorHAnsi"/>
          <w:sz w:val="24"/>
        </w:rPr>
        <w:t>FY21</w:t>
      </w:r>
      <w:r>
        <w:rPr>
          <w:rFonts w:eastAsia="Times New Roman" w:cstheme="minorHAnsi"/>
          <w:sz w:val="24"/>
        </w:rPr>
        <w:t>.</w:t>
      </w:r>
    </w:p>
    <w:p w14:paraId="2C950BAF" w14:textId="77777777" w:rsidR="00987D33" w:rsidRPr="00B73AEE" w:rsidRDefault="00987D33" w:rsidP="00987D33">
      <w:pPr>
        <w:rPr>
          <w:rFonts w:eastAsia="Times New Roman" w:cstheme="minorHAnsi"/>
          <w:b/>
          <w:color w:val="0D0D0D" w:themeColor="text1" w:themeTint="F2"/>
          <w:sz w:val="24"/>
          <w:szCs w:val="28"/>
        </w:rPr>
      </w:pPr>
    </w:p>
    <w:p w14:paraId="6CEE0D17" w14:textId="386AB279" w:rsidR="00987D33" w:rsidRDefault="00987D33" w:rsidP="00987D33">
      <w:pPr>
        <w:ind w:left="360"/>
        <w:jc w:val="center"/>
        <w:rPr>
          <w:rFonts w:eastAsia="Times New Roman" w:cstheme="minorHAnsi"/>
          <w:b/>
          <w:color w:val="0D0D0D" w:themeColor="text1" w:themeTint="F2"/>
          <w:sz w:val="28"/>
          <w:szCs w:val="28"/>
        </w:rPr>
      </w:pPr>
      <w:r>
        <w:rPr>
          <w:rFonts w:eastAsia="Times New Roman" w:cstheme="minorHAnsi"/>
          <w:b/>
          <w:color w:val="0D0D0D" w:themeColor="text1" w:themeTint="F2"/>
          <w:sz w:val="28"/>
          <w:szCs w:val="28"/>
        </w:rPr>
        <w:lastRenderedPageBreak/>
        <w:t xml:space="preserve">Chart </w:t>
      </w:r>
      <w:r w:rsidR="00404B15">
        <w:rPr>
          <w:rFonts w:eastAsia="Times New Roman" w:cstheme="minorHAnsi"/>
          <w:b/>
          <w:color w:val="0D0D0D" w:themeColor="text1" w:themeTint="F2"/>
          <w:sz w:val="28"/>
          <w:szCs w:val="28"/>
        </w:rPr>
        <w:t>7</w:t>
      </w:r>
      <w:r>
        <w:rPr>
          <w:rFonts w:eastAsia="Times New Roman" w:cstheme="minorHAnsi"/>
          <w:b/>
          <w:color w:val="0D0D0D" w:themeColor="text1" w:themeTint="F2"/>
          <w:sz w:val="28"/>
          <w:szCs w:val="28"/>
        </w:rPr>
        <w:t>: Total Operating and Net Nonoperating Revenue</w:t>
      </w:r>
    </w:p>
    <w:p w14:paraId="7CE1FFE5" w14:textId="21B72FF5" w:rsidR="009A4CF5" w:rsidRDefault="009A4CF5" w:rsidP="00987D33">
      <w:pPr>
        <w:ind w:left="360"/>
        <w:jc w:val="center"/>
        <w:rPr>
          <w:rFonts w:eastAsia="Times New Roman" w:cstheme="minorHAnsi"/>
          <w:b/>
          <w:color w:val="0D0D0D" w:themeColor="text1" w:themeTint="F2"/>
          <w:sz w:val="28"/>
          <w:szCs w:val="28"/>
        </w:rPr>
      </w:pPr>
      <w:r>
        <w:rPr>
          <w:noProof/>
        </w:rPr>
        <w:drawing>
          <wp:inline distT="0" distB="0" distL="0" distR="0" wp14:anchorId="0BB785CD" wp14:editId="1E8E0E54">
            <wp:extent cx="5943600" cy="3388360"/>
            <wp:effectExtent l="0" t="0" r="0" b="0"/>
            <wp:docPr id="20" name="Chart 20">
              <a:extLst xmlns:a="http://schemas.openxmlformats.org/drawingml/2006/main">
                <a:ext uri="{FF2B5EF4-FFF2-40B4-BE49-F238E27FC236}">
                  <a16:creationId xmlns:a16="http://schemas.microsoft.com/office/drawing/2014/main" id="{3B0A2D0C-88F2-4173-B581-B5AC9D024DA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79275E" w14:textId="77777777" w:rsidR="00987D33" w:rsidRDefault="00987D33" w:rsidP="00987D33">
      <w:pPr>
        <w:spacing w:before="240" w:after="240"/>
        <w:ind w:left="360"/>
        <w:jc w:val="center"/>
        <w:rPr>
          <w:rFonts w:eastAsia="Times New Roman" w:cstheme="minorHAnsi"/>
          <w:color w:val="0D0D0D" w:themeColor="text1" w:themeTint="F2"/>
          <w:sz w:val="20"/>
          <w:szCs w:val="20"/>
        </w:rPr>
      </w:pPr>
      <w:r>
        <w:rPr>
          <w:noProof/>
        </w:rPr>
        <w:drawing>
          <wp:inline distT="0" distB="0" distL="0" distR="0" wp14:anchorId="63BC8E38" wp14:editId="6F97C7EF">
            <wp:extent cx="5943600" cy="3545733"/>
            <wp:effectExtent l="0" t="0" r="0" b="0"/>
            <wp:docPr id="34" name="Picture 5" descr="Net Student Fees  239 32%&#10;Grants &amp; Contracts  119 16%&#10;Indirect Cost Recovery  17 2%&#10;Educ. Sales &amp; Services/Aux. Enterprises 30 4%&#10;Noncapital State Appropriation  218 30%&#10;Federal Pell Grants 35 5%&#10;Coronavirus Relief Funding 37 5%&#10;Other Nonoperating Revenues Net  43 6%&#10; 738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2"/>
                    <a:srcRect b="8520"/>
                    <a:stretch/>
                  </pic:blipFill>
                  <pic:spPr bwMode="auto">
                    <a:xfrm>
                      <a:off x="0" y="0"/>
                      <a:ext cx="5943600" cy="3545733"/>
                    </a:xfrm>
                    <a:prstGeom prst="rect">
                      <a:avLst/>
                    </a:prstGeom>
                    <a:ln>
                      <a:noFill/>
                    </a:ln>
                    <a:extLst>
                      <a:ext uri="{53640926-AAD7-44D8-BBD7-CCE9431645EC}">
                        <a14:shadowObscured xmlns:a14="http://schemas.microsoft.com/office/drawing/2010/main"/>
                      </a:ext>
                    </a:extLst>
                  </pic:spPr>
                </pic:pic>
              </a:graphicData>
            </a:graphic>
          </wp:inline>
        </w:drawing>
      </w:r>
    </w:p>
    <w:p w14:paraId="36170D59" w14:textId="77777777" w:rsidR="00622C7D" w:rsidRDefault="00622C7D">
      <w:pPr>
        <w:spacing w:after="160" w:line="259" w:lineRule="auto"/>
        <w:rPr>
          <w:b/>
          <w:i/>
          <w:sz w:val="26"/>
          <w:u w:val="single" w:color="000000" w:themeColor="text1"/>
        </w:rPr>
      </w:pPr>
      <w:r>
        <w:br w:type="page"/>
      </w:r>
    </w:p>
    <w:p w14:paraId="6204ABED" w14:textId="38231CDD" w:rsidR="00987D33" w:rsidRPr="00790AF8" w:rsidRDefault="00987D33" w:rsidP="00987D33">
      <w:pPr>
        <w:pStyle w:val="AFR3"/>
      </w:pPr>
      <w:r w:rsidRPr="000C35A5">
        <w:lastRenderedPageBreak/>
        <w:t>Net Student Fees Revenue</w:t>
      </w:r>
    </w:p>
    <w:p w14:paraId="68449AFB" w14:textId="2243CCFE" w:rsidR="00987D33" w:rsidRDefault="00987D33" w:rsidP="00987D33">
      <w:pPr>
        <w:spacing w:after="160" w:line="256" w:lineRule="auto"/>
        <w:rPr>
          <w:rFonts w:eastAsia="Times New Roman" w:cstheme="minorHAnsi"/>
          <w:sz w:val="24"/>
        </w:rPr>
      </w:pPr>
      <w:r>
        <w:rPr>
          <w:rFonts w:eastAsia="Times New Roman" w:cstheme="minorHAnsi"/>
          <w:sz w:val="24"/>
        </w:rPr>
        <w:t xml:space="preserve">Net student fees of </w:t>
      </w:r>
      <w:r w:rsidRPr="00A316AD">
        <w:rPr>
          <w:rFonts w:eastAsia="Times New Roman" w:cstheme="minorHAnsi"/>
          <w:sz w:val="24"/>
        </w:rPr>
        <w:t>$</w:t>
      </w:r>
      <w:r w:rsidR="001D1B94">
        <w:rPr>
          <w:rFonts w:eastAsia="Times New Roman" w:cstheme="minorHAnsi"/>
          <w:sz w:val="24"/>
        </w:rPr>
        <w:t>263</w:t>
      </w:r>
      <w:r w:rsidR="001D1B94" w:rsidRPr="007706DF">
        <w:rPr>
          <w:rFonts w:eastAsia="Times New Roman" w:cstheme="minorHAnsi"/>
          <w:sz w:val="24"/>
        </w:rPr>
        <w:t xml:space="preserve"> </w:t>
      </w:r>
      <w:r>
        <w:rPr>
          <w:rFonts w:eastAsia="Times New Roman" w:cstheme="minorHAnsi"/>
          <w:sz w:val="24"/>
        </w:rPr>
        <w:t xml:space="preserve">million for </w:t>
      </w:r>
      <w:r w:rsidR="007C137C">
        <w:rPr>
          <w:rFonts w:eastAsia="Times New Roman" w:cstheme="minorHAnsi"/>
          <w:sz w:val="24"/>
        </w:rPr>
        <w:t xml:space="preserve">FY22 </w:t>
      </w:r>
      <w:r>
        <w:rPr>
          <w:rFonts w:eastAsia="Times New Roman" w:cstheme="minorHAnsi"/>
          <w:sz w:val="24"/>
        </w:rPr>
        <w:t xml:space="preserve">are the largest source of revenues used to fund operating expenses, representing </w:t>
      </w:r>
      <w:r w:rsidR="001D1B94">
        <w:rPr>
          <w:rFonts w:eastAsia="Times New Roman" w:cstheme="minorHAnsi"/>
          <w:sz w:val="24"/>
        </w:rPr>
        <w:t>33</w:t>
      </w:r>
      <w:r w:rsidRPr="00A316AD">
        <w:rPr>
          <w:rFonts w:eastAsia="Times New Roman" w:cstheme="minorHAnsi"/>
          <w:sz w:val="24"/>
        </w:rPr>
        <w:t>%</w:t>
      </w:r>
      <w:r>
        <w:rPr>
          <w:rFonts w:eastAsia="Times New Roman" w:cstheme="minorHAnsi"/>
          <w:sz w:val="24"/>
        </w:rPr>
        <w:t xml:space="preserve"> of total operating and net nonoperating revenues. Net student fees of $</w:t>
      </w:r>
      <w:r w:rsidR="007C137C">
        <w:rPr>
          <w:rFonts w:eastAsia="Times New Roman" w:cstheme="minorHAnsi"/>
          <w:sz w:val="24"/>
        </w:rPr>
        <w:t xml:space="preserve">239 </w:t>
      </w:r>
      <w:r>
        <w:rPr>
          <w:rFonts w:eastAsia="Times New Roman" w:cstheme="minorHAnsi"/>
          <w:sz w:val="24"/>
        </w:rPr>
        <w:t xml:space="preserve">million for </w:t>
      </w:r>
      <w:r w:rsidR="007C137C">
        <w:rPr>
          <w:rFonts w:eastAsia="Times New Roman" w:cstheme="minorHAnsi"/>
          <w:sz w:val="24"/>
        </w:rPr>
        <w:t xml:space="preserve">FY21 </w:t>
      </w:r>
      <w:r>
        <w:rPr>
          <w:rFonts w:eastAsia="Times New Roman" w:cstheme="minorHAnsi"/>
          <w:sz w:val="24"/>
        </w:rPr>
        <w:t xml:space="preserve">represented </w:t>
      </w:r>
      <w:r w:rsidR="007C137C">
        <w:rPr>
          <w:rFonts w:eastAsia="Times New Roman" w:cstheme="minorHAnsi"/>
          <w:sz w:val="24"/>
        </w:rPr>
        <w:t>32</w:t>
      </w:r>
      <w:r>
        <w:rPr>
          <w:rFonts w:eastAsia="Times New Roman" w:cstheme="minorHAnsi"/>
          <w:sz w:val="24"/>
        </w:rPr>
        <w:t>% of that year’s total operating and net nonoperating revenues.</w:t>
      </w:r>
    </w:p>
    <w:p w14:paraId="2AFA8100" w14:textId="77777777" w:rsidR="00987D33" w:rsidRDefault="00987D33" w:rsidP="00987D33">
      <w:pPr>
        <w:spacing w:after="160" w:line="256" w:lineRule="auto"/>
        <w:rPr>
          <w:rFonts w:eastAsia="Times New Roman" w:cstheme="minorHAnsi"/>
          <w:sz w:val="24"/>
        </w:rPr>
      </w:pPr>
      <w:r>
        <w:rPr>
          <w:rFonts w:eastAsia="Times New Roman" w:cstheme="minorHAnsi"/>
          <w:sz w:val="24"/>
        </w:rPr>
        <w:t>Net student fees revenue is comprised of tuition and fees and residence and dining fees less scholarship allowances:</w:t>
      </w:r>
    </w:p>
    <w:p w14:paraId="6733B377" w14:textId="13DC624C" w:rsidR="00987D33" w:rsidRPr="000F4BEA" w:rsidRDefault="00987D33" w:rsidP="00721CFD">
      <w:pPr>
        <w:pStyle w:val="ListParagraph"/>
        <w:numPr>
          <w:ilvl w:val="0"/>
          <w:numId w:val="13"/>
        </w:numPr>
        <w:spacing w:line="256" w:lineRule="auto"/>
        <w:rPr>
          <w:rFonts w:cstheme="minorHAnsi"/>
        </w:rPr>
      </w:pPr>
      <w:r w:rsidRPr="00DE50BF">
        <w:rPr>
          <w:rFonts w:asciiTheme="minorHAnsi" w:hAnsiTheme="minorHAnsi" w:cstheme="minorHAnsi"/>
          <w:szCs w:val="22"/>
        </w:rPr>
        <w:t xml:space="preserve">Tuition and fees totaled </w:t>
      </w:r>
      <w:r w:rsidRPr="00A316AD">
        <w:rPr>
          <w:rFonts w:asciiTheme="minorHAnsi" w:hAnsiTheme="minorHAnsi" w:cstheme="minorHAnsi"/>
          <w:szCs w:val="22"/>
        </w:rPr>
        <w:t>$</w:t>
      </w:r>
      <w:r w:rsidR="001D1B94">
        <w:rPr>
          <w:rFonts w:asciiTheme="minorHAnsi" w:hAnsiTheme="minorHAnsi" w:cstheme="minorHAnsi"/>
          <w:szCs w:val="22"/>
        </w:rPr>
        <w:t>328</w:t>
      </w:r>
      <w:r w:rsidR="001D1B94" w:rsidRPr="007706DF">
        <w:rPr>
          <w:rFonts w:asciiTheme="minorHAnsi" w:hAnsiTheme="minorHAnsi" w:cstheme="minorHAnsi"/>
          <w:szCs w:val="22"/>
        </w:rPr>
        <w:t xml:space="preserve"> </w:t>
      </w:r>
      <w:r w:rsidRPr="00DE50BF">
        <w:rPr>
          <w:rFonts w:asciiTheme="minorHAnsi" w:hAnsiTheme="minorHAnsi" w:cstheme="minorHAnsi"/>
          <w:szCs w:val="22"/>
        </w:rPr>
        <w:t xml:space="preserve">million in </w:t>
      </w:r>
      <w:r w:rsidR="007C137C" w:rsidRPr="00D37B7A">
        <w:rPr>
          <w:rFonts w:asciiTheme="minorHAnsi" w:hAnsiTheme="minorHAnsi" w:cstheme="minorHAnsi"/>
          <w:szCs w:val="22"/>
        </w:rPr>
        <w:t>FY2</w:t>
      </w:r>
      <w:r w:rsidR="007C137C">
        <w:rPr>
          <w:rFonts w:asciiTheme="minorHAnsi" w:hAnsiTheme="minorHAnsi" w:cstheme="minorHAnsi"/>
          <w:szCs w:val="22"/>
        </w:rPr>
        <w:t>2</w:t>
      </w:r>
      <w:r w:rsidRPr="00DE50BF">
        <w:rPr>
          <w:rFonts w:asciiTheme="minorHAnsi" w:hAnsiTheme="minorHAnsi" w:cstheme="minorHAnsi"/>
          <w:szCs w:val="22"/>
        </w:rPr>
        <w:t xml:space="preserve">, </w:t>
      </w:r>
      <w:r w:rsidRPr="00721CFD">
        <w:rPr>
          <w:rFonts w:asciiTheme="minorHAnsi" w:hAnsiTheme="minorHAnsi" w:cstheme="minorHAnsi"/>
          <w:szCs w:val="22"/>
        </w:rPr>
        <w:t>in</w:t>
      </w:r>
      <w:r w:rsidRPr="00A316AD">
        <w:rPr>
          <w:rFonts w:asciiTheme="minorHAnsi" w:hAnsiTheme="minorHAnsi" w:cstheme="minorHAnsi"/>
          <w:szCs w:val="22"/>
        </w:rPr>
        <w:t>creasing</w:t>
      </w:r>
      <w:r w:rsidRPr="00CA04B1">
        <w:rPr>
          <w:rFonts w:asciiTheme="minorHAnsi" w:hAnsiTheme="minorHAnsi" w:cstheme="minorHAnsi"/>
          <w:szCs w:val="22"/>
        </w:rPr>
        <w:t xml:space="preserve"> </w:t>
      </w:r>
      <w:r w:rsidRPr="00A316AD">
        <w:rPr>
          <w:rFonts w:asciiTheme="minorHAnsi" w:hAnsiTheme="minorHAnsi" w:cstheme="minorHAnsi"/>
          <w:szCs w:val="22"/>
        </w:rPr>
        <w:t>$</w:t>
      </w:r>
      <w:r w:rsidR="001D1B94">
        <w:rPr>
          <w:rFonts w:asciiTheme="minorHAnsi" w:hAnsiTheme="minorHAnsi" w:cstheme="minorHAnsi"/>
          <w:szCs w:val="22"/>
        </w:rPr>
        <w:t>7</w:t>
      </w:r>
      <w:r w:rsidR="001D1B94" w:rsidRPr="00DE50BF">
        <w:rPr>
          <w:rFonts w:asciiTheme="minorHAnsi" w:hAnsiTheme="minorHAnsi" w:cstheme="minorHAnsi"/>
          <w:szCs w:val="22"/>
        </w:rPr>
        <w:t xml:space="preserve"> </w:t>
      </w:r>
      <w:r w:rsidRPr="00DE50BF">
        <w:rPr>
          <w:rFonts w:asciiTheme="minorHAnsi" w:hAnsiTheme="minorHAnsi" w:cstheme="minorHAnsi"/>
          <w:szCs w:val="22"/>
        </w:rPr>
        <w:t>million, or</w:t>
      </w:r>
      <w:r w:rsidR="00AD5F47">
        <w:rPr>
          <w:rFonts w:asciiTheme="minorHAnsi" w:hAnsiTheme="minorHAnsi" w:cstheme="minorHAnsi"/>
          <w:szCs w:val="22"/>
        </w:rPr>
        <w:t xml:space="preserve"> </w:t>
      </w:r>
      <w:r w:rsidR="001D1B94">
        <w:rPr>
          <w:rFonts w:asciiTheme="minorHAnsi" w:hAnsiTheme="minorHAnsi" w:cstheme="minorHAnsi"/>
          <w:szCs w:val="22"/>
        </w:rPr>
        <w:t>2</w:t>
      </w:r>
      <w:r w:rsidRPr="00A316AD">
        <w:rPr>
          <w:rFonts w:asciiTheme="minorHAnsi" w:hAnsiTheme="minorHAnsi" w:cstheme="minorHAnsi"/>
          <w:szCs w:val="22"/>
        </w:rPr>
        <w:t>%</w:t>
      </w:r>
      <w:r w:rsidRPr="00DE50BF">
        <w:rPr>
          <w:rFonts w:asciiTheme="minorHAnsi" w:hAnsiTheme="minorHAnsi" w:cstheme="minorHAnsi"/>
          <w:szCs w:val="22"/>
        </w:rPr>
        <w:t xml:space="preserve">, from the prior year. </w:t>
      </w:r>
      <w:r w:rsidR="007C137C" w:rsidRPr="00DE50BF">
        <w:rPr>
          <w:rFonts w:asciiTheme="minorHAnsi" w:hAnsiTheme="minorHAnsi" w:cstheme="minorHAnsi"/>
          <w:szCs w:val="22"/>
        </w:rPr>
        <w:t>FY</w:t>
      </w:r>
      <w:r w:rsidR="007C137C">
        <w:rPr>
          <w:rFonts w:asciiTheme="minorHAnsi" w:hAnsiTheme="minorHAnsi" w:cstheme="minorHAnsi"/>
          <w:szCs w:val="22"/>
        </w:rPr>
        <w:t>21</w:t>
      </w:r>
      <w:r w:rsidR="007C137C" w:rsidRPr="00DE50BF">
        <w:rPr>
          <w:rFonts w:asciiTheme="minorHAnsi" w:hAnsiTheme="minorHAnsi" w:cstheme="minorHAnsi"/>
          <w:szCs w:val="22"/>
        </w:rPr>
        <w:t xml:space="preserve"> </w:t>
      </w:r>
      <w:r w:rsidRPr="00DE50BF">
        <w:rPr>
          <w:rFonts w:asciiTheme="minorHAnsi" w:hAnsiTheme="minorHAnsi" w:cstheme="minorHAnsi"/>
          <w:szCs w:val="22"/>
        </w:rPr>
        <w:t>revenues increased $</w:t>
      </w:r>
      <w:r w:rsidR="007C137C">
        <w:rPr>
          <w:rFonts w:asciiTheme="minorHAnsi" w:hAnsiTheme="minorHAnsi" w:cstheme="minorHAnsi"/>
          <w:szCs w:val="22"/>
        </w:rPr>
        <w:t>2</w:t>
      </w:r>
      <w:r w:rsidR="007C137C" w:rsidRPr="00DE50BF">
        <w:rPr>
          <w:rFonts w:asciiTheme="minorHAnsi" w:hAnsiTheme="minorHAnsi" w:cstheme="minorHAnsi"/>
          <w:szCs w:val="22"/>
        </w:rPr>
        <w:t xml:space="preserve"> </w:t>
      </w:r>
      <w:r w:rsidRPr="00DE50BF">
        <w:rPr>
          <w:rFonts w:asciiTheme="minorHAnsi" w:hAnsiTheme="minorHAnsi" w:cstheme="minorHAnsi"/>
          <w:szCs w:val="22"/>
        </w:rPr>
        <w:t xml:space="preserve">million, or </w:t>
      </w:r>
      <w:r w:rsidR="007C137C">
        <w:rPr>
          <w:rFonts w:asciiTheme="minorHAnsi" w:hAnsiTheme="minorHAnsi" w:cstheme="minorHAnsi"/>
          <w:szCs w:val="22"/>
        </w:rPr>
        <w:t>less than 1</w:t>
      </w:r>
      <w:r w:rsidRPr="00DE50BF">
        <w:rPr>
          <w:rFonts w:asciiTheme="minorHAnsi" w:hAnsiTheme="minorHAnsi" w:cstheme="minorHAnsi"/>
          <w:szCs w:val="22"/>
        </w:rPr>
        <w:t xml:space="preserve">%, from </w:t>
      </w:r>
      <w:r w:rsidR="007C137C" w:rsidRPr="00DE50BF">
        <w:rPr>
          <w:rFonts w:asciiTheme="minorHAnsi" w:hAnsiTheme="minorHAnsi" w:cstheme="minorHAnsi"/>
          <w:szCs w:val="22"/>
        </w:rPr>
        <w:t>FY</w:t>
      </w:r>
      <w:r w:rsidR="007C137C">
        <w:rPr>
          <w:rFonts w:asciiTheme="minorHAnsi" w:hAnsiTheme="minorHAnsi" w:cstheme="minorHAnsi"/>
          <w:szCs w:val="22"/>
        </w:rPr>
        <w:t>20</w:t>
      </w:r>
      <w:r>
        <w:rPr>
          <w:rFonts w:asciiTheme="minorHAnsi" w:hAnsiTheme="minorHAnsi" w:cstheme="minorHAnsi"/>
          <w:szCs w:val="22"/>
        </w:rPr>
        <w:t>.</w:t>
      </w:r>
    </w:p>
    <w:p w14:paraId="4674399A" w14:textId="2234A51A" w:rsidR="00987D33" w:rsidRPr="006B2CB2" w:rsidRDefault="00987D33" w:rsidP="003C16FD">
      <w:pPr>
        <w:numPr>
          <w:ilvl w:val="0"/>
          <w:numId w:val="2"/>
        </w:numPr>
        <w:ind w:left="720"/>
        <w:rPr>
          <w:rFonts w:eastAsia="Times New Roman" w:cstheme="minorHAnsi"/>
          <w:sz w:val="24"/>
        </w:rPr>
      </w:pPr>
      <w:r w:rsidRPr="006B2CB2">
        <w:rPr>
          <w:rFonts w:eastAsia="Times New Roman" w:cstheme="minorHAnsi"/>
          <w:sz w:val="24"/>
        </w:rPr>
        <w:t>Residence and dining fees of $</w:t>
      </w:r>
      <w:r w:rsidR="001D1B94" w:rsidRPr="006B2CB2">
        <w:rPr>
          <w:rFonts w:eastAsia="Times New Roman" w:cstheme="minorHAnsi"/>
          <w:sz w:val="24"/>
        </w:rPr>
        <w:t xml:space="preserve">65 </w:t>
      </w:r>
      <w:r w:rsidRPr="006B2CB2">
        <w:rPr>
          <w:rFonts w:eastAsia="Times New Roman" w:cstheme="minorHAnsi"/>
          <w:sz w:val="24"/>
        </w:rPr>
        <w:t xml:space="preserve">million in </w:t>
      </w:r>
      <w:r w:rsidR="007C137C" w:rsidRPr="006B2CB2">
        <w:rPr>
          <w:rFonts w:eastAsia="Times New Roman" w:cstheme="minorHAnsi"/>
          <w:sz w:val="24"/>
        </w:rPr>
        <w:t xml:space="preserve">FY22 </w:t>
      </w:r>
      <w:r w:rsidRPr="006B2CB2">
        <w:rPr>
          <w:rFonts w:eastAsia="Times New Roman" w:cstheme="minorHAnsi"/>
          <w:sz w:val="24"/>
        </w:rPr>
        <w:t>were</w:t>
      </w:r>
      <w:r w:rsidR="001D1B94" w:rsidRPr="006B2CB2">
        <w:rPr>
          <w:rFonts w:eastAsia="Times New Roman" w:cstheme="minorHAnsi"/>
          <w:sz w:val="24"/>
        </w:rPr>
        <w:t xml:space="preserve"> up</w:t>
      </w:r>
      <w:r w:rsidRPr="006B2CB2">
        <w:rPr>
          <w:rFonts w:eastAsia="Times New Roman" w:cstheme="minorHAnsi"/>
          <w:sz w:val="24"/>
        </w:rPr>
        <w:t xml:space="preserve"> $</w:t>
      </w:r>
      <w:r w:rsidR="001D1B94" w:rsidRPr="006B2CB2">
        <w:rPr>
          <w:rFonts w:eastAsia="Times New Roman" w:cstheme="minorHAnsi"/>
          <w:sz w:val="24"/>
        </w:rPr>
        <w:t xml:space="preserve">25 </w:t>
      </w:r>
      <w:r w:rsidRPr="006B2CB2">
        <w:rPr>
          <w:rFonts w:eastAsia="Times New Roman" w:cstheme="minorHAnsi"/>
          <w:sz w:val="24"/>
        </w:rPr>
        <w:t xml:space="preserve">million, or </w:t>
      </w:r>
      <w:r w:rsidR="001D1B94" w:rsidRPr="006B2CB2">
        <w:rPr>
          <w:rFonts w:eastAsia="Times New Roman" w:cstheme="minorHAnsi"/>
          <w:sz w:val="24"/>
        </w:rPr>
        <w:t>63</w:t>
      </w:r>
      <w:r w:rsidRPr="006B2CB2">
        <w:rPr>
          <w:rFonts w:eastAsia="Times New Roman" w:cstheme="minorHAnsi"/>
          <w:sz w:val="24"/>
        </w:rPr>
        <w:t xml:space="preserve">%, compared with </w:t>
      </w:r>
      <w:r w:rsidR="007C137C" w:rsidRPr="006B2CB2">
        <w:rPr>
          <w:rFonts w:eastAsia="Times New Roman" w:cstheme="minorHAnsi"/>
          <w:sz w:val="24"/>
        </w:rPr>
        <w:t>FY21</w:t>
      </w:r>
      <w:r w:rsidR="006B2CB2" w:rsidRPr="006B2CB2">
        <w:rPr>
          <w:rFonts w:eastAsia="Times New Roman" w:cstheme="minorHAnsi"/>
          <w:sz w:val="24"/>
        </w:rPr>
        <w:t>.</w:t>
      </w:r>
      <w:r w:rsidR="007C137C" w:rsidRPr="006B2CB2">
        <w:rPr>
          <w:rFonts w:eastAsia="Times New Roman" w:cstheme="minorHAnsi"/>
          <w:sz w:val="24"/>
        </w:rPr>
        <w:t xml:space="preserve"> </w:t>
      </w:r>
      <w:r w:rsidR="006B2CB2">
        <w:rPr>
          <w:rFonts w:eastAsia="Times New Roman" w:cstheme="minorHAnsi"/>
          <w:sz w:val="24"/>
        </w:rPr>
        <w:t xml:space="preserve"> </w:t>
      </w:r>
      <w:r w:rsidR="007C137C" w:rsidRPr="006B2CB2">
        <w:rPr>
          <w:rFonts w:eastAsia="Times New Roman" w:cstheme="minorHAnsi"/>
          <w:sz w:val="24"/>
        </w:rPr>
        <w:t xml:space="preserve">FY21 </w:t>
      </w:r>
      <w:r w:rsidRPr="006B2CB2">
        <w:rPr>
          <w:rFonts w:eastAsia="Times New Roman" w:cstheme="minorHAnsi"/>
          <w:sz w:val="24"/>
        </w:rPr>
        <w:t>residence and dining fees decreased $</w:t>
      </w:r>
      <w:r w:rsidR="007C137C" w:rsidRPr="006B2CB2">
        <w:rPr>
          <w:rFonts w:eastAsia="Times New Roman" w:cstheme="minorHAnsi"/>
          <w:sz w:val="24"/>
        </w:rPr>
        <w:t xml:space="preserve">12 </w:t>
      </w:r>
      <w:r w:rsidRPr="006B2CB2">
        <w:rPr>
          <w:rFonts w:eastAsia="Times New Roman" w:cstheme="minorHAnsi"/>
          <w:sz w:val="24"/>
        </w:rPr>
        <w:t xml:space="preserve">million, or </w:t>
      </w:r>
      <w:r w:rsidR="007C137C" w:rsidRPr="006B2CB2">
        <w:rPr>
          <w:rFonts w:eastAsia="Times New Roman" w:cstheme="minorHAnsi"/>
          <w:sz w:val="24"/>
        </w:rPr>
        <w:t>23</w:t>
      </w:r>
      <w:r w:rsidRPr="006B2CB2">
        <w:rPr>
          <w:rFonts w:eastAsia="Times New Roman" w:cstheme="minorHAnsi"/>
          <w:sz w:val="24"/>
        </w:rPr>
        <w:t xml:space="preserve">%, compared with </w:t>
      </w:r>
      <w:r w:rsidR="007C137C" w:rsidRPr="006B2CB2">
        <w:rPr>
          <w:rFonts w:eastAsia="Times New Roman" w:cstheme="minorHAnsi"/>
          <w:sz w:val="24"/>
        </w:rPr>
        <w:t>FY20</w:t>
      </w:r>
      <w:r w:rsidRPr="006B2CB2">
        <w:rPr>
          <w:rFonts w:eastAsia="Times New Roman" w:cstheme="minorHAnsi"/>
          <w:sz w:val="24"/>
        </w:rPr>
        <w:t xml:space="preserve">, </w:t>
      </w:r>
      <w:r w:rsidR="007C137C" w:rsidRPr="006B2CB2">
        <w:rPr>
          <w:rFonts w:eastAsia="Times New Roman" w:cstheme="minorHAnsi"/>
          <w:sz w:val="24"/>
        </w:rPr>
        <w:t xml:space="preserve">as the COVID-19 pandemic that began in late FY20 continued to impact operations. </w:t>
      </w:r>
    </w:p>
    <w:p w14:paraId="73D2ACAC" w14:textId="5AC04B6A" w:rsidR="00987D33" w:rsidRDefault="00987D33" w:rsidP="00721CFD">
      <w:pPr>
        <w:numPr>
          <w:ilvl w:val="0"/>
          <w:numId w:val="2"/>
        </w:numPr>
        <w:ind w:left="720"/>
        <w:rPr>
          <w:rFonts w:eastAsia="Times New Roman" w:cstheme="minorHAnsi"/>
          <w:sz w:val="24"/>
        </w:rPr>
      </w:pPr>
      <w:r>
        <w:rPr>
          <w:rFonts w:eastAsia="Times New Roman" w:cstheme="minorHAnsi"/>
          <w:sz w:val="24"/>
        </w:rPr>
        <w:t xml:space="preserve">Scholarship allowances totaled </w:t>
      </w:r>
      <w:r w:rsidRPr="00A316AD">
        <w:rPr>
          <w:rFonts w:eastAsia="Times New Roman" w:cstheme="minorHAnsi"/>
          <w:sz w:val="24"/>
        </w:rPr>
        <w:t>$</w:t>
      </w:r>
      <w:r w:rsidR="001D1B94">
        <w:rPr>
          <w:rFonts w:eastAsia="Times New Roman" w:cstheme="minorHAnsi"/>
          <w:sz w:val="24"/>
        </w:rPr>
        <w:t xml:space="preserve">130 </w:t>
      </w:r>
      <w:r>
        <w:rPr>
          <w:rFonts w:eastAsia="Times New Roman" w:cstheme="minorHAnsi"/>
          <w:sz w:val="24"/>
        </w:rPr>
        <w:t xml:space="preserve">million in </w:t>
      </w:r>
      <w:r w:rsidR="007C137C">
        <w:rPr>
          <w:rFonts w:eastAsia="Times New Roman" w:cstheme="minorHAnsi"/>
          <w:sz w:val="24"/>
        </w:rPr>
        <w:t>FY22</w:t>
      </w:r>
      <w:r>
        <w:rPr>
          <w:rFonts w:eastAsia="Times New Roman" w:cstheme="minorHAnsi"/>
          <w:sz w:val="24"/>
        </w:rPr>
        <w:t xml:space="preserve">, </w:t>
      </w:r>
      <w:r w:rsidR="001D1B94">
        <w:rPr>
          <w:rFonts w:eastAsia="Times New Roman" w:cstheme="minorHAnsi"/>
          <w:sz w:val="24"/>
        </w:rPr>
        <w:t>in</w:t>
      </w:r>
      <w:r w:rsidR="001D1B94" w:rsidRPr="00A316AD">
        <w:rPr>
          <w:rFonts w:eastAsia="Times New Roman" w:cstheme="minorHAnsi"/>
          <w:sz w:val="24"/>
        </w:rPr>
        <w:t xml:space="preserve">creasing </w:t>
      </w:r>
      <w:r w:rsidRPr="00A316AD">
        <w:rPr>
          <w:rFonts w:eastAsia="Times New Roman" w:cstheme="minorHAnsi"/>
          <w:sz w:val="24"/>
        </w:rPr>
        <w:t>$</w:t>
      </w:r>
      <w:r w:rsidR="001D1B94">
        <w:rPr>
          <w:rFonts w:eastAsia="Times New Roman" w:cstheme="minorHAnsi"/>
          <w:sz w:val="24"/>
        </w:rPr>
        <w:t xml:space="preserve">8 </w:t>
      </w:r>
      <w:r>
        <w:rPr>
          <w:rFonts w:eastAsia="Times New Roman" w:cstheme="minorHAnsi"/>
          <w:sz w:val="24"/>
        </w:rPr>
        <w:t xml:space="preserve">million, or </w:t>
      </w:r>
      <w:r w:rsidR="001D1B94">
        <w:rPr>
          <w:rFonts w:eastAsia="Times New Roman" w:cstheme="minorHAnsi"/>
          <w:sz w:val="24"/>
        </w:rPr>
        <w:t>7</w:t>
      </w:r>
      <w:r w:rsidRPr="00A316AD">
        <w:rPr>
          <w:rFonts w:eastAsia="Times New Roman" w:cstheme="minorHAnsi"/>
          <w:sz w:val="24"/>
        </w:rPr>
        <w:t>%</w:t>
      </w:r>
      <w:r w:rsidRPr="00CA04B1">
        <w:rPr>
          <w:rFonts w:eastAsia="Times New Roman" w:cstheme="minorHAnsi"/>
          <w:sz w:val="24"/>
        </w:rPr>
        <w:t xml:space="preserve">, </w:t>
      </w:r>
      <w:r>
        <w:rPr>
          <w:rFonts w:eastAsia="Times New Roman" w:cstheme="minorHAnsi"/>
          <w:sz w:val="24"/>
        </w:rPr>
        <w:t xml:space="preserve">from the prior year.  The </w:t>
      </w:r>
      <w:r w:rsidR="007C137C">
        <w:rPr>
          <w:rFonts w:eastAsia="Times New Roman" w:cstheme="minorHAnsi"/>
          <w:sz w:val="24"/>
        </w:rPr>
        <w:t xml:space="preserve">FY21 </w:t>
      </w:r>
      <w:r>
        <w:rPr>
          <w:rFonts w:eastAsia="Times New Roman" w:cstheme="minorHAnsi"/>
          <w:sz w:val="24"/>
        </w:rPr>
        <w:t xml:space="preserve">scholarship allowances </w:t>
      </w:r>
      <w:r w:rsidR="007C137C">
        <w:rPr>
          <w:rFonts w:eastAsia="Times New Roman" w:cstheme="minorHAnsi"/>
          <w:sz w:val="24"/>
        </w:rPr>
        <w:t xml:space="preserve">decreased </w:t>
      </w:r>
      <w:r>
        <w:rPr>
          <w:rFonts w:eastAsia="Times New Roman" w:cstheme="minorHAnsi"/>
          <w:sz w:val="24"/>
        </w:rPr>
        <w:t>$</w:t>
      </w:r>
      <w:r w:rsidR="007C137C">
        <w:rPr>
          <w:rFonts w:eastAsia="Times New Roman" w:cstheme="minorHAnsi"/>
          <w:sz w:val="24"/>
        </w:rPr>
        <w:t xml:space="preserve">1 </w:t>
      </w:r>
      <w:r>
        <w:rPr>
          <w:rFonts w:eastAsia="Times New Roman" w:cstheme="minorHAnsi"/>
          <w:sz w:val="24"/>
        </w:rPr>
        <w:t xml:space="preserve">million, or </w:t>
      </w:r>
      <w:r w:rsidR="007C137C">
        <w:rPr>
          <w:rFonts w:eastAsia="Times New Roman" w:cstheme="minorHAnsi"/>
          <w:sz w:val="24"/>
        </w:rPr>
        <w:t>less than 1</w:t>
      </w:r>
      <w:r>
        <w:rPr>
          <w:rFonts w:eastAsia="Times New Roman" w:cstheme="minorHAnsi"/>
          <w:sz w:val="24"/>
        </w:rPr>
        <w:t xml:space="preserve">%, from </w:t>
      </w:r>
      <w:r w:rsidR="007C137C">
        <w:rPr>
          <w:rFonts w:eastAsia="Times New Roman" w:cstheme="minorHAnsi"/>
          <w:sz w:val="24"/>
        </w:rPr>
        <w:t>FY20</w:t>
      </w:r>
      <w:r>
        <w:rPr>
          <w:rFonts w:eastAsia="Times New Roman" w:cstheme="minorHAnsi"/>
          <w:sz w:val="24"/>
        </w:rPr>
        <w:t>.</w:t>
      </w:r>
    </w:p>
    <w:p w14:paraId="74F137FF" w14:textId="77777777" w:rsidR="002F2C2D" w:rsidRDefault="002F2C2D" w:rsidP="00987D33">
      <w:pPr>
        <w:pStyle w:val="AFR3"/>
        <w:rPr>
          <w:rFonts w:cstheme="minorHAnsi"/>
        </w:rPr>
      </w:pPr>
      <w:r>
        <w:rPr>
          <w:rFonts w:cstheme="minorHAnsi"/>
        </w:rPr>
        <w:br w:type="page"/>
      </w:r>
    </w:p>
    <w:p w14:paraId="7437399E" w14:textId="4104EC7C" w:rsidR="00987D33" w:rsidRDefault="00987D33" w:rsidP="00987D33">
      <w:pPr>
        <w:pStyle w:val="AFR3"/>
        <w:rPr>
          <w:rFonts w:cstheme="minorHAnsi"/>
        </w:rPr>
      </w:pPr>
      <w:r>
        <w:rPr>
          <w:rFonts w:cstheme="minorHAnsi"/>
        </w:rPr>
        <w:lastRenderedPageBreak/>
        <w:t>Student Financial Aid</w:t>
      </w:r>
    </w:p>
    <w:p w14:paraId="05AA5B69" w14:textId="77777777" w:rsidR="00987D33" w:rsidRDefault="00987D33" w:rsidP="00987D33">
      <w:pPr>
        <w:tabs>
          <w:tab w:val="left" w:pos="540"/>
        </w:tabs>
        <w:spacing w:after="160"/>
        <w:rPr>
          <w:rFonts w:eastAsia="Times New Roman" w:cstheme="minorHAnsi"/>
          <w:sz w:val="24"/>
        </w:rPr>
      </w:pPr>
      <w:r>
        <w:rPr>
          <w:rFonts w:eastAsia="Times New Roman" w:cstheme="minorHAnsi"/>
          <w:sz w:val="24"/>
        </w:rPr>
        <w:t>Student financial aid awards are made from a variety of sources including federal, state, private, and university funds. Funding received by the UMS from third parties is recognized as grants and contracts revenue (operating), federal Pell grants revenue (nonoperating) or gift revenue (nonoperating) on the Statements of Revenues, Expenses, and Changes in Net Position while the distribution of aid from all sources is shown as one of two components:</w:t>
      </w:r>
    </w:p>
    <w:p w14:paraId="73818C1B" w14:textId="77777777" w:rsidR="00987D33" w:rsidRDefault="00987D33" w:rsidP="00721CFD">
      <w:pPr>
        <w:numPr>
          <w:ilvl w:val="2"/>
          <w:numId w:val="12"/>
        </w:numPr>
        <w:tabs>
          <w:tab w:val="left" w:pos="990"/>
        </w:tabs>
        <w:ind w:left="720"/>
        <w:rPr>
          <w:rFonts w:eastAsia="Times New Roman" w:cstheme="minorHAnsi"/>
          <w:sz w:val="24"/>
        </w:rPr>
      </w:pPr>
      <w:r>
        <w:rPr>
          <w:rFonts w:eastAsia="Times New Roman" w:cstheme="minorHAnsi"/>
          <w:sz w:val="24"/>
        </w:rPr>
        <w:t>Scholarship Allowances – financial aid retained by the System to cover students’ tuition, fees, and on-campus housing and meals. These amounts are reported as a direct offset to operating revenues as a component of the net student fees revenue line.</w:t>
      </w:r>
    </w:p>
    <w:p w14:paraId="4BE8D428" w14:textId="77777777" w:rsidR="00987D33" w:rsidRDefault="00987D33" w:rsidP="00721CFD">
      <w:pPr>
        <w:numPr>
          <w:ilvl w:val="2"/>
          <w:numId w:val="12"/>
        </w:numPr>
        <w:tabs>
          <w:tab w:val="left" w:pos="990"/>
        </w:tabs>
        <w:ind w:left="720"/>
        <w:rPr>
          <w:rFonts w:eastAsia="Times New Roman" w:cstheme="minorHAnsi"/>
          <w:sz w:val="24"/>
        </w:rPr>
      </w:pPr>
      <w:r>
        <w:rPr>
          <w:rFonts w:eastAsia="Times New Roman" w:cstheme="minorHAnsi"/>
          <w:sz w:val="24"/>
        </w:rPr>
        <w:t>Student Aid Expense – financial aid refunded to students to cover off-campus living costs, books, and other personal living expenses. These amounts are reported as operating expense.</w:t>
      </w:r>
    </w:p>
    <w:p w14:paraId="655C10F1" w14:textId="77777777" w:rsidR="00987D33" w:rsidRDefault="00987D33" w:rsidP="002F2C2D">
      <w:pPr>
        <w:tabs>
          <w:tab w:val="left" w:pos="540"/>
        </w:tabs>
        <w:spacing w:before="200" w:after="160"/>
        <w:rPr>
          <w:rFonts w:eastAsia="Times New Roman" w:cstheme="minorHAnsi"/>
          <w:sz w:val="24"/>
        </w:rPr>
      </w:pPr>
      <w:r>
        <w:rPr>
          <w:rFonts w:eastAsia="Times New Roman" w:cstheme="minorHAnsi"/>
          <w:sz w:val="24"/>
        </w:rPr>
        <w:t>Federal financial aid awards are based on a student’s financial need considering their total cost of education which includes tuition and fees, housing and meals (both on and off campus), books, and other personal living expenses.</w:t>
      </w:r>
    </w:p>
    <w:p w14:paraId="1802E9B6" w14:textId="1E19FEF2" w:rsidR="00987D33" w:rsidRDefault="00403B99" w:rsidP="00987D33">
      <w:pPr>
        <w:tabs>
          <w:tab w:val="left" w:pos="540"/>
        </w:tabs>
        <w:spacing w:after="160"/>
        <w:jc w:val="center"/>
        <w:rPr>
          <w:rFonts w:eastAsia="Times New Roman" w:cstheme="minorHAnsi"/>
          <w:sz w:val="24"/>
        </w:rPr>
      </w:pPr>
      <w:r w:rsidRPr="00403B99">
        <w:rPr>
          <w:noProof/>
        </w:rPr>
        <w:t xml:space="preserve"> </w:t>
      </w:r>
      <w:r>
        <w:rPr>
          <w:noProof/>
        </w:rPr>
        <w:drawing>
          <wp:inline distT="0" distB="0" distL="0" distR="0" wp14:anchorId="699DD494" wp14:editId="4AC86B74">
            <wp:extent cx="4572000" cy="2743200"/>
            <wp:effectExtent l="0" t="0" r="0" b="0"/>
            <wp:docPr id="29" name="Chart 29">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CC9DC5" w14:textId="6ED993BC" w:rsidR="00987D33" w:rsidRPr="00C86CAD" w:rsidRDefault="00987D33" w:rsidP="00987D33">
      <w:pPr>
        <w:tabs>
          <w:tab w:val="left" w:pos="540"/>
        </w:tabs>
        <w:rPr>
          <w:rFonts w:eastAsia="Times New Roman" w:cstheme="minorHAnsi"/>
          <w:sz w:val="24"/>
        </w:rPr>
      </w:pPr>
      <w:r>
        <w:rPr>
          <w:rFonts w:eastAsia="Times New Roman" w:cstheme="minorHAnsi"/>
          <w:sz w:val="24"/>
        </w:rPr>
        <w:t xml:space="preserve">During </w:t>
      </w:r>
      <w:r w:rsidR="000D1A53">
        <w:rPr>
          <w:rFonts w:eastAsia="Times New Roman" w:cstheme="minorHAnsi"/>
          <w:sz w:val="24"/>
        </w:rPr>
        <w:t>FY22</w:t>
      </w:r>
      <w:r>
        <w:rPr>
          <w:rFonts w:eastAsia="Times New Roman" w:cstheme="minorHAnsi"/>
          <w:sz w:val="24"/>
        </w:rPr>
        <w:t>, total financial aid provided to students was $</w:t>
      </w:r>
      <w:r w:rsidR="009E2A0F" w:rsidRPr="00721CFD">
        <w:rPr>
          <w:rFonts w:eastAsia="Times New Roman" w:cstheme="minorHAnsi"/>
          <w:sz w:val="24"/>
        </w:rPr>
        <w:t>1</w:t>
      </w:r>
      <w:r w:rsidR="009E2A0F">
        <w:rPr>
          <w:rFonts w:eastAsia="Times New Roman" w:cstheme="minorHAnsi"/>
          <w:sz w:val="24"/>
        </w:rPr>
        <w:t xml:space="preserve">88 </w:t>
      </w:r>
      <w:r>
        <w:rPr>
          <w:rFonts w:eastAsia="Times New Roman" w:cstheme="minorHAnsi"/>
          <w:sz w:val="24"/>
        </w:rPr>
        <w:t xml:space="preserve">million, </w:t>
      </w:r>
      <w:r w:rsidR="00403B99">
        <w:rPr>
          <w:rFonts w:eastAsia="Times New Roman" w:cstheme="minorHAnsi"/>
          <w:sz w:val="24"/>
        </w:rPr>
        <w:t>in</w:t>
      </w:r>
      <w:r w:rsidR="00403B99" w:rsidRPr="00A316AD">
        <w:rPr>
          <w:rFonts w:eastAsia="Times New Roman" w:cstheme="minorHAnsi"/>
          <w:sz w:val="24"/>
        </w:rPr>
        <w:t xml:space="preserve">creasing </w:t>
      </w:r>
      <w:r w:rsidRPr="00A316AD">
        <w:rPr>
          <w:rFonts w:eastAsia="Times New Roman" w:cstheme="minorHAnsi"/>
          <w:sz w:val="24"/>
        </w:rPr>
        <w:t>$</w:t>
      </w:r>
      <w:r w:rsidR="00403B99">
        <w:rPr>
          <w:rFonts w:eastAsia="Times New Roman" w:cstheme="minorHAnsi"/>
          <w:sz w:val="24"/>
        </w:rPr>
        <w:t xml:space="preserve">26 </w:t>
      </w:r>
      <w:r>
        <w:rPr>
          <w:rFonts w:eastAsia="Times New Roman" w:cstheme="minorHAnsi"/>
          <w:sz w:val="24"/>
        </w:rPr>
        <w:t xml:space="preserve">million, or </w:t>
      </w:r>
      <w:r w:rsidR="00403B99">
        <w:rPr>
          <w:rFonts w:eastAsia="Times New Roman" w:cstheme="minorHAnsi"/>
          <w:sz w:val="24"/>
        </w:rPr>
        <w:t>16</w:t>
      </w:r>
      <w:r w:rsidRPr="00A316AD">
        <w:rPr>
          <w:rFonts w:eastAsia="Times New Roman" w:cstheme="minorHAnsi"/>
          <w:sz w:val="24"/>
        </w:rPr>
        <w:t>%</w:t>
      </w:r>
      <w:r>
        <w:rPr>
          <w:rFonts w:eastAsia="Times New Roman" w:cstheme="minorHAnsi"/>
          <w:sz w:val="24"/>
        </w:rPr>
        <w:t xml:space="preserve">, from </w:t>
      </w:r>
      <w:r w:rsidR="000D1A53">
        <w:rPr>
          <w:rFonts w:eastAsia="Times New Roman" w:cstheme="minorHAnsi"/>
          <w:sz w:val="24"/>
        </w:rPr>
        <w:t xml:space="preserve">FY21 </w:t>
      </w:r>
      <w:r>
        <w:rPr>
          <w:rFonts w:eastAsia="Times New Roman" w:cstheme="minorHAnsi"/>
          <w:sz w:val="24"/>
        </w:rPr>
        <w:t>financial aid of $</w:t>
      </w:r>
      <w:r w:rsidR="000D1A53">
        <w:rPr>
          <w:rFonts w:eastAsia="Times New Roman" w:cstheme="minorHAnsi"/>
          <w:sz w:val="24"/>
        </w:rPr>
        <w:t xml:space="preserve">162 </w:t>
      </w:r>
      <w:r>
        <w:rPr>
          <w:rFonts w:eastAsia="Times New Roman" w:cstheme="minorHAnsi"/>
          <w:sz w:val="24"/>
        </w:rPr>
        <w:t xml:space="preserve">million. </w:t>
      </w:r>
      <w:r w:rsidR="006B2CB2">
        <w:rPr>
          <w:rFonts w:eastAsia="Times New Roman" w:cstheme="minorHAnsi"/>
          <w:sz w:val="24"/>
        </w:rPr>
        <w:t xml:space="preserve">This net </w:t>
      </w:r>
      <w:r w:rsidR="00403B99">
        <w:rPr>
          <w:rFonts w:eastAsia="Times New Roman" w:cstheme="minorHAnsi"/>
          <w:sz w:val="24"/>
        </w:rPr>
        <w:t>increase</w:t>
      </w:r>
      <w:r w:rsidR="00403B99" w:rsidRPr="00C86CAD">
        <w:rPr>
          <w:rFonts w:eastAsia="Times New Roman" w:cstheme="minorHAnsi"/>
          <w:sz w:val="24"/>
        </w:rPr>
        <w:t xml:space="preserve"> </w:t>
      </w:r>
      <w:r w:rsidRPr="00C86CAD">
        <w:rPr>
          <w:rFonts w:eastAsia="Times New Roman" w:cstheme="minorHAnsi"/>
          <w:sz w:val="24"/>
        </w:rPr>
        <w:t xml:space="preserve">includes </w:t>
      </w:r>
      <w:r>
        <w:rPr>
          <w:rFonts w:eastAsia="Times New Roman" w:cstheme="minorHAnsi"/>
          <w:sz w:val="24"/>
        </w:rPr>
        <w:t>a $</w:t>
      </w:r>
      <w:r w:rsidR="00210051" w:rsidRPr="001673CF">
        <w:rPr>
          <w:rFonts w:eastAsia="Times New Roman" w:cstheme="minorHAnsi"/>
          <w:sz w:val="24"/>
        </w:rPr>
        <w:t xml:space="preserve">1 </w:t>
      </w:r>
      <w:r w:rsidRPr="001673CF">
        <w:rPr>
          <w:rFonts w:eastAsia="Times New Roman" w:cstheme="minorHAnsi"/>
          <w:sz w:val="24"/>
        </w:rPr>
        <w:t xml:space="preserve">million </w:t>
      </w:r>
      <w:r w:rsidRPr="00721CFD">
        <w:rPr>
          <w:rFonts w:eastAsia="Times New Roman" w:cstheme="minorHAnsi"/>
          <w:sz w:val="24"/>
        </w:rPr>
        <w:t>decrease in Pell awards</w:t>
      </w:r>
      <w:r w:rsidR="006B2CB2">
        <w:rPr>
          <w:rFonts w:eastAsia="Times New Roman" w:cstheme="minorHAnsi"/>
          <w:sz w:val="24"/>
        </w:rPr>
        <w:t>,</w:t>
      </w:r>
      <w:r w:rsidRPr="001673CF">
        <w:rPr>
          <w:rFonts w:eastAsia="Times New Roman" w:cstheme="minorHAnsi"/>
          <w:sz w:val="24"/>
        </w:rPr>
        <w:t xml:space="preserve"> an </w:t>
      </w:r>
      <w:r w:rsidRPr="00721CFD">
        <w:rPr>
          <w:rFonts w:eastAsia="Times New Roman" w:cstheme="minorHAnsi"/>
          <w:sz w:val="24"/>
        </w:rPr>
        <w:t>in</w:t>
      </w:r>
      <w:r w:rsidRPr="001673CF">
        <w:rPr>
          <w:rFonts w:eastAsia="Times New Roman" w:cstheme="minorHAnsi"/>
          <w:sz w:val="24"/>
        </w:rPr>
        <w:t>crease of</w:t>
      </w:r>
      <w:r w:rsidR="001673CF" w:rsidRPr="00721CFD">
        <w:rPr>
          <w:rFonts w:eastAsia="Times New Roman" w:cstheme="minorHAnsi"/>
          <w:sz w:val="24"/>
        </w:rPr>
        <w:t xml:space="preserve"> </w:t>
      </w:r>
      <w:r w:rsidRPr="001673CF">
        <w:rPr>
          <w:rFonts w:eastAsia="Times New Roman" w:cstheme="minorHAnsi"/>
          <w:sz w:val="24"/>
        </w:rPr>
        <w:t>$</w:t>
      </w:r>
      <w:r w:rsidR="002575A4" w:rsidRPr="001673CF">
        <w:rPr>
          <w:rFonts w:eastAsia="Times New Roman" w:cstheme="minorHAnsi"/>
          <w:sz w:val="24"/>
        </w:rPr>
        <w:t>1</w:t>
      </w:r>
      <w:r w:rsidR="001673CF" w:rsidRPr="00721CFD">
        <w:rPr>
          <w:rFonts w:eastAsia="Times New Roman" w:cstheme="minorHAnsi"/>
          <w:sz w:val="24"/>
        </w:rPr>
        <w:t>8</w:t>
      </w:r>
      <w:r w:rsidR="002575A4" w:rsidRPr="001673CF">
        <w:rPr>
          <w:rFonts w:eastAsia="Times New Roman" w:cstheme="minorHAnsi"/>
          <w:sz w:val="24"/>
        </w:rPr>
        <w:t xml:space="preserve"> </w:t>
      </w:r>
      <w:r w:rsidRPr="001673CF">
        <w:rPr>
          <w:rFonts w:eastAsia="Times New Roman" w:cstheme="minorHAnsi"/>
          <w:sz w:val="24"/>
        </w:rPr>
        <w:t xml:space="preserve">million in funding from </w:t>
      </w:r>
      <w:r w:rsidRPr="00721CFD">
        <w:rPr>
          <w:rFonts w:eastAsia="Times New Roman" w:cstheme="minorHAnsi"/>
          <w:sz w:val="24"/>
        </w:rPr>
        <w:t>the federal Coronavirus Relief funds</w:t>
      </w:r>
      <w:r w:rsidR="001673CF" w:rsidRPr="001673CF">
        <w:rPr>
          <w:rFonts w:eastAsia="Times New Roman" w:cstheme="minorHAnsi"/>
          <w:sz w:val="24"/>
        </w:rPr>
        <w:t xml:space="preserve">, </w:t>
      </w:r>
      <w:r w:rsidR="001673CF" w:rsidRPr="00721CFD">
        <w:rPr>
          <w:rFonts w:eastAsia="Times New Roman" w:cstheme="minorHAnsi"/>
          <w:sz w:val="24"/>
        </w:rPr>
        <w:t>$6 million in</w:t>
      </w:r>
      <w:r w:rsidR="006B2CB2">
        <w:rPr>
          <w:rFonts w:eastAsia="Times New Roman" w:cstheme="minorHAnsi"/>
          <w:sz w:val="24"/>
        </w:rPr>
        <w:t>crease in</w:t>
      </w:r>
      <w:r w:rsidR="001673CF" w:rsidRPr="00721CFD">
        <w:rPr>
          <w:rFonts w:eastAsia="Times New Roman" w:cstheme="minorHAnsi"/>
          <w:sz w:val="24"/>
        </w:rPr>
        <w:t xml:space="preserve"> State of Maine Grant funds </w:t>
      </w:r>
      <w:r w:rsidR="006B2CB2">
        <w:rPr>
          <w:rFonts w:eastAsia="Times New Roman" w:cstheme="minorHAnsi"/>
          <w:sz w:val="24"/>
        </w:rPr>
        <w:t>and</w:t>
      </w:r>
      <w:r w:rsidR="001673CF" w:rsidRPr="001673CF">
        <w:rPr>
          <w:rFonts w:eastAsia="Times New Roman" w:cstheme="minorHAnsi"/>
          <w:sz w:val="24"/>
        </w:rPr>
        <w:t xml:space="preserve"> $3 million </w:t>
      </w:r>
      <w:r w:rsidR="006B2CB2">
        <w:rPr>
          <w:rFonts w:eastAsia="Times New Roman" w:cstheme="minorHAnsi"/>
          <w:sz w:val="24"/>
        </w:rPr>
        <w:t xml:space="preserve">increase </w:t>
      </w:r>
      <w:r w:rsidR="001673CF" w:rsidRPr="001673CF">
        <w:rPr>
          <w:rFonts w:eastAsia="Times New Roman" w:cstheme="minorHAnsi"/>
          <w:sz w:val="24"/>
        </w:rPr>
        <w:t>in unrestricted institutional aid</w:t>
      </w:r>
      <w:r w:rsidRPr="001673CF">
        <w:rPr>
          <w:rFonts w:eastAsia="Times New Roman" w:cstheme="minorHAnsi"/>
          <w:sz w:val="24"/>
        </w:rPr>
        <w:t>.</w:t>
      </w:r>
      <w:r>
        <w:rPr>
          <w:rFonts w:eastAsia="Times New Roman" w:cstheme="minorHAnsi"/>
          <w:sz w:val="24"/>
        </w:rPr>
        <w:t xml:space="preserve"> </w:t>
      </w:r>
    </w:p>
    <w:p w14:paraId="3ECD6050" w14:textId="77777777" w:rsidR="00987D33" w:rsidRDefault="00987D33" w:rsidP="00987D33">
      <w:pPr>
        <w:tabs>
          <w:tab w:val="left" w:pos="540"/>
        </w:tabs>
        <w:rPr>
          <w:rFonts w:eastAsia="Times New Roman" w:cstheme="minorHAnsi"/>
          <w:sz w:val="20"/>
          <w:szCs w:val="20"/>
        </w:rPr>
      </w:pPr>
    </w:p>
    <w:p w14:paraId="3313A257" w14:textId="38043B49" w:rsidR="00987D33" w:rsidRDefault="000D1A53" w:rsidP="00C95891">
      <w:pPr>
        <w:tabs>
          <w:tab w:val="left" w:pos="540"/>
        </w:tabs>
        <w:rPr>
          <w:rFonts w:cstheme="minorHAnsi"/>
          <w:b/>
          <w:i/>
          <w:sz w:val="26"/>
          <w:u w:val="single" w:color="000000" w:themeColor="text1"/>
        </w:rPr>
      </w:pPr>
      <w:r>
        <w:rPr>
          <w:rFonts w:eastAsia="Times New Roman" w:cstheme="minorHAnsi"/>
          <w:sz w:val="24"/>
        </w:rPr>
        <w:t>During FY21, total financial aid provided to students was $162 million, de</w:t>
      </w:r>
      <w:r w:rsidRPr="00A316AD">
        <w:rPr>
          <w:rFonts w:eastAsia="Times New Roman" w:cstheme="minorHAnsi"/>
          <w:sz w:val="24"/>
        </w:rPr>
        <w:t>creasing $</w:t>
      </w:r>
      <w:r>
        <w:rPr>
          <w:rFonts w:eastAsia="Times New Roman" w:cstheme="minorHAnsi"/>
          <w:sz w:val="24"/>
        </w:rPr>
        <w:t>1 million, or less than 1</w:t>
      </w:r>
      <w:r w:rsidRPr="00A316AD">
        <w:rPr>
          <w:rFonts w:eastAsia="Times New Roman" w:cstheme="minorHAnsi"/>
          <w:sz w:val="24"/>
        </w:rPr>
        <w:t>%</w:t>
      </w:r>
      <w:r>
        <w:rPr>
          <w:rFonts w:eastAsia="Times New Roman" w:cstheme="minorHAnsi"/>
          <w:sz w:val="24"/>
        </w:rPr>
        <w:t>, from FY20 financial aid of $163 million. The decrease</w:t>
      </w:r>
      <w:r w:rsidRPr="00C86CAD">
        <w:rPr>
          <w:rFonts w:eastAsia="Times New Roman" w:cstheme="minorHAnsi"/>
          <w:sz w:val="24"/>
        </w:rPr>
        <w:t xml:space="preserve"> includes </w:t>
      </w:r>
      <w:r>
        <w:rPr>
          <w:rFonts w:eastAsia="Times New Roman" w:cstheme="minorHAnsi"/>
          <w:sz w:val="24"/>
        </w:rPr>
        <w:t>a $3 million decrease in Pell awards and an increase of $1 million in FY21 funding from the federal Coronavirus Relief funds which were received for the first time in FY20.</w:t>
      </w:r>
    </w:p>
    <w:p w14:paraId="1347AFBC" w14:textId="77777777" w:rsidR="00987D33" w:rsidRDefault="00987D33" w:rsidP="00987D33">
      <w:pPr>
        <w:pStyle w:val="AFR3"/>
        <w:rPr>
          <w:rFonts w:cstheme="minorHAnsi"/>
        </w:rPr>
      </w:pPr>
      <w:r>
        <w:rPr>
          <w:rFonts w:cstheme="minorHAnsi"/>
        </w:rPr>
        <w:lastRenderedPageBreak/>
        <w:t>Grants, Contracts, and Indirect Cost Recovery</w:t>
      </w:r>
    </w:p>
    <w:p w14:paraId="402D87C1" w14:textId="2ADE8664" w:rsidR="00987D33" w:rsidRDefault="00987D33" w:rsidP="00987D33">
      <w:pPr>
        <w:tabs>
          <w:tab w:val="left" w:pos="540"/>
        </w:tabs>
        <w:spacing w:after="120"/>
        <w:rPr>
          <w:rFonts w:eastAsia="Times New Roman" w:cstheme="minorHAnsi"/>
          <w:sz w:val="24"/>
        </w:rPr>
      </w:pPr>
      <w:r>
        <w:rPr>
          <w:rFonts w:eastAsia="Times New Roman" w:cstheme="minorHAnsi"/>
          <w:sz w:val="24"/>
        </w:rPr>
        <w:t xml:space="preserve">Grants and contracts revenues are recognized to the extent of related expenses. Consequently, reported revenues will fluctuate based on the timing of expenses across fiscal years. The System receives funding from federal, state, and private sources </w:t>
      </w:r>
      <w:r w:rsidR="006B2CB2">
        <w:rPr>
          <w:rFonts w:eastAsia="Times New Roman" w:cstheme="minorHAnsi"/>
          <w:sz w:val="24"/>
        </w:rPr>
        <w:t xml:space="preserve">for student aid, research and other activities </w:t>
      </w:r>
      <w:r>
        <w:rPr>
          <w:rFonts w:eastAsia="Times New Roman" w:cstheme="minorHAnsi"/>
          <w:sz w:val="24"/>
        </w:rPr>
        <w:t>with the majority of funding being provided by the federal government. State research and development funding is often used to leverage federal dollars.</w:t>
      </w:r>
    </w:p>
    <w:p w14:paraId="2DBDC364" w14:textId="676562E2" w:rsidR="00987D33" w:rsidRDefault="00402D33" w:rsidP="00987D33">
      <w:pPr>
        <w:tabs>
          <w:tab w:val="left" w:pos="540"/>
          <w:tab w:val="left" w:pos="8280"/>
        </w:tabs>
        <w:spacing w:after="120"/>
        <w:jc w:val="center"/>
        <w:rPr>
          <w:rFonts w:eastAsia="Times New Roman" w:cstheme="minorHAnsi"/>
          <w:sz w:val="24"/>
        </w:rPr>
      </w:pPr>
      <w:r>
        <w:rPr>
          <w:noProof/>
        </w:rPr>
        <w:drawing>
          <wp:inline distT="0" distB="0" distL="0" distR="0" wp14:anchorId="0BD10493" wp14:editId="05CF312A">
            <wp:extent cx="4572000" cy="2743200"/>
            <wp:effectExtent l="0" t="0" r="0" b="0"/>
            <wp:docPr id="18" name="Chart 18">
              <a:extLst xmlns:a="http://schemas.openxmlformats.org/drawingml/2006/main">
                <a:ext uri="{FF2B5EF4-FFF2-40B4-BE49-F238E27FC236}">
                  <a16:creationId xmlns:a16="http://schemas.microsoft.com/office/drawing/2014/main" id="{00000000-0008-0000-00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FDA9B8" w14:textId="52A3B5C4" w:rsidR="00987D33" w:rsidRPr="00D5048A" w:rsidRDefault="00987D33" w:rsidP="00987D33">
      <w:pPr>
        <w:tabs>
          <w:tab w:val="left" w:pos="540"/>
        </w:tabs>
        <w:rPr>
          <w:rFonts w:eastAsia="Times New Roman" w:cstheme="minorHAnsi"/>
          <w:sz w:val="24"/>
        </w:rPr>
      </w:pPr>
      <w:r>
        <w:rPr>
          <w:rFonts w:eastAsia="Times New Roman" w:cstheme="minorHAnsi"/>
          <w:sz w:val="24"/>
        </w:rPr>
        <w:t xml:space="preserve">Grants and contracts operating revenues totaled </w:t>
      </w:r>
      <w:r w:rsidRPr="00A316AD">
        <w:rPr>
          <w:rFonts w:eastAsia="Times New Roman" w:cstheme="minorHAnsi"/>
          <w:sz w:val="24"/>
        </w:rPr>
        <w:t>$</w:t>
      </w:r>
      <w:r w:rsidR="00210051">
        <w:rPr>
          <w:rFonts w:eastAsia="Times New Roman" w:cstheme="minorHAnsi"/>
          <w:sz w:val="24"/>
        </w:rPr>
        <w:t xml:space="preserve">140 </w:t>
      </w:r>
      <w:r>
        <w:rPr>
          <w:rFonts w:eastAsia="Times New Roman" w:cstheme="minorHAnsi"/>
          <w:sz w:val="24"/>
        </w:rPr>
        <w:t xml:space="preserve">million in </w:t>
      </w:r>
      <w:r w:rsidR="008A54B4">
        <w:rPr>
          <w:rFonts w:eastAsia="Times New Roman" w:cstheme="minorHAnsi"/>
          <w:sz w:val="24"/>
        </w:rPr>
        <w:t>FY22</w:t>
      </w:r>
      <w:r>
        <w:rPr>
          <w:rFonts w:eastAsia="Times New Roman" w:cstheme="minorHAnsi"/>
          <w:sz w:val="24"/>
        </w:rPr>
        <w:t xml:space="preserve">, </w:t>
      </w:r>
      <w:r w:rsidRPr="00721CFD">
        <w:rPr>
          <w:rFonts w:eastAsia="Times New Roman" w:cstheme="minorHAnsi"/>
          <w:sz w:val="24"/>
        </w:rPr>
        <w:t>in</w:t>
      </w:r>
      <w:r w:rsidRPr="00A316AD">
        <w:rPr>
          <w:rFonts w:eastAsia="Times New Roman" w:cstheme="minorHAnsi"/>
          <w:sz w:val="24"/>
        </w:rPr>
        <w:t>creasing $</w:t>
      </w:r>
      <w:r w:rsidR="00210051">
        <w:rPr>
          <w:rFonts w:eastAsia="Times New Roman" w:cstheme="minorHAnsi"/>
          <w:sz w:val="24"/>
        </w:rPr>
        <w:t xml:space="preserve">21 </w:t>
      </w:r>
      <w:r>
        <w:rPr>
          <w:rFonts w:eastAsia="Times New Roman" w:cstheme="minorHAnsi"/>
          <w:sz w:val="24"/>
        </w:rPr>
        <w:t xml:space="preserve">million, or </w:t>
      </w:r>
      <w:r w:rsidR="00B74147" w:rsidRPr="00721CFD">
        <w:rPr>
          <w:rFonts w:eastAsia="Times New Roman" w:cstheme="minorHAnsi"/>
          <w:sz w:val="24"/>
        </w:rPr>
        <w:t>1</w:t>
      </w:r>
      <w:r w:rsidR="00B74147">
        <w:rPr>
          <w:rFonts w:eastAsia="Times New Roman" w:cstheme="minorHAnsi"/>
          <w:sz w:val="24"/>
        </w:rPr>
        <w:t>8</w:t>
      </w:r>
      <w:r w:rsidRPr="00A316AD">
        <w:rPr>
          <w:rFonts w:eastAsia="Times New Roman" w:cstheme="minorHAnsi"/>
          <w:sz w:val="24"/>
        </w:rPr>
        <w:t>%</w:t>
      </w:r>
      <w:r>
        <w:rPr>
          <w:rFonts w:eastAsia="Times New Roman" w:cstheme="minorHAnsi"/>
          <w:sz w:val="24"/>
        </w:rPr>
        <w:t xml:space="preserve">, from </w:t>
      </w:r>
      <w:r w:rsidR="008A54B4">
        <w:rPr>
          <w:rFonts w:eastAsia="Times New Roman" w:cstheme="minorHAnsi"/>
          <w:sz w:val="24"/>
        </w:rPr>
        <w:t>FY21</w:t>
      </w:r>
      <w:r>
        <w:rPr>
          <w:rFonts w:eastAsia="Times New Roman" w:cstheme="minorHAnsi"/>
          <w:sz w:val="24"/>
        </w:rPr>
        <w:t xml:space="preserve">. </w:t>
      </w:r>
      <w:r w:rsidRPr="0064124A">
        <w:rPr>
          <w:rFonts w:eastAsia="Times New Roman" w:cstheme="minorHAnsi"/>
          <w:sz w:val="24"/>
        </w:rPr>
        <w:t>This</w:t>
      </w:r>
      <w:r w:rsidRPr="00A316AD">
        <w:rPr>
          <w:rFonts w:eastAsia="Times New Roman" w:cstheme="minorHAnsi"/>
          <w:sz w:val="24"/>
        </w:rPr>
        <w:t xml:space="preserve"> </w:t>
      </w:r>
      <w:r w:rsidRPr="00721CFD">
        <w:rPr>
          <w:rFonts w:eastAsia="Times New Roman" w:cstheme="minorHAnsi"/>
          <w:sz w:val="24"/>
        </w:rPr>
        <w:t>in</w:t>
      </w:r>
      <w:r w:rsidRPr="00A316AD">
        <w:rPr>
          <w:rFonts w:eastAsia="Times New Roman" w:cstheme="minorHAnsi"/>
          <w:sz w:val="24"/>
        </w:rPr>
        <w:t>crease</w:t>
      </w:r>
      <w:r w:rsidRPr="0064124A">
        <w:rPr>
          <w:rFonts w:eastAsia="Times New Roman" w:cstheme="minorHAnsi"/>
          <w:sz w:val="24"/>
        </w:rPr>
        <w:t xml:space="preserve"> </w:t>
      </w:r>
      <w:r>
        <w:rPr>
          <w:rFonts w:eastAsia="Times New Roman" w:cstheme="minorHAnsi"/>
          <w:sz w:val="24"/>
        </w:rPr>
        <w:t xml:space="preserve">is the net change in funding from </w:t>
      </w:r>
      <w:r w:rsidRPr="00721CFD">
        <w:rPr>
          <w:rFonts w:eastAsia="Times New Roman" w:cstheme="minorHAnsi"/>
          <w:sz w:val="24"/>
        </w:rPr>
        <w:t xml:space="preserve">over </w:t>
      </w:r>
      <w:r w:rsidR="00C96769" w:rsidRPr="00721CFD">
        <w:rPr>
          <w:rFonts w:eastAsia="Times New Roman" w:cstheme="minorHAnsi"/>
          <w:sz w:val="24"/>
        </w:rPr>
        <w:t xml:space="preserve">400 </w:t>
      </w:r>
      <w:r w:rsidRPr="00721CFD">
        <w:rPr>
          <w:rFonts w:eastAsia="Times New Roman" w:cstheme="minorHAnsi"/>
          <w:sz w:val="24"/>
        </w:rPr>
        <w:t>different sponsors</w:t>
      </w:r>
      <w:r w:rsidRPr="00F5445B">
        <w:rPr>
          <w:rFonts w:eastAsia="Times New Roman" w:cstheme="minorHAnsi"/>
          <w:sz w:val="24"/>
        </w:rPr>
        <w:t>. The largest s</w:t>
      </w:r>
      <w:r w:rsidR="00B74147">
        <w:rPr>
          <w:rFonts w:eastAsia="Times New Roman" w:cstheme="minorHAnsi"/>
          <w:sz w:val="24"/>
        </w:rPr>
        <w:t>ponsor</w:t>
      </w:r>
      <w:r w:rsidRPr="00F5445B">
        <w:rPr>
          <w:rFonts w:eastAsia="Times New Roman" w:cstheme="minorHAnsi"/>
          <w:sz w:val="24"/>
        </w:rPr>
        <w:t xml:space="preserve"> increase was $</w:t>
      </w:r>
      <w:r w:rsidR="00F5445B" w:rsidRPr="00721CFD">
        <w:rPr>
          <w:rFonts w:eastAsia="Times New Roman" w:cstheme="minorHAnsi"/>
          <w:sz w:val="24"/>
        </w:rPr>
        <w:t>6</w:t>
      </w:r>
      <w:r w:rsidRPr="00721CFD">
        <w:rPr>
          <w:rFonts w:eastAsia="Times New Roman" w:cstheme="minorHAnsi"/>
          <w:sz w:val="24"/>
        </w:rPr>
        <w:t xml:space="preserve"> million related to </w:t>
      </w:r>
      <w:r w:rsidR="00B74147">
        <w:rPr>
          <w:rFonts w:eastAsia="Times New Roman" w:cstheme="minorHAnsi"/>
          <w:sz w:val="24"/>
        </w:rPr>
        <w:t>State of Maine funding for financial aid.  The three largest federal funding increases totaled $7 million.</w:t>
      </w:r>
      <w:r w:rsidRPr="00C86CAD">
        <w:rPr>
          <w:rFonts w:eastAsia="Times New Roman" w:cstheme="minorHAnsi"/>
          <w:sz w:val="24"/>
        </w:rPr>
        <w:t xml:space="preserve"> </w:t>
      </w:r>
    </w:p>
    <w:p w14:paraId="1564E23F" w14:textId="77777777" w:rsidR="00987D33" w:rsidRDefault="00987D33" w:rsidP="00987D33">
      <w:pPr>
        <w:tabs>
          <w:tab w:val="left" w:pos="540"/>
        </w:tabs>
        <w:rPr>
          <w:rFonts w:eastAsia="Times New Roman" w:cstheme="minorHAnsi"/>
          <w:sz w:val="20"/>
          <w:szCs w:val="20"/>
        </w:rPr>
      </w:pPr>
    </w:p>
    <w:p w14:paraId="5A483BAA" w14:textId="1852BECE" w:rsidR="00987D33" w:rsidRPr="00CA04B1" w:rsidRDefault="008A54B4" w:rsidP="00987D33">
      <w:pPr>
        <w:tabs>
          <w:tab w:val="left" w:pos="540"/>
        </w:tabs>
        <w:rPr>
          <w:rFonts w:eastAsia="Times New Roman" w:cstheme="minorHAnsi"/>
          <w:sz w:val="24"/>
        </w:rPr>
      </w:pPr>
      <w:r w:rsidRPr="00CA04B1">
        <w:rPr>
          <w:rFonts w:eastAsia="Times New Roman" w:cstheme="minorHAnsi"/>
          <w:sz w:val="24"/>
        </w:rPr>
        <w:t>FY2</w:t>
      </w:r>
      <w:r>
        <w:rPr>
          <w:rFonts w:eastAsia="Times New Roman" w:cstheme="minorHAnsi"/>
          <w:sz w:val="24"/>
        </w:rPr>
        <w:t>1</w:t>
      </w:r>
      <w:r w:rsidRPr="00CA04B1">
        <w:rPr>
          <w:rFonts w:eastAsia="Times New Roman" w:cstheme="minorHAnsi"/>
          <w:sz w:val="24"/>
        </w:rPr>
        <w:t xml:space="preserve"> </w:t>
      </w:r>
      <w:r w:rsidR="00987D33">
        <w:rPr>
          <w:rFonts w:eastAsia="Times New Roman" w:cstheme="minorHAnsi"/>
          <w:sz w:val="24"/>
        </w:rPr>
        <w:t xml:space="preserve">operating </w:t>
      </w:r>
      <w:r w:rsidR="00987D33" w:rsidRPr="00CA04B1">
        <w:rPr>
          <w:rFonts w:eastAsia="Times New Roman" w:cstheme="minorHAnsi"/>
          <w:sz w:val="24"/>
        </w:rPr>
        <w:t>grants and contracts revenues totaled $</w:t>
      </w:r>
      <w:r>
        <w:rPr>
          <w:rFonts w:eastAsia="Times New Roman" w:cstheme="minorHAnsi"/>
          <w:sz w:val="24"/>
        </w:rPr>
        <w:t>119</w:t>
      </w:r>
      <w:r w:rsidRPr="00CA04B1">
        <w:rPr>
          <w:rFonts w:eastAsia="Times New Roman" w:cstheme="minorHAnsi"/>
          <w:sz w:val="24"/>
        </w:rPr>
        <w:t xml:space="preserve"> </w:t>
      </w:r>
      <w:r w:rsidR="00987D33" w:rsidRPr="00CA04B1">
        <w:rPr>
          <w:rFonts w:eastAsia="Times New Roman" w:cstheme="minorHAnsi"/>
          <w:sz w:val="24"/>
        </w:rPr>
        <w:t>million, increasing $</w:t>
      </w:r>
      <w:r>
        <w:rPr>
          <w:rFonts w:eastAsia="Times New Roman" w:cstheme="minorHAnsi"/>
          <w:sz w:val="24"/>
        </w:rPr>
        <w:t>13</w:t>
      </w:r>
      <w:r w:rsidRPr="00CA04B1">
        <w:rPr>
          <w:rFonts w:eastAsia="Times New Roman" w:cstheme="minorHAnsi"/>
          <w:sz w:val="24"/>
        </w:rPr>
        <w:t xml:space="preserve"> </w:t>
      </w:r>
      <w:r w:rsidR="00987D33" w:rsidRPr="00CA04B1">
        <w:rPr>
          <w:rFonts w:eastAsia="Times New Roman" w:cstheme="minorHAnsi"/>
          <w:sz w:val="24"/>
        </w:rPr>
        <w:t xml:space="preserve">million, or </w:t>
      </w:r>
      <w:r>
        <w:rPr>
          <w:rFonts w:eastAsia="Times New Roman" w:cstheme="minorHAnsi"/>
          <w:sz w:val="24"/>
        </w:rPr>
        <w:t>12</w:t>
      </w:r>
      <w:r w:rsidR="00987D33" w:rsidRPr="00CA04B1">
        <w:rPr>
          <w:rFonts w:eastAsia="Times New Roman" w:cstheme="minorHAnsi"/>
          <w:sz w:val="24"/>
        </w:rPr>
        <w:t xml:space="preserve">%, from </w:t>
      </w:r>
      <w:r w:rsidRPr="00CA04B1">
        <w:rPr>
          <w:rFonts w:eastAsia="Times New Roman" w:cstheme="minorHAnsi"/>
          <w:sz w:val="24"/>
        </w:rPr>
        <w:t>FY</w:t>
      </w:r>
      <w:r>
        <w:rPr>
          <w:rFonts w:eastAsia="Times New Roman" w:cstheme="minorHAnsi"/>
          <w:sz w:val="24"/>
        </w:rPr>
        <w:t>20</w:t>
      </w:r>
      <w:r w:rsidR="00987D33" w:rsidRPr="00CA04B1">
        <w:rPr>
          <w:rFonts w:eastAsia="Times New Roman" w:cstheme="minorHAnsi"/>
          <w:sz w:val="24"/>
        </w:rPr>
        <w:t xml:space="preserve">. This increase was the net change in funding from over </w:t>
      </w:r>
      <w:r w:rsidRPr="00CA04B1">
        <w:rPr>
          <w:rFonts w:eastAsia="Times New Roman" w:cstheme="minorHAnsi"/>
          <w:sz w:val="24"/>
        </w:rPr>
        <w:t>4</w:t>
      </w:r>
      <w:r>
        <w:rPr>
          <w:rFonts w:eastAsia="Times New Roman" w:cstheme="minorHAnsi"/>
          <w:sz w:val="24"/>
        </w:rPr>
        <w:t>3</w:t>
      </w:r>
      <w:r w:rsidRPr="00CA04B1">
        <w:rPr>
          <w:rFonts w:eastAsia="Times New Roman" w:cstheme="minorHAnsi"/>
          <w:sz w:val="24"/>
        </w:rPr>
        <w:t xml:space="preserve">0 </w:t>
      </w:r>
      <w:r w:rsidR="00987D33" w:rsidRPr="00CA04B1">
        <w:rPr>
          <w:rFonts w:eastAsia="Times New Roman" w:cstheme="minorHAnsi"/>
          <w:sz w:val="24"/>
        </w:rPr>
        <w:t xml:space="preserve">different sponsors. The largest single funding increase was </w:t>
      </w:r>
      <w:r w:rsidR="00987D33">
        <w:rPr>
          <w:rFonts w:eastAsia="Times New Roman" w:cstheme="minorHAnsi"/>
          <w:sz w:val="24"/>
        </w:rPr>
        <w:t xml:space="preserve">a </w:t>
      </w:r>
      <w:r w:rsidR="00987D33" w:rsidRPr="00CA04B1">
        <w:rPr>
          <w:rFonts w:eastAsia="Times New Roman" w:cstheme="minorHAnsi"/>
          <w:sz w:val="24"/>
        </w:rPr>
        <w:t>$</w:t>
      </w:r>
      <w:r>
        <w:rPr>
          <w:rFonts w:eastAsia="Times New Roman" w:cstheme="minorHAnsi"/>
          <w:sz w:val="24"/>
        </w:rPr>
        <w:t>1.4</w:t>
      </w:r>
      <w:r w:rsidRPr="00CA04B1">
        <w:rPr>
          <w:rFonts w:eastAsia="Times New Roman" w:cstheme="minorHAnsi"/>
          <w:sz w:val="24"/>
        </w:rPr>
        <w:t xml:space="preserve"> </w:t>
      </w:r>
      <w:r w:rsidR="00987D33" w:rsidRPr="00CA04B1">
        <w:rPr>
          <w:rFonts w:eastAsia="Times New Roman" w:cstheme="minorHAnsi"/>
          <w:sz w:val="24"/>
        </w:rPr>
        <w:t>million</w:t>
      </w:r>
      <w:r>
        <w:rPr>
          <w:rFonts w:eastAsia="Times New Roman" w:cstheme="minorHAnsi"/>
          <w:sz w:val="24"/>
        </w:rPr>
        <w:t xml:space="preserve"> related to a</w:t>
      </w:r>
      <w:r w:rsidR="00987D33" w:rsidRPr="00CA04B1">
        <w:rPr>
          <w:rFonts w:eastAsia="Times New Roman" w:cstheme="minorHAnsi"/>
          <w:sz w:val="24"/>
        </w:rPr>
        <w:t xml:space="preserve"> corporate grant regarding </w:t>
      </w:r>
      <w:r>
        <w:rPr>
          <w:rFonts w:eastAsia="Times New Roman" w:cstheme="minorHAnsi"/>
          <w:sz w:val="24"/>
        </w:rPr>
        <w:t>innovative manufacturing techniques</w:t>
      </w:r>
      <w:r w:rsidR="00987D33" w:rsidRPr="00CA04B1">
        <w:rPr>
          <w:rFonts w:eastAsia="Times New Roman" w:cstheme="minorHAnsi"/>
          <w:sz w:val="24"/>
        </w:rPr>
        <w:t xml:space="preserve"> related to composites.</w:t>
      </w:r>
    </w:p>
    <w:p w14:paraId="2025CC1D" w14:textId="77777777" w:rsidR="00987D33" w:rsidRPr="00735A4C" w:rsidRDefault="00987D33" w:rsidP="00987D33">
      <w:pPr>
        <w:tabs>
          <w:tab w:val="left" w:pos="540"/>
        </w:tabs>
        <w:rPr>
          <w:rFonts w:eastAsia="Times New Roman" w:cstheme="minorHAnsi"/>
          <w:sz w:val="20"/>
          <w:szCs w:val="20"/>
        </w:rPr>
      </w:pPr>
    </w:p>
    <w:p w14:paraId="563AD41E" w14:textId="77B380EF" w:rsidR="00987D33" w:rsidRDefault="00987D33" w:rsidP="00C95891">
      <w:pPr>
        <w:tabs>
          <w:tab w:val="left" w:pos="540"/>
        </w:tabs>
        <w:rPr>
          <w:rFonts w:cstheme="minorHAnsi"/>
          <w:b/>
          <w:i/>
          <w:sz w:val="26"/>
          <w:u w:val="single" w:color="000000" w:themeColor="text1"/>
        </w:rPr>
      </w:pPr>
      <w:r>
        <w:rPr>
          <w:rFonts w:eastAsia="Times New Roman" w:cstheme="minorHAnsi"/>
          <w:sz w:val="24"/>
        </w:rPr>
        <w:t xml:space="preserve">In addition to providing for direct costs, grants and contracts sponsors provide for recovery of Facilities and Administrative (F&amp;A) costs, which are also known as indirect costs. The amount of allowable F&amp;A costs is calculated for each grant and contract using the applicable negotiated rate subject to specific sponsor limitations and other proposal and award conditions. Recovery of indirect costs </w:t>
      </w:r>
      <w:r w:rsidRPr="00A316AD">
        <w:rPr>
          <w:rFonts w:eastAsia="Times New Roman" w:cstheme="minorHAnsi"/>
          <w:sz w:val="24"/>
        </w:rPr>
        <w:t>totaled $</w:t>
      </w:r>
      <w:r w:rsidR="00D34C74">
        <w:rPr>
          <w:rFonts w:eastAsia="Times New Roman" w:cstheme="minorHAnsi"/>
          <w:sz w:val="24"/>
        </w:rPr>
        <w:t>23</w:t>
      </w:r>
      <w:r w:rsidR="00D34C74" w:rsidRPr="00A316AD">
        <w:rPr>
          <w:rFonts w:eastAsia="Times New Roman" w:cstheme="minorHAnsi"/>
          <w:sz w:val="24"/>
        </w:rPr>
        <w:t xml:space="preserve"> </w:t>
      </w:r>
      <w:r w:rsidRPr="00A316AD">
        <w:rPr>
          <w:rFonts w:eastAsia="Times New Roman" w:cstheme="minorHAnsi"/>
          <w:sz w:val="24"/>
        </w:rPr>
        <w:t xml:space="preserve">million </w:t>
      </w:r>
      <w:r>
        <w:rPr>
          <w:rFonts w:eastAsia="Times New Roman" w:cstheme="minorHAnsi"/>
          <w:sz w:val="24"/>
        </w:rPr>
        <w:t xml:space="preserve">for </w:t>
      </w:r>
      <w:r w:rsidR="008A54B4">
        <w:rPr>
          <w:rFonts w:eastAsia="Times New Roman" w:cstheme="minorHAnsi"/>
          <w:sz w:val="24"/>
        </w:rPr>
        <w:t>FY22</w:t>
      </w:r>
      <w:r>
        <w:rPr>
          <w:rFonts w:eastAsia="Times New Roman" w:cstheme="minorHAnsi"/>
          <w:sz w:val="24"/>
        </w:rPr>
        <w:t xml:space="preserve">, </w:t>
      </w:r>
      <w:r w:rsidRPr="00721CFD">
        <w:rPr>
          <w:rFonts w:eastAsia="Times New Roman" w:cstheme="minorHAnsi"/>
          <w:sz w:val="24"/>
        </w:rPr>
        <w:t>in</w:t>
      </w:r>
      <w:r w:rsidRPr="00A316AD">
        <w:rPr>
          <w:rFonts w:eastAsia="Times New Roman" w:cstheme="minorHAnsi"/>
          <w:sz w:val="24"/>
        </w:rPr>
        <w:t>creasing $</w:t>
      </w:r>
      <w:r w:rsidR="00210051">
        <w:rPr>
          <w:rFonts w:eastAsia="Times New Roman" w:cstheme="minorHAnsi"/>
          <w:sz w:val="24"/>
        </w:rPr>
        <w:t>6</w:t>
      </w:r>
      <w:r w:rsidR="00D34C74" w:rsidRPr="00A316AD">
        <w:rPr>
          <w:rFonts w:eastAsia="Times New Roman" w:cstheme="minorHAnsi"/>
          <w:sz w:val="24"/>
        </w:rPr>
        <w:t xml:space="preserve"> </w:t>
      </w:r>
      <w:r w:rsidRPr="00A316AD">
        <w:rPr>
          <w:rFonts w:eastAsia="Times New Roman" w:cstheme="minorHAnsi"/>
          <w:sz w:val="24"/>
        </w:rPr>
        <w:t xml:space="preserve">million from </w:t>
      </w:r>
      <w:r w:rsidR="008A54B4" w:rsidRPr="00A316AD">
        <w:rPr>
          <w:rFonts w:eastAsia="Times New Roman" w:cstheme="minorHAnsi"/>
          <w:sz w:val="24"/>
        </w:rPr>
        <w:t>FY2</w:t>
      </w:r>
      <w:r w:rsidR="008A54B4">
        <w:rPr>
          <w:rFonts w:eastAsia="Times New Roman" w:cstheme="minorHAnsi"/>
          <w:sz w:val="24"/>
        </w:rPr>
        <w:t>1</w:t>
      </w:r>
      <w:r w:rsidRPr="00A316AD">
        <w:rPr>
          <w:rFonts w:eastAsia="Times New Roman" w:cstheme="minorHAnsi"/>
          <w:sz w:val="24"/>
        </w:rPr>
        <w:t>. Recovery of indirect costs totaled $</w:t>
      </w:r>
      <w:r w:rsidR="008A54B4" w:rsidRPr="00A316AD">
        <w:rPr>
          <w:rFonts w:eastAsia="Times New Roman" w:cstheme="minorHAnsi"/>
          <w:sz w:val="24"/>
        </w:rPr>
        <w:t>1</w:t>
      </w:r>
      <w:r w:rsidR="008A54B4">
        <w:rPr>
          <w:rFonts w:eastAsia="Times New Roman" w:cstheme="minorHAnsi"/>
          <w:sz w:val="24"/>
        </w:rPr>
        <w:t>7</w:t>
      </w:r>
      <w:r w:rsidR="008A54B4" w:rsidRPr="00A316AD">
        <w:rPr>
          <w:rFonts w:eastAsia="Times New Roman" w:cstheme="minorHAnsi"/>
          <w:sz w:val="24"/>
        </w:rPr>
        <w:t xml:space="preserve"> </w:t>
      </w:r>
      <w:r w:rsidRPr="00A316AD">
        <w:rPr>
          <w:rFonts w:eastAsia="Times New Roman" w:cstheme="minorHAnsi"/>
          <w:sz w:val="24"/>
        </w:rPr>
        <w:t xml:space="preserve">million for </w:t>
      </w:r>
      <w:r w:rsidR="008A54B4" w:rsidRPr="00A316AD">
        <w:rPr>
          <w:rFonts w:eastAsia="Times New Roman" w:cstheme="minorHAnsi"/>
          <w:sz w:val="24"/>
        </w:rPr>
        <w:t>FY2</w:t>
      </w:r>
      <w:r w:rsidR="008A54B4">
        <w:rPr>
          <w:rFonts w:eastAsia="Times New Roman" w:cstheme="minorHAnsi"/>
          <w:sz w:val="24"/>
        </w:rPr>
        <w:t>1</w:t>
      </w:r>
      <w:r w:rsidRPr="00A316AD">
        <w:rPr>
          <w:rFonts w:eastAsia="Times New Roman" w:cstheme="minorHAnsi"/>
          <w:sz w:val="24"/>
        </w:rPr>
        <w:t xml:space="preserve">, which was an increase </w:t>
      </w:r>
      <w:r>
        <w:rPr>
          <w:rFonts w:eastAsia="Times New Roman" w:cstheme="minorHAnsi"/>
          <w:sz w:val="24"/>
        </w:rPr>
        <w:t>$</w:t>
      </w:r>
      <w:r w:rsidR="008A54B4">
        <w:rPr>
          <w:rFonts w:eastAsia="Times New Roman" w:cstheme="minorHAnsi"/>
          <w:sz w:val="24"/>
        </w:rPr>
        <w:t xml:space="preserve">2 </w:t>
      </w:r>
      <w:r>
        <w:rPr>
          <w:rFonts w:eastAsia="Times New Roman" w:cstheme="minorHAnsi"/>
          <w:sz w:val="24"/>
        </w:rPr>
        <w:t xml:space="preserve">million from </w:t>
      </w:r>
      <w:r w:rsidR="008A54B4">
        <w:rPr>
          <w:rFonts w:eastAsia="Times New Roman" w:cstheme="minorHAnsi"/>
          <w:sz w:val="24"/>
        </w:rPr>
        <w:t>FY20</w:t>
      </w:r>
      <w:r>
        <w:rPr>
          <w:rFonts w:eastAsia="Times New Roman" w:cstheme="minorHAnsi"/>
          <w:sz w:val="24"/>
        </w:rPr>
        <w:t>.</w:t>
      </w:r>
    </w:p>
    <w:p w14:paraId="46AB1D63" w14:textId="77777777" w:rsidR="002F2C2D" w:rsidRDefault="002F2C2D" w:rsidP="00987D33">
      <w:pPr>
        <w:pStyle w:val="AFR3"/>
        <w:rPr>
          <w:rFonts w:cstheme="minorHAnsi"/>
        </w:rPr>
      </w:pPr>
      <w:r>
        <w:rPr>
          <w:rFonts w:cstheme="minorHAnsi"/>
        </w:rPr>
        <w:br w:type="page"/>
      </w:r>
    </w:p>
    <w:p w14:paraId="29E85A57" w14:textId="0458330D" w:rsidR="00987D33" w:rsidRDefault="00987D33" w:rsidP="00987D33">
      <w:pPr>
        <w:pStyle w:val="AFR3"/>
        <w:rPr>
          <w:rFonts w:cstheme="minorHAnsi"/>
        </w:rPr>
      </w:pPr>
      <w:r>
        <w:rPr>
          <w:rFonts w:cstheme="minorHAnsi"/>
        </w:rPr>
        <w:lastRenderedPageBreak/>
        <w:t>Noncapital State of Maine Appropriations</w:t>
      </w:r>
    </w:p>
    <w:p w14:paraId="51DE9478" w14:textId="77777777" w:rsidR="00987D33" w:rsidRDefault="00987D33" w:rsidP="00987D33">
      <w:pPr>
        <w:tabs>
          <w:tab w:val="left" w:pos="540"/>
        </w:tabs>
        <w:rPr>
          <w:rFonts w:eastAsia="Times New Roman" w:cstheme="minorHAnsi"/>
          <w:sz w:val="24"/>
        </w:rPr>
      </w:pPr>
      <w:r>
        <w:rPr>
          <w:rFonts w:eastAsia="Times New Roman" w:cstheme="minorHAnsi"/>
          <w:sz w:val="24"/>
        </w:rPr>
        <w:t>State noncapital appropriation revenue includes amounts for general operations and amounts legislatively earmarked for research and development, financial aid, and various other areas. Although not considered operating revenue under GASB reporting requirements, the noncapital state appropriation was the second largest funding source for educational and general operations behind net student fees.</w:t>
      </w:r>
    </w:p>
    <w:p w14:paraId="62F2A9C4" w14:textId="77777777" w:rsidR="00987D33" w:rsidRPr="00735A4C" w:rsidRDefault="00987D33" w:rsidP="00987D33">
      <w:pPr>
        <w:tabs>
          <w:tab w:val="left" w:pos="540"/>
        </w:tabs>
        <w:ind w:left="360"/>
        <w:rPr>
          <w:rFonts w:eastAsia="Times New Roman" w:cstheme="minorHAnsi"/>
          <w:sz w:val="20"/>
          <w:szCs w:val="20"/>
        </w:rPr>
      </w:pPr>
    </w:p>
    <w:p w14:paraId="1267ACCE" w14:textId="6392372E" w:rsidR="00987D33" w:rsidRDefault="00987D33" w:rsidP="00987D33">
      <w:pPr>
        <w:tabs>
          <w:tab w:val="left" w:pos="540"/>
        </w:tabs>
        <w:rPr>
          <w:rFonts w:eastAsia="Times New Roman" w:cstheme="minorHAnsi"/>
          <w:sz w:val="24"/>
        </w:rPr>
      </w:pPr>
      <w:r>
        <w:rPr>
          <w:rFonts w:eastAsia="Times New Roman" w:cstheme="minorHAnsi"/>
          <w:sz w:val="24"/>
        </w:rPr>
        <w:t xml:space="preserve">As shown in Chart </w:t>
      </w:r>
      <w:r w:rsidR="00E575CF">
        <w:rPr>
          <w:rFonts w:eastAsia="Times New Roman" w:cstheme="minorHAnsi"/>
          <w:sz w:val="24"/>
        </w:rPr>
        <w:t>10</w:t>
      </w:r>
      <w:r>
        <w:rPr>
          <w:rFonts w:eastAsia="Times New Roman" w:cstheme="minorHAnsi"/>
          <w:sz w:val="24"/>
        </w:rPr>
        <w:t xml:space="preserve">, the System received </w:t>
      </w:r>
      <w:r w:rsidRPr="00A316AD">
        <w:rPr>
          <w:rFonts w:eastAsia="Times New Roman" w:cstheme="minorHAnsi"/>
          <w:sz w:val="24"/>
        </w:rPr>
        <w:t>$</w:t>
      </w:r>
      <w:r w:rsidR="00210051">
        <w:rPr>
          <w:rFonts w:eastAsia="Times New Roman" w:cstheme="minorHAnsi"/>
          <w:sz w:val="24"/>
        </w:rPr>
        <w:t>229</w:t>
      </w:r>
      <w:r w:rsidR="00210051" w:rsidRPr="00162FC5">
        <w:rPr>
          <w:rFonts w:eastAsia="Times New Roman" w:cstheme="minorHAnsi"/>
          <w:color w:val="FF0000"/>
          <w:sz w:val="24"/>
        </w:rPr>
        <w:t xml:space="preserve"> </w:t>
      </w:r>
      <w:r>
        <w:rPr>
          <w:rFonts w:eastAsia="Times New Roman" w:cstheme="minorHAnsi"/>
          <w:sz w:val="24"/>
        </w:rPr>
        <w:t xml:space="preserve">million in noncapital state appropriation revenue during </w:t>
      </w:r>
      <w:r w:rsidR="004C0B11">
        <w:rPr>
          <w:rFonts w:eastAsia="Times New Roman" w:cstheme="minorHAnsi"/>
          <w:sz w:val="24"/>
        </w:rPr>
        <w:t>FY22</w:t>
      </w:r>
      <w:r>
        <w:rPr>
          <w:rFonts w:eastAsia="Times New Roman" w:cstheme="minorHAnsi"/>
          <w:sz w:val="24"/>
        </w:rPr>
        <w:t xml:space="preserve">, </w:t>
      </w:r>
      <w:r w:rsidR="00210051">
        <w:rPr>
          <w:rFonts w:eastAsia="Times New Roman" w:cstheme="minorHAnsi"/>
          <w:sz w:val="24"/>
        </w:rPr>
        <w:t>up</w:t>
      </w:r>
      <w:r w:rsidR="00210051" w:rsidRPr="00A316AD">
        <w:rPr>
          <w:rFonts w:eastAsia="Times New Roman" w:cstheme="minorHAnsi"/>
          <w:sz w:val="24"/>
        </w:rPr>
        <w:t xml:space="preserve"> </w:t>
      </w:r>
      <w:r w:rsidRPr="00A316AD">
        <w:rPr>
          <w:rFonts w:eastAsia="Times New Roman" w:cstheme="minorHAnsi"/>
          <w:sz w:val="24"/>
        </w:rPr>
        <w:t>$</w:t>
      </w:r>
      <w:r w:rsidR="00210051">
        <w:rPr>
          <w:rFonts w:eastAsia="Times New Roman" w:cstheme="minorHAnsi"/>
          <w:sz w:val="24"/>
        </w:rPr>
        <w:t>11</w:t>
      </w:r>
      <w:r w:rsidR="00210051" w:rsidRPr="00162FC5">
        <w:rPr>
          <w:rFonts w:eastAsia="Times New Roman" w:cstheme="minorHAnsi"/>
          <w:color w:val="FF0000"/>
          <w:sz w:val="24"/>
        </w:rPr>
        <w:t xml:space="preserve"> </w:t>
      </w:r>
      <w:r>
        <w:rPr>
          <w:rFonts w:eastAsia="Times New Roman" w:cstheme="minorHAnsi"/>
          <w:sz w:val="24"/>
        </w:rPr>
        <w:t xml:space="preserve">million, or </w:t>
      </w:r>
      <w:r w:rsidR="00210051">
        <w:rPr>
          <w:rFonts w:eastAsia="Times New Roman" w:cstheme="minorHAnsi"/>
          <w:sz w:val="24"/>
        </w:rPr>
        <w:t>5</w:t>
      </w:r>
      <w:r w:rsidRPr="00CA04B1">
        <w:rPr>
          <w:rFonts w:eastAsia="Times New Roman" w:cstheme="minorHAnsi"/>
          <w:sz w:val="24"/>
        </w:rPr>
        <w:t>%</w:t>
      </w:r>
      <w:r>
        <w:rPr>
          <w:rFonts w:eastAsia="Times New Roman" w:cstheme="minorHAnsi"/>
          <w:sz w:val="24"/>
        </w:rPr>
        <w:t xml:space="preserve"> from </w:t>
      </w:r>
      <w:r w:rsidR="004C0B11">
        <w:rPr>
          <w:rFonts w:eastAsia="Times New Roman" w:cstheme="minorHAnsi"/>
          <w:sz w:val="24"/>
        </w:rPr>
        <w:t>FY21</w:t>
      </w:r>
      <w:r>
        <w:rPr>
          <w:rFonts w:eastAsia="Times New Roman" w:cstheme="minorHAnsi"/>
          <w:sz w:val="24"/>
        </w:rPr>
        <w:t>. The System received $</w:t>
      </w:r>
      <w:r w:rsidR="004C0B11">
        <w:rPr>
          <w:rFonts w:eastAsia="Times New Roman" w:cstheme="minorHAnsi"/>
          <w:sz w:val="24"/>
        </w:rPr>
        <w:t xml:space="preserve">218 </w:t>
      </w:r>
      <w:r>
        <w:rPr>
          <w:rFonts w:eastAsia="Times New Roman" w:cstheme="minorHAnsi"/>
          <w:sz w:val="24"/>
        </w:rPr>
        <w:t xml:space="preserve">million in noncapital state appropriation revenue during </w:t>
      </w:r>
      <w:r w:rsidR="004C0B11">
        <w:rPr>
          <w:rFonts w:eastAsia="Times New Roman" w:cstheme="minorHAnsi"/>
          <w:sz w:val="24"/>
        </w:rPr>
        <w:t>FY21</w:t>
      </w:r>
      <w:r>
        <w:rPr>
          <w:rFonts w:eastAsia="Times New Roman" w:cstheme="minorHAnsi"/>
          <w:sz w:val="24"/>
        </w:rPr>
        <w:t xml:space="preserve">, </w:t>
      </w:r>
      <w:r w:rsidR="004C0B11">
        <w:rPr>
          <w:rFonts w:eastAsia="Times New Roman" w:cstheme="minorHAnsi"/>
          <w:sz w:val="24"/>
        </w:rPr>
        <w:t xml:space="preserve">down </w:t>
      </w:r>
      <w:r>
        <w:rPr>
          <w:rFonts w:eastAsia="Times New Roman" w:cstheme="minorHAnsi"/>
          <w:sz w:val="24"/>
        </w:rPr>
        <w:t>$</w:t>
      </w:r>
      <w:r w:rsidR="004C0B11">
        <w:rPr>
          <w:rFonts w:eastAsia="Times New Roman" w:cstheme="minorHAnsi"/>
          <w:sz w:val="24"/>
        </w:rPr>
        <w:t xml:space="preserve">2 </w:t>
      </w:r>
      <w:r>
        <w:rPr>
          <w:rFonts w:eastAsia="Times New Roman" w:cstheme="minorHAnsi"/>
          <w:sz w:val="24"/>
        </w:rPr>
        <w:t xml:space="preserve">million, or </w:t>
      </w:r>
      <w:r w:rsidR="004C0B11">
        <w:rPr>
          <w:rFonts w:eastAsia="Times New Roman" w:cstheme="minorHAnsi"/>
          <w:sz w:val="24"/>
        </w:rPr>
        <w:t>0.9</w:t>
      </w:r>
      <w:r>
        <w:rPr>
          <w:rFonts w:eastAsia="Times New Roman" w:cstheme="minorHAnsi"/>
          <w:sz w:val="24"/>
        </w:rPr>
        <w:t xml:space="preserve">%, from </w:t>
      </w:r>
      <w:r w:rsidR="004C0B11">
        <w:rPr>
          <w:rFonts w:eastAsia="Times New Roman" w:cstheme="minorHAnsi"/>
          <w:sz w:val="24"/>
        </w:rPr>
        <w:t>FY20</w:t>
      </w:r>
      <w:r>
        <w:rPr>
          <w:rFonts w:eastAsia="Times New Roman" w:cstheme="minorHAnsi"/>
          <w:sz w:val="24"/>
        </w:rPr>
        <w:t>.</w:t>
      </w:r>
    </w:p>
    <w:p w14:paraId="2E5D2431" w14:textId="77777777" w:rsidR="00987D33" w:rsidRPr="00735A4C" w:rsidRDefault="00987D33" w:rsidP="00987D33">
      <w:pPr>
        <w:tabs>
          <w:tab w:val="left" w:pos="540"/>
        </w:tabs>
        <w:ind w:left="360"/>
        <w:rPr>
          <w:rFonts w:eastAsia="Times New Roman" w:cstheme="minorHAnsi"/>
          <w:sz w:val="20"/>
          <w:szCs w:val="20"/>
        </w:rPr>
      </w:pPr>
    </w:p>
    <w:p w14:paraId="46423EF9" w14:textId="12D7331A" w:rsidR="00987D33" w:rsidRDefault="00987D33" w:rsidP="00987D33">
      <w:pPr>
        <w:tabs>
          <w:tab w:val="left" w:pos="540"/>
        </w:tabs>
        <w:rPr>
          <w:rFonts w:eastAsia="Times New Roman" w:cstheme="minorHAnsi"/>
          <w:sz w:val="24"/>
        </w:rPr>
      </w:pPr>
      <w:r>
        <w:rPr>
          <w:rFonts w:eastAsia="Times New Roman" w:cstheme="minorHAnsi"/>
          <w:sz w:val="24"/>
        </w:rPr>
        <w:t xml:space="preserve">At </w:t>
      </w:r>
      <w:r w:rsidRPr="00A316AD">
        <w:rPr>
          <w:rFonts w:eastAsia="Times New Roman" w:cstheme="minorHAnsi"/>
          <w:sz w:val="24"/>
        </w:rPr>
        <w:t>$</w:t>
      </w:r>
      <w:r w:rsidR="00210051">
        <w:rPr>
          <w:rFonts w:eastAsia="Times New Roman" w:cstheme="minorHAnsi"/>
          <w:sz w:val="24"/>
        </w:rPr>
        <w:t xml:space="preserve">229 </w:t>
      </w:r>
      <w:r>
        <w:rPr>
          <w:rFonts w:eastAsia="Times New Roman" w:cstheme="minorHAnsi"/>
          <w:sz w:val="24"/>
        </w:rPr>
        <w:t xml:space="preserve">million, noncapital state appropriation revenue covered </w:t>
      </w:r>
      <w:r w:rsidR="00210051">
        <w:rPr>
          <w:rFonts w:eastAsia="Times New Roman" w:cstheme="minorHAnsi"/>
          <w:sz w:val="24"/>
        </w:rPr>
        <w:t>66</w:t>
      </w:r>
      <w:r w:rsidRPr="00A316AD">
        <w:rPr>
          <w:rFonts w:eastAsia="Times New Roman" w:cstheme="minorHAnsi"/>
          <w:sz w:val="24"/>
        </w:rPr>
        <w:t>%</w:t>
      </w:r>
      <w:r>
        <w:rPr>
          <w:rFonts w:eastAsia="Times New Roman" w:cstheme="minorHAnsi"/>
          <w:sz w:val="24"/>
        </w:rPr>
        <w:t xml:space="preserve"> of the </w:t>
      </w:r>
      <w:r w:rsidRPr="00A316AD">
        <w:rPr>
          <w:rFonts w:eastAsia="Times New Roman" w:cstheme="minorHAnsi"/>
          <w:sz w:val="24"/>
        </w:rPr>
        <w:t>$</w:t>
      </w:r>
      <w:r w:rsidR="00210051">
        <w:rPr>
          <w:rFonts w:eastAsia="Times New Roman" w:cstheme="minorHAnsi"/>
          <w:sz w:val="24"/>
        </w:rPr>
        <w:t xml:space="preserve">347 </w:t>
      </w:r>
      <w:r>
        <w:rPr>
          <w:rFonts w:eastAsia="Times New Roman" w:cstheme="minorHAnsi"/>
          <w:sz w:val="24"/>
        </w:rPr>
        <w:t xml:space="preserve">million operating loss in </w:t>
      </w:r>
      <w:r w:rsidR="004C0B11">
        <w:rPr>
          <w:rFonts w:eastAsia="Times New Roman" w:cstheme="minorHAnsi"/>
          <w:sz w:val="24"/>
        </w:rPr>
        <w:t>FY22</w:t>
      </w:r>
      <w:r>
        <w:rPr>
          <w:rFonts w:eastAsia="Times New Roman" w:cstheme="minorHAnsi"/>
          <w:sz w:val="24"/>
        </w:rPr>
        <w:t xml:space="preserve">, </w:t>
      </w:r>
      <w:r w:rsidR="00210051">
        <w:rPr>
          <w:rFonts w:eastAsia="Times New Roman" w:cstheme="minorHAnsi"/>
          <w:sz w:val="24"/>
        </w:rPr>
        <w:t xml:space="preserve">down </w:t>
      </w:r>
      <w:r w:rsidRPr="002D081F">
        <w:rPr>
          <w:rFonts w:eastAsia="Times New Roman" w:cstheme="minorHAnsi"/>
          <w:sz w:val="24"/>
        </w:rPr>
        <w:t xml:space="preserve">from the operating loss coverage level of </w:t>
      </w:r>
      <w:r w:rsidR="004C0B11">
        <w:rPr>
          <w:rFonts w:eastAsia="Times New Roman" w:cstheme="minorHAnsi"/>
          <w:sz w:val="24"/>
        </w:rPr>
        <w:t>80</w:t>
      </w:r>
      <w:r w:rsidRPr="002D081F">
        <w:rPr>
          <w:rFonts w:eastAsia="Times New Roman" w:cstheme="minorHAnsi"/>
          <w:sz w:val="24"/>
        </w:rPr>
        <w:t xml:space="preserve">% in </w:t>
      </w:r>
      <w:r w:rsidR="004C0B11" w:rsidRPr="002D081F">
        <w:rPr>
          <w:rFonts w:eastAsia="Times New Roman" w:cstheme="minorHAnsi"/>
          <w:sz w:val="24"/>
        </w:rPr>
        <w:t>FY2</w:t>
      </w:r>
      <w:r w:rsidR="004C0B11">
        <w:rPr>
          <w:rFonts w:eastAsia="Times New Roman" w:cstheme="minorHAnsi"/>
          <w:sz w:val="24"/>
        </w:rPr>
        <w:t>1</w:t>
      </w:r>
      <w:r w:rsidRPr="002D081F">
        <w:rPr>
          <w:rFonts w:eastAsia="Times New Roman" w:cstheme="minorHAnsi"/>
          <w:sz w:val="24"/>
        </w:rPr>
        <w:t>.</w:t>
      </w:r>
    </w:p>
    <w:p w14:paraId="7676A1C2" w14:textId="77777777" w:rsidR="00987D33" w:rsidRDefault="00987D33" w:rsidP="00987D33">
      <w:pPr>
        <w:tabs>
          <w:tab w:val="left" w:pos="540"/>
        </w:tabs>
        <w:rPr>
          <w:rFonts w:eastAsia="Times New Roman" w:cstheme="minorHAnsi"/>
          <w:sz w:val="24"/>
        </w:rPr>
      </w:pPr>
    </w:p>
    <w:p w14:paraId="40287E5F" w14:textId="74D60CFD" w:rsidR="00987D33" w:rsidRPr="00FE6467" w:rsidRDefault="006223C2" w:rsidP="002C201C">
      <w:pPr>
        <w:tabs>
          <w:tab w:val="left" w:pos="540"/>
        </w:tabs>
        <w:jc w:val="center"/>
        <w:rPr>
          <w:rFonts w:eastAsia="Times New Roman" w:cstheme="minorHAnsi"/>
          <w:sz w:val="24"/>
        </w:rPr>
      </w:pPr>
      <w:r>
        <w:rPr>
          <w:noProof/>
        </w:rPr>
        <w:drawing>
          <wp:inline distT="0" distB="0" distL="0" distR="0" wp14:anchorId="763BE197" wp14:editId="789DBA92">
            <wp:extent cx="4572000" cy="2743200"/>
            <wp:effectExtent l="0" t="0" r="0" b="0"/>
            <wp:docPr id="3" name="Chart 3">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84D5C1" w14:textId="77777777" w:rsidR="00987D33" w:rsidRDefault="00987D33" w:rsidP="00987D33">
      <w:pPr>
        <w:pStyle w:val="AFR3"/>
        <w:rPr>
          <w:rFonts w:cstheme="minorHAnsi"/>
        </w:rPr>
      </w:pPr>
      <w:r>
        <w:rPr>
          <w:rFonts w:cstheme="minorHAnsi"/>
        </w:rPr>
        <w:t>Coronavirus Relief Funding</w:t>
      </w:r>
    </w:p>
    <w:p w14:paraId="3F0945C0" w14:textId="2F462416" w:rsidR="00987D33" w:rsidRDefault="00987D33" w:rsidP="00987D33">
      <w:pPr>
        <w:spacing w:after="120"/>
        <w:rPr>
          <w:rFonts w:eastAsia="Times New Roman" w:cstheme="minorHAnsi"/>
          <w:sz w:val="24"/>
        </w:rPr>
      </w:pPr>
      <w:r>
        <w:rPr>
          <w:rFonts w:eastAsia="Times New Roman" w:cstheme="minorHAnsi"/>
          <w:sz w:val="24"/>
        </w:rPr>
        <w:t>The coronavirus relief funding of $</w:t>
      </w:r>
      <w:r w:rsidR="00210051">
        <w:rPr>
          <w:rFonts w:eastAsia="Times New Roman" w:cstheme="minorHAnsi"/>
          <w:sz w:val="24"/>
        </w:rPr>
        <w:t>6</w:t>
      </w:r>
      <w:r w:rsidR="00B15041">
        <w:rPr>
          <w:rFonts w:eastAsia="Times New Roman" w:cstheme="minorHAnsi"/>
          <w:sz w:val="24"/>
        </w:rPr>
        <w:t>3</w:t>
      </w:r>
      <w:r w:rsidR="00892F07">
        <w:rPr>
          <w:rFonts w:eastAsia="Times New Roman" w:cstheme="minorHAnsi"/>
          <w:sz w:val="24"/>
        </w:rPr>
        <w:t xml:space="preserve"> </w:t>
      </w:r>
      <w:r>
        <w:rPr>
          <w:rFonts w:eastAsia="Times New Roman" w:cstheme="minorHAnsi"/>
          <w:sz w:val="24"/>
        </w:rPr>
        <w:t>million and $</w:t>
      </w:r>
      <w:r w:rsidR="00A17DB4">
        <w:rPr>
          <w:rFonts w:eastAsia="Times New Roman" w:cstheme="minorHAnsi"/>
          <w:sz w:val="24"/>
        </w:rPr>
        <w:t>3</w:t>
      </w:r>
      <w:r w:rsidR="00B15041">
        <w:rPr>
          <w:rFonts w:eastAsia="Times New Roman" w:cstheme="minorHAnsi"/>
          <w:sz w:val="24"/>
        </w:rPr>
        <w:t>7</w:t>
      </w:r>
      <w:r>
        <w:rPr>
          <w:rFonts w:eastAsia="Times New Roman" w:cstheme="minorHAnsi"/>
          <w:sz w:val="24"/>
        </w:rPr>
        <w:t xml:space="preserve"> million for </w:t>
      </w:r>
      <w:r w:rsidR="00A17DB4">
        <w:rPr>
          <w:rFonts w:eastAsia="Times New Roman" w:cstheme="minorHAnsi"/>
          <w:sz w:val="24"/>
        </w:rPr>
        <w:t xml:space="preserve">FY22 </w:t>
      </w:r>
      <w:r>
        <w:rPr>
          <w:rFonts w:eastAsia="Times New Roman" w:cstheme="minorHAnsi"/>
          <w:sz w:val="24"/>
        </w:rPr>
        <w:t xml:space="preserve">and </w:t>
      </w:r>
      <w:r w:rsidR="00A17DB4">
        <w:rPr>
          <w:rFonts w:eastAsia="Times New Roman" w:cstheme="minorHAnsi"/>
          <w:sz w:val="24"/>
        </w:rPr>
        <w:t>FY21</w:t>
      </w:r>
      <w:r>
        <w:rPr>
          <w:rFonts w:eastAsia="Times New Roman" w:cstheme="minorHAnsi"/>
          <w:sz w:val="24"/>
        </w:rPr>
        <w:t>, respectively includes both a federal component and a state component.</w:t>
      </w:r>
    </w:p>
    <w:p w14:paraId="61C59B4F" w14:textId="77777777" w:rsidR="00987D33" w:rsidRPr="00790AF8" w:rsidRDefault="00987D33" w:rsidP="00987D33">
      <w:pPr>
        <w:spacing w:after="120"/>
        <w:rPr>
          <w:rFonts w:eastAsia="Times New Roman" w:cstheme="minorHAnsi"/>
          <w:b/>
          <w:i/>
          <w:sz w:val="24"/>
        </w:rPr>
      </w:pPr>
      <w:r w:rsidRPr="00790AF8">
        <w:rPr>
          <w:rFonts w:eastAsia="Times New Roman" w:cstheme="minorHAnsi"/>
          <w:b/>
          <w:i/>
          <w:sz w:val="24"/>
        </w:rPr>
        <w:t xml:space="preserve">Federal </w:t>
      </w:r>
      <w:r>
        <w:rPr>
          <w:rFonts w:eastAsia="Times New Roman" w:cstheme="minorHAnsi"/>
          <w:b/>
          <w:i/>
          <w:sz w:val="24"/>
        </w:rPr>
        <w:t>F</w:t>
      </w:r>
      <w:r w:rsidRPr="00790AF8">
        <w:rPr>
          <w:rFonts w:eastAsia="Times New Roman" w:cstheme="minorHAnsi"/>
          <w:b/>
          <w:i/>
          <w:sz w:val="24"/>
        </w:rPr>
        <w:t>unding</w:t>
      </w:r>
    </w:p>
    <w:p w14:paraId="74E40741" w14:textId="285539D7" w:rsidR="00987D33" w:rsidRPr="000944F1" w:rsidRDefault="00987D33" w:rsidP="00987D33">
      <w:pPr>
        <w:spacing w:after="160"/>
        <w:rPr>
          <w:rFonts w:eastAsia="Times New Roman" w:cstheme="minorHAnsi"/>
          <w:sz w:val="24"/>
        </w:rPr>
      </w:pPr>
      <w:r w:rsidRPr="00A316AD">
        <w:rPr>
          <w:rFonts w:eastAsia="Times New Roman" w:cstheme="minorHAnsi"/>
          <w:sz w:val="24"/>
        </w:rPr>
        <w:t xml:space="preserve">In response to the </w:t>
      </w:r>
      <w:r w:rsidRPr="000944F1">
        <w:rPr>
          <w:rFonts w:eastAsia="Times New Roman" w:cstheme="minorHAnsi"/>
          <w:sz w:val="24"/>
        </w:rPr>
        <w:t>COVID-19 pandemic that began in March 2020, the federal government signed into law various acts to provide economic relief to the nation, including higher education.  The U</w:t>
      </w:r>
      <w:r>
        <w:rPr>
          <w:rFonts w:eastAsia="Times New Roman" w:cstheme="minorHAnsi"/>
          <w:sz w:val="24"/>
        </w:rPr>
        <w:t>.</w:t>
      </w:r>
      <w:r w:rsidRPr="000944F1">
        <w:rPr>
          <w:rFonts w:eastAsia="Times New Roman" w:cstheme="minorHAnsi"/>
          <w:sz w:val="24"/>
        </w:rPr>
        <w:t>S</w:t>
      </w:r>
      <w:r>
        <w:rPr>
          <w:rFonts w:eastAsia="Times New Roman" w:cstheme="minorHAnsi"/>
          <w:sz w:val="24"/>
        </w:rPr>
        <w:t>.</w:t>
      </w:r>
      <w:r w:rsidRPr="000944F1">
        <w:rPr>
          <w:rFonts w:eastAsia="Times New Roman" w:cstheme="minorHAnsi"/>
          <w:sz w:val="24"/>
        </w:rPr>
        <w:t xml:space="preserve"> Department of Education </w:t>
      </w:r>
      <w:r>
        <w:rPr>
          <w:rFonts w:eastAsia="Times New Roman" w:cstheme="minorHAnsi"/>
          <w:sz w:val="24"/>
        </w:rPr>
        <w:t xml:space="preserve">has </w:t>
      </w:r>
      <w:r w:rsidRPr="000944F1">
        <w:rPr>
          <w:rFonts w:eastAsia="Times New Roman" w:cstheme="minorHAnsi"/>
          <w:sz w:val="24"/>
        </w:rPr>
        <w:t>awarded the System a total of $</w:t>
      </w:r>
      <w:r w:rsidRPr="00721CFD">
        <w:rPr>
          <w:rFonts w:eastAsia="Times New Roman" w:cstheme="minorHAnsi"/>
          <w:sz w:val="24"/>
        </w:rPr>
        <w:t>10</w:t>
      </w:r>
      <w:r w:rsidR="00B15041">
        <w:rPr>
          <w:rFonts w:eastAsia="Times New Roman" w:cstheme="minorHAnsi"/>
          <w:sz w:val="24"/>
        </w:rPr>
        <w:t>4</w:t>
      </w:r>
      <w:r w:rsidRPr="000944F1">
        <w:rPr>
          <w:rFonts w:eastAsia="Times New Roman" w:cstheme="minorHAnsi"/>
          <w:sz w:val="24"/>
        </w:rPr>
        <w:t xml:space="preserve"> million under the following acts:</w:t>
      </w:r>
    </w:p>
    <w:p w14:paraId="6AF7357B" w14:textId="0DF9A3B9" w:rsidR="00987D33" w:rsidRPr="00721CFD" w:rsidRDefault="00987D33" w:rsidP="00721CFD">
      <w:pPr>
        <w:pStyle w:val="ListParagraph"/>
        <w:numPr>
          <w:ilvl w:val="0"/>
          <w:numId w:val="16"/>
        </w:numPr>
        <w:rPr>
          <w:rFonts w:cstheme="minorHAnsi"/>
        </w:rPr>
      </w:pPr>
      <w:r w:rsidRPr="00721CFD">
        <w:rPr>
          <w:rFonts w:asciiTheme="minorHAnsi" w:hAnsiTheme="minorHAnsi" w:cstheme="minorHAnsi"/>
          <w:szCs w:val="22"/>
        </w:rPr>
        <w:t>Coronavirus Aid, Relief and Economic Security (CARES) Act - $1</w:t>
      </w:r>
      <w:r w:rsidR="00B15041">
        <w:rPr>
          <w:rFonts w:asciiTheme="minorHAnsi" w:hAnsiTheme="minorHAnsi" w:cstheme="minorHAnsi"/>
          <w:szCs w:val="22"/>
        </w:rPr>
        <w:t>8</w:t>
      </w:r>
      <w:r w:rsidRPr="00721CFD">
        <w:rPr>
          <w:rFonts w:asciiTheme="minorHAnsi" w:hAnsiTheme="minorHAnsi" w:cstheme="minorHAnsi"/>
          <w:szCs w:val="22"/>
        </w:rPr>
        <w:t xml:space="preserve"> million awarded in FY20.</w:t>
      </w:r>
    </w:p>
    <w:p w14:paraId="28CBAD0A" w14:textId="4EEE87A4" w:rsidR="00987D33" w:rsidRPr="00721CFD" w:rsidRDefault="00987D33" w:rsidP="00721CFD">
      <w:pPr>
        <w:pStyle w:val="ListParagraph"/>
        <w:numPr>
          <w:ilvl w:val="0"/>
          <w:numId w:val="16"/>
        </w:numPr>
        <w:rPr>
          <w:rFonts w:cstheme="minorHAnsi"/>
        </w:rPr>
      </w:pPr>
      <w:r w:rsidRPr="00721CFD">
        <w:rPr>
          <w:rFonts w:asciiTheme="minorHAnsi" w:hAnsiTheme="minorHAnsi" w:cstheme="minorHAnsi"/>
          <w:szCs w:val="22"/>
        </w:rPr>
        <w:t>Coronavirus Response and Relief Supplemental Appropriations (CRRSA) Act - $3</w:t>
      </w:r>
      <w:r w:rsidR="00B15041">
        <w:rPr>
          <w:rFonts w:asciiTheme="minorHAnsi" w:hAnsiTheme="minorHAnsi" w:cstheme="minorHAnsi"/>
          <w:szCs w:val="22"/>
        </w:rPr>
        <w:t>2</w:t>
      </w:r>
      <w:r w:rsidRPr="00721CFD">
        <w:rPr>
          <w:rFonts w:asciiTheme="minorHAnsi" w:hAnsiTheme="minorHAnsi" w:cstheme="minorHAnsi"/>
          <w:szCs w:val="22"/>
        </w:rPr>
        <w:t xml:space="preserve"> million awarded in FY21.</w:t>
      </w:r>
    </w:p>
    <w:p w14:paraId="28BA2E21" w14:textId="2B042A41" w:rsidR="00987D33" w:rsidRPr="00721CFD" w:rsidRDefault="00987D33" w:rsidP="00721CFD">
      <w:pPr>
        <w:pStyle w:val="ListParagraph"/>
        <w:numPr>
          <w:ilvl w:val="0"/>
          <w:numId w:val="16"/>
        </w:numPr>
        <w:rPr>
          <w:rFonts w:cstheme="minorHAnsi"/>
        </w:rPr>
      </w:pPr>
      <w:r w:rsidRPr="00721CFD">
        <w:rPr>
          <w:rFonts w:asciiTheme="minorHAnsi" w:hAnsiTheme="minorHAnsi" w:cstheme="minorHAnsi"/>
          <w:szCs w:val="22"/>
        </w:rPr>
        <w:lastRenderedPageBreak/>
        <w:t>American Rescue Plan (ARP) Act - $54 million awarded in late FY21.</w:t>
      </w:r>
    </w:p>
    <w:p w14:paraId="09886522" w14:textId="77777777" w:rsidR="00987D33" w:rsidRPr="000944F1" w:rsidRDefault="00987D33" w:rsidP="00987D33">
      <w:pPr>
        <w:ind w:left="360"/>
        <w:rPr>
          <w:rFonts w:cstheme="minorHAnsi"/>
        </w:rPr>
      </w:pPr>
    </w:p>
    <w:p w14:paraId="509C8538" w14:textId="24DD71F3" w:rsidR="00987D33" w:rsidRDefault="00987D33" w:rsidP="00987D33">
      <w:pPr>
        <w:rPr>
          <w:rFonts w:cstheme="minorHAnsi"/>
          <w:sz w:val="24"/>
          <w:szCs w:val="24"/>
        </w:rPr>
      </w:pPr>
      <w:r w:rsidRPr="0055135D">
        <w:rPr>
          <w:rFonts w:cstheme="minorHAnsi"/>
          <w:sz w:val="24"/>
          <w:szCs w:val="24"/>
        </w:rPr>
        <w:t xml:space="preserve">Under these acts, the System </w:t>
      </w:r>
      <w:r>
        <w:rPr>
          <w:rFonts w:cstheme="minorHAnsi"/>
          <w:sz w:val="24"/>
          <w:szCs w:val="24"/>
        </w:rPr>
        <w:t>received total awards o</w:t>
      </w:r>
      <w:r w:rsidRPr="0055135D">
        <w:rPr>
          <w:rFonts w:cstheme="minorHAnsi"/>
          <w:sz w:val="24"/>
          <w:szCs w:val="24"/>
        </w:rPr>
        <w:t xml:space="preserve">f </w:t>
      </w:r>
      <w:r w:rsidRPr="005245B7">
        <w:rPr>
          <w:rFonts w:cstheme="minorHAnsi"/>
          <w:sz w:val="24"/>
          <w:szCs w:val="24"/>
        </w:rPr>
        <w:t>$</w:t>
      </w:r>
      <w:r w:rsidRPr="00721CFD">
        <w:rPr>
          <w:rFonts w:cstheme="minorHAnsi"/>
          <w:sz w:val="24"/>
          <w:szCs w:val="24"/>
        </w:rPr>
        <w:t>4</w:t>
      </w:r>
      <w:r w:rsidR="00B15041">
        <w:rPr>
          <w:rFonts w:cstheme="minorHAnsi"/>
          <w:sz w:val="24"/>
          <w:szCs w:val="24"/>
        </w:rPr>
        <w:t>5</w:t>
      </w:r>
      <w:r w:rsidRPr="005245B7">
        <w:rPr>
          <w:rFonts w:cstheme="minorHAnsi"/>
          <w:sz w:val="24"/>
          <w:szCs w:val="24"/>
        </w:rPr>
        <w:t xml:space="preserve"> million to use for emergency aid to students and total awards of $</w:t>
      </w:r>
      <w:r w:rsidRPr="00721CFD">
        <w:rPr>
          <w:rFonts w:cstheme="minorHAnsi"/>
          <w:sz w:val="24"/>
          <w:szCs w:val="24"/>
        </w:rPr>
        <w:t>59</w:t>
      </w:r>
      <w:r w:rsidRPr="005245B7">
        <w:rPr>
          <w:rFonts w:cstheme="minorHAnsi"/>
          <w:sz w:val="24"/>
          <w:szCs w:val="24"/>
        </w:rPr>
        <w:t xml:space="preserve"> million to use for various other pandemic related costs including reimbursement of </w:t>
      </w:r>
      <w:r w:rsidRPr="00721CFD">
        <w:rPr>
          <w:rFonts w:cstheme="minorHAnsi"/>
          <w:sz w:val="24"/>
          <w:szCs w:val="24"/>
        </w:rPr>
        <w:t>refunded room and board revenues and recovery of lost revenues</w:t>
      </w:r>
      <w:r w:rsidRPr="005245B7">
        <w:rPr>
          <w:rFonts w:cstheme="minorHAnsi"/>
          <w:sz w:val="24"/>
          <w:szCs w:val="24"/>
        </w:rPr>
        <w:t>.</w:t>
      </w:r>
    </w:p>
    <w:p w14:paraId="1FAF9435" w14:textId="77777777" w:rsidR="00987D33" w:rsidRDefault="00987D33" w:rsidP="00987D33">
      <w:pPr>
        <w:rPr>
          <w:rFonts w:cstheme="minorHAnsi"/>
          <w:sz w:val="24"/>
          <w:szCs w:val="24"/>
        </w:rPr>
      </w:pPr>
    </w:p>
    <w:p w14:paraId="2DD56715" w14:textId="4965F4AF" w:rsidR="00987D33" w:rsidRDefault="00987D33" w:rsidP="00987D33">
      <w:pPr>
        <w:rPr>
          <w:rFonts w:cstheme="minorHAnsi"/>
          <w:sz w:val="24"/>
          <w:szCs w:val="24"/>
        </w:rPr>
      </w:pPr>
      <w:r>
        <w:rPr>
          <w:rFonts w:cstheme="minorHAnsi"/>
          <w:sz w:val="24"/>
          <w:szCs w:val="24"/>
        </w:rPr>
        <w:t xml:space="preserve">In the accompanying financial statements, the System has recognized revenue from the above federal awards in </w:t>
      </w:r>
      <w:r w:rsidRPr="0055135D">
        <w:rPr>
          <w:rFonts w:cstheme="minorHAnsi"/>
          <w:sz w:val="24"/>
          <w:szCs w:val="24"/>
        </w:rPr>
        <w:t>accordance with GASB guidance</w:t>
      </w:r>
      <w:r>
        <w:rPr>
          <w:rFonts w:cstheme="minorHAnsi"/>
          <w:sz w:val="24"/>
          <w:szCs w:val="24"/>
        </w:rPr>
        <w:t xml:space="preserve">. Under this guidance, revenue recognition does not necessarily correlate with the same fiscal year that the System applied allowable costs against the awards. </w:t>
      </w:r>
      <w:r w:rsidRPr="00721CFD">
        <w:rPr>
          <w:rFonts w:cstheme="minorHAnsi"/>
          <w:sz w:val="24"/>
          <w:szCs w:val="24"/>
        </w:rPr>
        <w:t xml:space="preserve">For example, some of the </w:t>
      </w:r>
      <w:r w:rsidR="005245B7" w:rsidRPr="00721CFD">
        <w:rPr>
          <w:rFonts w:cstheme="minorHAnsi"/>
          <w:sz w:val="24"/>
          <w:szCs w:val="24"/>
        </w:rPr>
        <w:t xml:space="preserve">FY22 </w:t>
      </w:r>
      <w:r w:rsidRPr="00721CFD">
        <w:rPr>
          <w:rFonts w:cstheme="minorHAnsi"/>
          <w:sz w:val="24"/>
          <w:szCs w:val="24"/>
        </w:rPr>
        <w:t xml:space="preserve">revenue recognized in the accompanying financial statements related to costs applied against the federal awards in </w:t>
      </w:r>
      <w:r w:rsidR="005245B7" w:rsidRPr="00721CFD">
        <w:rPr>
          <w:rFonts w:cstheme="minorHAnsi"/>
          <w:sz w:val="24"/>
          <w:szCs w:val="24"/>
        </w:rPr>
        <w:t>FY21</w:t>
      </w:r>
      <w:r w:rsidRPr="00721CFD">
        <w:rPr>
          <w:rFonts w:cstheme="minorHAnsi"/>
          <w:sz w:val="24"/>
          <w:szCs w:val="24"/>
        </w:rPr>
        <w:t xml:space="preserve">. Also, certain costs applied against the federal awards in </w:t>
      </w:r>
      <w:r w:rsidR="00892F07" w:rsidRPr="00721CFD">
        <w:rPr>
          <w:rFonts w:cstheme="minorHAnsi"/>
          <w:sz w:val="24"/>
          <w:szCs w:val="24"/>
        </w:rPr>
        <w:t>FY2</w:t>
      </w:r>
      <w:r w:rsidR="00892F07">
        <w:rPr>
          <w:rFonts w:cstheme="minorHAnsi"/>
          <w:sz w:val="24"/>
          <w:szCs w:val="24"/>
        </w:rPr>
        <w:t>0</w:t>
      </w:r>
      <w:r w:rsidR="00892F07" w:rsidRPr="00721CFD">
        <w:rPr>
          <w:rFonts w:cstheme="minorHAnsi"/>
          <w:sz w:val="24"/>
          <w:szCs w:val="24"/>
        </w:rPr>
        <w:t xml:space="preserve"> </w:t>
      </w:r>
      <w:r w:rsidR="005245B7" w:rsidRPr="00721CFD">
        <w:rPr>
          <w:rFonts w:cstheme="minorHAnsi"/>
          <w:sz w:val="24"/>
          <w:szCs w:val="24"/>
        </w:rPr>
        <w:t xml:space="preserve">were </w:t>
      </w:r>
      <w:r w:rsidRPr="00721CFD">
        <w:rPr>
          <w:rFonts w:cstheme="minorHAnsi"/>
          <w:sz w:val="24"/>
          <w:szCs w:val="24"/>
        </w:rPr>
        <w:t xml:space="preserve">not recognized as revenue until </w:t>
      </w:r>
      <w:r w:rsidR="00892F07" w:rsidRPr="00721CFD">
        <w:rPr>
          <w:rFonts w:cstheme="minorHAnsi"/>
          <w:sz w:val="24"/>
          <w:szCs w:val="24"/>
        </w:rPr>
        <w:t>FY2</w:t>
      </w:r>
      <w:r w:rsidR="00892F07">
        <w:rPr>
          <w:rFonts w:cstheme="minorHAnsi"/>
          <w:sz w:val="24"/>
          <w:szCs w:val="24"/>
        </w:rPr>
        <w:t>1</w:t>
      </w:r>
      <w:r w:rsidRPr="00721CFD">
        <w:rPr>
          <w:rFonts w:cstheme="minorHAnsi"/>
          <w:sz w:val="24"/>
          <w:szCs w:val="24"/>
        </w:rPr>
        <w:t>.</w:t>
      </w:r>
    </w:p>
    <w:p w14:paraId="6EE06273" w14:textId="77777777" w:rsidR="00987D33" w:rsidRDefault="00987D33" w:rsidP="00987D33">
      <w:pPr>
        <w:rPr>
          <w:rFonts w:cstheme="minorHAnsi"/>
          <w:sz w:val="24"/>
          <w:szCs w:val="24"/>
        </w:rPr>
      </w:pPr>
    </w:p>
    <w:p w14:paraId="312DBD1B" w14:textId="17B833A8" w:rsidR="00987D33" w:rsidRPr="00790AF8" w:rsidRDefault="00A17DB4" w:rsidP="00987D33">
      <w:pPr>
        <w:spacing w:after="120"/>
        <w:rPr>
          <w:rFonts w:cstheme="minorHAnsi"/>
          <w:sz w:val="24"/>
          <w:szCs w:val="24"/>
        </w:rPr>
      </w:pPr>
      <w:r w:rsidRPr="00790AF8">
        <w:rPr>
          <w:rFonts w:cstheme="minorHAnsi"/>
          <w:sz w:val="24"/>
          <w:szCs w:val="24"/>
        </w:rPr>
        <w:t>FY2</w:t>
      </w:r>
      <w:r>
        <w:rPr>
          <w:rFonts w:cstheme="minorHAnsi"/>
          <w:sz w:val="24"/>
          <w:szCs w:val="24"/>
        </w:rPr>
        <w:t>2</w:t>
      </w:r>
      <w:r w:rsidRPr="00790AF8">
        <w:rPr>
          <w:rFonts w:cstheme="minorHAnsi"/>
          <w:sz w:val="24"/>
          <w:szCs w:val="24"/>
        </w:rPr>
        <w:t xml:space="preserve"> </w:t>
      </w:r>
      <w:r w:rsidR="00987D33" w:rsidRPr="00790AF8">
        <w:rPr>
          <w:rFonts w:cstheme="minorHAnsi"/>
          <w:sz w:val="24"/>
          <w:szCs w:val="24"/>
        </w:rPr>
        <w:t xml:space="preserve">federal coronavirus relief funding revenue </w:t>
      </w:r>
      <w:r w:rsidR="00987D33">
        <w:rPr>
          <w:rFonts w:cstheme="minorHAnsi"/>
          <w:sz w:val="24"/>
          <w:szCs w:val="24"/>
        </w:rPr>
        <w:t>totals</w:t>
      </w:r>
      <w:r w:rsidR="00987D33" w:rsidRPr="00790AF8">
        <w:rPr>
          <w:rFonts w:cstheme="minorHAnsi"/>
          <w:sz w:val="24"/>
          <w:szCs w:val="24"/>
        </w:rPr>
        <w:t xml:space="preserve"> $</w:t>
      </w:r>
      <w:r w:rsidR="002332B4">
        <w:rPr>
          <w:rFonts w:cstheme="minorHAnsi"/>
          <w:sz w:val="24"/>
          <w:szCs w:val="24"/>
        </w:rPr>
        <w:t>5</w:t>
      </w:r>
      <w:r w:rsidR="00B15041">
        <w:rPr>
          <w:rFonts w:cstheme="minorHAnsi"/>
          <w:sz w:val="24"/>
          <w:szCs w:val="24"/>
        </w:rPr>
        <w:t>5</w:t>
      </w:r>
      <w:r w:rsidR="00987D33" w:rsidRPr="00790AF8">
        <w:rPr>
          <w:rFonts w:cstheme="minorHAnsi"/>
          <w:sz w:val="24"/>
          <w:szCs w:val="24"/>
        </w:rPr>
        <w:t xml:space="preserve"> million </w:t>
      </w:r>
      <w:r w:rsidR="00987D33">
        <w:rPr>
          <w:rFonts w:cstheme="minorHAnsi"/>
          <w:sz w:val="24"/>
          <w:szCs w:val="24"/>
        </w:rPr>
        <w:t>and is r</w:t>
      </w:r>
      <w:r w:rsidR="00987D33" w:rsidRPr="00790AF8">
        <w:rPr>
          <w:rFonts w:cstheme="minorHAnsi"/>
          <w:sz w:val="24"/>
          <w:szCs w:val="24"/>
        </w:rPr>
        <w:t>elated to the following costs:</w:t>
      </w:r>
    </w:p>
    <w:p w14:paraId="42BC7ADE" w14:textId="19F30F71" w:rsidR="00987D33" w:rsidRPr="00721CFD" w:rsidRDefault="00987D33" w:rsidP="00721CFD">
      <w:pPr>
        <w:pStyle w:val="ListParagraph"/>
        <w:numPr>
          <w:ilvl w:val="0"/>
          <w:numId w:val="20"/>
        </w:numPr>
        <w:rPr>
          <w:rFonts w:cstheme="minorHAnsi"/>
        </w:rPr>
      </w:pPr>
      <w:r w:rsidRPr="00721CFD">
        <w:rPr>
          <w:rFonts w:asciiTheme="minorHAnsi" w:eastAsiaTheme="minorHAnsi" w:hAnsiTheme="minorHAnsi" w:cstheme="minorHAnsi"/>
        </w:rPr>
        <w:t>Emergency awards made to students in FY2</w:t>
      </w:r>
      <w:r w:rsidR="009176D6" w:rsidRPr="00721CFD">
        <w:rPr>
          <w:rFonts w:asciiTheme="minorHAnsi" w:eastAsiaTheme="minorHAnsi" w:hAnsiTheme="minorHAnsi" w:cstheme="minorHAnsi"/>
        </w:rPr>
        <w:t>2</w:t>
      </w:r>
      <w:r w:rsidRPr="00721CFD">
        <w:rPr>
          <w:rFonts w:asciiTheme="minorHAnsi" w:eastAsiaTheme="minorHAnsi" w:hAnsiTheme="minorHAnsi" w:cstheme="minorHAnsi"/>
        </w:rPr>
        <w:t xml:space="preserve"> - $</w:t>
      </w:r>
      <w:r w:rsidR="009176D6" w:rsidRPr="00721CFD">
        <w:rPr>
          <w:rFonts w:asciiTheme="minorHAnsi" w:eastAsiaTheme="minorHAnsi" w:hAnsiTheme="minorHAnsi" w:cstheme="minorHAnsi"/>
        </w:rPr>
        <w:t>2</w:t>
      </w:r>
      <w:r w:rsidR="00B15041">
        <w:rPr>
          <w:rFonts w:asciiTheme="minorHAnsi" w:eastAsiaTheme="minorHAnsi" w:hAnsiTheme="minorHAnsi" w:cstheme="minorHAnsi"/>
        </w:rPr>
        <w:t>8</w:t>
      </w:r>
      <w:r w:rsidRPr="00721CFD">
        <w:rPr>
          <w:rFonts w:asciiTheme="minorHAnsi" w:eastAsiaTheme="minorHAnsi" w:hAnsiTheme="minorHAnsi" w:cstheme="minorHAnsi"/>
        </w:rPr>
        <w:t xml:space="preserve"> million</w:t>
      </w:r>
    </w:p>
    <w:p w14:paraId="646DE813" w14:textId="6C934844" w:rsidR="00987D33" w:rsidRPr="00721CFD" w:rsidRDefault="00987D33" w:rsidP="00721CFD">
      <w:pPr>
        <w:pStyle w:val="ListParagraph"/>
        <w:numPr>
          <w:ilvl w:val="0"/>
          <w:numId w:val="19"/>
        </w:numPr>
        <w:rPr>
          <w:rFonts w:cstheme="minorHAnsi"/>
        </w:rPr>
      </w:pPr>
      <w:r w:rsidRPr="00721CFD">
        <w:rPr>
          <w:rFonts w:asciiTheme="minorHAnsi" w:eastAsiaTheme="minorHAnsi" w:hAnsiTheme="minorHAnsi" w:cstheme="minorHAnsi"/>
        </w:rPr>
        <w:t xml:space="preserve">Recovery of lost </w:t>
      </w:r>
      <w:r w:rsidR="00892F07">
        <w:rPr>
          <w:rFonts w:asciiTheme="minorHAnsi" w:eastAsiaTheme="minorHAnsi" w:hAnsiTheme="minorHAnsi" w:cstheme="minorHAnsi"/>
        </w:rPr>
        <w:t xml:space="preserve">FY21 and </w:t>
      </w:r>
      <w:r w:rsidR="006A2C84" w:rsidRPr="00721CFD">
        <w:rPr>
          <w:rFonts w:asciiTheme="minorHAnsi" w:eastAsiaTheme="minorHAnsi" w:hAnsiTheme="minorHAnsi" w:cstheme="minorHAnsi"/>
        </w:rPr>
        <w:t xml:space="preserve">FY22 </w:t>
      </w:r>
      <w:r w:rsidRPr="00721CFD">
        <w:rPr>
          <w:rFonts w:asciiTheme="minorHAnsi" w:eastAsiaTheme="minorHAnsi" w:hAnsiTheme="minorHAnsi" w:cstheme="minorHAnsi"/>
        </w:rPr>
        <w:t>revenues - $</w:t>
      </w:r>
      <w:r w:rsidR="00616EC6" w:rsidRPr="00721CFD">
        <w:rPr>
          <w:rFonts w:asciiTheme="minorHAnsi" w:eastAsiaTheme="minorHAnsi" w:hAnsiTheme="minorHAnsi" w:cstheme="minorHAnsi"/>
        </w:rPr>
        <w:t>2</w:t>
      </w:r>
      <w:r w:rsidR="00616EC6">
        <w:rPr>
          <w:rFonts w:asciiTheme="minorHAnsi" w:eastAsiaTheme="minorHAnsi" w:hAnsiTheme="minorHAnsi" w:cstheme="minorHAnsi"/>
        </w:rPr>
        <w:t>2</w:t>
      </w:r>
      <w:r w:rsidR="00616EC6" w:rsidRPr="00721CFD">
        <w:rPr>
          <w:rFonts w:asciiTheme="minorHAnsi" w:eastAsiaTheme="minorHAnsi" w:hAnsiTheme="minorHAnsi" w:cstheme="minorHAnsi"/>
        </w:rPr>
        <w:t xml:space="preserve"> </w:t>
      </w:r>
      <w:r w:rsidRPr="00721CFD">
        <w:rPr>
          <w:rFonts w:asciiTheme="minorHAnsi" w:eastAsiaTheme="minorHAnsi" w:hAnsiTheme="minorHAnsi" w:cstheme="minorHAnsi"/>
        </w:rPr>
        <w:t>million</w:t>
      </w:r>
    </w:p>
    <w:p w14:paraId="676CFF4F" w14:textId="3322DF71" w:rsidR="00987D33" w:rsidRPr="006A2C84" w:rsidRDefault="00987D33" w:rsidP="00721CFD">
      <w:pPr>
        <w:pStyle w:val="ListParagraph"/>
        <w:numPr>
          <w:ilvl w:val="0"/>
          <w:numId w:val="19"/>
        </w:numPr>
        <w:rPr>
          <w:rFonts w:cstheme="minorHAnsi"/>
        </w:rPr>
      </w:pPr>
      <w:r w:rsidRPr="00721CFD">
        <w:rPr>
          <w:rFonts w:asciiTheme="minorHAnsi" w:eastAsiaTheme="minorHAnsi" w:hAnsiTheme="minorHAnsi" w:cstheme="minorHAnsi"/>
        </w:rPr>
        <w:t>Other pandemic related costs - $</w:t>
      </w:r>
      <w:r w:rsidR="00B15041">
        <w:rPr>
          <w:rFonts w:asciiTheme="minorHAnsi" w:eastAsiaTheme="minorHAnsi" w:hAnsiTheme="minorHAnsi" w:cstheme="minorHAnsi"/>
        </w:rPr>
        <w:t>5</w:t>
      </w:r>
      <w:r w:rsidRPr="00721CFD">
        <w:rPr>
          <w:rFonts w:asciiTheme="minorHAnsi" w:eastAsiaTheme="minorHAnsi" w:hAnsiTheme="minorHAnsi" w:cstheme="minorHAnsi"/>
        </w:rPr>
        <w:t xml:space="preserve"> million</w:t>
      </w:r>
    </w:p>
    <w:p w14:paraId="5B8B74CE" w14:textId="77777777" w:rsidR="00987D33" w:rsidRPr="00661599" w:rsidRDefault="00987D33" w:rsidP="00987D33">
      <w:pPr>
        <w:rPr>
          <w:rFonts w:cstheme="minorHAnsi"/>
          <w:sz w:val="24"/>
          <w:szCs w:val="24"/>
        </w:rPr>
      </w:pPr>
    </w:p>
    <w:p w14:paraId="34197527" w14:textId="7A6FA0C1" w:rsidR="00A17DB4" w:rsidRPr="00790AF8" w:rsidRDefault="00A17DB4" w:rsidP="00A17DB4">
      <w:pPr>
        <w:spacing w:after="120"/>
        <w:rPr>
          <w:rFonts w:cstheme="minorHAnsi"/>
          <w:sz w:val="24"/>
          <w:szCs w:val="24"/>
        </w:rPr>
      </w:pPr>
      <w:r w:rsidRPr="00790AF8">
        <w:rPr>
          <w:rFonts w:cstheme="minorHAnsi"/>
          <w:sz w:val="24"/>
          <w:szCs w:val="24"/>
        </w:rPr>
        <w:t xml:space="preserve">FY21 federal coronavirus relief funding revenue </w:t>
      </w:r>
      <w:r>
        <w:rPr>
          <w:rFonts w:cstheme="minorHAnsi"/>
          <w:sz w:val="24"/>
          <w:szCs w:val="24"/>
        </w:rPr>
        <w:t>totals</w:t>
      </w:r>
      <w:r w:rsidRPr="00790AF8">
        <w:rPr>
          <w:rFonts w:cstheme="minorHAnsi"/>
          <w:sz w:val="24"/>
          <w:szCs w:val="24"/>
        </w:rPr>
        <w:t xml:space="preserve"> $29 million </w:t>
      </w:r>
      <w:r>
        <w:rPr>
          <w:rFonts w:cstheme="minorHAnsi"/>
          <w:sz w:val="24"/>
          <w:szCs w:val="24"/>
        </w:rPr>
        <w:t>and is r</w:t>
      </w:r>
      <w:r w:rsidRPr="00790AF8">
        <w:rPr>
          <w:rFonts w:cstheme="minorHAnsi"/>
          <w:sz w:val="24"/>
          <w:szCs w:val="24"/>
        </w:rPr>
        <w:t>elated to the following costs:</w:t>
      </w:r>
    </w:p>
    <w:p w14:paraId="4FB02F7C" w14:textId="15F6C5DC" w:rsidR="00A17DB4" w:rsidRPr="00661599" w:rsidRDefault="00A17DB4" w:rsidP="00721CFD">
      <w:pPr>
        <w:pStyle w:val="ListParagraph"/>
        <w:numPr>
          <w:ilvl w:val="0"/>
          <w:numId w:val="20"/>
        </w:numPr>
        <w:rPr>
          <w:rFonts w:cstheme="minorHAnsi"/>
        </w:rPr>
      </w:pPr>
      <w:r w:rsidRPr="00661599">
        <w:rPr>
          <w:rFonts w:asciiTheme="minorHAnsi" w:eastAsiaTheme="minorHAnsi" w:hAnsiTheme="minorHAnsi" w:cstheme="minorHAnsi"/>
        </w:rPr>
        <w:t>Emergency awards made to students in FY21 - $9 million</w:t>
      </w:r>
    </w:p>
    <w:p w14:paraId="351A8B7A" w14:textId="5F9416CD" w:rsidR="00A17DB4" w:rsidRPr="00661599" w:rsidRDefault="00A17DB4" w:rsidP="00721CFD">
      <w:pPr>
        <w:pStyle w:val="ListParagraph"/>
        <w:numPr>
          <w:ilvl w:val="0"/>
          <w:numId w:val="19"/>
        </w:numPr>
        <w:rPr>
          <w:rFonts w:cstheme="minorHAnsi"/>
        </w:rPr>
      </w:pPr>
      <w:r w:rsidRPr="00661599">
        <w:rPr>
          <w:rFonts w:asciiTheme="minorHAnsi" w:eastAsiaTheme="minorHAnsi" w:hAnsiTheme="minorHAnsi" w:cstheme="minorHAnsi"/>
        </w:rPr>
        <w:t>Reimbursement of FY20 room and board refunds - $</w:t>
      </w:r>
      <w:r w:rsidR="00902FE7">
        <w:rPr>
          <w:rFonts w:asciiTheme="minorHAnsi" w:eastAsiaTheme="minorHAnsi" w:hAnsiTheme="minorHAnsi" w:cstheme="minorHAnsi"/>
        </w:rPr>
        <w:t>5</w:t>
      </w:r>
      <w:r w:rsidR="00902FE7" w:rsidRPr="00661599">
        <w:rPr>
          <w:rFonts w:asciiTheme="minorHAnsi" w:eastAsiaTheme="minorHAnsi" w:hAnsiTheme="minorHAnsi" w:cstheme="minorHAnsi"/>
        </w:rPr>
        <w:t xml:space="preserve"> </w:t>
      </w:r>
      <w:r w:rsidRPr="00661599">
        <w:rPr>
          <w:rFonts w:asciiTheme="minorHAnsi" w:eastAsiaTheme="minorHAnsi" w:hAnsiTheme="minorHAnsi" w:cstheme="minorHAnsi"/>
        </w:rPr>
        <w:t>million</w:t>
      </w:r>
    </w:p>
    <w:p w14:paraId="5665A295" w14:textId="096C2CFD" w:rsidR="00A17DB4" w:rsidRPr="00661599" w:rsidRDefault="00A17DB4" w:rsidP="00721CFD">
      <w:pPr>
        <w:pStyle w:val="ListParagraph"/>
        <w:numPr>
          <w:ilvl w:val="0"/>
          <w:numId w:val="19"/>
        </w:numPr>
        <w:rPr>
          <w:rFonts w:cstheme="minorHAnsi"/>
        </w:rPr>
      </w:pPr>
      <w:r w:rsidRPr="00661599">
        <w:rPr>
          <w:rFonts w:asciiTheme="minorHAnsi" w:eastAsiaTheme="minorHAnsi" w:hAnsiTheme="minorHAnsi" w:cstheme="minorHAnsi"/>
        </w:rPr>
        <w:t>Recovery of lost FY21 lost revenues - $1</w:t>
      </w:r>
      <w:r w:rsidR="00B15041">
        <w:rPr>
          <w:rFonts w:asciiTheme="minorHAnsi" w:eastAsiaTheme="minorHAnsi" w:hAnsiTheme="minorHAnsi" w:cstheme="minorHAnsi"/>
        </w:rPr>
        <w:t>4</w:t>
      </w:r>
      <w:r w:rsidRPr="00661599">
        <w:rPr>
          <w:rFonts w:asciiTheme="minorHAnsi" w:eastAsiaTheme="minorHAnsi" w:hAnsiTheme="minorHAnsi" w:cstheme="minorHAnsi"/>
        </w:rPr>
        <w:t xml:space="preserve"> million</w:t>
      </w:r>
    </w:p>
    <w:p w14:paraId="141B111D" w14:textId="3FBA00E8" w:rsidR="00A17DB4" w:rsidRPr="00661599" w:rsidRDefault="00A17DB4" w:rsidP="00721CFD">
      <w:pPr>
        <w:pStyle w:val="ListParagraph"/>
        <w:numPr>
          <w:ilvl w:val="0"/>
          <w:numId w:val="19"/>
        </w:numPr>
        <w:rPr>
          <w:rFonts w:cstheme="minorHAnsi"/>
        </w:rPr>
      </w:pPr>
      <w:r w:rsidRPr="00661599">
        <w:rPr>
          <w:rFonts w:asciiTheme="minorHAnsi" w:eastAsiaTheme="minorHAnsi" w:hAnsiTheme="minorHAnsi" w:cstheme="minorHAnsi"/>
        </w:rPr>
        <w:t>Other pandemic related costs - $1 million</w:t>
      </w:r>
    </w:p>
    <w:p w14:paraId="51D9AE39" w14:textId="77777777" w:rsidR="00987D33" w:rsidRPr="000544FC" w:rsidRDefault="00987D33" w:rsidP="00987D33">
      <w:pPr>
        <w:spacing w:before="120" w:after="120"/>
        <w:rPr>
          <w:rFonts w:eastAsia="Times New Roman" w:cstheme="minorHAnsi"/>
          <w:b/>
          <w:i/>
          <w:sz w:val="24"/>
        </w:rPr>
      </w:pPr>
      <w:r w:rsidRPr="00661599">
        <w:rPr>
          <w:rFonts w:eastAsia="Times New Roman" w:cstheme="minorHAnsi"/>
          <w:b/>
          <w:i/>
          <w:sz w:val="24"/>
        </w:rPr>
        <w:t>State Funding</w:t>
      </w:r>
    </w:p>
    <w:p w14:paraId="26FD954E" w14:textId="3D9834E1" w:rsidR="00987D33" w:rsidRPr="0055135D" w:rsidRDefault="00987D33" w:rsidP="00987D33">
      <w:pPr>
        <w:spacing w:after="120"/>
        <w:rPr>
          <w:rFonts w:cstheme="minorHAnsi"/>
          <w:sz w:val="24"/>
          <w:szCs w:val="24"/>
        </w:rPr>
      </w:pPr>
      <w:r w:rsidRPr="00661599">
        <w:rPr>
          <w:rFonts w:eastAsia="Times New Roman" w:cstheme="minorHAnsi"/>
          <w:sz w:val="24"/>
        </w:rPr>
        <w:t xml:space="preserve">During </w:t>
      </w:r>
      <w:r w:rsidR="00BC09F3" w:rsidRPr="00661599">
        <w:rPr>
          <w:rFonts w:eastAsia="Times New Roman" w:cstheme="minorHAnsi"/>
          <w:sz w:val="24"/>
        </w:rPr>
        <w:t>FY2</w:t>
      </w:r>
      <w:r w:rsidR="007906AF">
        <w:rPr>
          <w:rFonts w:eastAsia="Times New Roman" w:cstheme="minorHAnsi"/>
          <w:sz w:val="24"/>
        </w:rPr>
        <w:t>1</w:t>
      </w:r>
      <w:r w:rsidR="00892F07">
        <w:rPr>
          <w:rFonts w:eastAsia="Times New Roman" w:cstheme="minorHAnsi"/>
          <w:sz w:val="24"/>
        </w:rPr>
        <w:t xml:space="preserve"> and FY22</w:t>
      </w:r>
      <w:r w:rsidRPr="00661599">
        <w:rPr>
          <w:rFonts w:eastAsia="Times New Roman" w:cstheme="minorHAnsi"/>
          <w:sz w:val="24"/>
        </w:rPr>
        <w:t>, the</w:t>
      </w:r>
      <w:r w:rsidRPr="0055135D">
        <w:rPr>
          <w:rFonts w:cstheme="minorHAnsi"/>
          <w:sz w:val="24"/>
          <w:szCs w:val="24"/>
        </w:rPr>
        <w:t xml:space="preserve"> </w:t>
      </w:r>
      <w:r w:rsidR="00892F07">
        <w:rPr>
          <w:rFonts w:cstheme="minorHAnsi"/>
          <w:sz w:val="24"/>
          <w:szCs w:val="24"/>
        </w:rPr>
        <w:t>State of Maine</w:t>
      </w:r>
      <w:r w:rsidRPr="0055135D">
        <w:rPr>
          <w:rFonts w:cstheme="minorHAnsi"/>
          <w:sz w:val="24"/>
          <w:szCs w:val="24"/>
        </w:rPr>
        <w:t xml:space="preserve"> awarded </w:t>
      </w:r>
      <w:r w:rsidR="00892F07">
        <w:rPr>
          <w:rFonts w:cstheme="minorHAnsi"/>
          <w:sz w:val="24"/>
          <w:szCs w:val="24"/>
        </w:rPr>
        <w:t xml:space="preserve">the System a total of </w:t>
      </w:r>
      <w:r w:rsidRPr="0055135D">
        <w:rPr>
          <w:rFonts w:cstheme="minorHAnsi"/>
          <w:sz w:val="24"/>
          <w:szCs w:val="24"/>
        </w:rPr>
        <w:t>$</w:t>
      </w:r>
      <w:r w:rsidR="00902FE7" w:rsidRPr="00721CFD">
        <w:rPr>
          <w:rFonts w:cstheme="minorHAnsi"/>
          <w:sz w:val="24"/>
          <w:szCs w:val="24"/>
        </w:rPr>
        <w:t>1</w:t>
      </w:r>
      <w:r w:rsidR="00902FE7">
        <w:rPr>
          <w:rFonts w:cstheme="minorHAnsi"/>
          <w:sz w:val="24"/>
          <w:szCs w:val="24"/>
        </w:rPr>
        <w:t>5</w:t>
      </w:r>
      <w:r w:rsidR="00902FE7" w:rsidRPr="007906AF">
        <w:rPr>
          <w:rFonts w:cstheme="minorHAnsi"/>
          <w:sz w:val="24"/>
          <w:szCs w:val="24"/>
        </w:rPr>
        <w:t xml:space="preserve"> </w:t>
      </w:r>
      <w:r w:rsidRPr="007906AF">
        <w:rPr>
          <w:rFonts w:cstheme="minorHAnsi"/>
          <w:sz w:val="24"/>
          <w:szCs w:val="24"/>
        </w:rPr>
        <w:t xml:space="preserve">million to be used for </w:t>
      </w:r>
      <w:r w:rsidRPr="00721CFD">
        <w:rPr>
          <w:rFonts w:cstheme="minorHAnsi"/>
          <w:sz w:val="24"/>
          <w:szCs w:val="24"/>
        </w:rPr>
        <w:t>COVID-19 testing costs, personal protective equipment, and quarantine related costs</w:t>
      </w:r>
      <w:r w:rsidRPr="007906AF">
        <w:rPr>
          <w:rFonts w:cstheme="minorHAnsi"/>
          <w:sz w:val="24"/>
          <w:szCs w:val="24"/>
        </w:rPr>
        <w:t xml:space="preserve">. The System has recognized coronavirus relief funding revenue from this award in the amount of </w:t>
      </w:r>
      <w:r w:rsidR="007906AF" w:rsidRPr="007906AF">
        <w:rPr>
          <w:rFonts w:cstheme="minorHAnsi"/>
          <w:sz w:val="24"/>
          <w:szCs w:val="24"/>
        </w:rPr>
        <w:t>$</w:t>
      </w:r>
      <w:r w:rsidR="00892F07">
        <w:rPr>
          <w:rFonts w:cstheme="minorHAnsi"/>
          <w:sz w:val="24"/>
          <w:szCs w:val="24"/>
        </w:rPr>
        <w:t>8</w:t>
      </w:r>
      <w:r w:rsidR="007906AF" w:rsidRPr="007906AF">
        <w:rPr>
          <w:rFonts w:cstheme="minorHAnsi"/>
          <w:sz w:val="24"/>
          <w:szCs w:val="24"/>
        </w:rPr>
        <w:t xml:space="preserve"> million for FY22 </w:t>
      </w:r>
      <w:r w:rsidR="00892F07">
        <w:rPr>
          <w:rFonts w:cstheme="minorHAnsi"/>
          <w:sz w:val="24"/>
          <w:szCs w:val="24"/>
        </w:rPr>
        <w:t>and</w:t>
      </w:r>
      <w:r w:rsidR="007906AF" w:rsidRPr="007906AF">
        <w:rPr>
          <w:rFonts w:cstheme="minorHAnsi"/>
          <w:sz w:val="24"/>
          <w:szCs w:val="24"/>
        </w:rPr>
        <w:t xml:space="preserve"> </w:t>
      </w:r>
      <w:r w:rsidRPr="007906AF">
        <w:rPr>
          <w:rFonts w:cstheme="minorHAnsi"/>
          <w:sz w:val="24"/>
          <w:szCs w:val="24"/>
        </w:rPr>
        <w:t>$</w:t>
      </w:r>
      <w:r w:rsidRPr="00721CFD">
        <w:rPr>
          <w:rFonts w:cstheme="minorHAnsi"/>
          <w:sz w:val="24"/>
          <w:szCs w:val="24"/>
        </w:rPr>
        <w:t>7</w:t>
      </w:r>
      <w:r w:rsidRPr="007906AF">
        <w:rPr>
          <w:rFonts w:cstheme="minorHAnsi"/>
          <w:sz w:val="24"/>
          <w:szCs w:val="24"/>
        </w:rPr>
        <w:t xml:space="preserve"> million for </w:t>
      </w:r>
      <w:r w:rsidR="00BC09F3" w:rsidRPr="007906AF">
        <w:rPr>
          <w:rFonts w:cstheme="minorHAnsi"/>
          <w:sz w:val="24"/>
          <w:szCs w:val="24"/>
        </w:rPr>
        <w:t>FY2</w:t>
      </w:r>
      <w:r w:rsidR="007906AF" w:rsidRPr="007906AF">
        <w:rPr>
          <w:rFonts w:cstheme="minorHAnsi"/>
          <w:sz w:val="24"/>
          <w:szCs w:val="24"/>
        </w:rPr>
        <w:t>1</w:t>
      </w:r>
      <w:r w:rsidRPr="007906AF">
        <w:rPr>
          <w:rFonts w:cstheme="minorHAnsi"/>
          <w:sz w:val="24"/>
          <w:szCs w:val="24"/>
        </w:rPr>
        <w:t>.</w:t>
      </w:r>
    </w:p>
    <w:p w14:paraId="5FF7DAD0" w14:textId="77777777" w:rsidR="002F2C2D" w:rsidRDefault="002F2C2D" w:rsidP="00987D33">
      <w:pPr>
        <w:spacing w:before="240" w:after="120"/>
        <w:rPr>
          <w:rFonts w:cstheme="minorHAnsi"/>
          <w:b/>
          <w:i/>
          <w:sz w:val="26"/>
          <w:u w:val="single" w:color="000000" w:themeColor="text1"/>
        </w:rPr>
      </w:pPr>
      <w:r>
        <w:rPr>
          <w:rFonts w:cstheme="minorHAnsi"/>
          <w:b/>
          <w:i/>
          <w:sz w:val="26"/>
          <w:u w:val="single" w:color="000000" w:themeColor="text1"/>
        </w:rPr>
        <w:br w:type="page"/>
      </w:r>
    </w:p>
    <w:p w14:paraId="69558795" w14:textId="069D69FE" w:rsidR="00987D33" w:rsidRPr="00796CA3" w:rsidRDefault="00987D33" w:rsidP="00987D33">
      <w:pPr>
        <w:spacing w:before="240" w:after="120"/>
        <w:rPr>
          <w:rFonts w:cstheme="minorHAnsi"/>
        </w:rPr>
      </w:pPr>
      <w:r w:rsidRPr="00661599">
        <w:rPr>
          <w:rFonts w:cstheme="minorHAnsi"/>
          <w:b/>
          <w:i/>
          <w:sz w:val="26"/>
          <w:u w:val="single" w:color="000000" w:themeColor="text1"/>
        </w:rPr>
        <w:lastRenderedPageBreak/>
        <w:t>Cash Gifts</w:t>
      </w:r>
    </w:p>
    <w:p w14:paraId="113F4C74" w14:textId="55752F32" w:rsidR="00987D33" w:rsidRDefault="00987D33" w:rsidP="00987D33">
      <w:pPr>
        <w:rPr>
          <w:rFonts w:cstheme="minorHAnsi"/>
          <w:sz w:val="24"/>
          <w:szCs w:val="24"/>
        </w:rPr>
      </w:pPr>
      <w:r>
        <w:rPr>
          <w:rFonts w:cstheme="minorHAnsi"/>
          <w:sz w:val="24"/>
          <w:szCs w:val="24"/>
        </w:rPr>
        <w:t xml:space="preserve">As shown in Chart </w:t>
      </w:r>
      <w:r w:rsidR="00E575CF">
        <w:rPr>
          <w:rFonts w:cstheme="minorHAnsi"/>
          <w:sz w:val="24"/>
          <w:szCs w:val="24"/>
        </w:rPr>
        <w:t>11</w:t>
      </w:r>
      <w:r>
        <w:rPr>
          <w:rFonts w:cstheme="minorHAnsi"/>
          <w:sz w:val="24"/>
          <w:szCs w:val="24"/>
        </w:rPr>
        <w:t xml:space="preserve">, total cash gifts of </w:t>
      </w:r>
      <w:r w:rsidRPr="00765520">
        <w:rPr>
          <w:rFonts w:cstheme="minorHAnsi"/>
          <w:sz w:val="24"/>
          <w:szCs w:val="24"/>
        </w:rPr>
        <w:t>$</w:t>
      </w:r>
      <w:r w:rsidR="006D1928" w:rsidRPr="00721CFD">
        <w:rPr>
          <w:rFonts w:cstheme="minorHAnsi"/>
          <w:sz w:val="24"/>
          <w:szCs w:val="24"/>
        </w:rPr>
        <w:t>4</w:t>
      </w:r>
      <w:r w:rsidR="00D919C5">
        <w:rPr>
          <w:rFonts w:cstheme="minorHAnsi"/>
          <w:sz w:val="24"/>
          <w:szCs w:val="24"/>
        </w:rPr>
        <w:t>7</w:t>
      </w:r>
      <w:r w:rsidR="006D1928" w:rsidRPr="00BC63C4">
        <w:rPr>
          <w:rFonts w:cstheme="minorHAnsi"/>
          <w:sz w:val="24"/>
          <w:szCs w:val="24"/>
        </w:rPr>
        <w:t xml:space="preserve"> </w:t>
      </w:r>
      <w:r w:rsidRPr="00BC63C4">
        <w:rPr>
          <w:rFonts w:cstheme="minorHAnsi"/>
          <w:sz w:val="24"/>
          <w:szCs w:val="24"/>
        </w:rPr>
        <w:t xml:space="preserve">million received in </w:t>
      </w:r>
      <w:r w:rsidR="00326EBA" w:rsidRPr="00BC63C4">
        <w:rPr>
          <w:rFonts w:cstheme="minorHAnsi"/>
          <w:sz w:val="24"/>
          <w:szCs w:val="24"/>
        </w:rPr>
        <w:t xml:space="preserve">FY22 </w:t>
      </w:r>
      <w:r w:rsidRPr="00BC63C4">
        <w:rPr>
          <w:rFonts w:cstheme="minorHAnsi"/>
          <w:sz w:val="24"/>
          <w:szCs w:val="24"/>
        </w:rPr>
        <w:t xml:space="preserve">were </w:t>
      </w:r>
      <w:r w:rsidRPr="00721CFD">
        <w:rPr>
          <w:rFonts w:cstheme="minorHAnsi"/>
          <w:sz w:val="24"/>
          <w:szCs w:val="24"/>
        </w:rPr>
        <w:t>up</w:t>
      </w:r>
      <w:r w:rsidRPr="00BC63C4">
        <w:rPr>
          <w:rFonts w:cstheme="minorHAnsi"/>
          <w:sz w:val="24"/>
          <w:szCs w:val="24"/>
        </w:rPr>
        <w:t xml:space="preserve"> $</w:t>
      </w:r>
      <w:r w:rsidR="00892F07" w:rsidRPr="00BC63C4">
        <w:rPr>
          <w:rFonts w:cstheme="minorHAnsi"/>
          <w:sz w:val="24"/>
          <w:szCs w:val="24"/>
        </w:rPr>
        <w:t>2</w:t>
      </w:r>
      <w:r w:rsidR="00892F07">
        <w:rPr>
          <w:rFonts w:cstheme="minorHAnsi"/>
          <w:sz w:val="24"/>
          <w:szCs w:val="24"/>
        </w:rPr>
        <w:t>1</w:t>
      </w:r>
      <w:r w:rsidR="00892F07" w:rsidRPr="00BC63C4">
        <w:rPr>
          <w:rFonts w:cstheme="minorHAnsi"/>
          <w:sz w:val="24"/>
          <w:szCs w:val="24"/>
        </w:rPr>
        <w:t xml:space="preserve"> </w:t>
      </w:r>
      <w:r w:rsidRPr="00BC63C4">
        <w:rPr>
          <w:rFonts w:cstheme="minorHAnsi"/>
          <w:sz w:val="24"/>
          <w:szCs w:val="24"/>
        </w:rPr>
        <w:t>million from the prior year</w:t>
      </w:r>
      <w:r w:rsidR="00892F07">
        <w:rPr>
          <w:rFonts w:cstheme="minorHAnsi"/>
          <w:sz w:val="24"/>
          <w:szCs w:val="24"/>
        </w:rPr>
        <w:t xml:space="preserve"> mainly as a result of fundraising for engineering capital projects</w:t>
      </w:r>
      <w:r w:rsidRPr="00BC63C4">
        <w:rPr>
          <w:rFonts w:cstheme="minorHAnsi"/>
          <w:sz w:val="24"/>
          <w:szCs w:val="24"/>
        </w:rPr>
        <w:t xml:space="preserve">. </w:t>
      </w:r>
      <w:r w:rsidR="00326EBA" w:rsidRPr="00BC63C4">
        <w:rPr>
          <w:rFonts w:cstheme="minorHAnsi"/>
          <w:sz w:val="24"/>
          <w:szCs w:val="24"/>
        </w:rPr>
        <w:t xml:space="preserve">FY22 </w:t>
      </w:r>
      <w:r w:rsidRPr="00BC63C4">
        <w:rPr>
          <w:rFonts w:cstheme="minorHAnsi"/>
          <w:sz w:val="24"/>
          <w:szCs w:val="24"/>
        </w:rPr>
        <w:t xml:space="preserve">gifts from </w:t>
      </w:r>
      <w:r w:rsidRPr="00721CFD">
        <w:rPr>
          <w:rFonts w:cstheme="minorHAnsi"/>
          <w:color w:val="0D0D0D" w:themeColor="text1" w:themeTint="F2"/>
          <w:sz w:val="24"/>
          <w:szCs w:val="24"/>
        </w:rPr>
        <w:t>university foundations</w:t>
      </w:r>
      <w:r w:rsidR="006D1928" w:rsidRPr="00721CFD">
        <w:rPr>
          <w:rFonts w:cstheme="minorHAnsi"/>
          <w:color w:val="0D0D0D" w:themeColor="text1" w:themeTint="F2"/>
          <w:sz w:val="24"/>
          <w:szCs w:val="24"/>
        </w:rPr>
        <w:t xml:space="preserve"> increased $2</w:t>
      </w:r>
      <w:r w:rsidR="00D919C5">
        <w:rPr>
          <w:rFonts w:cstheme="minorHAnsi"/>
          <w:color w:val="0D0D0D" w:themeColor="text1" w:themeTint="F2"/>
          <w:sz w:val="24"/>
          <w:szCs w:val="24"/>
        </w:rPr>
        <w:t>3</w:t>
      </w:r>
      <w:r w:rsidR="006D1928" w:rsidRPr="00721CFD">
        <w:rPr>
          <w:rFonts w:cstheme="minorHAnsi"/>
          <w:color w:val="0D0D0D" w:themeColor="text1" w:themeTint="F2"/>
          <w:sz w:val="24"/>
          <w:szCs w:val="24"/>
        </w:rPr>
        <w:t xml:space="preserve"> million</w:t>
      </w:r>
      <w:r w:rsidRPr="00721CFD">
        <w:rPr>
          <w:rFonts w:cstheme="minorHAnsi"/>
          <w:color w:val="0D0D0D" w:themeColor="text1" w:themeTint="F2"/>
          <w:sz w:val="24"/>
          <w:szCs w:val="24"/>
        </w:rPr>
        <w:t>,</w:t>
      </w:r>
      <w:r w:rsidR="006D1928" w:rsidRPr="00721CFD">
        <w:rPr>
          <w:rFonts w:cstheme="minorHAnsi"/>
          <w:color w:val="0D0D0D" w:themeColor="text1" w:themeTint="F2"/>
          <w:sz w:val="24"/>
          <w:szCs w:val="24"/>
        </w:rPr>
        <w:t xml:space="preserve"> while</w:t>
      </w:r>
      <w:r w:rsidRPr="00721CFD">
        <w:rPr>
          <w:rFonts w:cstheme="minorHAnsi"/>
          <w:color w:val="0D0D0D" w:themeColor="text1" w:themeTint="F2"/>
          <w:sz w:val="24"/>
          <w:szCs w:val="24"/>
        </w:rPr>
        <w:t xml:space="preserve"> corporations</w:t>
      </w:r>
      <w:r w:rsidR="006D1928" w:rsidRPr="00721CFD">
        <w:rPr>
          <w:rFonts w:cstheme="minorHAnsi"/>
          <w:color w:val="0D0D0D" w:themeColor="text1" w:themeTint="F2"/>
          <w:sz w:val="24"/>
          <w:szCs w:val="24"/>
        </w:rPr>
        <w:t xml:space="preserve"> and alumni gifts remained flat. </w:t>
      </w:r>
      <w:r w:rsidRPr="00721CFD">
        <w:rPr>
          <w:rFonts w:cstheme="minorHAnsi"/>
          <w:color w:val="0D0D0D" w:themeColor="text1" w:themeTint="F2"/>
          <w:sz w:val="24"/>
          <w:szCs w:val="24"/>
        </w:rPr>
        <w:t xml:space="preserve"> </w:t>
      </w:r>
      <w:r w:rsidR="006D1928" w:rsidRPr="00721CFD">
        <w:rPr>
          <w:rFonts w:cstheme="minorHAnsi"/>
          <w:color w:val="0D0D0D" w:themeColor="text1" w:themeTint="F2"/>
          <w:sz w:val="24"/>
          <w:szCs w:val="24"/>
        </w:rPr>
        <w:t xml:space="preserve">Gifts from </w:t>
      </w:r>
      <w:r w:rsidRPr="00721CFD">
        <w:rPr>
          <w:rFonts w:cstheme="minorHAnsi"/>
          <w:color w:val="0D0D0D" w:themeColor="text1" w:themeTint="F2"/>
          <w:sz w:val="24"/>
          <w:szCs w:val="24"/>
        </w:rPr>
        <w:t>non-profits and other</w:t>
      </w:r>
      <w:r w:rsidRPr="00BC63C4">
        <w:rPr>
          <w:rFonts w:cstheme="minorHAnsi"/>
          <w:color w:val="0D0D0D" w:themeColor="text1" w:themeTint="F2"/>
          <w:sz w:val="24"/>
          <w:szCs w:val="24"/>
        </w:rPr>
        <w:t xml:space="preserve"> donor types each </w:t>
      </w:r>
      <w:r w:rsidR="006D1928" w:rsidRPr="00BC63C4">
        <w:rPr>
          <w:rFonts w:cstheme="minorHAnsi"/>
          <w:color w:val="0D0D0D" w:themeColor="text1" w:themeTint="F2"/>
          <w:sz w:val="24"/>
          <w:szCs w:val="24"/>
        </w:rPr>
        <w:t xml:space="preserve">decreased </w:t>
      </w:r>
      <w:r w:rsidRPr="00BC63C4">
        <w:rPr>
          <w:rFonts w:cstheme="minorHAnsi"/>
          <w:color w:val="0D0D0D" w:themeColor="text1" w:themeTint="F2"/>
          <w:sz w:val="24"/>
          <w:szCs w:val="24"/>
        </w:rPr>
        <w:t>$</w:t>
      </w:r>
      <w:r w:rsidRPr="00721CFD">
        <w:rPr>
          <w:rFonts w:cstheme="minorHAnsi"/>
          <w:color w:val="0D0D0D" w:themeColor="text1" w:themeTint="F2"/>
          <w:sz w:val="24"/>
          <w:szCs w:val="24"/>
        </w:rPr>
        <w:t>1</w:t>
      </w:r>
      <w:r w:rsidRPr="00BC63C4">
        <w:rPr>
          <w:rFonts w:cstheme="minorHAnsi"/>
          <w:color w:val="0D0D0D" w:themeColor="text1" w:themeTint="F2"/>
          <w:sz w:val="24"/>
          <w:szCs w:val="24"/>
        </w:rPr>
        <w:t xml:space="preserve"> million</w:t>
      </w:r>
      <w:r w:rsidRPr="00BC63C4">
        <w:rPr>
          <w:rFonts w:cstheme="minorHAnsi"/>
          <w:sz w:val="24"/>
          <w:szCs w:val="24"/>
        </w:rPr>
        <w:t xml:space="preserve">. </w:t>
      </w:r>
      <w:r w:rsidR="00326EBA" w:rsidRPr="00BC63C4">
        <w:rPr>
          <w:rFonts w:cstheme="minorHAnsi"/>
          <w:sz w:val="24"/>
          <w:szCs w:val="24"/>
        </w:rPr>
        <w:t xml:space="preserve">FY21 </w:t>
      </w:r>
      <w:r w:rsidRPr="00BC63C4">
        <w:rPr>
          <w:rFonts w:cstheme="minorHAnsi"/>
          <w:sz w:val="24"/>
          <w:szCs w:val="24"/>
        </w:rPr>
        <w:t xml:space="preserve">gifts from </w:t>
      </w:r>
      <w:r w:rsidR="006D1928" w:rsidRPr="00BC63C4">
        <w:rPr>
          <w:rFonts w:cstheme="minorHAnsi"/>
          <w:sz w:val="24"/>
          <w:szCs w:val="24"/>
        </w:rPr>
        <w:t xml:space="preserve">university foundation, corporation, </w:t>
      </w:r>
      <w:r w:rsidRPr="00721CFD">
        <w:rPr>
          <w:rFonts w:cstheme="minorHAnsi"/>
          <w:sz w:val="24"/>
          <w:szCs w:val="24"/>
        </w:rPr>
        <w:t>non-profits</w:t>
      </w:r>
      <w:r w:rsidR="006D1928" w:rsidRPr="00721CFD">
        <w:rPr>
          <w:rFonts w:cstheme="minorHAnsi"/>
          <w:sz w:val="24"/>
          <w:szCs w:val="24"/>
        </w:rPr>
        <w:t>, and other donor types each increased $1 million.</w:t>
      </w:r>
      <w:r w:rsidRPr="00721CFD">
        <w:rPr>
          <w:rFonts w:cstheme="minorHAnsi"/>
          <w:sz w:val="24"/>
          <w:szCs w:val="24"/>
        </w:rPr>
        <w:t xml:space="preserve"> </w:t>
      </w:r>
      <w:r w:rsidR="006D1928" w:rsidRPr="00BC63C4">
        <w:rPr>
          <w:rFonts w:cstheme="minorHAnsi"/>
          <w:sz w:val="24"/>
          <w:szCs w:val="24"/>
        </w:rPr>
        <w:t>Gifts from alumni increased $2 million</w:t>
      </w:r>
      <w:r w:rsidRPr="00BC63C4">
        <w:rPr>
          <w:rFonts w:cstheme="minorHAnsi"/>
          <w:sz w:val="24"/>
          <w:szCs w:val="24"/>
        </w:rPr>
        <w:t>.</w:t>
      </w:r>
      <w:r>
        <w:rPr>
          <w:rFonts w:cstheme="minorHAnsi"/>
          <w:sz w:val="24"/>
          <w:szCs w:val="24"/>
        </w:rPr>
        <w:t xml:space="preserve"> </w:t>
      </w:r>
    </w:p>
    <w:p w14:paraId="4464B224" w14:textId="77777777" w:rsidR="00987D33" w:rsidRPr="00735A4C" w:rsidRDefault="00987D33" w:rsidP="00987D33">
      <w:pPr>
        <w:rPr>
          <w:rFonts w:cstheme="minorHAnsi"/>
          <w:sz w:val="20"/>
          <w:szCs w:val="24"/>
        </w:rPr>
      </w:pPr>
    </w:p>
    <w:p w14:paraId="6612EB2A" w14:textId="0F3B9257" w:rsidR="00987D33" w:rsidRDefault="00987D33" w:rsidP="00987D33">
      <w:pPr>
        <w:spacing w:after="120"/>
        <w:rPr>
          <w:rFonts w:cstheme="minorHAnsi"/>
          <w:sz w:val="24"/>
          <w:szCs w:val="24"/>
        </w:rPr>
      </w:pPr>
      <w:r>
        <w:rPr>
          <w:rFonts w:cstheme="minorHAnsi"/>
          <w:sz w:val="24"/>
          <w:szCs w:val="24"/>
        </w:rPr>
        <w:t xml:space="preserve">Of the </w:t>
      </w:r>
      <w:r w:rsidRPr="00765520">
        <w:rPr>
          <w:rFonts w:cstheme="minorHAnsi"/>
          <w:sz w:val="24"/>
          <w:szCs w:val="24"/>
        </w:rPr>
        <w:t>$</w:t>
      </w:r>
      <w:r w:rsidR="006D1928">
        <w:rPr>
          <w:rFonts w:cstheme="minorHAnsi"/>
          <w:sz w:val="24"/>
          <w:szCs w:val="24"/>
        </w:rPr>
        <w:t>4</w:t>
      </w:r>
      <w:r w:rsidR="00D919C5">
        <w:rPr>
          <w:rFonts w:cstheme="minorHAnsi"/>
          <w:sz w:val="24"/>
          <w:szCs w:val="24"/>
        </w:rPr>
        <w:t>7</w:t>
      </w:r>
      <w:r w:rsidR="006D1928">
        <w:rPr>
          <w:rFonts w:cstheme="minorHAnsi"/>
          <w:sz w:val="24"/>
          <w:szCs w:val="24"/>
        </w:rPr>
        <w:t xml:space="preserve"> </w:t>
      </w:r>
      <w:r>
        <w:rPr>
          <w:rFonts w:cstheme="minorHAnsi"/>
          <w:sz w:val="24"/>
          <w:szCs w:val="24"/>
        </w:rPr>
        <w:t xml:space="preserve">million in gifts received in </w:t>
      </w:r>
      <w:r w:rsidR="00D919C5">
        <w:rPr>
          <w:rFonts w:cstheme="minorHAnsi"/>
          <w:sz w:val="24"/>
          <w:szCs w:val="24"/>
        </w:rPr>
        <w:t>FY22</w:t>
      </w:r>
      <w:r>
        <w:rPr>
          <w:rFonts w:cstheme="minorHAnsi"/>
          <w:sz w:val="24"/>
          <w:szCs w:val="24"/>
        </w:rPr>
        <w:t xml:space="preserve">, </w:t>
      </w:r>
      <w:r w:rsidR="006D1928">
        <w:rPr>
          <w:rFonts w:cstheme="minorHAnsi"/>
          <w:sz w:val="24"/>
          <w:szCs w:val="24"/>
        </w:rPr>
        <w:t>93</w:t>
      </w:r>
      <w:r w:rsidRPr="00765520">
        <w:rPr>
          <w:rFonts w:cstheme="minorHAnsi"/>
          <w:sz w:val="24"/>
          <w:szCs w:val="24"/>
        </w:rPr>
        <w:t xml:space="preserve">% </w:t>
      </w:r>
      <w:r>
        <w:rPr>
          <w:rFonts w:cstheme="minorHAnsi"/>
          <w:sz w:val="24"/>
          <w:szCs w:val="24"/>
        </w:rPr>
        <w:t xml:space="preserve">were restricted, </w:t>
      </w:r>
      <w:r w:rsidR="00BC63C4">
        <w:rPr>
          <w:rFonts w:cstheme="minorHAnsi"/>
          <w:sz w:val="24"/>
          <w:szCs w:val="24"/>
        </w:rPr>
        <w:t>6</w:t>
      </w:r>
      <w:r w:rsidRPr="00765520">
        <w:rPr>
          <w:rFonts w:cstheme="minorHAnsi"/>
          <w:sz w:val="24"/>
          <w:szCs w:val="24"/>
        </w:rPr>
        <w:t xml:space="preserve">% </w:t>
      </w:r>
      <w:r>
        <w:rPr>
          <w:rFonts w:cstheme="minorHAnsi"/>
          <w:sz w:val="24"/>
          <w:szCs w:val="24"/>
        </w:rPr>
        <w:t xml:space="preserve">were endowed, and </w:t>
      </w:r>
      <w:r w:rsidR="00BC63C4">
        <w:rPr>
          <w:rFonts w:cstheme="minorHAnsi"/>
          <w:sz w:val="24"/>
          <w:szCs w:val="24"/>
        </w:rPr>
        <w:t>1</w:t>
      </w:r>
      <w:r w:rsidRPr="00765520">
        <w:rPr>
          <w:rFonts w:cstheme="minorHAnsi"/>
          <w:sz w:val="24"/>
          <w:szCs w:val="24"/>
        </w:rPr>
        <w:t xml:space="preserve">% </w:t>
      </w:r>
      <w:r>
        <w:rPr>
          <w:rFonts w:cstheme="minorHAnsi"/>
          <w:sz w:val="24"/>
          <w:szCs w:val="24"/>
        </w:rPr>
        <w:t>were unrestricted. Of the $</w:t>
      </w:r>
      <w:r w:rsidR="00326EBA">
        <w:rPr>
          <w:rFonts w:cstheme="minorHAnsi"/>
          <w:sz w:val="24"/>
          <w:szCs w:val="24"/>
        </w:rPr>
        <w:t xml:space="preserve">26 </w:t>
      </w:r>
      <w:r>
        <w:rPr>
          <w:rFonts w:cstheme="minorHAnsi"/>
          <w:sz w:val="24"/>
          <w:szCs w:val="24"/>
        </w:rPr>
        <w:t xml:space="preserve">million in gifts received in </w:t>
      </w:r>
      <w:r w:rsidR="00326EBA">
        <w:rPr>
          <w:rFonts w:cstheme="minorHAnsi"/>
          <w:sz w:val="24"/>
          <w:szCs w:val="24"/>
        </w:rPr>
        <w:t>FY21</w:t>
      </w:r>
      <w:r>
        <w:rPr>
          <w:rFonts w:cstheme="minorHAnsi"/>
          <w:sz w:val="24"/>
          <w:szCs w:val="24"/>
        </w:rPr>
        <w:t xml:space="preserve">, </w:t>
      </w:r>
      <w:r w:rsidR="00326EBA">
        <w:rPr>
          <w:rFonts w:cstheme="minorHAnsi"/>
          <w:sz w:val="24"/>
          <w:szCs w:val="24"/>
        </w:rPr>
        <w:t>85</w:t>
      </w:r>
      <w:r>
        <w:rPr>
          <w:rFonts w:cstheme="minorHAnsi"/>
          <w:sz w:val="24"/>
          <w:szCs w:val="24"/>
        </w:rPr>
        <w:t xml:space="preserve">% were restricted, </w:t>
      </w:r>
      <w:r w:rsidR="00326EBA">
        <w:rPr>
          <w:rFonts w:cstheme="minorHAnsi"/>
          <w:sz w:val="24"/>
          <w:szCs w:val="24"/>
        </w:rPr>
        <w:t>10</w:t>
      </w:r>
      <w:r>
        <w:rPr>
          <w:rFonts w:cstheme="minorHAnsi"/>
          <w:sz w:val="24"/>
          <w:szCs w:val="24"/>
        </w:rPr>
        <w:t xml:space="preserve">% were endowed, and </w:t>
      </w:r>
      <w:r w:rsidR="00326EBA">
        <w:rPr>
          <w:rFonts w:cstheme="minorHAnsi"/>
          <w:sz w:val="24"/>
          <w:szCs w:val="24"/>
        </w:rPr>
        <w:t>5</w:t>
      </w:r>
      <w:r>
        <w:rPr>
          <w:rFonts w:cstheme="minorHAnsi"/>
          <w:sz w:val="24"/>
          <w:szCs w:val="24"/>
        </w:rPr>
        <w:t>% were unrestricted.</w:t>
      </w:r>
    </w:p>
    <w:p w14:paraId="7ED48D29" w14:textId="7B69DADC" w:rsidR="00987D33" w:rsidRDefault="00D919C5" w:rsidP="00987D33">
      <w:pPr>
        <w:spacing w:before="160" w:after="160" w:line="256" w:lineRule="auto"/>
        <w:jc w:val="center"/>
        <w:rPr>
          <w:rFonts w:cstheme="minorHAnsi"/>
        </w:rPr>
      </w:pPr>
      <w:r>
        <w:rPr>
          <w:noProof/>
        </w:rPr>
        <w:drawing>
          <wp:inline distT="0" distB="0" distL="0" distR="0" wp14:anchorId="0EE10A2B" wp14:editId="560B7A95">
            <wp:extent cx="4572000" cy="2743200"/>
            <wp:effectExtent l="0" t="0" r="0" b="0"/>
            <wp:docPr id="17" name="Chart 17">
              <a:extLst xmlns:a="http://schemas.openxmlformats.org/drawingml/2006/main">
                <a:ext uri="{FF2B5EF4-FFF2-40B4-BE49-F238E27FC236}">
                  <a16:creationId xmlns:a16="http://schemas.microsoft.com/office/drawing/2014/main" id="{00000000-0008-0000-0000-00000500000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A881A2" w14:textId="77777777" w:rsidR="002F2C2D" w:rsidRDefault="002F2C2D" w:rsidP="00987D33">
      <w:pPr>
        <w:pStyle w:val="AFR3"/>
        <w:rPr>
          <w:rFonts w:cstheme="minorHAnsi"/>
        </w:rPr>
      </w:pPr>
      <w:r>
        <w:rPr>
          <w:rFonts w:cstheme="minorHAnsi"/>
        </w:rPr>
        <w:br w:type="page"/>
      </w:r>
    </w:p>
    <w:p w14:paraId="3B38551B" w14:textId="7E671BF5" w:rsidR="00987D33" w:rsidRDefault="00987D33" w:rsidP="00987D33">
      <w:pPr>
        <w:pStyle w:val="AFR3"/>
        <w:rPr>
          <w:rFonts w:cstheme="minorHAnsi"/>
        </w:rPr>
      </w:pPr>
      <w:r>
        <w:rPr>
          <w:rFonts w:cstheme="minorHAnsi"/>
        </w:rPr>
        <w:lastRenderedPageBreak/>
        <w:t>Operating Expenses</w:t>
      </w:r>
    </w:p>
    <w:p w14:paraId="7B25C658" w14:textId="4AB79B94" w:rsidR="00987D33" w:rsidRDefault="00987D33" w:rsidP="00987D33">
      <w:pPr>
        <w:spacing w:after="240"/>
        <w:rPr>
          <w:rFonts w:eastAsia="Times New Roman" w:cstheme="minorHAnsi"/>
          <w:sz w:val="24"/>
        </w:rPr>
      </w:pPr>
      <w:r>
        <w:rPr>
          <w:rFonts w:eastAsia="Times New Roman" w:cstheme="minorHAnsi"/>
          <w:sz w:val="24"/>
        </w:rPr>
        <w:t>Table 6 shows expenses on a functional basis while Table 7 shows expenses by natural classification.</w:t>
      </w:r>
    </w:p>
    <w:p w14:paraId="00D8625F" w14:textId="03373E3C" w:rsidR="00900E5F" w:rsidRPr="00721CFD" w:rsidRDefault="00900E5F" w:rsidP="00721CFD">
      <w:pPr>
        <w:jc w:val="center"/>
        <w:rPr>
          <w:rFonts w:eastAsia="Times New Roman" w:cstheme="minorHAnsi"/>
          <w:b/>
          <w:bCs/>
          <w:color w:val="0D0D0D" w:themeColor="text1" w:themeTint="F2"/>
          <w:sz w:val="28"/>
          <w:szCs w:val="24"/>
        </w:rPr>
      </w:pPr>
      <w:r w:rsidRPr="00721CFD">
        <w:rPr>
          <w:rFonts w:eastAsia="Times New Roman" w:cstheme="minorHAnsi"/>
          <w:b/>
          <w:bCs/>
          <w:color w:val="0D0D0D" w:themeColor="text1" w:themeTint="F2"/>
          <w:sz w:val="28"/>
          <w:szCs w:val="24"/>
        </w:rPr>
        <w:t>Table 6: Operating Expenses by Functional Classification</w:t>
      </w:r>
    </w:p>
    <w:p w14:paraId="795B2E0E" w14:textId="40C3DF0E" w:rsidR="00900E5F" w:rsidRPr="00721CFD" w:rsidRDefault="00900E5F" w:rsidP="00721CFD">
      <w:pPr>
        <w:jc w:val="center"/>
        <w:rPr>
          <w:rFonts w:eastAsia="Times New Roman" w:cstheme="minorHAnsi"/>
          <w:b/>
          <w:bCs/>
          <w:color w:val="0D0D0D" w:themeColor="text1" w:themeTint="F2"/>
          <w:sz w:val="28"/>
          <w:szCs w:val="24"/>
        </w:rPr>
      </w:pPr>
      <w:r w:rsidRPr="00721CFD">
        <w:rPr>
          <w:rFonts w:eastAsia="Times New Roman" w:cstheme="minorHAnsi"/>
          <w:b/>
          <w:bCs/>
          <w:color w:val="0D0D0D" w:themeColor="text1" w:themeTint="F2"/>
          <w:sz w:val="28"/>
          <w:szCs w:val="24"/>
        </w:rPr>
        <w:t>For the Years Ended June 30</w:t>
      </w:r>
    </w:p>
    <w:p w14:paraId="2623189F" w14:textId="07C80941" w:rsidR="000D0F12" w:rsidRDefault="00900E5F" w:rsidP="004C662D">
      <w:pPr>
        <w:spacing w:after="240"/>
        <w:jc w:val="center"/>
        <w:rPr>
          <w:rFonts w:eastAsia="Times New Roman" w:cstheme="minorHAnsi"/>
          <w:sz w:val="24"/>
        </w:rPr>
      </w:pPr>
      <w:r w:rsidRPr="00721CFD">
        <w:rPr>
          <w:rFonts w:eastAsia="Times New Roman" w:cstheme="minorHAnsi"/>
          <w:b/>
          <w:bCs/>
          <w:color w:val="0D0D0D" w:themeColor="text1" w:themeTint="F2"/>
        </w:rPr>
        <w:t>(In millions)</w:t>
      </w:r>
    </w:p>
    <w:p w14:paraId="0A8F13C9" w14:textId="5F8218F6" w:rsidR="00622C7D" w:rsidRDefault="002076D4" w:rsidP="00A84C16">
      <w:pPr>
        <w:spacing w:after="480"/>
        <w:rPr>
          <w:rFonts w:eastAsia="Times New Roman" w:cstheme="minorHAnsi"/>
          <w:b/>
          <w:bCs/>
          <w:color w:val="0D0D0D" w:themeColor="text1" w:themeTint="F2"/>
          <w:sz w:val="28"/>
          <w:szCs w:val="24"/>
        </w:rPr>
      </w:pPr>
      <w:r w:rsidRPr="002076D4">
        <w:rPr>
          <w:noProof/>
        </w:rPr>
        <w:drawing>
          <wp:inline distT="0" distB="0" distL="0" distR="0" wp14:anchorId="436C7C04" wp14:editId="47255E7B">
            <wp:extent cx="5943600" cy="2307590"/>
            <wp:effectExtent l="0" t="0" r="0" b="0"/>
            <wp:docPr id="4" name="Picture 4" descr=" 2022  2021  2020  2019  2018 &#10;Instruction   $202  25%  $188  28%  $183  25%  $181  25%  $174  25%&#10;Academic support  81  10%  75  11%  73  10%  73  10%  74  11%&#10;Student services  67  8%  57  8%  62  9%  61  9%  58  8%&#10;Subtotal  350  43%  320  47%  318  44%  315  44%  306  44%&#10;Research  99  12%  86  13%  80  11%  80  11%  76  11%&#10;Public service  65  8%  59  9%  58  8%  59  8%  57  8%&#10;Institutional support  67  8%  12  2%  65  9%  74  10%  64  9%&#10;Operation and maintenance of plant  61  8%  62  9%  50  7%  52  7%  51  8%&#10;Depreciation and amortization  44  5%  44  6%  42  6%  41  6%  40  6%&#10;Student aid  58  7%  40  6%  40  6%  36  5%  34  5%&#10;Auxiliary enterprises  67  8%  57  8%  63  9%  67  9%  64  9%&#10;Total Operating Expenses  $811  99%  $680  100%  $716  100%  $724  100%  $692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2022  2021  2020  2019  2018 &#10;Instruction   $202  25%  $188  28%  $183  25%  $181  25%  $174  25%&#10;Academic support  81  10%  75  11%  73  10%  73  10%  74  11%&#10;Student services  67  8%  57  8%  62  9%  61  9%  58  8%&#10;Subtotal  350  43%  320  47%  318  44%  315  44%  306  44%&#10;Research  99  12%  86  13%  80  11%  80  11%  76  11%&#10;Public service  65  8%  59  9%  58  8%  59  8%  57  8%&#10;Institutional support  67  8%  12  2%  65  9%  74  10%  64  9%&#10;Operation and maintenance of plant  61  8%  62  9%  50  7%  52  7%  51  8%&#10;Depreciation and amortization  44  5%  44  6%  42  6%  41  6%  40  6%&#10;Student aid  58  7%  40  6%  40  6%  36  5%  34  5%&#10;Auxiliary enterprises  67  8%  57  8%  63  9%  67  9%  64  9%&#10;Total Operating Expenses  $811  99%  $680  100%  $716  100%  $724  100%  $692  100%"/>
                    <pic:cNvPicPr>
                      <a:picLocks noChangeAspect="1" noChangeArrowheads="1"/>
                    </pic:cNvPicPr>
                  </pic:nvPicPr>
                  <pic:blipFill rotWithShape="1">
                    <a:blip r:embed="rId37">
                      <a:extLst>
                        <a:ext uri="{28A0092B-C50C-407E-A947-70E740481C1C}">
                          <a14:useLocalDpi xmlns:a14="http://schemas.microsoft.com/office/drawing/2010/main" val="0"/>
                        </a:ext>
                      </a:extLst>
                    </a:blip>
                    <a:srcRect t="10094"/>
                    <a:stretch/>
                  </pic:blipFill>
                  <pic:spPr bwMode="auto">
                    <a:xfrm>
                      <a:off x="0" y="0"/>
                      <a:ext cx="5943600" cy="2307590"/>
                    </a:xfrm>
                    <a:prstGeom prst="rect">
                      <a:avLst/>
                    </a:prstGeom>
                    <a:noFill/>
                    <a:ln>
                      <a:noFill/>
                    </a:ln>
                    <a:extLst>
                      <a:ext uri="{53640926-AAD7-44D8-BBD7-CCE9431645EC}">
                        <a14:shadowObscured xmlns:a14="http://schemas.microsoft.com/office/drawing/2010/main"/>
                      </a:ext>
                    </a:extLst>
                  </pic:spPr>
                </pic:pic>
              </a:graphicData>
            </a:graphic>
          </wp:inline>
        </w:drawing>
      </w:r>
    </w:p>
    <w:p w14:paraId="0AD0E79D" w14:textId="26B861DD" w:rsidR="00DD1720" w:rsidRPr="00721CFD" w:rsidRDefault="00DD1720" w:rsidP="00721CFD">
      <w:pPr>
        <w:jc w:val="center"/>
        <w:rPr>
          <w:rFonts w:eastAsia="Times New Roman" w:cstheme="minorHAnsi"/>
          <w:b/>
          <w:bCs/>
          <w:color w:val="0D0D0D" w:themeColor="text1" w:themeTint="F2"/>
          <w:sz w:val="28"/>
          <w:szCs w:val="24"/>
        </w:rPr>
      </w:pPr>
      <w:r w:rsidRPr="00721CFD">
        <w:rPr>
          <w:rFonts w:eastAsia="Times New Roman" w:cstheme="minorHAnsi"/>
          <w:b/>
          <w:bCs/>
          <w:color w:val="0D0D0D" w:themeColor="text1" w:themeTint="F2"/>
          <w:sz w:val="28"/>
          <w:szCs w:val="24"/>
        </w:rPr>
        <w:t>Table 7: Total Expenses by Natural Classification</w:t>
      </w:r>
    </w:p>
    <w:p w14:paraId="5421CCEC" w14:textId="5FB41BCE" w:rsidR="00DD1720" w:rsidRPr="00721CFD" w:rsidRDefault="00DD1720" w:rsidP="00721CFD">
      <w:pPr>
        <w:jc w:val="center"/>
        <w:rPr>
          <w:rFonts w:eastAsia="Times New Roman" w:cstheme="minorHAnsi"/>
          <w:b/>
          <w:bCs/>
          <w:color w:val="0D0D0D" w:themeColor="text1" w:themeTint="F2"/>
          <w:sz w:val="28"/>
          <w:szCs w:val="24"/>
        </w:rPr>
      </w:pPr>
      <w:r w:rsidRPr="00721CFD">
        <w:rPr>
          <w:rFonts w:eastAsia="Times New Roman" w:cstheme="minorHAnsi"/>
          <w:b/>
          <w:bCs/>
          <w:color w:val="0D0D0D" w:themeColor="text1" w:themeTint="F2"/>
          <w:sz w:val="28"/>
          <w:szCs w:val="24"/>
        </w:rPr>
        <w:t>For the Years Ended June 30</w:t>
      </w:r>
    </w:p>
    <w:p w14:paraId="1B9B8E59" w14:textId="6F569E3A" w:rsidR="00DD1720" w:rsidRPr="00721CFD" w:rsidRDefault="00DD1720" w:rsidP="004C662D">
      <w:pPr>
        <w:spacing w:after="240"/>
        <w:jc w:val="center"/>
        <w:rPr>
          <w:rFonts w:eastAsia="Times New Roman" w:cstheme="minorHAnsi"/>
          <w:b/>
          <w:bCs/>
          <w:color w:val="0D0D0D" w:themeColor="text1" w:themeTint="F2"/>
          <w:szCs w:val="20"/>
        </w:rPr>
      </w:pPr>
      <w:r w:rsidRPr="00721CFD">
        <w:rPr>
          <w:rFonts w:eastAsia="Times New Roman" w:cstheme="minorHAnsi"/>
          <w:b/>
          <w:bCs/>
          <w:color w:val="0D0D0D" w:themeColor="text1" w:themeTint="F2"/>
          <w:szCs w:val="20"/>
        </w:rPr>
        <w:t>(In millions)</w:t>
      </w:r>
    </w:p>
    <w:p w14:paraId="24E66BCD" w14:textId="7CA745D1" w:rsidR="00987D33" w:rsidRDefault="002076D4" w:rsidP="004C662D">
      <w:pPr>
        <w:spacing w:after="240"/>
        <w:rPr>
          <w:rFonts w:eastAsia="Times New Roman" w:cstheme="minorHAnsi"/>
          <w:sz w:val="24"/>
        </w:rPr>
      </w:pPr>
      <w:r w:rsidRPr="002076D4">
        <w:rPr>
          <w:noProof/>
        </w:rPr>
        <w:drawing>
          <wp:inline distT="0" distB="0" distL="0" distR="0" wp14:anchorId="2CB1E768" wp14:editId="1DB75AEE">
            <wp:extent cx="5943600" cy="2204720"/>
            <wp:effectExtent l="0" t="0" r="0" b="5080"/>
            <wp:docPr id="9" name="Picture 9" descr=" 2022  2021  2020  2019  2018 &#10;Operating:          &#10;Compensation  $362  44%  $336  49%  $331  46%  $322  44%  $310  45%&#10;Benefits  148  18%  87  13%  129  18%  139  19%  124  18%&#10;Utilities  30  4%  27  5%  28  4%  31  4%  30  4%&#10;Supplies and Services  169  21%  146  20%  146  20%  155  21%  154  22%&#10;Depreciation and Amortization  44  5%  44  6%  42  6%  41  6%  40  5%&#10;Student Aid  58  7%  40  6%  40  5%  36  5%  34  5%&#10;Total Operating Expenses  811  99%  680  99%  716  99%  724  99%  692  99%&#10;Nonoperating:          &#10;Interest   4  0%  4  1%  4  1%  4  1%  4  1%&#10;Total Expenses  $815  100%  $684  100%  $720  100%  $728  100%  $696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2022  2021  2020  2019  2018 &#10;Operating:          &#10;Compensation  $362  44%  $336  49%  $331  46%  $322  44%  $310  45%&#10;Benefits  148  18%  87  13%  129  18%  139  19%  124  18%&#10;Utilities  30  4%  27  5%  28  4%  31  4%  30  4%&#10;Supplies and Services  169  21%  146  20%  146  20%  155  21%  154  22%&#10;Depreciation and Amortization  44  5%  44  6%  42  6%  41  6%  40  5%&#10;Student Aid  58  7%  40  6%  40  5%  36  5%  34  5%&#10;Total Operating Expenses  811  99%  680  99%  716  99%  724  99%  692  99%&#10;Nonoperating:          &#10;Interest   4  0%  4  1%  4  1%  4  1%  4  1%&#10;Total Expenses  $815  100%  $684  100%  $720  100%  $728  100%  $696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204720"/>
                    </a:xfrm>
                    <a:prstGeom prst="rect">
                      <a:avLst/>
                    </a:prstGeom>
                    <a:noFill/>
                    <a:ln>
                      <a:noFill/>
                    </a:ln>
                  </pic:spPr>
                </pic:pic>
              </a:graphicData>
            </a:graphic>
          </wp:inline>
        </w:drawing>
      </w:r>
    </w:p>
    <w:p w14:paraId="36C24BD9" w14:textId="0DAF6BE7" w:rsidR="00987D33" w:rsidRDefault="00987D33" w:rsidP="00987D33">
      <w:pPr>
        <w:rPr>
          <w:rFonts w:eastAsia="Times New Roman" w:cstheme="minorHAnsi"/>
          <w:sz w:val="24"/>
          <w:szCs w:val="20"/>
        </w:rPr>
      </w:pPr>
      <w:r>
        <w:rPr>
          <w:rFonts w:eastAsia="Times New Roman" w:cstheme="minorHAnsi"/>
          <w:sz w:val="24"/>
          <w:szCs w:val="20"/>
        </w:rPr>
        <w:t>Compensation costs were $</w:t>
      </w:r>
      <w:r w:rsidR="00DD1720">
        <w:rPr>
          <w:rFonts w:eastAsia="Times New Roman" w:cstheme="minorHAnsi"/>
          <w:sz w:val="24"/>
          <w:szCs w:val="20"/>
        </w:rPr>
        <w:t xml:space="preserve">362 </w:t>
      </w:r>
      <w:r>
        <w:rPr>
          <w:rFonts w:eastAsia="Times New Roman" w:cstheme="minorHAnsi"/>
          <w:sz w:val="24"/>
          <w:szCs w:val="20"/>
        </w:rPr>
        <w:t xml:space="preserve">million in </w:t>
      </w:r>
      <w:r w:rsidR="006E459B">
        <w:rPr>
          <w:rFonts w:eastAsia="Times New Roman" w:cstheme="minorHAnsi"/>
          <w:sz w:val="24"/>
          <w:szCs w:val="20"/>
        </w:rPr>
        <w:t>FY22</w:t>
      </w:r>
      <w:r>
        <w:rPr>
          <w:rFonts w:eastAsia="Times New Roman" w:cstheme="minorHAnsi"/>
          <w:sz w:val="24"/>
          <w:szCs w:val="20"/>
        </w:rPr>
        <w:t xml:space="preserve">, </w:t>
      </w:r>
      <w:r w:rsidRPr="00721CFD">
        <w:rPr>
          <w:rFonts w:eastAsia="Times New Roman" w:cstheme="minorHAnsi"/>
          <w:sz w:val="24"/>
          <w:szCs w:val="20"/>
        </w:rPr>
        <w:t xml:space="preserve">up </w:t>
      </w:r>
      <w:r w:rsidR="00DD1720">
        <w:rPr>
          <w:rFonts w:eastAsia="Times New Roman" w:cstheme="minorHAnsi"/>
          <w:sz w:val="24"/>
          <w:szCs w:val="20"/>
        </w:rPr>
        <w:t>7.7</w:t>
      </w:r>
      <w:r>
        <w:rPr>
          <w:rFonts w:eastAsia="Times New Roman" w:cstheme="minorHAnsi"/>
          <w:sz w:val="24"/>
          <w:szCs w:val="20"/>
        </w:rPr>
        <w:t xml:space="preserve">% from the </w:t>
      </w:r>
      <w:r w:rsidR="006E459B">
        <w:rPr>
          <w:rFonts w:eastAsia="Times New Roman" w:cstheme="minorHAnsi"/>
          <w:sz w:val="24"/>
          <w:szCs w:val="20"/>
        </w:rPr>
        <w:t xml:space="preserve">FY21 </w:t>
      </w:r>
      <w:r>
        <w:rPr>
          <w:rFonts w:eastAsia="Times New Roman" w:cstheme="minorHAnsi"/>
          <w:sz w:val="24"/>
          <w:szCs w:val="20"/>
        </w:rPr>
        <w:t>total of $</w:t>
      </w:r>
      <w:r w:rsidR="006E459B">
        <w:rPr>
          <w:rFonts w:eastAsia="Times New Roman" w:cstheme="minorHAnsi"/>
          <w:sz w:val="24"/>
          <w:szCs w:val="20"/>
        </w:rPr>
        <w:t xml:space="preserve">336 </w:t>
      </w:r>
      <w:r>
        <w:rPr>
          <w:rFonts w:eastAsia="Times New Roman" w:cstheme="minorHAnsi"/>
          <w:sz w:val="24"/>
          <w:szCs w:val="20"/>
        </w:rPr>
        <w:t xml:space="preserve">million while </w:t>
      </w:r>
      <w:r w:rsidR="006E459B">
        <w:rPr>
          <w:rFonts w:eastAsia="Times New Roman" w:cstheme="minorHAnsi"/>
          <w:sz w:val="24"/>
          <w:szCs w:val="20"/>
        </w:rPr>
        <w:t xml:space="preserve">FY22 </w:t>
      </w:r>
      <w:r>
        <w:rPr>
          <w:rFonts w:eastAsia="Times New Roman" w:cstheme="minorHAnsi"/>
          <w:sz w:val="24"/>
          <w:szCs w:val="20"/>
        </w:rPr>
        <w:t>benefits totaled $</w:t>
      </w:r>
      <w:r w:rsidR="00DD1720">
        <w:rPr>
          <w:rFonts w:eastAsia="Times New Roman" w:cstheme="minorHAnsi"/>
          <w:sz w:val="24"/>
          <w:szCs w:val="20"/>
        </w:rPr>
        <w:t xml:space="preserve">148 </w:t>
      </w:r>
      <w:r>
        <w:rPr>
          <w:rFonts w:eastAsia="Times New Roman" w:cstheme="minorHAnsi"/>
          <w:sz w:val="24"/>
          <w:szCs w:val="20"/>
        </w:rPr>
        <w:t xml:space="preserve">million, </w:t>
      </w:r>
      <w:r w:rsidR="00DD1720" w:rsidRPr="00721CFD">
        <w:rPr>
          <w:rFonts w:eastAsia="Times New Roman" w:cstheme="minorHAnsi"/>
          <w:sz w:val="24"/>
          <w:szCs w:val="20"/>
        </w:rPr>
        <w:t xml:space="preserve">up </w:t>
      </w:r>
      <w:r w:rsidR="00DD1720">
        <w:rPr>
          <w:rFonts w:eastAsia="Times New Roman" w:cstheme="minorHAnsi"/>
          <w:sz w:val="24"/>
          <w:szCs w:val="20"/>
        </w:rPr>
        <w:t>70</w:t>
      </w:r>
      <w:r>
        <w:rPr>
          <w:rFonts w:eastAsia="Times New Roman" w:cstheme="minorHAnsi"/>
          <w:sz w:val="24"/>
          <w:szCs w:val="20"/>
        </w:rPr>
        <w:t xml:space="preserve">% from the </w:t>
      </w:r>
      <w:r w:rsidR="006E459B">
        <w:rPr>
          <w:rFonts w:eastAsia="Times New Roman" w:cstheme="minorHAnsi"/>
          <w:sz w:val="24"/>
          <w:szCs w:val="20"/>
        </w:rPr>
        <w:t xml:space="preserve">FY21 </w:t>
      </w:r>
      <w:r>
        <w:rPr>
          <w:rFonts w:eastAsia="Times New Roman" w:cstheme="minorHAnsi"/>
          <w:sz w:val="24"/>
          <w:szCs w:val="20"/>
        </w:rPr>
        <w:t>total of $</w:t>
      </w:r>
      <w:r w:rsidR="006E459B">
        <w:rPr>
          <w:rFonts w:eastAsia="Times New Roman" w:cstheme="minorHAnsi"/>
          <w:sz w:val="24"/>
          <w:szCs w:val="20"/>
        </w:rPr>
        <w:t xml:space="preserve">87 </w:t>
      </w:r>
      <w:r>
        <w:rPr>
          <w:rFonts w:eastAsia="Times New Roman" w:cstheme="minorHAnsi"/>
          <w:sz w:val="24"/>
          <w:szCs w:val="20"/>
        </w:rPr>
        <w:t xml:space="preserve">million. The </w:t>
      </w:r>
      <w:r w:rsidR="006E459B">
        <w:rPr>
          <w:rFonts w:eastAsia="Times New Roman" w:cstheme="minorHAnsi"/>
          <w:sz w:val="24"/>
          <w:szCs w:val="20"/>
        </w:rPr>
        <w:t xml:space="preserve">FY22 </w:t>
      </w:r>
      <w:r w:rsidR="00DD1720">
        <w:rPr>
          <w:rFonts w:eastAsia="Times New Roman" w:cstheme="minorHAnsi"/>
          <w:sz w:val="24"/>
          <w:szCs w:val="20"/>
        </w:rPr>
        <w:t xml:space="preserve">increase </w:t>
      </w:r>
      <w:r>
        <w:rPr>
          <w:rFonts w:eastAsia="Times New Roman" w:cstheme="minorHAnsi"/>
          <w:sz w:val="24"/>
          <w:szCs w:val="20"/>
        </w:rPr>
        <w:t xml:space="preserve">in benefits is primarily related to </w:t>
      </w:r>
      <w:r w:rsidR="00A84C16">
        <w:rPr>
          <w:rFonts w:eastAsia="Times New Roman" w:cstheme="minorHAnsi"/>
          <w:sz w:val="24"/>
          <w:szCs w:val="20"/>
        </w:rPr>
        <w:t>the fact that FY21 OPEB costs included a one-time $49 million savings from a plan change</w:t>
      </w:r>
      <w:r w:rsidR="00B15041">
        <w:rPr>
          <w:rFonts w:eastAsia="Times New Roman" w:cstheme="minorHAnsi"/>
          <w:sz w:val="24"/>
          <w:szCs w:val="20"/>
        </w:rPr>
        <w:t xml:space="preserve">. </w:t>
      </w:r>
      <w:r>
        <w:rPr>
          <w:rFonts w:eastAsia="Times New Roman" w:cstheme="minorHAnsi"/>
          <w:sz w:val="24"/>
          <w:szCs w:val="20"/>
        </w:rPr>
        <w:t xml:space="preserve"> </w:t>
      </w:r>
      <w:r w:rsidR="00A84C16">
        <w:rPr>
          <w:rFonts w:eastAsia="Times New Roman" w:cstheme="minorHAnsi"/>
          <w:sz w:val="24"/>
          <w:szCs w:val="20"/>
        </w:rPr>
        <w:t xml:space="preserve">Negative FY22 market returns on OPEB assets also contributed to the increase in benefits. </w:t>
      </w:r>
      <w:r>
        <w:rPr>
          <w:rFonts w:eastAsia="Times New Roman" w:cstheme="minorHAnsi"/>
          <w:sz w:val="24"/>
          <w:szCs w:val="20"/>
        </w:rPr>
        <w:t xml:space="preserve">Compensation costs for </w:t>
      </w:r>
      <w:r w:rsidR="006E459B">
        <w:rPr>
          <w:rFonts w:eastAsia="Times New Roman" w:cstheme="minorHAnsi"/>
          <w:sz w:val="24"/>
          <w:szCs w:val="20"/>
        </w:rPr>
        <w:t xml:space="preserve">FY21 </w:t>
      </w:r>
      <w:r>
        <w:rPr>
          <w:rFonts w:eastAsia="Times New Roman" w:cstheme="minorHAnsi"/>
          <w:sz w:val="24"/>
          <w:szCs w:val="20"/>
        </w:rPr>
        <w:t xml:space="preserve">saw an increase of </w:t>
      </w:r>
      <w:r w:rsidR="006E459B">
        <w:rPr>
          <w:rFonts w:eastAsia="Times New Roman" w:cstheme="minorHAnsi"/>
          <w:sz w:val="24"/>
          <w:szCs w:val="20"/>
        </w:rPr>
        <w:t>1.5</w:t>
      </w:r>
      <w:r>
        <w:rPr>
          <w:rFonts w:eastAsia="Times New Roman" w:cstheme="minorHAnsi"/>
          <w:sz w:val="24"/>
          <w:szCs w:val="20"/>
        </w:rPr>
        <w:t xml:space="preserve">% </w:t>
      </w:r>
      <w:r>
        <w:rPr>
          <w:rFonts w:eastAsia="Times New Roman" w:cstheme="minorHAnsi"/>
          <w:sz w:val="24"/>
          <w:szCs w:val="20"/>
        </w:rPr>
        <w:lastRenderedPageBreak/>
        <w:t xml:space="preserve">over the </w:t>
      </w:r>
      <w:r w:rsidR="006E459B">
        <w:rPr>
          <w:rFonts w:eastAsia="Times New Roman" w:cstheme="minorHAnsi"/>
          <w:sz w:val="24"/>
          <w:szCs w:val="20"/>
        </w:rPr>
        <w:t xml:space="preserve">FY20 </w:t>
      </w:r>
      <w:r>
        <w:rPr>
          <w:rFonts w:eastAsia="Times New Roman" w:cstheme="minorHAnsi"/>
          <w:sz w:val="24"/>
          <w:szCs w:val="20"/>
        </w:rPr>
        <w:t>total of $</w:t>
      </w:r>
      <w:r w:rsidR="006E459B">
        <w:rPr>
          <w:rFonts w:eastAsia="Times New Roman" w:cstheme="minorHAnsi"/>
          <w:sz w:val="24"/>
          <w:szCs w:val="20"/>
        </w:rPr>
        <w:t xml:space="preserve">331 </w:t>
      </w:r>
      <w:r>
        <w:rPr>
          <w:rFonts w:eastAsia="Times New Roman" w:cstheme="minorHAnsi"/>
          <w:sz w:val="24"/>
          <w:szCs w:val="20"/>
        </w:rPr>
        <w:t>million and FY2</w:t>
      </w:r>
      <w:r w:rsidR="006E459B">
        <w:rPr>
          <w:rFonts w:eastAsia="Times New Roman" w:cstheme="minorHAnsi"/>
          <w:sz w:val="24"/>
          <w:szCs w:val="20"/>
        </w:rPr>
        <w:t>1</w:t>
      </w:r>
      <w:r>
        <w:rPr>
          <w:rFonts w:eastAsia="Times New Roman" w:cstheme="minorHAnsi"/>
          <w:sz w:val="24"/>
          <w:szCs w:val="20"/>
        </w:rPr>
        <w:t xml:space="preserve"> benefits were down </w:t>
      </w:r>
      <w:r w:rsidR="006E459B">
        <w:rPr>
          <w:rFonts w:eastAsia="Times New Roman" w:cstheme="minorHAnsi"/>
          <w:sz w:val="24"/>
          <w:szCs w:val="20"/>
        </w:rPr>
        <w:t>33</w:t>
      </w:r>
      <w:r>
        <w:rPr>
          <w:rFonts w:eastAsia="Times New Roman" w:cstheme="minorHAnsi"/>
          <w:sz w:val="24"/>
          <w:szCs w:val="20"/>
        </w:rPr>
        <w:t xml:space="preserve">% from the </w:t>
      </w:r>
      <w:r w:rsidR="006E459B">
        <w:rPr>
          <w:rFonts w:eastAsia="Times New Roman" w:cstheme="minorHAnsi"/>
          <w:sz w:val="24"/>
          <w:szCs w:val="20"/>
        </w:rPr>
        <w:t xml:space="preserve">FY20 </w:t>
      </w:r>
      <w:r>
        <w:rPr>
          <w:rFonts w:eastAsia="Times New Roman" w:cstheme="minorHAnsi"/>
          <w:sz w:val="24"/>
          <w:szCs w:val="20"/>
        </w:rPr>
        <w:t>total of $</w:t>
      </w:r>
      <w:r w:rsidR="006E459B">
        <w:rPr>
          <w:rFonts w:eastAsia="Times New Roman" w:cstheme="minorHAnsi"/>
          <w:sz w:val="24"/>
          <w:szCs w:val="20"/>
        </w:rPr>
        <w:t xml:space="preserve">129 </w:t>
      </w:r>
      <w:r>
        <w:rPr>
          <w:rFonts w:eastAsia="Times New Roman" w:cstheme="minorHAnsi"/>
          <w:sz w:val="24"/>
          <w:szCs w:val="20"/>
        </w:rPr>
        <w:t>million</w:t>
      </w:r>
      <w:r w:rsidR="00865618">
        <w:rPr>
          <w:rFonts w:eastAsia="Times New Roman" w:cstheme="minorHAnsi"/>
          <w:sz w:val="24"/>
          <w:szCs w:val="20"/>
        </w:rPr>
        <w:t xml:space="preserve"> primarily related to the changes in the System’s OPEB plan</w:t>
      </w:r>
      <w:r>
        <w:rPr>
          <w:rFonts w:eastAsia="Times New Roman" w:cstheme="minorHAnsi"/>
          <w:sz w:val="24"/>
          <w:szCs w:val="20"/>
        </w:rPr>
        <w:t>.</w:t>
      </w:r>
    </w:p>
    <w:p w14:paraId="56E49C65" w14:textId="77777777" w:rsidR="00987D33" w:rsidRDefault="00987D33" w:rsidP="00987D33">
      <w:pPr>
        <w:pStyle w:val="AFR2"/>
        <w:pBdr>
          <w:bottom w:val="single" w:sz="8" w:space="2" w:color="00688D"/>
        </w:pBdr>
        <w:rPr>
          <w:rFonts w:cstheme="minorHAnsi"/>
        </w:rPr>
      </w:pPr>
      <w:r>
        <w:rPr>
          <w:rFonts w:cstheme="minorHAnsi"/>
        </w:rPr>
        <w:t>Statements of Cash Flows</w:t>
      </w:r>
    </w:p>
    <w:p w14:paraId="1B50C35B" w14:textId="77777777" w:rsidR="00987D33" w:rsidRDefault="00987D33" w:rsidP="00987D33">
      <w:pPr>
        <w:tabs>
          <w:tab w:val="left" w:pos="540"/>
        </w:tabs>
        <w:rPr>
          <w:rFonts w:eastAsia="Times New Roman" w:cstheme="minorHAnsi"/>
          <w:sz w:val="24"/>
          <w:szCs w:val="20"/>
        </w:rPr>
      </w:pPr>
      <w:r>
        <w:rPr>
          <w:rFonts w:eastAsia="Times New Roman" w:cstheme="minorHAnsi"/>
          <w:sz w:val="24"/>
        </w:rPr>
        <w:t>The Statements of Cash Flows examines the changes in cash position for each year of operations. Its primary purpose is to provide relevant information about the cash receipts and cash payments of the System during the fiscal year. These statements help users assess the System’s ability to generate future cash flows, its ability to meet obligations as they become due, and its need for external financing.</w:t>
      </w:r>
      <w:r>
        <w:rPr>
          <w:rFonts w:eastAsia="Times New Roman" w:cstheme="minorHAnsi"/>
          <w:sz w:val="24"/>
          <w:szCs w:val="20"/>
        </w:rPr>
        <w:t xml:space="preserve"> </w:t>
      </w:r>
    </w:p>
    <w:p w14:paraId="04634CC9" w14:textId="0C95F694" w:rsidR="00987D33" w:rsidRPr="00441FE1" w:rsidRDefault="00987D33" w:rsidP="00987D33">
      <w:pPr>
        <w:pStyle w:val="AFR2"/>
        <w:pBdr>
          <w:bottom w:val="single" w:sz="8" w:space="2" w:color="00688D"/>
        </w:pBdr>
        <w:rPr>
          <w:rFonts w:cstheme="minorHAnsi"/>
        </w:rPr>
      </w:pPr>
      <w:r w:rsidRPr="005E51F2">
        <w:rPr>
          <w:rFonts w:cstheme="minorHAnsi"/>
        </w:rPr>
        <w:t xml:space="preserve">Statements of Fiduciary </w:t>
      </w:r>
      <w:r w:rsidR="00A11117">
        <w:rPr>
          <w:rFonts w:cstheme="minorHAnsi"/>
        </w:rPr>
        <w:t>N</w:t>
      </w:r>
      <w:r w:rsidR="00A11117" w:rsidRPr="005E51F2">
        <w:rPr>
          <w:rFonts w:cstheme="minorHAnsi"/>
        </w:rPr>
        <w:t xml:space="preserve">et </w:t>
      </w:r>
      <w:r w:rsidRPr="005E51F2">
        <w:rPr>
          <w:rFonts w:cstheme="minorHAnsi"/>
        </w:rPr>
        <w:t>Position</w:t>
      </w:r>
    </w:p>
    <w:p w14:paraId="70855C83" w14:textId="77777777" w:rsidR="00987D33" w:rsidRDefault="00987D33" w:rsidP="00987D33">
      <w:pPr>
        <w:tabs>
          <w:tab w:val="left" w:pos="540"/>
        </w:tabs>
        <w:rPr>
          <w:rFonts w:eastAsia="Times New Roman" w:cstheme="minorHAnsi"/>
          <w:sz w:val="24"/>
        </w:rPr>
      </w:pPr>
      <w:r>
        <w:rPr>
          <w:rFonts w:eastAsia="Times New Roman" w:cstheme="minorHAnsi"/>
          <w:sz w:val="24"/>
        </w:rPr>
        <w:t>The Statements of Fiduciary Net Position present assets that the System holds in a fiduciary or trustee capacity on behalf of various external entities and groups, including the following:</w:t>
      </w:r>
    </w:p>
    <w:p w14:paraId="473AEED9" w14:textId="77777777" w:rsidR="00987D33" w:rsidRDefault="00987D33" w:rsidP="00987D33">
      <w:pPr>
        <w:tabs>
          <w:tab w:val="left" w:pos="540"/>
        </w:tabs>
        <w:rPr>
          <w:rFonts w:eastAsia="Times New Roman" w:cstheme="minorHAnsi"/>
          <w:sz w:val="24"/>
        </w:rPr>
      </w:pPr>
    </w:p>
    <w:p w14:paraId="3AE9CBFB" w14:textId="77777777" w:rsidR="00987D33" w:rsidRPr="00C66742" w:rsidRDefault="00987D33" w:rsidP="00721CFD">
      <w:pPr>
        <w:pStyle w:val="ListParagraph"/>
        <w:numPr>
          <w:ilvl w:val="0"/>
          <w:numId w:val="17"/>
        </w:numPr>
        <w:tabs>
          <w:tab w:val="left" w:pos="540"/>
        </w:tabs>
        <w:rPr>
          <w:rFonts w:asciiTheme="minorHAnsi" w:hAnsiTheme="minorHAnsi" w:cstheme="minorHAnsi"/>
          <w:szCs w:val="22"/>
        </w:rPr>
      </w:pPr>
      <w:r w:rsidRPr="00C66742">
        <w:rPr>
          <w:rFonts w:asciiTheme="minorHAnsi" w:hAnsiTheme="minorHAnsi" w:cstheme="minorHAnsi"/>
          <w:szCs w:val="22"/>
        </w:rPr>
        <w:t>UMS</w:t>
      </w:r>
      <w:r>
        <w:rPr>
          <w:rFonts w:asciiTheme="minorHAnsi" w:hAnsiTheme="minorHAnsi" w:cstheme="minorHAnsi"/>
          <w:szCs w:val="22"/>
        </w:rPr>
        <w:t xml:space="preserve"> </w:t>
      </w:r>
      <w:r>
        <w:rPr>
          <w:rFonts w:ascii="Calibri" w:hAnsi="Calibri" w:cs="Tahoma"/>
        </w:rPr>
        <w:t>OPEB Trust</w:t>
      </w:r>
    </w:p>
    <w:p w14:paraId="36432B29" w14:textId="77777777" w:rsidR="00987D33" w:rsidRDefault="00987D33" w:rsidP="00721CFD">
      <w:pPr>
        <w:pStyle w:val="ListParagraph"/>
        <w:numPr>
          <w:ilvl w:val="0"/>
          <w:numId w:val="17"/>
        </w:numPr>
        <w:tabs>
          <w:tab w:val="left" w:pos="540"/>
        </w:tabs>
        <w:rPr>
          <w:rFonts w:asciiTheme="minorHAnsi" w:hAnsiTheme="minorHAnsi" w:cstheme="minorHAnsi"/>
          <w:szCs w:val="22"/>
        </w:rPr>
      </w:pPr>
      <w:r>
        <w:rPr>
          <w:rFonts w:asciiTheme="minorHAnsi" w:hAnsiTheme="minorHAnsi" w:cstheme="minorHAnsi"/>
          <w:szCs w:val="22"/>
        </w:rPr>
        <w:t>UMS Defined Benefit plan</w:t>
      </w:r>
    </w:p>
    <w:p w14:paraId="49DB889A" w14:textId="22220B45" w:rsidR="00987D33" w:rsidRPr="00721CFD" w:rsidRDefault="00987D33" w:rsidP="00721CFD">
      <w:pPr>
        <w:pStyle w:val="ListParagraph"/>
        <w:numPr>
          <w:ilvl w:val="0"/>
          <w:numId w:val="17"/>
        </w:numPr>
        <w:tabs>
          <w:tab w:val="left" w:pos="540"/>
        </w:tabs>
        <w:rPr>
          <w:rFonts w:asciiTheme="minorHAnsi" w:hAnsiTheme="minorHAnsi" w:cstheme="minorHAnsi"/>
          <w:szCs w:val="22"/>
        </w:rPr>
      </w:pPr>
      <w:r w:rsidRPr="00721CFD">
        <w:rPr>
          <w:rFonts w:ascii="Calibri" w:hAnsi="Calibri" w:cs="Tahoma"/>
        </w:rPr>
        <w:t>Maine Maritime Academy</w:t>
      </w:r>
      <w:r w:rsidR="0095224D" w:rsidRPr="00721CFD">
        <w:rPr>
          <w:rFonts w:ascii="Calibri" w:hAnsi="Calibri" w:cs="Tahoma"/>
        </w:rPr>
        <w:t xml:space="preserve"> (</w:t>
      </w:r>
      <w:r w:rsidR="00A50F70">
        <w:rPr>
          <w:rFonts w:ascii="Calibri" w:hAnsi="Calibri" w:cs="Tahoma"/>
        </w:rPr>
        <w:t>withdrew</w:t>
      </w:r>
      <w:r w:rsidR="00A50F70" w:rsidRPr="00721CFD">
        <w:rPr>
          <w:rFonts w:ascii="Calibri" w:hAnsi="Calibri" w:cs="Tahoma"/>
        </w:rPr>
        <w:t xml:space="preserve"> </w:t>
      </w:r>
      <w:r w:rsidR="0095224D" w:rsidRPr="00721CFD">
        <w:rPr>
          <w:rFonts w:ascii="Calibri" w:hAnsi="Calibri" w:cs="Tahoma"/>
        </w:rPr>
        <w:t>in spring 2022)</w:t>
      </w:r>
    </w:p>
    <w:p w14:paraId="06146B71" w14:textId="77777777" w:rsidR="00987D33" w:rsidRPr="00C66742" w:rsidRDefault="00987D33" w:rsidP="00721CFD">
      <w:pPr>
        <w:pStyle w:val="ListParagraph"/>
        <w:numPr>
          <w:ilvl w:val="0"/>
          <w:numId w:val="17"/>
        </w:numPr>
        <w:tabs>
          <w:tab w:val="left" w:pos="540"/>
        </w:tabs>
        <w:rPr>
          <w:rFonts w:ascii="Calibri" w:hAnsi="Calibri" w:cs="Tahoma"/>
        </w:rPr>
      </w:pPr>
      <w:r>
        <w:rPr>
          <w:rFonts w:ascii="Calibri" w:hAnsi="Calibri" w:cs="Tahoma"/>
        </w:rPr>
        <w:t>University of Maine School of Law Foundation</w:t>
      </w:r>
    </w:p>
    <w:p w14:paraId="586A8C51" w14:textId="77777777" w:rsidR="00987D33" w:rsidRPr="00C66742" w:rsidRDefault="00987D33" w:rsidP="00721CFD">
      <w:pPr>
        <w:pStyle w:val="ListParagraph"/>
        <w:numPr>
          <w:ilvl w:val="0"/>
          <w:numId w:val="17"/>
        </w:numPr>
        <w:tabs>
          <w:tab w:val="left" w:pos="540"/>
        </w:tabs>
        <w:rPr>
          <w:rFonts w:ascii="Calibri" w:hAnsi="Calibri" w:cs="Tahoma"/>
        </w:rPr>
      </w:pPr>
      <w:r w:rsidRPr="00C66742">
        <w:rPr>
          <w:rFonts w:ascii="Calibri" w:hAnsi="Calibri" w:cs="Tahoma"/>
        </w:rPr>
        <w:t>University of Maine at Fort Kent Foundation</w:t>
      </w:r>
    </w:p>
    <w:p w14:paraId="0A95D718" w14:textId="77777777" w:rsidR="00987D33" w:rsidRPr="00C66742" w:rsidRDefault="00987D33" w:rsidP="00721CFD">
      <w:pPr>
        <w:pStyle w:val="ListParagraph"/>
        <w:numPr>
          <w:ilvl w:val="0"/>
          <w:numId w:val="17"/>
        </w:numPr>
        <w:tabs>
          <w:tab w:val="left" w:pos="540"/>
        </w:tabs>
        <w:rPr>
          <w:rFonts w:ascii="Calibri" w:hAnsi="Calibri" w:cs="Tahoma"/>
        </w:rPr>
      </w:pPr>
      <w:r w:rsidRPr="00C66742">
        <w:rPr>
          <w:rFonts w:ascii="Calibri" w:hAnsi="Calibri" w:cs="Tahoma"/>
        </w:rPr>
        <w:t>University of Southern Maine Foundation</w:t>
      </w:r>
    </w:p>
    <w:p w14:paraId="31697B20" w14:textId="3BDF0DFD" w:rsidR="00987D33" w:rsidRDefault="00987D33" w:rsidP="00721CFD">
      <w:pPr>
        <w:pStyle w:val="ListParagraph"/>
        <w:numPr>
          <w:ilvl w:val="0"/>
          <w:numId w:val="17"/>
        </w:numPr>
        <w:tabs>
          <w:tab w:val="left" w:pos="540"/>
        </w:tabs>
        <w:rPr>
          <w:rFonts w:ascii="Calibri" w:hAnsi="Calibri" w:cs="Tahoma"/>
        </w:rPr>
      </w:pPr>
      <w:r w:rsidRPr="00C66742">
        <w:rPr>
          <w:rFonts w:ascii="Calibri" w:hAnsi="Calibri" w:cs="Tahoma"/>
        </w:rPr>
        <w:t>John L. Martin Scholarship Fund, Inc</w:t>
      </w:r>
      <w:r>
        <w:rPr>
          <w:rFonts w:ascii="Calibri" w:hAnsi="Calibri" w:cs="Tahoma"/>
        </w:rPr>
        <w:t>.</w:t>
      </w:r>
    </w:p>
    <w:p w14:paraId="77287E3F" w14:textId="018F1AAE" w:rsidR="00282503" w:rsidRPr="00C66742" w:rsidRDefault="00A50F70" w:rsidP="00721CFD">
      <w:pPr>
        <w:pStyle w:val="ListParagraph"/>
        <w:numPr>
          <w:ilvl w:val="0"/>
          <w:numId w:val="17"/>
        </w:numPr>
        <w:tabs>
          <w:tab w:val="left" w:pos="540"/>
        </w:tabs>
        <w:rPr>
          <w:rFonts w:ascii="Calibri" w:hAnsi="Calibri" w:cs="Tahoma"/>
        </w:rPr>
      </w:pPr>
      <w:r>
        <w:rPr>
          <w:rFonts w:ascii="Calibri" w:hAnsi="Calibri" w:cs="Tahoma"/>
        </w:rPr>
        <w:t xml:space="preserve">USM </w:t>
      </w:r>
      <w:r w:rsidR="00282503">
        <w:rPr>
          <w:rFonts w:ascii="Calibri" w:hAnsi="Calibri" w:cs="Tahoma"/>
        </w:rPr>
        <w:t>Osher Map Library Foundation</w:t>
      </w:r>
      <w:r w:rsidR="0095224D">
        <w:rPr>
          <w:rFonts w:ascii="Calibri" w:hAnsi="Calibri" w:cs="Tahoma"/>
        </w:rPr>
        <w:t xml:space="preserve"> (new in 2022)</w:t>
      </w:r>
    </w:p>
    <w:p w14:paraId="36A55870" w14:textId="77777777" w:rsidR="00987D33" w:rsidRPr="00C66742" w:rsidRDefault="00987D33" w:rsidP="00721CFD">
      <w:pPr>
        <w:pStyle w:val="ListParagraph"/>
        <w:numPr>
          <w:ilvl w:val="0"/>
          <w:numId w:val="17"/>
        </w:numPr>
        <w:tabs>
          <w:tab w:val="left" w:pos="540"/>
        </w:tabs>
        <w:rPr>
          <w:rFonts w:ascii="Calibri" w:hAnsi="Calibri" w:cs="Tahoma"/>
        </w:rPr>
      </w:pPr>
      <w:r>
        <w:rPr>
          <w:rFonts w:ascii="Calibri" w:hAnsi="Calibri" w:cs="Tahoma"/>
        </w:rPr>
        <w:t>Student government groups</w:t>
      </w:r>
    </w:p>
    <w:p w14:paraId="003E840D" w14:textId="77777777" w:rsidR="00987D33" w:rsidRDefault="00987D33" w:rsidP="00987D33">
      <w:pPr>
        <w:tabs>
          <w:tab w:val="left" w:pos="540"/>
        </w:tabs>
        <w:rPr>
          <w:rFonts w:eastAsia="Times New Roman" w:cstheme="minorHAnsi"/>
          <w:sz w:val="24"/>
        </w:rPr>
      </w:pPr>
    </w:p>
    <w:p w14:paraId="795CA582" w14:textId="6EA1CD89" w:rsidR="00987D33" w:rsidRDefault="00987D33" w:rsidP="00987D33">
      <w:pPr>
        <w:tabs>
          <w:tab w:val="left" w:pos="540"/>
        </w:tabs>
        <w:rPr>
          <w:rFonts w:cstheme="minorHAnsi"/>
          <w:sz w:val="24"/>
          <w:szCs w:val="24"/>
        </w:rPr>
      </w:pPr>
      <w:r w:rsidRPr="00C66742">
        <w:rPr>
          <w:rFonts w:cstheme="minorHAnsi"/>
          <w:sz w:val="24"/>
          <w:szCs w:val="24"/>
        </w:rPr>
        <w:t xml:space="preserve">As shown in the </w:t>
      </w:r>
      <w:r>
        <w:rPr>
          <w:rFonts w:cstheme="minorHAnsi"/>
          <w:sz w:val="24"/>
          <w:szCs w:val="24"/>
        </w:rPr>
        <w:t>Condensed Statements of Fiduciary Net Position in Table 8, the System holds a total of $</w:t>
      </w:r>
      <w:r w:rsidR="0095224D">
        <w:rPr>
          <w:rFonts w:cstheme="minorHAnsi"/>
          <w:sz w:val="24"/>
          <w:szCs w:val="24"/>
        </w:rPr>
        <w:t xml:space="preserve">220 </w:t>
      </w:r>
      <w:r>
        <w:rPr>
          <w:rFonts w:cstheme="minorHAnsi"/>
          <w:sz w:val="24"/>
          <w:szCs w:val="24"/>
        </w:rPr>
        <w:t xml:space="preserve">million in assets on behalf of the above noted entities. The vast majority of these assets are in the form of pooled investments, representing investment in the System’s MIP, either directly or indirectly through the UMS Endowment Pool. See the discussion of the UMS’ Managed Investment Pool and Endowments on pages </w:t>
      </w:r>
      <w:r w:rsidR="00304161">
        <w:rPr>
          <w:rFonts w:cstheme="minorHAnsi"/>
          <w:sz w:val="24"/>
          <w:szCs w:val="24"/>
        </w:rPr>
        <w:t>20</w:t>
      </w:r>
      <w:r w:rsidR="000A5316" w:rsidRPr="006E44D1">
        <w:rPr>
          <w:rFonts w:cstheme="minorHAnsi"/>
          <w:sz w:val="24"/>
          <w:szCs w:val="24"/>
        </w:rPr>
        <w:t xml:space="preserve"> </w:t>
      </w:r>
      <w:r w:rsidRPr="006E44D1">
        <w:rPr>
          <w:rFonts w:cstheme="minorHAnsi"/>
          <w:sz w:val="24"/>
          <w:szCs w:val="24"/>
        </w:rPr>
        <w:t xml:space="preserve">and </w:t>
      </w:r>
      <w:r w:rsidR="00AE3B63">
        <w:rPr>
          <w:rFonts w:cstheme="minorHAnsi"/>
          <w:sz w:val="24"/>
          <w:szCs w:val="24"/>
        </w:rPr>
        <w:t>2</w:t>
      </w:r>
      <w:r w:rsidR="00304161">
        <w:rPr>
          <w:rFonts w:cstheme="minorHAnsi"/>
          <w:sz w:val="24"/>
          <w:szCs w:val="24"/>
        </w:rPr>
        <w:t>2</w:t>
      </w:r>
      <w:r>
        <w:rPr>
          <w:rFonts w:cstheme="minorHAnsi"/>
          <w:sz w:val="24"/>
          <w:szCs w:val="24"/>
        </w:rPr>
        <w:t xml:space="preserve">, respectively for more information about these investments. </w:t>
      </w:r>
    </w:p>
    <w:p w14:paraId="724674AB" w14:textId="77777777" w:rsidR="00987D33" w:rsidRDefault="00987D33" w:rsidP="00987D33">
      <w:pPr>
        <w:tabs>
          <w:tab w:val="left" w:pos="540"/>
        </w:tabs>
        <w:rPr>
          <w:rFonts w:cstheme="minorHAnsi"/>
          <w:sz w:val="24"/>
          <w:szCs w:val="24"/>
        </w:rPr>
      </w:pPr>
    </w:p>
    <w:p w14:paraId="13F6C9DF" w14:textId="77777777" w:rsidR="00987D33" w:rsidRDefault="00987D33" w:rsidP="00987D33">
      <w:pPr>
        <w:tabs>
          <w:tab w:val="left" w:pos="540"/>
        </w:tabs>
        <w:rPr>
          <w:rFonts w:cstheme="minorHAnsi"/>
          <w:sz w:val="24"/>
          <w:szCs w:val="24"/>
        </w:rPr>
      </w:pPr>
      <w:r>
        <w:rPr>
          <w:rFonts w:cstheme="minorHAnsi"/>
          <w:sz w:val="24"/>
          <w:szCs w:val="24"/>
        </w:rPr>
        <w:t>The Statements of Fiduciary Net Position also present liabilities and net position associated with the assets held on behalf of the external entities.</w:t>
      </w:r>
    </w:p>
    <w:p w14:paraId="7DAB2C53" w14:textId="5EC66AD6" w:rsidR="00987D33" w:rsidRDefault="00987D33" w:rsidP="00987D33">
      <w:pPr>
        <w:tabs>
          <w:tab w:val="left" w:pos="540"/>
        </w:tabs>
        <w:rPr>
          <w:rFonts w:cstheme="minorHAnsi"/>
          <w:sz w:val="24"/>
          <w:szCs w:val="24"/>
        </w:rPr>
      </w:pPr>
    </w:p>
    <w:p w14:paraId="574E81DD" w14:textId="77777777" w:rsidR="002F2C2D" w:rsidRDefault="002F2C2D" w:rsidP="00721CFD">
      <w:pPr>
        <w:tabs>
          <w:tab w:val="left" w:pos="540"/>
        </w:tabs>
        <w:jc w:val="center"/>
        <w:rPr>
          <w:rFonts w:cstheme="minorHAnsi"/>
          <w:b/>
          <w:bCs/>
          <w:sz w:val="28"/>
          <w:szCs w:val="28"/>
        </w:rPr>
      </w:pPr>
      <w:r>
        <w:rPr>
          <w:rFonts w:cstheme="minorHAnsi"/>
          <w:b/>
          <w:bCs/>
          <w:sz w:val="28"/>
          <w:szCs w:val="28"/>
        </w:rPr>
        <w:br w:type="page"/>
      </w:r>
    </w:p>
    <w:p w14:paraId="7CFD85DB" w14:textId="535DFA0C" w:rsidR="00442EC1" w:rsidRPr="00721CFD" w:rsidRDefault="00442EC1" w:rsidP="0025499B">
      <w:pPr>
        <w:tabs>
          <w:tab w:val="left" w:pos="540"/>
        </w:tabs>
        <w:jc w:val="center"/>
        <w:rPr>
          <w:rFonts w:cstheme="minorHAnsi"/>
          <w:b/>
          <w:bCs/>
          <w:sz w:val="28"/>
          <w:szCs w:val="28"/>
        </w:rPr>
      </w:pPr>
      <w:r w:rsidRPr="00721CFD">
        <w:rPr>
          <w:rFonts w:cstheme="minorHAnsi"/>
          <w:b/>
          <w:bCs/>
          <w:sz w:val="28"/>
          <w:szCs w:val="28"/>
        </w:rPr>
        <w:lastRenderedPageBreak/>
        <w:t>Table 8: Condensed Statements of Fiduciary Net Position as of June 30</w:t>
      </w:r>
    </w:p>
    <w:p w14:paraId="6C3BDD62" w14:textId="61155331" w:rsidR="00442EC1" w:rsidRPr="00721CFD" w:rsidRDefault="00442EC1" w:rsidP="0025499B">
      <w:pPr>
        <w:tabs>
          <w:tab w:val="left" w:pos="540"/>
        </w:tabs>
        <w:jc w:val="center"/>
        <w:rPr>
          <w:rFonts w:cstheme="minorHAnsi"/>
          <w:b/>
          <w:bCs/>
        </w:rPr>
      </w:pPr>
      <w:r w:rsidRPr="00721CFD">
        <w:rPr>
          <w:rFonts w:cstheme="minorHAnsi"/>
          <w:b/>
          <w:bCs/>
        </w:rPr>
        <w:t>(In millions)</w:t>
      </w:r>
    </w:p>
    <w:p w14:paraId="6B318AC2" w14:textId="5CBF9796" w:rsidR="00A50F70" w:rsidRPr="0025499B" w:rsidRDefault="00A50F70" w:rsidP="0025499B">
      <w:pPr>
        <w:pStyle w:val="AFR2"/>
        <w:pBdr>
          <w:bottom w:val="none" w:sz="0" w:space="0" w:color="auto"/>
        </w:pBdr>
        <w:spacing w:before="0" w:after="0"/>
        <w:jc w:val="center"/>
        <w:rPr>
          <w:rFonts w:cstheme="minorHAnsi"/>
          <w:b w:val="0"/>
          <w:i w:val="0"/>
          <w:sz w:val="20"/>
        </w:rPr>
      </w:pPr>
    </w:p>
    <w:tbl>
      <w:tblPr>
        <w:tblW w:w="9076" w:type="dxa"/>
        <w:tblLook w:val="04A0" w:firstRow="1" w:lastRow="0" w:firstColumn="1" w:lastColumn="0" w:noHBand="0" w:noVBand="1"/>
      </w:tblPr>
      <w:tblGrid>
        <w:gridCol w:w="4410"/>
        <w:gridCol w:w="960"/>
        <w:gridCol w:w="893"/>
        <w:gridCol w:w="960"/>
        <w:gridCol w:w="893"/>
        <w:gridCol w:w="960"/>
      </w:tblGrid>
      <w:tr w:rsidR="00A50F70" w:rsidRPr="0025499B" w14:paraId="0E9F910B" w14:textId="77777777" w:rsidTr="000D58D0">
        <w:trPr>
          <w:trHeight w:val="585"/>
        </w:trPr>
        <w:tc>
          <w:tcPr>
            <w:tcW w:w="4410" w:type="dxa"/>
            <w:tcBorders>
              <w:top w:val="nil"/>
              <w:left w:val="nil"/>
              <w:bottom w:val="single" w:sz="12" w:space="0" w:color="00688D"/>
              <w:right w:val="nil"/>
            </w:tcBorders>
            <w:shd w:val="clear" w:color="000000" w:fill="FFFFFF"/>
            <w:noWrap/>
            <w:vAlign w:val="bottom"/>
            <w:hideMark/>
          </w:tcPr>
          <w:p w14:paraId="66A521B8" w14:textId="77777777" w:rsidR="00A50F70" w:rsidRPr="0025499B" w:rsidRDefault="00A50F70" w:rsidP="0025499B">
            <w:pPr>
              <w:rPr>
                <w:rFonts w:ascii="Calibri" w:eastAsia="Times New Roman" w:hAnsi="Calibri" w:cs="Calibri"/>
                <w:b/>
                <w:bCs/>
              </w:rPr>
            </w:pPr>
            <w:r w:rsidRPr="0025499B">
              <w:rPr>
                <w:rFonts w:ascii="Calibri" w:eastAsia="Times New Roman" w:hAnsi="Calibri" w:cs="Calibri"/>
                <w:b/>
                <w:bCs/>
              </w:rPr>
              <w:t> </w:t>
            </w:r>
          </w:p>
        </w:tc>
        <w:tc>
          <w:tcPr>
            <w:tcW w:w="960" w:type="dxa"/>
            <w:tcBorders>
              <w:top w:val="nil"/>
              <w:left w:val="nil"/>
              <w:bottom w:val="single" w:sz="12" w:space="0" w:color="00688D"/>
              <w:right w:val="nil"/>
            </w:tcBorders>
            <w:shd w:val="clear" w:color="000000" w:fill="FFFFFF"/>
            <w:vAlign w:val="bottom"/>
            <w:hideMark/>
          </w:tcPr>
          <w:p w14:paraId="680B89C0" w14:textId="77777777" w:rsidR="00A50F70" w:rsidRPr="0025499B" w:rsidRDefault="00A50F70" w:rsidP="0025499B">
            <w:pPr>
              <w:jc w:val="center"/>
              <w:rPr>
                <w:rFonts w:ascii="Calibri" w:eastAsia="Times New Roman" w:hAnsi="Calibri" w:cs="Calibri"/>
                <w:b/>
                <w:bCs/>
              </w:rPr>
            </w:pPr>
            <w:r w:rsidRPr="0025499B">
              <w:rPr>
                <w:rFonts w:ascii="Calibri" w:eastAsia="Times New Roman" w:hAnsi="Calibri" w:cs="Calibri"/>
                <w:b/>
                <w:bCs/>
              </w:rPr>
              <w:t>2022</w:t>
            </w:r>
          </w:p>
        </w:tc>
        <w:tc>
          <w:tcPr>
            <w:tcW w:w="893" w:type="dxa"/>
            <w:tcBorders>
              <w:top w:val="nil"/>
              <w:left w:val="nil"/>
              <w:bottom w:val="single" w:sz="12" w:space="0" w:color="00688D"/>
              <w:right w:val="nil"/>
            </w:tcBorders>
            <w:shd w:val="clear" w:color="000000" w:fill="FFFFFF"/>
            <w:vAlign w:val="bottom"/>
            <w:hideMark/>
          </w:tcPr>
          <w:p w14:paraId="1DB078E6" w14:textId="77777777" w:rsidR="00A50F70" w:rsidRPr="0025499B" w:rsidRDefault="00A50F70" w:rsidP="0025499B">
            <w:pPr>
              <w:jc w:val="center"/>
              <w:rPr>
                <w:rFonts w:ascii="Calibri" w:eastAsia="Times New Roman" w:hAnsi="Calibri" w:cs="Calibri"/>
                <w:b/>
                <w:bCs/>
              </w:rPr>
            </w:pPr>
            <w:r w:rsidRPr="0025499B">
              <w:rPr>
                <w:rFonts w:ascii="Calibri" w:eastAsia="Times New Roman" w:hAnsi="Calibri" w:cs="Calibri"/>
                <w:b/>
                <w:bCs/>
              </w:rPr>
              <w:t>% Change</w:t>
            </w:r>
          </w:p>
        </w:tc>
        <w:tc>
          <w:tcPr>
            <w:tcW w:w="960" w:type="dxa"/>
            <w:tcBorders>
              <w:top w:val="nil"/>
              <w:left w:val="nil"/>
              <w:bottom w:val="single" w:sz="12" w:space="0" w:color="00688D"/>
              <w:right w:val="nil"/>
            </w:tcBorders>
            <w:shd w:val="clear" w:color="000000" w:fill="FFFFFF"/>
            <w:vAlign w:val="bottom"/>
            <w:hideMark/>
          </w:tcPr>
          <w:p w14:paraId="161AC37C" w14:textId="77777777" w:rsidR="00A50F70" w:rsidRPr="0025499B" w:rsidRDefault="00A50F70" w:rsidP="0025499B">
            <w:pPr>
              <w:jc w:val="center"/>
              <w:rPr>
                <w:rFonts w:ascii="Calibri" w:eastAsia="Times New Roman" w:hAnsi="Calibri" w:cs="Calibri"/>
                <w:b/>
                <w:bCs/>
              </w:rPr>
            </w:pPr>
            <w:r w:rsidRPr="0025499B">
              <w:rPr>
                <w:rFonts w:ascii="Calibri" w:eastAsia="Times New Roman" w:hAnsi="Calibri" w:cs="Calibri"/>
                <w:b/>
                <w:bCs/>
              </w:rPr>
              <w:t>2021</w:t>
            </w:r>
          </w:p>
        </w:tc>
        <w:tc>
          <w:tcPr>
            <w:tcW w:w="893" w:type="dxa"/>
            <w:tcBorders>
              <w:top w:val="nil"/>
              <w:left w:val="nil"/>
              <w:bottom w:val="single" w:sz="12" w:space="0" w:color="00688D"/>
              <w:right w:val="nil"/>
            </w:tcBorders>
            <w:shd w:val="clear" w:color="000000" w:fill="FFFFFF"/>
            <w:vAlign w:val="bottom"/>
            <w:hideMark/>
          </w:tcPr>
          <w:p w14:paraId="1BCA1ACE" w14:textId="77777777" w:rsidR="00A50F70" w:rsidRPr="0025499B" w:rsidRDefault="00A50F70" w:rsidP="0025499B">
            <w:pPr>
              <w:jc w:val="center"/>
              <w:rPr>
                <w:rFonts w:ascii="Calibri" w:eastAsia="Times New Roman" w:hAnsi="Calibri" w:cs="Calibri"/>
                <w:b/>
                <w:bCs/>
              </w:rPr>
            </w:pPr>
            <w:r w:rsidRPr="0025499B">
              <w:rPr>
                <w:rFonts w:ascii="Calibri" w:eastAsia="Times New Roman" w:hAnsi="Calibri" w:cs="Calibri"/>
                <w:b/>
                <w:bCs/>
              </w:rPr>
              <w:t>% Change</w:t>
            </w:r>
          </w:p>
        </w:tc>
        <w:tc>
          <w:tcPr>
            <w:tcW w:w="960" w:type="dxa"/>
            <w:tcBorders>
              <w:top w:val="nil"/>
              <w:left w:val="nil"/>
              <w:bottom w:val="single" w:sz="12" w:space="0" w:color="00688D"/>
              <w:right w:val="nil"/>
            </w:tcBorders>
            <w:shd w:val="clear" w:color="000000" w:fill="FFFFFF"/>
            <w:vAlign w:val="bottom"/>
            <w:hideMark/>
          </w:tcPr>
          <w:p w14:paraId="33731180" w14:textId="77777777" w:rsidR="00A50F70" w:rsidRPr="0025499B" w:rsidRDefault="00A50F70" w:rsidP="0025499B">
            <w:pPr>
              <w:jc w:val="center"/>
              <w:rPr>
                <w:rFonts w:ascii="Calibri" w:eastAsia="Times New Roman" w:hAnsi="Calibri" w:cs="Calibri"/>
                <w:b/>
                <w:bCs/>
              </w:rPr>
            </w:pPr>
            <w:r w:rsidRPr="0025499B">
              <w:rPr>
                <w:rFonts w:ascii="Calibri" w:eastAsia="Times New Roman" w:hAnsi="Calibri" w:cs="Calibri"/>
                <w:b/>
                <w:bCs/>
              </w:rPr>
              <w:t>2020</w:t>
            </w:r>
          </w:p>
        </w:tc>
      </w:tr>
      <w:tr w:rsidR="00A50F70" w:rsidRPr="00A50F70" w14:paraId="5A0180EE" w14:textId="77777777" w:rsidTr="00A84C16">
        <w:trPr>
          <w:trHeight w:val="300"/>
        </w:trPr>
        <w:tc>
          <w:tcPr>
            <w:tcW w:w="4410" w:type="dxa"/>
            <w:tcBorders>
              <w:top w:val="nil"/>
              <w:left w:val="nil"/>
              <w:bottom w:val="nil"/>
              <w:right w:val="nil"/>
            </w:tcBorders>
            <w:shd w:val="clear" w:color="000000" w:fill="FFFFFF"/>
            <w:noWrap/>
            <w:vAlign w:val="bottom"/>
            <w:hideMark/>
          </w:tcPr>
          <w:p w14:paraId="4531F4D9" w14:textId="77777777" w:rsidR="00A50F70" w:rsidRPr="00A50F70" w:rsidRDefault="00A50F70" w:rsidP="00A50F70">
            <w:pPr>
              <w:rPr>
                <w:rFonts w:ascii="Calibri" w:eastAsia="Times New Roman" w:hAnsi="Calibri" w:cs="Calibri"/>
              </w:rPr>
            </w:pPr>
            <w:r w:rsidRPr="00A50F70">
              <w:rPr>
                <w:rFonts w:ascii="Calibri" w:eastAsia="Times New Roman" w:hAnsi="Calibri" w:cs="Calibri"/>
              </w:rPr>
              <w:t>Cash and cash equivalents</w:t>
            </w:r>
          </w:p>
        </w:tc>
        <w:tc>
          <w:tcPr>
            <w:tcW w:w="960" w:type="dxa"/>
            <w:tcBorders>
              <w:top w:val="nil"/>
              <w:left w:val="nil"/>
              <w:bottom w:val="nil"/>
              <w:right w:val="nil"/>
            </w:tcBorders>
            <w:shd w:val="clear" w:color="000000" w:fill="FFFFFF"/>
            <w:noWrap/>
            <w:vAlign w:val="bottom"/>
            <w:hideMark/>
          </w:tcPr>
          <w:p w14:paraId="288B14F5" w14:textId="57EA0E97"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          2</w:t>
            </w:r>
          </w:p>
        </w:tc>
        <w:tc>
          <w:tcPr>
            <w:tcW w:w="893" w:type="dxa"/>
            <w:tcBorders>
              <w:top w:val="nil"/>
              <w:left w:val="nil"/>
              <w:bottom w:val="nil"/>
              <w:right w:val="nil"/>
            </w:tcBorders>
            <w:shd w:val="clear" w:color="000000" w:fill="BFBFBF"/>
            <w:noWrap/>
            <w:vAlign w:val="bottom"/>
            <w:hideMark/>
          </w:tcPr>
          <w:p w14:paraId="7AAFB299"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0%</w:t>
            </w:r>
          </w:p>
        </w:tc>
        <w:tc>
          <w:tcPr>
            <w:tcW w:w="960" w:type="dxa"/>
            <w:tcBorders>
              <w:top w:val="nil"/>
              <w:left w:val="nil"/>
              <w:bottom w:val="nil"/>
              <w:right w:val="nil"/>
            </w:tcBorders>
            <w:shd w:val="clear" w:color="000000" w:fill="FFFFFF"/>
            <w:noWrap/>
            <w:vAlign w:val="bottom"/>
            <w:hideMark/>
          </w:tcPr>
          <w:p w14:paraId="41638F3E" w14:textId="47CD895E"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 xml:space="preserve">$          2 </w:t>
            </w:r>
          </w:p>
        </w:tc>
        <w:tc>
          <w:tcPr>
            <w:tcW w:w="893" w:type="dxa"/>
            <w:tcBorders>
              <w:top w:val="nil"/>
              <w:left w:val="nil"/>
              <w:bottom w:val="nil"/>
              <w:right w:val="nil"/>
            </w:tcBorders>
            <w:shd w:val="clear" w:color="000000" w:fill="BFBFBF"/>
            <w:noWrap/>
            <w:vAlign w:val="bottom"/>
            <w:hideMark/>
          </w:tcPr>
          <w:p w14:paraId="237B1A83"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0%</w:t>
            </w:r>
          </w:p>
        </w:tc>
        <w:tc>
          <w:tcPr>
            <w:tcW w:w="960" w:type="dxa"/>
            <w:tcBorders>
              <w:top w:val="nil"/>
              <w:left w:val="nil"/>
              <w:bottom w:val="nil"/>
              <w:right w:val="nil"/>
            </w:tcBorders>
            <w:shd w:val="clear" w:color="000000" w:fill="FFFFFF"/>
            <w:noWrap/>
            <w:vAlign w:val="bottom"/>
            <w:hideMark/>
          </w:tcPr>
          <w:p w14:paraId="44B4D706" w14:textId="23F0D429" w:rsidR="00A50F70" w:rsidRPr="00A50F70" w:rsidRDefault="00A50F70" w:rsidP="00A84C16">
            <w:pPr>
              <w:jc w:val="right"/>
              <w:rPr>
                <w:rFonts w:ascii="Calibri" w:eastAsia="Times New Roman" w:hAnsi="Calibri" w:cs="Calibri"/>
              </w:rPr>
            </w:pPr>
            <w:r w:rsidRPr="00A50F70">
              <w:rPr>
                <w:rFonts w:ascii="Calibri" w:eastAsia="Times New Roman" w:hAnsi="Calibri" w:cs="Calibri"/>
              </w:rPr>
              <w:t>$          2</w:t>
            </w:r>
          </w:p>
        </w:tc>
      </w:tr>
      <w:tr w:rsidR="00A50F70" w:rsidRPr="00A50F70" w14:paraId="2132D95C" w14:textId="77777777" w:rsidTr="00A84C16">
        <w:trPr>
          <w:trHeight w:val="288"/>
        </w:trPr>
        <w:tc>
          <w:tcPr>
            <w:tcW w:w="4410" w:type="dxa"/>
            <w:tcBorders>
              <w:top w:val="nil"/>
              <w:left w:val="nil"/>
              <w:bottom w:val="nil"/>
              <w:right w:val="nil"/>
            </w:tcBorders>
            <w:shd w:val="clear" w:color="000000" w:fill="FFFFFF"/>
            <w:noWrap/>
            <w:vAlign w:val="bottom"/>
            <w:hideMark/>
          </w:tcPr>
          <w:p w14:paraId="06BC2220" w14:textId="77777777" w:rsidR="00A50F70" w:rsidRPr="00A50F70" w:rsidRDefault="00A50F70" w:rsidP="00A50F70">
            <w:pPr>
              <w:rPr>
                <w:rFonts w:ascii="Calibri" w:eastAsia="Times New Roman" w:hAnsi="Calibri" w:cs="Calibri"/>
              </w:rPr>
            </w:pPr>
            <w:r w:rsidRPr="00A50F70">
              <w:rPr>
                <w:rFonts w:ascii="Calibri" w:eastAsia="Times New Roman" w:hAnsi="Calibri" w:cs="Calibri"/>
              </w:rPr>
              <w:t>Investments - pooled</w:t>
            </w:r>
          </w:p>
        </w:tc>
        <w:tc>
          <w:tcPr>
            <w:tcW w:w="960" w:type="dxa"/>
            <w:tcBorders>
              <w:top w:val="nil"/>
              <w:left w:val="nil"/>
              <w:bottom w:val="nil"/>
              <w:right w:val="nil"/>
            </w:tcBorders>
            <w:shd w:val="clear" w:color="000000" w:fill="FFFFFF"/>
            <w:noWrap/>
            <w:vAlign w:val="bottom"/>
            <w:hideMark/>
          </w:tcPr>
          <w:p w14:paraId="7A75DC2B" w14:textId="79C5E4A2"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197</w:t>
            </w:r>
          </w:p>
        </w:tc>
        <w:tc>
          <w:tcPr>
            <w:tcW w:w="893" w:type="dxa"/>
            <w:tcBorders>
              <w:top w:val="nil"/>
              <w:left w:val="nil"/>
              <w:bottom w:val="nil"/>
              <w:right w:val="nil"/>
            </w:tcBorders>
            <w:shd w:val="clear" w:color="000000" w:fill="BFBFBF"/>
            <w:noWrap/>
            <w:vAlign w:val="bottom"/>
            <w:hideMark/>
          </w:tcPr>
          <w:p w14:paraId="168C66D1"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-30%</w:t>
            </w:r>
          </w:p>
        </w:tc>
        <w:tc>
          <w:tcPr>
            <w:tcW w:w="960" w:type="dxa"/>
            <w:tcBorders>
              <w:top w:val="nil"/>
              <w:left w:val="nil"/>
              <w:bottom w:val="nil"/>
              <w:right w:val="nil"/>
            </w:tcBorders>
            <w:shd w:val="clear" w:color="000000" w:fill="FFFFFF"/>
            <w:noWrap/>
            <w:vAlign w:val="bottom"/>
            <w:hideMark/>
          </w:tcPr>
          <w:p w14:paraId="235129E2" w14:textId="64356DE6"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283</w:t>
            </w:r>
          </w:p>
        </w:tc>
        <w:tc>
          <w:tcPr>
            <w:tcW w:w="893" w:type="dxa"/>
            <w:tcBorders>
              <w:top w:val="nil"/>
              <w:left w:val="nil"/>
              <w:bottom w:val="nil"/>
              <w:right w:val="nil"/>
            </w:tcBorders>
            <w:shd w:val="clear" w:color="000000" w:fill="BFBFBF"/>
            <w:noWrap/>
            <w:vAlign w:val="bottom"/>
            <w:hideMark/>
          </w:tcPr>
          <w:p w14:paraId="7BC0814A"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30%</w:t>
            </w:r>
          </w:p>
        </w:tc>
        <w:tc>
          <w:tcPr>
            <w:tcW w:w="960" w:type="dxa"/>
            <w:tcBorders>
              <w:top w:val="nil"/>
              <w:left w:val="nil"/>
              <w:bottom w:val="nil"/>
              <w:right w:val="nil"/>
            </w:tcBorders>
            <w:shd w:val="clear" w:color="000000" w:fill="FFFFFF"/>
            <w:noWrap/>
            <w:vAlign w:val="bottom"/>
            <w:hideMark/>
          </w:tcPr>
          <w:p w14:paraId="232CEAF2" w14:textId="5F164655" w:rsidR="00A50F70" w:rsidRPr="00A50F70" w:rsidRDefault="00A50F70" w:rsidP="00A84C16">
            <w:pPr>
              <w:jc w:val="right"/>
              <w:rPr>
                <w:rFonts w:ascii="Calibri" w:eastAsia="Times New Roman" w:hAnsi="Calibri" w:cs="Calibri"/>
              </w:rPr>
            </w:pPr>
            <w:r w:rsidRPr="00A50F70">
              <w:rPr>
                <w:rFonts w:ascii="Calibri" w:eastAsia="Times New Roman" w:hAnsi="Calibri" w:cs="Calibri"/>
              </w:rPr>
              <w:t>218</w:t>
            </w:r>
          </w:p>
        </w:tc>
      </w:tr>
      <w:tr w:rsidR="00A50F70" w:rsidRPr="00A50F70" w14:paraId="1237AB97" w14:textId="77777777" w:rsidTr="00A84C16">
        <w:trPr>
          <w:trHeight w:val="288"/>
        </w:trPr>
        <w:tc>
          <w:tcPr>
            <w:tcW w:w="4410" w:type="dxa"/>
            <w:tcBorders>
              <w:top w:val="nil"/>
              <w:left w:val="nil"/>
              <w:bottom w:val="single" w:sz="4" w:space="0" w:color="00688D"/>
              <w:right w:val="nil"/>
            </w:tcBorders>
            <w:shd w:val="clear" w:color="000000" w:fill="FFFFFF"/>
            <w:noWrap/>
            <w:vAlign w:val="bottom"/>
            <w:hideMark/>
          </w:tcPr>
          <w:p w14:paraId="36C9612F" w14:textId="77777777" w:rsidR="00A50F70" w:rsidRPr="00A50F70" w:rsidRDefault="00A50F70" w:rsidP="00A50F70">
            <w:pPr>
              <w:rPr>
                <w:rFonts w:ascii="Calibri" w:eastAsia="Times New Roman" w:hAnsi="Calibri" w:cs="Calibri"/>
              </w:rPr>
            </w:pPr>
            <w:r w:rsidRPr="00A50F70">
              <w:rPr>
                <w:rFonts w:ascii="Calibri" w:eastAsia="Times New Roman" w:hAnsi="Calibri" w:cs="Calibri"/>
              </w:rPr>
              <w:t>Investments - other</w:t>
            </w:r>
          </w:p>
        </w:tc>
        <w:tc>
          <w:tcPr>
            <w:tcW w:w="960" w:type="dxa"/>
            <w:tcBorders>
              <w:top w:val="nil"/>
              <w:left w:val="nil"/>
              <w:bottom w:val="single" w:sz="4" w:space="0" w:color="00688D"/>
              <w:right w:val="nil"/>
            </w:tcBorders>
            <w:shd w:val="clear" w:color="000000" w:fill="FFFFFF"/>
            <w:noWrap/>
            <w:vAlign w:val="bottom"/>
            <w:hideMark/>
          </w:tcPr>
          <w:p w14:paraId="66A21BD8" w14:textId="1378DEE8"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2</w:t>
            </w:r>
            <w:r>
              <w:rPr>
                <w:rFonts w:ascii="Calibri" w:eastAsia="Times New Roman" w:hAnsi="Calibri" w:cs="Calibri"/>
                <w:b/>
                <w:bCs/>
              </w:rPr>
              <w:t>1</w:t>
            </w:r>
          </w:p>
        </w:tc>
        <w:tc>
          <w:tcPr>
            <w:tcW w:w="893" w:type="dxa"/>
            <w:tcBorders>
              <w:top w:val="nil"/>
              <w:left w:val="nil"/>
              <w:bottom w:val="nil"/>
              <w:right w:val="nil"/>
            </w:tcBorders>
            <w:shd w:val="clear" w:color="000000" w:fill="BFBFBF"/>
            <w:noWrap/>
            <w:vAlign w:val="bottom"/>
            <w:hideMark/>
          </w:tcPr>
          <w:p w14:paraId="74130A27"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-16%</w:t>
            </w:r>
          </w:p>
        </w:tc>
        <w:tc>
          <w:tcPr>
            <w:tcW w:w="960" w:type="dxa"/>
            <w:tcBorders>
              <w:top w:val="nil"/>
              <w:left w:val="nil"/>
              <w:bottom w:val="single" w:sz="4" w:space="0" w:color="00688D"/>
              <w:right w:val="nil"/>
            </w:tcBorders>
            <w:shd w:val="clear" w:color="000000" w:fill="FFFFFF"/>
            <w:noWrap/>
            <w:vAlign w:val="bottom"/>
            <w:hideMark/>
          </w:tcPr>
          <w:p w14:paraId="19796E76" w14:textId="365419A2"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25</w:t>
            </w:r>
          </w:p>
        </w:tc>
        <w:tc>
          <w:tcPr>
            <w:tcW w:w="893" w:type="dxa"/>
            <w:tcBorders>
              <w:top w:val="nil"/>
              <w:left w:val="nil"/>
              <w:bottom w:val="nil"/>
              <w:right w:val="nil"/>
            </w:tcBorders>
            <w:shd w:val="clear" w:color="000000" w:fill="BFBFBF"/>
            <w:noWrap/>
            <w:vAlign w:val="bottom"/>
            <w:hideMark/>
          </w:tcPr>
          <w:p w14:paraId="628F54BF"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0%</w:t>
            </w:r>
          </w:p>
        </w:tc>
        <w:tc>
          <w:tcPr>
            <w:tcW w:w="960" w:type="dxa"/>
            <w:tcBorders>
              <w:top w:val="nil"/>
              <w:left w:val="nil"/>
              <w:bottom w:val="single" w:sz="4" w:space="0" w:color="00688D"/>
              <w:right w:val="nil"/>
            </w:tcBorders>
            <w:shd w:val="clear" w:color="000000" w:fill="FFFFFF"/>
            <w:noWrap/>
            <w:vAlign w:val="bottom"/>
            <w:hideMark/>
          </w:tcPr>
          <w:p w14:paraId="2FB2FFD9" w14:textId="68FD81DD" w:rsidR="00A50F70" w:rsidRPr="00A50F70" w:rsidRDefault="00A50F70" w:rsidP="00A84C16">
            <w:pPr>
              <w:jc w:val="right"/>
              <w:rPr>
                <w:rFonts w:ascii="Calibri" w:eastAsia="Times New Roman" w:hAnsi="Calibri" w:cs="Calibri"/>
              </w:rPr>
            </w:pPr>
            <w:r w:rsidRPr="00A50F70">
              <w:rPr>
                <w:rFonts w:ascii="Calibri" w:eastAsia="Times New Roman" w:hAnsi="Calibri" w:cs="Calibri"/>
              </w:rPr>
              <w:t>25</w:t>
            </w:r>
          </w:p>
        </w:tc>
      </w:tr>
      <w:tr w:rsidR="00A50F70" w:rsidRPr="00A50F70" w14:paraId="5F4B23E4" w14:textId="77777777" w:rsidTr="00A84C16">
        <w:trPr>
          <w:trHeight w:val="288"/>
        </w:trPr>
        <w:tc>
          <w:tcPr>
            <w:tcW w:w="4410" w:type="dxa"/>
            <w:tcBorders>
              <w:top w:val="nil"/>
              <w:left w:val="nil"/>
              <w:bottom w:val="single" w:sz="4" w:space="0" w:color="00688D"/>
              <w:right w:val="nil"/>
            </w:tcBorders>
            <w:shd w:val="clear" w:color="000000" w:fill="FFFFFF"/>
            <w:noWrap/>
            <w:vAlign w:val="bottom"/>
            <w:hideMark/>
          </w:tcPr>
          <w:p w14:paraId="7CBE74D4" w14:textId="77777777" w:rsidR="00A50F70" w:rsidRPr="00A50F70" w:rsidRDefault="00A50F70" w:rsidP="00A50F70">
            <w:pPr>
              <w:rPr>
                <w:rFonts w:ascii="Calibri" w:eastAsia="Times New Roman" w:hAnsi="Calibri" w:cs="Calibri"/>
                <w:b/>
                <w:bCs/>
              </w:rPr>
            </w:pPr>
            <w:r w:rsidRPr="00A50F70">
              <w:rPr>
                <w:rFonts w:ascii="Calibri" w:eastAsia="Times New Roman" w:hAnsi="Calibri" w:cs="Calibri"/>
                <w:b/>
                <w:bCs/>
              </w:rPr>
              <w:t>Total Assets</w:t>
            </w:r>
          </w:p>
        </w:tc>
        <w:tc>
          <w:tcPr>
            <w:tcW w:w="960" w:type="dxa"/>
            <w:tcBorders>
              <w:top w:val="nil"/>
              <w:left w:val="nil"/>
              <w:bottom w:val="single" w:sz="4" w:space="0" w:color="00688D"/>
              <w:right w:val="nil"/>
            </w:tcBorders>
            <w:shd w:val="clear" w:color="000000" w:fill="FFFFFF"/>
            <w:noWrap/>
            <w:vAlign w:val="bottom"/>
            <w:hideMark/>
          </w:tcPr>
          <w:p w14:paraId="3194DE78" w14:textId="27A6FBB6"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220</w:t>
            </w:r>
          </w:p>
        </w:tc>
        <w:tc>
          <w:tcPr>
            <w:tcW w:w="893" w:type="dxa"/>
            <w:tcBorders>
              <w:top w:val="nil"/>
              <w:left w:val="nil"/>
              <w:bottom w:val="nil"/>
              <w:right w:val="nil"/>
            </w:tcBorders>
            <w:shd w:val="clear" w:color="000000" w:fill="BFBFBF"/>
            <w:noWrap/>
            <w:vAlign w:val="bottom"/>
            <w:hideMark/>
          </w:tcPr>
          <w:p w14:paraId="37275D9D"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-29%</w:t>
            </w:r>
          </w:p>
        </w:tc>
        <w:tc>
          <w:tcPr>
            <w:tcW w:w="960" w:type="dxa"/>
            <w:tcBorders>
              <w:top w:val="nil"/>
              <w:left w:val="nil"/>
              <w:bottom w:val="single" w:sz="4" w:space="0" w:color="00688D"/>
              <w:right w:val="nil"/>
            </w:tcBorders>
            <w:shd w:val="clear" w:color="000000" w:fill="FFFFFF"/>
            <w:noWrap/>
            <w:vAlign w:val="bottom"/>
            <w:hideMark/>
          </w:tcPr>
          <w:p w14:paraId="7C3F1677" w14:textId="02A82F8D"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310</w:t>
            </w:r>
          </w:p>
        </w:tc>
        <w:tc>
          <w:tcPr>
            <w:tcW w:w="893" w:type="dxa"/>
            <w:tcBorders>
              <w:top w:val="nil"/>
              <w:left w:val="nil"/>
              <w:bottom w:val="nil"/>
              <w:right w:val="nil"/>
            </w:tcBorders>
            <w:shd w:val="clear" w:color="000000" w:fill="BFBFBF"/>
            <w:noWrap/>
            <w:vAlign w:val="bottom"/>
            <w:hideMark/>
          </w:tcPr>
          <w:p w14:paraId="1B4DC98B"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27%</w:t>
            </w:r>
          </w:p>
        </w:tc>
        <w:tc>
          <w:tcPr>
            <w:tcW w:w="960" w:type="dxa"/>
            <w:tcBorders>
              <w:top w:val="nil"/>
              <w:left w:val="nil"/>
              <w:bottom w:val="single" w:sz="4" w:space="0" w:color="00688D"/>
              <w:right w:val="nil"/>
            </w:tcBorders>
            <w:shd w:val="clear" w:color="000000" w:fill="FFFFFF"/>
            <w:noWrap/>
            <w:vAlign w:val="bottom"/>
            <w:hideMark/>
          </w:tcPr>
          <w:p w14:paraId="1239AC25" w14:textId="2A996C19" w:rsidR="00A50F70" w:rsidRPr="00A50F70" w:rsidRDefault="00A50F70" w:rsidP="00A84C16">
            <w:pPr>
              <w:jc w:val="right"/>
              <w:rPr>
                <w:rFonts w:ascii="Calibri" w:eastAsia="Times New Roman" w:hAnsi="Calibri" w:cs="Calibri"/>
              </w:rPr>
            </w:pPr>
            <w:r w:rsidRPr="00A50F70">
              <w:rPr>
                <w:rFonts w:ascii="Calibri" w:eastAsia="Times New Roman" w:hAnsi="Calibri" w:cs="Calibri"/>
              </w:rPr>
              <w:t>24</w:t>
            </w:r>
            <w:r>
              <w:rPr>
                <w:rFonts w:ascii="Calibri" w:eastAsia="Times New Roman" w:hAnsi="Calibri" w:cs="Calibri"/>
              </w:rPr>
              <w:t>5</w:t>
            </w:r>
          </w:p>
        </w:tc>
      </w:tr>
      <w:tr w:rsidR="00A50F70" w:rsidRPr="00A50F70" w14:paraId="5D59FA64" w14:textId="77777777" w:rsidTr="00A84C16">
        <w:trPr>
          <w:trHeight w:val="288"/>
        </w:trPr>
        <w:tc>
          <w:tcPr>
            <w:tcW w:w="4410" w:type="dxa"/>
            <w:tcBorders>
              <w:top w:val="nil"/>
              <w:left w:val="nil"/>
              <w:bottom w:val="nil"/>
              <w:right w:val="nil"/>
            </w:tcBorders>
            <w:shd w:val="clear" w:color="000000" w:fill="FFFFFF"/>
            <w:noWrap/>
            <w:vAlign w:val="bottom"/>
            <w:hideMark/>
          </w:tcPr>
          <w:p w14:paraId="60ACD8D0" w14:textId="77777777" w:rsidR="00A50F70" w:rsidRPr="00A50F70" w:rsidRDefault="00A50F70" w:rsidP="00A50F70">
            <w:pPr>
              <w:rPr>
                <w:rFonts w:ascii="Calibri" w:eastAsia="Times New Roman" w:hAnsi="Calibri" w:cs="Calibri"/>
                <w:b/>
                <w:bCs/>
              </w:rPr>
            </w:pPr>
            <w:r w:rsidRPr="00A50F70">
              <w:rPr>
                <w:rFonts w:ascii="Calibri" w:eastAsia="Times New Roman" w:hAnsi="Calibri" w:cs="Calibri"/>
                <w:b/>
                <w:bCs/>
              </w:rPr>
              <w:t> </w:t>
            </w:r>
          </w:p>
        </w:tc>
        <w:tc>
          <w:tcPr>
            <w:tcW w:w="960" w:type="dxa"/>
            <w:tcBorders>
              <w:top w:val="nil"/>
              <w:left w:val="nil"/>
              <w:bottom w:val="nil"/>
              <w:right w:val="nil"/>
            </w:tcBorders>
            <w:shd w:val="clear" w:color="000000" w:fill="FFFFFF"/>
            <w:noWrap/>
            <w:vAlign w:val="bottom"/>
            <w:hideMark/>
          </w:tcPr>
          <w:p w14:paraId="62068E7C" w14:textId="77777777"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 </w:t>
            </w:r>
          </w:p>
        </w:tc>
        <w:tc>
          <w:tcPr>
            <w:tcW w:w="893" w:type="dxa"/>
            <w:tcBorders>
              <w:top w:val="nil"/>
              <w:left w:val="nil"/>
              <w:bottom w:val="nil"/>
              <w:right w:val="nil"/>
            </w:tcBorders>
            <w:shd w:val="clear" w:color="000000" w:fill="BFBFBF"/>
            <w:noWrap/>
            <w:vAlign w:val="bottom"/>
            <w:hideMark/>
          </w:tcPr>
          <w:p w14:paraId="30950C9B" w14:textId="77777777"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 </w:t>
            </w:r>
          </w:p>
        </w:tc>
        <w:tc>
          <w:tcPr>
            <w:tcW w:w="960" w:type="dxa"/>
            <w:tcBorders>
              <w:top w:val="nil"/>
              <w:left w:val="nil"/>
              <w:bottom w:val="nil"/>
              <w:right w:val="nil"/>
            </w:tcBorders>
            <w:shd w:val="clear" w:color="000000" w:fill="FFFFFF"/>
            <w:noWrap/>
            <w:vAlign w:val="bottom"/>
            <w:hideMark/>
          </w:tcPr>
          <w:p w14:paraId="61115CD0" w14:textId="77777777"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 </w:t>
            </w:r>
          </w:p>
        </w:tc>
        <w:tc>
          <w:tcPr>
            <w:tcW w:w="893" w:type="dxa"/>
            <w:tcBorders>
              <w:top w:val="nil"/>
              <w:left w:val="nil"/>
              <w:bottom w:val="nil"/>
              <w:right w:val="nil"/>
            </w:tcBorders>
            <w:shd w:val="clear" w:color="000000" w:fill="BFBFBF"/>
            <w:noWrap/>
            <w:vAlign w:val="bottom"/>
            <w:hideMark/>
          </w:tcPr>
          <w:p w14:paraId="722294D7" w14:textId="77777777"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 </w:t>
            </w:r>
          </w:p>
        </w:tc>
        <w:tc>
          <w:tcPr>
            <w:tcW w:w="960" w:type="dxa"/>
            <w:tcBorders>
              <w:top w:val="nil"/>
              <w:left w:val="nil"/>
              <w:bottom w:val="nil"/>
              <w:right w:val="nil"/>
            </w:tcBorders>
            <w:shd w:val="clear" w:color="000000" w:fill="FFFFFF"/>
            <w:noWrap/>
            <w:vAlign w:val="bottom"/>
            <w:hideMark/>
          </w:tcPr>
          <w:p w14:paraId="33B4F0EB" w14:textId="77777777" w:rsidR="00A50F70" w:rsidRPr="00A50F70" w:rsidRDefault="00A50F70" w:rsidP="00A84C16">
            <w:pPr>
              <w:jc w:val="right"/>
              <w:rPr>
                <w:rFonts w:ascii="Calibri" w:eastAsia="Times New Roman" w:hAnsi="Calibri" w:cs="Calibri"/>
              </w:rPr>
            </w:pPr>
            <w:r w:rsidRPr="00A50F70">
              <w:rPr>
                <w:rFonts w:ascii="Calibri" w:eastAsia="Times New Roman" w:hAnsi="Calibri" w:cs="Calibri"/>
              </w:rPr>
              <w:t> </w:t>
            </w:r>
          </w:p>
        </w:tc>
      </w:tr>
      <w:tr w:rsidR="00A50F70" w:rsidRPr="00A50F70" w14:paraId="06173015" w14:textId="77777777" w:rsidTr="00A84C16">
        <w:trPr>
          <w:trHeight w:val="288"/>
        </w:trPr>
        <w:tc>
          <w:tcPr>
            <w:tcW w:w="4410" w:type="dxa"/>
            <w:tcBorders>
              <w:top w:val="nil"/>
              <w:left w:val="nil"/>
              <w:bottom w:val="single" w:sz="4" w:space="0" w:color="00688D"/>
              <w:right w:val="nil"/>
            </w:tcBorders>
            <w:shd w:val="clear" w:color="000000" w:fill="FFFFFF"/>
            <w:noWrap/>
            <w:vAlign w:val="bottom"/>
            <w:hideMark/>
          </w:tcPr>
          <w:p w14:paraId="5FE7AC36" w14:textId="77777777" w:rsidR="00A50F70" w:rsidRPr="00A50F70" w:rsidRDefault="00A50F70" w:rsidP="00A50F70">
            <w:pPr>
              <w:rPr>
                <w:rFonts w:ascii="Calibri" w:eastAsia="Times New Roman" w:hAnsi="Calibri" w:cs="Calibri"/>
                <w:b/>
                <w:bCs/>
              </w:rPr>
            </w:pPr>
            <w:r w:rsidRPr="00A50F70">
              <w:rPr>
                <w:rFonts w:ascii="Calibri" w:eastAsia="Times New Roman" w:hAnsi="Calibri" w:cs="Calibri"/>
                <w:b/>
                <w:bCs/>
              </w:rPr>
              <w:t>Total Liabilities</w:t>
            </w:r>
          </w:p>
        </w:tc>
        <w:tc>
          <w:tcPr>
            <w:tcW w:w="960" w:type="dxa"/>
            <w:tcBorders>
              <w:top w:val="nil"/>
              <w:left w:val="nil"/>
              <w:bottom w:val="single" w:sz="4" w:space="0" w:color="00688D"/>
              <w:right w:val="nil"/>
            </w:tcBorders>
            <w:shd w:val="clear" w:color="000000" w:fill="FFFFFF"/>
            <w:noWrap/>
            <w:vAlign w:val="bottom"/>
            <w:hideMark/>
          </w:tcPr>
          <w:p w14:paraId="55C6844F" w14:textId="51CE92DE"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w:t>
            </w:r>
          </w:p>
        </w:tc>
        <w:tc>
          <w:tcPr>
            <w:tcW w:w="893" w:type="dxa"/>
            <w:tcBorders>
              <w:top w:val="nil"/>
              <w:left w:val="nil"/>
              <w:bottom w:val="nil"/>
              <w:right w:val="nil"/>
            </w:tcBorders>
            <w:shd w:val="clear" w:color="000000" w:fill="BFBFBF"/>
            <w:noWrap/>
            <w:vAlign w:val="bottom"/>
            <w:hideMark/>
          </w:tcPr>
          <w:p w14:paraId="3BCEABBB"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0%</w:t>
            </w:r>
          </w:p>
        </w:tc>
        <w:tc>
          <w:tcPr>
            <w:tcW w:w="960" w:type="dxa"/>
            <w:tcBorders>
              <w:top w:val="nil"/>
              <w:left w:val="nil"/>
              <w:bottom w:val="single" w:sz="4" w:space="0" w:color="00688D"/>
              <w:right w:val="nil"/>
            </w:tcBorders>
            <w:shd w:val="clear" w:color="000000" w:fill="FFFFFF"/>
            <w:noWrap/>
            <w:vAlign w:val="bottom"/>
            <w:hideMark/>
          </w:tcPr>
          <w:p w14:paraId="029F0765" w14:textId="3ECA64B0"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w:t>
            </w:r>
          </w:p>
        </w:tc>
        <w:tc>
          <w:tcPr>
            <w:tcW w:w="893" w:type="dxa"/>
            <w:tcBorders>
              <w:top w:val="nil"/>
              <w:left w:val="nil"/>
              <w:bottom w:val="nil"/>
              <w:right w:val="nil"/>
            </w:tcBorders>
            <w:shd w:val="clear" w:color="000000" w:fill="BFBFBF"/>
            <w:noWrap/>
            <w:vAlign w:val="bottom"/>
            <w:hideMark/>
          </w:tcPr>
          <w:p w14:paraId="29EB54BB"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0%</w:t>
            </w:r>
          </w:p>
        </w:tc>
        <w:tc>
          <w:tcPr>
            <w:tcW w:w="960" w:type="dxa"/>
            <w:tcBorders>
              <w:top w:val="nil"/>
              <w:left w:val="nil"/>
              <w:bottom w:val="single" w:sz="4" w:space="0" w:color="00688D"/>
              <w:right w:val="nil"/>
            </w:tcBorders>
            <w:shd w:val="clear" w:color="000000" w:fill="FFFFFF"/>
            <w:noWrap/>
            <w:vAlign w:val="bottom"/>
            <w:hideMark/>
          </w:tcPr>
          <w:p w14:paraId="441E55C3" w14:textId="4E3274AC" w:rsidR="00A50F70" w:rsidRPr="00A50F70" w:rsidRDefault="00A50F70" w:rsidP="00A84C16">
            <w:pPr>
              <w:jc w:val="right"/>
              <w:rPr>
                <w:rFonts w:ascii="Calibri" w:eastAsia="Times New Roman" w:hAnsi="Calibri" w:cs="Calibri"/>
              </w:rPr>
            </w:pPr>
            <w:r w:rsidRPr="00A50F70">
              <w:rPr>
                <w:rFonts w:ascii="Calibri" w:eastAsia="Times New Roman" w:hAnsi="Calibri" w:cs="Calibri"/>
              </w:rPr>
              <w:t>-</w:t>
            </w:r>
          </w:p>
        </w:tc>
      </w:tr>
      <w:tr w:rsidR="00A50F70" w:rsidRPr="00A50F70" w14:paraId="23B45FC1" w14:textId="77777777" w:rsidTr="00A84C16">
        <w:trPr>
          <w:trHeight w:val="420"/>
        </w:trPr>
        <w:tc>
          <w:tcPr>
            <w:tcW w:w="4410" w:type="dxa"/>
            <w:tcBorders>
              <w:top w:val="nil"/>
              <w:left w:val="nil"/>
              <w:bottom w:val="nil"/>
              <w:right w:val="nil"/>
            </w:tcBorders>
            <w:shd w:val="clear" w:color="000000" w:fill="FFFFFF"/>
            <w:noWrap/>
            <w:vAlign w:val="bottom"/>
            <w:hideMark/>
          </w:tcPr>
          <w:p w14:paraId="429C44FC" w14:textId="77777777" w:rsidR="00A50F70" w:rsidRPr="00A50F70" w:rsidRDefault="00A50F70" w:rsidP="00A50F70">
            <w:pPr>
              <w:rPr>
                <w:rFonts w:ascii="Calibri" w:eastAsia="Times New Roman" w:hAnsi="Calibri" w:cs="Calibri"/>
              </w:rPr>
            </w:pPr>
            <w:r w:rsidRPr="00A50F70">
              <w:rPr>
                <w:rFonts w:ascii="Calibri" w:eastAsia="Times New Roman" w:hAnsi="Calibri" w:cs="Calibri"/>
              </w:rPr>
              <w:t>Pensions</w:t>
            </w:r>
          </w:p>
        </w:tc>
        <w:tc>
          <w:tcPr>
            <w:tcW w:w="960" w:type="dxa"/>
            <w:tcBorders>
              <w:top w:val="nil"/>
              <w:left w:val="nil"/>
              <w:bottom w:val="nil"/>
              <w:right w:val="nil"/>
            </w:tcBorders>
            <w:shd w:val="clear" w:color="000000" w:fill="FFFFFF"/>
            <w:noWrap/>
            <w:vAlign w:val="bottom"/>
            <w:hideMark/>
          </w:tcPr>
          <w:p w14:paraId="000F4999" w14:textId="6BC1F142"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20</w:t>
            </w:r>
          </w:p>
        </w:tc>
        <w:tc>
          <w:tcPr>
            <w:tcW w:w="893" w:type="dxa"/>
            <w:tcBorders>
              <w:top w:val="nil"/>
              <w:left w:val="nil"/>
              <w:bottom w:val="nil"/>
              <w:right w:val="nil"/>
            </w:tcBorders>
            <w:shd w:val="clear" w:color="000000" w:fill="BFBFBF"/>
            <w:noWrap/>
            <w:vAlign w:val="bottom"/>
            <w:hideMark/>
          </w:tcPr>
          <w:p w14:paraId="65872216"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-20%</w:t>
            </w:r>
          </w:p>
        </w:tc>
        <w:tc>
          <w:tcPr>
            <w:tcW w:w="960" w:type="dxa"/>
            <w:tcBorders>
              <w:top w:val="nil"/>
              <w:left w:val="nil"/>
              <w:bottom w:val="nil"/>
              <w:right w:val="nil"/>
            </w:tcBorders>
            <w:shd w:val="clear" w:color="000000" w:fill="FFFFFF"/>
            <w:noWrap/>
            <w:vAlign w:val="bottom"/>
            <w:hideMark/>
          </w:tcPr>
          <w:p w14:paraId="0C3385FB" w14:textId="080F5CED"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25</w:t>
            </w:r>
          </w:p>
        </w:tc>
        <w:tc>
          <w:tcPr>
            <w:tcW w:w="893" w:type="dxa"/>
            <w:tcBorders>
              <w:top w:val="nil"/>
              <w:left w:val="nil"/>
              <w:bottom w:val="nil"/>
              <w:right w:val="nil"/>
            </w:tcBorders>
            <w:shd w:val="clear" w:color="000000" w:fill="BFBFBF"/>
            <w:noWrap/>
            <w:vAlign w:val="bottom"/>
            <w:hideMark/>
          </w:tcPr>
          <w:p w14:paraId="2FA7A316"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0%</w:t>
            </w:r>
          </w:p>
        </w:tc>
        <w:tc>
          <w:tcPr>
            <w:tcW w:w="960" w:type="dxa"/>
            <w:tcBorders>
              <w:top w:val="nil"/>
              <w:left w:val="nil"/>
              <w:bottom w:val="nil"/>
              <w:right w:val="nil"/>
            </w:tcBorders>
            <w:shd w:val="clear" w:color="000000" w:fill="FFFFFF"/>
            <w:noWrap/>
            <w:vAlign w:val="bottom"/>
            <w:hideMark/>
          </w:tcPr>
          <w:p w14:paraId="4D283F9C" w14:textId="26FC8921" w:rsidR="00A50F70" w:rsidRPr="00A50F70" w:rsidRDefault="00A50F70" w:rsidP="00A84C16">
            <w:pPr>
              <w:jc w:val="right"/>
              <w:rPr>
                <w:rFonts w:ascii="Calibri" w:eastAsia="Times New Roman" w:hAnsi="Calibri" w:cs="Calibri"/>
              </w:rPr>
            </w:pPr>
            <w:r w:rsidRPr="00A50F70">
              <w:rPr>
                <w:rFonts w:ascii="Calibri" w:eastAsia="Times New Roman" w:hAnsi="Calibri" w:cs="Calibri"/>
              </w:rPr>
              <w:t>25</w:t>
            </w:r>
          </w:p>
        </w:tc>
      </w:tr>
      <w:tr w:rsidR="00A50F70" w:rsidRPr="00A50F70" w14:paraId="581AC8BC" w14:textId="77777777" w:rsidTr="00A84C16">
        <w:trPr>
          <w:trHeight w:val="288"/>
        </w:trPr>
        <w:tc>
          <w:tcPr>
            <w:tcW w:w="4410" w:type="dxa"/>
            <w:tcBorders>
              <w:top w:val="nil"/>
              <w:left w:val="nil"/>
              <w:bottom w:val="nil"/>
              <w:right w:val="nil"/>
            </w:tcBorders>
            <w:shd w:val="clear" w:color="000000" w:fill="FFFFFF"/>
            <w:noWrap/>
            <w:vAlign w:val="bottom"/>
            <w:hideMark/>
          </w:tcPr>
          <w:p w14:paraId="59CA44AE" w14:textId="77777777" w:rsidR="00A50F70" w:rsidRPr="00A50F70" w:rsidRDefault="00A50F70" w:rsidP="00A50F70">
            <w:pPr>
              <w:rPr>
                <w:rFonts w:ascii="Calibri" w:eastAsia="Times New Roman" w:hAnsi="Calibri" w:cs="Calibri"/>
              </w:rPr>
            </w:pPr>
            <w:r w:rsidRPr="00A50F70">
              <w:rPr>
                <w:rFonts w:ascii="Calibri" w:eastAsia="Times New Roman" w:hAnsi="Calibri" w:cs="Calibri"/>
              </w:rPr>
              <w:t>Postemployment benefits other than pensions</w:t>
            </w:r>
          </w:p>
        </w:tc>
        <w:tc>
          <w:tcPr>
            <w:tcW w:w="960" w:type="dxa"/>
            <w:tcBorders>
              <w:top w:val="nil"/>
              <w:left w:val="nil"/>
              <w:bottom w:val="nil"/>
              <w:right w:val="nil"/>
            </w:tcBorders>
            <w:shd w:val="clear" w:color="000000" w:fill="FFFFFF"/>
            <w:noWrap/>
            <w:vAlign w:val="bottom"/>
            <w:hideMark/>
          </w:tcPr>
          <w:p w14:paraId="3FB9B1AF" w14:textId="29DF5A75"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156</w:t>
            </w:r>
          </w:p>
        </w:tc>
        <w:tc>
          <w:tcPr>
            <w:tcW w:w="893" w:type="dxa"/>
            <w:tcBorders>
              <w:top w:val="nil"/>
              <w:left w:val="nil"/>
              <w:bottom w:val="nil"/>
              <w:right w:val="nil"/>
            </w:tcBorders>
            <w:shd w:val="clear" w:color="000000" w:fill="BFBFBF"/>
            <w:noWrap/>
            <w:vAlign w:val="bottom"/>
            <w:hideMark/>
          </w:tcPr>
          <w:p w14:paraId="51E264AF"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-13%</w:t>
            </w:r>
          </w:p>
        </w:tc>
        <w:tc>
          <w:tcPr>
            <w:tcW w:w="960" w:type="dxa"/>
            <w:tcBorders>
              <w:top w:val="nil"/>
              <w:left w:val="nil"/>
              <w:bottom w:val="nil"/>
              <w:right w:val="nil"/>
            </w:tcBorders>
            <w:shd w:val="clear" w:color="000000" w:fill="FFFFFF"/>
            <w:noWrap/>
            <w:vAlign w:val="bottom"/>
            <w:hideMark/>
          </w:tcPr>
          <w:p w14:paraId="753D6CCE" w14:textId="21986B50"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180</w:t>
            </w:r>
          </w:p>
        </w:tc>
        <w:tc>
          <w:tcPr>
            <w:tcW w:w="893" w:type="dxa"/>
            <w:tcBorders>
              <w:top w:val="nil"/>
              <w:left w:val="nil"/>
              <w:bottom w:val="nil"/>
              <w:right w:val="nil"/>
            </w:tcBorders>
            <w:shd w:val="clear" w:color="000000" w:fill="BFBFBF"/>
            <w:noWrap/>
            <w:vAlign w:val="bottom"/>
            <w:hideMark/>
          </w:tcPr>
          <w:p w14:paraId="508415DE"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31%</w:t>
            </w:r>
          </w:p>
        </w:tc>
        <w:tc>
          <w:tcPr>
            <w:tcW w:w="960" w:type="dxa"/>
            <w:tcBorders>
              <w:top w:val="nil"/>
              <w:left w:val="nil"/>
              <w:bottom w:val="nil"/>
              <w:right w:val="nil"/>
            </w:tcBorders>
            <w:shd w:val="clear" w:color="000000" w:fill="FFFFFF"/>
            <w:noWrap/>
            <w:vAlign w:val="bottom"/>
            <w:hideMark/>
          </w:tcPr>
          <w:p w14:paraId="7647C960" w14:textId="6B4AB4DE" w:rsidR="00A50F70" w:rsidRPr="00A50F70" w:rsidRDefault="00A50F70" w:rsidP="00A84C16">
            <w:pPr>
              <w:jc w:val="right"/>
              <w:rPr>
                <w:rFonts w:ascii="Calibri" w:eastAsia="Times New Roman" w:hAnsi="Calibri" w:cs="Calibri"/>
              </w:rPr>
            </w:pPr>
            <w:r w:rsidRPr="00A50F70">
              <w:rPr>
                <w:rFonts w:ascii="Calibri" w:eastAsia="Times New Roman" w:hAnsi="Calibri" w:cs="Calibri"/>
              </w:rPr>
              <w:t>137</w:t>
            </w:r>
          </w:p>
        </w:tc>
      </w:tr>
      <w:tr w:rsidR="00A50F70" w:rsidRPr="00A50F70" w14:paraId="6F402C83" w14:textId="77777777" w:rsidTr="00A84C16">
        <w:trPr>
          <w:trHeight w:val="288"/>
        </w:trPr>
        <w:tc>
          <w:tcPr>
            <w:tcW w:w="4410" w:type="dxa"/>
            <w:tcBorders>
              <w:top w:val="nil"/>
              <w:left w:val="nil"/>
              <w:bottom w:val="nil"/>
              <w:right w:val="nil"/>
            </w:tcBorders>
            <w:shd w:val="clear" w:color="000000" w:fill="FFFFFF"/>
            <w:noWrap/>
            <w:vAlign w:val="bottom"/>
            <w:hideMark/>
          </w:tcPr>
          <w:p w14:paraId="1693BB8D" w14:textId="77777777" w:rsidR="00A50F70" w:rsidRPr="00A50F70" w:rsidRDefault="00A50F70" w:rsidP="00A50F70">
            <w:pPr>
              <w:rPr>
                <w:rFonts w:ascii="Calibri" w:eastAsia="Times New Roman" w:hAnsi="Calibri" w:cs="Calibri"/>
              </w:rPr>
            </w:pPr>
            <w:r w:rsidRPr="00A50F70">
              <w:rPr>
                <w:rFonts w:ascii="Calibri" w:eastAsia="Times New Roman" w:hAnsi="Calibri" w:cs="Calibri"/>
              </w:rPr>
              <w:t>Pool participants</w:t>
            </w:r>
          </w:p>
        </w:tc>
        <w:tc>
          <w:tcPr>
            <w:tcW w:w="960" w:type="dxa"/>
            <w:tcBorders>
              <w:top w:val="nil"/>
              <w:left w:val="nil"/>
              <w:bottom w:val="nil"/>
              <w:right w:val="nil"/>
            </w:tcBorders>
            <w:shd w:val="clear" w:color="000000" w:fill="FFFFFF"/>
            <w:noWrap/>
            <w:vAlign w:val="bottom"/>
            <w:hideMark/>
          </w:tcPr>
          <w:p w14:paraId="3C8ECF3D" w14:textId="262C6B53"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41</w:t>
            </w:r>
          </w:p>
        </w:tc>
        <w:tc>
          <w:tcPr>
            <w:tcW w:w="893" w:type="dxa"/>
            <w:tcBorders>
              <w:top w:val="nil"/>
              <w:left w:val="nil"/>
              <w:bottom w:val="nil"/>
              <w:right w:val="nil"/>
            </w:tcBorders>
            <w:shd w:val="clear" w:color="000000" w:fill="BFBFBF"/>
            <w:noWrap/>
            <w:vAlign w:val="bottom"/>
            <w:hideMark/>
          </w:tcPr>
          <w:p w14:paraId="4DB127C8"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-60%</w:t>
            </w:r>
          </w:p>
        </w:tc>
        <w:tc>
          <w:tcPr>
            <w:tcW w:w="960" w:type="dxa"/>
            <w:tcBorders>
              <w:top w:val="nil"/>
              <w:left w:val="nil"/>
              <w:bottom w:val="nil"/>
              <w:right w:val="nil"/>
            </w:tcBorders>
            <w:shd w:val="clear" w:color="000000" w:fill="FFFFFF"/>
            <w:noWrap/>
            <w:vAlign w:val="bottom"/>
            <w:hideMark/>
          </w:tcPr>
          <w:p w14:paraId="20500E95" w14:textId="282300D9"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102</w:t>
            </w:r>
          </w:p>
        </w:tc>
        <w:tc>
          <w:tcPr>
            <w:tcW w:w="893" w:type="dxa"/>
            <w:tcBorders>
              <w:top w:val="nil"/>
              <w:left w:val="nil"/>
              <w:bottom w:val="nil"/>
              <w:right w:val="nil"/>
            </w:tcBorders>
            <w:shd w:val="clear" w:color="000000" w:fill="BFBFBF"/>
            <w:noWrap/>
            <w:vAlign w:val="bottom"/>
            <w:hideMark/>
          </w:tcPr>
          <w:p w14:paraId="3A4C2553"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26%</w:t>
            </w:r>
          </w:p>
        </w:tc>
        <w:tc>
          <w:tcPr>
            <w:tcW w:w="960" w:type="dxa"/>
            <w:tcBorders>
              <w:top w:val="nil"/>
              <w:left w:val="nil"/>
              <w:bottom w:val="nil"/>
              <w:right w:val="nil"/>
            </w:tcBorders>
            <w:shd w:val="clear" w:color="000000" w:fill="FFFFFF"/>
            <w:noWrap/>
            <w:vAlign w:val="bottom"/>
            <w:hideMark/>
          </w:tcPr>
          <w:p w14:paraId="1640A7AA" w14:textId="6D862E6C" w:rsidR="00A50F70" w:rsidRPr="00A50F70" w:rsidRDefault="00A50F70" w:rsidP="00A84C16">
            <w:pPr>
              <w:jc w:val="right"/>
              <w:rPr>
                <w:rFonts w:ascii="Calibri" w:eastAsia="Times New Roman" w:hAnsi="Calibri" w:cs="Calibri"/>
              </w:rPr>
            </w:pPr>
            <w:r w:rsidRPr="00A50F70">
              <w:rPr>
                <w:rFonts w:ascii="Calibri" w:eastAsia="Times New Roman" w:hAnsi="Calibri" w:cs="Calibri"/>
              </w:rPr>
              <w:t>81</w:t>
            </w:r>
          </w:p>
        </w:tc>
      </w:tr>
      <w:tr w:rsidR="00A50F70" w:rsidRPr="00A50F70" w14:paraId="7BE8E3BD" w14:textId="77777777" w:rsidTr="00A84C16">
        <w:trPr>
          <w:trHeight w:val="288"/>
        </w:trPr>
        <w:tc>
          <w:tcPr>
            <w:tcW w:w="4410" w:type="dxa"/>
            <w:tcBorders>
              <w:top w:val="nil"/>
              <w:left w:val="nil"/>
              <w:bottom w:val="nil"/>
              <w:right w:val="nil"/>
            </w:tcBorders>
            <w:shd w:val="clear" w:color="000000" w:fill="FFFFFF"/>
            <w:noWrap/>
            <w:vAlign w:val="bottom"/>
            <w:hideMark/>
          </w:tcPr>
          <w:p w14:paraId="0BF87E40" w14:textId="77777777" w:rsidR="00A50F70" w:rsidRPr="00A50F70" w:rsidRDefault="00A50F70" w:rsidP="00A50F70">
            <w:pPr>
              <w:rPr>
                <w:rFonts w:ascii="Calibri" w:eastAsia="Times New Roman" w:hAnsi="Calibri" w:cs="Calibri"/>
              </w:rPr>
            </w:pPr>
            <w:r w:rsidRPr="00A50F70">
              <w:rPr>
                <w:rFonts w:ascii="Calibri" w:eastAsia="Times New Roman" w:hAnsi="Calibri" w:cs="Calibri"/>
              </w:rPr>
              <w:t>Student and other groups</w:t>
            </w:r>
          </w:p>
        </w:tc>
        <w:tc>
          <w:tcPr>
            <w:tcW w:w="960" w:type="dxa"/>
            <w:tcBorders>
              <w:top w:val="nil"/>
              <w:left w:val="nil"/>
              <w:bottom w:val="nil"/>
              <w:right w:val="nil"/>
            </w:tcBorders>
            <w:shd w:val="clear" w:color="000000" w:fill="FFFFFF"/>
            <w:noWrap/>
            <w:vAlign w:val="bottom"/>
            <w:hideMark/>
          </w:tcPr>
          <w:p w14:paraId="57101D03" w14:textId="108FCE12"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3</w:t>
            </w:r>
          </w:p>
        </w:tc>
        <w:tc>
          <w:tcPr>
            <w:tcW w:w="893" w:type="dxa"/>
            <w:tcBorders>
              <w:top w:val="nil"/>
              <w:left w:val="nil"/>
              <w:bottom w:val="nil"/>
              <w:right w:val="nil"/>
            </w:tcBorders>
            <w:shd w:val="clear" w:color="000000" w:fill="BFBFBF"/>
            <w:noWrap/>
            <w:vAlign w:val="bottom"/>
            <w:hideMark/>
          </w:tcPr>
          <w:p w14:paraId="2035EC09"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0%</w:t>
            </w:r>
          </w:p>
        </w:tc>
        <w:tc>
          <w:tcPr>
            <w:tcW w:w="960" w:type="dxa"/>
            <w:tcBorders>
              <w:top w:val="nil"/>
              <w:left w:val="nil"/>
              <w:bottom w:val="nil"/>
              <w:right w:val="nil"/>
            </w:tcBorders>
            <w:shd w:val="clear" w:color="000000" w:fill="FFFFFF"/>
            <w:noWrap/>
            <w:vAlign w:val="bottom"/>
            <w:hideMark/>
          </w:tcPr>
          <w:p w14:paraId="4FACD6FB" w14:textId="7CFF350D"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3</w:t>
            </w:r>
          </w:p>
        </w:tc>
        <w:tc>
          <w:tcPr>
            <w:tcW w:w="893" w:type="dxa"/>
            <w:tcBorders>
              <w:top w:val="nil"/>
              <w:left w:val="nil"/>
              <w:bottom w:val="nil"/>
              <w:right w:val="nil"/>
            </w:tcBorders>
            <w:shd w:val="clear" w:color="000000" w:fill="BFBFBF"/>
            <w:noWrap/>
            <w:vAlign w:val="bottom"/>
            <w:hideMark/>
          </w:tcPr>
          <w:p w14:paraId="34C0407D"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50%</w:t>
            </w:r>
          </w:p>
        </w:tc>
        <w:tc>
          <w:tcPr>
            <w:tcW w:w="960" w:type="dxa"/>
            <w:tcBorders>
              <w:top w:val="nil"/>
              <w:left w:val="nil"/>
              <w:bottom w:val="nil"/>
              <w:right w:val="nil"/>
            </w:tcBorders>
            <w:shd w:val="clear" w:color="000000" w:fill="FFFFFF"/>
            <w:noWrap/>
            <w:vAlign w:val="bottom"/>
            <w:hideMark/>
          </w:tcPr>
          <w:p w14:paraId="4E76C510" w14:textId="6C337075" w:rsidR="00A50F70" w:rsidRPr="00A50F70" w:rsidRDefault="00A50F70" w:rsidP="00A84C16">
            <w:pPr>
              <w:jc w:val="right"/>
              <w:rPr>
                <w:rFonts w:ascii="Calibri" w:eastAsia="Times New Roman" w:hAnsi="Calibri" w:cs="Calibri"/>
              </w:rPr>
            </w:pPr>
            <w:r w:rsidRPr="00A50F70">
              <w:rPr>
                <w:rFonts w:ascii="Calibri" w:eastAsia="Times New Roman" w:hAnsi="Calibri" w:cs="Calibri"/>
              </w:rPr>
              <w:t>2</w:t>
            </w:r>
          </w:p>
        </w:tc>
      </w:tr>
      <w:tr w:rsidR="00A50F70" w:rsidRPr="00A50F70" w14:paraId="22797726" w14:textId="77777777" w:rsidTr="00A84C16">
        <w:trPr>
          <w:trHeight w:val="300"/>
        </w:trPr>
        <w:tc>
          <w:tcPr>
            <w:tcW w:w="4410" w:type="dxa"/>
            <w:tcBorders>
              <w:top w:val="single" w:sz="4" w:space="0" w:color="00688D"/>
              <w:left w:val="nil"/>
              <w:bottom w:val="double" w:sz="6" w:space="0" w:color="00688D"/>
              <w:right w:val="nil"/>
            </w:tcBorders>
            <w:shd w:val="clear" w:color="000000" w:fill="FFFFFF"/>
            <w:noWrap/>
            <w:vAlign w:val="bottom"/>
            <w:hideMark/>
          </w:tcPr>
          <w:p w14:paraId="3075BA0E" w14:textId="77777777" w:rsidR="00A50F70" w:rsidRPr="00A50F70" w:rsidRDefault="00A50F70" w:rsidP="00A50F70">
            <w:pPr>
              <w:rPr>
                <w:rFonts w:ascii="Calibri" w:eastAsia="Times New Roman" w:hAnsi="Calibri" w:cs="Calibri"/>
                <w:b/>
                <w:bCs/>
              </w:rPr>
            </w:pPr>
            <w:r w:rsidRPr="00A50F70">
              <w:rPr>
                <w:rFonts w:ascii="Calibri" w:eastAsia="Times New Roman" w:hAnsi="Calibri" w:cs="Calibri"/>
                <w:b/>
                <w:bCs/>
              </w:rPr>
              <w:t>Total Net Position</w:t>
            </w:r>
          </w:p>
        </w:tc>
        <w:tc>
          <w:tcPr>
            <w:tcW w:w="960" w:type="dxa"/>
            <w:tcBorders>
              <w:top w:val="single" w:sz="4" w:space="0" w:color="00688D"/>
              <w:left w:val="nil"/>
              <w:bottom w:val="double" w:sz="6" w:space="0" w:color="00688D"/>
              <w:right w:val="nil"/>
            </w:tcBorders>
            <w:shd w:val="clear" w:color="000000" w:fill="FFFFFF"/>
            <w:noWrap/>
            <w:vAlign w:val="bottom"/>
            <w:hideMark/>
          </w:tcPr>
          <w:p w14:paraId="2F6F703F" w14:textId="148F0D22" w:rsidR="00A50F70" w:rsidRPr="00A50F70" w:rsidRDefault="00A50F70" w:rsidP="00A84C16">
            <w:pPr>
              <w:jc w:val="right"/>
              <w:rPr>
                <w:rFonts w:ascii="Calibri" w:eastAsia="Times New Roman" w:hAnsi="Calibri" w:cs="Calibri"/>
                <w:b/>
                <w:bCs/>
              </w:rPr>
            </w:pPr>
            <w:r w:rsidRPr="00A50F70">
              <w:rPr>
                <w:rFonts w:ascii="Calibri" w:eastAsia="Times New Roman" w:hAnsi="Calibri" w:cs="Calibri"/>
                <w:b/>
                <w:bCs/>
              </w:rPr>
              <w:t>$     220</w:t>
            </w:r>
          </w:p>
        </w:tc>
        <w:tc>
          <w:tcPr>
            <w:tcW w:w="893" w:type="dxa"/>
            <w:tcBorders>
              <w:top w:val="nil"/>
              <w:left w:val="nil"/>
              <w:bottom w:val="nil"/>
              <w:right w:val="nil"/>
            </w:tcBorders>
            <w:shd w:val="clear" w:color="000000" w:fill="BFBFBF"/>
            <w:noWrap/>
            <w:vAlign w:val="bottom"/>
            <w:hideMark/>
          </w:tcPr>
          <w:p w14:paraId="6131ED76"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-29%</w:t>
            </w:r>
          </w:p>
        </w:tc>
        <w:tc>
          <w:tcPr>
            <w:tcW w:w="960" w:type="dxa"/>
            <w:tcBorders>
              <w:top w:val="single" w:sz="4" w:space="0" w:color="00688D"/>
              <w:left w:val="nil"/>
              <w:bottom w:val="double" w:sz="6" w:space="0" w:color="00688D"/>
              <w:right w:val="nil"/>
            </w:tcBorders>
            <w:shd w:val="clear" w:color="000000" w:fill="FFFFFF"/>
            <w:noWrap/>
            <w:vAlign w:val="bottom"/>
            <w:hideMark/>
          </w:tcPr>
          <w:p w14:paraId="536FBA22" w14:textId="7DB814EF" w:rsidR="00A50F70" w:rsidRPr="00A50F70" w:rsidRDefault="00A50F70" w:rsidP="00A84C16">
            <w:pPr>
              <w:jc w:val="right"/>
              <w:rPr>
                <w:rFonts w:ascii="Calibri" w:eastAsia="Times New Roman" w:hAnsi="Calibri" w:cs="Calibri"/>
                <w:b/>
                <w:bCs/>
              </w:rPr>
            </w:pPr>
            <w:r>
              <w:rPr>
                <w:rFonts w:ascii="Calibri" w:eastAsia="Times New Roman" w:hAnsi="Calibri" w:cs="Calibri"/>
                <w:b/>
                <w:bCs/>
              </w:rPr>
              <w:t>$</w:t>
            </w:r>
            <w:r w:rsidRPr="00A50F70">
              <w:rPr>
                <w:rFonts w:ascii="Calibri" w:eastAsia="Times New Roman" w:hAnsi="Calibri" w:cs="Calibri"/>
                <w:b/>
                <w:bCs/>
              </w:rPr>
              <w:t xml:space="preserve">     310</w:t>
            </w:r>
          </w:p>
        </w:tc>
        <w:tc>
          <w:tcPr>
            <w:tcW w:w="893" w:type="dxa"/>
            <w:tcBorders>
              <w:top w:val="nil"/>
              <w:left w:val="nil"/>
              <w:bottom w:val="nil"/>
              <w:right w:val="nil"/>
            </w:tcBorders>
            <w:shd w:val="clear" w:color="000000" w:fill="BFBFBF"/>
            <w:noWrap/>
            <w:vAlign w:val="bottom"/>
            <w:hideMark/>
          </w:tcPr>
          <w:p w14:paraId="00448445" w14:textId="77777777" w:rsidR="00A50F70" w:rsidRPr="00A50F70" w:rsidRDefault="00A50F70" w:rsidP="00A50F70">
            <w:pPr>
              <w:jc w:val="right"/>
              <w:rPr>
                <w:rFonts w:ascii="Calibri" w:eastAsia="Times New Roman" w:hAnsi="Calibri" w:cs="Calibri"/>
                <w:b/>
                <w:bCs/>
              </w:rPr>
            </w:pPr>
            <w:r w:rsidRPr="00A50F70">
              <w:rPr>
                <w:rFonts w:ascii="Calibri" w:eastAsia="Times New Roman" w:hAnsi="Calibri" w:cs="Calibri"/>
                <w:b/>
                <w:bCs/>
              </w:rPr>
              <w:t>27%</w:t>
            </w:r>
          </w:p>
        </w:tc>
        <w:tc>
          <w:tcPr>
            <w:tcW w:w="960" w:type="dxa"/>
            <w:tcBorders>
              <w:top w:val="single" w:sz="4" w:space="0" w:color="00688D"/>
              <w:left w:val="nil"/>
              <w:bottom w:val="double" w:sz="6" w:space="0" w:color="00688D"/>
              <w:right w:val="nil"/>
            </w:tcBorders>
            <w:shd w:val="clear" w:color="000000" w:fill="FFFFFF"/>
            <w:noWrap/>
            <w:vAlign w:val="bottom"/>
            <w:hideMark/>
          </w:tcPr>
          <w:p w14:paraId="5F92FD57" w14:textId="3C06F09E" w:rsidR="00A50F70" w:rsidRPr="00A50F70" w:rsidRDefault="00A50F70" w:rsidP="00A84C16">
            <w:pPr>
              <w:jc w:val="right"/>
              <w:rPr>
                <w:rFonts w:ascii="Calibri" w:eastAsia="Times New Roman" w:hAnsi="Calibri" w:cs="Calibri"/>
              </w:rPr>
            </w:pPr>
            <w:r w:rsidRPr="00A50F70">
              <w:rPr>
                <w:rFonts w:ascii="Calibri" w:eastAsia="Times New Roman" w:hAnsi="Calibri" w:cs="Calibri"/>
              </w:rPr>
              <w:t>$     245</w:t>
            </w:r>
          </w:p>
        </w:tc>
      </w:tr>
    </w:tbl>
    <w:p w14:paraId="2AD074D3" w14:textId="3492D74F" w:rsidR="00987D33" w:rsidRDefault="00987D33" w:rsidP="00987D33">
      <w:pPr>
        <w:pStyle w:val="AFR2"/>
        <w:pBdr>
          <w:bottom w:val="single" w:sz="8" w:space="2" w:color="00688D"/>
        </w:pBdr>
        <w:spacing w:before="0" w:after="0"/>
        <w:jc w:val="center"/>
        <w:rPr>
          <w:rFonts w:cstheme="minorHAnsi"/>
          <w:b w:val="0"/>
          <w:i w:val="0"/>
          <w:sz w:val="20"/>
        </w:rPr>
      </w:pPr>
    </w:p>
    <w:p w14:paraId="005AB6CA" w14:textId="61BCB99B" w:rsidR="00C405A5" w:rsidRPr="00D353D7" w:rsidRDefault="00C405A5" w:rsidP="00A84C16">
      <w:pPr>
        <w:pStyle w:val="AFR2"/>
        <w:pBdr>
          <w:bottom w:val="single" w:sz="8" w:space="2" w:color="00688D"/>
        </w:pBdr>
        <w:spacing w:before="0" w:after="0"/>
        <w:rPr>
          <w:rFonts w:cstheme="minorHAnsi"/>
          <w:b w:val="0"/>
          <w:i w:val="0"/>
          <w:smallCaps w:val="0"/>
          <w:sz w:val="24"/>
          <w:szCs w:val="24"/>
        </w:rPr>
      </w:pPr>
      <w:r w:rsidRPr="00D353D7">
        <w:rPr>
          <w:rFonts w:cstheme="minorHAnsi"/>
          <w:b w:val="0"/>
          <w:i w:val="0"/>
          <w:smallCaps w:val="0"/>
          <w:sz w:val="24"/>
          <w:szCs w:val="24"/>
        </w:rPr>
        <w:t>The withdrawal from the MIP by MMA played an important role in the decreases in Investments – pooled and Pool participants sections above.</w:t>
      </w:r>
    </w:p>
    <w:p w14:paraId="1A1E821F" w14:textId="43083A71" w:rsidR="00987D33" w:rsidRPr="00B77659" w:rsidRDefault="00987D33" w:rsidP="00987D33">
      <w:pPr>
        <w:pStyle w:val="AFR2"/>
        <w:pBdr>
          <w:bottom w:val="single" w:sz="8" w:space="2" w:color="00688D"/>
        </w:pBdr>
        <w:rPr>
          <w:rFonts w:cstheme="minorHAnsi"/>
        </w:rPr>
      </w:pPr>
      <w:r w:rsidRPr="005E51F2">
        <w:rPr>
          <w:rFonts w:cstheme="minorHAnsi"/>
        </w:rPr>
        <w:t xml:space="preserve">Statements of Changes in Fiduciary </w:t>
      </w:r>
      <w:r w:rsidR="00282503">
        <w:rPr>
          <w:rFonts w:cstheme="minorHAnsi"/>
        </w:rPr>
        <w:t>N</w:t>
      </w:r>
      <w:r w:rsidR="00282503" w:rsidRPr="005E51F2">
        <w:rPr>
          <w:rFonts w:cstheme="minorHAnsi"/>
        </w:rPr>
        <w:t xml:space="preserve">et </w:t>
      </w:r>
      <w:r w:rsidRPr="005E51F2">
        <w:rPr>
          <w:rFonts w:cstheme="minorHAnsi"/>
        </w:rPr>
        <w:t>Position</w:t>
      </w:r>
    </w:p>
    <w:p w14:paraId="0896D84B" w14:textId="14781356" w:rsidR="00987D33" w:rsidRDefault="00987D33" w:rsidP="00C95891">
      <w:pPr>
        <w:tabs>
          <w:tab w:val="left" w:pos="540"/>
        </w:tabs>
        <w:rPr>
          <w:rFonts w:eastAsiaTheme="majorEastAsia" w:cstheme="minorHAnsi"/>
          <w:b/>
          <w:i/>
          <w:iCs/>
          <w:smallCaps/>
          <w:noProof/>
          <w:color w:val="000000" w:themeColor="text1"/>
          <w:sz w:val="32"/>
          <w:szCs w:val="28"/>
          <w:u w:color="5B9BD5"/>
        </w:rPr>
      </w:pPr>
      <w:r>
        <w:rPr>
          <w:rFonts w:eastAsia="Times New Roman" w:cstheme="minorHAnsi"/>
          <w:sz w:val="24"/>
        </w:rPr>
        <w:t>The Statements of Changes in Fiduciary Net Position show the fiscal year changes in the net position associated with assets held on behalf of the external entities noted in the prior discussion of the Statements of Fiduciary Net Position.</w:t>
      </w:r>
    </w:p>
    <w:p w14:paraId="1DF472B1" w14:textId="4A007D10" w:rsidR="00987D33" w:rsidRDefault="00987D33" w:rsidP="00987D33">
      <w:pPr>
        <w:pStyle w:val="AFR2"/>
        <w:pBdr>
          <w:bottom w:val="single" w:sz="8" w:space="2" w:color="00688D"/>
        </w:pBdr>
        <w:rPr>
          <w:rFonts w:cstheme="minorHAnsi"/>
        </w:rPr>
      </w:pPr>
      <w:r>
        <w:rPr>
          <w:rFonts w:cstheme="minorHAnsi"/>
        </w:rPr>
        <w:t>Strategic Vision and Priorities</w:t>
      </w:r>
    </w:p>
    <w:p w14:paraId="4FF50216" w14:textId="70BC322B" w:rsidR="003715F8" w:rsidRPr="00721CFD" w:rsidRDefault="003715F8" w:rsidP="003715F8">
      <w:pPr>
        <w:pStyle w:val="AFR3"/>
        <w:rPr>
          <w:rFonts w:cstheme="minorHAnsi"/>
          <w:b w:val="0"/>
          <w:bCs/>
          <w:i w:val="0"/>
          <w:iCs/>
          <w:sz w:val="24"/>
          <w:szCs w:val="20"/>
          <w:u w:val="none"/>
        </w:rPr>
      </w:pPr>
      <w:r w:rsidRPr="00721CFD">
        <w:rPr>
          <w:rFonts w:cstheme="minorHAnsi"/>
          <w:b w:val="0"/>
          <w:bCs/>
          <w:i w:val="0"/>
          <w:iCs/>
          <w:sz w:val="24"/>
          <w:szCs w:val="20"/>
          <w:u w:val="none"/>
        </w:rPr>
        <w:t xml:space="preserve">In </w:t>
      </w:r>
      <w:r w:rsidR="005D6B29">
        <w:rPr>
          <w:rFonts w:cstheme="minorHAnsi"/>
          <w:b w:val="0"/>
          <w:bCs/>
          <w:i w:val="0"/>
          <w:iCs/>
          <w:sz w:val="24"/>
          <w:szCs w:val="20"/>
          <w:u w:val="none"/>
        </w:rPr>
        <w:t>FY</w:t>
      </w:r>
      <w:r w:rsidRPr="00721CFD">
        <w:rPr>
          <w:rFonts w:cstheme="minorHAnsi"/>
          <w:b w:val="0"/>
          <w:bCs/>
          <w:i w:val="0"/>
          <w:iCs/>
          <w:sz w:val="24"/>
          <w:szCs w:val="20"/>
          <w:u w:val="none"/>
        </w:rPr>
        <w:t xml:space="preserve">22, UM was designated as an R1 university by the prestigious ‎Carnegie Classification of Institutions of Higher Education. The R1 designation </w:t>
      </w:r>
      <w:r w:rsidR="00D82C3E">
        <w:rPr>
          <w:rFonts w:cstheme="minorHAnsi"/>
          <w:b w:val="0"/>
          <w:bCs/>
          <w:i w:val="0"/>
          <w:iCs/>
          <w:sz w:val="24"/>
          <w:szCs w:val="20"/>
          <w:u w:val="none"/>
        </w:rPr>
        <w:t xml:space="preserve">affirms that UM has reached </w:t>
      </w:r>
      <w:r w:rsidRPr="00721CFD">
        <w:rPr>
          <w:rFonts w:cstheme="minorHAnsi"/>
          <w:b w:val="0"/>
          <w:bCs/>
          <w:i w:val="0"/>
          <w:iCs/>
          <w:sz w:val="24"/>
          <w:szCs w:val="20"/>
          <w:u w:val="none"/>
        </w:rPr>
        <w:t xml:space="preserve">“very high research ‎activity” in recent years and the highest possible tier a doctoral research university can achieve in the Carnegie ‎Classification.  </w:t>
      </w:r>
    </w:p>
    <w:p w14:paraId="6BF50E46" w14:textId="6B08712D" w:rsidR="00570515" w:rsidRDefault="00570515" w:rsidP="00987D33">
      <w:pPr>
        <w:pStyle w:val="AFR3"/>
        <w:rPr>
          <w:rFonts w:cstheme="minorHAnsi"/>
        </w:rPr>
      </w:pPr>
      <w:r>
        <w:rPr>
          <w:rFonts w:cstheme="minorHAnsi"/>
        </w:rPr>
        <w:t>Series 2022 Revenue Bonds</w:t>
      </w:r>
    </w:p>
    <w:p w14:paraId="154B7AAA" w14:textId="1620E177" w:rsidR="00570515" w:rsidRPr="00721CFD" w:rsidRDefault="00570515" w:rsidP="00987D33">
      <w:pPr>
        <w:pStyle w:val="AFR3"/>
        <w:rPr>
          <w:rFonts w:cstheme="minorHAnsi"/>
          <w:b w:val="0"/>
          <w:bCs/>
          <w:i w:val="0"/>
          <w:iCs/>
          <w:sz w:val="24"/>
          <w:szCs w:val="20"/>
          <w:u w:val="none"/>
        </w:rPr>
      </w:pPr>
      <w:r w:rsidRPr="00721CFD">
        <w:rPr>
          <w:rFonts w:cstheme="minorHAnsi"/>
          <w:b w:val="0"/>
          <w:bCs/>
          <w:i w:val="0"/>
          <w:iCs/>
          <w:sz w:val="24"/>
          <w:szCs w:val="20"/>
          <w:u w:val="none"/>
        </w:rPr>
        <w:t xml:space="preserve">Proceeds from the sale of the Series 2022 Bonds, </w:t>
      </w:r>
      <w:r w:rsidR="00285301">
        <w:rPr>
          <w:rFonts w:cstheme="minorHAnsi"/>
          <w:b w:val="0"/>
          <w:bCs/>
          <w:i w:val="0"/>
          <w:iCs/>
          <w:sz w:val="24"/>
          <w:szCs w:val="20"/>
          <w:u w:val="none"/>
        </w:rPr>
        <w:t xml:space="preserve">issued in </w:t>
      </w:r>
      <w:r w:rsidR="00A4359C">
        <w:rPr>
          <w:rFonts w:cstheme="minorHAnsi"/>
          <w:b w:val="0"/>
          <w:bCs/>
          <w:i w:val="0"/>
          <w:iCs/>
          <w:sz w:val="24"/>
          <w:szCs w:val="20"/>
          <w:u w:val="none"/>
        </w:rPr>
        <w:t>July 2022</w:t>
      </w:r>
      <w:r w:rsidR="00285301">
        <w:rPr>
          <w:rFonts w:cstheme="minorHAnsi"/>
          <w:b w:val="0"/>
          <w:bCs/>
          <w:i w:val="0"/>
          <w:iCs/>
          <w:sz w:val="24"/>
          <w:szCs w:val="20"/>
          <w:u w:val="none"/>
        </w:rPr>
        <w:t xml:space="preserve">, </w:t>
      </w:r>
      <w:r w:rsidRPr="00721CFD">
        <w:rPr>
          <w:rFonts w:cstheme="minorHAnsi"/>
          <w:b w:val="0"/>
          <w:bCs/>
          <w:i w:val="0"/>
          <w:iCs/>
          <w:sz w:val="24"/>
          <w:szCs w:val="20"/>
          <w:u w:val="none"/>
        </w:rPr>
        <w:t xml:space="preserve">will be used to finance </w:t>
      </w:r>
      <w:r w:rsidR="00C44A69">
        <w:rPr>
          <w:rFonts w:cstheme="minorHAnsi"/>
          <w:b w:val="0"/>
          <w:bCs/>
          <w:i w:val="0"/>
          <w:iCs/>
          <w:sz w:val="24"/>
          <w:szCs w:val="20"/>
          <w:u w:val="none"/>
        </w:rPr>
        <w:t>construction of</w:t>
      </w:r>
      <w:r w:rsidR="00C44A69" w:rsidRPr="00721CFD">
        <w:rPr>
          <w:rFonts w:cstheme="minorHAnsi"/>
          <w:b w:val="0"/>
          <w:bCs/>
          <w:i w:val="0"/>
          <w:iCs/>
          <w:sz w:val="24"/>
          <w:szCs w:val="20"/>
          <w:u w:val="none"/>
        </w:rPr>
        <w:t xml:space="preserve"> a new residence hall and parking garage</w:t>
      </w:r>
      <w:r w:rsidR="00A4359C">
        <w:rPr>
          <w:rFonts w:cstheme="minorHAnsi"/>
          <w:b w:val="0"/>
          <w:bCs/>
          <w:i w:val="0"/>
          <w:iCs/>
          <w:sz w:val="24"/>
          <w:szCs w:val="20"/>
          <w:u w:val="none"/>
        </w:rPr>
        <w:t xml:space="preserve"> at USM and </w:t>
      </w:r>
      <w:r w:rsidR="00C44A69" w:rsidRPr="00721CFD">
        <w:rPr>
          <w:rFonts w:cstheme="minorHAnsi"/>
          <w:b w:val="0"/>
          <w:bCs/>
          <w:i w:val="0"/>
          <w:iCs/>
          <w:sz w:val="24"/>
          <w:szCs w:val="20"/>
          <w:u w:val="none"/>
        </w:rPr>
        <w:t xml:space="preserve">the Ferland Engineering Education and Design Center at </w:t>
      </w:r>
      <w:r w:rsidR="00A4359C">
        <w:rPr>
          <w:rFonts w:cstheme="minorHAnsi"/>
          <w:b w:val="0"/>
          <w:bCs/>
          <w:i w:val="0"/>
          <w:iCs/>
          <w:sz w:val="24"/>
          <w:szCs w:val="20"/>
          <w:u w:val="none"/>
        </w:rPr>
        <w:t xml:space="preserve">UM. Bond proceeds will also be used for </w:t>
      </w:r>
      <w:r w:rsidR="00C44A69" w:rsidRPr="00721CFD">
        <w:rPr>
          <w:rFonts w:cstheme="minorHAnsi"/>
          <w:b w:val="0"/>
          <w:bCs/>
          <w:i w:val="0"/>
          <w:iCs/>
          <w:sz w:val="24"/>
          <w:szCs w:val="20"/>
          <w:u w:val="none"/>
        </w:rPr>
        <w:t>initial design work for a new energy plan</w:t>
      </w:r>
      <w:r w:rsidR="00A4359C">
        <w:rPr>
          <w:rFonts w:cstheme="minorHAnsi"/>
          <w:b w:val="0"/>
          <w:bCs/>
          <w:i w:val="0"/>
          <w:iCs/>
          <w:sz w:val="24"/>
          <w:szCs w:val="20"/>
          <w:u w:val="none"/>
        </w:rPr>
        <w:t>t</w:t>
      </w:r>
      <w:r w:rsidR="00C44A69" w:rsidRPr="00721CFD">
        <w:rPr>
          <w:rFonts w:cstheme="minorHAnsi"/>
          <w:b w:val="0"/>
          <w:bCs/>
          <w:i w:val="0"/>
          <w:iCs/>
          <w:sz w:val="24"/>
          <w:szCs w:val="20"/>
          <w:u w:val="none"/>
        </w:rPr>
        <w:t xml:space="preserve"> to be constructed at </w:t>
      </w:r>
      <w:r w:rsidR="00A4359C">
        <w:rPr>
          <w:rFonts w:cstheme="minorHAnsi"/>
          <w:b w:val="0"/>
          <w:bCs/>
          <w:i w:val="0"/>
          <w:iCs/>
          <w:sz w:val="24"/>
          <w:szCs w:val="20"/>
          <w:u w:val="none"/>
        </w:rPr>
        <w:t>UM</w:t>
      </w:r>
      <w:r w:rsidRPr="00721CFD">
        <w:rPr>
          <w:rFonts w:cstheme="minorHAnsi"/>
          <w:b w:val="0"/>
          <w:bCs/>
          <w:i w:val="0"/>
          <w:iCs/>
          <w:sz w:val="24"/>
          <w:szCs w:val="20"/>
          <w:u w:val="none"/>
        </w:rPr>
        <w:t xml:space="preserve"> </w:t>
      </w:r>
      <w:r w:rsidR="00A4359C">
        <w:rPr>
          <w:rFonts w:cstheme="minorHAnsi"/>
          <w:b w:val="0"/>
          <w:bCs/>
          <w:i w:val="0"/>
          <w:iCs/>
          <w:sz w:val="24"/>
          <w:szCs w:val="20"/>
          <w:u w:val="none"/>
        </w:rPr>
        <w:t>and to</w:t>
      </w:r>
      <w:r w:rsidRPr="00721CFD">
        <w:rPr>
          <w:rFonts w:cstheme="minorHAnsi"/>
          <w:b w:val="0"/>
          <w:bCs/>
          <w:i w:val="0"/>
          <w:iCs/>
          <w:sz w:val="24"/>
          <w:szCs w:val="20"/>
          <w:u w:val="none"/>
        </w:rPr>
        <w:t xml:space="preserve"> repay </w:t>
      </w:r>
      <w:r w:rsidR="00285301">
        <w:rPr>
          <w:rFonts w:cstheme="minorHAnsi"/>
          <w:b w:val="0"/>
          <w:bCs/>
          <w:i w:val="0"/>
          <w:iCs/>
          <w:sz w:val="24"/>
          <w:szCs w:val="20"/>
          <w:u w:val="none"/>
        </w:rPr>
        <w:t xml:space="preserve">the </w:t>
      </w:r>
      <w:r w:rsidRPr="00721CFD">
        <w:rPr>
          <w:rFonts w:cstheme="minorHAnsi"/>
          <w:b w:val="0"/>
          <w:bCs/>
          <w:i w:val="0"/>
          <w:iCs/>
          <w:sz w:val="24"/>
          <w:szCs w:val="20"/>
          <w:u w:val="none"/>
        </w:rPr>
        <w:t>$43</w:t>
      </w:r>
      <w:r w:rsidR="00285301">
        <w:rPr>
          <w:rFonts w:cstheme="minorHAnsi"/>
          <w:b w:val="0"/>
          <w:bCs/>
          <w:i w:val="0"/>
          <w:iCs/>
          <w:sz w:val="24"/>
          <w:szCs w:val="20"/>
          <w:u w:val="none"/>
        </w:rPr>
        <w:t xml:space="preserve"> million</w:t>
      </w:r>
      <w:r w:rsidRPr="00721CFD">
        <w:rPr>
          <w:rFonts w:cstheme="minorHAnsi"/>
          <w:b w:val="0"/>
          <w:bCs/>
          <w:i w:val="0"/>
          <w:iCs/>
          <w:sz w:val="24"/>
          <w:szCs w:val="20"/>
          <w:u w:val="none"/>
        </w:rPr>
        <w:t xml:space="preserve"> Bond Anticipation Note issued by the </w:t>
      </w:r>
      <w:r w:rsidR="00A4359C">
        <w:rPr>
          <w:rFonts w:cstheme="minorHAnsi"/>
          <w:b w:val="0"/>
          <w:bCs/>
          <w:i w:val="0"/>
          <w:iCs/>
          <w:sz w:val="24"/>
          <w:szCs w:val="20"/>
          <w:u w:val="none"/>
        </w:rPr>
        <w:t>System</w:t>
      </w:r>
      <w:r w:rsidR="00C65F83">
        <w:rPr>
          <w:rFonts w:cstheme="minorHAnsi"/>
          <w:b w:val="0"/>
          <w:bCs/>
          <w:i w:val="0"/>
          <w:iCs/>
          <w:sz w:val="24"/>
          <w:szCs w:val="20"/>
          <w:u w:val="none"/>
        </w:rPr>
        <w:t xml:space="preserve"> for related construction in progress</w:t>
      </w:r>
      <w:r w:rsidRPr="00721CFD">
        <w:rPr>
          <w:rFonts w:cstheme="minorHAnsi"/>
          <w:b w:val="0"/>
          <w:bCs/>
          <w:i w:val="0"/>
          <w:iCs/>
          <w:sz w:val="24"/>
          <w:szCs w:val="20"/>
          <w:u w:val="none"/>
        </w:rPr>
        <w:t xml:space="preserve"> </w:t>
      </w:r>
      <w:r w:rsidR="00A4359C">
        <w:rPr>
          <w:rFonts w:cstheme="minorHAnsi"/>
          <w:b w:val="0"/>
          <w:bCs/>
          <w:i w:val="0"/>
          <w:iCs/>
          <w:sz w:val="24"/>
          <w:szCs w:val="20"/>
          <w:u w:val="none"/>
        </w:rPr>
        <w:t>in May</w:t>
      </w:r>
      <w:r w:rsidRPr="00721CFD">
        <w:rPr>
          <w:rFonts w:cstheme="minorHAnsi"/>
          <w:b w:val="0"/>
          <w:bCs/>
          <w:i w:val="0"/>
          <w:iCs/>
          <w:sz w:val="24"/>
          <w:szCs w:val="20"/>
          <w:u w:val="none"/>
        </w:rPr>
        <w:t xml:space="preserve"> 2021</w:t>
      </w:r>
      <w:r w:rsidR="00A4359C">
        <w:rPr>
          <w:rFonts w:cstheme="minorHAnsi"/>
          <w:b w:val="0"/>
          <w:bCs/>
          <w:i w:val="0"/>
          <w:iCs/>
          <w:sz w:val="24"/>
          <w:szCs w:val="20"/>
          <w:u w:val="none"/>
        </w:rPr>
        <w:t>.</w:t>
      </w:r>
      <w:r w:rsidRPr="00721CFD">
        <w:rPr>
          <w:rFonts w:cstheme="minorHAnsi"/>
          <w:b w:val="0"/>
          <w:bCs/>
          <w:i w:val="0"/>
          <w:iCs/>
          <w:sz w:val="24"/>
          <w:szCs w:val="20"/>
          <w:u w:val="none"/>
        </w:rPr>
        <w:t xml:space="preserve"> </w:t>
      </w:r>
    </w:p>
    <w:p w14:paraId="781AD6E6" w14:textId="77777777" w:rsidR="002F2C2D" w:rsidRDefault="002F2C2D" w:rsidP="00987D33">
      <w:pPr>
        <w:pStyle w:val="AFR3"/>
        <w:rPr>
          <w:rFonts w:cstheme="minorHAnsi"/>
        </w:rPr>
      </w:pPr>
      <w:r>
        <w:rPr>
          <w:rFonts w:cstheme="minorHAnsi"/>
        </w:rPr>
        <w:br w:type="page"/>
      </w:r>
    </w:p>
    <w:p w14:paraId="45E0A1AE" w14:textId="0FB6EFD1" w:rsidR="00987D33" w:rsidRDefault="00987D33" w:rsidP="00987D33">
      <w:pPr>
        <w:pStyle w:val="AFR3"/>
        <w:rPr>
          <w:rFonts w:cstheme="minorHAnsi"/>
        </w:rPr>
      </w:pPr>
      <w:r>
        <w:rPr>
          <w:rFonts w:cstheme="minorHAnsi"/>
        </w:rPr>
        <w:lastRenderedPageBreak/>
        <w:t>Unified Accreditation &amp; Strategic Planning</w:t>
      </w:r>
    </w:p>
    <w:p w14:paraId="55A75E96" w14:textId="390569BB" w:rsidR="00987D33" w:rsidRPr="006D1CA3" w:rsidRDefault="00987D33" w:rsidP="00987D33">
      <w:pPr>
        <w:spacing w:after="160" w:line="259" w:lineRule="auto"/>
        <w:rPr>
          <w:sz w:val="24"/>
          <w:szCs w:val="24"/>
        </w:rPr>
      </w:pPr>
      <w:r w:rsidRPr="006D1CA3">
        <w:rPr>
          <w:sz w:val="24"/>
          <w:szCs w:val="24"/>
        </w:rPr>
        <w:t xml:space="preserve">UMS’s unified accreditation, effective since July 1, 2020, opens the door to previously unavailable strategic opportunities for the System’s universities to collaborate, share resources, and achieve educational efficiencies to better serve their students and the State of Maine. System leadership and representatives from </w:t>
      </w:r>
      <w:r w:rsidR="00C44A69">
        <w:rPr>
          <w:sz w:val="24"/>
          <w:szCs w:val="24"/>
        </w:rPr>
        <w:t>across the</w:t>
      </w:r>
      <w:r w:rsidR="00C44A69" w:rsidRPr="006D1CA3">
        <w:rPr>
          <w:sz w:val="24"/>
          <w:szCs w:val="24"/>
        </w:rPr>
        <w:t xml:space="preserve"> </w:t>
      </w:r>
      <w:r w:rsidRPr="006D1CA3">
        <w:rPr>
          <w:sz w:val="24"/>
          <w:szCs w:val="24"/>
        </w:rPr>
        <w:t xml:space="preserve">System </w:t>
      </w:r>
      <w:r w:rsidR="00907E1D">
        <w:rPr>
          <w:sz w:val="24"/>
          <w:szCs w:val="24"/>
        </w:rPr>
        <w:t xml:space="preserve">are </w:t>
      </w:r>
      <w:r w:rsidRPr="006D1CA3">
        <w:rPr>
          <w:sz w:val="24"/>
          <w:szCs w:val="24"/>
        </w:rPr>
        <w:t>fully engaged in the significant work of preparing a self-study assessment report for</w:t>
      </w:r>
      <w:r>
        <w:rPr>
          <w:sz w:val="24"/>
          <w:szCs w:val="24"/>
        </w:rPr>
        <w:t xml:space="preserve"> the New England Commission of Higher Education (</w:t>
      </w:r>
      <w:r w:rsidRPr="006D1CA3">
        <w:rPr>
          <w:sz w:val="24"/>
          <w:szCs w:val="24"/>
        </w:rPr>
        <w:t>NECHE</w:t>
      </w:r>
      <w:r>
        <w:rPr>
          <w:sz w:val="24"/>
          <w:szCs w:val="24"/>
        </w:rPr>
        <w:t>)</w:t>
      </w:r>
      <w:r w:rsidRPr="006D1CA3">
        <w:rPr>
          <w:sz w:val="24"/>
          <w:szCs w:val="24"/>
        </w:rPr>
        <w:t xml:space="preserve"> in connection with NECHE’s </w:t>
      </w:r>
      <w:r w:rsidR="00B15041">
        <w:rPr>
          <w:sz w:val="24"/>
          <w:szCs w:val="24"/>
        </w:rPr>
        <w:t>October</w:t>
      </w:r>
      <w:r w:rsidRPr="006D1CA3">
        <w:rPr>
          <w:sz w:val="24"/>
          <w:szCs w:val="24"/>
        </w:rPr>
        <w:t xml:space="preserve"> 2022 comprehensive evaluation of the System’s unified accreditation. </w:t>
      </w:r>
    </w:p>
    <w:p w14:paraId="10E47A2F" w14:textId="77777777" w:rsidR="00987D33" w:rsidRDefault="00987D33" w:rsidP="00987D33">
      <w:pPr>
        <w:tabs>
          <w:tab w:val="left" w:pos="540"/>
        </w:tabs>
        <w:rPr>
          <w:rFonts w:cstheme="minorHAnsi"/>
          <w:sz w:val="24"/>
          <w:szCs w:val="24"/>
        </w:rPr>
      </w:pPr>
      <w:r>
        <w:rPr>
          <w:rFonts w:eastAsia="Times New Roman" w:cstheme="minorHAnsi"/>
          <w:b/>
          <w:i/>
          <w:sz w:val="26"/>
          <w:szCs w:val="26"/>
          <w:u w:val="single"/>
        </w:rPr>
        <w:t xml:space="preserve">The </w:t>
      </w:r>
      <w:r w:rsidRPr="00B30F29">
        <w:rPr>
          <w:rFonts w:eastAsia="Times New Roman" w:cstheme="minorHAnsi"/>
          <w:b/>
          <w:i/>
          <w:sz w:val="26"/>
          <w:szCs w:val="26"/>
          <w:u w:val="single"/>
        </w:rPr>
        <w:t>Maine Jobs and Recovery Plan</w:t>
      </w:r>
      <w:r w:rsidRPr="00B30F29" w:rsidDel="006D1CA3">
        <w:rPr>
          <w:rFonts w:eastAsia="Times New Roman" w:cstheme="minorHAnsi"/>
          <w:b/>
          <w:i/>
          <w:sz w:val="26"/>
          <w:szCs w:val="26"/>
          <w:u w:val="single"/>
        </w:rPr>
        <w:t xml:space="preserve"> </w:t>
      </w:r>
      <w:r w:rsidRPr="00B30F29">
        <w:rPr>
          <w:rFonts w:eastAsia="Times New Roman" w:cstheme="minorHAnsi"/>
          <w:b/>
          <w:i/>
          <w:sz w:val="26"/>
          <w:szCs w:val="26"/>
          <w:u w:val="single"/>
        </w:rPr>
        <w:t>– University Funding Allocation</w:t>
      </w:r>
    </w:p>
    <w:p w14:paraId="283020D0" w14:textId="58D2A8F6" w:rsidR="00987D33" w:rsidRDefault="00987D33" w:rsidP="00987D33">
      <w:pPr>
        <w:tabs>
          <w:tab w:val="left" w:pos="540"/>
        </w:tabs>
        <w:spacing w:before="240"/>
        <w:rPr>
          <w:rFonts w:cstheme="minorHAnsi"/>
          <w:sz w:val="24"/>
          <w:szCs w:val="24"/>
        </w:rPr>
      </w:pPr>
      <w:r w:rsidRPr="00956603">
        <w:rPr>
          <w:rFonts w:cstheme="minorHAnsi"/>
          <w:sz w:val="24"/>
          <w:szCs w:val="24"/>
        </w:rPr>
        <w:t xml:space="preserve">The federal American Rescue Plan provided relief funding for states including a $1.13 billion allocation to </w:t>
      </w:r>
      <w:r>
        <w:rPr>
          <w:rFonts w:cstheme="minorHAnsi"/>
          <w:sz w:val="24"/>
          <w:szCs w:val="24"/>
        </w:rPr>
        <w:t xml:space="preserve">the State of </w:t>
      </w:r>
      <w:r w:rsidRPr="00956603">
        <w:rPr>
          <w:rFonts w:cstheme="minorHAnsi"/>
          <w:sz w:val="24"/>
          <w:szCs w:val="24"/>
        </w:rPr>
        <w:t xml:space="preserve">Maine for discretionary use by the Governor and Legislature to respond to the pandemic and support economic recovery. The passage of the Maine Jobs and Recovery Plan identifies priorities for using these funds including $35 million to be invested in critical university workforce infrastructure and experience opportunities </w:t>
      </w:r>
      <w:r>
        <w:rPr>
          <w:rFonts w:cstheme="minorHAnsi"/>
          <w:sz w:val="24"/>
          <w:szCs w:val="24"/>
        </w:rPr>
        <w:t xml:space="preserve">thereby </w:t>
      </w:r>
      <w:r w:rsidRPr="00956603">
        <w:rPr>
          <w:rFonts w:cstheme="minorHAnsi"/>
          <w:sz w:val="24"/>
          <w:szCs w:val="24"/>
        </w:rPr>
        <w:t>advancing economic recovery and Maine’s 10-year strategic plan. These resources will accelerate talent development, research and innovation and the long-term economic growth and global competitiveness of Maine that responds to the COVID-19 public health emergency. Students will experience greater opportunities for exploratory learning, paid internships, and career preparation programs</w:t>
      </w:r>
      <w:r w:rsidRPr="00954D00">
        <w:rPr>
          <w:rFonts w:cstheme="minorHAnsi"/>
          <w:sz w:val="24"/>
          <w:szCs w:val="24"/>
        </w:rPr>
        <w:t xml:space="preserve"> connected to the Maine workforce.</w:t>
      </w:r>
    </w:p>
    <w:p w14:paraId="596786D4" w14:textId="60F9E0BA" w:rsidR="00987D33" w:rsidRPr="006A4C9B" w:rsidRDefault="00987D33" w:rsidP="00987D33">
      <w:pPr>
        <w:tabs>
          <w:tab w:val="left" w:pos="540"/>
        </w:tabs>
        <w:spacing w:before="240"/>
        <w:rPr>
          <w:rFonts w:eastAsia="Times New Roman" w:cstheme="minorHAnsi"/>
          <w:b/>
          <w:i/>
          <w:sz w:val="26"/>
          <w:szCs w:val="26"/>
          <w:u w:val="single"/>
        </w:rPr>
      </w:pPr>
      <w:r w:rsidRPr="006A4C9B">
        <w:rPr>
          <w:rFonts w:eastAsia="Times New Roman" w:cstheme="minorHAnsi"/>
          <w:b/>
          <w:i/>
          <w:sz w:val="26"/>
          <w:szCs w:val="26"/>
          <w:u w:val="single"/>
        </w:rPr>
        <w:t>Harold Alfond Foundation Investment</w:t>
      </w:r>
    </w:p>
    <w:p w14:paraId="73AC66DA" w14:textId="5359C84D" w:rsidR="00987D33" w:rsidRPr="006A4C9B" w:rsidRDefault="00570515" w:rsidP="00570515">
      <w:pPr>
        <w:tabs>
          <w:tab w:val="left" w:pos="540"/>
        </w:tabs>
        <w:spacing w:before="240"/>
        <w:rPr>
          <w:rFonts w:eastAsia="Times New Roman" w:cstheme="minorHAnsi"/>
          <w:sz w:val="24"/>
          <w:szCs w:val="24"/>
        </w:rPr>
      </w:pPr>
      <w:r>
        <w:rPr>
          <w:rFonts w:eastAsia="Times New Roman" w:cstheme="minorHAnsi"/>
          <w:sz w:val="24"/>
          <w:szCs w:val="24"/>
        </w:rPr>
        <w:t>In October 2020</w:t>
      </w:r>
      <w:r w:rsidR="00987D33" w:rsidRPr="006A4C9B">
        <w:rPr>
          <w:rFonts w:eastAsia="Times New Roman" w:cstheme="minorHAnsi"/>
          <w:sz w:val="24"/>
          <w:szCs w:val="24"/>
        </w:rPr>
        <w:t xml:space="preserve">, the Harold Alfond Foundation announced an historic $240 million investment over 12 years in the System. </w:t>
      </w:r>
      <w:r w:rsidR="00C44A69">
        <w:rPr>
          <w:rFonts w:eastAsia="Times New Roman" w:cstheme="minorHAnsi"/>
          <w:sz w:val="24"/>
          <w:szCs w:val="24"/>
        </w:rPr>
        <w:t xml:space="preserve"> </w:t>
      </w:r>
      <w:r w:rsidRPr="00570515">
        <w:rPr>
          <w:rFonts w:eastAsia="Times New Roman" w:cstheme="minorHAnsi"/>
          <w:sz w:val="24"/>
          <w:szCs w:val="24"/>
        </w:rPr>
        <w:t xml:space="preserve">The University System has begun developing the initiatives and implementation structure for this historic grant.  The initial stages, termed UMS TRANSFORMS, will bring together university and system leaders in information sessions and open forums to identify individuals interested in participating and establishing an implementation structure.  The University System expects community input, continued conversation with the Harold Alfond Foundation and engagement with other grantees and State partners </w:t>
      </w:r>
      <w:r w:rsidR="008E3C9D">
        <w:rPr>
          <w:rFonts w:eastAsia="Times New Roman" w:cstheme="minorHAnsi"/>
          <w:sz w:val="24"/>
          <w:szCs w:val="24"/>
        </w:rPr>
        <w:t xml:space="preserve">which </w:t>
      </w:r>
      <w:r w:rsidRPr="00570515">
        <w:rPr>
          <w:rFonts w:eastAsia="Times New Roman" w:cstheme="minorHAnsi"/>
          <w:sz w:val="24"/>
          <w:szCs w:val="24"/>
        </w:rPr>
        <w:t>will help define outcomes and measures of success for the initial sta</w:t>
      </w:r>
      <w:r w:rsidR="008E3C9D">
        <w:rPr>
          <w:rFonts w:eastAsia="Times New Roman" w:cstheme="minorHAnsi"/>
          <w:sz w:val="24"/>
          <w:szCs w:val="24"/>
        </w:rPr>
        <w:t>g</w:t>
      </w:r>
      <w:r w:rsidRPr="00570515">
        <w:rPr>
          <w:rFonts w:eastAsia="Times New Roman" w:cstheme="minorHAnsi"/>
          <w:sz w:val="24"/>
          <w:szCs w:val="24"/>
        </w:rPr>
        <w:t>es.</w:t>
      </w:r>
    </w:p>
    <w:p w14:paraId="37F2B25B" w14:textId="77777777" w:rsidR="00987D33" w:rsidRPr="006A4C9B" w:rsidRDefault="00987D33" w:rsidP="00987D33">
      <w:pPr>
        <w:tabs>
          <w:tab w:val="left" w:pos="540"/>
        </w:tabs>
        <w:spacing w:before="240"/>
        <w:rPr>
          <w:rFonts w:eastAsia="Times New Roman" w:cstheme="minorHAnsi"/>
          <w:b/>
          <w:i/>
          <w:sz w:val="26"/>
          <w:szCs w:val="26"/>
          <w:u w:val="single"/>
        </w:rPr>
      </w:pPr>
      <w:r w:rsidRPr="006A4C9B">
        <w:rPr>
          <w:rFonts w:eastAsia="Times New Roman" w:cstheme="minorHAnsi"/>
          <w:b/>
          <w:i/>
          <w:sz w:val="26"/>
          <w:szCs w:val="26"/>
          <w:u w:val="single"/>
        </w:rPr>
        <w:t>Other Capital Investments</w:t>
      </w:r>
    </w:p>
    <w:p w14:paraId="74B11BF5" w14:textId="2C6D8C4E" w:rsidR="00987D33" w:rsidRPr="006A4C9B" w:rsidRDefault="00987D33" w:rsidP="00987D33">
      <w:pPr>
        <w:spacing w:before="240"/>
        <w:rPr>
          <w:rFonts w:cstheme="minorHAnsi"/>
          <w:sz w:val="24"/>
          <w:szCs w:val="24"/>
        </w:rPr>
      </w:pPr>
      <w:r w:rsidRPr="006A4C9B">
        <w:rPr>
          <w:rFonts w:cstheme="minorHAnsi"/>
          <w:sz w:val="24"/>
          <w:szCs w:val="24"/>
        </w:rPr>
        <w:t>Improving the System’s capital infrastructure is a strategic imperative with more than 50 percent of UMS’s physical plant constructed or last renovated more than 50 years ago. Greater investment in our facilities</w:t>
      </w:r>
      <w:r w:rsidR="008E3C9D">
        <w:rPr>
          <w:rFonts w:cstheme="minorHAnsi"/>
          <w:sz w:val="24"/>
          <w:szCs w:val="24"/>
        </w:rPr>
        <w:t>,</w:t>
      </w:r>
      <w:r w:rsidRPr="006A4C9B">
        <w:rPr>
          <w:rFonts w:cstheme="minorHAnsi"/>
          <w:sz w:val="24"/>
          <w:szCs w:val="24"/>
        </w:rPr>
        <w:t xml:space="preserve"> </w:t>
      </w:r>
      <w:r w:rsidR="008E3C9D">
        <w:rPr>
          <w:rFonts w:cstheme="minorHAnsi"/>
          <w:sz w:val="24"/>
          <w:szCs w:val="24"/>
        </w:rPr>
        <w:t xml:space="preserve">including through </w:t>
      </w:r>
      <w:r w:rsidRPr="006A4C9B">
        <w:rPr>
          <w:rFonts w:cstheme="minorHAnsi"/>
          <w:sz w:val="24"/>
          <w:szCs w:val="24"/>
        </w:rPr>
        <w:t>innovative partnerships</w:t>
      </w:r>
      <w:r w:rsidR="008E3C9D">
        <w:rPr>
          <w:rFonts w:cstheme="minorHAnsi"/>
          <w:sz w:val="24"/>
          <w:szCs w:val="24"/>
        </w:rPr>
        <w:t>,</w:t>
      </w:r>
      <w:r w:rsidRPr="006A4C9B">
        <w:rPr>
          <w:rFonts w:cstheme="minorHAnsi"/>
          <w:sz w:val="24"/>
          <w:szCs w:val="24"/>
        </w:rPr>
        <w:t xml:space="preserve"> are part of our plan.</w:t>
      </w:r>
    </w:p>
    <w:p w14:paraId="7A51DEE9" w14:textId="103376D9" w:rsidR="003715F8" w:rsidRPr="003715F8" w:rsidRDefault="003715F8" w:rsidP="003715F8">
      <w:pPr>
        <w:spacing w:before="240" w:after="240"/>
        <w:rPr>
          <w:rFonts w:cstheme="minorHAnsi"/>
          <w:sz w:val="24"/>
          <w:szCs w:val="24"/>
        </w:rPr>
      </w:pPr>
      <w:r w:rsidRPr="003715F8">
        <w:rPr>
          <w:rFonts w:cstheme="minorHAnsi"/>
          <w:sz w:val="24"/>
          <w:szCs w:val="24"/>
        </w:rPr>
        <w:t xml:space="preserve">The previously mentioned Harold Alfond Foundation </w:t>
      </w:r>
      <w:r w:rsidR="008E3C9D">
        <w:rPr>
          <w:rFonts w:cstheme="minorHAnsi"/>
          <w:sz w:val="24"/>
          <w:szCs w:val="24"/>
        </w:rPr>
        <w:t>i</w:t>
      </w:r>
      <w:r w:rsidRPr="003715F8">
        <w:rPr>
          <w:rFonts w:cstheme="minorHAnsi"/>
          <w:sz w:val="24"/>
          <w:szCs w:val="24"/>
        </w:rPr>
        <w:t>nvestment provides $50 million to renovate facilities for the Maine College of Engineering, Computing, and Information Science, $90 million to modernize athletics facilities at UM, and $40 million to acquire or construct a building for various programs of the UM Graduate and Professional Center.</w:t>
      </w:r>
    </w:p>
    <w:p w14:paraId="369579F6" w14:textId="6154F0F3" w:rsidR="003715F8" w:rsidRPr="003715F8" w:rsidRDefault="00E72007" w:rsidP="003715F8">
      <w:pPr>
        <w:spacing w:before="240" w:after="240"/>
        <w:rPr>
          <w:rFonts w:cstheme="minorHAnsi"/>
          <w:sz w:val="24"/>
          <w:szCs w:val="24"/>
        </w:rPr>
      </w:pPr>
      <w:r>
        <w:rPr>
          <w:rFonts w:cstheme="minorHAnsi"/>
          <w:sz w:val="24"/>
          <w:szCs w:val="24"/>
        </w:rPr>
        <w:lastRenderedPageBreak/>
        <w:t>UM</w:t>
      </w:r>
      <w:r w:rsidR="003715F8" w:rsidRPr="003715F8">
        <w:rPr>
          <w:rFonts w:cstheme="minorHAnsi"/>
          <w:sz w:val="24"/>
          <w:szCs w:val="24"/>
        </w:rPr>
        <w:t xml:space="preserve"> is pursuing a project which will greatly improve its energy infrastructure.  Collectively these improvements are expected to provide an addition to the central steam plant that uses 100% renewable fuels</w:t>
      </w:r>
      <w:r w:rsidR="008E3C9D">
        <w:rPr>
          <w:rFonts w:cstheme="minorHAnsi"/>
          <w:sz w:val="24"/>
          <w:szCs w:val="24"/>
        </w:rPr>
        <w:t>;</w:t>
      </w:r>
      <w:r w:rsidR="003715F8" w:rsidRPr="003715F8">
        <w:rPr>
          <w:rFonts w:cstheme="minorHAnsi"/>
          <w:sz w:val="24"/>
          <w:szCs w:val="24"/>
        </w:rPr>
        <w:t xml:space="preserve"> incorporates electrical and steam distribution upgrades</w:t>
      </w:r>
      <w:r w:rsidR="008E3C9D">
        <w:rPr>
          <w:rFonts w:cstheme="minorHAnsi"/>
          <w:sz w:val="24"/>
          <w:szCs w:val="24"/>
        </w:rPr>
        <w:t>;</w:t>
      </w:r>
      <w:r w:rsidR="003715F8" w:rsidRPr="003715F8">
        <w:rPr>
          <w:rFonts w:cstheme="minorHAnsi"/>
          <w:sz w:val="24"/>
          <w:szCs w:val="24"/>
        </w:rPr>
        <w:t xml:space="preserve"> </w:t>
      </w:r>
      <w:r w:rsidR="008E3C9D">
        <w:rPr>
          <w:rFonts w:cstheme="minorHAnsi"/>
          <w:sz w:val="24"/>
          <w:szCs w:val="24"/>
        </w:rPr>
        <w:t xml:space="preserve">and </w:t>
      </w:r>
      <w:r w:rsidR="003715F8" w:rsidRPr="003715F8">
        <w:rPr>
          <w:rFonts w:cstheme="minorHAnsi"/>
          <w:sz w:val="24"/>
          <w:szCs w:val="24"/>
        </w:rPr>
        <w:t>offers the most sustainable, reliable, economical, and environmentally friendly option to provide thermal and electrical energy to UM’s Orono campus for the next 30+ years.</w:t>
      </w:r>
    </w:p>
    <w:p w14:paraId="1F749BA6" w14:textId="0D701689" w:rsidR="003715F8" w:rsidRPr="003715F8" w:rsidRDefault="00441B23" w:rsidP="003715F8">
      <w:pPr>
        <w:spacing w:before="240" w:after="240"/>
        <w:rPr>
          <w:rFonts w:cstheme="minorHAnsi"/>
          <w:sz w:val="24"/>
          <w:szCs w:val="24"/>
        </w:rPr>
      </w:pPr>
      <w:r>
        <w:rPr>
          <w:rFonts w:cstheme="minorHAnsi"/>
          <w:sz w:val="24"/>
          <w:szCs w:val="24"/>
        </w:rPr>
        <w:t xml:space="preserve">Construction has begun </w:t>
      </w:r>
      <w:r w:rsidRPr="003715F8">
        <w:rPr>
          <w:rFonts w:cstheme="minorHAnsi"/>
          <w:sz w:val="24"/>
          <w:szCs w:val="24"/>
        </w:rPr>
        <w:t xml:space="preserve">to repurpose two costly and currently unusable historic buildings on the </w:t>
      </w:r>
      <w:r w:rsidR="00E72007">
        <w:rPr>
          <w:rFonts w:cstheme="minorHAnsi"/>
          <w:sz w:val="24"/>
          <w:szCs w:val="24"/>
        </w:rPr>
        <w:t>UM</w:t>
      </w:r>
      <w:r w:rsidR="00E72007" w:rsidRPr="003715F8">
        <w:rPr>
          <w:rFonts w:cstheme="minorHAnsi"/>
          <w:sz w:val="24"/>
          <w:szCs w:val="24"/>
        </w:rPr>
        <w:t xml:space="preserve"> </w:t>
      </w:r>
      <w:r w:rsidRPr="003715F8">
        <w:rPr>
          <w:rFonts w:cstheme="minorHAnsi"/>
          <w:sz w:val="24"/>
          <w:szCs w:val="24"/>
        </w:rPr>
        <w:t>campus into a boutique hotel</w:t>
      </w:r>
      <w:r w:rsidR="00E72007">
        <w:rPr>
          <w:rFonts w:cstheme="minorHAnsi"/>
          <w:sz w:val="24"/>
          <w:szCs w:val="24"/>
        </w:rPr>
        <w:t xml:space="preserve"> thr</w:t>
      </w:r>
      <w:r w:rsidR="008B2881">
        <w:rPr>
          <w:rFonts w:cstheme="minorHAnsi"/>
          <w:sz w:val="24"/>
          <w:szCs w:val="24"/>
        </w:rPr>
        <w:t>ough</w:t>
      </w:r>
      <w:r w:rsidR="00E72007">
        <w:rPr>
          <w:rFonts w:cstheme="minorHAnsi"/>
          <w:sz w:val="24"/>
          <w:szCs w:val="24"/>
        </w:rPr>
        <w:t xml:space="preserve"> a public-private partnership.  </w:t>
      </w:r>
      <w:r w:rsidR="003715F8" w:rsidRPr="003715F8">
        <w:rPr>
          <w:rFonts w:cstheme="minorHAnsi"/>
          <w:sz w:val="24"/>
          <w:szCs w:val="24"/>
        </w:rPr>
        <w:t xml:space="preserve">An on-campus facility of this nature </w:t>
      </w:r>
      <w:r w:rsidR="008B2881">
        <w:rPr>
          <w:rFonts w:cstheme="minorHAnsi"/>
          <w:sz w:val="24"/>
          <w:szCs w:val="24"/>
        </w:rPr>
        <w:t>will provide a convenient option to those who</w:t>
      </w:r>
      <w:r w:rsidR="003715F8" w:rsidRPr="003715F8">
        <w:rPr>
          <w:rFonts w:cstheme="minorHAnsi"/>
          <w:sz w:val="24"/>
          <w:szCs w:val="24"/>
        </w:rPr>
        <w:t xml:space="preserve"> attend</w:t>
      </w:r>
      <w:r w:rsidR="008B2881">
        <w:rPr>
          <w:rFonts w:cstheme="minorHAnsi"/>
          <w:sz w:val="24"/>
          <w:szCs w:val="24"/>
        </w:rPr>
        <w:t xml:space="preserve"> </w:t>
      </w:r>
      <w:r w:rsidR="003715F8" w:rsidRPr="003715F8">
        <w:rPr>
          <w:rFonts w:cstheme="minorHAnsi"/>
          <w:sz w:val="24"/>
          <w:szCs w:val="24"/>
        </w:rPr>
        <w:t>academic conferences, cultural and athletic events, homecomings, commencements and other functions, and may serve as a base of experiential learning opportunities for students in tourism and hospitality programs.</w:t>
      </w:r>
    </w:p>
    <w:p w14:paraId="7D5479A6" w14:textId="24E51ED3" w:rsidR="003715F8" w:rsidRPr="003715F8" w:rsidRDefault="003715F8" w:rsidP="003715F8">
      <w:pPr>
        <w:spacing w:before="240" w:after="240"/>
        <w:rPr>
          <w:rFonts w:cstheme="minorHAnsi"/>
          <w:sz w:val="24"/>
          <w:szCs w:val="24"/>
        </w:rPr>
      </w:pPr>
      <w:r w:rsidRPr="003715F8">
        <w:rPr>
          <w:rFonts w:cstheme="minorHAnsi"/>
          <w:sz w:val="24"/>
          <w:szCs w:val="24"/>
        </w:rPr>
        <w:t>UM</w:t>
      </w:r>
      <w:r w:rsidR="00E72007">
        <w:rPr>
          <w:rFonts w:cstheme="minorHAnsi"/>
          <w:sz w:val="24"/>
          <w:szCs w:val="24"/>
        </w:rPr>
        <w:t xml:space="preserve"> </w:t>
      </w:r>
      <w:r w:rsidRPr="003715F8">
        <w:rPr>
          <w:rFonts w:cstheme="minorHAnsi"/>
          <w:sz w:val="24"/>
          <w:szCs w:val="24"/>
        </w:rPr>
        <w:t>open</w:t>
      </w:r>
      <w:r w:rsidR="00441B23">
        <w:rPr>
          <w:rFonts w:cstheme="minorHAnsi"/>
          <w:sz w:val="24"/>
          <w:szCs w:val="24"/>
        </w:rPr>
        <w:t>ed</w:t>
      </w:r>
      <w:r w:rsidRPr="003715F8">
        <w:rPr>
          <w:rFonts w:cstheme="minorHAnsi"/>
          <w:sz w:val="24"/>
          <w:szCs w:val="24"/>
        </w:rPr>
        <w:t xml:space="preserve"> doors to </w:t>
      </w:r>
      <w:r w:rsidR="00285301" w:rsidRPr="003715F8">
        <w:rPr>
          <w:rFonts w:cstheme="minorHAnsi"/>
          <w:sz w:val="24"/>
          <w:szCs w:val="24"/>
        </w:rPr>
        <w:t>its</w:t>
      </w:r>
      <w:r w:rsidRPr="003715F8">
        <w:rPr>
          <w:rFonts w:cstheme="minorHAnsi"/>
          <w:sz w:val="24"/>
          <w:szCs w:val="24"/>
        </w:rPr>
        <w:t xml:space="preserve"> new Ferland Engineering, Education and Design Center in the Fall of 2022.  This state of the art facility, funded with </w:t>
      </w:r>
      <w:r w:rsidR="00E72007">
        <w:rPr>
          <w:rFonts w:cstheme="minorHAnsi"/>
          <w:sz w:val="24"/>
          <w:szCs w:val="24"/>
        </w:rPr>
        <w:t>s</w:t>
      </w:r>
      <w:r w:rsidRPr="003715F8">
        <w:rPr>
          <w:rFonts w:cstheme="minorHAnsi"/>
          <w:sz w:val="24"/>
          <w:szCs w:val="24"/>
        </w:rPr>
        <w:t xml:space="preserve">tate </w:t>
      </w:r>
      <w:r w:rsidR="00E72007">
        <w:rPr>
          <w:rFonts w:cstheme="minorHAnsi"/>
          <w:sz w:val="24"/>
          <w:szCs w:val="24"/>
        </w:rPr>
        <w:t xml:space="preserve">supported UMS revenue bonds </w:t>
      </w:r>
      <w:r w:rsidRPr="003715F8">
        <w:rPr>
          <w:rFonts w:cstheme="minorHAnsi"/>
          <w:sz w:val="24"/>
          <w:szCs w:val="24"/>
        </w:rPr>
        <w:t xml:space="preserve">and </w:t>
      </w:r>
      <w:r w:rsidR="008B2881">
        <w:rPr>
          <w:rFonts w:cstheme="minorHAnsi"/>
          <w:sz w:val="24"/>
          <w:szCs w:val="24"/>
        </w:rPr>
        <w:t xml:space="preserve">significant </w:t>
      </w:r>
      <w:r w:rsidRPr="003715F8">
        <w:rPr>
          <w:rFonts w:cstheme="minorHAnsi"/>
          <w:sz w:val="24"/>
          <w:szCs w:val="24"/>
        </w:rPr>
        <w:t>gift monies</w:t>
      </w:r>
      <w:r w:rsidR="00E72007">
        <w:rPr>
          <w:rFonts w:cstheme="minorHAnsi"/>
          <w:sz w:val="24"/>
          <w:szCs w:val="24"/>
        </w:rPr>
        <w:t>,</w:t>
      </w:r>
      <w:r w:rsidRPr="003715F8">
        <w:rPr>
          <w:rFonts w:cstheme="minorHAnsi"/>
          <w:sz w:val="24"/>
          <w:szCs w:val="24"/>
        </w:rPr>
        <w:t xml:space="preserve"> </w:t>
      </w:r>
      <w:r w:rsidR="00441B23">
        <w:rPr>
          <w:rFonts w:cstheme="minorHAnsi"/>
          <w:sz w:val="24"/>
          <w:szCs w:val="24"/>
        </w:rPr>
        <w:t>is</w:t>
      </w:r>
      <w:r w:rsidRPr="003715F8">
        <w:rPr>
          <w:rFonts w:cstheme="minorHAnsi"/>
          <w:sz w:val="24"/>
          <w:szCs w:val="24"/>
        </w:rPr>
        <w:t xml:space="preserve"> the new home of the Mechanical and Biomedical Engineering departments as well as teaching and research laboratories, a Capstone laboratory suite for all engineering disciplines, and several flexible classrooms.</w:t>
      </w:r>
      <w:r w:rsidR="008B2881">
        <w:rPr>
          <w:rFonts w:cstheme="minorHAnsi"/>
          <w:sz w:val="24"/>
          <w:szCs w:val="24"/>
        </w:rPr>
        <w:t xml:space="preserve"> The facility will have the capacity to increase engineering enrollment by a third – 600 additional students a year – to meet the demand of students and employers of the state. </w:t>
      </w:r>
    </w:p>
    <w:p w14:paraId="43A0C699" w14:textId="77777777" w:rsidR="00987D33" w:rsidRPr="00B30F29" w:rsidRDefault="00987D33" w:rsidP="004C662D">
      <w:pPr>
        <w:spacing w:line="259" w:lineRule="auto"/>
        <w:rPr>
          <w:rFonts w:eastAsia="Times New Roman" w:cstheme="minorHAnsi"/>
          <w:b/>
          <w:i/>
          <w:sz w:val="26"/>
          <w:szCs w:val="26"/>
          <w:u w:val="single"/>
        </w:rPr>
      </w:pPr>
      <w:r w:rsidRPr="00B30F29">
        <w:rPr>
          <w:rFonts w:eastAsia="Times New Roman" w:cstheme="minorHAnsi"/>
          <w:b/>
          <w:i/>
          <w:sz w:val="26"/>
          <w:szCs w:val="26"/>
          <w:u w:val="single"/>
        </w:rPr>
        <w:t xml:space="preserve">University Credit Rating </w:t>
      </w:r>
    </w:p>
    <w:p w14:paraId="09EFB7AC" w14:textId="67BE6A77" w:rsidR="00987D33" w:rsidRDefault="00987D33" w:rsidP="00987D33">
      <w:pPr>
        <w:spacing w:before="240"/>
        <w:rPr>
          <w:rFonts w:eastAsia="Times New Roman" w:cstheme="minorHAnsi"/>
          <w:sz w:val="24"/>
          <w:szCs w:val="24"/>
        </w:rPr>
      </w:pPr>
      <w:r>
        <w:rPr>
          <w:rFonts w:eastAsia="Times New Roman" w:cstheme="minorHAnsi"/>
          <w:sz w:val="24"/>
          <w:szCs w:val="24"/>
        </w:rPr>
        <w:t xml:space="preserve">The System routinely issues revenue bonds for its capital needs and S&amp;P Global Ratings (S&amp;P) reviews the credit worthiness of the System and its debt. In </w:t>
      </w:r>
      <w:r w:rsidR="00285301">
        <w:rPr>
          <w:rFonts w:eastAsia="Times New Roman" w:cstheme="minorHAnsi"/>
          <w:sz w:val="24"/>
          <w:szCs w:val="24"/>
        </w:rPr>
        <w:t xml:space="preserve">June </w:t>
      </w:r>
      <w:r>
        <w:rPr>
          <w:rFonts w:eastAsia="Times New Roman" w:cstheme="minorHAnsi"/>
          <w:sz w:val="24"/>
          <w:szCs w:val="24"/>
        </w:rPr>
        <w:t>202</w:t>
      </w:r>
      <w:r w:rsidR="00285301">
        <w:rPr>
          <w:rFonts w:eastAsia="Times New Roman" w:cstheme="minorHAnsi"/>
          <w:sz w:val="24"/>
          <w:szCs w:val="24"/>
        </w:rPr>
        <w:t>2</w:t>
      </w:r>
      <w:r>
        <w:rPr>
          <w:rFonts w:eastAsia="Times New Roman" w:cstheme="minorHAnsi"/>
          <w:sz w:val="24"/>
          <w:szCs w:val="24"/>
        </w:rPr>
        <w:t xml:space="preserve">, S&amp;P affirmed </w:t>
      </w:r>
      <w:r w:rsidRPr="004A36FE">
        <w:rPr>
          <w:rFonts w:cstheme="minorHAnsi"/>
          <w:sz w:val="24"/>
          <w:szCs w:val="24"/>
        </w:rPr>
        <w:t xml:space="preserve">its AA- rating </w:t>
      </w:r>
      <w:r w:rsidR="00285301">
        <w:rPr>
          <w:rFonts w:cstheme="minorHAnsi"/>
          <w:sz w:val="24"/>
          <w:szCs w:val="24"/>
        </w:rPr>
        <w:t xml:space="preserve">while </w:t>
      </w:r>
      <w:r w:rsidR="00174BB1">
        <w:rPr>
          <w:rFonts w:cstheme="minorHAnsi"/>
          <w:sz w:val="24"/>
          <w:szCs w:val="24"/>
        </w:rPr>
        <w:t>revising its</w:t>
      </w:r>
      <w:r w:rsidR="00285301">
        <w:rPr>
          <w:rFonts w:cstheme="minorHAnsi"/>
          <w:sz w:val="24"/>
          <w:szCs w:val="24"/>
        </w:rPr>
        <w:t xml:space="preserve"> outlook from</w:t>
      </w:r>
      <w:r w:rsidRPr="004A36FE">
        <w:rPr>
          <w:rFonts w:cstheme="minorHAnsi"/>
          <w:sz w:val="24"/>
          <w:szCs w:val="24"/>
        </w:rPr>
        <w:t xml:space="preserve"> stable </w:t>
      </w:r>
      <w:r w:rsidR="00285301">
        <w:rPr>
          <w:rFonts w:cstheme="minorHAnsi"/>
          <w:sz w:val="24"/>
          <w:szCs w:val="24"/>
        </w:rPr>
        <w:t>to negative</w:t>
      </w:r>
      <w:r w:rsidR="00285301" w:rsidRPr="004A36FE">
        <w:rPr>
          <w:rFonts w:cstheme="minorHAnsi"/>
          <w:sz w:val="24"/>
          <w:szCs w:val="24"/>
        </w:rPr>
        <w:t xml:space="preserve"> </w:t>
      </w:r>
      <w:r w:rsidRPr="004A36FE">
        <w:rPr>
          <w:rFonts w:cstheme="minorHAnsi"/>
          <w:sz w:val="24"/>
          <w:szCs w:val="24"/>
        </w:rPr>
        <w:t xml:space="preserve">for the UMS’ revenue bonds, reflecting the </w:t>
      </w:r>
      <w:r w:rsidR="00285301">
        <w:rPr>
          <w:rFonts w:cstheme="minorHAnsi"/>
          <w:sz w:val="24"/>
          <w:szCs w:val="24"/>
        </w:rPr>
        <w:t>System’s increased debt level and Maine’s lagging social capital and demographic trends</w:t>
      </w:r>
      <w:r>
        <w:rPr>
          <w:rFonts w:cstheme="minorHAnsi"/>
          <w:sz w:val="24"/>
          <w:szCs w:val="24"/>
        </w:rPr>
        <w:t xml:space="preserve">. </w:t>
      </w:r>
      <w:r w:rsidRPr="004A36FE">
        <w:rPr>
          <w:rFonts w:cstheme="minorHAnsi"/>
          <w:sz w:val="24"/>
          <w:szCs w:val="24"/>
        </w:rPr>
        <w:t xml:space="preserve">In its overview, S&amp;P assessed UMS' enterprise profile as strong, characterized by our breadth and depth of institutions and assessed our financial profile as very strong while noting </w:t>
      </w:r>
      <w:r w:rsidR="00F70F37">
        <w:rPr>
          <w:rFonts w:cstheme="minorHAnsi"/>
          <w:sz w:val="24"/>
          <w:szCs w:val="24"/>
        </w:rPr>
        <w:t xml:space="preserve">capital investment needs and </w:t>
      </w:r>
      <w:r w:rsidRPr="004A36FE">
        <w:rPr>
          <w:rFonts w:cstheme="minorHAnsi"/>
          <w:sz w:val="24"/>
          <w:szCs w:val="24"/>
        </w:rPr>
        <w:t>significant future debt plans as limiting factor</w:t>
      </w:r>
      <w:r w:rsidR="00F70F37">
        <w:rPr>
          <w:rFonts w:cstheme="minorHAnsi"/>
          <w:sz w:val="24"/>
          <w:szCs w:val="24"/>
        </w:rPr>
        <w:t>s</w:t>
      </w:r>
      <w:r w:rsidRPr="004A36FE">
        <w:rPr>
          <w:rFonts w:cstheme="minorHAnsi"/>
          <w:sz w:val="24"/>
          <w:szCs w:val="24"/>
        </w:rPr>
        <w:t xml:space="preserve">. </w:t>
      </w:r>
      <w:r w:rsidR="00D552CD">
        <w:rPr>
          <w:rFonts w:cstheme="minorHAnsi"/>
          <w:sz w:val="24"/>
          <w:szCs w:val="24"/>
        </w:rPr>
        <w:t>S&amp;P</w:t>
      </w:r>
      <w:r w:rsidR="00F70F37">
        <w:rPr>
          <w:rFonts w:cstheme="minorHAnsi"/>
          <w:sz w:val="24"/>
          <w:szCs w:val="24"/>
        </w:rPr>
        <w:t xml:space="preserve"> also viewed favorably </w:t>
      </w:r>
      <w:r w:rsidR="00D552CD">
        <w:rPr>
          <w:rFonts w:cstheme="minorHAnsi"/>
          <w:sz w:val="24"/>
          <w:szCs w:val="24"/>
        </w:rPr>
        <w:t xml:space="preserve">the increasing State funding situation and growing capital support from </w:t>
      </w:r>
      <w:r w:rsidR="00F70F37">
        <w:rPr>
          <w:rFonts w:cstheme="minorHAnsi"/>
          <w:sz w:val="24"/>
          <w:szCs w:val="24"/>
        </w:rPr>
        <w:t>S</w:t>
      </w:r>
      <w:r w:rsidR="00D552CD">
        <w:rPr>
          <w:rFonts w:cstheme="minorHAnsi"/>
          <w:sz w:val="24"/>
          <w:szCs w:val="24"/>
        </w:rPr>
        <w:t xml:space="preserve">tate authorized and issued borrowing that does not require reimbursement by the System. </w:t>
      </w:r>
      <w:r>
        <w:rPr>
          <w:rFonts w:eastAsia="Times New Roman" w:cstheme="minorHAnsi"/>
          <w:sz w:val="24"/>
          <w:szCs w:val="24"/>
        </w:rPr>
        <w:t xml:space="preserve">The revenue bonds are secured by a broad pledge of the System’s available resources. </w:t>
      </w:r>
    </w:p>
    <w:p w14:paraId="3F5A02FB" w14:textId="77777777" w:rsidR="00E07466" w:rsidRDefault="00721CFD">
      <w:pPr>
        <w:spacing w:after="160" w:line="259" w:lineRule="auto"/>
        <w:sectPr w:rsidR="00E07466" w:rsidSect="00721CFD">
          <w:headerReference w:type="default" r:id="rId39"/>
          <w:footerReference w:type="default" r:id="rId40"/>
          <w:type w:val="continuous"/>
          <w:pgSz w:w="12240" w:h="15840"/>
          <w:pgMar w:top="1440" w:right="1440" w:bottom="1440" w:left="1440" w:header="720" w:footer="720" w:gutter="0"/>
          <w:cols w:space="720"/>
        </w:sectPr>
      </w:pPr>
      <w:bookmarkStart w:id="6" w:name="_MON_1506237775"/>
      <w:bookmarkStart w:id="7" w:name="_MON_1505913879"/>
      <w:bookmarkStart w:id="8" w:name="_MON_1474965527"/>
      <w:bookmarkEnd w:id="6"/>
      <w:bookmarkEnd w:id="7"/>
      <w:bookmarkEnd w:id="8"/>
      <w:r>
        <w:br w:type="page"/>
      </w:r>
    </w:p>
    <w:p w14:paraId="6439F877" w14:textId="77777777" w:rsidR="00721CFD" w:rsidRDefault="00721CFD" w:rsidP="00721CFD">
      <w:pPr>
        <w:rPr>
          <w:b/>
          <w:i/>
          <w:sz w:val="26"/>
          <w:szCs w:val="26"/>
        </w:rPr>
      </w:pPr>
      <w:r>
        <w:rPr>
          <w:b/>
          <w:i/>
          <w:sz w:val="26"/>
          <w:szCs w:val="26"/>
        </w:rPr>
        <w:lastRenderedPageBreak/>
        <w:t>UNIVERSITY OF MAINE SYSTEM</w:t>
      </w:r>
    </w:p>
    <w:p w14:paraId="1EFDE75E" w14:textId="77777777" w:rsidR="00721CFD" w:rsidRDefault="00721CFD" w:rsidP="00721CFD">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STATEMENTS OF NET POSITION</w:t>
      </w:r>
    </w:p>
    <w:p w14:paraId="0DA1B77A" w14:textId="77777777" w:rsidR="00721CFD" w:rsidRDefault="00721CFD" w:rsidP="00721CFD">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JUNE 30, 2022 AND 2021 (IN THOUSANDS)</w:t>
      </w:r>
    </w:p>
    <w:p w14:paraId="10086AE3" w14:textId="77777777" w:rsidR="00721CFD" w:rsidRDefault="00721CFD" w:rsidP="00721CFD">
      <w:pPr>
        <w:tabs>
          <w:tab w:val="left" w:pos="265"/>
          <w:tab w:val="center" w:pos="4680"/>
        </w:tabs>
        <w:jc w:val="center"/>
        <w:rPr>
          <w:rFonts w:ascii="Calibri" w:hAnsi="Calibri"/>
          <w:sz w:val="10"/>
          <w:szCs w:val="24"/>
        </w:rPr>
      </w:pPr>
      <w:r>
        <w:rPr>
          <w:rFonts w:ascii="Calibri" w:hAnsi="Calibri"/>
          <w:sz w:val="10"/>
          <w:szCs w:val="24"/>
        </w:rPr>
        <w:fldChar w:fldCharType="begin"/>
      </w:r>
      <w:r>
        <w:rPr>
          <w:rFonts w:ascii="Calibri" w:hAnsi="Calibri"/>
          <w:sz w:val="10"/>
          <w:szCs w:val="24"/>
        </w:rPr>
        <w:fldChar w:fldCharType="separate"/>
      </w:r>
      <w:r>
        <w:rPr>
          <w:rFonts w:ascii="Calibri" w:hAnsi="Calibri"/>
          <w:noProof/>
          <w:sz w:val="10"/>
          <w:szCs w:val="24"/>
        </w:rPr>
        <w:drawing>
          <wp:inline distT="0" distB="0" distL="0" distR="0" wp14:anchorId="122E532C" wp14:editId="16397A8E">
            <wp:extent cx="5684520" cy="8176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4520" cy="8176260"/>
                    </a:xfrm>
                    <a:prstGeom prst="rect">
                      <a:avLst/>
                    </a:prstGeom>
                    <a:noFill/>
                    <a:ln>
                      <a:noFill/>
                    </a:ln>
                  </pic:spPr>
                </pic:pic>
              </a:graphicData>
            </a:graphic>
          </wp:inline>
        </w:drawing>
      </w:r>
      <w:r>
        <w:rPr>
          <w:rFonts w:ascii="Calibri" w:hAnsi="Calibri"/>
          <w:sz w:val="10"/>
          <w:szCs w:val="24"/>
        </w:rPr>
        <w:fldChar w:fldCharType="end"/>
      </w:r>
    </w:p>
    <w:p w14:paraId="2DF93658" w14:textId="107EFDD7" w:rsidR="00721CFD" w:rsidRDefault="00B7664E" w:rsidP="00721CFD">
      <w:pPr>
        <w:rPr>
          <w:rFonts w:ascii="Calibri" w:hAnsi="Calibri"/>
          <w:sz w:val="10"/>
          <w:szCs w:val="24"/>
        </w:rPr>
        <w:sectPr w:rsidR="00721CFD" w:rsidSect="00E07466">
          <w:headerReference w:type="default" r:id="rId42"/>
          <w:footerReference w:type="default" r:id="rId43"/>
          <w:pgSz w:w="12240" w:h="15840"/>
          <w:pgMar w:top="1440" w:right="1440" w:bottom="1440" w:left="1440" w:header="720" w:footer="720" w:gutter="0"/>
          <w:cols w:space="720"/>
        </w:sectPr>
      </w:pPr>
      <w:r w:rsidRPr="00B7664E">
        <w:rPr>
          <w:noProof/>
        </w:rPr>
        <w:drawing>
          <wp:inline distT="0" distB="0" distL="0" distR="0" wp14:anchorId="05A3B97A" wp14:editId="2D7DBCB0">
            <wp:extent cx="5120640" cy="7503275"/>
            <wp:effectExtent l="0" t="0" r="3810" b="2540"/>
            <wp:docPr id="65" name="Picture 65" descr=" 2022 2021 Restated&#10;Assets  &#10;Current Assets  &#10;Cash and cash equivalents (Note 2)  $7,441   $3,030 &#10;Operating investments (Note 3)  307,077   286,062 &#10;Accounts, grants, and pledges receivable, net (Note 4)  64,482   74,647 &#10;Inventories and prepaid expenses  6,782   5,562 &#10;Notes and leases receivable, net (Note 5)  351   354 &#10;Total Current Assets  386,133   369,655 &#10;Noncurrent Assets  &#10;Deposits with bond trustees (Notes 3 and 6)  3,659   34,203 &#10;Accounts, grants and pledges receivable, net (Note 4)  5,858   4,069 &#10;Notes and leases receivable, net (Note 5)  26,172   31,101 &#10;Net OPEB asset (Note 14)  -   18,058 &#10;Endowment investments (Note 3)  141,168   166,312 &#10;Capital assets, net (Note 6)  797,811   701,398 &#10;Irrevocable split interest agreements  470   847 &#10;Total Noncurrent Assets  975,138   955,988 &#10;Total Assets  1,361,271   1,325,643 &#10;Deferred Outflows of Resources (Note 15)  31,707   17,636 &#10;Total Assets and Deferred Outflows of Resources  $1,392,978   $1,343,279 &#10;Liabilities  &#10;Current Liabilities  &#10;Accounts payable  $36,104   $18,585 &#10;Unearned revenue and deposits (Note 8)  26,894   19,069 &#10;Accrued liabilities - current portion (Notes 7, 11 and 13)  48,073   44,104 &#10;Funds held for others - current portion  1,774   1,702 &#10;Current portion of lease liabilities (Note 7)  2,311   1,591 &#10;Long-term debt - current portion (Note 7)  55,755   13,574 &#10;Total Current Liabilities  170,911   98,625 &#10;Noncurrent Liabilities  &#10;Accrued liabilities (Notes 7, 11, 13 and 14)  72,342   54,014 &#10;Funds held for others (Note 3)  76   248 &#10;Noncurrent portion of lease liabilities (Note 7)  33,008   13,452 &#10;Long-term debt (Note 7)  96,138   151,798 &#10;Government advances refundable (Note 9)  14,152   19,360 &#10;Total Noncurrent Liabilities  215,716   238,872 &#10;Total Liabilities  386,627   337,497 &#10;Deferred Inflows of Resources (Note 15)  36,737   62,265 &#10;Net Position  &#10;Net investment in capital assets (Note 10)  588,972   548,693 &#10;Restricted nonexpendable (Note 10)  71,249   69,149 &#10;Restricted expendable (Notes 3 and 10)  147,419   143,604 &#10;Unrestricted (Notes 3 and 10)  161,974   182,071 &#10;Total Net Position  969,614   943,517 &#10;Total Liabilities, Deferred Inflows of Resources and Net Position  $1,392,978   $1,34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 2022 2021 Restated&#10;Assets  &#10;Current Assets  &#10;Cash and cash equivalents (Note 2)  $7,441   $3,030 &#10;Operating investments (Note 3)  307,077   286,062 &#10;Accounts, grants, and pledges receivable, net (Note 4)  64,482   74,647 &#10;Inventories and prepaid expenses  6,782   5,562 &#10;Notes and leases receivable, net (Note 5)  351   354 &#10;Total Current Assets  386,133   369,655 &#10;Noncurrent Assets  &#10;Deposits with bond trustees (Notes 3 and 6)  3,659   34,203 &#10;Accounts, grants and pledges receivable, net (Note 4)  5,858   4,069 &#10;Notes and leases receivable, net (Note 5)  26,172   31,101 &#10;Net OPEB asset (Note 14)  -   18,058 &#10;Endowment investments (Note 3)  141,168   166,312 &#10;Capital assets, net (Note 6)  797,811   701,398 &#10;Irrevocable split interest agreements  470   847 &#10;Total Noncurrent Assets  975,138   955,988 &#10;Total Assets  1,361,271   1,325,643 &#10;Deferred Outflows of Resources (Note 15)  31,707   17,636 &#10;Total Assets and Deferred Outflows of Resources  $1,392,978   $1,343,279 &#10;Liabilities  &#10;Current Liabilities  &#10;Accounts payable  $36,104   $18,585 &#10;Unearned revenue and deposits (Note 8)  26,894   19,069 &#10;Accrued liabilities - current portion (Notes 7, 11 and 13)  48,073   44,104 &#10;Funds held for others - current portion  1,774   1,702 &#10;Current portion of lease liabilities (Note 7)  2,311   1,591 &#10;Long-term debt - current portion (Note 7)  55,755   13,574 &#10;Total Current Liabilities  170,911   98,625 &#10;Noncurrent Liabilities  &#10;Accrued liabilities (Notes 7, 11, 13 and 14)  72,342   54,014 &#10;Funds held for others (Note 3)  76   248 &#10;Noncurrent portion of lease liabilities (Note 7)  33,008   13,452 &#10;Long-term debt (Note 7)  96,138   151,798 &#10;Government advances refundable (Note 9)  14,152   19,360 &#10;Total Noncurrent Liabilities  215,716   238,872 &#10;Total Liabilities  386,627   337,497 &#10;Deferred Inflows of Resources (Note 15)  36,737   62,265 &#10;Net Position  &#10;Net investment in capital assets (Note 10)  588,972   548,693 &#10;Restricted nonexpendable (Note 10)  71,249   69,149 &#10;Restricted expendable (Notes 3 and 10)  147,419   143,604 &#10;Unrestricted (Notes 3 and 10)  161,974   182,071 &#10;Total Net Position  969,614   943,517 &#10;Total Liabilities, Deferred Inflows of Resources and Net Position  $1,392,978   $1,343,2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3469" cy="7522073"/>
                    </a:xfrm>
                    <a:prstGeom prst="rect">
                      <a:avLst/>
                    </a:prstGeom>
                    <a:noFill/>
                    <a:ln>
                      <a:noFill/>
                    </a:ln>
                  </pic:spPr>
                </pic:pic>
              </a:graphicData>
            </a:graphic>
          </wp:inline>
        </w:drawing>
      </w:r>
    </w:p>
    <w:p w14:paraId="4CA6AA6E" w14:textId="77777777" w:rsidR="00721CFD" w:rsidRDefault="00721CFD" w:rsidP="00721CFD">
      <w:pPr>
        <w:rPr>
          <w:b/>
          <w:i/>
          <w:sz w:val="26"/>
          <w:szCs w:val="26"/>
        </w:rPr>
      </w:pPr>
      <w:r>
        <w:rPr>
          <w:b/>
          <w:i/>
          <w:sz w:val="26"/>
          <w:szCs w:val="26"/>
        </w:rPr>
        <w:lastRenderedPageBreak/>
        <w:t>UNIVERSITY OF MAINE SYSTEM</w:t>
      </w:r>
    </w:p>
    <w:p w14:paraId="30E51D59" w14:textId="77777777" w:rsidR="00721CFD" w:rsidRDefault="00721CFD" w:rsidP="00721CFD">
      <w:pPr>
        <w:pStyle w:val="Style1"/>
      </w:pPr>
      <w:r>
        <w:t xml:space="preserve">Statements of Financial Position – </w:t>
      </w:r>
      <w:r w:rsidRPr="00954D00">
        <w:rPr>
          <w:color w:val="auto"/>
        </w:rPr>
        <w:t>Discretely Presented Component Unit</w:t>
      </w:r>
    </w:p>
    <w:p w14:paraId="60A39B93" w14:textId="77777777" w:rsidR="00721CFD" w:rsidRDefault="00721CFD" w:rsidP="00721CFD">
      <w:pPr>
        <w:pBdr>
          <w:bottom w:val="single" w:sz="18" w:space="1" w:color="00688D"/>
        </w:pBdr>
        <w:rPr>
          <w:b/>
          <w:color w:val="FF0000"/>
          <w:sz w:val="26"/>
          <w:szCs w:val="26"/>
        </w:rPr>
      </w:pPr>
      <w:r>
        <w:rPr>
          <w:b/>
          <w:i/>
          <w:sz w:val="26"/>
          <w:szCs w:val="26"/>
        </w:rPr>
        <w:t>DECEMBER 31, 2021 AND JUNE 30, 2021 (IN THOUSANDS)</w:t>
      </w:r>
    </w:p>
    <w:p w14:paraId="7F9431BD" w14:textId="32BE4D0F" w:rsidR="00721CFD" w:rsidRDefault="003C1E06" w:rsidP="00721CFD">
      <w:pPr>
        <w:spacing w:after="160" w:line="256" w:lineRule="auto"/>
        <w:jc w:val="center"/>
      </w:pPr>
      <w:r w:rsidRPr="003C1E06">
        <w:rPr>
          <w:noProof/>
        </w:rPr>
        <w:drawing>
          <wp:inline distT="0" distB="0" distL="0" distR="0" wp14:anchorId="6451F54D" wp14:editId="2F1A1E2F">
            <wp:extent cx="5732780" cy="6106795"/>
            <wp:effectExtent l="0" t="0" r="1270" b="0"/>
            <wp:docPr id="37" name="Picture 37" descr="    December 31 2021 June 30      2021&#10;Assets     &#10; Cash and cash equivalents    $4,128   $1,651 &#10; Other receivables    49   129 &#10; &quot;Promises to give, less allowance for uncollectible pledges&#10;     of $140&quot;    4,303   8,364 &#10; Short-term investments    32,499   25,130 &#10; Cash surrender value of life insurance    238   188 &#10; Long-term investments, endowment    329,042   310,056 &#10; Long-term investments, life income plans    6,454   5,873 &#10; Notes receivable    21   21 &#10; Equity in Buchanan Alumni House    2,625   2,663 &#10; Investment real estate    5,516   5,525 &#10; &quot;Property and equipment, net of accumulated depreciation of &#10;     $252 and $234, respectively&quot;    131   149 &#10; Other assets    520   524 &#10; Irrevocable trusts    7,045   7,662 &#10;  Total Assets   $392,571   $367,935 &#10;     &#10;Liabilities     &#10; Accounts payable    $1,806   $272 &#10; Distributions due income beneficiaries    1,869   1,758 &#10; Accrued expenses    988   927 &#10; Deferred revenue    1,857   133 &#10; Custodial accounts payable    4,116   3,998 &#10;  Total Liabilities   10,636   7,088 &#10;Net Assets     &#10; Without donor restrictions    17,480   15,414 &#10; With donor restrictions    364,455   345,433 &#10;  Total Net Assets   381,935   360,847 &#10;  Total Liabilities and Net Assets   $392,571   $36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    December 31 2021 June 30      2021&#10;Assets     &#10; Cash and cash equivalents    $4,128   $1,651 &#10; Other receivables    49   129 &#10; &quot;Promises to give, less allowance for uncollectible pledges&#10;     of $140&quot;    4,303   8,364 &#10; Short-term investments    32,499   25,130 &#10; Cash surrender value of life insurance    238   188 &#10; Long-term investments, endowment    329,042   310,056 &#10; Long-term investments, life income plans    6,454   5,873 &#10; Notes receivable    21   21 &#10; Equity in Buchanan Alumni House    2,625   2,663 &#10; Investment real estate    5,516   5,525 &#10; &quot;Property and equipment, net of accumulated depreciation of &#10;     $252 and $234, respectively&quot;    131   149 &#10; Other assets    520   524 &#10; Irrevocable trusts    7,045   7,662 &#10;  Total Assets   $392,571   $367,935 &#10;     &#10;Liabilities     &#10; Accounts payable    $1,806   $272 &#10; Distributions due income beneficiaries    1,869   1,758 &#10; Accrued expenses    988   927 &#10; Deferred revenue    1,857   133 &#10; Custodial accounts payable    4,116   3,998 &#10;  Total Liabilities   10,636   7,088 &#10;Net Assets     &#10; Without donor restrictions    17,480   15,414 &#10; With donor restrictions    364,455   345,433 &#10;  Total Net Assets   381,935   360,847 &#10;  Total Liabilities and Net Assets   $392,571   $367,9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780" cy="6106795"/>
                    </a:xfrm>
                    <a:prstGeom prst="rect">
                      <a:avLst/>
                    </a:prstGeom>
                    <a:noFill/>
                    <a:ln>
                      <a:noFill/>
                    </a:ln>
                  </pic:spPr>
                </pic:pic>
              </a:graphicData>
            </a:graphic>
          </wp:inline>
        </w:drawing>
      </w:r>
    </w:p>
    <w:p w14:paraId="7345099B" w14:textId="77777777" w:rsidR="00721CFD" w:rsidRDefault="00721CFD" w:rsidP="00721CFD">
      <w:pPr>
        <w:spacing w:after="160" w:line="256" w:lineRule="auto"/>
        <w:jc w:val="center"/>
        <w:rPr>
          <w:rFonts w:ascii="Calibri" w:hAnsi="Calibri"/>
          <w:sz w:val="24"/>
          <w:szCs w:val="24"/>
        </w:rPr>
      </w:pPr>
      <w:r w:rsidRPr="00653C92">
        <w:t xml:space="preserve"> </w:t>
      </w:r>
      <w:r>
        <w:rPr>
          <w:rFonts w:ascii="Calibri" w:hAnsi="Calibri"/>
          <w:sz w:val="24"/>
          <w:szCs w:val="24"/>
        </w:rPr>
        <w:br w:type="page"/>
      </w:r>
    </w:p>
    <w:p w14:paraId="3A8E7984" w14:textId="77777777" w:rsidR="00721CFD" w:rsidRDefault="00721CFD" w:rsidP="00721CFD">
      <w:pPr>
        <w:rPr>
          <w:b/>
          <w:i/>
          <w:sz w:val="26"/>
          <w:szCs w:val="26"/>
        </w:rPr>
      </w:pPr>
      <w:r>
        <w:rPr>
          <w:b/>
          <w:i/>
          <w:sz w:val="26"/>
          <w:szCs w:val="26"/>
        </w:rPr>
        <w:lastRenderedPageBreak/>
        <w:t>UNIVERSITY OF MAINE SYSTEM</w:t>
      </w:r>
    </w:p>
    <w:p w14:paraId="06D8A0B0" w14:textId="77777777" w:rsidR="00721CFD" w:rsidRDefault="00721CFD" w:rsidP="00721CFD">
      <w:pPr>
        <w:pStyle w:val="Style1"/>
      </w:pPr>
      <w:r>
        <w:t>Statements of Revenues, Expenses and Changes in Net Position</w:t>
      </w:r>
    </w:p>
    <w:p w14:paraId="3F992A59" w14:textId="77777777" w:rsidR="00721CFD" w:rsidRDefault="00721CFD" w:rsidP="00721CFD">
      <w:pPr>
        <w:pBdr>
          <w:bottom w:val="single" w:sz="18" w:space="1" w:color="00688D"/>
        </w:pBdr>
        <w:rPr>
          <w:b/>
          <w:i/>
          <w:sz w:val="26"/>
          <w:szCs w:val="26"/>
        </w:rPr>
      </w:pPr>
      <w:r>
        <w:rPr>
          <w:b/>
          <w:i/>
          <w:sz w:val="26"/>
          <w:szCs w:val="26"/>
        </w:rPr>
        <w:t>YEARS ENDED JUNE 30, 2022 AND 2021 (IN THOUSANDS)</w:t>
      </w:r>
    </w:p>
    <w:p w14:paraId="71FA6AD3" w14:textId="77777777" w:rsidR="00721CFD" w:rsidRPr="000544FC" w:rsidRDefault="00721CFD" w:rsidP="00721CFD">
      <w:pPr>
        <w:jc w:val="center"/>
        <w:rPr>
          <w:sz w:val="10"/>
        </w:rPr>
      </w:pPr>
    </w:p>
    <w:p w14:paraId="2EE12055" w14:textId="5CC5214C" w:rsidR="00721CFD" w:rsidRDefault="00721CFD" w:rsidP="00721CFD">
      <w:pPr>
        <w:jc w:val="center"/>
        <w:rPr>
          <w:rFonts w:ascii="Calibri" w:hAnsi="Calibri"/>
          <w:sz w:val="24"/>
          <w:szCs w:val="24"/>
        </w:rPr>
        <w:sectPr w:rsidR="00721CFD" w:rsidSect="007B5BB3">
          <w:pgSz w:w="12240" w:h="15840"/>
          <w:pgMar w:top="1440" w:right="1440" w:bottom="1440" w:left="1440" w:header="720" w:footer="720" w:gutter="0"/>
          <w:cols w:space="720"/>
        </w:sectPr>
      </w:pPr>
      <w:r w:rsidRPr="00D11FE7">
        <w:rPr>
          <w:rFonts w:ascii="Calibri" w:hAnsi="Calibri"/>
          <w:sz w:val="8"/>
          <w:szCs w:val="24"/>
        </w:rPr>
        <w:t xml:space="preserve"> </w:t>
      </w:r>
      <w:r w:rsidR="002D3DE3" w:rsidRPr="002D3DE3">
        <w:rPr>
          <w:noProof/>
        </w:rPr>
        <w:drawing>
          <wp:inline distT="0" distB="0" distL="0" distR="0" wp14:anchorId="3E499913" wp14:editId="357CD30F">
            <wp:extent cx="5406887" cy="7448176"/>
            <wp:effectExtent l="0" t="0" r="3810" b="635"/>
            <wp:docPr id="72" name="Picture 72" descr=" 2022 2021       restated&#10;Operating Revenues  &#10;Tuition and fees  $328,080   $320,684 &#10;Residence and dining fees  65,160   39,894 &#10;Less: scholarship allowances  (130,416)  (122,104)&#10;Net student fees  262,824   238,474 &#10;Federal, state and private grants and contracts  139,545   119,085 &#10;Recovery of indirect costs  23,498   17,308 &#10;Educational sales and services and other revenues  30,520   19,317 &#10;Other auxiliary enterprises  10,327   10,894 &#10;Total Operating Revenues  466,714   405,078 &#10;Operating Expenses  &#10;Instruction  202,070   187,643 &#10;Research  99,534   85,787 &#10;Public service  65,281   59,293 &#10;Academic support  80,633   75,295 &#10;Student services  66,655   56,947 &#10;Institutional support  66,632   12,080 &#10;Operation and maintenance of plant  61,248   62,514 &#10;Depreciation and amortization (Note 6)  44,234   43,622 &#10;Student aid  57,578   40,122 &#10;Auxiliary enterprises  66,907   56,539 &#10;Total Operating Expenses  810,772   679,842 &#10;Operating Loss  (344,058)  (274,764)&#10;Nonoperating Revenues (Expenses)  &#10;Noncapital State of Maine appropriations  229,357   218,157 &#10;Federal Pell Grants  33,735   34,591 &#10;Coronavirus relief funding  62,886   36,602 &#10;Gifts currently expendable  19,883   19,165 &#10;Endowment return used for operations (Note 3)  6,154   6,006 &#10;Investment income (loss) (Note 3)  (13,664)  22,525 &#10;Interest expense, net (Note 7)  (3,954)  (3,853)&#10;Net Nonoperating Revenues (Expenses)  334,397   333,193 &#10;Income (Loss) Before Other Changes in Net Position  (9,661)  58,429 &#10;Other Changes in Net Position  &#10;State of Maine capital appropriations  25,392   15,988 &#10;Capital grants and gifts  34,437   8,225 &#10;Endowment return, net of amount used for operations (Note 3)  (26,295)  29,406 &#10;True and quasi endowment gifts  2,782   2,582 &#10;Loss on disposal of capital assets  (558)  (2,395)&#10;Total Other Changes in Net Position  35,758   53,806 &#10;Change in Net Position  26,097   112,235 &#10;Net Position - Beginning of the Year-As Restated  943,517   831,282 &#10;Net Position - End of Year - As Restated (Note 18)  $969,614   $94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 2022 2021       restated&#10;Operating Revenues  &#10;Tuition and fees  $328,080   $320,684 &#10;Residence and dining fees  65,160   39,894 &#10;Less: scholarship allowances  (130,416)  (122,104)&#10;Net student fees  262,824   238,474 &#10;Federal, state and private grants and contracts  139,545   119,085 &#10;Recovery of indirect costs  23,498   17,308 &#10;Educational sales and services and other revenues  30,520   19,317 &#10;Other auxiliary enterprises  10,327   10,894 &#10;Total Operating Revenues  466,714   405,078 &#10;Operating Expenses  &#10;Instruction  202,070   187,643 &#10;Research  99,534   85,787 &#10;Public service  65,281   59,293 &#10;Academic support  80,633   75,295 &#10;Student services  66,655   56,947 &#10;Institutional support  66,632   12,080 &#10;Operation and maintenance of plant  61,248   62,514 &#10;Depreciation and amortization (Note 6)  44,234   43,622 &#10;Student aid  57,578   40,122 &#10;Auxiliary enterprises  66,907   56,539 &#10;Total Operating Expenses  810,772   679,842 &#10;Operating Loss  (344,058)  (274,764)&#10;Nonoperating Revenues (Expenses)  &#10;Noncapital State of Maine appropriations  229,357   218,157 &#10;Federal Pell Grants  33,735   34,591 &#10;Coronavirus relief funding  62,886   36,602 &#10;Gifts currently expendable  19,883   19,165 &#10;Endowment return used for operations (Note 3)  6,154   6,006 &#10;Investment income (loss) (Note 3)  (13,664)  22,525 &#10;Interest expense, net (Note 7)  (3,954)  (3,853)&#10;Net Nonoperating Revenues (Expenses)  334,397   333,193 &#10;Income (Loss) Before Other Changes in Net Position  (9,661)  58,429 &#10;Other Changes in Net Position  &#10;State of Maine capital appropriations  25,392   15,988 &#10;Capital grants and gifts  34,437   8,225 &#10;Endowment return, net of amount used for operations (Note 3)  (26,295)  29,406 &#10;True and quasi endowment gifts  2,782   2,582 &#10;Loss on disposal of capital assets  (558)  (2,395)&#10;Total Other Changes in Net Position  35,758   53,806 &#10;Change in Net Position  26,097   112,235 &#10;Net Position - Beginning of the Year-As Restated  943,517   831,282 &#10;Net Position - End of Year - As Restated (Note 18)  $969,614   $943,5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679" cy="7469931"/>
                    </a:xfrm>
                    <a:prstGeom prst="rect">
                      <a:avLst/>
                    </a:prstGeom>
                    <a:noFill/>
                    <a:ln>
                      <a:noFill/>
                    </a:ln>
                  </pic:spPr>
                </pic:pic>
              </a:graphicData>
            </a:graphic>
          </wp:inline>
        </w:drawing>
      </w:r>
    </w:p>
    <w:p w14:paraId="0DA22424" w14:textId="77777777" w:rsidR="00721CFD" w:rsidRDefault="00721CFD" w:rsidP="00721CFD">
      <w:pPr>
        <w:rPr>
          <w:b/>
          <w:i/>
          <w:sz w:val="26"/>
          <w:szCs w:val="26"/>
        </w:rPr>
      </w:pPr>
      <w:r>
        <w:rPr>
          <w:b/>
          <w:i/>
          <w:sz w:val="26"/>
          <w:szCs w:val="26"/>
        </w:rPr>
        <w:lastRenderedPageBreak/>
        <w:t>UNIVERSITY OF MAINE SYSTEM</w:t>
      </w:r>
    </w:p>
    <w:p w14:paraId="20512297" w14:textId="77777777" w:rsidR="00721CFD" w:rsidRDefault="00721CFD" w:rsidP="00721CFD">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 xml:space="preserve">Statements of Activities – </w:t>
      </w:r>
      <w:r w:rsidRPr="00954D00">
        <w:rPr>
          <w:rFonts w:ascii="Calibri" w:eastAsia="Times New Roman" w:hAnsi="Calibri" w:cs="Times New Roman"/>
          <w:b/>
          <w:i/>
          <w:caps/>
          <w:spacing w:val="-3"/>
          <w:sz w:val="26"/>
          <w:szCs w:val="26"/>
        </w:rPr>
        <w:t xml:space="preserve">Discretely Presented Component Unit </w:t>
      </w:r>
    </w:p>
    <w:p w14:paraId="63A8C675" w14:textId="59E1EE31" w:rsidR="00721CFD" w:rsidRDefault="00721CFD" w:rsidP="00721CFD">
      <w:pPr>
        <w:pBdr>
          <w:bottom w:val="single" w:sz="18" w:space="1" w:color="00688D"/>
        </w:pBdr>
        <w:rPr>
          <w:b/>
          <w:i/>
          <w:sz w:val="26"/>
          <w:szCs w:val="26"/>
        </w:rPr>
      </w:pPr>
      <w:r>
        <w:rPr>
          <w:b/>
          <w:i/>
          <w:sz w:val="26"/>
          <w:szCs w:val="26"/>
        </w:rPr>
        <w:t xml:space="preserve">SIX MONTHS ENDED DECEMBER 31, 2021 </w:t>
      </w:r>
      <w:r w:rsidR="0061718B">
        <w:rPr>
          <w:b/>
          <w:i/>
          <w:sz w:val="26"/>
          <w:szCs w:val="26"/>
        </w:rPr>
        <w:t>AND</w:t>
      </w:r>
      <w:r>
        <w:rPr>
          <w:b/>
          <w:i/>
          <w:sz w:val="26"/>
          <w:szCs w:val="26"/>
        </w:rPr>
        <w:t xml:space="preserve"> THE YEAR ENDED JUNE, 30 </w:t>
      </w:r>
      <w:r w:rsidR="00435B74">
        <w:rPr>
          <w:b/>
          <w:i/>
          <w:sz w:val="26"/>
          <w:szCs w:val="26"/>
        </w:rPr>
        <w:t xml:space="preserve">2021 </w:t>
      </w:r>
      <w:r>
        <w:rPr>
          <w:b/>
          <w:i/>
          <w:sz w:val="26"/>
          <w:szCs w:val="26"/>
        </w:rPr>
        <w:t>(IN THOUSANDS)</w:t>
      </w:r>
    </w:p>
    <w:p w14:paraId="5CD25AE8" w14:textId="5472953A" w:rsidR="00721CFD" w:rsidRDefault="00303B07" w:rsidP="00721CFD">
      <w:pPr>
        <w:jc w:val="center"/>
        <w:rPr>
          <w:rFonts w:ascii="Calibri" w:hAnsi="Calibri"/>
          <w:sz w:val="24"/>
          <w:szCs w:val="24"/>
        </w:rPr>
        <w:sectPr w:rsidR="00721CFD" w:rsidSect="007B5BB3">
          <w:pgSz w:w="12240" w:h="15840"/>
          <w:pgMar w:top="1440" w:right="1440" w:bottom="1440" w:left="1440" w:header="720" w:footer="720" w:gutter="0"/>
          <w:cols w:space="720"/>
        </w:sectPr>
      </w:pPr>
      <w:r w:rsidRPr="00303B07">
        <w:rPr>
          <w:noProof/>
        </w:rPr>
        <w:drawing>
          <wp:inline distT="0" distB="0" distL="0" distR="0" wp14:anchorId="1CEE8C88" wp14:editId="28CE443E">
            <wp:extent cx="5943600" cy="4366830"/>
            <wp:effectExtent l="0" t="0" r="0" b="0"/>
            <wp:docPr id="19" name="Picture 19" descr="   Without Donor Restrictions With Donor Restrictions Total      December 31                  2021  Without Donor Restrictions With Donor Restrictions Total      June 30      2021 &#10;        &#10;Revenues, Gains, Losses, and Reclassification        &#10; Contributions   $4,461   $8,231   $12,692   $4,585   $18,869   $23,454 &#10; Advancement services   1,857   -   1,857   3,694   -   3,694 &#10; Investment returns and other revenue   622   17,284   17,906   2,484   74,851   77,335 &#10; Reinvestment of donor funds   78   (78)  -   148   (148)  - &#10; Gain from extinguishment of debt -        &#10;    Paycheck Protection Program   -   -   -   719   -   719 &#10; Net assets released from restrictions pursuant       &#10;    to endowment spending distribution   3,532   (3,532)  -   6,721   (6,721)  - &#10; Net assets released from restrictions - other   2,883   (2,883)  -   4,227   (4,227)  - &#10; Total Revenues, Gains, Losses, and Reclassification   13,433   19,022   32,455   22,578   82,624   105,202 &#10;Expenses and Losses        &#10; Program services   9,272   -   9,272   16,134   -   16,134 &#10; Management and general   540   -   540   1,003   -   1,003 &#10; Fundraising   1,555   -   1,555   3,022   -   3,022 &#10; Total Expenses   11,367   -   11,367   20,159   -   20,159 &#10; Change in Net Assets   2,066   19,022   21,088   2,419   82,624   85,043 &#10; Net Assets - Beginning of Year   15,414   345,433   360,847   12,995   262,809   275,804 &#10; Net Assets - End of Year   $17,480   $364,455   $381,935   $15,414   $345,433   $36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   Without Donor Restrictions With Donor Restrictions Total      December 31                  2021  Without Donor Restrictions With Donor Restrictions Total      June 30      2021 &#10;        &#10;Revenues, Gains, Losses, and Reclassification        &#10; Contributions   $4,461   $8,231   $12,692   $4,585   $18,869   $23,454 &#10; Advancement services   1,857   -   1,857   3,694   -   3,694 &#10; Investment returns and other revenue   622   17,284   17,906   2,484   74,851   77,335 &#10; Reinvestment of donor funds   78   (78)  -   148   (148)  - &#10; Gain from extinguishment of debt -        &#10;    Paycheck Protection Program   -   -   -   719   -   719 &#10; Net assets released from restrictions pursuant       &#10;    to endowment spending distribution   3,532   (3,532)  -   6,721   (6,721)  - &#10; Net assets released from restrictions - other   2,883   (2,883)  -   4,227   (4,227)  - &#10; Total Revenues, Gains, Losses, and Reclassification   13,433   19,022   32,455   22,578   82,624   105,202 &#10;Expenses and Losses        &#10; Program services   9,272   -   9,272   16,134   -   16,134 &#10; Management and general   540   -   540   1,003   -   1,003 &#10; Fundraising   1,555   -   1,555   3,022   -   3,022 &#10; Total Expenses   11,367   -   11,367   20,159   -   20,159 &#10; Change in Net Assets   2,066   19,022   21,088   2,419   82,624   85,043 &#10; Net Assets - Beginning of Year   15,414   345,433   360,847   12,995   262,809   275,804 &#10; Net Assets - End of Year   $17,480   $364,455   $381,935   $15,414   $345,433   $360,8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366830"/>
                    </a:xfrm>
                    <a:prstGeom prst="rect">
                      <a:avLst/>
                    </a:prstGeom>
                    <a:noFill/>
                    <a:ln>
                      <a:noFill/>
                    </a:ln>
                  </pic:spPr>
                </pic:pic>
              </a:graphicData>
            </a:graphic>
          </wp:inline>
        </w:drawing>
      </w:r>
    </w:p>
    <w:p w14:paraId="0CF65F69" w14:textId="77777777" w:rsidR="00721CFD" w:rsidRDefault="00721CFD" w:rsidP="00721CFD">
      <w:pPr>
        <w:rPr>
          <w:b/>
          <w:i/>
          <w:sz w:val="26"/>
          <w:szCs w:val="26"/>
        </w:rPr>
      </w:pPr>
      <w:r>
        <w:rPr>
          <w:b/>
          <w:i/>
          <w:sz w:val="26"/>
          <w:szCs w:val="26"/>
        </w:rPr>
        <w:lastRenderedPageBreak/>
        <w:t>UNIVERSITY OF MAINE SYSTEM</w:t>
      </w:r>
    </w:p>
    <w:p w14:paraId="62B6EC8D" w14:textId="77777777" w:rsidR="00721CFD" w:rsidRDefault="00721CFD" w:rsidP="00721CFD">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 xml:space="preserve">Statements </w:t>
      </w:r>
      <w:r w:rsidRPr="00D73825">
        <w:rPr>
          <w:rFonts w:ascii="Calibri" w:eastAsia="Times New Roman" w:hAnsi="Calibri" w:cs="Times New Roman"/>
          <w:b/>
          <w:i/>
          <w:caps/>
          <w:spacing w:val="-3"/>
          <w:sz w:val="26"/>
          <w:szCs w:val="26"/>
        </w:rPr>
        <w:t>of Cash Flows</w:t>
      </w:r>
    </w:p>
    <w:p w14:paraId="1E9DB9E9" w14:textId="77777777" w:rsidR="00721CFD" w:rsidRDefault="00721CFD" w:rsidP="00721CFD">
      <w:pPr>
        <w:keepNext/>
        <w:pBdr>
          <w:bottom w:val="single" w:sz="18" w:space="1" w:color="00688D"/>
        </w:pBdr>
        <w:suppressAutoHyphens/>
        <w:spacing w:after="240"/>
        <w:outlineLvl w:val="0"/>
        <w:rPr>
          <w:rFonts w:ascii="Calibri" w:eastAsia="Times New Roman" w:hAnsi="Calibri" w:cs="Times New Roman"/>
          <w:b/>
          <w:i/>
          <w:caps/>
          <w:color w:val="000000"/>
          <w:spacing w:val="-3"/>
        </w:rPr>
      </w:pPr>
      <w:r>
        <w:rPr>
          <w:rFonts w:ascii="Calibri" w:eastAsia="Times New Roman" w:hAnsi="Calibri" w:cs="Times New Roman"/>
          <w:b/>
          <w:i/>
          <w:caps/>
          <w:color w:val="000000"/>
          <w:spacing w:val="-3"/>
          <w:sz w:val="26"/>
          <w:szCs w:val="26"/>
        </w:rPr>
        <w:t xml:space="preserve">Years Ended June 30, 2022 and 2021 </w:t>
      </w:r>
      <w:r>
        <w:rPr>
          <w:rFonts w:ascii="Calibri" w:eastAsia="Times New Roman" w:hAnsi="Calibri" w:cs="Times New Roman"/>
          <w:b/>
          <w:i/>
          <w:caps/>
          <w:color w:val="000000"/>
          <w:spacing w:val="-3"/>
        </w:rPr>
        <w:t>(in thousands)</w:t>
      </w:r>
    </w:p>
    <w:p w14:paraId="1333D049" w14:textId="25D5D4D7" w:rsidR="00721CFD" w:rsidRDefault="00B90970" w:rsidP="00721CFD">
      <w:pPr>
        <w:rPr>
          <w:rFonts w:ascii="Calibri" w:hAnsi="Calibri"/>
          <w:sz w:val="24"/>
          <w:szCs w:val="24"/>
        </w:rPr>
        <w:sectPr w:rsidR="00721CFD" w:rsidSect="007B5BB3">
          <w:pgSz w:w="12240" w:h="15840"/>
          <w:pgMar w:top="1440" w:right="1440" w:bottom="1440" w:left="1440" w:header="720" w:footer="720" w:gutter="0"/>
          <w:cols w:space="720"/>
        </w:sectPr>
      </w:pPr>
      <w:r w:rsidRPr="00B90970">
        <w:rPr>
          <w:noProof/>
        </w:rPr>
        <w:drawing>
          <wp:inline distT="0" distB="0" distL="0" distR="0" wp14:anchorId="6879F0B9" wp14:editId="6377886C">
            <wp:extent cx="5796280" cy="6885940"/>
            <wp:effectExtent l="0" t="0" r="0" b="0"/>
            <wp:docPr id="13" name="Picture 13" descr=" 2022 2021 Restated&#10;Cash Flows From Operating Activities  &#10;Tuition, residence, dining, and other student fees  $261,234   $236,417 &#10;Grants and contracts  167,867   123,120 &#10;Educational sales and services and other auxiliary enterprise revenues  39,080   30,225 &#10;Payments to and on behalf of employees  (501,215)  (463,985)&#10;Financial aid paid to students  (62,334)  (44,475)&#10;Payments to suppliers  (195,892)  (164,454)&#10;Loans issued to students  (1,778)  (1,791)&#10;Collection of loans to students  4,774   5,091 &#10;Net Cash Used for Operating Activities  (288,264)  (279,852)&#10;Cash Flows From Noncapital Financing Activities  &#10;State appropriations  229,357   218,157 &#10;Federal Pell Grants  34,602   34,733 &#10;Coronavirus relief funding  73,915   23,339 &#10;Noncapital grants and gifts  20,920   23,942 &#10;Agency transactions  655   88 &#10;Net Cash Provided by Noncapital Financing Activities  359,449   300,259 &#10;Cash Flows From Capital and Related Financing Activities  &#10;Proceeds from capital debt issuances  -   43,000 &#10;Capital appropriations  23,832   15,758 &#10;Capital grants and gifts  31,454   6,452 &#10;Proceeds from sale of capital assets  45   41 &#10;Acquisition and construction of capital assets  (102,823)  (46,191)&#10;Principal paid on capital debt and leases  (15,218)  (13,813)&#10;Interest paid on capital debt and leases  (5,223)  (5,369)&#10;Net Cash Used for Capital and Related Financing Activities  (67,933)  (122)&#10;Cash Flows From Investing Activities  &#10;Proceeds from sales and maturities of investments  562,486   416,523 &#10;Purchases of investments  (568,421)  (447,045)&#10;Earnings from investments  7,094   5,985 &#10;Net Cash Provided by (Used for) Investing Activities  1,159   (24,537)&#10;Net Increase (Decrease) in Cash and Cash Equivalents  4,411   (4,252)&#10;Cash and Cash Equivalents - Beginning of Year  3,030   7,282 &#10;Cash and Cash Equivalents - End of Year  $7,441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 2022 2021 Restated&#10;Cash Flows From Operating Activities  &#10;Tuition, residence, dining, and other student fees  $261,234   $236,417 &#10;Grants and contracts  167,867   123,120 &#10;Educational sales and services and other auxiliary enterprise revenues  39,080   30,225 &#10;Payments to and on behalf of employees  (501,215)  (463,985)&#10;Financial aid paid to students  (62,334)  (44,475)&#10;Payments to suppliers  (195,892)  (164,454)&#10;Loans issued to students  (1,778)  (1,791)&#10;Collection of loans to students  4,774   5,091 &#10;Net Cash Used for Operating Activities  (288,264)  (279,852)&#10;Cash Flows From Noncapital Financing Activities  &#10;State appropriations  229,357   218,157 &#10;Federal Pell Grants  34,602   34,733 &#10;Coronavirus relief funding  73,915   23,339 &#10;Noncapital grants and gifts  20,920   23,942 &#10;Agency transactions  655   88 &#10;Net Cash Provided by Noncapital Financing Activities  359,449   300,259 &#10;Cash Flows From Capital and Related Financing Activities  &#10;Proceeds from capital debt issuances  -   43,000 &#10;Capital appropriations  23,832   15,758 &#10;Capital grants and gifts  31,454   6,452 &#10;Proceeds from sale of capital assets  45   41 &#10;Acquisition and construction of capital assets  (102,823)  (46,191)&#10;Principal paid on capital debt and leases  (15,218)  (13,813)&#10;Interest paid on capital debt and leases  (5,223)  (5,369)&#10;Net Cash Used for Capital and Related Financing Activities  (67,933)  (122)&#10;Cash Flows From Investing Activities  &#10;Proceeds from sales and maturities of investments  562,486   416,523 &#10;Purchases of investments  (568,421)  (447,045)&#10;Earnings from investments  7,094   5,985 &#10;Net Cash Provided by (Used for) Investing Activities  1,159   (24,537)&#10;Net Increase (Decrease) in Cash and Cash Equivalents  4,411   (4,252)&#10;Cash and Cash Equivalents - Beginning of Year  3,030   7,282 &#10;Cash and Cash Equivalents - End of Year  $7,441   $3,0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6280" cy="6885940"/>
                    </a:xfrm>
                    <a:prstGeom prst="rect">
                      <a:avLst/>
                    </a:prstGeom>
                    <a:noFill/>
                    <a:ln>
                      <a:noFill/>
                    </a:ln>
                  </pic:spPr>
                </pic:pic>
              </a:graphicData>
            </a:graphic>
          </wp:inline>
        </w:drawing>
      </w:r>
    </w:p>
    <w:p w14:paraId="45CA369E" w14:textId="77777777" w:rsidR="00721CFD" w:rsidRDefault="00721CFD" w:rsidP="00721CFD">
      <w:pPr>
        <w:rPr>
          <w:b/>
          <w:i/>
          <w:sz w:val="26"/>
          <w:szCs w:val="26"/>
        </w:rPr>
      </w:pPr>
      <w:r>
        <w:rPr>
          <w:b/>
          <w:i/>
          <w:sz w:val="26"/>
          <w:szCs w:val="26"/>
        </w:rPr>
        <w:lastRenderedPageBreak/>
        <w:t>UNIVERSITY OF MAINE SYSTEM</w:t>
      </w:r>
    </w:p>
    <w:p w14:paraId="799E2AC7" w14:textId="77777777" w:rsidR="00721CFD" w:rsidRDefault="00721CFD" w:rsidP="00721CFD">
      <w:pPr>
        <w:keepNext/>
        <w:pBdr>
          <w:bottom w:val="single" w:sz="18" w:space="1" w:color="00688D"/>
        </w:pBdr>
        <w:suppressAutoHyphens/>
        <w:outlineLvl w:val="0"/>
        <w:rPr>
          <w:rFonts w:ascii="Calibri" w:eastAsia="Times New Roman" w:hAnsi="Calibri" w:cs="Times New Roman"/>
          <w:b/>
          <w:i/>
          <w:caps/>
          <w:color w:val="000000"/>
          <w:spacing w:val="-3"/>
          <w:sz w:val="26"/>
          <w:szCs w:val="26"/>
        </w:rPr>
      </w:pPr>
      <w:r>
        <w:rPr>
          <w:rFonts w:ascii="Calibri" w:eastAsia="Times New Roman" w:hAnsi="Calibri" w:cs="Times New Roman"/>
          <w:b/>
          <w:i/>
          <w:caps/>
          <w:color w:val="000000"/>
          <w:spacing w:val="-3"/>
          <w:sz w:val="26"/>
          <w:szCs w:val="26"/>
        </w:rPr>
        <w:t xml:space="preserve">Statements of </w:t>
      </w:r>
      <w:r w:rsidRPr="00D73825">
        <w:rPr>
          <w:rFonts w:ascii="Calibri" w:eastAsia="Times New Roman" w:hAnsi="Calibri" w:cs="Times New Roman"/>
          <w:b/>
          <w:i/>
          <w:caps/>
          <w:spacing w:val="-3"/>
          <w:sz w:val="26"/>
          <w:szCs w:val="26"/>
        </w:rPr>
        <w:t>Cash Flows</w:t>
      </w:r>
    </w:p>
    <w:p w14:paraId="43DC1D43" w14:textId="77777777" w:rsidR="00721CFD" w:rsidRPr="00192DE9" w:rsidRDefault="00721CFD" w:rsidP="00721CFD">
      <w:pPr>
        <w:keepNext/>
        <w:pBdr>
          <w:bottom w:val="single" w:sz="18" w:space="1" w:color="00688D"/>
        </w:pBdr>
        <w:suppressAutoHyphens/>
        <w:spacing w:after="240"/>
        <w:outlineLvl w:val="0"/>
      </w:pPr>
      <w:r>
        <w:rPr>
          <w:rFonts w:ascii="Calibri" w:eastAsia="Times New Roman" w:hAnsi="Calibri" w:cs="Times New Roman"/>
          <w:b/>
          <w:i/>
          <w:caps/>
          <w:color w:val="000000"/>
          <w:spacing w:val="-3"/>
          <w:sz w:val="26"/>
          <w:szCs w:val="26"/>
        </w:rPr>
        <w:t xml:space="preserve">Years Ended June 30, 2022 and 2021 </w:t>
      </w:r>
      <w:r>
        <w:rPr>
          <w:rFonts w:ascii="Calibri" w:eastAsia="Times New Roman" w:hAnsi="Calibri" w:cs="Times New Roman"/>
          <w:b/>
          <w:i/>
          <w:caps/>
          <w:color w:val="000000"/>
          <w:spacing w:val="-3"/>
        </w:rPr>
        <w:t>(in Thousands)</w:t>
      </w:r>
      <w:r>
        <w:fldChar w:fldCharType="begin"/>
      </w:r>
      <w:r>
        <w:fldChar w:fldCharType="end"/>
      </w:r>
    </w:p>
    <w:p w14:paraId="44B1CCCC" w14:textId="23A7A732" w:rsidR="00721CFD" w:rsidRDefault="00B90970" w:rsidP="00721CFD">
      <w:pPr>
        <w:rPr>
          <w:rFonts w:ascii="Times New Roman" w:eastAsia="Times New Roman" w:hAnsi="Times New Roman" w:cs="Times New Roman"/>
          <w:sz w:val="20"/>
          <w:szCs w:val="20"/>
        </w:rPr>
      </w:pPr>
      <w:r w:rsidRPr="00B90970">
        <w:rPr>
          <w:noProof/>
        </w:rPr>
        <w:drawing>
          <wp:inline distT="0" distB="0" distL="0" distR="0" wp14:anchorId="35D41037" wp14:editId="7B372DD3">
            <wp:extent cx="5796280" cy="5971540"/>
            <wp:effectExtent l="0" t="0" r="0" b="0"/>
            <wp:docPr id="23" name="Picture 23" descr=" 2022 2021 Restated&#10;Operating Loss  $(344,058)  $(274,764)&#10;Adjustments to reconcile operating loss to net cash used for operating activities:  &#10;Depreciation and amortization  44,234   43,622 &#10;Changes in assets, liabilities, deferred outflows and deferred inflows:  &#10;Accounts and grants receivable, net  924   (8,385)&#10;Inventories and prepaid expenses  (1,220)  20 &#10;Notes and leases receivable, net  4,579   3,830 &#10;Net OPEB asset  18,058   (18,058)&#10;Irrevocable split interest agreements  377   918 &#10;Deferred outflows related to pensions  (794)  357 &#10;Deferred outflows related to OPEB  (13,556)  13,135 &#10;Accounts payable  2,224   2,176 &#10;Unearned revenue and deposits  6,812   3,601 &#10;Accrued liabilities  24,892   (63,431)&#10;Grants refundable  (5,208)  (4,608)&#10;Deferred inflows related to pensions  (923)  848 &#10;Deferred inflows related to OPEB  (23,775)  22,090 &#10;Deferred inflows related to split interest agreements  (377)  (918)&#10;Deferred inflows related to dining contract  (512)  (13)&#10;Deferred inflows related to Leases  59   (272)&#10;Net Cash Used for Operating Activities  $(288,264)  $(279,852)&#10;Noncash investing, capital, and financing activities:  &#10;Capital asset additions included in accounts payable and accrued liabilities as of June 30  $22,459   $7,177 &#10;Capital asset additions acquired through long-term debt  $105   $106 &#10;Capital asset additions acquired through long-term leases  $22,587   $5,672 &#10;Capital asset additions acquired through service concession arrangements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 2022 2021 Restated&#10;Operating Loss  $(344,058)  $(274,764)&#10;Adjustments to reconcile operating loss to net cash used for operating activities:  &#10;Depreciation and amortization  44,234   43,622 &#10;Changes in assets, liabilities, deferred outflows and deferred inflows:  &#10;Accounts and grants receivable, net  924   (8,385)&#10;Inventories and prepaid expenses  (1,220)  20 &#10;Notes and leases receivable, net  4,579   3,830 &#10;Net OPEB asset  18,058   (18,058)&#10;Irrevocable split interest agreements  377   918 &#10;Deferred outflows related to pensions  (794)  357 &#10;Deferred outflows related to OPEB  (13,556)  13,135 &#10;Accounts payable  2,224   2,176 &#10;Unearned revenue and deposits  6,812   3,601 &#10;Accrued liabilities  24,892   (63,431)&#10;Grants refundable  (5,208)  (4,608)&#10;Deferred inflows related to pensions  (923)  848 &#10;Deferred inflows related to OPEB  (23,775)  22,090 &#10;Deferred inflows related to split interest agreements  (377)  (918)&#10;Deferred inflows related to dining contract  (512)  (13)&#10;Deferred inflows related to Leases  59   (272)&#10;Net Cash Used for Operating Activities  $(288,264)  $(279,852)&#10;Noncash investing, capital, and financing activities:  &#10;Capital asset additions included in accounts payable and accrued liabilities as of June 30  $22,459   $7,177 &#10;Capital asset additions acquired through long-term debt  $105   $106 &#10;Capital asset additions acquired through long-term leases  $22,587   $5,672 &#10;Capital asset additions acquired through service concession arrangements  $-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6280" cy="5971540"/>
                    </a:xfrm>
                    <a:prstGeom prst="rect">
                      <a:avLst/>
                    </a:prstGeom>
                    <a:noFill/>
                    <a:ln>
                      <a:noFill/>
                    </a:ln>
                  </pic:spPr>
                </pic:pic>
              </a:graphicData>
            </a:graphic>
          </wp:inline>
        </w:drawing>
      </w:r>
    </w:p>
    <w:p w14:paraId="740A81F4" w14:textId="77777777" w:rsidR="00721CFD" w:rsidRDefault="00721CFD" w:rsidP="00721CFD">
      <w:pPr>
        <w:rPr>
          <w:rFonts w:ascii="Times New Roman" w:eastAsia="Times New Roman" w:hAnsi="Times New Roman" w:cs="Times New Roman"/>
          <w:sz w:val="20"/>
          <w:szCs w:val="20"/>
        </w:rPr>
      </w:pPr>
    </w:p>
    <w:p w14:paraId="5228514B" w14:textId="77777777" w:rsidR="00721CFD" w:rsidRPr="00274D04" w:rsidRDefault="00721CFD" w:rsidP="00721CFD">
      <w:pPr>
        <w:rPr>
          <w:rFonts w:ascii="Times New Roman" w:eastAsia="Times New Roman" w:hAnsi="Times New Roman" w:cs="Times New Roman"/>
          <w:sz w:val="20"/>
          <w:szCs w:val="20"/>
        </w:rPr>
        <w:sectPr w:rsidR="00721CFD" w:rsidRPr="00274D04" w:rsidSect="007B5BB3">
          <w:footerReference w:type="first" r:id="rId50"/>
          <w:pgSz w:w="12240" w:h="15840" w:code="1"/>
          <w:pgMar w:top="1440" w:right="1440" w:bottom="1440" w:left="1440" w:header="720" w:footer="720" w:gutter="0"/>
          <w:cols w:space="0"/>
          <w:titlePg/>
          <w:docGrid w:linePitch="360"/>
        </w:sectPr>
      </w:pPr>
    </w:p>
    <w:p w14:paraId="6FC39A90" w14:textId="77777777" w:rsidR="00721CFD" w:rsidRPr="00AF25D6" w:rsidRDefault="00721CFD" w:rsidP="00721CFD">
      <w:pPr>
        <w:rPr>
          <w:b/>
          <w:i/>
          <w:color w:val="0D0D0D" w:themeColor="text1" w:themeTint="F2"/>
          <w:sz w:val="26"/>
          <w:szCs w:val="26"/>
        </w:rPr>
      </w:pPr>
      <w:r w:rsidRPr="00AF25D6">
        <w:rPr>
          <w:b/>
          <w:i/>
          <w:color w:val="0D0D0D" w:themeColor="text1" w:themeTint="F2"/>
          <w:sz w:val="26"/>
          <w:szCs w:val="26"/>
        </w:rPr>
        <w:lastRenderedPageBreak/>
        <w:t>UNIVERSITY OF MAINE SYSTEM</w:t>
      </w:r>
    </w:p>
    <w:p w14:paraId="3E0D6ADE" w14:textId="77777777" w:rsidR="00721CFD" w:rsidRPr="00AF25D6" w:rsidRDefault="00721CFD" w:rsidP="00721CFD">
      <w:pPr>
        <w:keepNext/>
        <w:pBdr>
          <w:bottom w:val="single" w:sz="18" w:space="1" w:color="00688D"/>
        </w:pBdr>
        <w:suppressAutoHyphens/>
        <w:outlineLvl w:val="0"/>
        <w:rPr>
          <w:rFonts w:ascii="Calibri" w:eastAsia="Times New Roman" w:hAnsi="Calibri" w:cs="Times New Roman"/>
          <w:b/>
          <w:i/>
          <w:caps/>
          <w:color w:val="0D0D0D" w:themeColor="text1" w:themeTint="F2"/>
          <w:spacing w:val="-3"/>
          <w:sz w:val="26"/>
          <w:szCs w:val="26"/>
        </w:rPr>
      </w:pPr>
      <w:r w:rsidRPr="00AF25D6">
        <w:rPr>
          <w:rFonts w:ascii="Calibri" w:eastAsia="Times New Roman" w:hAnsi="Calibri" w:cs="Times New Roman"/>
          <w:b/>
          <w:i/>
          <w:caps/>
          <w:color w:val="0D0D0D" w:themeColor="text1" w:themeTint="F2"/>
          <w:spacing w:val="-3"/>
          <w:sz w:val="26"/>
          <w:szCs w:val="26"/>
        </w:rPr>
        <w:t xml:space="preserve">Statements of </w:t>
      </w:r>
      <w:r>
        <w:rPr>
          <w:rFonts w:ascii="Calibri" w:eastAsia="Times New Roman" w:hAnsi="Calibri" w:cs="Times New Roman"/>
          <w:b/>
          <w:i/>
          <w:caps/>
          <w:color w:val="0D0D0D" w:themeColor="text1" w:themeTint="F2"/>
          <w:spacing w:val="-3"/>
          <w:sz w:val="26"/>
          <w:szCs w:val="26"/>
        </w:rPr>
        <w:t>FiDUCIARY NET POSITION</w:t>
      </w:r>
    </w:p>
    <w:p w14:paraId="23C99780" w14:textId="7909230C" w:rsidR="00721CFD" w:rsidRPr="00AF25D6" w:rsidRDefault="00721CFD" w:rsidP="00721CFD">
      <w:pPr>
        <w:keepNext/>
        <w:pBdr>
          <w:bottom w:val="single" w:sz="18" w:space="1" w:color="00688D"/>
        </w:pBdr>
        <w:suppressAutoHyphens/>
        <w:spacing w:after="240"/>
        <w:outlineLvl w:val="0"/>
        <w:rPr>
          <w:color w:val="0D0D0D" w:themeColor="text1" w:themeTint="F2"/>
        </w:rPr>
      </w:pPr>
      <w:r w:rsidRPr="00AF25D6">
        <w:rPr>
          <w:rFonts w:ascii="Calibri" w:eastAsia="Times New Roman" w:hAnsi="Calibri" w:cs="Times New Roman"/>
          <w:b/>
          <w:i/>
          <w:caps/>
          <w:color w:val="0D0D0D" w:themeColor="text1" w:themeTint="F2"/>
          <w:spacing w:val="-3"/>
          <w:sz w:val="26"/>
          <w:szCs w:val="26"/>
        </w:rPr>
        <w:t xml:space="preserve"> June 30, 202</w:t>
      </w:r>
      <w:r>
        <w:rPr>
          <w:rFonts w:ascii="Calibri" w:eastAsia="Times New Roman" w:hAnsi="Calibri" w:cs="Times New Roman"/>
          <w:b/>
          <w:i/>
          <w:caps/>
          <w:color w:val="0D0D0D" w:themeColor="text1" w:themeTint="F2"/>
          <w:spacing w:val="-3"/>
          <w:sz w:val="26"/>
          <w:szCs w:val="26"/>
        </w:rPr>
        <w:t>2</w:t>
      </w:r>
      <w:r w:rsidRPr="00AF25D6">
        <w:rPr>
          <w:rFonts w:ascii="Calibri" w:eastAsia="Times New Roman" w:hAnsi="Calibri" w:cs="Times New Roman"/>
          <w:b/>
          <w:i/>
          <w:caps/>
          <w:color w:val="0D0D0D" w:themeColor="text1" w:themeTint="F2"/>
          <w:spacing w:val="-3"/>
          <w:sz w:val="26"/>
          <w:szCs w:val="26"/>
        </w:rPr>
        <w:t xml:space="preserve"> and 202</w:t>
      </w:r>
      <w:r>
        <w:rPr>
          <w:rFonts w:ascii="Calibri" w:eastAsia="Times New Roman" w:hAnsi="Calibri" w:cs="Times New Roman"/>
          <w:b/>
          <w:i/>
          <w:caps/>
          <w:color w:val="0D0D0D" w:themeColor="text1" w:themeTint="F2"/>
          <w:spacing w:val="-3"/>
          <w:sz w:val="26"/>
          <w:szCs w:val="26"/>
        </w:rPr>
        <w:t>1</w:t>
      </w:r>
      <w:r w:rsidRPr="00AF25D6">
        <w:rPr>
          <w:rFonts w:ascii="Calibri" w:eastAsia="Times New Roman" w:hAnsi="Calibri" w:cs="Times New Roman"/>
          <w:b/>
          <w:i/>
          <w:caps/>
          <w:color w:val="0D0D0D" w:themeColor="text1" w:themeTint="F2"/>
          <w:spacing w:val="-3"/>
          <w:sz w:val="26"/>
          <w:szCs w:val="26"/>
        </w:rPr>
        <w:t xml:space="preserve"> </w:t>
      </w:r>
      <w:r w:rsidRPr="00AF25D6">
        <w:rPr>
          <w:rFonts w:ascii="Calibri" w:eastAsia="Times New Roman" w:hAnsi="Calibri" w:cs="Times New Roman"/>
          <w:b/>
          <w:i/>
          <w:caps/>
          <w:color w:val="0D0D0D" w:themeColor="text1" w:themeTint="F2"/>
          <w:spacing w:val="-3"/>
        </w:rPr>
        <w:t>(in Thousands)</w:t>
      </w:r>
      <w:r w:rsidRPr="00AF25D6">
        <w:rPr>
          <w:color w:val="0D0D0D" w:themeColor="text1" w:themeTint="F2"/>
        </w:rPr>
        <w:fldChar w:fldCharType="begin"/>
      </w:r>
      <w:r w:rsidRPr="00AF25D6">
        <w:rPr>
          <w:color w:val="0D0D0D" w:themeColor="text1" w:themeTint="F2"/>
        </w:rPr>
        <w:fldChar w:fldCharType="end"/>
      </w:r>
    </w:p>
    <w:p w14:paraId="07C5BC9B" w14:textId="7B856033" w:rsidR="00721CFD" w:rsidRDefault="00721CFD" w:rsidP="00721CFD">
      <w:pPr>
        <w:spacing w:after="160" w:line="259" w:lineRule="auto"/>
      </w:pPr>
      <w:r w:rsidRPr="00D11FE7">
        <w:t xml:space="preserve"> </w:t>
      </w:r>
      <w:r w:rsidR="002D4706" w:rsidRPr="002D4706">
        <w:rPr>
          <w:noProof/>
        </w:rPr>
        <w:drawing>
          <wp:inline distT="0" distB="0" distL="0" distR="0" wp14:anchorId="50F81C1D" wp14:editId="0B417489">
            <wp:extent cx="5943600" cy="5082517"/>
            <wp:effectExtent l="0" t="0" r="0" b="4445"/>
            <wp:docPr id="31" name="Picture 31" descr="  2022   2021 &#10; Pension and Other Employee  Custodial Funds  Pension and Other Employee Custodial Funds &#10; Benefit Trust Funds External Investment Pools Other Custodial Funds Benefit Trust Funds External Investment Pools Other Custodial Funds&#10;Assets      &#10;Cash and cash equivalents (Note 2)  $-   $-   $2,687   $-   $-   $2,674 &#10;&quot;Investment in UMS managed &#10;     investment pool (Note 3)&quot;  156,012   10,683   -   180,270   66,958   - &#10;&quot;Investment in UMS endowment&#10;     pool (Note 3)&quot;  -   30,150   -   -   35,190   - &#10;Other investments (Note 3)  20,392   168   -   25,291   -   - &#10;Prepaid expenses  -   -   5   -   -   5 &#10;Total Assets  176,404   41,001   2,692   205,561   102,148   2,679 &#10;Liabilities      &#10;Accounts payable and other liabilities  -   -   6   -   -   29 &#10;Requested by beneficiaries  -   168   -   -   -   - &#10;Total Liabilities  -   168   6   -   -   29 &#10;Net Position Restricted for:      &#10;Pensions  20,392   -   -   25,291   -   - &#10;&quot;Postemployment benefits other&#10;     than pensions&quot;  156,012   -   -   180,270   -   - &#10;Pool participants  -   40,833   27   -   102,148   17 &#10;Student and other groups  -   -   2,659   -   -   2,633 &#10;Total Net Position  $176,404   $40,833   $2,686   $205,561   $102,148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  2022   2021 &#10; Pension and Other Employee  Custodial Funds  Pension and Other Employee Custodial Funds &#10; Benefit Trust Funds External Investment Pools Other Custodial Funds Benefit Trust Funds External Investment Pools Other Custodial Funds&#10;Assets      &#10;Cash and cash equivalents (Note 2)  $-   $-   $2,687   $-   $-   $2,674 &#10;&quot;Investment in UMS managed &#10;     investment pool (Note 3)&quot;  156,012   10,683   -   180,270   66,958   - &#10;&quot;Investment in UMS endowment&#10;     pool (Note 3)&quot;  -   30,150   -   -   35,190   - &#10;Other investments (Note 3)  20,392   168   -   25,291   -   - &#10;Prepaid expenses  -   -   5   -   -   5 &#10;Total Assets  176,404   41,001   2,692   205,561   102,148   2,679 &#10;Liabilities      &#10;Accounts payable and other liabilities  -   -   6   -   -   29 &#10;Requested by beneficiaries  -   168   -   -   -   - &#10;Total Liabilities  -   168   6   -   -   29 &#10;Net Position Restricted for:      &#10;Pensions  20,392   -   -   25,291   -   - &#10;&quot;Postemployment benefits other&#10;     than pensions&quot;  156,012   -   -   180,270   -   - &#10;Pool participants  -   40,833   27   -   102,148   17 &#10;Student and other groups  -   -   2,659   -   -   2,633 &#10;Total Net Position  $176,404   $40,833   $2,686   $205,561   $102,148   $2,6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082517"/>
                    </a:xfrm>
                    <a:prstGeom prst="rect">
                      <a:avLst/>
                    </a:prstGeom>
                    <a:noFill/>
                    <a:ln>
                      <a:noFill/>
                    </a:ln>
                  </pic:spPr>
                </pic:pic>
              </a:graphicData>
            </a:graphic>
          </wp:inline>
        </w:drawing>
      </w:r>
    </w:p>
    <w:p w14:paraId="25C06DB6" w14:textId="75C7FB38" w:rsidR="005B6CCB" w:rsidRDefault="005B6CCB">
      <w:pPr>
        <w:spacing w:after="160" w:line="259" w:lineRule="auto"/>
        <w:rPr>
          <w:b/>
          <w:i/>
          <w:color w:val="0D0D0D" w:themeColor="text1" w:themeTint="F2"/>
          <w:sz w:val="26"/>
          <w:szCs w:val="26"/>
        </w:rPr>
      </w:pPr>
      <w:r>
        <w:rPr>
          <w:b/>
          <w:i/>
          <w:color w:val="0D0D0D" w:themeColor="text1" w:themeTint="F2"/>
          <w:sz w:val="26"/>
          <w:szCs w:val="26"/>
        </w:rPr>
        <w:br w:type="page"/>
      </w:r>
    </w:p>
    <w:p w14:paraId="13FD7B7F" w14:textId="77777777" w:rsidR="00721CFD" w:rsidRDefault="00721CFD" w:rsidP="00721CFD">
      <w:pPr>
        <w:rPr>
          <w:b/>
          <w:i/>
          <w:color w:val="0D0D0D" w:themeColor="text1" w:themeTint="F2"/>
          <w:sz w:val="26"/>
          <w:szCs w:val="26"/>
        </w:rPr>
        <w:sectPr w:rsidR="00721CFD" w:rsidSect="007B5BB3">
          <w:footerReference w:type="default" r:id="rId52"/>
          <w:footerReference w:type="first" r:id="rId53"/>
          <w:pgSz w:w="12240" w:h="15840" w:code="1"/>
          <w:pgMar w:top="1440" w:right="1440" w:bottom="1440" w:left="1440" w:header="720" w:footer="720" w:gutter="0"/>
          <w:cols w:space="0"/>
          <w:titlePg/>
          <w:docGrid w:linePitch="360"/>
        </w:sectPr>
      </w:pPr>
    </w:p>
    <w:p w14:paraId="623DAB78" w14:textId="77777777" w:rsidR="00721CFD" w:rsidRPr="00AF25D6" w:rsidRDefault="00721CFD" w:rsidP="00721CFD">
      <w:pPr>
        <w:rPr>
          <w:b/>
          <w:i/>
          <w:color w:val="0D0D0D" w:themeColor="text1" w:themeTint="F2"/>
          <w:sz w:val="26"/>
          <w:szCs w:val="26"/>
        </w:rPr>
      </w:pPr>
      <w:r w:rsidRPr="00AF25D6">
        <w:rPr>
          <w:b/>
          <w:i/>
          <w:color w:val="0D0D0D" w:themeColor="text1" w:themeTint="F2"/>
          <w:sz w:val="26"/>
          <w:szCs w:val="26"/>
        </w:rPr>
        <w:lastRenderedPageBreak/>
        <w:t>UNIVERSITY OF MAINE SYSTEM</w:t>
      </w:r>
    </w:p>
    <w:p w14:paraId="72E7F7F4" w14:textId="77777777" w:rsidR="00721CFD" w:rsidRDefault="00721CFD" w:rsidP="00721CFD">
      <w:pPr>
        <w:pStyle w:val="Style1"/>
      </w:pPr>
      <w:r>
        <w:t xml:space="preserve">Statements of Changes in </w:t>
      </w:r>
      <w:r w:rsidRPr="00AF25D6">
        <w:t xml:space="preserve">FIDUCIARY </w:t>
      </w:r>
      <w:r>
        <w:t>Net Position</w:t>
      </w:r>
    </w:p>
    <w:p w14:paraId="482031EB" w14:textId="77777777" w:rsidR="00721CFD" w:rsidRPr="00AF25D6" w:rsidRDefault="00721CFD" w:rsidP="00721CFD">
      <w:pPr>
        <w:keepNext/>
        <w:pBdr>
          <w:bottom w:val="single" w:sz="18" w:space="1" w:color="00688D"/>
        </w:pBdr>
        <w:suppressAutoHyphens/>
        <w:spacing w:after="240"/>
        <w:outlineLvl w:val="0"/>
        <w:rPr>
          <w:color w:val="0D0D0D" w:themeColor="text1" w:themeTint="F2"/>
        </w:rPr>
      </w:pPr>
      <w:r w:rsidRPr="00AF25D6">
        <w:rPr>
          <w:rFonts w:ascii="Calibri" w:eastAsia="Times New Roman" w:hAnsi="Calibri" w:cs="Times New Roman"/>
          <w:b/>
          <w:i/>
          <w:caps/>
          <w:color w:val="0D0D0D" w:themeColor="text1" w:themeTint="F2"/>
          <w:spacing w:val="-3"/>
          <w:sz w:val="26"/>
          <w:szCs w:val="26"/>
        </w:rPr>
        <w:t>Years Ended June 30, 202</w:t>
      </w:r>
      <w:r>
        <w:rPr>
          <w:rFonts w:ascii="Calibri" w:eastAsia="Times New Roman" w:hAnsi="Calibri" w:cs="Times New Roman"/>
          <w:b/>
          <w:i/>
          <w:caps/>
          <w:color w:val="0D0D0D" w:themeColor="text1" w:themeTint="F2"/>
          <w:spacing w:val="-3"/>
          <w:sz w:val="26"/>
          <w:szCs w:val="26"/>
        </w:rPr>
        <w:t>2</w:t>
      </w:r>
      <w:r w:rsidRPr="00AF25D6">
        <w:rPr>
          <w:rFonts w:ascii="Calibri" w:eastAsia="Times New Roman" w:hAnsi="Calibri" w:cs="Times New Roman"/>
          <w:b/>
          <w:i/>
          <w:caps/>
          <w:color w:val="0D0D0D" w:themeColor="text1" w:themeTint="F2"/>
          <w:spacing w:val="-3"/>
          <w:sz w:val="26"/>
          <w:szCs w:val="26"/>
        </w:rPr>
        <w:t xml:space="preserve"> and 202</w:t>
      </w:r>
      <w:r>
        <w:rPr>
          <w:rFonts w:ascii="Calibri" w:eastAsia="Times New Roman" w:hAnsi="Calibri" w:cs="Times New Roman"/>
          <w:b/>
          <w:i/>
          <w:caps/>
          <w:color w:val="0D0D0D" w:themeColor="text1" w:themeTint="F2"/>
          <w:spacing w:val="-3"/>
          <w:sz w:val="26"/>
          <w:szCs w:val="26"/>
        </w:rPr>
        <w:t>1</w:t>
      </w:r>
      <w:r w:rsidRPr="00AF25D6">
        <w:rPr>
          <w:rFonts w:ascii="Calibri" w:eastAsia="Times New Roman" w:hAnsi="Calibri" w:cs="Times New Roman"/>
          <w:b/>
          <w:i/>
          <w:caps/>
          <w:color w:val="0D0D0D" w:themeColor="text1" w:themeTint="F2"/>
          <w:spacing w:val="-3"/>
          <w:sz w:val="26"/>
          <w:szCs w:val="26"/>
        </w:rPr>
        <w:t xml:space="preserve"> </w:t>
      </w:r>
      <w:r w:rsidRPr="00AF25D6">
        <w:rPr>
          <w:rFonts w:ascii="Calibri" w:eastAsia="Times New Roman" w:hAnsi="Calibri" w:cs="Times New Roman"/>
          <w:b/>
          <w:i/>
          <w:caps/>
          <w:color w:val="0D0D0D" w:themeColor="text1" w:themeTint="F2"/>
          <w:spacing w:val="-3"/>
        </w:rPr>
        <w:t>(in Thousands)</w:t>
      </w:r>
      <w:r w:rsidRPr="00AF25D6">
        <w:rPr>
          <w:color w:val="0D0D0D" w:themeColor="text1" w:themeTint="F2"/>
        </w:rPr>
        <w:fldChar w:fldCharType="begin"/>
      </w:r>
      <w:r w:rsidRPr="00AF25D6">
        <w:rPr>
          <w:color w:val="0D0D0D" w:themeColor="text1" w:themeTint="F2"/>
        </w:rPr>
        <w:fldChar w:fldCharType="end"/>
      </w:r>
    </w:p>
    <w:p w14:paraId="1627DBF7" w14:textId="0703C256" w:rsidR="00721CFD" w:rsidRDefault="002D4706" w:rsidP="00721CFD">
      <w:pPr>
        <w:spacing w:after="160" w:line="259" w:lineRule="auto"/>
        <w:jc w:val="center"/>
      </w:pPr>
      <w:r w:rsidRPr="002D4706">
        <w:rPr>
          <w:noProof/>
        </w:rPr>
        <w:drawing>
          <wp:inline distT="0" distB="0" distL="0" distR="0" wp14:anchorId="3BECD781" wp14:editId="0CC5D418">
            <wp:extent cx="5943600" cy="6037892"/>
            <wp:effectExtent l="0" t="0" r="0" b="1270"/>
            <wp:docPr id="60" name="Picture 60" descr="  2022   2021 &#10; Pension and Other Employee Custodial Funds  Pension and Other Employee  Custodial Funds &#10; Benefit Trust Funds External Investment Pools Other Custodial Funds Benefit Trust Funds External Investment Pools Other Custodial Funds&#10;Additions      &#10;Contributions      &#10;Employer contributions  $5,609   $-   $-   $13,380   $-   $- &#10;Retiree contributions  1,688   -   -   2,225   -   - &#10;Contributions to investment pools  -   10,722   -   -   4,501   - &#10;Private donations  -   -   29   -   -   23 &#10;Total contributions  7,297   10,722   29   15,605   4,501   23 &#10;Investment income (loss)      &#10;Interest and dividends  2,312   1,019   2   2,226   1,101   1 &#10;Net increase (decrease) in fair value of investments  (25,461)  (7,885)  -   40,107   21,048   - &#10;Total investment income (loss)  (23,149)  (6,866)  2   42,333   22,149   1 &#10;Less investment expense  (1,269)  (396)  -   (1,240)  (596)  - &#10;Net investment income (loss)  (24,418)  (7,262)  2   41,093   21,553   1 &#10;Other additions      &#10;Student activity fees  -   -   2,172   -   -   1,932 &#10;Endowment income distribution  -   -   1,100   -   -   857 &#10;Other income  -   -   280   -   -   267 &#10;Total other additions  -   -   3,552   -   -   3,056 &#10;Total additions  (17,121)  3,460   3,583   56,698   26,054   3,080 &#10;Deductions      &#10;Beneficiary payments  12,018   -   -   13,133   -   - &#10;Investment pool distributions  -   62,664   -   -   4,845   - &#10;Distribute activity fees  -   -   1,407   -   -   1,161 &#10;Distribute other revenues  -   -   29   -   -   9 &#10;Donations and sponsorships  -   2,111   1,084   -   -   845 &#10;Purchases by student and other groups  -   -   1,027   -   -   770 &#10;Administrative costs  18   -   -   13   -   - &#10;Total deductions  12,036   64,775   3,547   13,146   4,845   2,785 &#10;Change in Fiduciary Net Position  (29,157)  (61,315)  36   43,552   21,209   295 &#10;Net Position - Beginning of the Year  205,561   102,148   2,650   162,009   80,939   2,355 &#10;Net Position - End of Year  $176,404   $40,833   $2,686   $205,561   $102,148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  2022   2021 &#10; Pension and Other Employee Custodial Funds  Pension and Other Employee  Custodial Funds &#10; Benefit Trust Funds External Investment Pools Other Custodial Funds Benefit Trust Funds External Investment Pools Other Custodial Funds&#10;Additions      &#10;Contributions      &#10;Employer contributions  $5,609   $-   $-   $13,380   $-   $- &#10;Retiree contributions  1,688   -   -   2,225   -   - &#10;Contributions to investment pools  -   10,722   -   -   4,501   - &#10;Private donations  -   -   29   -   -   23 &#10;Total contributions  7,297   10,722   29   15,605   4,501   23 &#10;Investment income (loss)      &#10;Interest and dividends  2,312   1,019   2   2,226   1,101   1 &#10;Net increase (decrease) in fair value of investments  (25,461)  (7,885)  -   40,107   21,048   - &#10;Total investment income (loss)  (23,149)  (6,866)  2   42,333   22,149   1 &#10;Less investment expense  (1,269)  (396)  -   (1,240)  (596)  - &#10;Net investment income (loss)  (24,418)  (7,262)  2   41,093   21,553   1 &#10;Other additions      &#10;Student activity fees  -   -   2,172   -   -   1,932 &#10;Endowment income distribution  -   -   1,100   -   -   857 &#10;Other income  -   -   280   -   -   267 &#10;Total other additions  -   -   3,552   -   -   3,056 &#10;Total additions  (17,121)  3,460   3,583   56,698   26,054   3,080 &#10;Deductions      &#10;Beneficiary payments  12,018   -   -   13,133   -   - &#10;Investment pool distributions  -   62,664   -   -   4,845   - &#10;Distribute activity fees  -   -   1,407   -   -   1,161 &#10;Distribute other revenues  -   -   29   -   -   9 &#10;Donations and sponsorships  -   2,111   1,084   -   -   845 &#10;Purchases by student and other groups  -   -   1,027   -   -   770 &#10;Administrative costs  18   -   -   13   -   - &#10;Total deductions  12,036   64,775   3,547   13,146   4,845   2,785 &#10;Change in Fiduciary Net Position  (29,157)  (61,315)  36   43,552   21,209   295 &#10;Net Position - Beginning of the Year  205,561   102,148   2,650   162,009   80,939   2,355 &#10;Net Position - End of Year  $176,404   $40,833   $2,686   $205,561   $102,148   $2,6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6037892"/>
                    </a:xfrm>
                    <a:prstGeom prst="rect">
                      <a:avLst/>
                    </a:prstGeom>
                    <a:noFill/>
                    <a:ln>
                      <a:noFill/>
                    </a:ln>
                  </pic:spPr>
                </pic:pic>
              </a:graphicData>
            </a:graphic>
          </wp:inline>
        </w:drawing>
      </w:r>
    </w:p>
    <w:p w14:paraId="2F7BB817" w14:textId="03EC3B24" w:rsidR="00721CFD" w:rsidRDefault="00721CFD">
      <w:pPr>
        <w:spacing w:after="160" w:line="259" w:lineRule="auto"/>
      </w:pPr>
      <w:r>
        <w:br w:type="page"/>
      </w:r>
    </w:p>
    <w:p w14:paraId="428892E5" w14:textId="77777777" w:rsidR="00721CFD" w:rsidRPr="004F3770" w:rsidRDefault="00721CFD" w:rsidP="00721CFD">
      <w:pPr>
        <w:rPr>
          <w:b/>
          <w:i/>
          <w:sz w:val="26"/>
          <w:szCs w:val="26"/>
        </w:rPr>
      </w:pPr>
      <w:r w:rsidRPr="004F3770">
        <w:rPr>
          <w:b/>
          <w:i/>
          <w:sz w:val="26"/>
          <w:szCs w:val="26"/>
        </w:rPr>
        <w:lastRenderedPageBreak/>
        <w:t>UNIVERSITY OF MAINE SYSTEM</w:t>
      </w:r>
    </w:p>
    <w:p w14:paraId="0C7837CE" w14:textId="77777777" w:rsidR="00721CFD" w:rsidRPr="004F3770" w:rsidRDefault="00721CFD" w:rsidP="00721CFD">
      <w:pPr>
        <w:pStyle w:val="AFR1"/>
        <w:spacing w:after="0"/>
      </w:pPr>
      <w:r w:rsidRPr="004F3770">
        <w:t>NOTES TO FINANCIAL STATEMENTS</w:t>
      </w:r>
    </w:p>
    <w:p w14:paraId="7B01A0CA" w14:textId="77777777" w:rsidR="00721CFD" w:rsidRPr="004E72C3" w:rsidRDefault="00721CFD" w:rsidP="00721CFD">
      <w:pPr>
        <w:pStyle w:val="AFR1"/>
      </w:pPr>
      <w:r w:rsidRPr="00807F62">
        <w:rPr>
          <w:szCs w:val="26"/>
        </w:rPr>
        <w:t>Years Ended June 30, 20</w:t>
      </w:r>
      <w:r>
        <w:rPr>
          <w:szCs w:val="26"/>
        </w:rPr>
        <w:t>22</w:t>
      </w:r>
      <w:r w:rsidRPr="00807F62">
        <w:rPr>
          <w:szCs w:val="26"/>
        </w:rPr>
        <w:t xml:space="preserve"> and 20</w:t>
      </w:r>
      <w:r>
        <w:rPr>
          <w:szCs w:val="26"/>
        </w:rPr>
        <w:t>21</w:t>
      </w:r>
      <w:r w:rsidRPr="004E72C3">
        <w:t xml:space="preserve"> </w:t>
      </w:r>
      <w:r w:rsidRPr="000B6D6E">
        <w:rPr>
          <w:sz w:val="24"/>
          <w:szCs w:val="24"/>
        </w:rPr>
        <w:t>(in thousands)</w:t>
      </w:r>
    </w:p>
    <w:p w14:paraId="0882661D" w14:textId="77777777" w:rsidR="00721CFD" w:rsidRPr="009A7150" w:rsidRDefault="00721CFD" w:rsidP="00721CFD">
      <w:pPr>
        <w:pStyle w:val="AFR2"/>
        <w:rPr>
          <w:rFonts w:cstheme="minorHAnsi"/>
          <w:sz w:val="26"/>
          <w:szCs w:val="26"/>
        </w:rPr>
      </w:pPr>
      <w:r w:rsidRPr="009A7150">
        <w:rPr>
          <w:rFonts w:cstheme="minorHAnsi"/>
          <w:sz w:val="26"/>
          <w:szCs w:val="26"/>
        </w:rPr>
        <w:t>1. SIGNIFICANT ACCOUNTING POLICIES</w:t>
      </w:r>
    </w:p>
    <w:p w14:paraId="0D941C69" w14:textId="77777777" w:rsidR="00721CFD" w:rsidRPr="00A454B4" w:rsidRDefault="00721CFD" w:rsidP="00721CFD">
      <w:pPr>
        <w:pStyle w:val="AFR3"/>
        <w:rPr>
          <w:rFonts w:cstheme="minorHAnsi"/>
        </w:rPr>
      </w:pPr>
      <w:r w:rsidRPr="00A454B4">
        <w:rPr>
          <w:rFonts w:cstheme="minorHAnsi"/>
        </w:rPr>
        <w:t>a. Organization</w:t>
      </w:r>
    </w:p>
    <w:p w14:paraId="0612B2A1" w14:textId="16D6CBFC" w:rsidR="00721CFD" w:rsidRPr="00F54559" w:rsidRDefault="00721CFD" w:rsidP="00721CFD">
      <w:pPr>
        <w:tabs>
          <w:tab w:val="left" w:pos="5040"/>
        </w:tabs>
        <w:suppressAutoHyphens/>
        <w:rPr>
          <w:rFonts w:eastAsia="Times New Roman" w:cstheme="minorHAnsi"/>
          <w:bCs/>
          <w:sz w:val="24"/>
          <w:szCs w:val="20"/>
        </w:rPr>
      </w:pPr>
      <w:r w:rsidRPr="00F54559">
        <w:rPr>
          <w:rFonts w:eastAsia="Times New Roman" w:cstheme="minorHAnsi"/>
          <w:bCs/>
          <w:sz w:val="24"/>
          <w:szCs w:val="20"/>
        </w:rPr>
        <w:t xml:space="preserve">The University of Maine System ("the System"), a discretely presented component unit of the State of Maine, consists of seven universities, </w:t>
      </w:r>
      <w:r>
        <w:rPr>
          <w:rFonts w:eastAsia="Times New Roman" w:cstheme="minorHAnsi"/>
          <w:bCs/>
          <w:sz w:val="24"/>
          <w:szCs w:val="20"/>
        </w:rPr>
        <w:t>eight</w:t>
      </w:r>
      <w:r w:rsidRPr="00F54559">
        <w:rPr>
          <w:rFonts w:eastAsia="Times New Roman" w:cstheme="minorHAnsi"/>
          <w:bCs/>
          <w:sz w:val="24"/>
          <w:szCs w:val="20"/>
        </w:rPr>
        <w:t xml:space="preserve"> centers, and a central administrative office.  All activities of the System are included in the accompanying financial statements, including those of its discretely presented component unit, the University of Maine Foundation, which is a not-for-profit entity controlled by a separate governing board whose goal is to support the System (see Note 16).  The component unit receives funds primarily through donations and contributes funds to the System for student scholarships</w:t>
      </w:r>
      <w:r w:rsidR="00C65C44">
        <w:rPr>
          <w:rFonts w:eastAsia="Times New Roman" w:cstheme="minorHAnsi"/>
          <w:bCs/>
          <w:sz w:val="24"/>
          <w:szCs w:val="20"/>
        </w:rPr>
        <w:t xml:space="preserve">, </w:t>
      </w:r>
      <w:r w:rsidRPr="00F54559">
        <w:rPr>
          <w:rFonts w:eastAsia="Times New Roman" w:cstheme="minorHAnsi"/>
          <w:bCs/>
          <w:sz w:val="24"/>
          <w:szCs w:val="20"/>
        </w:rPr>
        <w:t>institutional support</w:t>
      </w:r>
      <w:r w:rsidR="00C65C44">
        <w:rPr>
          <w:rFonts w:eastAsia="Times New Roman" w:cstheme="minorHAnsi"/>
          <w:bCs/>
          <w:sz w:val="24"/>
          <w:szCs w:val="20"/>
        </w:rPr>
        <w:t xml:space="preserve"> and capital construction support</w:t>
      </w:r>
      <w:r w:rsidRPr="00F54559">
        <w:rPr>
          <w:rFonts w:eastAsia="Times New Roman" w:cstheme="minorHAnsi"/>
          <w:bCs/>
          <w:sz w:val="24"/>
          <w:szCs w:val="20"/>
        </w:rPr>
        <w:t>.</w:t>
      </w:r>
    </w:p>
    <w:p w14:paraId="165B6CBC" w14:textId="77777777" w:rsidR="00721CFD" w:rsidRPr="00F54559" w:rsidRDefault="00721CFD" w:rsidP="00721CFD">
      <w:pPr>
        <w:pStyle w:val="AFR3"/>
        <w:rPr>
          <w:rFonts w:cstheme="minorHAnsi"/>
        </w:rPr>
      </w:pPr>
      <w:r w:rsidRPr="00F54559">
        <w:rPr>
          <w:rFonts w:cstheme="minorHAnsi"/>
        </w:rPr>
        <w:t>b. Basis of</w:t>
      </w:r>
      <w:r w:rsidRPr="00F54559">
        <w:rPr>
          <w:rFonts w:cstheme="minorHAnsi"/>
          <w:caps/>
        </w:rPr>
        <w:t xml:space="preserve"> P</w:t>
      </w:r>
      <w:r w:rsidRPr="00F54559">
        <w:rPr>
          <w:rFonts w:cstheme="minorHAnsi"/>
        </w:rPr>
        <w:t>resentation</w:t>
      </w:r>
    </w:p>
    <w:p w14:paraId="4C671C26" w14:textId="77777777" w:rsidR="00721CFD" w:rsidRPr="00F54559" w:rsidRDefault="00721CFD" w:rsidP="00721CFD">
      <w:pPr>
        <w:tabs>
          <w:tab w:val="left" w:pos="0"/>
          <w:tab w:val="left" w:pos="5040"/>
        </w:tabs>
        <w:suppressAutoHyphens/>
        <w:rPr>
          <w:rFonts w:cstheme="minorHAnsi"/>
          <w:bCs/>
          <w:sz w:val="24"/>
        </w:rPr>
      </w:pPr>
      <w:r w:rsidRPr="00F54559">
        <w:rPr>
          <w:rFonts w:cstheme="minorHAnsi"/>
          <w:spacing w:val="-3"/>
          <w:sz w:val="24"/>
        </w:rPr>
        <w:t>The accompanying financial statements of the System have been prepared using the economic resources measurement focus and the accrual basis of accounting in accordance with U.S. generally accepted accounting principles (</w:t>
      </w:r>
      <w:r w:rsidRPr="00F54559">
        <w:rPr>
          <w:rFonts w:cstheme="minorHAnsi"/>
          <w:sz w:val="24"/>
        </w:rPr>
        <w:t>GAAP)</w:t>
      </w:r>
      <w:r w:rsidRPr="00F54559">
        <w:rPr>
          <w:rFonts w:cstheme="minorHAnsi"/>
          <w:spacing w:val="-3"/>
          <w:sz w:val="24"/>
        </w:rPr>
        <w:t>, as prescribed by the Governmental Accounting Standards Board (GASB).</w:t>
      </w:r>
    </w:p>
    <w:p w14:paraId="2AAFABF5" w14:textId="77777777" w:rsidR="00721CFD" w:rsidRPr="00F54559" w:rsidRDefault="00721CFD" w:rsidP="00721CFD">
      <w:pPr>
        <w:tabs>
          <w:tab w:val="left" w:pos="0"/>
        </w:tabs>
        <w:rPr>
          <w:rFonts w:eastAsia="Times New Roman" w:cstheme="minorHAnsi"/>
          <w:bCs/>
          <w:sz w:val="20"/>
          <w:szCs w:val="20"/>
        </w:rPr>
      </w:pPr>
    </w:p>
    <w:p w14:paraId="30649ACA" w14:textId="77777777" w:rsidR="00721CFD" w:rsidRDefault="00721CFD" w:rsidP="00721CFD">
      <w:pPr>
        <w:tabs>
          <w:tab w:val="left" w:pos="0"/>
        </w:tabs>
        <w:rPr>
          <w:rFonts w:eastAsia="Times New Roman" w:cstheme="minorHAnsi"/>
          <w:bCs/>
          <w:sz w:val="24"/>
          <w:szCs w:val="20"/>
        </w:rPr>
      </w:pPr>
      <w:r w:rsidRPr="00F54559">
        <w:rPr>
          <w:rFonts w:eastAsia="Times New Roman" w:cstheme="minorHAnsi"/>
          <w:bCs/>
          <w:sz w:val="24"/>
          <w:szCs w:val="20"/>
        </w:rPr>
        <w:t xml:space="preserve">Under the System’s policy, operating activities in the Statements of Revenues, Expenses, and Changes in Net Position are those that generally result from exchange transactions such as payments received for services and payments made for the purchase of goods and services and certain grants.  Certain other transactions are reported as nonoperating activities in accordance with GASB Statement No. 35, </w:t>
      </w:r>
      <w:r w:rsidRPr="00F54559">
        <w:rPr>
          <w:rFonts w:eastAsia="Times New Roman" w:cstheme="minorHAnsi"/>
          <w:bCs/>
          <w:i/>
          <w:sz w:val="24"/>
          <w:szCs w:val="20"/>
        </w:rPr>
        <w:t>Basic Financial Statements – and Management’s Discussion and Analysis – for Public Colleges and Universities.</w:t>
      </w:r>
      <w:r w:rsidRPr="00F54559">
        <w:rPr>
          <w:rFonts w:eastAsia="Times New Roman" w:cstheme="minorHAnsi"/>
          <w:bCs/>
          <w:sz w:val="24"/>
          <w:szCs w:val="20"/>
        </w:rPr>
        <w:t xml:space="preserve"> These nonoperating activities include the System’s noncapital appropriations from the State of Maine, </w:t>
      </w:r>
      <w:r>
        <w:rPr>
          <w:rFonts w:eastAsia="Times New Roman" w:cstheme="minorHAnsi"/>
          <w:bCs/>
          <w:sz w:val="24"/>
          <w:szCs w:val="20"/>
        </w:rPr>
        <w:t xml:space="preserve">federal pell grants, coronavirus relief funding, </w:t>
      </w:r>
      <w:r w:rsidRPr="00F54559">
        <w:rPr>
          <w:rFonts w:eastAsia="Times New Roman" w:cstheme="minorHAnsi"/>
          <w:bCs/>
          <w:sz w:val="24"/>
          <w:szCs w:val="20"/>
        </w:rPr>
        <w:t>gifts currently expendable, endowment return used for operations, net investment income, and interest expense.</w:t>
      </w:r>
    </w:p>
    <w:p w14:paraId="1E93077C" w14:textId="77777777" w:rsidR="00721CFD" w:rsidRPr="004C662D" w:rsidRDefault="00721CFD" w:rsidP="00721CFD">
      <w:pPr>
        <w:tabs>
          <w:tab w:val="left" w:pos="0"/>
        </w:tabs>
        <w:rPr>
          <w:rFonts w:eastAsia="Times New Roman" w:cstheme="minorHAnsi"/>
          <w:bCs/>
          <w:sz w:val="20"/>
          <w:szCs w:val="20"/>
        </w:rPr>
      </w:pPr>
    </w:p>
    <w:p w14:paraId="2797711E" w14:textId="161D0AF9" w:rsidR="008E42BB" w:rsidRDefault="00721CFD" w:rsidP="00721CFD">
      <w:pPr>
        <w:tabs>
          <w:tab w:val="left" w:pos="0"/>
        </w:tabs>
        <w:rPr>
          <w:rFonts w:eastAsia="Times New Roman" w:cstheme="minorHAnsi"/>
          <w:bCs/>
          <w:sz w:val="24"/>
          <w:szCs w:val="20"/>
        </w:rPr>
        <w:sectPr w:rsidR="008E42BB" w:rsidSect="00721CFD">
          <w:headerReference w:type="default" r:id="rId55"/>
          <w:footerReference w:type="default" r:id="rId56"/>
          <w:headerReference w:type="first" r:id="rId57"/>
          <w:footerReference w:type="first" r:id="rId58"/>
          <w:type w:val="continuous"/>
          <w:pgSz w:w="12240" w:h="15840" w:code="1"/>
          <w:pgMar w:top="1440" w:right="1440" w:bottom="1440" w:left="1440" w:header="720" w:footer="720" w:gutter="0"/>
          <w:cols w:space="0"/>
          <w:titlePg/>
          <w:docGrid w:linePitch="360"/>
        </w:sectPr>
      </w:pPr>
      <w:r>
        <w:rPr>
          <w:rFonts w:eastAsia="Times New Roman" w:cstheme="minorHAnsi"/>
          <w:bCs/>
          <w:sz w:val="24"/>
          <w:szCs w:val="20"/>
        </w:rPr>
        <w:t xml:space="preserve">In FY22 the System adopted GASB Statement No. 87, </w:t>
      </w:r>
      <w:r w:rsidRPr="00385510">
        <w:rPr>
          <w:rFonts w:eastAsia="Times New Roman" w:cstheme="minorHAnsi"/>
          <w:bCs/>
          <w:i/>
          <w:sz w:val="24"/>
          <w:szCs w:val="20"/>
        </w:rPr>
        <w:t>Leases</w:t>
      </w:r>
      <w:r>
        <w:rPr>
          <w:rFonts w:eastAsia="Times New Roman" w:cstheme="minorHAnsi"/>
          <w:bCs/>
          <w:sz w:val="24"/>
          <w:szCs w:val="20"/>
        </w:rPr>
        <w:t xml:space="preserve"> (GASB No. 87). </w:t>
      </w:r>
      <w:r w:rsidRPr="00385510">
        <w:rPr>
          <w:rFonts w:eastAsia="Times New Roman" w:cstheme="minorHAnsi"/>
          <w:bCs/>
          <w:sz w:val="24"/>
          <w:szCs w:val="20"/>
        </w:rPr>
        <w:t xml:space="preserve">This </w:t>
      </w:r>
      <w:r w:rsidR="00D9332F">
        <w:rPr>
          <w:rFonts w:eastAsia="Times New Roman" w:cstheme="minorHAnsi"/>
          <w:bCs/>
          <w:sz w:val="24"/>
          <w:szCs w:val="20"/>
        </w:rPr>
        <w:t>s</w:t>
      </w:r>
      <w:r w:rsidRPr="00385510">
        <w:rPr>
          <w:rFonts w:eastAsia="Times New Roman" w:cstheme="minorHAnsi"/>
          <w:bCs/>
          <w:sz w:val="24"/>
          <w:szCs w:val="20"/>
        </w:rPr>
        <w:t>tatement increases the usefulness of governments’</w:t>
      </w:r>
      <w:r>
        <w:rPr>
          <w:rFonts w:eastAsia="Times New Roman" w:cstheme="minorHAnsi"/>
          <w:bCs/>
          <w:sz w:val="24"/>
          <w:szCs w:val="20"/>
        </w:rPr>
        <w:t xml:space="preserve"> </w:t>
      </w:r>
      <w:r w:rsidRPr="00385510">
        <w:rPr>
          <w:rFonts w:eastAsia="Times New Roman" w:cstheme="minorHAnsi"/>
          <w:bCs/>
          <w:sz w:val="24"/>
          <w:szCs w:val="20"/>
        </w:rPr>
        <w:t>financial statements by requiring recognition of certain lease assets and</w:t>
      </w:r>
      <w:r>
        <w:rPr>
          <w:rFonts w:eastAsia="Times New Roman" w:cstheme="minorHAnsi"/>
          <w:bCs/>
          <w:sz w:val="24"/>
          <w:szCs w:val="20"/>
        </w:rPr>
        <w:t xml:space="preserve"> </w:t>
      </w:r>
      <w:r w:rsidRPr="00385510">
        <w:rPr>
          <w:rFonts w:eastAsia="Times New Roman" w:cstheme="minorHAnsi"/>
          <w:bCs/>
          <w:sz w:val="24"/>
          <w:szCs w:val="20"/>
        </w:rPr>
        <w:t>liabilities for leases that previously were classified as operating leases and</w:t>
      </w:r>
      <w:r>
        <w:rPr>
          <w:rFonts w:eastAsia="Times New Roman" w:cstheme="minorHAnsi"/>
          <w:bCs/>
          <w:sz w:val="24"/>
          <w:szCs w:val="20"/>
        </w:rPr>
        <w:t xml:space="preserve"> </w:t>
      </w:r>
      <w:r w:rsidRPr="00385510">
        <w:rPr>
          <w:rFonts w:eastAsia="Times New Roman" w:cstheme="minorHAnsi"/>
          <w:bCs/>
          <w:sz w:val="24"/>
          <w:szCs w:val="20"/>
        </w:rPr>
        <w:t>recognized as inflows of resources or outflows of resources based on the</w:t>
      </w:r>
      <w:r>
        <w:rPr>
          <w:rFonts w:eastAsia="Times New Roman" w:cstheme="minorHAnsi"/>
          <w:bCs/>
          <w:sz w:val="24"/>
          <w:szCs w:val="20"/>
        </w:rPr>
        <w:t xml:space="preserve"> </w:t>
      </w:r>
      <w:r w:rsidRPr="00385510">
        <w:rPr>
          <w:rFonts w:eastAsia="Times New Roman" w:cstheme="minorHAnsi"/>
          <w:bCs/>
          <w:sz w:val="24"/>
          <w:szCs w:val="20"/>
        </w:rPr>
        <w:t xml:space="preserve">payment </w:t>
      </w:r>
      <w:r>
        <w:rPr>
          <w:rFonts w:eastAsia="Times New Roman" w:cstheme="minorHAnsi"/>
          <w:bCs/>
          <w:sz w:val="24"/>
          <w:szCs w:val="20"/>
        </w:rPr>
        <w:t>p</w:t>
      </w:r>
      <w:r w:rsidRPr="00385510">
        <w:rPr>
          <w:rFonts w:eastAsia="Times New Roman" w:cstheme="minorHAnsi"/>
          <w:bCs/>
          <w:sz w:val="24"/>
          <w:szCs w:val="20"/>
        </w:rPr>
        <w:t>rovisions of the contract. It establishes a single model for lease</w:t>
      </w:r>
      <w:r>
        <w:rPr>
          <w:rFonts w:eastAsia="Times New Roman" w:cstheme="minorHAnsi"/>
          <w:bCs/>
          <w:sz w:val="24"/>
          <w:szCs w:val="20"/>
        </w:rPr>
        <w:t xml:space="preserve"> </w:t>
      </w:r>
      <w:r w:rsidRPr="00385510">
        <w:rPr>
          <w:rFonts w:eastAsia="Times New Roman" w:cstheme="minorHAnsi"/>
          <w:bCs/>
          <w:sz w:val="24"/>
          <w:szCs w:val="20"/>
        </w:rPr>
        <w:t>accounting based on the foundational principle that leases are financings of the</w:t>
      </w:r>
      <w:r>
        <w:rPr>
          <w:rFonts w:eastAsia="Times New Roman" w:cstheme="minorHAnsi"/>
          <w:bCs/>
          <w:sz w:val="24"/>
          <w:szCs w:val="20"/>
        </w:rPr>
        <w:t xml:space="preserve"> </w:t>
      </w:r>
      <w:r w:rsidRPr="00385510">
        <w:rPr>
          <w:rFonts w:eastAsia="Times New Roman" w:cstheme="minorHAnsi"/>
          <w:bCs/>
          <w:sz w:val="24"/>
          <w:szCs w:val="20"/>
        </w:rPr>
        <w:t xml:space="preserve">right to use an underlying asset. Under </w:t>
      </w:r>
      <w:r w:rsidR="00D9332F">
        <w:rPr>
          <w:rFonts w:eastAsia="Times New Roman" w:cstheme="minorHAnsi"/>
          <w:bCs/>
          <w:sz w:val="24"/>
          <w:szCs w:val="20"/>
        </w:rPr>
        <w:t>GASB No. 87</w:t>
      </w:r>
      <w:r w:rsidRPr="00385510">
        <w:rPr>
          <w:rFonts w:eastAsia="Times New Roman" w:cstheme="minorHAnsi"/>
          <w:bCs/>
          <w:sz w:val="24"/>
          <w:szCs w:val="20"/>
        </w:rPr>
        <w:t>, a lessee is required to</w:t>
      </w:r>
      <w:r>
        <w:rPr>
          <w:rFonts w:eastAsia="Times New Roman" w:cstheme="minorHAnsi"/>
          <w:bCs/>
          <w:sz w:val="24"/>
          <w:szCs w:val="20"/>
        </w:rPr>
        <w:t xml:space="preserve"> </w:t>
      </w:r>
      <w:r w:rsidRPr="00385510">
        <w:rPr>
          <w:rFonts w:eastAsia="Times New Roman" w:cstheme="minorHAnsi"/>
          <w:bCs/>
          <w:sz w:val="24"/>
          <w:szCs w:val="20"/>
        </w:rPr>
        <w:t>recognize a lease liability and an intangible right</w:t>
      </w:r>
      <w:r w:rsidR="00616F3F">
        <w:rPr>
          <w:rFonts w:eastAsia="Times New Roman" w:cstheme="minorHAnsi"/>
          <w:bCs/>
          <w:sz w:val="24"/>
          <w:szCs w:val="20"/>
        </w:rPr>
        <w:t xml:space="preserve"> of</w:t>
      </w:r>
      <w:r w:rsidR="00616F3F" w:rsidRPr="00385510" w:rsidDel="00616F3F">
        <w:rPr>
          <w:rFonts w:eastAsia="Times New Roman" w:cstheme="minorHAnsi"/>
          <w:bCs/>
          <w:sz w:val="24"/>
          <w:szCs w:val="20"/>
        </w:rPr>
        <w:t xml:space="preserve"> </w:t>
      </w:r>
      <w:r w:rsidRPr="00385510">
        <w:rPr>
          <w:rFonts w:eastAsia="Times New Roman" w:cstheme="minorHAnsi"/>
          <w:bCs/>
          <w:sz w:val="24"/>
          <w:szCs w:val="20"/>
        </w:rPr>
        <w:t>use lease asset, and a</w:t>
      </w:r>
      <w:r>
        <w:rPr>
          <w:rFonts w:eastAsia="Times New Roman" w:cstheme="minorHAnsi"/>
          <w:bCs/>
          <w:sz w:val="24"/>
          <w:szCs w:val="20"/>
        </w:rPr>
        <w:t xml:space="preserve"> </w:t>
      </w:r>
      <w:r w:rsidRPr="00385510">
        <w:rPr>
          <w:rFonts w:eastAsia="Times New Roman" w:cstheme="minorHAnsi"/>
          <w:bCs/>
          <w:sz w:val="24"/>
          <w:szCs w:val="20"/>
        </w:rPr>
        <w:t>lessor is required to recognize a lease receivable and a deferred inflow of</w:t>
      </w:r>
      <w:r>
        <w:rPr>
          <w:rFonts w:eastAsia="Times New Roman" w:cstheme="minorHAnsi"/>
          <w:bCs/>
          <w:sz w:val="24"/>
          <w:szCs w:val="20"/>
        </w:rPr>
        <w:t xml:space="preserve"> </w:t>
      </w:r>
      <w:r w:rsidRPr="00385510">
        <w:rPr>
          <w:rFonts w:eastAsia="Times New Roman" w:cstheme="minorHAnsi"/>
          <w:bCs/>
          <w:sz w:val="24"/>
          <w:szCs w:val="20"/>
        </w:rPr>
        <w:t>resources, thereby enhancing the relevance and consistency of information</w:t>
      </w:r>
      <w:r>
        <w:rPr>
          <w:rFonts w:eastAsia="Times New Roman" w:cstheme="minorHAnsi"/>
          <w:bCs/>
          <w:sz w:val="24"/>
          <w:szCs w:val="20"/>
        </w:rPr>
        <w:t xml:space="preserve"> </w:t>
      </w:r>
      <w:r w:rsidRPr="00385510">
        <w:rPr>
          <w:rFonts w:eastAsia="Times New Roman" w:cstheme="minorHAnsi"/>
          <w:bCs/>
          <w:sz w:val="24"/>
          <w:szCs w:val="20"/>
        </w:rPr>
        <w:t>about governments’ leasing activities.</w:t>
      </w:r>
    </w:p>
    <w:p w14:paraId="209DF775" w14:textId="58A9EC7B" w:rsidR="00435B74" w:rsidRPr="005B26A1" w:rsidRDefault="00435B74" w:rsidP="005B26A1">
      <w:pPr>
        <w:spacing w:after="160"/>
        <w:rPr>
          <w:rFonts w:eastAsiaTheme="majorEastAsia" w:cstheme="minorHAnsi"/>
          <w:b/>
          <w:i/>
          <w:iCs/>
          <w:smallCaps/>
          <w:noProof/>
          <w:color w:val="000000" w:themeColor="text1"/>
          <w:sz w:val="26"/>
          <w:szCs w:val="26"/>
          <w:u w:color="5B9BD5"/>
        </w:rPr>
      </w:pPr>
      <w:r w:rsidRPr="006A4C58">
        <w:rPr>
          <w:rFonts w:eastAsiaTheme="majorEastAsia" w:cstheme="minorHAnsi"/>
          <w:b/>
          <w:i/>
          <w:iCs/>
          <w:smallCaps/>
          <w:noProof/>
          <w:color w:val="000000" w:themeColor="text1"/>
          <w:sz w:val="26"/>
          <w:szCs w:val="26"/>
          <w:u w:color="5B9BD5"/>
        </w:rPr>
        <w:lastRenderedPageBreak/>
        <w:t>1. SIGNIFICANT ACCOUNTING POLICIES - CONTINUED</w:t>
      </w:r>
    </w:p>
    <w:p w14:paraId="05BB5F5C" w14:textId="64E7831E" w:rsidR="00721CFD" w:rsidRDefault="00721CFD" w:rsidP="00721CFD">
      <w:pPr>
        <w:pStyle w:val="Default"/>
        <w:rPr>
          <w:rFonts w:eastAsia="Times New Roman" w:cstheme="minorHAnsi"/>
          <w:bCs/>
          <w:szCs w:val="20"/>
        </w:rPr>
      </w:pPr>
      <w:r w:rsidRPr="00AA74F4">
        <w:rPr>
          <w:rFonts w:eastAsia="Times New Roman" w:cstheme="minorHAnsi"/>
          <w:bCs/>
          <w:szCs w:val="20"/>
        </w:rPr>
        <w:t xml:space="preserve">The System adopted the provisions of GASB No. </w:t>
      </w:r>
      <w:r>
        <w:rPr>
          <w:rFonts w:eastAsia="Times New Roman" w:cstheme="minorHAnsi"/>
          <w:bCs/>
          <w:szCs w:val="20"/>
        </w:rPr>
        <w:t>87</w:t>
      </w:r>
      <w:r w:rsidRPr="00AA74F4">
        <w:rPr>
          <w:rFonts w:eastAsia="Times New Roman" w:cstheme="minorHAnsi"/>
          <w:bCs/>
          <w:szCs w:val="20"/>
        </w:rPr>
        <w:t xml:space="preserve"> retroactive to July 1, 20</w:t>
      </w:r>
      <w:r>
        <w:rPr>
          <w:rFonts w:eastAsia="Times New Roman" w:cstheme="minorHAnsi"/>
          <w:bCs/>
          <w:szCs w:val="20"/>
        </w:rPr>
        <w:t>20</w:t>
      </w:r>
      <w:r w:rsidRPr="00AA74F4">
        <w:rPr>
          <w:rFonts w:eastAsia="Times New Roman" w:cstheme="minorHAnsi"/>
          <w:bCs/>
          <w:szCs w:val="20"/>
        </w:rPr>
        <w:t>, and has restated its FY</w:t>
      </w:r>
      <w:r>
        <w:rPr>
          <w:rFonts w:eastAsia="Times New Roman" w:cstheme="minorHAnsi"/>
          <w:bCs/>
          <w:szCs w:val="20"/>
        </w:rPr>
        <w:t xml:space="preserve">21 </w:t>
      </w:r>
      <w:r w:rsidRPr="00AA74F4">
        <w:rPr>
          <w:rFonts w:eastAsia="Times New Roman" w:cstheme="minorHAnsi"/>
          <w:bCs/>
          <w:szCs w:val="20"/>
        </w:rPr>
        <w:t xml:space="preserve">financial statements in accordance with the provisions of GASB No. </w:t>
      </w:r>
      <w:r>
        <w:rPr>
          <w:rFonts w:eastAsia="Times New Roman" w:cstheme="minorHAnsi"/>
          <w:bCs/>
          <w:szCs w:val="20"/>
        </w:rPr>
        <w:t>87</w:t>
      </w:r>
      <w:r w:rsidRPr="00AA74F4">
        <w:rPr>
          <w:rFonts w:eastAsia="Times New Roman" w:cstheme="minorHAnsi"/>
          <w:bCs/>
          <w:szCs w:val="20"/>
        </w:rPr>
        <w:t xml:space="preserve">.  The </w:t>
      </w:r>
      <w:r>
        <w:rPr>
          <w:rFonts w:eastAsia="Times New Roman" w:cstheme="minorHAnsi"/>
          <w:bCs/>
          <w:szCs w:val="20"/>
        </w:rPr>
        <w:t>adoption of GASB No. 87</w:t>
      </w:r>
      <w:r w:rsidRPr="00AA74F4">
        <w:rPr>
          <w:rFonts w:eastAsia="Times New Roman" w:cstheme="minorHAnsi"/>
          <w:bCs/>
          <w:szCs w:val="20"/>
        </w:rPr>
        <w:t xml:space="preserve"> is described further in Note </w:t>
      </w:r>
      <w:r w:rsidRPr="006A4C58">
        <w:rPr>
          <w:rFonts w:eastAsia="Times New Roman" w:cstheme="minorHAnsi"/>
          <w:bCs/>
          <w:color w:val="auto"/>
          <w:szCs w:val="20"/>
        </w:rPr>
        <w:t>18</w:t>
      </w:r>
      <w:r w:rsidRPr="00AA74F4">
        <w:rPr>
          <w:rFonts w:eastAsia="Times New Roman" w:cstheme="minorHAnsi"/>
          <w:bCs/>
          <w:szCs w:val="20"/>
        </w:rPr>
        <w:t>.</w:t>
      </w:r>
    </w:p>
    <w:p w14:paraId="697D0E43" w14:textId="77777777" w:rsidR="00721CFD" w:rsidRDefault="00721CFD" w:rsidP="00721CFD">
      <w:pPr>
        <w:pStyle w:val="AFR3"/>
        <w:rPr>
          <w:rFonts w:cstheme="minorHAnsi"/>
        </w:rPr>
      </w:pPr>
      <w:r>
        <w:rPr>
          <w:rFonts w:cstheme="minorHAnsi"/>
        </w:rPr>
        <w:t>c</w:t>
      </w:r>
      <w:r w:rsidRPr="00F54559">
        <w:rPr>
          <w:rFonts w:cstheme="minorHAnsi"/>
        </w:rPr>
        <w:t xml:space="preserve">. </w:t>
      </w:r>
      <w:r>
        <w:rPr>
          <w:rFonts w:cstheme="minorHAnsi"/>
        </w:rPr>
        <w:t>Fiduciary Funds</w:t>
      </w:r>
    </w:p>
    <w:p w14:paraId="7D991BD1" w14:textId="77777777" w:rsidR="00721CFD" w:rsidRPr="00542FB3" w:rsidRDefault="00721CFD" w:rsidP="00721CFD">
      <w:pPr>
        <w:rPr>
          <w:sz w:val="24"/>
          <w:szCs w:val="24"/>
        </w:rPr>
      </w:pPr>
      <w:r>
        <w:rPr>
          <w:sz w:val="24"/>
          <w:szCs w:val="24"/>
        </w:rPr>
        <w:t>The System holds t</w:t>
      </w:r>
      <w:r w:rsidRPr="00542FB3">
        <w:rPr>
          <w:sz w:val="24"/>
          <w:szCs w:val="24"/>
        </w:rPr>
        <w:t xml:space="preserve">hese </w:t>
      </w:r>
      <w:r>
        <w:rPr>
          <w:sz w:val="24"/>
          <w:szCs w:val="24"/>
        </w:rPr>
        <w:t xml:space="preserve">funds </w:t>
      </w:r>
      <w:r w:rsidRPr="00542FB3">
        <w:rPr>
          <w:sz w:val="24"/>
          <w:szCs w:val="24"/>
        </w:rPr>
        <w:t xml:space="preserve">on behalf of other entities as a trustee or fiduciary. The System is responsible for ensuring such assets are used only for their intended purposes and by those to whom the assets belong. </w:t>
      </w:r>
    </w:p>
    <w:p w14:paraId="75CD2E50" w14:textId="77777777" w:rsidR="00721CFD" w:rsidRPr="004C662D" w:rsidRDefault="00721CFD" w:rsidP="00721CFD">
      <w:pPr>
        <w:tabs>
          <w:tab w:val="left" w:pos="0"/>
        </w:tabs>
        <w:rPr>
          <w:rFonts w:eastAsia="Times New Roman" w:cstheme="minorHAnsi"/>
          <w:bCs/>
          <w:sz w:val="20"/>
          <w:szCs w:val="20"/>
        </w:rPr>
      </w:pPr>
    </w:p>
    <w:p w14:paraId="5B76A9F9" w14:textId="77777777" w:rsidR="00721CFD" w:rsidRPr="00542FB3" w:rsidRDefault="00721CFD" w:rsidP="00721CFD">
      <w:pPr>
        <w:spacing w:after="120"/>
        <w:rPr>
          <w:sz w:val="24"/>
          <w:szCs w:val="24"/>
        </w:rPr>
      </w:pPr>
      <w:r w:rsidRPr="00542FB3">
        <w:rPr>
          <w:sz w:val="24"/>
          <w:szCs w:val="24"/>
        </w:rPr>
        <w:t>The System reports its fiduciary funds in the following financial statements that accompany these notes.</w:t>
      </w:r>
    </w:p>
    <w:p w14:paraId="7263997C" w14:textId="77777777" w:rsidR="00721CFD" w:rsidRPr="00542FB3" w:rsidRDefault="00721CFD" w:rsidP="00721CFD">
      <w:pPr>
        <w:spacing w:after="120"/>
        <w:ind w:left="540"/>
        <w:rPr>
          <w:sz w:val="24"/>
          <w:szCs w:val="24"/>
        </w:rPr>
      </w:pPr>
      <w:r w:rsidRPr="00542FB3">
        <w:rPr>
          <w:b/>
          <w:sz w:val="24"/>
          <w:szCs w:val="24"/>
        </w:rPr>
        <w:t>Statements of Fiduciary Net Position</w:t>
      </w:r>
      <w:r w:rsidRPr="00542FB3">
        <w:rPr>
          <w:sz w:val="24"/>
          <w:szCs w:val="24"/>
        </w:rPr>
        <w:t xml:space="preserve"> – Presents the assets held by the System in a fiduciary capacity as of June 30 along with the related deferred outflows of resources, liabilities, deferred inflows of resources, and net position.</w:t>
      </w:r>
    </w:p>
    <w:p w14:paraId="720416B1" w14:textId="77777777" w:rsidR="00721CFD" w:rsidRDefault="00721CFD" w:rsidP="00721CFD">
      <w:pPr>
        <w:ind w:left="540"/>
        <w:rPr>
          <w:sz w:val="24"/>
          <w:szCs w:val="24"/>
        </w:rPr>
      </w:pPr>
      <w:r w:rsidRPr="00542FB3">
        <w:rPr>
          <w:b/>
          <w:sz w:val="24"/>
          <w:szCs w:val="24"/>
        </w:rPr>
        <w:t>Statements of Changes in Fiduciary Net Position</w:t>
      </w:r>
      <w:r w:rsidRPr="00542FB3">
        <w:rPr>
          <w:sz w:val="24"/>
          <w:szCs w:val="24"/>
        </w:rPr>
        <w:t xml:space="preserve"> – Presents the components of the fiscal year change in net position of the fiduciary funds.</w:t>
      </w:r>
    </w:p>
    <w:p w14:paraId="21E76CD4" w14:textId="77777777" w:rsidR="00721CFD" w:rsidRPr="004C662D" w:rsidRDefault="00721CFD" w:rsidP="00721CFD">
      <w:pPr>
        <w:ind w:left="540"/>
        <w:rPr>
          <w:sz w:val="20"/>
          <w:szCs w:val="20"/>
        </w:rPr>
      </w:pPr>
    </w:p>
    <w:p w14:paraId="4646C37A" w14:textId="77777777" w:rsidR="00721CFD" w:rsidRPr="00542FB3" w:rsidRDefault="00721CFD" w:rsidP="00721CFD">
      <w:pPr>
        <w:spacing w:after="120"/>
        <w:rPr>
          <w:sz w:val="24"/>
          <w:szCs w:val="24"/>
        </w:rPr>
      </w:pPr>
      <w:r w:rsidRPr="00542FB3">
        <w:rPr>
          <w:sz w:val="24"/>
          <w:szCs w:val="24"/>
        </w:rPr>
        <w:t>The System’s fiduciary financial statements include the following types of fiduciary funds:</w:t>
      </w:r>
    </w:p>
    <w:p w14:paraId="23C5FD95" w14:textId="77777777" w:rsidR="00721CFD" w:rsidRPr="00542FB3" w:rsidRDefault="00721CFD" w:rsidP="00721CFD">
      <w:pPr>
        <w:spacing w:after="120"/>
        <w:ind w:left="540"/>
        <w:rPr>
          <w:sz w:val="24"/>
          <w:szCs w:val="24"/>
        </w:rPr>
      </w:pPr>
      <w:r w:rsidRPr="00542FB3">
        <w:rPr>
          <w:b/>
          <w:sz w:val="24"/>
          <w:szCs w:val="24"/>
        </w:rPr>
        <w:t>Pension and Other Employee Benefit Trusts</w:t>
      </w:r>
      <w:r w:rsidRPr="00542FB3">
        <w:rPr>
          <w:sz w:val="24"/>
          <w:szCs w:val="24"/>
        </w:rPr>
        <w:t xml:space="preserve"> – These funds include the assets associated with the System’s Defined Benefit Plan for classified employees and its OPEB health plan.</w:t>
      </w:r>
    </w:p>
    <w:p w14:paraId="7D9E03EF" w14:textId="77777777" w:rsidR="00721CFD" w:rsidRPr="00542FB3" w:rsidRDefault="00721CFD" w:rsidP="00721CFD">
      <w:pPr>
        <w:spacing w:after="120"/>
        <w:ind w:left="540"/>
        <w:rPr>
          <w:sz w:val="24"/>
          <w:szCs w:val="24"/>
        </w:rPr>
      </w:pPr>
      <w:r w:rsidRPr="00542FB3">
        <w:rPr>
          <w:b/>
          <w:sz w:val="24"/>
          <w:szCs w:val="24"/>
        </w:rPr>
        <w:t xml:space="preserve">External Investment Pools </w:t>
      </w:r>
      <w:r w:rsidRPr="00542FB3">
        <w:rPr>
          <w:sz w:val="24"/>
          <w:szCs w:val="24"/>
        </w:rPr>
        <w:t>– These are a type of custodial fund and represent amounts invested by external parties in the System’s management investment and endowment pools.</w:t>
      </w:r>
    </w:p>
    <w:p w14:paraId="3F149D5D" w14:textId="77777777" w:rsidR="00721CFD" w:rsidRPr="001303CD" w:rsidRDefault="00721CFD" w:rsidP="00721CFD">
      <w:pPr>
        <w:ind w:left="540"/>
        <w:rPr>
          <w:rFonts w:cstheme="minorHAnsi"/>
        </w:rPr>
      </w:pPr>
      <w:r w:rsidRPr="00542FB3">
        <w:rPr>
          <w:b/>
          <w:sz w:val="24"/>
          <w:szCs w:val="24"/>
        </w:rPr>
        <w:t xml:space="preserve">Other Custodial Funds </w:t>
      </w:r>
      <w:r w:rsidRPr="00542FB3">
        <w:rPr>
          <w:sz w:val="24"/>
          <w:szCs w:val="24"/>
        </w:rPr>
        <w:t>– These custodial funds are held on behalf of various student government groups.</w:t>
      </w:r>
    </w:p>
    <w:p w14:paraId="14E5DAF2" w14:textId="77777777" w:rsidR="00721CFD" w:rsidRPr="00F54559" w:rsidRDefault="00721CFD" w:rsidP="00721CFD">
      <w:pPr>
        <w:pStyle w:val="ReportHeading3"/>
        <w:spacing w:before="240"/>
        <w:rPr>
          <w:rFonts w:cstheme="minorHAnsi"/>
          <w:u w:color="000000" w:themeColor="text1"/>
        </w:rPr>
      </w:pPr>
      <w:r>
        <w:rPr>
          <w:rFonts w:cstheme="minorHAnsi"/>
          <w:u w:color="000000" w:themeColor="text1"/>
        </w:rPr>
        <w:t>d</w:t>
      </w:r>
      <w:r w:rsidRPr="00F54559">
        <w:rPr>
          <w:rFonts w:cstheme="minorHAnsi"/>
          <w:u w:color="000000" w:themeColor="text1"/>
        </w:rPr>
        <w:t>. Net Position</w:t>
      </w:r>
    </w:p>
    <w:p w14:paraId="510D2771" w14:textId="77777777" w:rsidR="00721CFD" w:rsidRPr="00F54559" w:rsidRDefault="00721CFD" w:rsidP="00721CFD">
      <w:pPr>
        <w:spacing w:after="160"/>
        <w:rPr>
          <w:rFonts w:eastAsia="Times New Roman" w:cstheme="minorHAnsi"/>
          <w:sz w:val="24"/>
          <w:szCs w:val="20"/>
        </w:rPr>
      </w:pPr>
      <w:r w:rsidRPr="00F54559">
        <w:rPr>
          <w:rFonts w:eastAsia="Times New Roman" w:cstheme="minorHAnsi"/>
          <w:sz w:val="24"/>
          <w:szCs w:val="20"/>
        </w:rPr>
        <w:t xml:space="preserve">The </w:t>
      </w:r>
      <w:r>
        <w:rPr>
          <w:rFonts w:eastAsia="Times New Roman" w:cstheme="minorHAnsi"/>
          <w:sz w:val="24"/>
          <w:szCs w:val="20"/>
        </w:rPr>
        <w:t xml:space="preserve">accompanying Statements of Net Position present the </w:t>
      </w:r>
      <w:r w:rsidRPr="00F54559">
        <w:rPr>
          <w:rFonts w:eastAsia="Times New Roman" w:cstheme="minorHAnsi"/>
          <w:sz w:val="24"/>
          <w:szCs w:val="20"/>
        </w:rPr>
        <w:t>System’s net position (assets plus deferred outflows of resources less liabilities and deferred inflows of resources) in the following four categories:</w:t>
      </w:r>
    </w:p>
    <w:p w14:paraId="00AEF65E" w14:textId="77777777" w:rsidR="00721CFD" w:rsidRPr="00F54559" w:rsidRDefault="00721CFD" w:rsidP="00721CFD">
      <w:pPr>
        <w:suppressAutoHyphens/>
        <w:spacing w:after="160"/>
        <w:ind w:left="720"/>
        <w:rPr>
          <w:rFonts w:eastAsia="Times New Roman" w:cstheme="minorHAnsi"/>
          <w:bCs/>
          <w:spacing w:val="-3"/>
          <w:sz w:val="24"/>
          <w:szCs w:val="20"/>
        </w:rPr>
      </w:pPr>
      <w:r w:rsidRPr="00F54559">
        <w:rPr>
          <w:rFonts w:eastAsia="Times New Roman" w:cstheme="minorHAnsi"/>
          <w:b/>
          <w:sz w:val="24"/>
          <w:szCs w:val="20"/>
        </w:rPr>
        <w:t>Net investment in capital assets:</w:t>
      </w:r>
      <w:r w:rsidRPr="00F54559">
        <w:rPr>
          <w:rFonts w:eastAsia="Times New Roman" w:cstheme="minorHAnsi"/>
          <w:sz w:val="24"/>
          <w:szCs w:val="20"/>
        </w:rPr>
        <w:t xml:space="preserve"> Capital assets, net of accumulated depreciation and outstanding principal balances of debt attributable to the acquisition, construction, repair or improvement of those assets.  It also includes the premiums/discounts related to the outstanding debt. This category excludes the portion of debt attributable to unspent bond proceeds.</w:t>
      </w:r>
    </w:p>
    <w:p w14:paraId="33540B74" w14:textId="77777777" w:rsidR="00251620" w:rsidRDefault="00721CFD" w:rsidP="00721CFD">
      <w:pPr>
        <w:suppressAutoHyphens/>
        <w:spacing w:after="160"/>
        <w:ind w:left="720"/>
        <w:rPr>
          <w:rFonts w:eastAsia="Times New Roman" w:cstheme="minorHAnsi"/>
          <w:sz w:val="24"/>
          <w:szCs w:val="20"/>
        </w:rPr>
      </w:pPr>
      <w:r w:rsidRPr="00F54559">
        <w:rPr>
          <w:rFonts w:eastAsia="Times New Roman" w:cstheme="minorHAnsi"/>
          <w:b/>
          <w:sz w:val="24"/>
          <w:szCs w:val="20"/>
        </w:rPr>
        <w:t>Restricted – nonexpendable:</w:t>
      </w:r>
      <w:r w:rsidRPr="00F54559">
        <w:rPr>
          <w:rFonts w:eastAsia="Times New Roman" w:cstheme="minorHAnsi"/>
          <w:sz w:val="24"/>
          <w:szCs w:val="20"/>
        </w:rPr>
        <w:t xml:space="preserve"> Net position subject to externally imposed conditions that the System maintain them in perpetuity. </w:t>
      </w:r>
      <w:r w:rsidRPr="00F54559">
        <w:rPr>
          <w:rFonts w:eastAsia="Times New Roman" w:cstheme="minorHAnsi"/>
          <w:bCs/>
          <w:spacing w:val="-3"/>
          <w:sz w:val="24"/>
          <w:szCs w:val="20"/>
        </w:rPr>
        <w:t xml:space="preserve">Such net position includes the historical gift value of restricted true endowment funds. </w:t>
      </w:r>
      <w:r w:rsidRPr="00F54559">
        <w:rPr>
          <w:rFonts w:eastAsia="Times New Roman" w:cstheme="minorHAnsi"/>
          <w:sz w:val="24"/>
          <w:szCs w:val="20"/>
        </w:rPr>
        <w:t xml:space="preserve">In the event that market fluctuations have </w:t>
      </w:r>
    </w:p>
    <w:p w14:paraId="74E072A9" w14:textId="09E92589" w:rsidR="00251620" w:rsidRPr="005B26A1" w:rsidRDefault="00251620" w:rsidP="005B26A1">
      <w:pPr>
        <w:spacing w:after="160"/>
        <w:rPr>
          <w:rFonts w:eastAsiaTheme="majorEastAsia" w:cstheme="minorHAnsi"/>
          <w:b/>
          <w:i/>
          <w:iCs/>
          <w:smallCaps/>
          <w:noProof/>
          <w:color w:val="000000" w:themeColor="text1"/>
          <w:sz w:val="26"/>
          <w:szCs w:val="26"/>
          <w:u w:color="5B9BD5"/>
        </w:rPr>
      </w:pPr>
      <w:r w:rsidRPr="006A4C58">
        <w:rPr>
          <w:rFonts w:eastAsiaTheme="majorEastAsia" w:cstheme="minorHAnsi"/>
          <w:b/>
          <w:i/>
          <w:iCs/>
          <w:smallCaps/>
          <w:noProof/>
          <w:color w:val="000000" w:themeColor="text1"/>
          <w:sz w:val="26"/>
          <w:szCs w:val="26"/>
          <w:u w:color="5B9BD5"/>
        </w:rPr>
        <w:lastRenderedPageBreak/>
        <w:t>1. SIGNIFICANT ACCOUNTING POLICIES - CONTINUED</w:t>
      </w:r>
    </w:p>
    <w:p w14:paraId="532E1F3B" w14:textId="236500E7" w:rsidR="00721CFD" w:rsidRPr="00F54559" w:rsidRDefault="00721CFD" w:rsidP="00721CFD">
      <w:pPr>
        <w:suppressAutoHyphens/>
        <w:spacing w:after="160"/>
        <w:ind w:left="720"/>
        <w:rPr>
          <w:rFonts w:eastAsia="Times New Roman" w:cstheme="minorHAnsi"/>
          <w:bCs/>
          <w:spacing w:val="-3"/>
          <w:sz w:val="24"/>
          <w:szCs w:val="20"/>
        </w:rPr>
      </w:pPr>
      <w:r w:rsidRPr="00F54559">
        <w:rPr>
          <w:rFonts w:eastAsia="Times New Roman" w:cstheme="minorHAnsi"/>
          <w:sz w:val="24"/>
          <w:szCs w:val="20"/>
        </w:rPr>
        <w:t>caused the fair value of an endowment to fall below corpus, the related net position is valued at the lower fair value amount.</w:t>
      </w:r>
    </w:p>
    <w:p w14:paraId="2B710549" w14:textId="77777777" w:rsidR="00721CFD" w:rsidRPr="00F54559" w:rsidRDefault="00721CFD" w:rsidP="00721CFD">
      <w:pPr>
        <w:spacing w:after="160"/>
        <w:ind w:left="720"/>
        <w:rPr>
          <w:rFonts w:eastAsia="Times New Roman" w:cstheme="minorHAnsi"/>
          <w:sz w:val="24"/>
          <w:szCs w:val="20"/>
        </w:rPr>
      </w:pPr>
      <w:r w:rsidRPr="00F54559">
        <w:rPr>
          <w:rFonts w:eastAsia="Times New Roman" w:cstheme="minorHAnsi"/>
          <w:b/>
          <w:sz w:val="24"/>
          <w:szCs w:val="20"/>
        </w:rPr>
        <w:t>Restricted – expendable:</w:t>
      </w:r>
      <w:r w:rsidRPr="00F54559">
        <w:rPr>
          <w:rFonts w:eastAsia="Times New Roman" w:cstheme="minorHAnsi"/>
          <w:sz w:val="24"/>
          <w:szCs w:val="20"/>
        </w:rPr>
        <w:t xml:space="preserve"> Net position subject to externally imposed conditions that can be fulfilled by the actions of the System or by the passage of time.  </w:t>
      </w:r>
      <w:r w:rsidRPr="00F54559">
        <w:rPr>
          <w:rFonts w:eastAsia="Times New Roman" w:cstheme="minorHAnsi"/>
          <w:bCs/>
          <w:spacing w:val="-3"/>
          <w:sz w:val="24"/>
          <w:szCs w:val="20"/>
        </w:rPr>
        <w:t>Such net position includes the accumulated net gains on true endowment funds, restricted gifts and income, and other similarly restricted funds.</w:t>
      </w:r>
    </w:p>
    <w:p w14:paraId="29E48136" w14:textId="77777777" w:rsidR="00721CFD" w:rsidRPr="00F54559" w:rsidRDefault="00721CFD" w:rsidP="00721CFD">
      <w:pPr>
        <w:spacing w:after="160"/>
        <w:ind w:left="720"/>
        <w:rPr>
          <w:rFonts w:eastAsia="Times New Roman" w:cstheme="minorHAnsi"/>
          <w:sz w:val="24"/>
          <w:szCs w:val="20"/>
        </w:rPr>
      </w:pPr>
      <w:r w:rsidRPr="00F54559">
        <w:rPr>
          <w:rFonts w:eastAsia="Times New Roman" w:cstheme="minorHAnsi"/>
          <w:b/>
          <w:sz w:val="24"/>
          <w:szCs w:val="20"/>
        </w:rPr>
        <w:t>Unrestricted:</w:t>
      </w:r>
      <w:r w:rsidRPr="00F54559">
        <w:rPr>
          <w:rFonts w:eastAsia="Times New Roman" w:cstheme="minorHAnsi"/>
          <w:sz w:val="24"/>
          <w:szCs w:val="20"/>
        </w:rPr>
        <w:t xml:space="preserve"> All other categories of net position.  Unrestricted net position may be committed by actions of the System’s Board of Trustees.</w:t>
      </w:r>
    </w:p>
    <w:p w14:paraId="3E3DB73B" w14:textId="77777777" w:rsidR="00721CFD" w:rsidRPr="00F54559" w:rsidRDefault="00721CFD" w:rsidP="00721CFD">
      <w:pPr>
        <w:rPr>
          <w:rFonts w:eastAsia="Times New Roman" w:cstheme="minorHAnsi"/>
          <w:sz w:val="24"/>
          <w:szCs w:val="20"/>
        </w:rPr>
      </w:pPr>
      <w:r w:rsidRPr="00F54559">
        <w:rPr>
          <w:rFonts w:eastAsia="Times New Roman" w:cstheme="minorHAnsi"/>
          <w:sz w:val="24"/>
          <w:szCs w:val="20"/>
        </w:rPr>
        <w:t>The System has adopted a policy of generally utilizing restricted – expendable resources, when available, prior to unrestricted resources.</w:t>
      </w:r>
    </w:p>
    <w:p w14:paraId="60AB1844" w14:textId="77777777" w:rsidR="00721CFD" w:rsidRPr="00F54559" w:rsidRDefault="00721CFD" w:rsidP="00721CFD">
      <w:pPr>
        <w:pStyle w:val="AFR3"/>
        <w:rPr>
          <w:rFonts w:cstheme="minorHAnsi"/>
        </w:rPr>
      </w:pPr>
      <w:r>
        <w:rPr>
          <w:rFonts w:cstheme="minorHAnsi"/>
        </w:rPr>
        <w:t>e</w:t>
      </w:r>
      <w:r w:rsidRPr="00F54559">
        <w:rPr>
          <w:rFonts w:cstheme="minorHAnsi"/>
        </w:rPr>
        <w:t>. Cash and Cash Equivalents</w:t>
      </w:r>
    </w:p>
    <w:p w14:paraId="1ECECDA2" w14:textId="77777777" w:rsidR="00721CFD" w:rsidRPr="00F54559" w:rsidRDefault="00721CFD" w:rsidP="00721CFD">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spacing w:val="-3"/>
          <w:sz w:val="24"/>
          <w:szCs w:val="24"/>
        </w:rPr>
        <w:t>The System considers all highly liquid investments (including restricted assets) with a maturity of three months or less when purchased to be cash equivalents.</w:t>
      </w:r>
    </w:p>
    <w:p w14:paraId="7EB38D06" w14:textId="77777777" w:rsidR="00721CFD" w:rsidRPr="00F54559" w:rsidRDefault="00721CFD" w:rsidP="00721CFD">
      <w:pPr>
        <w:pStyle w:val="AFR3"/>
        <w:rPr>
          <w:rFonts w:cstheme="minorHAnsi"/>
        </w:rPr>
      </w:pPr>
      <w:r>
        <w:rPr>
          <w:rFonts w:cstheme="minorHAnsi"/>
        </w:rPr>
        <w:t>f</w:t>
      </w:r>
      <w:r w:rsidRPr="00F54559">
        <w:rPr>
          <w:rFonts w:cstheme="minorHAnsi"/>
        </w:rPr>
        <w:t>. Investments</w:t>
      </w:r>
    </w:p>
    <w:p w14:paraId="493622D4" w14:textId="77777777" w:rsidR="00721CFD" w:rsidRPr="00F54559" w:rsidRDefault="00721CFD" w:rsidP="00721CFD">
      <w:pPr>
        <w:tabs>
          <w:tab w:val="left" w:pos="0"/>
          <w:tab w:val="left" w:pos="450"/>
          <w:tab w:val="left" w:pos="5040"/>
        </w:tabs>
        <w:suppressAutoHyphens/>
        <w:rPr>
          <w:rFonts w:cstheme="minorHAnsi"/>
          <w:spacing w:val="-3"/>
          <w:sz w:val="24"/>
        </w:rPr>
      </w:pPr>
      <w:r w:rsidRPr="00F54559">
        <w:rPr>
          <w:rFonts w:cstheme="minorHAnsi"/>
          <w:spacing w:val="-3"/>
          <w:sz w:val="24"/>
        </w:rPr>
        <w:t xml:space="preserve">All investments are reported at fair value except for the state pool, which is reported at amortized cost. System management is responsible for the fair measurement of investments reported in the financial statements. The System has implemented policies and procedures to assess the reasonableness of the fair values provided and believes that reported fair values at the </w:t>
      </w:r>
      <w:r w:rsidRPr="00F54559">
        <w:rPr>
          <w:rFonts w:cstheme="minorHAnsi"/>
          <w:bCs/>
          <w:sz w:val="24"/>
        </w:rPr>
        <w:t xml:space="preserve">Statements of Net Position </w:t>
      </w:r>
      <w:r w:rsidRPr="00F54559">
        <w:rPr>
          <w:rFonts w:cstheme="minorHAnsi"/>
          <w:spacing w:val="-3"/>
          <w:sz w:val="24"/>
        </w:rPr>
        <w:t>dates are reasonable.</w:t>
      </w:r>
    </w:p>
    <w:p w14:paraId="3CE2FE66" w14:textId="77777777" w:rsidR="00721CFD" w:rsidRPr="004C662D" w:rsidRDefault="00721CFD" w:rsidP="00721CFD">
      <w:pPr>
        <w:tabs>
          <w:tab w:val="left" w:pos="0"/>
          <w:tab w:val="center" w:pos="720"/>
        </w:tabs>
        <w:suppressAutoHyphens/>
        <w:rPr>
          <w:rFonts w:eastAsia="Times New Roman" w:cstheme="minorHAnsi"/>
          <w:spacing w:val="-3"/>
          <w:sz w:val="18"/>
          <w:szCs w:val="18"/>
        </w:rPr>
      </w:pPr>
    </w:p>
    <w:p w14:paraId="6B4671A8" w14:textId="12956DEE" w:rsidR="00721CFD" w:rsidRDefault="00721CFD" w:rsidP="00721CFD">
      <w:pPr>
        <w:tabs>
          <w:tab w:val="left" w:pos="0"/>
          <w:tab w:val="center" w:pos="720"/>
        </w:tabs>
        <w:suppressAutoHyphens/>
        <w:rPr>
          <w:rFonts w:eastAsia="Times New Roman" w:cstheme="minorHAnsi"/>
          <w:spacing w:val="-3"/>
          <w:sz w:val="24"/>
          <w:szCs w:val="20"/>
        </w:rPr>
      </w:pPr>
      <w:r w:rsidRPr="00F54559">
        <w:rPr>
          <w:rFonts w:eastAsia="Times New Roman" w:cstheme="minorHAnsi"/>
          <w:b/>
          <w:spacing w:val="-3"/>
          <w:sz w:val="24"/>
          <w:szCs w:val="20"/>
        </w:rPr>
        <w:t xml:space="preserve">Pooled Third party investments:  </w:t>
      </w:r>
      <w:r w:rsidRPr="006A4C58">
        <w:rPr>
          <w:rFonts w:eastAsia="Times New Roman" w:cstheme="minorHAnsi"/>
          <w:spacing w:val="-3"/>
          <w:sz w:val="24"/>
          <w:szCs w:val="20"/>
        </w:rPr>
        <w:t xml:space="preserve">During </w:t>
      </w:r>
      <w:r>
        <w:rPr>
          <w:rFonts w:eastAsia="Times New Roman" w:cstheme="minorHAnsi"/>
          <w:spacing w:val="-3"/>
          <w:sz w:val="24"/>
          <w:szCs w:val="20"/>
        </w:rPr>
        <w:t>FY22 four</w:t>
      </w:r>
      <w:r w:rsidRPr="00F54559">
        <w:rPr>
          <w:rFonts w:eastAsia="Times New Roman" w:cstheme="minorHAnsi"/>
          <w:spacing w:val="-3"/>
          <w:sz w:val="24"/>
          <w:szCs w:val="20"/>
        </w:rPr>
        <w:t xml:space="preserve"> outside entities, the UMS Other Post</w:t>
      </w:r>
      <w:r>
        <w:rPr>
          <w:rFonts w:eastAsia="Times New Roman" w:cstheme="minorHAnsi"/>
          <w:spacing w:val="-3"/>
          <w:sz w:val="24"/>
          <w:szCs w:val="20"/>
        </w:rPr>
        <w:t>e</w:t>
      </w:r>
      <w:r w:rsidRPr="00F54559">
        <w:rPr>
          <w:rFonts w:eastAsia="Times New Roman" w:cstheme="minorHAnsi"/>
          <w:spacing w:val="-3"/>
          <w:sz w:val="24"/>
          <w:szCs w:val="20"/>
        </w:rPr>
        <w:t xml:space="preserve">mployment Benefit (OPEB) Trust, </w:t>
      </w:r>
      <w:r w:rsidRPr="006A4C58">
        <w:rPr>
          <w:rFonts w:eastAsia="Times New Roman" w:cstheme="minorHAnsi"/>
          <w:spacing w:val="-3"/>
          <w:sz w:val="24"/>
          <w:szCs w:val="20"/>
        </w:rPr>
        <w:t>Maine Maritime Academy</w:t>
      </w:r>
      <w:r>
        <w:rPr>
          <w:rFonts w:eastAsia="Times New Roman" w:cstheme="minorHAnsi"/>
          <w:spacing w:val="-3"/>
          <w:sz w:val="24"/>
          <w:szCs w:val="20"/>
        </w:rPr>
        <w:t xml:space="preserve">, </w:t>
      </w:r>
      <w:r w:rsidRPr="003E6BCB">
        <w:rPr>
          <w:rFonts w:eastAsia="Times New Roman" w:cstheme="minorHAnsi"/>
          <w:spacing w:val="-3"/>
          <w:sz w:val="24"/>
          <w:szCs w:val="20"/>
        </w:rPr>
        <w:t xml:space="preserve">the </w:t>
      </w:r>
      <w:r w:rsidR="001C5B70">
        <w:rPr>
          <w:rFonts w:eastAsia="Times New Roman" w:cstheme="minorHAnsi"/>
          <w:spacing w:val="-3"/>
          <w:sz w:val="24"/>
          <w:szCs w:val="20"/>
        </w:rPr>
        <w:t xml:space="preserve">USM </w:t>
      </w:r>
      <w:r w:rsidRPr="003E6BCB">
        <w:rPr>
          <w:rFonts w:eastAsia="Times New Roman" w:cstheme="minorHAnsi"/>
          <w:spacing w:val="-3"/>
          <w:sz w:val="24"/>
          <w:szCs w:val="20"/>
        </w:rPr>
        <w:t xml:space="preserve">Osher Map Library </w:t>
      </w:r>
    </w:p>
    <w:p w14:paraId="2D975EF5" w14:textId="250AE88E" w:rsidR="00721CFD" w:rsidRDefault="00721CFD" w:rsidP="00721CFD">
      <w:pPr>
        <w:tabs>
          <w:tab w:val="left" w:pos="0"/>
          <w:tab w:val="center" w:pos="720"/>
        </w:tabs>
        <w:suppressAutoHyphens/>
        <w:rPr>
          <w:rFonts w:eastAsia="Times New Roman" w:cstheme="minorHAnsi"/>
          <w:spacing w:val="-3"/>
          <w:sz w:val="24"/>
          <w:szCs w:val="20"/>
        </w:rPr>
      </w:pPr>
      <w:r w:rsidRPr="003E6BCB">
        <w:rPr>
          <w:rFonts w:eastAsia="Times New Roman" w:cstheme="minorHAnsi"/>
          <w:spacing w:val="-3"/>
          <w:sz w:val="24"/>
          <w:szCs w:val="20"/>
        </w:rPr>
        <w:t>Foundation</w:t>
      </w:r>
      <w:r w:rsidRPr="006A4C58">
        <w:rPr>
          <w:rFonts w:eastAsia="Times New Roman" w:cstheme="minorHAnsi"/>
          <w:spacing w:val="-3"/>
          <w:sz w:val="24"/>
          <w:szCs w:val="20"/>
        </w:rPr>
        <w:t xml:space="preserve"> </w:t>
      </w:r>
      <w:r w:rsidRPr="00F54559">
        <w:rPr>
          <w:rFonts w:eastAsia="Times New Roman" w:cstheme="minorHAnsi"/>
          <w:spacing w:val="-3"/>
          <w:sz w:val="24"/>
          <w:szCs w:val="20"/>
        </w:rPr>
        <w:t>and the University of Maine School of Law Foundation, pool</w:t>
      </w:r>
      <w:r>
        <w:rPr>
          <w:rFonts w:eastAsia="Times New Roman" w:cstheme="minorHAnsi"/>
          <w:spacing w:val="-3"/>
          <w:sz w:val="24"/>
          <w:szCs w:val="20"/>
        </w:rPr>
        <w:t>ed</w:t>
      </w:r>
      <w:r w:rsidRPr="00F54559">
        <w:rPr>
          <w:rFonts w:eastAsia="Times New Roman" w:cstheme="minorHAnsi"/>
          <w:spacing w:val="-3"/>
          <w:sz w:val="24"/>
          <w:szCs w:val="20"/>
        </w:rPr>
        <w:t xml:space="preserve"> monies with the System’s endowment pool.  Investment performance results of these pooled monies are allocated on a pro rata basis based on the number of pool shares held by each entity.</w:t>
      </w:r>
      <w:r>
        <w:rPr>
          <w:rFonts w:eastAsia="Times New Roman" w:cstheme="minorHAnsi"/>
          <w:spacing w:val="-3"/>
          <w:sz w:val="24"/>
          <w:szCs w:val="20"/>
        </w:rPr>
        <w:t xml:space="preserve">  </w:t>
      </w:r>
      <w:r w:rsidRPr="003E6BCB">
        <w:rPr>
          <w:rFonts w:eastAsia="Times New Roman" w:cstheme="minorHAnsi"/>
          <w:spacing w:val="-3"/>
          <w:sz w:val="24"/>
          <w:szCs w:val="20"/>
        </w:rPr>
        <w:t xml:space="preserve">The </w:t>
      </w:r>
      <w:r w:rsidR="001C5B70">
        <w:rPr>
          <w:rFonts w:eastAsia="Times New Roman" w:cstheme="minorHAnsi"/>
          <w:spacing w:val="-3"/>
          <w:sz w:val="24"/>
          <w:szCs w:val="20"/>
        </w:rPr>
        <w:t xml:space="preserve">USM </w:t>
      </w:r>
      <w:r w:rsidRPr="003E6BCB">
        <w:rPr>
          <w:rFonts w:eastAsia="Times New Roman" w:cstheme="minorHAnsi"/>
          <w:spacing w:val="-3"/>
          <w:sz w:val="24"/>
          <w:szCs w:val="20"/>
        </w:rPr>
        <w:t xml:space="preserve">Osher Map Library Foundation joined the pool during FY22.  </w:t>
      </w:r>
      <w:r>
        <w:rPr>
          <w:rFonts w:eastAsia="Times New Roman" w:cstheme="minorHAnsi"/>
          <w:spacing w:val="-3"/>
          <w:sz w:val="24"/>
          <w:szCs w:val="20"/>
        </w:rPr>
        <w:t>Maine Maritime Academy withdrew from the pool during FY22.</w:t>
      </w:r>
    </w:p>
    <w:p w14:paraId="2322B7AB" w14:textId="77777777" w:rsidR="00721CFD" w:rsidRPr="004C662D" w:rsidRDefault="00721CFD" w:rsidP="00721CFD">
      <w:pPr>
        <w:tabs>
          <w:tab w:val="left" w:pos="0"/>
          <w:tab w:val="center" w:pos="720"/>
        </w:tabs>
        <w:suppressAutoHyphens/>
        <w:rPr>
          <w:rFonts w:eastAsia="Times New Roman" w:cstheme="minorHAnsi"/>
          <w:spacing w:val="-3"/>
          <w:sz w:val="20"/>
          <w:szCs w:val="20"/>
        </w:rPr>
      </w:pPr>
    </w:p>
    <w:p w14:paraId="05ECECB9" w14:textId="77777777" w:rsidR="00721CFD" w:rsidRPr="00F54559" w:rsidRDefault="00721CFD" w:rsidP="00721CFD">
      <w:pPr>
        <w:tabs>
          <w:tab w:val="left" w:pos="0"/>
          <w:tab w:val="center" w:pos="720"/>
        </w:tabs>
        <w:suppressAutoHyphens/>
        <w:rPr>
          <w:rFonts w:eastAsia="Times New Roman" w:cstheme="minorHAnsi"/>
          <w:spacing w:val="-3"/>
          <w:sz w:val="24"/>
          <w:szCs w:val="20"/>
        </w:rPr>
      </w:pPr>
      <w:r w:rsidRPr="00F54559">
        <w:rPr>
          <w:rFonts w:eastAsia="Times New Roman" w:cstheme="minorHAnsi"/>
          <w:spacing w:val="-3"/>
          <w:sz w:val="24"/>
          <w:szCs w:val="20"/>
        </w:rPr>
        <w:t>Contributions to and withdrawals from the pool are allowed only on the first business day of a calendar quarter.</w:t>
      </w:r>
      <w:r>
        <w:rPr>
          <w:rFonts w:eastAsia="Times New Roman" w:cstheme="minorHAnsi"/>
          <w:spacing w:val="-3"/>
          <w:sz w:val="24"/>
          <w:szCs w:val="20"/>
        </w:rPr>
        <w:t xml:space="preserve"> </w:t>
      </w:r>
    </w:p>
    <w:p w14:paraId="6D422143" w14:textId="77777777" w:rsidR="00721CFD" w:rsidRPr="00F54559" w:rsidRDefault="00721CFD" w:rsidP="00721CFD">
      <w:pPr>
        <w:tabs>
          <w:tab w:val="left" w:pos="0"/>
          <w:tab w:val="center" w:pos="720"/>
        </w:tabs>
        <w:suppressAutoHyphens/>
        <w:rPr>
          <w:rFonts w:eastAsia="Times New Roman" w:cstheme="minorHAnsi"/>
          <w:spacing w:val="-3"/>
          <w:sz w:val="20"/>
          <w:szCs w:val="20"/>
        </w:rPr>
      </w:pPr>
    </w:p>
    <w:p w14:paraId="1D03000D" w14:textId="77777777" w:rsidR="00721CFD" w:rsidRDefault="00721CFD" w:rsidP="00721CFD">
      <w:pPr>
        <w:tabs>
          <w:tab w:val="left" w:pos="0"/>
          <w:tab w:val="center" w:pos="720"/>
        </w:tabs>
        <w:suppressAutoHyphens/>
        <w:rPr>
          <w:rFonts w:eastAsia="Times New Roman" w:cstheme="minorHAnsi"/>
          <w:spacing w:val="-3"/>
          <w:sz w:val="20"/>
          <w:szCs w:val="20"/>
        </w:rPr>
      </w:pPr>
      <w:r w:rsidRPr="00F54559">
        <w:rPr>
          <w:rFonts w:eastAsia="Times New Roman" w:cstheme="minorHAnsi"/>
          <w:spacing w:val="-3"/>
          <w:sz w:val="24"/>
          <w:szCs w:val="20"/>
        </w:rPr>
        <w:t>Investment of these monies follows guidelines approved by the System’s Board of Trustees Investment Committee. These guidelines are further disclosed in the remainder of this Note and Note 3 to these financial statements as part of the discussion of endowments.</w:t>
      </w:r>
    </w:p>
    <w:p w14:paraId="1725BE2E" w14:textId="77777777" w:rsidR="00721CFD" w:rsidRPr="00F54559" w:rsidRDefault="00721CFD" w:rsidP="00721CFD">
      <w:pPr>
        <w:tabs>
          <w:tab w:val="left" w:pos="0"/>
          <w:tab w:val="center" w:pos="720"/>
        </w:tabs>
        <w:suppressAutoHyphens/>
        <w:rPr>
          <w:rFonts w:eastAsia="Times New Roman" w:cstheme="minorHAnsi"/>
          <w:spacing w:val="-3"/>
          <w:sz w:val="20"/>
          <w:szCs w:val="20"/>
        </w:rPr>
      </w:pPr>
    </w:p>
    <w:p w14:paraId="79B8087A" w14:textId="3C27543F" w:rsidR="00694777" w:rsidRDefault="00721CFD" w:rsidP="00721CFD">
      <w:pPr>
        <w:tabs>
          <w:tab w:val="left" w:pos="0"/>
          <w:tab w:val="center" w:pos="720"/>
        </w:tabs>
        <w:suppressAutoHyphens/>
        <w:rPr>
          <w:rFonts w:eastAsia="Times New Roman" w:cstheme="minorHAnsi"/>
          <w:bCs/>
          <w:spacing w:val="-3"/>
          <w:sz w:val="24"/>
          <w:szCs w:val="20"/>
        </w:rPr>
      </w:pPr>
      <w:r w:rsidRPr="00F54559">
        <w:rPr>
          <w:rFonts w:eastAsia="Times New Roman" w:cstheme="minorHAnsi"/>
          <w:b/>
          <w:spacing w:val="-3"/>
          <w:sz w:val="24"/>
          <w:szCs w:val="20"/>
        </w:rPr>
        <w:t>Endowment</w:t>
      </w:r>
      <w:r w:rsidRPr="00F54559">
        <w:rPr>
          <w:rFonts w:eastAsia="Times New Roman" w:cstheme="minorHAnsi"/>
          <w:bCs/>
          <w:spacing w:val="-3"/>
          <w:sz w:val="24"/>
          <w:szCs w:val="20"/>
        </w:rPr>
        <w:t xml:space="preserve">: The System follows the pooled investment concept for its endowed funds, whereby all invested funds are included in one pool, except for funds that are separately invested as </w:t>
      </w:r>
      <w:r w:rsidR="002C201C">
        <w:rPr>
          <w:rFonts w:eastAsia="Times New Roman" w:cstheme="minorHAnsi"/>
          <w:bCs/>
          <w:spacing w:val="-3"/>
          <w:sz w:val="24"/>
          <w:szCs w:val="20"/>
        </w:rPr>
        <w:t>directed by the donor.  Investment income is allocated to each endowed fund in the pool based on its pro rata share of the pool</w:t>
      </w:r>
    </w:p>
    <w:p w14:paraId="21ECD5AF" w14:textId="77777777" w:rsidR="00694777" w:rsidRPr="006A4C58" w:rsidRDefault="00694777" w:rsidP="00694777">
      <w:pPr>
        <w:spacing w:after="160"/>
        <w:rPr>
          <w:rFonts w:eastAsiaTheme="majorEastAsia" w:cstheme="minorHAnsi"/>
          <w:b/>
          <w:i/>
          <w:iCs/>
          <w:smallCaps/>
          <w:noProof/>
          <w:color w:val="000000" w:themeColor="text1"/>
          <w:sz w:val="26"/>
          <w:szCs w:val="26"/>
          <w:u w:color="5B9BD5"/>
        </w:rPr>
      </w:pPr>
      <w:r w:rsidRPr="006A4C58">
        <w:rPr>
          <w:rFonts w:eastAsiaTheme="majorEastAsia" w:cstheme="minorHAnsi"/>
          <w:b/>
          <w:i/>
          <w:iCs/>
          <w:smallCaps/>
          <w:noProof/>
          <w:color w:val="000000" w:themeColor="text1"/>
          <w:sz w:val="26"/>
          <w:szCs w:val="26"/>
          <w:u w:color="5B9BD5"/>
        </w:rPr>
        <w:lastRenderedPageBreak/>
        <w:t>1. SIGNIFICANT ACCOUNTING POLICIES - CONTINUED</w:t>
      </w:r>
    </w:p>
    <w:p w14:paraId="332E937C" w14:textId="77777777" w:rsidR="00721CFD" w:rsidRPr="00F54559" w:rsidRDefault="00721CFD" w:rsidP="00721CFD">
      <w:pPr>
        <w:tabs>
          <w:tab w:val="left" w:pos="0"/>
        </w:tabs>
        <w:suppressAutoHyphens/>
        <w:rPr>
          <w:rFonts w:eastAsia="Times New Roman" w:cstheme="minorHAnsi"/>
          <w:color w:val="000000" w:themeColor="text1"/>
          <w:sz w:val="24"/>
        </w:rPr>
      </w:pPr>
      <w:r w:rsidRPr="00F54559">
        <w:rPr>
          <w:rFonts w:eastAsia="Times New Roman" w:cstheme="minorHAnsi"/>
          <w:bCs/>
          <w:spacing w:val="-3"/>
          <w:sz w:val="24"/>
          <w:szCs w:val="20"/>
        </w:rPr>
        <w:t xml:space="preserve">The income produced by the fund, including realized and unrealized gains, can be used to meet the spending objective.  As determined by policy, the expendable income objective </w:t>
      </w:r>
      <w:r w:rsidRPr="00270683">
        <w:rPr>
          <w:rFonts w:eastAsia="Times New Roman" w:cstheme="minorHAnsi"/>
          <w:bCs/>
          <w:spacing w:val="-3"/>
          <w:sz w:val="24"/>
          <w:szCs w:val="20"/>
        </w:rPr>
        <w:t xml:space="preserve">was </w:t>
      </w:r>
      <w:r w:rsidRPr="00190860">
        <w:rPr>
          <w:rFonts w:eastAsia="Times New Roman" w:cstheme="minorHAnsi"/>
          <w:bCs/>
          <w:spacing w:val="-3"/>
          <w:sz w:val="24"/>
          <w:szCs w:val="20"/>
        </w:rPr>
        <w:t xml:space="preserve">4.5% </w:t>
      </w:r>
      <w:r w:rsidRPr="00A801B2">
        <w:rPr>
          <w:rFonts w:eastAsia="Times New Roman" w:cstheme="minorHAnsi"/>
          <w:bCs/>
          <w:color w:val="000000" w:themeColor="text1"/>
          <w:spacing w:val="-3"/>
          <w:sz w:val="24"/>
          <w:szCs w:val="20"/>
        </w:rPr>
        <w:t>for FY2</w:t>
      </w:r>
      <w:r>
        <w:rPr>
          <w:rFonts w:eastAsia="Times New Roman" w:cstheme="minorHAnsi"/>
          <w:bCs/>
          <w:color w:val="000000" w:themeColor="text1"/>
          <w:spacing w:val="-3"/>
          <w:sz w:val="24"/>
          <w:szCs w:val="20"/>
        </w:rPr>
        <w:t>2</w:t>
      </w:r>
      <w:r w:rsidRPr="00A801B2">
        <w:rPr>
          <w:rFonts w:eastAsia="Times New Roman" w:cstheme="minorHAnsi"/>
          <w:bCs/>
          <w:color w:val="000000" w:themeColor="text1"/>
          <w:spacing w:val="-3"/>
          <w:sz w:val="24"/>
          <w:szCs w:val="20"/>
        </w:rPr>
        <w:t xml:space="preserve"> and FY</w:t>
      </w:r>
      <w:r>
        <w:rPr>
          <w:rFonts w:eastAsia="Times New Roman" w:cstheme="minorHAnsi"/>
          <w:bCs/>
          <w:color w:val="000000" w:themeColor="text1"/>
          <w:spacing w:val="-3"/>
          <w:sz w:val="24"/>
          <w:szCs w:val="20"/>
        </w:rPr>
        <w:t>21</w:t>
      </w:r>
      <w:r w:rsidRPr="00A801B2">
        <w:rPr>
          <w:rFonts w:eastAsia="Times New Roman" w:cstheme="minorHAnsi"/>
          <w:bCs/>
          <w:color w:val="000000" w:themeColor="text1"/>
          <w:spacing w:val="-3"/>
          <w:sz w:val="24"/>
          <w:szCs w:val="20"/>
        </w:rPr>
        <w:t>.</w:t>
      </w:r>
      <w:r w:rsidRPr="00F54559">
        <w:rPr>
          <w:rFonts w:eastAsia="Times New Roman" w:cstheme="minorHAnsi"/>
          <w:bCs/>
          <w:color w:val="000000" w:themeColor="text1"/>
          <w:spacing w:val="-3"/>
          <w:sz w:val="24"/>
          <w:szCs w:val="20"/>
        </w:rPr>
        <w:t xml:space="preserve">  The </w:t>
      </w:r>
      <w:r w:rsidRPr="00F54559">
        <w:rPr>
          <w:rFonts w:eastAsia="Times New Roman" w:cstheme="minorHAnsi"/>
          <w:color w:val="000000" w:themeColor="text1"/>
          <w:sz w:val="24"/>
        </w:rPr>
        <w:t>percentage was applied to a 3-year market value average to determine expendable income.</w:t>
      </w:r>
    </w:p>
    <w:p w14:paraId="1CDCB96A" w14:textId="77777777" w:rsidR="00721CFD" w:rsidRPr="00F54559" w:rsidRDefault="00721CFD" w:rsidP="00721CFD">
      <w:pPr>
        <w:tabs>
          <w:tab w:val="left" w:pos="0"/>
        </w:tabs>
        <w:suppressAutoHyphens/>
        <w:rPr>
          <w:rFonts w:eastAsia="Times New Roman" w:cstheme="minorHAnsi"/>
          <w:sz w:val="20"/>
          <w:szCs w:val="20"/>
        </w:rPr>
      </w:pPr>
    </w:p>
    <w:p w14:paraId="5AC1E847" w14:textId="77777777" w:rsidR="00721CFD" w:rsidRPr="00F54559" w:rsidRDefault="00721CFD" w:rsidP="00721CFD">
      <w:pPr>
        <w:tabs>
          <w:tab w:val="left" w:pos="0"/>
          <w:tab w:val="center" w:pos="720"/>
        </w:tabs>
        <w:suppressAutoHyphens/>
        <w:rPr>
          <w:rFonts w:eastAsia="Times New Roman" w:cstheme="minorHAnsi"/>
          <w:bCs/>
          <w:sz w:val="24"/>
          <w:szCs w:val="20"/>
        </w:rPr>
      </w:pPr>
      <w:r w:rsidRPr="00F54559">
        <w:rPr>
          <w:rFonts w:eastAsia="Times New Roman" w:cstheme="minorHAnsi"/>
          <w:bCs/>
          <w:sz w:val="24"/>
          <w:szCs w:val="20"/>
        </w:rPr>
        <w:t>Under State of Maine law, s</w:t>
      </w:r>
      <w:r w:rsidRPr="00F54559">
        <w:rPr>
          <w:rFonts w:eastAsia="Times New Roman" w:cstheme="minorHAnsi"/>
          <w:spacing w:val="-3"/>
          <w:sz w:val="24"/>
          <w:szCs w:val="20"/>
        </w:rPr>
        <w:t>ubject to the intent of a donor expressed in the gift instrument, an institution may appropriate for expenditure or accumulate so much of an endowment fund as the institution determines is prudent for the uses, benefits, purposes and duration for which the endowment fund is established. T</w:t>
      </w:r>
      <w:r w:rsidRPr="00F54559">
        <w:rPr>
          <w:rFonts w:eastAsia="Times New Roman" w:cstheme="minorHAnsi"/>
          <w:bCs/>
          <w:sz w:val="24"/>
          <w:szCs w:val="20"/>
        </w:rPr>
        <w:t>he System’s policy is to spend endowment appreciation to the extent of the approved annual spending rate while not invading corpus.  The return (loss) net of the amount used for operations is presented as Other Changes in Net Position in the Statements of Revenues, Expenses and Changes in Net Position.</w:t>
      </w:r>
    </w:p>
    <w:p w14:paraId="5BF8E4A7" w14:textId="77777777" w:rsidR="00721CFD" w:rsidRPr="00F54559" w:rsidRDefault="00721CFD" w:rsidP="00721CFD">
      <w:pPr>
        <w:tabs>
          <w:tab w:val="left" w:pos="0"/>
          <w:tab w:val="center" w:pos="720"/>
        </w:tabs>
        <w:suppressAutoHyphens/>
        <w:rPr>
          <w:rFonts w:eastAsia="Times New Roman" w:cstheme="minorHAnsi"/>
          <w:bCs/>
          <w:sz w:val="20"/>
          <w:szCs w:val="20"/>
        </w:rPr>
      </w:pPr>
    </w:p>
    <w:p w14:paraId="7668B3FB" w14:textId="77777777" w:rsidR="00721CFD" w:rsidRPr="00F54559" w:rsidRDefault="00721CFD" w:rsidP="00721CFD">
      <w:pPr>
        <w:tabs>
          <w:tab w:val="left" w:pos="0"/>
          <w:tab w:val="center" w:pos="720"/>
          <w:tab w:val="left" w:pos="1710"/>
        </w:tabs>
        <w:suppressAutoHyphens/>
        <w:spacing w:after="160"/>
        <w:rPr>
          <w:rFonts w:eastAsia="Times New Roman" w:cstheme="minorHAnsi"/>
          <w:bCs/>
          <w:spacing w:val="-3"/>
          <w:sz w:val="24"/>
          <w:szCs w:val="20"/>
        </w:rPr>
      </w:pPr>
      <w:r w:rsidRPr="00F54559">
        <w:rPr>
          <w:rFonts w:eastAsia="Times New Roman" w:cstheme="minorHAnsi"/>
          <w:b/>
          <w:color w:val="000000" w:themeColor="text1"/>
          <w:spacing w:val="-3"/>
          <w:sz w:val="24"/>
          <w:szCs w:val="20"/>
        </w:rPr>
        <w:t xml:space="preserve">Authorized Investment Vehicles - Operating Investments: </w:t>
      </w:r>
      <w:r w:rsidRPr="00F54559">
        <w:rPr>
          <w:rFonts w:eastAsia="Times New Roman" w:cstheme="minorHAnsi"/>
          <w:b/>
          <w:spacing w:val="-3"/>
          <w:sz w:val="24"/>
          <w:szCs w:val="20"/>
        </w:rPr>
        <w:t xml:space="preserve"> </w:t>
      </w:r>
      <w:r w:rsidRPr="00F54559">
        <w:rPr>
          <w:rFonts w:eastAsia="Times New Roman" w:cstheme="minorHAnsi"/>
          <w:bCs/>
          <w:spacing w:val="-3"/>
          <w:sz w:val="24"/>
          <w:szCs w:val="20"/>
        </w:rPr>
        <w:t>The System has a three-tiered approach regarding its operating investments:</w:t>
      </w:r>
    </w:p>
    <w:p w14:paraId="29CD91CE" w14:textId="77777777" w:rsidR="00721CFD" w:rsidRPr="00F54559" w:rsidRDefault="00721CFD" w:rsidP="00721CFD">
      <w:pPr>
        <w:numPr>
          <w:ilvl w:val="0"/>
          <w:numId w:val="4"/>
        </w:numPr>
        <w:tabs>
          <w:tab w:val="left" w:pos="0"/>
        </w:tabs>
        <w:suppressAutoHyphens/>
        <w:spacing w:after="160"/>
        <w:rPr>
          <w:rFonts w:eastAsia="Times New Roman" w:cstheme="minorHAnsi"/>
          <w:bCs/>
          <w:spacing w:val="-3"/>
          <w:sz w:val="24"/>
          <w:szCs w:val="20"/>
        </w:rPr>
      </w:pPr>
      <w:r w:rsidRPr="00C77851">
        <w:rPr>
          <w:rFonts w:eastAsia="Times New Roman" w:cstheme="minorHAnsi"/>
          <w:b/>
          <w:bCs/>
          <w:spacing w:val="-3"/>
          <w:sz w:val="24"/>
          <w:szCs w:val="20"/>
        </w:rPr>
        <w:t>Liquidity Pool</w:t>
      </w:r>
      <w:r w:rsidRPr="00F54559">
        <w:rPr>
          <w:rFonts w:eastAsia="Times New Roman" w:cstheme="minorHAnsi"/>
          <w:bCs/>
          <w:spacing w:val="-3"/>
          <w:sz w:val="24"/>
          <w:szCs w:val="20"/>
        </w:rPr>
        <w:t xml:space="preserve"> – The purpose of this pool is to meet the day-to-day obligations of the System. It consists of funds that are invested in a portfolio of highest quality short-term fixed-income securities (e.g., Treasury obligations, agency securities, repurchase agreements, money market funds, commercial paper, and/or short-term bond mutual funds) with adequate liquidity.  The average quality of the pool will be rated at least “A-1” by Standard and Poor’s (or equivalent).</w:t>
      </w:r>
    </w:p>
    <w:p w14:paraId="2D908124" w14:textId="75FD02E4" w:rsidR="00721CFD" w:rsidRPr="00F54559" w:rsidRDefault="00721CFD" w:rsidP="005B26A1">
      <w:pPr>
        <w:numPr>
          <w:ilvl w:val="0"/>
          <w:numId w:val="4"/>
        </w:numPr>
        <w:tabs>
          <w:tab w:val="left" w:pos="0"/>
        </w:tabs>
        <w:suppressAutoHyphens/>
        <w:spacing w:after="160"/>
        <w:rPr>
          <w:rFonts w:eastAsia="Times New Roman" w:cstheme="minorHAnsi"/>
          <w:bCs/>
          <w:spacing w:val="-3"/>
          <w:sz w:val="24"/>
          <w:szCs w:val="20"/>
        </w:rPr>
      </w:pPr>
      <w:r w:rsidRPr="00C77851">
        <w:rPr>
          <w:rFonts w:eastAsia="Times New Roman" w:cstheme="minorHAnsi"/>
          <w:b/>
          <w:bCs/>
          <w:spacing w:val="-3"/>
          <w:sz w:val="24"/>
          <w:szCs w:val="20"/>
        </w:rPr>
        <w:t>Income Pool</w:t>
      </w:r>
      <w:r w:rsidRPr="00F54559">
        <w:rPr>
          <w:rFonts w:eastAsia="Times New Roman" w:cstheme="minorHAnsi"/>
          <w:bCs/>
          <w:spacing w:val="-3"/>
          <w:sz w:val="24"/>
          <w:szCs w:val="20"/>
        </w:rPr>
        <w:t xml:space="preserve"> – The purpose of this pool is to provide sufficient income to meet budgetary goals and provide additional diversification to minimize downside risk. This pool invests in a diversified portfolio which may include items such as, but not limited to, fixed income securities, Federal Deposit Insurance Corporation insured or adequately collateralized certificates of deposit (CDs), or unconstrained, short or intermediate term bond funds with a normal average duration of </w:t>
      </w:r>
      <w:r w:rsidRPr="007A78F5">
        <w:rPr>
          <w:rFonts w:eastAsia="Times New Roman" w:cstheme="minorHAnsi"/>
          <w:bCs/>
          <w:spacing w:val="-3"/>
          <w:sz w:val="24"/>
          <w:szCs w:val="20"/>
        </w:rPr>
        <w:t xml:space="preserve">-2 to 7 </w:t>
      </w:r>
      <w:r w:rsidRPr="00F54559">
        <w:rPr>
          <w:rFonts w:eastAsia="Times New Roman" w:cstheme="minorHAnsi"/>
          <w:bCs/>
          <w:spacing w:val="-3"/>
          <w:sz w:val="24"/>
          <w:szCs w:val="20"/>
        </w:rPr>
        <w:t>years. The pool may invest in funds rated from BB to AAA quality. The overall average quality rating of this pool will be at least “A-” by Standard and Poor’s (or equivalent).</w:t>
      </w:r>
    </w:p>
    <w:p w14:paraId="1BB70537" w14:textId="49850AF5" w:rsidR="00721CFD" w:rsidRPr="00A50BD2" w:rsidRDefault="00721CFD" w:rsidP="005B26A1">
      <w:pPr>
        <w:numPr>
          <w:ilvl w:val="0"/>
          <w:numId w:val="4"/>
        </w:numPr>
        <w:tabs>
          <w:tab w:val="left" w:pos="0"/>
          <w:tab w:val="left" w:pos="1440"/>
          <w:tab w:val="left" w:pos="1710"/>
        </w:tabs>
        <w:suppressAutoHyphens/>
        <w:spacing w:after="160"/>
        <w:rPr>
          <w:rFonts w:eastAsia="Times New Roman" w:cstheme="minorHAnsi"/>
          <w:spacing w:val="-3"/>
          <w:sz w:val="16"/>
          <w:szCs w:val="20"/>
        </w:rPr>
      </w:pPr>
      <w:r w:rsidRPr="00A50BD2">
        <w:rPr>
          <w:rFonts w:eastAsia="Times New Roman" w:cstheme="minorHAnsi"/>
          <w:b/>
          <w:bCs/>
          <w:spacing w:val="-3"/>
          <w:sz w:val="24"/>
          <w:szCs w:val="20"/>
        </w:rPr>
        <w:t>Total Return Pool</w:t>
      </w:r>
      <w:r w:rsidRPr="00A50BD2">
        <w:rPr>
          <w:rFonts w:eastAsia="Times New Roman" w:cstheme="minorHAnsi"/>
          <w:bCs/>
          <w:spacing w:val="-3"/>
          <w:sz w:val="24"/>
          <w:szCs w:val="20"/>
        </w:rPr>
        <w:t xml:space="preserve"> – This pool is expected to add diversification and growth to the portfolio and may invest in diversified assets made up of, but not limited to, equities, hedge funds, and global asset allocation mandates.</w:t>
      </w:r>
    </w:p>
    <w:p w14:paraId="1F7E43AD" w14:textId="3E7CA842" w:rsidR="005D6B29" w:rsidRDefault="00721CFD">
      <w:pPr>
        <w:spacing w:after="160" w:line="259" w:lineRule="auto"/>
        <w:rPr>
          <w:rFonts w:eastAsiaTheme="majorEastAsia" w:cstheme="minorHAnsi"/>
          <w:b/>
          <w:i/>
          <w:iCs/>
          <w:smallCaps/>
          <w:noProof/>
          <w:color w:val="000000" w:themeColor="text1"/>
          <w:sz w:val="26"/>
          <w:szCs w:val="26"/>
          <w:u w:color="5B9BD5"/>
        </w:rPr>
      </w:pPr>
      <w:r w:rsidRPr="00F54559">
        <w:rPr>
          <w:rFonts w:eastAsia="Times New Roman" w:cstheme="minorHAnsi"/>
          <w:b/>
          <w:spacing w:val="-3"/>
          <w:sz w:val="24"/>
          <w:szCs w:val="20"/>
        </w:rPr>
        <w:t>Authorized Investment Vehicles - Endowment Investments:</w:t>
      </w:r>
      <w:r w:rsidRPr="00F54559">
        <w:rPr>
          <w:rFonts w:eastAsia="Times New Roman" w:cstheme="minorHAnsi"/>
          <w:bCs/>
          <w:spacing w:val="-3"/>
          <w:sz w:val="24"/>
          <w:szCs w:val="20"/>
        </w:rPr>
        <w:t xml:space="preserve">  The fund is diversified both by asset class and within asset classes.  To have a reasonable probability of consistently achieving the </w:t>
      </w:r>
      <w:r w:rsidR="002C201C">
        <w:rPr>
          <w:rFonts w:eastAsia="Times New Roman" w:cstheme="minorHAnsi"/>
          <w:bCs/>
          <w:spacing w:val="-3"/>
          <w:sz w:val="24"/>
          <w:szCs w:val="20"/>
        </w:rPr>
        <w:t>Fund’s return objectives, the following asset allocation policy ranges were applicable as of June 30, 2022 and 2021.</w:t>
      </w:r>
      <w:r w:rsidR="005D6B29">
        <w:rPr>
          <w:rFonts w:eastAsiaTheme="majorEastAsia" w:cstheme="minorHAnsi"/>
          <w:b/>
          <w:i/>
          <w:iCs/>
          <w:smallCaps/>
          <w:noProof/>
          <w:color w:val="000000" w:themeColor="text1"/>
          <w:sz w:val="26"/>
          <w:szCs w:val="26"/>
          <w:u w:color="5B9BD5"/>
        </w:rPr>
        <w:br w:type="page"/>
      </w:r>
    </w:p>
    <w:p w14:paraId="2E33A284" w14:textId="36C94327" w:rsidR="00721CFD" w:rsidRPr="00F54559" w:rsidRDefault="00485434" w:rsidP="007840A5">
      <w:pPr>
        <w:spacing w:after="160"/>
        <w:rPr>
          <w:rFonts w:eastAsia="Times New Roman" w:cstheme="minorHAnsi"/>
          <w:bCs/>
          <w:spacing w:val="-3"/>
          <w:sz w:val="24"/>
          <w:szCs w:val="20"/>
        </w:rPr>
      </w:pPr>
      <w:r w:rsidRPr="006A4C58">
        <w:rPr>
          <w:rFonts w:eastAsiaTheme="majorEastAsia" w:cstheme="minorHAnsi"/>
          <w:b/>
          <w:i/>
          <w:iCs/>
          <w:smallCaps/>
          <w:noProof/>
          <w:color w:val="000000" w:themeColor="text1"/>
          <w:sz w:val="26"/>
          <w:szCs w:val="26"/>
          <w:u w:color="5B9BD5"/>
        </w:rPr>
        <w:lastRenderedPageBreak/>
        <w:t>1. SIGNIFICANT ACCOUNTING POLICIES - CONTINUED</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hows the System's asset allocation policy ranges applicable at June 30, 2018 and 2019.  Equity securities increased from 35-55% in FY18 to 45-65% in FY19; Fixed income securities increased from 13-29% in FY18 to 15-35% in FY19, other decreased from 24-44% in FY18 to 10-30% in FY19; cash remained at 0-10%."/>
      </w:tblPr>
      <w:tblGrid>
        <w:gridCol w:w="3060"/>
        <w:gridCol w:w="1190"/>
        <w:gridCol w:w="1170"/>
      </w:tblGrid>
      <w:tr w:rsidR="00721CFD" w:rsidRPr="00A454B4" w14:paraId="3EEB4365" w14:textId="77777777" w:rsidTr="007B5BB3">
        <w:trPr>
          <w:trHeight w:val="234"/>
          <w:tblHeader/>
          <w:jc w:val="center"/>
        </w:trPr>
        <w:tc>
          <w:tcPr>
            <w:tcW w:w="3060" w:type="dxa"/>
          </w:tcPr>
          <w:p w14:paraId="0DEE71C1" w14:textId="77777777" w:rsidR="00721CFD" w:rsidRPr="00F54559" w:rsidRDefault="00721CFD" w:rsidP="007B5BB3">
            <w:pPr>
              <w:pStyle w:val="Heading4"/>
              <w:pBdr>
                <w:bottom w:val="none" w:sz="0" w:space="0" w:color="auto"/>
              </w:pBdr>
              <w:spacing w:after="0"/>
              <w:outlineLvl w:val="3"/>
              <w:rPr>
                <w:rFonts w:cstheme="minorHAnsi"/>
                <w:i w:val="0"/>
                <w:sz w:val="24"/>
              </w:rPr>
            </w:pPr>
            <w:r>
              <w:rPr>
                <w:rFonts w:cstheme="minorHAnsi"/>
                <w:i w:val="0"/>
                <w:sz w:val="24"/>
              </w:rPr>
              <w:t xml:space="preserve"> </w:t>
            </w:r>
          </w:p>
        </w:tc>
        <w:tc>
          <w:tcPr>
            <w:tcW w:w="1190" w:type="dxa"/>
            <w:shd w:val="clear" w:color="auto" w:fill="auto"/>
          </w:tcPr>
          <w:p w14:paraId="0F8EBDC0" w14:textId="77777777" w:rsidR="00721CFD" w:rsidRPr="001A18A6" w:rsidRDefault="00721CFD" w:rsidP="007B5BB3">
            <w:pPr>
              <w:pStyle w:val="Heading4"/>
              <w:pBdr>
                <w:bottom w:val="none" w:sz="0" w:space="0" w:color="auto"/>
              </w:pBdr>
              <w:spacing w:after="0"/>
              <w:jc w:val="center"/>
              <w:outlineLvl w:val="3"/>
              <w:rPr>
                <w:rFonts w:cstheme="minorHAnsi"/>
                <w:b/>
                <w:i w:val="0"/>
                <w:sz w:val="24"/>
              </w:rPr>
            </w:pPr>
            <w:r>
              <w:rPr>
                <w:rFonts w:cstheme="minorHAnsi"/>
                <w:b/>
                <w:i w:val="0"/>
                <w:sz w:val="24"/>
              </w:rPr>
              <w:t>2022</w:t>
            </w:r>
          </w:p>
        </w:tc>
        <w:tc>
          <w:tcPr>
            <w:tcW w:w="1170" w:type="dxa"/>
          </w:tcPr>
          <w:p w14:paraId="721230E9" w14:textId="77777777" w:rsidR="00721CFD" w:rsidRPr="001A18A6" w:rsidDel="001F34D3" w:rsidRDefault="00721CFD" w:rsidP="007B5BB3">
            <w:pPr>
              <w:pStyle w:val="Heading4"/>
              <w:pBdr>
                <w:bottom w:val="none" w:sz="0" w:space="0" w:color="auto"/>
              </w:pBdr>
              <w:spacing w:after="0"/>
              <w:jc w:val="center"/>
              <w:outlineLvl w:val="3"/>
              <w:rPr>
                <w:rFonts w:cstheme="minorHAnsi"/>
                <w:b/>
                <w:i w:val="0"/>
                <w:sz w:val="24"/>
              </w:rPr>
            </w:pPr>
            <w:r>
              <w:rPr>
                <w:rFonts w:cstheme="minorHAnsi"/>
                <w:b/>
                <w:i w:val="0"/>
                <w:sz w:val="24"/>
              </w:rPr>
              <w:t>2021</w:t>
            </w:r>
          </w:p>
        </w:tc>
      </w:tr>
      <w:tr w:rsidR="00721CFD" w:rsidRPr="00A454B4" w14:paraId="3B9816C5" w14:textId="77777777" w:rsidTr="007B5BB3">
        <w:trPr>
          <w:jc w:val="center"/>
        </w:trPr>
        <w:tc>
          <w:tcPr>
            <w:tcW w:w="3060" w:type="dxa"/>
          </w:tcPr>
          <w:p w14:paraId="62855122" w14:textId="77777777" w:rsidR="00721CFD" w:rsidRPr="00F54559" w:rsidRDefault="00721CFD" w:rsidP="007B5BB3">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Equity securities</w:t>
            </w:r>
          </w:p>
        </w:tc>
        <w:tc>
          <w:tcPr>
            <w:tcW w:w="1190" w:type="dxa"/>
            <w:shd w:val="clear" w:color="auto" w:fill="auto"/>
          </w:tcPr>
          <w:p w14:paraId="2F865E38" w14:textId="77777777" w:rsidR="00721CFD" w:rsidRPr="0049783D" w:rsidRDefault="00721CFD" w:rsidP="007B5BB3">
            <w:pPr>
              <w:tabs>
                <w:tab w:val="left" w:pos="0"/>
                <w:tab w:val="left" w:pos="1440"/>
                <w:tab w:val="left" w:pos="1710"/>
              </w:tabs>
              <w:suppressAutoHyphens/>
              <w:jc w:val="right"/>
              <w:rPr>
                <w:rFonts w:eastAsia="Times New Roman" w:cstheme="minorHAnsi"/>
                <w:bCs/>
                <w:spacing w:val="-3"/>
                <w:sz w:val="24"/>
                <w:szCs w:val="20"/>
              </w:rPr>
            </w:pPr>
            <w:r w:rsidRPr="0049783D">
              <w:rPr>
                <w:rFonts w:eastAsia="Times New Roman" w:cstheme="minorHAnsi"/>
                <w:bCs/>
                <w:spacing w:val="-3"/>
                <w:sz w:val="24"/>
                <w:szCs w:val="20"/>
              </w:rPr>
              <w:t>49-69%</w:t>
            </w:r>
          </w:p>
        </w:tc>
        <w:tc>
          <w:tcPr>
            <w:tcW w:w="1170" w:type="dxa"/>
          </w:tcPr>
          <w:p w14:paraId="50D94E27" w14:textId="77777777" w:rsidR="00721CFD" w:rsidDel="001F34D3" w:rsidRDefault="00721CFD" w:rsidP="007B5BB3">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49-69%</w:t>
            </w:r>
          </w:p>
        </w:tc>
      </w:tr>
      <w:tr w:rsidR="00721CFD" w:rsidRPr="00A454B4" w14:paraId="3DB16206" w14:textId="77777777" w:rsidTr="007B5BB3">
        <w:trPr>
          <w:jc w:val="center"/>
        </w:trPr>
        <w:tc>
          <w:tcPr>
            <w:tcW w:w="3060" w:type="dxa"/>
          </w:tcPr>
          <w:p w14:paraId="54AE4CEC" w14:textId="77777777" w:rsidR="00721CFD" w:rsidRPr="00F54559" w:rsidRDefault="00721CFD" w:rsidP="007B5BB3">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Fixed income securities</w:t>
            </w:r>
          </w:p>
        </w:tc>
        <w:tc>
          <w:tcPr>
            <w:tcW w:w="1190" w:type="dxa"/>
            <w:shd w:val="clear" w:color="auto" w:fill="auto"/>
          </w:tcPr>
          <w:p w14:paraId="3DC9CCE8" w14:textId="77777777" w:rsidR="00721CFD" w:rsidRPr="0049783D" w:rsidRDefault="00721CFD" w:rsidP="007B5BB3">
            <w:pPr>
              <w:tabs>
                <w:tab w:val="left" w:pos="0"/>
                <w:tab w:val="left" w:pos="1440"/>
                <w:tab w:val="left" w:pos="1710"/>
              </w:tabs>
              <w:suppressAutoHyphens/>
              <w:jc w:val="right"/>
              <w:rPr>
                <w:rFonts w:eastAsia="Times New Roman" w:cstheme="minorHAnsi"/>
                <w:bCs/>
                <w:spacing w:val="-3"/>
                <w:sz w:val="24"/>
                <w:szCs w:val="20"/>
              </w:rPr>
            </w:pPr>
            <w:r w:rsidRPr="0049783D">
              <w:rPr>
                <w:rFonts w:eastAsia="Times New Roman" w:cstheme="minorHAnsi"/>
                <w:bCs/>
                <w:spacing w:val="-3"/>
                <w:sz w:val="24"/>
                <w:szCs w:val="20"/>
              </w:rPr>
              <w:t>16-36%</w:t>
            </w:r>
          </w:p>
        </w:tc>
        <w:tc>
          <w:tcPr>
            <w:tcW w:w="1170" w:type="dxa"/>
          </w:tcPr>
          <w:p w14:paraId="01C6AB97" w14:textId="77777777" w:rsidR="00721CFD" w:rsidDel="001F34D3" w:rsidRDefault="00721CFD" w:rsidP="007B5BB3">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16-36%</w:t>
            </w:r>
          </w:p>
        </w:tc>
      </w:tr>
      <w:tr w:rsidR="00721CFD" w:rsidRPr="00A454B4" w14:paraId="3409504A" w14:textId="77777777" w:rsidTr="007B5BB3">
        <w:trPr>
          <w:jc w:val="center"/>
        </w:trPr>
        <w:tc>
          <w:tcPr>
            <w:tcW w:w="3060" w:type="dxa"/>
          </w:tcPr>
          <w:p w14:paraId="590A536D" w14:textId="77777777" w:rsidR="00721CFD" w:rsidRPr="00F54559" w:rsidRDefault="00721CFD" w:rsidP="007B5BB3">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Other</w:t>
            </w:r>
          </w:p>
        </w:tc>
        <w:tc>
          <w:tcPr>
            <w:tcW w:w="1190" w:type="dxa"/>
            <w:shd w:val="clear" w:color="auto" w:fill="auto"/>
          </w:tcPr>
          <w:p w14:paraId="7C2F65DE" w14:textId="77777777" w:rsidR="00721CFD" w:rsidRPr="0049783D" w:rsidRDefault="00721CFD" w:rsidP="007B5BB3">
            <w:pPr>
              <w:tabs>
                <w:tab w:val="left" w:pos="0"/>
                <w:tab w:val="left" w:pos="1440"/>
                <w:tab w:val="left" w:pos="1710"/>
              </w:tabs>
              <w:suppressAutoHyphens/>
              <w:jc w:val="right"/>
              <w:rPr>
                <w:rFonts w:eastAsia="Times New Roman" w:cstheme="minorHAnsi"/>
                <w:bCs/>
                <w:spacing w:val="-3"/>
                <w:sz w:val="24"/>
                <w:szCs w:val="20"/>
              </w:rPr>
            </w:pPr>
            <w:r w:rsidRPr="0049783D">
              <w:rPr>
                <w:rFonts w:eastAsia="Times New Roman" w:cstheme="minorHAnsi"/>
                <w:bCs/>
                <w:spacing w:val="-3"/>
                <w:sz w:val="24"/>
                <w:szCs w:val="20"/>
              </w:rPr>
              <w:t>5-25%</w:t>
            </w:r>
          </w:p>
        </w:tc>
        <w:tc>
          <w:tcPr>
            <w:tcW w:w="1170" w:type="dxa"/>
          </w:tcPr>
          <w:p w14:paraId="4163FDB8" w14:textId="77777777" w:rsidR="00721CFD" w:rsidDel="001F34D3" w:rsidRDefault="00721CFD" w:rsidP="007B5BB3">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5-25%</w:t>
            </w:r>
          </w:p>
        </w:tc>
      </w:tr>
      <w:tr w:rsidR="00721CFD" w:rsidRPr="00A454B4" w14:paraId="75901900" w14:textId="77777777" w:rsidTr="007B5BB3">
        <w:trPr>
          <w:jc w:val="center"/>
        </w:trPr>
        <w:tc>
          <w:tcPr>
            <w:tcW w:w="3060" w:type="dxa"/>
          </w:tcPr>
          <w:p w14:paraId="6459F58E" w14:textId="77777777" w:rsidR="00721CFD" w:rsidRPr="00F54559" w:rsidRDefault="00721CFD" w:rsidP="007B5BB3">
            <w:pPr>
              <w:tabs>
                <w:tab w:val="left" w:pos="0"/>
                <w:tab w:val="left" w:pos="1440"/>
                <w:tab w:val="left" w:pos="1710"/>
              </w:tabs>
              <w:suppressAutoHyphens/>
              <w:rPr>
                <w:rFonts w:eastAsia="Times New Roman" w:cstheme="minorHAnsi"/>
                <w:bCs/>
                <w:spacing w:val="-3"/>
                <w:sz w:val="24"/>
                <w:szCs w:val="20"/>
              </w:rPr>
            </w:pPr>
            <w:r w:rsidRPr="00F54559">
              <w:rPr>
                <w:rFonts w:eastAsia="Times New Roman" w:cstheme="minorHAnsi"/>
                <w:bCs/>
                <w:spacing w:val="-3"/>
                <w:sz w:val="24"/>
                <w:szCs w:val="20"/>
              </w:rPr>
              <w:t>Cash</w:t>
            </w:r>
          </w:p>
        </w:tc>
        <w:tc>
          <w:tcPr>
            <w:tcW w:w="1190" w:type="dxa"/>
            <w:shd w:val="clear" w:color="auto" w:fill="auto"/>
          </w:tcPr>
          <w:p w14:paraId="6A2E3E25" w14:textId="77777777" w:rsidR="00721CFD" w:rsidRPr="0049783D" w:rsidRDefault="00721CFD" w:rsidP="007B5BB3">
            <w:pPr>
              <w:tabs>
                <w:tab w:val="left" w:pos="0"/>
                <w:tab w:val="left" w:pos="1440"/>
                <w:tab w:val="left" w:pos="1710"/>
              </w:tabs>
              <w:suppressAutoHyphens/>
              <w:jc w:val="right"/>
              <w:rPr>
                <w:rFonts w:eastAsia="Times New Roman" w:cstheme="minorHAnsi"/>
                <w:bCs/>
                <w:spacing w:val="-3"/>
                <w:sz w:val="24"/>
                <w:szCs w:val="20"/>
              </w:rPr>
            </w:pPr>
            <w:r w:rsidRPr="0049783D">
              <w:rPr>
                <w:rFonts w:eastAsia="Times New Roman" w:cstheme="minorHAnsi"/>
                <w:bCs/>
                <w:spacing w:val="-3"/>
                <w:sz w:val="24"/>
                <w:szCs w:val="20"/>
              </w:rPr>
              <w:t>0-10%</w:t>
            </w:r>
          </w:p>
        </w:tc>
        <w:tc>
          <w:tcPr>
            <w:tcW w:w="1170" w:type="dxa"/>
          </w:tcPr>
          <w:p w14:paraId="0B13116C" w14:textId="77777777" w:rsidR="00721CFD" w:rsidRPr="00F54559" w:rsidDel="001F34D3" w:rsidRDefault="00721CFD" w:rsidP="007B5BB3">
            <w:pPr>
              <w:tabs>
                <w:tab w:val="left" w:pos="0"/>
                <w:tab w:val="left" w:pos="1440"/>
                <w:tab w:val="left" w:pos="1710"/>
              </w:tabs>
              <w:suppressAutoHyphens/>
              <w:jc w:val="right"/>
              <w:rPr>
                <w:rFonts w:eastAsia="Times New Roman" w:cstheme="minorHAnsi"/>
                <w:bCs/>
                <w:spacing w:val="-3"/>
                <w:sz w:val="24"/>
                <w:szCs w:val="20"/>
              </w:rPr>
            </w:pPr>
            <w:r w:rsidRPr="006A130B">
              <w:rPr>
                <w:rFonts w:eastAsia="Times New Roman" w:cstheme="minorHAnsi"/>
                <w:bCs/>
                <w:spacing w:val="-3"/>
                <w:sz w:val="24"/>
                <w:szCs w:val="20"/>
              </w:rPr>
              <w:t>0-10%</w:t>
            </w:r>
          </w:p>
        </w:tc>
      </w:tr>
    </w:tbl>
    <w:p w14:paraId="341BFAC1" w14:textId="77777777" w:rsidR="00721CFD" w:rsidRPr="00F54559" w:rsidRDefault="00721CFD" w:rsidP="00721CFD">
      <w:pPr>
        <w:tabs>
          <w:tab w:val="left" w:pos="0"/>
          <w:tab w:val="left" w:pos="1440"/>
          <w:tab w:val="left" w:pos="1710"/>
        </w:tabs>
        <w:suppressAutoHyphens/>
        <w:rPr>
          <w:rFonts w:eastAsia="Times New Roman" w:cstheme="minorHAnsi"/>
          <w:bCs/>
          <w:spacing w:val="-3"/>
          <w:sz w:val="16"/>
          <w:szCs w:val="20"/>
          <w:highlight w:val="yellow"/>
        </w:rPr>
      </w:pPr>
    </w:p>
    <w:p w14:paraId="306F8B5E" w14:textId="77777777" w:rsidR="00721CFD" w:rsidRPr="00F54559" w:rsidRDefault="00721CFD" w:rsidP="00721CFD">
      <w:pPr>
        <w:tabs>
          <w:tab w:val="left" w:pos="0"/>
          <w:tab w:val="center" w:pos="720"/>
          <w:tab w:val="left" w:pos="1800"/>
        </w:tabs>
        <w:suppressAutoHyphens/>
        <w:rPr>
          <w:rFonts w:eastAsia="Times New Roman" w:cstheme="minorHAnsi"/>
          <w:bCs/>
          <w:spacing w:val="-3"/>
          <w:sz w:val="24"/>
          <w:szCs w:val="20"/>
        </w:rPr>
      </w:pPr>
      <w:r w:rsidRPr="00F54559">
        <w:rPr>
          <w:rFonts w:eastAsia="Times New Roman" w:cstheme="minorHAnsi"/>
          <w:b/>
          <w:spacing w:val="-3"/>
          <w:sz w:val="24"/>
          <w:szCs w:val="20"/>
        </w:rPr>
        <w:t>Authorized Investment Vehicles - Deposits with Bond Trustees</w:t>
      </w:r>
      <w:r w:rsidRPr="00F54559">
        <w:rPr>
          <w:rFonts w:eastAsia="Times New Roman" w:cstheme="minorHAnsi"/>
          <w:bCs/>
          <w:spacing w:val="-3"/>
          <w:sz w:val="24"/>
          <w:szCs w:val="20"/>
        </w:rPr>
        <w:t>:  These monies are invested in accordance with the governing bond resolutions and arbitrage certificates.</w:t>
      </w:r>
    </w:p>
    <w:p w14:paraId="4242530A" w14:textId="77777777" w:rsidR="00721CFD" w:rsidRPr="00F54559" w:rsidRDefault="00721CFD" w:rsidP="00721CFD">
      <w:pPr>
        <w:pStyle w:val="AFR3"/>
        <w:rPr>
          <w:rFonts w:cstheme="minorHAnsi"/>
        </w:rPr>
      </w:pPr>
      <w:r>
        <w:rPr>
          <w:rFonts w:cstheme="minorHAnsi"/>
        </w:rPr>
        <w:t>g</w:t>
      </w:r>
      <w:r w:rsidRPr="00F54559">
        <w:rPr>
          <w:rFonts w:cstheme="minorHAnsi"/>
        </w:rPr>
        <w:t>. Gifts and Pledges</w:t>
      </w:r>
    </w:p>
    <w:p w14:paraId="057881D3" w14:textId="77777777" w:rsidR="00721CFD" w:rsidRPr="00F54559" w:rsidRDefault="00721CFD" w:rsidP="00721CFD">
      <w:pPr>
        <w:tabs>
          <w:tab w:val="left" w:pos="720"/>
          <w:tab w:val="left" w:pos="1080"/>
          <w:tab w:val="left" w:pos="5040"/>
        </w:tabs>
        <w:suppressAutoHyphens/>
        <w:rPr>
          <w:rFonts w:cstheme="minorHAnsi"/>
          <w:spacing w:val="-3"/>
          <w:sz w:val="24"/>
        </w:rPr>
      </w:pPr>
      <w:r w:rsidRPr="00F54559">
        <w:rPr>
          <w:rFonts w:cstheme="minorHAnsi"/>
          <w:spacing w:val="-3"/>
          <w:sz w:val="24"/>
        </w:rPr>
        <w:t>Gifts are recorded at their fair value at the date of gift.  Promises to donate to the System are recorded as receivables and revenues when the System has met all applicable eligibility and time requirements. Gifts and bequests to be used for endowment purposes are categorized as endowment gifts. Other gifts are categorized as currently expendable. Pledges receivable are reported net of amounts deemed uncollectible and after discounting to the present value of the expected future cash flows. Since the System cannot fulfill the time requirement for gifts to endowments until the gift is received, pledges to endowments are not reported. Because of uncertainties with regard to their realizability and valuation, bequests and intentions to give and other conditional promises are not recognized as assets until the specified conditions are met.</w:t>
      </w:r>
    </w:p>
    <w:p w14:paraId="7B19314C" w14:textId="77777777" w:rsidR="00721CFD" w:rsidRPr="00F54559" w:rsidRDefault="00721CFD" w:rsidP="00721CFD">
      <w:pPr>
        <w:pStyle w:val="AFR3"/>
        <w:rPr>
          <w:rFonts w:cstheme="minorHAnsi"/>
        </w:rPr>
      </w:pPr>
      <w:r>
        <w:rPr>
          <w:rFonts w:cstheme="minorHAnsi"/>
        </w:rPr>
        <w:t>h</w:t>
      </w:r>
      <w:r w:rsidRPr="00F54559">
        <w:rPr>
          <w:rFonts w:cstheme="minorHAnsi"/>
        </w:rPr>
        <w:t>. Grants and Contracts and Capital Appropriations</w:t>
      </w:r>
    </w:p>
    <w:p w14:paraId="60FEE9B0" w14:textId="0F5C5303" w:rsidR="005B6CCB" w:rsidRDefault="00721CFD" w:rsidP="005B26A1">
      <w:pPr>
        <w:tabs>
          <w:tab w:val="left" w:pos="720"/>
          <w:tab w:val="left" w:pos="1080"/>
          <w:tab w:val="left" w:pos="5040"/>
        </w:tabs>
        <w:suppressAutoHyphens/>
        <w:rPr>
          <w:rFonts w:ascii="Times New Roman" w:eastAsia="Times New Roman" w:hAnsi="Times New Roman" w:cstheme="minorHAnsi"/>
          <w:sz w:val="24"/>
          <w:szCs w:val="24"/>
        </w:rPr>
      </w:pPr>
      <w:r w:rsidRPr="00F54559">
        <w:rPr>
          <w:rFonts w:cstheme="minorHAnsi"/>
          <w:spacing w:val="-3"/>
          <w:sz w:val="24"/>
        </w:rPr>
        <w:t>The System records a receivable and corresponding revenue for grants and contracts and capital appropriations at the point all eligibility requirements (e.g., allowable costs are incurred) are met.</w:t>
      </w:r>
    </w:p>
    <w:p w14:paraId="7298B70B" w14:textId="77777777" w:rsidR="00721CFD" w:rsidRPr="00F54559" w:rsidRDefault="00721CFD" w:rsidP="00721CFD">
      <w:pPr>
        <w:pStyle w:val="AFR3"/>
        <w:rPr>
          <w:rFonts w:cstheme="minorHAnsi"/>
        </w:rPr>
      </w:pPr>
      <w:r>
        <w:rPr>
          <w:rFonts w:cstheme="minorHAnsi"/>
        </w:rPr>
        <w:t>i</w:t>
      </w:r>
      <w:r w:rsidRPr="00F54559">
        <w:rPr>
          <w:rFonts w:cstheme="minorHAnsi"/>
        </w:rPr>
        <w:t>. Inventories</w:t>
      </w:r>
    </w:p>
    <w:p w14:paraId="67B30E50" w14:textId="77777777" w:rsidR="00721CFD" w:rsidRPr="00F54559" w:rsidRDefault="00721CFD" w:rsidP="00721CFD">
      <w:pPr>
        <w:tabs>
          <w:tab w:val="left" w:pos="720"/>
          <w:tab w:val="left" w:pos="1080"/>
          <w:tab w:val="left" w:pos="5040"/>
        </w:tabs>
        <w:suppressAutoHyphens/>
        <w:rPr>
          <w:rFonts w:eastAsia="Times New Roman" w:cstheme="minorHAnsi"/>
          <w:bCs/>
          <w:spacing w:val="-3"/>
          <w:sz w:val="24"/>
          <w:szCs w:val="20"/>
        </w:rPr>
      </w:pPr>
      <w:r w:rsidRPr="00F54559">
        <w:rPr>
          <w:rFonts w:eastAsia="Times New Roman" w:cstheme="minorHAnsi"/>
          <w:bCs/>
          <w:spacing w:val="-3"/>
          <w:sz w:val="24"/>
          <w:szCs w:val="20"/>
        </w:rPr>
        <w:t>Inventories are stated at cost.  Cost is determined using the first-in, first-out method or the average-cost method.</w:t>
      </w:r>
    </w:p>
    <w:p w14:paraId="5B3913DD" w14:textId="77777777" w:rsidR="00721CFD" w:rsidRPr="00F54559" w:rsidRDefault="00721CFD" w:rsidP="00721CFD">
      <w:pPr>
        <w:pStyle w:val="AFR3"/>
        <w:rPr>
          <w:rFonts w:cstheme="minorHAnsi"/>
        </w:rPr>
      </w:pPr>
      <w:r>
        <w:rPr>
          <w:rFonts w:cstheme="minorHAnsi"/>
        </w:rPr>
        <w:t>j</w:t>
      </w:r>
      <w:r w:rsidRPr="00F54559">
        <w:rPr>
          <w:rFonts w:cstheme="minorHAnsi"/>
        </w:rPr>
        <w:t>. Capital Assets</w:t>
      </w:r>
    </w:p>
    <w:p w14:paraId="37BBE857" w14:textId="77777777" w:rsidR="00721CFD" w:rsidRDefault="00721CFD" w:rsidP="00721CFD">
      <w:pPr>
        <w:pStyle w:val="ListParagraph"/>
        <w:spacing w:after="160"/>
        <w:ind w:left="0"/>
        <w:rPr>
          <w:rFonts w:eastAsiaTheme="majorEastAsia" w:cstheme="minorHAnsi"/>
          <w:b/>
          <w:i/>
          <w:iCs/>
          <w:smallCaps/>
          <w:noProof/>
          <w:color w:val="000000" w:themeColor="text1"/>
          <w:sz w:val="26"/>
          <w:szCs w:val="26"/>
          <w:u w:color="5B9BD5"/>
        </w:rPr>
      </w:pPr>
      <w:r w:rsidRPr="00F54559">
        <w:rPr>
          <w:rFonts w:asciiTheme="minorHAnsi" w:hAnsiTheme="minorHAnsi" w:cstheme="minorHAnsi"/>
          <w:spacing w:val="-3"/>
          <w:szCs w:val="20"/>
        </w:rPr>
        <w:t xml:space="preserve">Capital assets which include property, plant, equipment, intangible assets and library holdings are recorded at cost when purchased or constructed and at acquisition value at date of donation.  </w:t>
      </w:r>
      <w:r w:rsidRPr="00F54559">
        <w:rPr>
          <w:rFonts w:asciiTheme="minorHAnsi" w:hAnsiTheme="minorHAnsi" w:cstheme="minorHAnsi"/>
          <w:bCs/>
          <w:spacing w:val="-3"/>
          <w:szCs w:val="20"/>
        </w:rPr>
        <w:t>Costs for maintenance, repairs and minor renewals and replacements are expensed as incurred; major</w:t>
      </w:r>
      <w:r>
        <w:rPr>
          <w:rFonts w:asciiTheme="minorHAnsi" w:hAnsiTheme="minorHAnsi" w:cstheme="minorHAnsi"/>
          <w:bCs/>
          <w:spacing w:val="-3"/>
          <w:szCs w:val="20"/>
        </w:rPr>
        <w:t xml:space="preserve"> renewals and replacements are capitalized.</w:t>
      </w:r>
    </w:p>
    <w:p w14:paraId="3ECD3064" w14:textId="77777777" w:rsidR="00721CFD" w:rsidRPr="00F54559" w:rsidRDefault="00721CFD" w:rsidP="00721CFD">
      <w:pPr>
        <w:tabs>
          <w:tab w:val="left" w:pos="1440"/>
          <w:tab w:val="left" w:pos="5040"/>
        </w:tabs>
        <w:suppressAutoHyphens/>
        <w:rPr>
          <w:rFonts w:eastAsia="Times New Roman" w:cstheme="minorHAnsi"/>
          <w:spacing w:val="-3"/>
          <w:sz w:val="24"/>
          <w:szCs w:val="20"/>
        </w:rPr>
      </w:pPr>
      <w:r w:rsidRPr="00F54559">
        <w:rPr>
          <w:rFonts w:eastAsia="Times New Roman" w:cstheme="minorHAnsi"/>
          <w:spacing w:val="-3"/>
          <w:sz w:val="24"/>
          <w:szCs w:val="20"/>
        </w:rPr>
        <w:t>Prior to July 1, 2003, library materials were generally capitalized and depreciated over a ten-year period.  Effective July 1, 2003, the System began to expense library materials as incurred.  The System will retain the undepreciated library materials balance as a core non-depreciating asset.</w:t>
      </w:r>
    </w:p>
    <w:p w14:paraId="152E1966" w14:textId="77777777" w:rsidR="002C201C" w:rsidRDefault="002C201C">
      <w:pPr>
        <w:spacing w:after="160" w:line="259" w:lineRule="auto"/>
        <w:rPr>
          <w:rFonts w:eastAsiaTheme="majorEastAsia" w:cstheme="minorHAnsi"/>
          <w:b/>
          <w:i/>
          <w:iCs/>
          <w:smallCaps/>
          <w:noProof/>
          <w:color w:val="000000" w:themeColor="text1"/>
          <w:sz w:val="26"/>
          <w:szCs w:val="26"/>
          <w:u w:color="5B9BD5"/>
        </w:rPr>
      </w:pPr>
      <w:r>
        <w:rPr>
          <w:rFonts w:eastAsiaTheme="majorEastAsia" w:cstheme="minorHAnsi"/>
          <w:b/>
          <w:i/>
          <w:iCs/>
          <w:smallCaps/>
          <w:noProof/>
          <w:color w:val="000000" w:themeColor="text1"/>
          <w:sz w:val="26"/>
          <w:szCs w:val="26"/>
          <w:u w:color="5B9BD5"/>
        </w:rPr>
        <w:br w:type="page"/>
      </w:r>
    </w:p>
    <w:p w14:paraId="083C5720" w14:textId="325C2CC4" w:rsidR="000D0571" w:rsidRPr="006A4C58" w:rsidRDefault="000D0571" w:rsidP="000D0571">
      <w:pPr>
        <w:spacing w:after="160"/>
        <w:rPr>
          <w:rFonts w:eastAsiaTheme="majorEastAsia" w:cstheme="minorHAnsi"/>
          <w:b/>
          <w:i/>
          <w:iCs/>
          <w:smallCaps/>
          <w:noProof/>
          <w:color w:val="000000" w:themeColor="text1"/>
          <w:sz w:val="26"/>
          <w:szCs w:val="26"/>
          <w:u w:color="5B9BD5"/>
        </w:rPr>
      </w:pPr>
      <w:r w:rsidRPr="006A4C58">
        <w:rPr>
          <w:rFonts w:eastAsiaTheme="majorEastAsia" w:cstheme="minorHAnsi"/>
          <w:b/>
          <w:i/>
          <w:iCs/>
          <w:smallCaps/>
          <w:noProof/>
          <w:color w:val="000000" w:themeColor="text1"/>
          <w:sz w:val="26"/>
          <w:szCs w:val="26"/>
          <w:u w:color="5B9BD5"/>
        </w:rPr>
        <w:lastRenderedPageBreak/>
        <w:t>1. SIGNIFICANT ACCOUNTING POLICIES - CONTINUED</w:t>
      </w:r>
    </w:p>
    <w:p w14:paraId="3034202B" w14:textId="48C603C5" w:rsidR="00721CFD" w:rsidRPr="00F54559" w:rsidRDefault="00721CFD" w:rsidP="00721CFD">
      <w:pPr>
        <w:tabs>
          <w:tab w:val="left" w:pos="1440"/>
          <w:tab w:val="left" w:pos="1848"/>
          <w:tab w:val="left" w:pos="5040"/>
          <w:tab w:val="right" w:pos="7260"/>
        </w:tabs>
        <w:suppressAutoHyphens/>
        <w:spacing w:after="160"/>
        <w:rPr>
          <w:rFonts w:eastAsia="Times New Roman" w:cstheme="minorHAnsi"/>
          <w:bCs/>
          <w:spacing w:val="-3"/>
          <w:sz w:val="24"/>
          <w:szCs w:val="20"/>
        </w:rPr>
      </w:pPr>
      <w:r w:rsidRPr="00F54559">
        <w:rPr>
          <w:rFonts w:eastAsia="Times New Roman" w:cstheme="minorHAnsi"/>
          <w:bCs/>
          <w:spacing w:val="-3"/>
          <w:sz w:val="24"/>
          <w:szCs w:val="20"/>
        </w:rPr>
        <w:t>The System does not capitalize and depreciate its collections of historical treasures and works of art because it is the System’s policy that:</w:t>
      </w:r>
    </w:p>
    <w:p w14:paraId="5AC2D235" w14:textId="77777777" w:rsidR="00721CFD" w:rsidRPr="00F54559" w:rsidRDefault="00721CFD" w:rsidP="007840A5">
      <w:pPr>
        <w:numPr>
          <w:ilvl w:val="0"/>
          <w:numId w:val="5"/>
        </w:numPr>
        <w:tabs>
          <w:tab w:val="left" w:pos="1848"/>
          <w:tab w:val="left" w:pos="2520"/>
          <w:tab w:val="left" w:pos="5040"/>
          <w:tab w:val="right" w:pos="7260"/>
        </w:tabs>
        <w:suppressAutoHyphens/>
        <w:ind w:hanging="446"/>
        <w:rPr>
          <w:rFonts w:eastAsia="Times New Roman" w:cstheme="minorHAnsi"/>
          <w:bCs/>
          <w:spacing w:val="-3"/>
          <w:sz w:val="24"/>
          <w:szCs w:val="20"/>
        </w:rPr>
      </w:pPr>
      <w:r w:rsidRPr="00F54559">
        <w:rPr>
          <w:rFonts w:eastAsia="Times New Roman" w:cstheme="minorHAnsi"/>
          <w:bCs/>
          <w:spacing w:val="-3"/>
          <w:sz w:val="24"/>
          <w:szCs w:val="20"/>
        </w:rPr>
        <w:t>Works of art and historical treasures are to be held for public exhibition, education, or research in furtherance of public service, rather than for financial gain.</w:t>
      </w:r>
    </w:p>
    <w:p w14:paraId="7F072B1E" w14:textId="77777777" w:rsidR="00721CFD" w:rsidRPr="00F54559" w:rsidRDefault="00721CFD" w:rsidP="007840A5">
      <w:pPr>
        <w:numPr>
          <w:ilvl w:val="0"/>
          <w:numId w:val="5"/>
        </w:numPr>
        <w:tabs>
          <w:tab w:val="left" w:pos="1440"/>
          <w:tab w:val="left" w:pos="1848"/>
          <w:tab w:val="left" w:pos="5040"/>
          <w:tab w:val="right" w:pos="7260"/>
        </w:tabs>
        <w:suppressAutoHyphens/>
        <w:ind w:hanging="446"/>
        <w:rPr>
          <w:rFonts w:eastAsia="Times New Roman" w:cstheme="minorHAnsi"/>
          <w:bCs/>
          <w:spacing w:val="-3"/>
          <w:sz w:val="24"/>
          <w:szCs w:val="20"/>
        </w:rPr>
      </w:pPr>
      <w:r w:rsidRPr="00F54559">
        <w:rPr>
          <w:rFonts w:eastAsia="Times New Roman" w:cstheme="minorHAnsi"/>
          <w:bCs/>
          <w:spacing w:val="-3"/>
          <w:sz w:val="24"/>
          <w:szCs w:val="20"/>
        </w:rPr>
        <w:t>Works of art and historical treasures are to be protected, kept unencumbered, cared for, and preserved.</w:t>
      </w:r>
    </w:p>
    <w:p w14:paraId="510E255E" w14:textId="77777777" w:rsidR="00721CFD" w:rsidRPr="00F54559" w:rsidRDefault="00721CFD" w:rsidP="007840A5">
      <w:pPr>
        <w:numPr>
          <w:ilvl w:val="0"/>
          <w:numId w:val="5"/>
        </w:numPr>
        <w:tabs>
          <w:tab w:val="left" w:pos="1440"/>
          <w:tab w:val="left" w:pos="1848"/>
          <w:tab w:val="left" w:pos="5040"/>
          <w:tab w:val="right" w:pos="7260"/>
        </w:tabs>
        <w:suppressAutoHyphens/>
        <w:ind w:hanging="446"/>
        <w:rPr>
          <w:rFonts w:eastAsia="Times New Roman" w:cstheme="minorHAnsi"/>
          <w:bCs/>
          <w:spacing w:val="-3"/>
          <w:sz w:val="24"/>
          <w:szCs w:val="20"/>
        </w:rPr>
      </w:pPr>
      <w:r w:rsidRPr="00F54559">
        <w:rPr>
          <w:rFonts w:eastAsia="Times New Roman" w:cstheme="minorHAnsi"/>
          <w:bCs/>
          <w:spacing w:val="-3"/>
          <w:sz w:val="24"/>
          <w:szCs w:val="20"/>
        </w:rPr>
        <w:t>Proceeds from sale of works of art and historical treasures are to be used to acquire other items for the collections.</w:t>
      </w:r>
    </w:p>
    <w:p w14:paraId="26BC7093" w14:textId="77777777" w:rsidR="00721CFD" w:rsidRDefault="00721CFD" w:rsidP="00721CFD">
      <w:pPr>
        <w:tabs>
          <w:tab w:val="left" w:pos="1440"/>
          <w:tab w:val="left" w:pos="5040"/>
        </w:tabs>
        <w:suppressAutoHyphens/>
        <w:rPr>
          <w:rFonts w:eastAsia="Times New Roman" w:cstheme="minorHAnsi"/>
          <w:bCs/>
          <w:spacing w:val="-3"/>
          <w:sz w:val="24"/>
          <w:szCs w:val="20"/>
        </w:rPr>
      </w:pPr>
      <w:r w:rsidRPr="00F54559">
        <w:rPr>
          <w:rFonts w:eastAsia="Times New Roman" w:cstheme="minorHAnsi"/>
          <w:spacing w:val="-3"/>
          <w:sz w:val="24"/>
          <w:szCs w:val="20"/>
        </w:rPr>
        <w:t xml:space="preserve">A capitalization threshold of $50 is used for buildings, building additions and improvements, land improvements and internally generated intangibles. Equipment (including equipment acquired under capital leases) and purchased software are capitalized with a unit cost of $5 or more. </w:t>
      </w:r>
      <w:r w:rsidRPr="00F54559">
        <w:rPr>
          <w:rFonts w:eastAsia="Times New Roman" w:cstheme="minorHAnsi"/>
          <w:bCs/>
          <w:spacing w:val="-3"/>
          <w:sz w:val="24"/>
          <w:szCs w:val="20"/>
        </w:rPr>
        <w:t xml:space="preserve">These assets, with the exception of land, are depreciated and amortized using the straight-line basis over the estimated useful lives of the related assets, which range from </w:t>
      </w:r>
      <w:r w:rsidRPr="002E6633">
        <w:rPr>
          <w:rFonts w:eastAsia="Times New Roman" w:cstheme="minorHAnsi"/>
          <w:bCs/>
          <w:spacing w:val="-3"/>
          <w:sz w:val="24"/>
          <w:szCs w:val="20"/>
        </w:rPr>
        <w:t>4 to 60</w:t>
      </w:r>
      <w:r w:rsidRPr="00F54559">
        <w:rPr>
          <w:rFonts w:eastAsia="Times New Roman" w:cstheme="minorHAnsi"/>
          <w:bCs/>
          <w:spacing w:val="-3"/>
          <w:sz w:val="24"/>
          <w:szCs w:val="20"/>
        </w:rPr>
        <w:t xml:space="preserve"> years.</w:t>
      </w:r>
    </w:p>
    <w:p w14:paraId="263780AF" w14:textId="77777777" w:rsidR="00721CFD" w:rsidRPr="00741B04" w:rsidRDefault="00721CFD" w:rsidP="00721CFD">
      <w:pPr>
        <w:tabs>
          <w:tab w:val="left" w:pos="1440"/>
          <w:tab w:val="left" w:pos="5040"/>
        </w:tabs>
        <w:suppressAutoHyphens/>
        <w:spacing w:before="240" w:after="120"/>
        <w:rPr>
          <w:rFonts w:eastAsia="Times New Roman" w:cstheme="minorHAnsi"/>
          <w:bCs/>
          <w:spacing w:val="-3"/>
          <w:sz w:val="26"/>
          <w:szCs w:val="26"/>
        </w:rPr>
      </w:pPr>
      <w:r w:rsidRPr="00F62FF6">
        <w:rPr>
          <w:rStyle w:val="AFR3Char"/>
        </w:rPr>
        <w:t>k. Leases (Lessee</w:t>
      </w:r>
      <w:r>
        <w:rPr>
          <w:rStyle w:val="AFR3Char"/>
        </w:rPr>
        <w:t xml:space="preserve"> and Lessor</w:t>
      </w:r>
      <w:r w:rsidRPr="00F62FF6">
        <w:rPr>
          <w:rStyle w:val="AFR3Char"/>
        </w:rPr>
        <w:t>)</w:t>
      </w:r>
    </w:p>
    <w:p w14:paraId="3A5085C7" w14:textId="77777777" w:rsidR="00721CFD" w:rsidRPr="00A909E4" w:rsidRDefault="00721CFD" w:rsidP="00721CFD">
      <w:pPr>
        <w:tabs>
          <w:tab w:val="left" w:pos="1440"/>
          <w:tab w:val="left" w:pos="5040"/>
        </w:tabs>
        <w:suppressAutoHyphens/>
        <w:rPr>
          <w:rFonts w:eastAsia="Times New Roman" w:cstheme="minorHAnsi"/>
          <w:bCs/>
          <w:spacing w:val="-3"/>
          <w:sz w:val="24"/>
          <w:szCs w:val="24"/>
        </w:rPr>
      </w:pPr>
      <w:r w:rsidRPr="00A909E4">
        <w:rPr>
          <w:rFonts w:eastAsia="Times New Roman" w:cstheme="minorHAnsi"/>
          <w:bCs/>
          <w:spacing w:val="-3"/>
          <w:sz w:val="24"/>
          <w:szCs w:val="24"/>
        </w:rPr>
        <w:t>The System is a lessee</w:t>
      </w:r>
      <w:r>
        <w:rPr>
          <w:rFonts w:eastAsia="Times New Roman" w:cstheme="minorHAnsi"/>
          <w:bCs/>
          <w:spacing w:val="-3"/>
          <w:sz w:val="24"/>
          <w:szCs w:val="24"/>
        </w:rPr>
        <w:t xml:space="preserve"> and a lessor</w:t>
      </w:r>
      <w:r w:rsidRPr="00A909E4">
        <w:rPr>
          <w:rFonts w:eastAsia="Times New Roman" w:cstheme="minorHAnsi"/>
          <w:bCs/>
          <w:spacing w:val="-3"/>
          <w:sz w:val="24"/>
          <w:szCs w:val="24"/>
        </w:rPr>
        <w:t xml:space="preserve"> for various nonc</w:t>
      </w:r>
      <w:r>
        <w:rPr>
          <w:rFonts w:eastAsia="Times New Roman" w:cstheme="minorHAnsi"/>
          <w:bCs/>
          <w:spacing w:val="-3"/>
          <w:sz w:val="24"/>
          <w:szCs w:val="24"/>
        </w:rPr>
        <w:t>ancellable leases of buildings</w:t>
      </w:r>
      <w:r w:rsidRPr="00A909E4">
        <w:rPr>
          <w:rFonts w:eastAsia="Times New Roman" w:cstheme="minorHAnsi"/>
          <w:bCs/>
          <w:spacing w:val="-3"/>
          <w:sz w:val="24"/>
          <w:szCs w:val="24"/>
        </w:rPr>
        <w:t xml:space="preserve">. </w:t>
      </w:r>
    </w:p>
    <w:p w14:paraId="3E28F2B8" w14:textId="77777777" w:rsidR="00721CFD" w:rsidRPr="00A909E4" w:rsidRDefault="00721CFD" w:rsidP="00721CFD">
      <w:pPr>
        <w:tabs>
          <w:tab w:val="left" w:pos="1440"/>
          <w:tab w:val="left" w:pos="5040"/>
        </w:tabs>
        <w:suppressAutoHyphens/>
        <w:rPr>
          <w:rFonts w:eastAsia="Times New Roman" w:cstheme="minorHAnsi"/>
          <w:bCs/>
          <w:spacing w:val="-3"/>
          <w:sz w:val="24"/>
          <w:szCs w:val="24"/>
        </w:rPr>
      </w:pPr>
    </w:p>
    <w:p w14:paraId="43F44500" w14:textId="77777777" w:rsidR="00721CFD" w:rsidRPr="00F061E5" w:rsidRDefault="00721CFD" w:rsidP="005B26A1">
      <w:pPr>
        <w:tabs>
          <w:tab w:val="left" w:pos="1440"/>
          <w:tab w:val="left" w:pos="5040"/>
        </w:tabs>
        <w:suppressAutoHyphens/>
        <w:spacing w:after="160"/>
        <w:rPr>
          <w:rFonts w:eastAsia="Times New Roman" w:cstheme="minorHAnsi"/>
          <w:bCs/>
          <w:spacing w:val="-3"/>
          <w:sz w:val="24"/>
          <w:szCs w:val="24"/>
        </w:rPr>
      </w:pPr>
      <w:r w:rsidRPr="00F62FF6">
        <w:rPr>
          <w:rFonts w:eastAsia="Times New Roman" w:cstheme="minorHAnsi"/>
          <w:b/>
          <w:spacing w:val="-3"/>
          <w:sz w:val="24"/>
          <w:szCs w:val="24"/>
        </w:rPr>
        <w:t>Short-term Leases</w:t>
      </w:r>
      <w:r w:rsidRPr="00EC0ECA">
        <w:rPr>
          <w:rFonts w:eastAsia="Times New Roman" w:cstheme="minorHAnsi"/>
          <w:b/>
          <w:spacing w:val="-3"/>
          <w:sz w:val="24"/>
          <w:szCs w:val="24"/>
        </w:rPr>
        <w:t xml:space="preserve">: </w:t>
      </w:r>
      <w:r w:rsidRPr="00F061E5">
        <w:rPr>
          <w:rFonts w:eastAsia="Times New Roman" w:cstheme="minorHAnsi"/>
          <w:bCs/>
          <w:spacing w:val="-3"/>
          <w:sz w:val="24"/>
          <w:szCs w:val="24"/>
        </w:rPr>
        <w:t>For leases with a maximum possible term of 12 months or less at commencement, the System recognizes expense based on the provisions of the lease contract.</w:t>
      </w:r>
    </w:p>
    <w:p w14:paraId="51E52219" w14:textId="49246E30" w:rsidR="00721CFD" w:rsidRPr="00F54559" w:rsidRDefault="00721CFD" w:rsidP="005B26A1">
      <w:pPr>
        <w:spacing w:after="160" w:line="259" w:lineRule="auto"/>
        <w:rPr>
          <w:noProof/>
          <w:u w:color="5B9BD5"/>
        </w:rPr>
      </w:pPr>
      <w:r w:rsidRPr="00F62FF6">
        <w:rPr>
          <w:rFonts w:eastAsia="Times New Roman" w:cstheme="minorHAnsi"/>
          <w:b/>
          <w:spacing w:val="-3"/>
          <w:sz w:val="24"/>
          <w:szCs w:val="24"/>
        </w:rPr>
        <w:t>Leases other than short-term</w:t>
      </w:r>
      <w:r w:rsidRPr="00EC0ECA">
        <w:rPr>
          <w:rFonts w:eastAsia="Times New Roman" w:cstheme="minorHAnsi"/>
          <w:b/>
          <w:spacing w:val="-3"/>
          <w:sz w:val="24"/>
          <w:szCs w:val="24"/>
        </w:rPr>
        <w:t>:</w:t>
      </w:r>
      <w:r w:rsidRPr="00F756F0">
        <w:rPr>
          <w:rFonts w:eastAsia="Times New Roman" w:cstheme="minorHAnsi"/>
          <w:b/>
          <w:spacing w:val="-3"/>
          <w:sz w:val="24"/>
          <w:szCs w:val="24"/>
        </w:rPr>
        <w:t xml:space="preserve"> </w:t>
      </w:r>
      <w:r w:rsidRPr="00EC0ECA">
        <w:rPr>
          <w:rFonts w:eastAsia="Times New Roman" w:cstheme="minorHAnsi"/>
          <w:bCs/>
          <w:spacing w:val="-3"/>
          <w:sz w:val="24"/>
          <w:szCs w:val="24"/>
        </w:rPr>
        <w:t xml:space="preserve"> </w:t>
      </w:r>
      <w:r w:rsidRPr="00F756F0">
        <w:rPr>
          <w:rFonts w:eastAsia="Times New Roman" w:cstheme="minorHAnsi"/>
          <w:bCs/>
          <w:spacing w:val="-3"/>
          <w:sz w:val="24"/>
          <w:szCs w:val="24"/>
        </w:rPr>
        <w:t>For</w:t>
      </w:r>
      <w:r w:rsidRPr="00F061E5">
        <w:rPr>
          <w:rFonts w:eastAsia="Times New Roman" w:cstheme="minorHAnsi"/>
          <w:bCs/>
          <w:spacing w:val="-3"/>
          <w:sz w:val="24"/>
          <w:szCs w:val="24"/>
        </w:rPr>
        <w:t xml:space="preserve"> all other leases (i.e. those that are not short-term), the System recognizes a lease liability and an intangible right</w:t>
      </w:r>
      <w:r w:rsidR="00616F3F">
        <w:rPr>
          <w:rFonts w:eastAsia="Times New Roman" w:cstheme="minorHAnsi"/>
          <w:bCs/>
          <w:spacing w:val="-3"/>
          <w:sz w:val="24"/>
          <w:szCs w:val="24"/>
        </w:rPr>
        <w:t xml:space="preserve"> of </w:t>
      </w:r>
      <w:r w:rsidRPr="00F061E5">
        <w:rPr>
          <w:rFonts w:eastAsia="Times New Roman" w:cstheme="minorHAnsi"/>
          <w:bCs/>
          <w:spacing w:val="-3"/>
          <w:sz w:val="24"/>
          <w:szCs w:val="24"/>
        </w:rPr>
        <w:t>use lease asset</w:t>
      </w:r>
      <w:r>
        <w:rPr>
          <w:rFonts w:eastAsia="Times New Roman" w:cstheme="minorHAnsi"/>
          <w:bCs/>
          <w:spacing w:val="-3"/>
          <w:sz w:val="24"/>
          <w:szCs w:val="24"/>
        </w:rPr>
        <w:t xml:space="preserve"> or a lease </w:t>
      </w:r>
      <w:r w:rsidRPr="00F061E5">
        <w:rPr>
          <w:rFonts w:eastAsia="Times New Roman" w:cstheme="minorHAnsi"/>
          <w:bCs/>
          <w:spacing w:val="-3"/>
          <w:sz w:val="24"/>
          <w:szCs w:val="24"/>
        </w:rPr>
        <w:t xml:space="preserve">receivable and </w:t>
      </w:r>
      <w:r w:rsidR="000D0571">
        <w:rPr>
          <w:rFonts w:eastAsia="Times New Roman" w:cstheme="minorHAnsi"/>
          <w:bCs/>
          <w:spacing w:val="-3"/>
          <w:sz w:val="24"/>
          <w:szCs w:val="24"/>
        </w:rPr>
        <w:t>deferred inflow of resources.</w:t>
      </w:r>
    </w:p>
    <w:p w14:paraId="5E5A032E" w14:textId="36C2EDE8" w:rsidR="00721CFD" w:rsidRPr="00562440" w:rsidRDefault="00721CFD" w:rsidP="005B26A1">
      <w:pPr>
        <w:tabs>
          <w:tab w:val="left" w:pos="1440"/>
          <w:tab w:val="left" w:pos="5040"/>
        </w:tabs>
        <w:suppressAutoHyphens/>
        <w:spacing w:after="160"/>
        <w:rPr>
          <w:rFonts w:eastAsia="Times New Roman" w:cstheme="minorHAnsi"/>
          <w:bCs/>
          <w:spacing w:val="-3"/>
          <w:sz w:val="24"/>
          <w:szCs w:val="24"/>
        </w:rPr>
      </w:pPr>
      <w:r w:rsidRPr="00F62FF6">
        <w:rPr>
          <w:rFonts w:eastAsia="Times New Roman" w:cstheme="minorHAnsi"/>
          <w:b/>
          <w:spacing w:val="-3"/>
          <w:sz w:val="24"/>
          <w:szCs w:val="24"/>
        </w:rPr>
        <w:t xml:space="preserve">Measurement of Lease Amounts:  </w:t>
      </w:r>
      <w:r w:rsidRPr="00562440">
        <w:rPr>
          <w:rFonts w:eastAsia="Times New Roman" w:cstheme="minorHAnsi"/>
          <w:bCs/>
          <w:spacing w:val="-3"/>
          <w:sz w:val="24"/>
          <w:szCs w:val="24"/>
        </w:rPr>
        <w:t>At lease commencement, the System initially measures the lease liability or receivable at the present value of payments expected to be made during the lease term. Subsequently, the lease liability is reduced by the principal portion of lease payments made</w:t>
      </w:r>
      <w:r w:rsidRPr="00F62FF6">
        <w:rPr>
          <w:rFonts w:eastAsia="Times New Roman" w:cstheme="minorHAnsi"/>
          <w:bCs/>
          <w:spacing w:val="-3"/>
          <w:sz w:val="24"/>
          <w:szCs w:val="24"/>
        </w:rPr>
        <w:t xml:space="preserve"> and the underlying asset is amortized on a straight-line basis over the shorter of the lease term or the useful life of the </w:t>
      </w:r>
      <w:r w:rsidRPr="006042C4">
        <w:rPr>
          <w:rFonts w:eastAsia="Times New Roman" w:cstheme="minorHAnsi"/>
          <w:bCs/>
          <w:spacing w:val="-3"/>
          <w:sz w:val="24"/>
          <w:szCs w:val="24"/>
        </w:rPr>
        <w:t xml:space="preserve">underlying asset. </w:t>
      </w:r>
      <w:r w:rsidRPr="00F62FF6">
        <w:rPr>
          <w:rFonts w:eastAsia="Times New Roman" w:cstheme="minorHAnsi"/>
          <w:bCs/>
          <w:spacing w:val="-3"/>
          <w:sz w:val="24"/>
          <w:szCs w:val="24"/>
        </w:rPr>
        <w:t xml:space="preserve"> </w:t>
      </w:r>
      <w:r w:rsidRPr="00562440">
        <w:rPr>
          <w:rFonts w:eastAsia="Times New Roman" w:cstheme="minorHAnsi"/>
          <w:bCs/>
          <w:spacing w:val="-3"/>
          <w:sz w:val="24"/>
          <w:szCs w:val="24"/>
        </w:rPr>
        <w:t xml:space="preserve"> The lease </w:t>
      </w:r>
      <w:r w:rsidRPr="00F62FF6">
        <w:rPr>
          <w:rFonts w:eastAsia="Times New Roman" w:cstheme="minorHAnsi"/>
          <w:bCs/>
          <w:spacing w:val="-3"/>
          <w:sz w:val="24"/>
          <w:szCs w:val="24"/>
        </w:rPr>
        <w:t>receivable</w:t>
      </w:r>
      <w:r w:rsidRPr="006042C4">
        <w:rPr>
          <w:rFonts w:eastAsia="Times New Roman" w:cstheme="minorHAnsi"/>
          <w:bCs/>
          <w:spacing w:val="-3"/>
          <w:sz w:val="24"/>
          <w:szCs w:val="24"/>
        </w:rPr>
        <w:t xml:space="preserve"> </w:t>
      </w:r>
      <w:r w:rsidRPr="00562440">
        <w:rPr>
          <w:rFonts w:eastAsia="Times New Roman" w:cstheme="minorHAnsi"/>
          <w:bCs/>
          <w:spacing w:val="-3"/>
          <w:sz w:val="24"/>
          <w:szCs w:val="24"/>
        </w:rPr>
        <w:t xml:space="preserve">is </w:t>
      </w:r>
      <w:r w:rsidRPr="00F62FF6">
        <w:rPr>
          <w:rFonts w:eastAsia="Times New Roman" w:cstheme="minorHAnsi"/>
          <w:bCs/>
          <w:spacing w:val="-3"/>
          <w:sz w:val="24"/>
          <w:szCs w:val="24"/>
        </w:rPr>
        <w:t xml:space="preserve">reduced by </w:t>
      </w:r>
      <w:r w:rsidR="001C5B70">
        <w:rPr>
          <w:rFonts w:eastAsia="Times New Roman" w:cstheme="minorHAnsi"/>
          <w:bCs/>
          <w:spacing w:val="-3"/>
          <w:sz w:val="24"/>
          <w:szCs w:val="24"/>
        </w:rPr>
        <w:t xml:space="preserve">the principal portion of </w:t>
      </w:r>
      <w:r w:rsidRPr="00F62FF6">
        <w:rPr>
          <w:rFonts w:eastAsia="Times New Roman" w:cstheme="minorHAnsi"/>
          <w:bCs/>
          <w:spacing w:val="-3"/>
          <w:sz w:val="24"/>
          <w:szCs w:val="24"/>
        </w:rPr>
        <w:t>payments received and the related deferred inflows are amortized</w:t>
      </w:r>
      <w:r w:rsidR="00CB3F8E">
        <w:rPr>
          <w:rFonts w:eastAsia="Times New Roman" w:cstheme="minorHAnsi"/>
          <w:bCs/>
          <w:spacing w:val="-3"/>
          <w:sz w:val="24"/>
          <w:szCs w:val="24"/>
        </w:rPr>
        <w:t xml:space="preserve"> under the interest method</w:t>
      </w:r>
      <w:r w:rsidRPr="00F62FF6">
        <w:rPr>
          <w:rFonts w:eastAsia="Times New Roman" w:cstheme="minorHAnsi"/>
          <w:bCs/>
          <w:spacing w:val="-3"/>
          <w:sz w:val="24"/>
          <w:szCs w:val="24"/>
        </w:rPr>
        <w:t xml:space="preserve"> to recognize rental revenue. </w:t>
      </w:r>
    </w:p>
    <w:p w14:paraId="26904672" w14:textId="780AC3BF" w:rsidR="00721CFD" w:rsidRDefault="00721CFD" w:rsidP="009C66AE">
      <w:pPr>
        <w:tabs>
          <w:tab w:val="left" w:pos="1440"/>
          <w:tab w:val="left" w:pos="5040"/>
        </w:tabs>
        <w:suppressAutoHyphens/>
        <w:spacing w:after="120"/>
        <w:rPr>
          <w:rFonts w:eastAsia="Times New Roman" w:cstheme="minorHAnsi"/>
          <w:bCs/>
          <w:spacing w:val="-3"/>
          <w:sz w:val="24"/>
          <w:szCs w:val="24"/>
        </w:rPr>
      </w:pPr>
      <w:r w:rsidRPr="00F62FF6">
        <w:rPr>
          <w:rFonts w:eastAsia="Times New Roman" w:cstheme="minorHAnsi"/>
          <w:b/>
          <w:spacing w:val="-3"/>
          <w:sz w:val="24"/>
          <w:szCs w:val="24"/>
        </w:rPr>
        <w:t>Key Estimates and Judgments</w:t>
      </w:r>
      <w:r w:rsidRPr="00EC0ECA">
        <w:rPr>
          <w:rFonts w:eastAsia="Times New Roman" w:cstheme="minorHAnsi"/>
          <w:b/>
          <w:spacing w:val="-3"/>
          <w:sz w:val="24"/>
          <w:szCs w:val="24"/>
        </w:rPr>
        <w:t xml:space="preserve">:  </w:t>
      </w:r>
      <w:r w:rsidRPr="00F061E5">
        <w:rPr>
          <w:rFonts w:eastAsia="Times New Roman" w:cstheme="minorHAnsi"/>
          <w:bCs/>
          <w:spacing w:val="-3"/>
          <w:sz w:val="24"/>
          <w:szCs w:val="24"/>
        </w:rPr>
        <w:t>Key estimates and judgments include how the System determines (1) the discount rate it uses to calculate the present value of the expected lease payments, and (2) lease term, and (3) lease payments.</w:t>
      </w:r>
    </w:p>
    <w:p w14:paraId="6D5A4B2B" w14:textId="1817BE46" w:rsidR="0068384E" w:rsidRPr="009C66AE" w:rsidRDefault="00721CFD" w:rsidP="007840A5">
      <w:pPr>
        <w:pStyle w:val="ListParagraph"/>
        <w:tabs>
          <w:tab w:val="left" w:pos="1440"/>
          <w:tab w:val="left" w:pos="5040"/>
        </w:tabs>
        <w:suppressAutoHyphens/>
        <w:contextualSpacing w:val="0"/>
        <w:rPr>
          <w:rFonts w:cstheme="minorHAnsi"/>
          <w:bCs/>
          <w:spacing w:val="-3"/>
        </w:rPr>
      </w:pPr>
      <w:r w:rsidRPr="00F62FF6">
        <w:rPr>
          <w:rFonts w:asciiTheme="minorHAnsi" w:hAnsiTheme="minorHAnsi" w:cstheme="minorHAnsi"/>
          <w:bCs/>
          <w:spacing w:val="-3"/>
        </w:rPr>
        <w:t>The System generally uses its estimated incremental borrowing rate as the discount rate for lease arrangements unless the rate that the lessor/vendor charges is known. The System’s incremental borrowing rate for lease arrangements is based on the rate of interest it would need to pay if it issued general obligation bonds to borrow an amount</w:t>
      </w:r>
      <w:r w:rsidR="00A16F53" w:rsidRPr="00F62FF6">
        <w:rPr>
          <w:rFonts w:asciiTheme="minorHAnsi" w:hAnsiTheme="minorHAnsi" w:cstheme="minorHAnsi"/>
          <w:bCs/>
          <w:spacing w:val="-3"/>
        </w:rPr>
        <w:t xml:space="preserve"> equal to the lease payments under similar terms at the commencement or remeasurement date.</w:t>
      </w:r>
    </w:p>
    <w:p w14:paraId="53D280B5" w14:textId="77777777" w:rsidR="00A16F53" w:rsidRDefault="00A16F53">
      <w:pPr>
        <w:spacing w:after="160" w:line="259" w:lineRule="auto"/>
        <w:rPr>
          <w:rFonts w:eastAsiaTheme="majorEastAsia" w:cstheme="minorHAnsi"/>
          <w:b/>
          <w:i/>
          <w:iCs/>
          <w:smallCaps/>
          <w:noProof/>
          <w:color w:val="000000" w:themeColor="text1"/>
          <w:sz w:val="26"/>
          <w:szCs w:val="26"/>
          <w:u w:color="5B9BD5"/>
        </w:rPr>
      </w:pPr>
      <w:r>
        <w:rPr>
          <w:rFonts w:eastAsiaTheme="majorEastAsia" w:cstheme="minorHAnsi"/>
          <w:b/>
          <w:i/>
          <w:iCs/>
          <w:smallCaps/>
          <w:noProof/>
          <w:color w:val="000000" w:themeColor="text1"/>
          <w:sz w:val="26"/>
          <w:szCs w:val="26"/>
          <w:u w:color="5B9BD5"/>
        </w:rPr>
        <w:br w:type="page"/>
      </w:r>
    </w:p>
    <w:p w14:paraId="21AE0868" w14:textId="7CC2AF78" w:rsidR="0068384E" w:rsidRPr="009C66AE" w:rsidRDefault="0068384E" w:rsidP="009C66AE">
      <w:pPr>
        <w:spacing w:after="160"/>
        <w:rPr>
          <w:rFonts w:eastAsiaTheme="majorEastAsia" w:cstheme="minorHAnsi"/>
          <w:b/>
          <w:i/>
          <w:iCs/>
          <w:smallCaps/>
          <w:noProof/>
          <w:color w:val="000000" w:themeColor="text1"/>
          <w:sz w:val="26"/>
          <w:szCs w:val="26"/>
          <w:u w:color="5B9BD5"/>
        </w:rPr>
      </w:pPr>
      <w:r w:rsidRPr="009C66AE">
        <w:rPr>
          <w:rFonts w:eastAsiaTheme="majorEastAsia" w:cstheme="minorHAnsi"/>
          <w:b/>
          <w:i/>
          <w:iCs/>
          <w:smallCaps/>
          <w:noProof/>
          <w:color w:val="000000" w:themeColor="text1"/>
          <w:sz w:val="26"/>
          <w:szCs w:val="26"/>
          <w:u w:color="5B9BD5"/>
        </w:rPr>
        <w:lastRenderedPageBreak/>
        <w:t>1. SIGNIFICANT ACCOUNTING POLICIES - CONTINUED</w:t>
      </w:r>
    </w:p>
    <w:p w14:paraId="6A572471" w14:textId="77777777" w:rsidR="00721CFD" w:rsidRPr="00F62FF6" w:rsidRDefault="00721CFD" w:rsidP="007840A5">
      <w:pPr>
        <w:pStyle w:val="ListParagraph"/>
        <w:numPr>
          <w:ilvl w:val="0"/>
          <w:numId w:val="26"/>
        </w:numPr>
        <w:tabs>
          <w:tab w:val="left" w:pos="1440"/>
          <w:tab w:val="left" w:pos="5040"/>
        </w:tabs>
        <w:suppressAutoHyphens/>
        <w:contextualSpacing w:val="0"/>
        <w:rPr>
          <w:rFonts w:cstheme="minorHAnsi"/>
          <w:bCs/>
          <w:spacing w:val="-3"/>
        </w:rPr>
      </w:pPr>
      <w:r w:rsidRPr="00F62FF6">
        <w:rPr>
          <w:rFonts w:asciiTheme="minorHAnsi" w:hAnsiTheme="minorHAnsi" w:cstheme="minorHAnsi"/>
          <w:bCs/>
          <w:spacing w:val="-3"/>
        </w:rPr>
        <w:t>The lease term includes the noncancellable period of the lease arrangement plus any additional periods covered by either the System or lessor option to (1) extend for which it is reasonably certain to be exercised, or (2) terminate for which it is reasonably certain not to be exercised. Periods in which both the System and the lessor/vendor have a unilateral option to terminate (or if both parties have to agree to extend) are excluded from the lease term.</w:t>
      </w:r>
    </w:p>
    <w:p w14:paraId="2C1DE030" w14:textId="77777777" w:rsidR="00721CFD" w:rsidRPr="00F62FF6" w:rsidRDefault="00721CFD" w:rsidP="00A16F53">
      <w:pPr>
        <w:pStyle w:val="ListParagraph"/>
        <w:numPr>
          <w:ilvl w:val="0"/>
          <w:numId w:val="25"/>
        </w:numPr>
        <w:tabs>
          <w:tab w:val="left" w:pos="1440"/>
          <w:tab w:val="left" w:pos="5040"/>
        </w:tabs>
        <w:suppressAutoHyphens/>
        <w:rPr>
          <w:rFonts w:asciiTheme="minorHAnsi" w:hAnsiTheme="minorHAnsi" w:cstheme="minorHAnsi"/>
          <w:bCs/>
          <w:spacing w:val="-3"/>
        </w:rPr>
      </w:pPr>
      <w:r w:rsidRPr="00F62FF6">
        <w:rPr>
          <w:rFonts w:asciiTheme="minorHAnsi" w:hAnsiTheme="minorHAnsi" w:cstheme="minorHAnsi"/>
          <w:bCs/>
          <w:spacing w:val="-3"/>
        </w:rPr>
        <w:t>Payments are evaluated by the System to determine if they should be included in the measurement of the lease liabilities, including those payments that require a determination of whether they are reasonably certain of being made, such as residual value guarantees, purchase options, payments for termination penalties, and other payments.</w:t>
      </w:r>
    </w:p>
    <w:p w14:paraId="112E62D0" w14:textId="77777777" w:rsidR="00721CFD" w:rsidRPr="00BC4804" w:rsidRDefault="00721CFD" w:rsidP="00721CFD">
      <w:pPr>
        <w:tabs>
          <w:tab w:val="left" w:pos="1440"/>
          <w:tab w:val="left" w:pos="5040"/>
        </w:tabs>
        <w:suppressAutoHyphens/>
        <w:rPr>
          <w:rFonts w:eastAsia="Times New Roman" w:cstheme="minorHAnsi"/>
          <w:bCs/>
          <w:color w:val="FF0000"/>
          <w:spacing w:val="-3"/>
          <w:sz w:val="24"/>
          <w:szCs w:val="24"/>
        </w:rPr>
      </w:pPr>
    </w:p>
    <w:p w14:paraId="3B918314" w14:textId="77777777" w:rsidR="00721CFD" w:rsidRPr="00F061E5" w:rsidRDefault="00721CFD" w:rsidP="009C66AE">
      <w:pPr>
        <w:tabs>
          <w:tab w:val="left" w:pos="1440"/>
          <w:tab w:val="left" w:pos="5040"/>
        </w:tabs>
        <w:suppressAutoHyphens/>
        <w:spacing w:after="120"/>
        <w:rPr>
          <w:rFonts w:eastAsia="Times New Roman" w:cstheme="minorHAnsi"/>
          <w:bCs/>
          <w:spacing w:val="-3"/>
          <w:sz w:val="24"/>
          <w:szCs w:val="24"/>
        </w:rPr>
      </w:pPr>
      <w:r w:rsidRPr="00F62FF6">
        <w:rPr>
          <w:rFonts w:eastAsia="Times New Roman" w:cstheme="minorHAnsi"/>
          <w:b/>
          <w:spacing w:val="-3"/>
          <w:sz w:val="24"/>
          <w:szCs w:val="24"/>
        </w:rPr>
        <w:t xml:space="preserve">Remeasurement of Lease Amounts: </w:t>
      </w:r>
      <w:r w:rsidRPr="00EC0ECA">
        <w:rPr>
          <w:rFonts w:eastAsia="Times New Roman" w:cstheme="minorHAnsi"/>
          <w:b/>
          <w:spacing w:val="-3"/>
          <w:sz w:val="24"/>
          <w:szCs w:val="24"/>
        </w:rPr>
        <w:t xml:space="preserve"> </w:t>
      </w:r>
      <w:r w:rsidRPr="00F061E5">
        <w:rPr>
          <w:rFonts w:eastAsia="Times New Roman" w:cstheme="minorHAnsi"/>
          <w:bCs/>
          <w:spacing w:val="-3"/>
          <w:sz w:val="24"/>
          <w:szCs w:val="24"/>
        </w:rPr>
        <w:t>The System monitors changes in circumstances that may require remeasurement of a lease arrangement. When certain changes occur that are expected to significantly affect the amount of the lease liability, the liability is remeasured and a corresponding adjustment is made to the lease asset.</w:t>
      </w:r>
    </w:p>
    <w:p w14:paraId="3ABA6513" w14:textId="77777777" w:rsidR="00721CFD" w:rsidRPr="00A43D2F" w:rsidRDefault="00721CFD" w:rsidP="009C66AE">
      <w:pPr>
        <w:tabs>
          <w:tab w:val="left" w:pos="1440"/>
          <w:tab w:val="left" w:pos="5040"/>
        </w:tabs>
        <w:suppressAutoHyphens/>
        <w:spacing w:before="240"/>
        <w:rPr>
          <w:rFonts w:cstheme="minorHAnsi"/>
          <w:b/>
          <w:i/>
          <w:sz w:val="26"/>
          <w:szCs w:val="26"/>
          <w:u w:val="single"/>
        </w:rPr>
      </w:pPr>
      <w:r w:rsidRPr="00A43D2F">
        <w:rPr>
          <w:rFonts w:cstheme="minorHAnsi"/>
          <w:b/>
          <w:i/>
          <w:sz w:val="26"/>
          <w:szCs w:val="26"/>
          <w:u w:val="single"/>
        </w:rPr>
        <w:t>l. Irrevocable Split-Interest Agreements</w:t>
      </w:r>
    </w:p>
    <w:p w14:paraId="0A6DB4ED" w14:textId="5303645C" w:rsidR="00721CFD" w:rsidRPr="00F54559" w:rsidRDefault="00721CFD" w:rsidP="00721CFD">
      <w:pPr>
        <w:pStyle w:val="ReportHeading3"/>
        <w:spacing w:before="240"/>
        <w:rPr>
          <w:rFonts w:eastAsia="Times New Roman" w:cstheme="minorHAnsi"/>
          <w:b w:val="0"/>
          <w:i w:val="0"/>
          <w:color w:val="000000"/>
          <w:sz w:val="24"/>
          <w:szCs w:val="20"/>
          <w:u w:val="none"/>
        </w:rPr>
      </w:pPr>
      <w:r w:rsidRPr="00F54559">
        <w:rPr>
          <w:rFonts w:eastAsia="Times New Roman" w:cstheme="minorHAnsi"/>
          <w:b w:val="0"/>
          <w:i w:val="0"/>
          <w:color w:val="000000"/>
          <w:sz w:val="24"/>
          <w:szCs w:val="20"/>
          <w:u w:val="none"/>
        </w:rPr>
        <w:t>The System’s irrevocable split-interest agreements consist of the System’s remainder interest in trusts held by third parties.  The System reports these irrevocable split-interest agreements as assets and deferred inflows of resources when it becomes aware of the agreement and has sufficient information to measure its beneficial interest.   The System recognizes the annual change in the fair values of the split interest agreements as an increase or decrease in the asset and the related deferred inflows of resources. The System will recognize revenue at the termination of the agreement, as stipulated in the irrevocable split-interest agreement.  Also, at the termination of the agreement, the split-interest asset and the related deferred inflow of resources will be eliminated.</w:t>
      </w:r>
    </w:p>
    <w:p w14:paraId="2DC29CC6" w14:textId="77777777" w:rsidR="00721CFD" w:rsidRPr="00F54559" w:rsidRDefault="00721CFD" w:rsidP="00721CFD">
      <w:pPr>
        <w:pStyle w:val="ReportHeading3"/>
        <w:spacing w:before="240"/>
        <w:rPr>
          <w:rFonts w:cstheme="minorHAnsi"/>
        </w:rPr>
      </w:pPr>
      <w:r>
        <w:rPr>
          <w:rFonts w:cstheme="minorHAnsi"/>
        </w:rPr>
        <w:t>m</w:t>
      </w:r>
      <w:r w:rsidRPr="00F54559">
        <w:rPr>
          <w:rFonts w:cstheme="minorHAnsi"/>
        </w:rPr>
        <w:t>. Unearned Revenue and Deposits</w:t>
      </w:r>
    </w:p>
    <w:p w14:paraId="1E052602" w14:textId="77777777" w:rsidR="00721CFD" w:rsidRDefault="00721CFD" w:rsidP="009C66AE">
      <w:pPr>
        <w:tabs>
          <w:tab w:val="left" w:pos="0"/>
        </w:tabs>
        <w:spacing w:after="120"/>
        <w:rPr>
          <w:rFonts w:cstheme="minorHAnsi"/>
          <w:spacing w:val="-3"/>
        </w:rPr>
      </w:pPr>
      <w:r w:rsidRPr="00F54559">
        <w:rPr>
          <w:rFonts w:cstheme="minorHAnsi"/>
          <w:spacing w:val="-3"/>
          <w:sz w:val="24"/>
        </w:rPr>
        <w:t xml:space="preserve">Unearned revenue and deposits in the Statements of Net Position consists primarily of grant and contract advances and deposits and advance payments received for tuition and fees related to certain summer programs and tuition received for the following academic year.  Unearned revenue for summer programs is presented net of </w:t>
      </w:r>
      <w:r>
        <w:rPr>
          <w:rFonts w:cstheme="minorHAnsi"/>
          <w:spacing w:val="-3"/>
          <w:sz w:val="24"/>
        </w:rPr>
        <w:t xml:space="preserve">waivers. Other expenses </w:t>
      </w:r>
      <w:r w:rsidRPr="00F54559">
        <w:rPr>
          <w:rFonts w:cstheme="minorHAnsi"/>
          <w:spacing w:val="-3"/>
          <w:sz w:val="24"/>
        </w:rPr>
        <w:t xml:space="preserve">related </w:t>
      </w:r>
      <w:r>
        <w:rPr>
          <w:rFonts w:cstheme="minorHAnsi"/>
          <w:spacing w:val="-3"/>
          <w:sz w:val="24"/>
        </w:rPr>
        <w:t>to unearned revenue for summer programs are presented as prepaids in the Statements of Net Position</w:t>
      </w:r>
      <w:r w:rsidRPr="00F54559">
        <w:rPr>
          <w:rFonts w:cstheme="minorHAnsi"/>
          <w:spacing w:val="-3"/>
          <w:sz w:val="24"/>
        </w:rPr>
        <w:t xml:space="preserve"> (e.g., </w:t>
      </w:r>
      <w:r>
        <w:rPr>
          <w:rFonts w:cstheme="minorHAnsi"/>
          <w:spacing w:val="-3"/>
          <w:sz w:val="24"/>
        </w:rPr>
        <w:t>scholarships, supplies</w:t>
      </w:r>
      <w:r w:rsidRPr="00F54559">
        <w:rPr>
          <w:rFonts w:cstheme="minorHAnsi"/>
          <w:spacing w:val="-3"/>
          <w:sz w:val="24"/>
        </w:rPr>
        <w:t>).</w:t>
      </w:r>
    </w:p>
    <w:p w14:paraId="24D02FCB" w14:textId="77777777" w:rsidR="0068384E" w:rsidRDefault="0068384E">
      <w:pPr>
        <w:spacing w:after="160" w:line="259" w:lineRule="auto"/>
        <w:rPr>
          <w:rFonts w:cstheme="minorHAnsi"/>
          <w:b/>
          <w:i/>
          <w:sz w:val="26"/>
          <w:u w:val="single" w:color="000000" w:themeColor="text1"/>
        </w:rPr>
      </w:pPr>
      <w:r>
        <w:rPr>
          <w:rFonts w:cstheme="minorHAnsi"/>
        </w:rPr>
        <w:br w:type="page"/>
      </w:r>
    </w:p>
    <w:p w14:paraId="64399066" w14:textId="47E9E570" w:rsidR="0068384E" w:rsidRPr="00782F42" w:rsidRDefault="0068384E" w:rsidP="00721CFD">
      <w:pPr>
        <w:pStyle w:val="AFR3"/>
        <w:rPr>
          <w:rFonts w:cstheme="minorHAnsi"/>
          <w:u w:val="none"/>
        </w:rPr>
      </w:pPr>
      <w:r w:rsidRPr="00782F42">
        <w:rPr>
          <w:rFonts w:eastAsiaTheme="majorEastAsia" w:cstheme="minorHAnsi"/>
          <w:iCs/>
          <w:smallCaps/>
          <w:noProof/>
          <w:color w:val="000000" w:themeColor="text1"/>
          <w:szCs w:val="26"/>
          <w:u w:val="none"/>
        </w:rPr>
        <w:lastRenderedPageBreak/>
        <w:t>1. SIGNIFICANT ACCOUNTING POLICIES - CONTINUED</w:t>
      </w:r>
      <w:r w:rsidRPr="00782F42">
        <w:rPr>
          <w:rFonts w:cstheme="minorHAnsi"/>
          <w:u w:val="none"/>
        </w:rPr>
        <w:t xml:space="preserve"> </w:t>
      </w:r>
    </w:p>
    <w:p w14:paraId="468FD88B" w14:textId="2E754735" w:rsidR="00721CFD" w:rsidRPr="00F54559" w:rsidRDefault="00721CFD" w:rsidP="00721CFD">
      <w:pPr>
        <w:pStyle w:val="AFR3"/>
        <w:rPr>
          <w:rFonts w:cstheme="minorHAnsi"/>
        </w:rPr>
      </w:pPr>
      <w:r>
        <w:rPr>
          <w:rFonts w:cstheme="minorHAnsi"/>
        </w:rPr>
        <w:t>n</w:t>
      </w:r>
      <w:r w:rsidRPr="00F54559">
        <w:rPr>
          <w:rFonts w:cstheme="minorHAnsi"/>
        </w:rPr>
        <w:t>. Compensated Absences</w:t>
      </w:r>
    </w:p>
    <w:p w14:paraId="177320B8" w14:textId="524B8F02" w:rsidR="00721CFD" w:rsidRPr="00F54559" w:rsidRDefault="00721CFD" w:rsidP="00721CFD">
      <w:pPr>
        <w:tabs>
          <w:tab w:val="left" w:pos="720"/>
          <w:tab w:val="left" w:pos="1080"/>
          <w:tab w:val="left" w:pos="5040"/>
        </w:tabs>
        <w:suppressAutoHyphens/>
        <w:rPr>
          <w:rFonts w:cstheme="minorHAnsi"/>
          <w:bCs/>
          <w:spacing w:val="-3"/>
          <w:sz w:val="24"/>
        </w:rPr>
      </w:pPr>
      <w:r w:rsidRPr="00F54559">
        <w:rPr>
          <w:rFonts w:cstheme="minorHAnsi"/>
          <w:bCs/>
          <w:spacing w:val="-3"/>
          <w:sz w:val="24"/>
        </w:rPr>
        <w:t>Employees earn the right to be compensated during absences for annual vacation leave. The accompanying Statements of Net Position reflect an accrual for the amounts earned, including related benefits ultimately payable.  The System accounts for the vacation leave hours on a last-in, first-out basis.  A portion of this liability is classified as current and represents the System’s estimate of vacation time that will be paid during the next fiscal year to employees leaving the System.</w:t>
      </w:r>
    </w:p>
    <w:p w14:paraId="36BAEC9D" w14:textId="77777777" w:rsidR="00721CFD" w:rsidRPr="00F54559" w:rsidRDefault="00721CFD" w:rsidP="00721CFD">
      <w:pPr>
        <w:pStyle w:val="AFR3"/>
        <w:rPr>
          <w:rFonts w:cstheme="minorHAnsi"/>
        </w:rPr>
      </w:pPr>
      <w:r>
        <w:rPr>
          <w:rFonts w:cstheme="minorHAnsi"/>
        </w:rPr>
        <w:t>o</w:t>
      </w:r>
      <w:r w:rsidRPr="00F54559">
        <w:rPr>
          <w:rFonts w:cstheme="minorHAnsi"/>
        </w:rPr>
        <w:t>. Deferred Outflows and Deferred Inflows of Resources</w:t>
      </w:r>
    </w:p>
    <w:p w14:paraId="3C141E99" w14:textId="77777777" w:rsidR="00721CFD" w:rsidRPr="00F54559" w:rsidRDefault="00721CFD" w:rsidP="00721CFD">
      <w:pPr>
        <w:tabs>
          <w:tab w:val="left" w:pos="1080"/>
          <w:tab w:val="left" w:pos="5040"/>
        </w:tabs>
        <w:suppressAutoHyphens/>
        <w:rPr>
          <w:rFonts w:cstheme="minorHAnsi"/>
          <w:bCs/>
          <w:spacing w:val="-3"/>
          <w:sz w:val="24"/>
        </w:rPr>
      </w:pPr>
      <w:r w:rsidRPr="00F54559">
        <w:rPr>
          <w:rFonts w:cstheme="minorHAnsi"/>
          <w:bCs/>
          <w:spacing w:val="-3"/>
          <w:sz w:val="24"/>
        </w:rPr>
        <w:t>Deferred outflows of resources are the consumption of assets or increase in liabilities that is applicable to future reporting periods. Deferred outflows of resources are presented separately after Total Assets in the Statements of Net Position.</w:t>
      </w:r>
    </w:p>
    <w:p w14:paraId="6AE6AC12" w14:textId="77777777" w:rsidR="00721CFD" w:rsidRPr="00F54559" w:rsidRDefault="00721CFD" w:rsidP="00721CFD">
      <w:pPr>
        <w:tabs>
          <w:tab w:val="left" w:pos="1080"/>
          <w:tab w:val="left" w:pos="5040"/>
        </w:tabs>
        <w:suppressAutoHyphens/>
        <w:rPr>
          <w:rFonts w:cstheme="minorHAnsi"/>
          <w:bCs/>
          <w:spacing w:val="-3"/>
          <w:sz w:val="24"/>
          <w:szCs w:val="20"/>
        </w:rPr>
      </w:pPr>
    </w:p>
    <w:p w14:paraId="2E641C3C" w14:textId="77777777" w:rsidR="00721CFD" w:rsidRPr="00F54559" w:rsidRDefault="00721CFD" w:rsidP="00721CFD">
      <w:pPr>
        <w:autoSpaceDE w:val="0"/>
        <w:autoSpaceDN w:val="0"/>
        <w:adjustRightInd w:val="0"/>
        <w:spacing w:after="160"/>
        <w:rPr>
          <w:rFonts w:eastAsia="Calibri" w:cstheme="minorHAnsi"/>
          <w:bCs/>
          <w:color w:val="000000"/>
          <w:spacing w:val="-3"/>
          <w:sz w:val="24"/>
          <w:szCs w:val="24"/>
        </w:rPr>
      </w:pPr>
      <w:r w:rsidRPr="00F54559">
        <w:rPr>
          <w:rFonts w:eastAsia="Calibri" w:cstheme="minorHAnsi"/>
          <w:bCs/>
          <w:color w:val="000000"/>
          <w:spacing w:val="-3"/>
          <w:sz w:val="24"/>
          <w:szCs w:val="24"/>
        </w:rPr>
        <w:t xml:space="preserve">The System’s deferred outflows consist of: </w:t>
      </w:r>
    </w:p>
    <w:p w14:paraId="519C00A3" w14:textId="77777777" w:rsidR="00721CFD" w:rsidRPr="00F54559" w:rsidRDefault="00721CFD" w:rsidP="007840A5">
      <w:pPr>
        <w:numPr>
          <w:ilvl w:val="0"/>
          <w:numId w:val="6"/>
        </w:numPr>
        <w:autoSpaceDE w:val="0"/>
        <w:autoSpaceDN w:val="0"/>
        <w:adjustRightInd w:val="0"/>
        <w:ind w:hanging="446"/>
        <w:rPr>
          <w:rFonts w:eastAsia="Calibri" w:cstheme="minorHAnsi"/>
          <w:bCs/>
          <w:color w:val="000000"/>
          <w:spacing w:val="-3"/>
          <w:sz w:val="24"/>
        </w:rPr>
      </w:pPr>
      <w:r w:rsidRPr="00F54559">
        <w:rPr>
          <w:rFonts w:eastAsia="Calibri" w:cstheme="minorHAnsi"/>
          <w:bCs/>
          <w:color w:val="000000"/>
          <w:spacing w:val="-3"/>
          <w:sz w:val="24"/>
          <w:szCs w:val="24"/>
        </w:rPr>
        <w:t xml:space="preserve">The difference between the reacquisition price and the carrying value of refunded revenue bonds.  These amounts are to be recognized as a component of interest expense over the shorter of the remaining life of the refunded bonds or the life of the </w:t>
      </w:r>
      <w:r w:rsidRPr="00F54559">
        <w:rPr>
          <w:rFonts w:eastAsia="Calibri" w:cstheme="minorHAnsi"/>
          <w:bCs/>
          <w:color w:val="000000"/>
          <w:spacing w:val="-3"/>
          <w:sz w:val="24"/>
        </w:rPr>
        <w:t>new bonds.</w:t>
      </w:r>
    </w:p>
    <w:p w14:paraId="68D15B0F" w14:textId="77777777" w:rsidR="00721CFD" w:rsidRPr="00F54559" w:rsidRDefault="00721CFD" w:rsidP="00A16F53">
      <w:pPr>
        <w:numPr>
          <w:ilvl w:val="0"/>
          <w:numId w:val="6"/>
        </w:numPr>
        <w:autoSpaceDE w:val="0"/>
        <w:autoSpaceDN w:val="0"/>
        <w:adjustRightInd w:val="0"/>
        <w:ind w:hanging="446"/>
        <w:rPr>
          <w:rFonts w:eastAsia="Times New Roman" w:cstheme="minorHAnsi"/>
          <w:color w:val="000000"/>
          <w:sz w:val="24"/>
        </w:rPr>
      </w:pPr>
      <w:r w:rsidRPr="00F54559">
        <w:rPr>
          <w:rFonts w:eastAsia="Times New Roman" w:cstheme="minorHAnsi"/>
          <w:color w:val="000000"/>
          <w:sz w:val="24"/>
        </w:rPr>
        <w:t>Assumption and experience changes and net investment losses that increase the pension and OPEB liabilities. These amounts are to be recognized as components of pension and postemployment health expense in future reporting periods.</w:t>
      </w:r>
    </w:p>
    <w:p w14:paraId="429F333A" w14:textId="77777777" w:rsidR="00721CFD" w:rsidRPr="00F54559" w:rsidRDefault="00721CFD" w:rsidP="00721CFD">
      <w:pPr>
        <w:tabs>
          <w:tab w:val="left" w:pos="1080"/>
          <w:tab w:val="left" w:pos="5040"/>
        </w:tabs>
        <w:suppressAutoHyphens/>
        <w:ind w:left="1080"/>
        <w:rPr>
          <w:rFonts w:cstheme="minorHAnsi"/>
          <w:bCs/>
          <w:spacing w:val="-3"/>
          <w:sz w:val="20"/>
          <w:szCs w:val="20"/>
        </w:rPr>
      </w:pPr>
    </w:p>
    <w:p w14:paraId="707D1DAC" w14:textId="77777777" w:rsidR="00721CFD" w:rsidRPr="00F54559" w:rsidRDefault="00721CFD" w:rsidP="00721CFD">
      <w:pPr>
        <w:tabs>
          <w:tab w:val="left" w:pos="1080"/>
          <w:tab w:val="left" w:pos="5040"/>
        </w:tabs>
        <w:suppressAutoHyphens/>
        <w:rPr>
          <w:rFonts w:cstheme="minorHAnsi"/>
          <w:bCs/>
          <w:spacing w:val="-3"/>
          <w:sz w:val="24"/>
        </w:rPr>
      </w:pPr>
      <w:r w:rsidRPr="00F54559">
        <w:rPr>
          <w:rFonts w:cstheme="minorHAnsi"/>
          <w:bCs/>
          <w:spacing w:val="-3"/>
          <w:sz w:val="24"/>
        </w:rPr>
        <w:t>Deferred inflows of resources are the acquisition of assets or reduction of liabilities that is applicable to future reporting periods. Deferred inflows of resources are presented separately after Total Liabilities in the Statements of Net Position.</w:t>
      </w:r>
    </w:p>
    <w:p w14:paraId="0AE83504" w14:textId="77777777" w:rsidR="00721CFD" w:rsidRPr="00F54559" w:rsidRDefault="00721CFD" w:rsidP="00721CFD">
      <w:pPr>
        <w:rPr>
          <w:rFonts w:cstheme="minorHAnsi"/>
          <w:sz w:val="24"/>
          <w:szCs w:val="24"/>
        </w:rPr>
      </w:pPr>
    </w:p>
    <w:p w14:paraId="094692BA" w14:textId="77777777" w:rsidR="00721CFD" w:rsidRDefault="00721CFD" w:rsidP="00721CFD">
      <w:pPr>
        <w:spacing w:after="160"/>
        <w:rPr>
          <w:rFonts w:cstheme="minorHAnsi"/>
          <w:sz w:val="24"/>
          <w:szCs w:val="24"/>
        </w:rPr>
      </w:pPr>
      <w:r w:rsidRPr="00F54559">
        <w:rPr>
          <w:rFonts w:cstheme="minorHAnsi"/>
          <w:sz w:val="24"/>
          <w:szCs w:val="24"/>
        </w:rPr>
        <w:t>The System’s deferred inflows of resources consist of:</w:t>
      </w:r>
    </w:p>
    <w:p w14:paraId="512F2BBE" w14:textId="77777777" w:rsidR="00721CFD" w:rsidRPr="00F54559" w:rsidRDefault="00721CFD" w:rsidP="007840A5">
      <w:pPr>
        <w:numPr>
          <w:ilvl w:val="0"/>
          <w:numId w:val="11"/>
        </w:numPr>
        <w:rPr>
          <w:rFonts w:eastAsia="Times New Roman" w:cstheme="minorHAnsi"/>
          <w:sz w:val="24"/>
          <w:szCs w:val="24"/>
        </w:rPr>
      </w:pPr>
      <w:r w:rsidRPr="00F54559">
        <w:rPr>
          <w:rFonts w:eastAsia="Times New Roman" w:cstheme="minorHAnsi"/>
          <w:color w:val="000000"/>
          <w:sz w:val="24"/>
        </w:rPr>
        <w:t>Assumption and experience changes</w:t>
      </w:r>
      <w:r w:rsidRPr="00F54559">
        <w:rPr>
          <w:rFonts w:eastAsia="Times New Roman" w:cstheme="minorHAnsi"/>
          <w:sz w:val="24"/>
          <w:szCs w:val="24"/>
        </w:rPr>
        <w:t xml:space="preserve"> and net investment gains that reduce the pension </w:t>
      </w:r>
      <w:r w:rsidRPr="00F54559">
        <w:rPr>
          <w:rFonts w:eastAsia="Times New Roman" w:cstheme="minorHAnsi"/>
          <w:color w:val="000000"/>
          <w:sz w:val="24"/>
        </w:rPr>
        <w:t>and OPEB liabilities. These amounts are</w:t>
      </w:r>
      <w:r w:rsidRPr="00F54559" w:rsidDel="00D436FC">
        <w:rPr>
          <w:rFonts w:eastAsia="Times New Roman" w:cstheme="minorHAnsi"/>
          <w:sz w:val="24"/>
          <w:szCs w:val="24"/>
        </w:rPr>
        <w:t xml:space="preserve"> </w:t>
      </w:r>
      <w:r w:rsidRPr="00F54559">
        <w:rPr>
          <w:rFonts w:eastAsia="Times New Roman" w:cstheme="minorHAnsi"/>
          <w:sz w:val="24"/>
          <w:szCs w:val="24"/>
        </w:rPr>
        <w:t>to be recognized as components</w:t>
      </w:r>
      <w:r w:rsidRPr="00F54559">
        <w:rPr>
          <w:rFonts w:eastAsia="Times New Roman" w:cstheme="minorHAnsi"/>
          <w:color w:val="000000"/>
          <w:sz w:val="24"/>
        </w:rPr>
        <w:t xml:space="preserve"> of pension and postemployment health expense in future reporting periods.</w:t>
      </w:r>
    </w:p>
    <w:p w14:paraId="19ADFE4E" w14:textId="77777777" w:rsidR="00721CFD" w:rsidRDefault="00721CFD" w:rsidP="007840A5">
      <w:pPr>
        <w:numPr>
          <w:ilvl w:val="0"/>
          <w:numId w:val="11"/>
        </w:numPr>
        <w:rPr>
          <w:rFonts w:eastAsia="Times New Roman" w:cstheme="minorHAnsi"/>
          <w:sz w:val="24"/>
          <w:szCs w:val="24"/>
        </w:rPr>
      </w:pPr>
      <w:r w:rsidRPr="00F54559">
        <w:rPr>
          <w:rFonts w:eastAsia="Times New Roman" w:cstheme="minorHAnsi"/>
          <w:sz w:val="24"/>
          <w:szCs w:val="24"/>
        </w:rPr>
        <w:t xml:space="preserve">The unamortized balances of a service concession arrangement with Sodexo America, LLC that provided the System with equipment, facility improvements, and a signing </w:t>
      </w:r>
      <w:r w:rsidRPr="00F54559">
        <w:rPr>
          <w:rFonts w:eastAsia="Times New Roman" w:cstheme="minorHAnsi"/>
          <w:color w:val="000000"/>
          <w:sz w:val="24"/>
        </w:rPr>
        <w:t>bonus. These amounts will be recognized as revenue over the life of the</w:t>
      </w:r>
      <w:r w:rsidRPr="00F54559">
        <w:rPr>
          <w:rFonts w:eastAsia="Times New Roman" w:cstheme="minorHAnsi"/>
          <w:sz w:val="24"/>
          <w:szCs w:val="24"/>
        </w:rPr>
        <w:t xml:space="preserve"> agreement.</w:t>
      </w:r>
    </w:p>
    <w:p w14:paraId="4301A77D" w14:textId="77777777" w:rsidR="00721CFD" w:rsidRPr="00F54559" w:rsidRDefault="00721CFD" w:rsidP="007840A5">
      <w:pPr>
        <w:numPr>
          <w:ilvl w:val="0"/>
          <w:numId w:val="11"/>
        </w:numPr>
        <w:rPr>
          <w:rFonts w:eastAsia="Times New Roman" w:cstheme="minorHAnsi"/>
          <w:sz w:val="24"/>
          <w:szCs w:val="24"/>
        </w:rPr>
      </w:pPr>
      <w:r w:rsidRPr="00E97B80">
        <w:rPr>
          <w:rFonts w:eastAsia="Times New Roman" w:cstheme="minorHAnsi"/>
          <w:sz w:val="24"/>
          <w:szCs w:val="24"/>
        </w:rPr>
        <w:t>An offsetting credit to the fair value of the System’s remainder interest in irrevocable split-interest agreements.  These deferrals will be recognized as gift income at the termination of the split-interest agreement.</w:t>
      </w:r>
    </w:p>
    <w:p w14:paraId="3183463F" w14:textId="77777777" w:rsidR="00721CFD" w:rsidRPr="00F62FF6" w:rsidRDefault="00721CFD" w:rsidP="007840A5">
      <w:pPr>
        <w:numPr>
          <w:ilvl w:val="0"/>
          <w:numId w:val="11"/>
        </w:numPr>
        <w:spacing w:line="259" w:lineRule="auto"/>
        <w:rPr>
          <w:rFonts w:eastAsiaTheme="majorEastAsia" w:cstheme="minorHAnsi"/>
          <w:b/>
          <w:i/>
          <w:iCs/>
          <w:smallCaps/>
          <w:noProof/>
          <w:color w:val="000000" w:themeColor="text1"/>
          <w:sz w:val="26"/>
          <w:szCs w:val="26"/>
          <w:u w:color="5B9BD5"/>
        </w:rPr>
      </w:pPr>
      <w:r w:rsidRPr="00363735">
        <w:rPr>
          <w:rFonts w:eastAsia="Times New Roman" w:cstheme="minorHAnsi"/>
          <w:sz w:val="24"/>
          <w:szCs w:val="24"/>
        </w:rPr>
        <w:t>An offsetting credit to the n</w:t>
      </w:r>
      <w:r w:rsidRPr="002B0AD0">
        <w:rPr>
          <w:rFonts w:eastAsia="Times New Roman" w:cstheme="minorHAnsi"/>
          <w:sz w:val="24"/>
          <w:szCs w:val="24"/>
        </w:rPr>
        <w:t xml:space="preserve">et present value of the System’s lease receivables.  These </w:t>
      </w:r>
      <w:r>
        <w:rPr>
          <w:rFonts w:eastAsia="Times New Roman" w:cstheme="minorHAnsi"/>
          <w:sz w:val="24"/>
          <w:szCs w:val="24"/>
        </w:rPr>
        <w:t>amounts</w:t>
      </w:r>
      <w:r w:rsidRPr="00363735">
        <w:rPr>
          <w:rFonts w:eastAsia="Times New Roman" w:cstheme="minorHAnsi"/>
          <w:sz w:val="24"/>
          <w:szCs w:val="24"/>
        </w:rPr>
        <w:t xml:space="preserve"> will be recognized as </w:t>
      </w:r>
      <w:r w:rsidRPr="002B0AD0">
        <w:rPr>
          <w:rFonts w:eastAsia="Times New Roman" w:cstheme="minorHAnsi"/>
          <w:sz w:val="24"/>
          <w:szCs w:val="24"/>
        </w:rPr>
        <w:t>rental income over the life of the agreement.</w:t>
      </w:r>
    </w:p>
    <w:p w14:paraId="7E684136" w14:textId="77777777" w:rsidR="00A16F53" w:rsidRDefault="00A16F53" w:rsidP="009A718B">
      <w:pPr>
        <w:spacing w:after="160"/>
        <w:rPr>
          <w:rFonts w:eastAsiaTheme="majorEastAsia" w:cstheme="minorHAnsi"/>
          <w:b/>
          <w:i/>
          <w:iCs/>
          <w:smallCaps/>
          <w:noProof/>
          <w:color w:val="000000" w:themeColor="text1"/>
          <w:sz w:val="26"/>
          <w:szCs w:val="26"/>
          <w:u w:color="5B9BD5"/>
        </w:rPr>
      </w:pPr>
      <w:r>
        <w:rPr>
          <w:rFonts w:eastAsiaTheme="majorEastAsia" w:cstheme="minorHAnsi"/>
          <w:b/>
          <w:i/>
          <w:iCs/>
          <w:smallCaps/>
          <w:noProof/>
          <w:color w:val="000000" w:themeColor="text1"/>
          <w:sz w:val="26"/>
          <w:szCs w:val="26"/>
          <w:u w:color="5B9BD5"/>
        </w:rPr>
        <w:br w:type="page"/>
      </w:r>
    </w:p>
    <w:p w14:paraId="0627BFAB" w14:textId="4A17641B" w:rsidR="0068384E" w:rsidRPr="009A718B" w:rsidRDefault="0068384E" w:rsidP="009A718B">
      <w:pPr>
        <w:spacing w:after="160"/>
        <w:rPr>
          <w:rFonts w:eastAsiaTheme="majorEastAsia" w:cstheme="minorHAnsi"/>
          <w:b/>
          <w:i/>
          <w:iCs/>
          <w:smallCaps/>
          <w:noProof/>
          <w:color w:val="000000" w:themeColor="text1"/>
          <w:sz w:val="26"/>
          <w:szCs w:val="26"/>
          <w:u w:color="5B9BD5"/>
        </w:rPr>
      </w:pPr>
      <w:r w:rsidRPr="009A718B">
        <w:rPr>
          <w:rFonts w:eastAsiaTheme="majorEastAsia" w:cstheme="minorHAnsi"/>
          <w:b/>
          <w:i/>
          <w:iCs/>
          <w:smallCaps/>
          <w:noProof/>
          <w:color w:val="000000" w:themeColor="text1"/>
          <w:sz w:val="26"/>
          <w:szCs w:val="26"/>
          <w:u w:color="5B9BD5"/>
        </w:rPr>
        <w:lastRenderedPageBreak/>
        <w:t>1. SIGNIFICANT ACCOUNTING POLICIES - CONTINUED</w:t>
      </w:r>
    </w:p>
    <w:p w14:paraId="142A9E94" w14:textId="77777777" w:rsidR="00721CFD" w:rsidRPr="00F54559" w:rsidRDefault="00721CFD" w:rsidP="00721CFD">
      <w:pPr>
        <w:pStyle w:val="AFR3"/>
        <w:rPr>
          <w:rFonts w:cstheme="minorHAnsi"/>
        </w:rPr>
      </w:pPr>
      <w:r>
        <w:rPr>
          <w:rFonts w:cstheme="minorHAnsi"/>
        </w:rPr>
        <w:t>p</w:t>
      </w:r>
      <w:r w:rsidRPr="00F54559">
        <w:rPr>
          <w:rFonts w:cstheme="minorHAnsi"/>
        </w:rPr>
        <w:t>. Net Student Fees</w:t>
      </w:r>
    </w:p>
    <w:p w14:paraId="42125661" w14:textId="2CE1ED7C" w:rsidR="00721CFD" w:rsidRDefault="00721CFD" w:rsidP="00721CFD">
      <w:pPr>
        <w:tabs>
          <w:tab w:val="left" w:pos="900"/>
          <w:tab w:val="left" w:pos="1440"/>
          <w:tab w:val="left" w:pos="5040"/>
        </w:tabs>
        <w:suppressAutoHyphens/>
        <w:rPr>
          <w:rFonts w:eastAsia="Times New Roman" w:cstheme="minorHAnsi"/>
          <w:spacing w:val="-3"/>
          <w:sz w:val="24"/>
          <w:szCs w:val="24"/>
        </w:rPr>
      </w:pPr>
      <w:r w:rsidRPr="00F54559">
        <w:rPr>
          <w:rFonts w:eastAsia="Times New Roman" w:cstheme="minorHAnsi"/>
          <w:spacing w:val="-3"/>
          <w:sz w:val="24"/>
          <w:szCs w:val="24"/>
        </w:rPr>
        <w:t>Student tuition, dining, residence, and other fees are presented net of scholarships and fellowships applied to students’ accounts.  Certain other scholarship amounts are paid directly to, or refunded to, the student and are generally reflected as student aid expense.</w:t>
      </w:r>
    </w:p>
    <w:p w14:paraId="54888D12" w14:textId="77777777" w:rsidR="00721CFD" w:rsidRPr="00F54559" w:rsidRDefault="00721CFD" w:rsidP="00721CFD">
      <w:pPr>
        <w:pStyle w:val="AFR3"/>
        <w:rPr>
          <w:rFonts w:cstheme="minorHAnsi"/>
        </w:rPr>
      </w:pPr>
      <w:r>
        <w:rPr>
          <w:rFonts w:cstheme="minorHAnsi"/>
        </w:rPr>
        <w:t>q</w:t>
      </w:r>
      <w:r w:rsidRPr="00F54559">
        <w:rPr>
          <w:rFonts w:cstheme="minorHAnsi"/>
        </w:rPr>
        <w:t>. Tax Status</w:t>
      </w:r>
    </w:p>
    <w:p w14:paraId="1598D078" w14:textId="77777777" w:rsidR="00721CFD" w:rsidRPr="00F54559" w:rsidRDefault="00721CFD" w:rsidP="00721CFD">
      <w:pPr>
        <w:rPr>
          <w:rFonts w:cstheme="minorHAnsi"/>
          <w:sz w:val="24"/>
        </w:rPr>
      </w:pPr>
      <w:r w:rsidRPr="00F54559">
        <w:rPr>
          <w:rFonts w:cstheme="minorHAnsi"/>
          <w:sz w:val="24"/>
        </w:rPr>
        <w:t>The System is exempt from income taxes under Section 115 of the Internal Revenue Code (“the Code”) as a governmental entity.  It is also recognized by the Internal Revenue Service as an organization described in Section 501(c)(3) of the Code.</w:t>
      </w:r>
    </w:p>
    <w:p w14:paraId="228258C6" w14:textId="77777777" w:rsidR="00721CFD" w:rsidRPr="00F54559" w:rsidRDefault="00721CFD" w:rsidP="00721CFD">
      <w:pPr>
        <w:pStyle w:val="AFR3"/>
        <w:rPr>
          <w:rFonts w:cstheme="minorHAnsi"/>
        </w:rPr>
      </w:pPr>
      <w:r>
        <w:rPr>
          <w:rFonts w:cstheme="minorHAnsi"/>
        </w:rPr>
        <w:t>r</w:t>
      </w:r>
      <w:r w:rsidRPr="00F54559">
        <w:rPr>
          <w:rFonts w:cstheme="minorHAnsi"/>
        </w:rPr>
        <w:t>. Use of Estimates</w:t>
      </w:r>
    </w:p>
    <w:p w14:paraId="55C2C524" w14:textId="309F9AFB" w:rsidR="005B6CCB" w:rsidRDefault="00721CFD" w:rsidP="009A718B">
      <w:pPr>
        <w:tabs>
          <w:tab w:val="left" w:pos="1440"/>
          <w:tab w:val="left" w:pos="1848"/>
          <w:tab w:val="left" w:pos="5040"/>
          <w:tab w:val="right" w:pos="7260"/>
        </w:tabs>
        <w:suppressAutoHyphens/>
        <w:rPr>
          <w:rFonts w:eastAsiaTheme="majorEastAsia" w:cstheme="minorHAnsi"/>
          <w:b/>
          <w:i/>
          <w:iCs/>
          <w:smallCaps/>
          <w:noProof/>
          <w:color w:val="000000" w:themeColor="text1"/>
          <w:sz w:val="26"/>
          <w:szCs w:val="26"/>
          <w:u w:color="5B9BD5"/>
        </w:rPr>
      </w:pPr>
      <w:r w:rsidRPr="00F54559">
        <w:rPr>
          <w:rFonts w:cstheme="minorHAnsi"/>
          <w:spacing w:val="-3"/>
          <w:sz w:val="24"/>
        </w:rPr>
        <w:t xml:space="preserve">The preparation of financial statements in conformity with U.S. </w:t>
      </w:r>
      <w:r w:rsidRPr="00F54559">
        <w:rPr>
          <w:rFonts w:cstheme="minorHAnsi"/>
          <w:sz w:val="24"/>
        </w:rPr>
        <w:t>GAAP</w:t>
      </w:r>
      <w:r w:rsidRPr="00F54559">
        <w:rPr>
          <w:rFonts w:cstheme="minorHAnsi"/>
          <w:spacing w:val="-3"/>
          <w:sz w:val="24"/>
        </w:rPr>
        <w:t xml:space="preserve"> requires management to make estimates and assumptions that affect the reported amounts of assets and liabilities and disclosures of contingent assets and liabilities at the dates of the financial statements and the reported amounts of revenues and expenses during the reporting periods.  The most significant estimates in the financial statements include liabilities for self-insured plans, pension and other retirement benefit obligations, as well as allowances for uncollectible receivables.  Actual results could differ from those estimates.</w:t>
      </w:r>
    </w:p>
    <w:p w14:paraId="62F15CFC" w14:textId="2075797F" w:rsidR="00721CFD" w:rsidRPr="00F54559" w:rsidRDefault="00721CFD" w:rsidP="00721CFD">
      <w:pPr>
        <w:pStyle w:val="AFR2"/>
        <w:rPr>
          <w:rFonts w:cstheme="minorHAnsi"/>
          <w:sz w:val="26"/>
          <w:szCs w:val="26"/>
        </w:rPr>
      </w:pPr>
      <w:r w:rsidRPr="00F54559">
        <w:rPr>
          <w:rFonts w:cstheme="minorHAnsi"/>
          <w:sz w:val="26"/>
          <w:szCs w:val="26"/>
        </w:rPr>
        <w:t>2. CASH AND CASH EQUIVALENTS</w:t>
      </w:r>
    </w:p>
    <w:p w14:paraId="608910CD" w14:textId="77777777" w:rsidR="00721CFD" w:rsidRPr="00F54559" w:rsidRDefault="00721CFD" w:rsidP="00721CFD">
      <w:pPr>
        <w:tabs>
          <w:tab w:val="left" w:pos="720"/>
          <w:tab w:val="left" w:pos="1440"/>
          <w:tab w:val="left" w:pos="5040"/>
        </w:tabs>
        <w:suppressAutoHyphens/>
        <w:rPr>
          <w:rFonts w:eastAsiaTheme="majorEastAsia" w:cstheme="minorHAnsi"/>
          <w:b/>
          <w:i/>
          <w:iCs/>
          <w:smallCaps/>
          <w:noProof/>
          <w:color w:val="000000" w:themeColor="text1"/>
          <w:sz w:val="24"/>
          <w:szCs w:val="28"/>
          <w:u w:color="5B9BD5"/>
        </w:rPr>
      </w:pPr>
      <w:r w:rsidRPr="00F54559">
        <w:rPr>
          <w:rFonts w:cstheme="minorHAnsi"/>
          <w:sz w:val="24"/>
        </w:rPr>
        <w:t>Custodial credit risk is the risk that in the event of bank failure, the System’s deposits</w:t>
      </w:r>
      <w:r>
        <w:rPr>
          <w:rFonts w:cstheme="minorHAnsi"/>
          <w:sz w:val="24"/>
        </w:rPr>
        <w:t>, including those held in a fiduciary capacity,</w:t>
      </w:r>
      <w:r w:rsidRPr="00F54559">
        <w:rPr>
          <w:rFonts w:cstheme="minorHAnsi"/>
          <w:sz w:val="24"/>
        </w:rPr>
        <w:t xml:space="preserve"> may not be returned. Deposits are considered uninsured if they are not covered by depository insurance and are (a) uncollateralized, (b) collateralized with securities held by the pledging financial institution, or (c) collateralized with securities held by the pledging financial institution’s trust department or agent but not in the System’s name.  The System’s policy is that with the exception of daily operating cash, it will carry no deposits that are uncollateralized or uninsured.  As of June 30, 20</w:t>
      </w:r>
      <w:r>
        <w:rPr>
          <w:rFonts w:cstheme="minorHAnsi"/>
          <w:sz w:val="24"/>
        </w:rPr>
        <w:t>22</w:t>
      </w:r>
      <w:r w:rsidRPr="00F54559">
        <w:rPr>
          <w:rFonts w:cstheme="minorHAnsi"/>
          <w:b/>
          <w:sz w:val="24"/>
        </w:rPr>
        <w:t xml:space="preserve"> </w:t>
      </w:r>
      <w:r w:rsidRPr="00F54559">
        <w:rPr>
          <w:rFonts w:cstheme="minorHAnsi"/>
          <w:sz w:val="24"/>
        </w:rPr>
        <w:t>and 20</w:t>
      </w:r>
      <w:r>
        <w:rPr>
          <w:rFonts w:cstheme="minorHAnsi"/>
          <w:sz w:val="24"/>
        </w:rPr>
        <w:t>21</w:t>
      </w:r>
      <w:r w:rsidRPr="00F54559">
        <w:rPr>
          <w:rFonts w:cstheme="minorHAnsi"/>
          <w:sz w:val="24"/>
        </w:rPr>
        <w:t>, bank balances with uninsured or uncollateralized operating cash deposits were $</w:t>
      </w:r>
      <w:r w:rsidRPr="001C0A99">
        <w:rPr>
          <w:rFonts w:cstheme="minorHAnsi"/>
          <w:sz w:val="24"/>
        </w:rPr>
        <w:t>4,561</w:t>
      </w:r>
      <w:r w:rsidRPr="00363735">
        <w:rPr>
          <w:rFonts w:cstheme="minorHAnsi"/>
          <w:sz w:val="24"/>
        </w:rPr>
        <w:t xml:space="preserve"> </w:t>
      </w:r>
      <w:r w:rsidRPr="00F54559">
        <w:rPr>
          <w:rFonts w:cstheme="minorHAnsi"/>
          <w:sz w:val="24"/>
        </w:rPr>
        <w:t>and $</w:t>
      </w:r>
      <w:r>
        <w:rPr>
          <w:rFonts w:cstheme="minorHAnsi"/>
          <w:sz w:val="24"/>
        </w:rPr>
        <w:t>1,156</w:t>
      </w:r>
      <w:r w:rsidRPr="00F54559">
        <w:rPr>
          <w:rFonts w:cstheme="minorHAnsi"/>
          <w:sz w:val="24"/>
        </w:rPr>
        <w:t>, respectively.</w:t>
      </w:r>
      <w:r>
        <w:rPr>
          <w:rFonts w:cstheme="minorHAnsi"/>
          <w:sz w:val="24"/>
        </w:rPr>
        <w:t xml:space="preserve"> </w:t>
      </w:r>
    </w:p>
    <w:p w14:paraId="05567FD6" w14:textId="77777777" w:rsidR="00721CFD" w:rsidRPr="00F54559" w:rsidRDefault="00721CFD" w:rsidP="00721CFD">
      <w:pPr>
        <w:pStyle w:val="AFR2"/>
        <w:rPr>
          <w:rFonts w:cstheme="minorHAnsi"/>
          <w:sz w:val="26"/>
          <w:szCs w:val="26"/>
        </w:rPr>
      </w:pPr>
      <w:r w:rsidRPr="00F54559">
        <w:rPr>
          <w:rFonts w:cstheme="minorHAnsi"/>
          <w:sz w:val="26"/>
          <w:szCs w:val="26"/>
        </w:rPr>
        <w:t>3. INVESTMENTS</w:t>
      </w:r>
    </w:p>
    <w:p w14:paraId="6272F5C7" w14:textId="77777777" w:rsidR="00721CFD" w:rsidRPr="00F54559" w:rsidRDefault="00721CFD" w:rsidP="00721CFD">
      <w:pPr>
        <w:pStyle w:val="AFR3"/>
        <w:rPr>
          <w:rFonts w:cstheme="minorHAnsi"/>
        </w:rPr>
      </w:pPr>
      <w:r w:rsidRPr="00F54559">
        <w:rPr>
          <w:rFonts w:cstheme="minorHAnsi"/>
        </w:rPr>
        <w:t>a. Composition and Fair Value Measurements</w:t>
      </w:r>
    </w:p>
    <w:p w14:paraId="6F4BC69B" w14:textId="77777777" w:rsidR="00721CFD" w:rsidRPr="00F54559" w:rsidRDefault="00721CFD" w:rsidP="00721CFD">
      <w:pPr>
        <w:pStyle w:val="AFR5"/>
        <w:spacing w:after="120"/>
        <w:ind w:left="0"/>
        <w:jc w:val="left"/>
        <w:rPr>
          <w:rFonts w:asciiTheme="minorHAnsi" w:hAnsiTheme="minorHAnsi" w:cstheme="minorHAnsi"/>
          <w:u w:val="single"/>
        </w:rPr>
      </w:pPr>
      <w:r w:rsidRPr="00F54559">
        <w:rPr>
          <w:rFonts w:asciiTheme="minorHAnsi" w:hAnsiTheme="minorHAnsi" w:cstheme="minorHAnsi"/>
          <w:u w:val="single"/>
        </w:rPr>
        <w:t>Composition and Purpose of Investments:</w:t>
      </w:r>
    </w:p>
    <w:p w14:paraId="5BDF3A51" w14:textId="308A75AD" w:rsidR="0068384E" w:rsidRDefault="00721CFD" w:rsidP="0068384E">
      <w:pPr>
        <w:spacing w:after="160" w:line="259" w:lineRule="auto"/>
        <w:rPr>
          <w:rFonts w:cstheme="minorHAnsi"/>
          <w:sz w:val="24"/>
        </w:rPr>
      </w:pPr>
      <w:r w:rsidRPr="00F54559">
        <w:rPr>
          <w:rFonts w:cstheme="minorHAnsi"/>
          <w:sz w:val="24"/>
        </w:rPr>
        <w:t xml:space="preserve">The System uses a pooled investment approach for its endowments (including Affiliates’ endowments invested with the System) unless otherwise required by the donor.  As previously noted, </w:t>
      </w:r>
      <w:r w:rsidR="005D6B29">
        <w:rPr>
          <w:rFonts w:cstheme="minorHAnsi"/>
          <w:spacing w:val="-3"/>
          <w:sz w:val="24"/>
        </w:rPr>
        <w:t>four</w:t>
      </w:r>
      <w:r w:rsidRPr="00F54559">
        <w:rPr>
          <w:rFonts w:cstheme="minorHAnsi"/>
          <w:spacing w:val="-3"/>
          <w:sz w:val="24"/>
        </w:rPr>
        <w:t xml:space="preserve"> outside entities - the UMS OPEB Trust, Maine Maritime Academy</w:t>
      </w:r>
      <w:r w:rsidR="005D6B29">
        <w:rPr>
          <w:rFonts w:cstheme="minorHAnsi"/>
          <w:spacing w:val="-3"/>
          <w:sz w:val="24"/>
        </w:rPr>
        <w:t xml:space="preserve"> (ended FY22)</w:t>
      </w:r>
      <w:r w:rsidRPr="00F54559">
        <w:rPr>
          <w:rFonts w:cstheme="minorHAnsi"/>
          <w:spacing w:val="-3"/>
          <w:sz w:val="24"/>
        </w:rPr>
        <w:t>, the University of Maine School of Law Foundation</w:t>
      </w:r>
      <w:r w:rsidR="005D6B29">
        <w:rPr>
          <w:rFonts w:cstheme="minorHAnsi"/>
          <w:spacing w:val="-3"/>
          <w:sz w:val="24"/>
        </w:rPr>
        <w:t>, and the USM Osher Map Library Foundation (new FY22)</w:t>
      </w:r>
      <w:r w:rsidRPr="00F54559">
        <w:rPr>
          <w:rFonts w:cstheme="minorHAnsi"/>
          <w:spacing w:val="-3"/>
          <w:sz w:val="24"/>
        </w:rPr>
        <w:t xml:space="preserve"> -</w:t>
      </w:r>
      <w:r w:rsidRPr="00F54559">
        <w:rPr>
          <w:rFonts w:cstheme="minorHAnsi"/>
          <w:sz w:val="24"/>
        </w:rPr>
        <w:t xml:space="preserve"> pool monies for investment purposes with the System’s endowment. Investment </w:t>
      </w:r>
    </w:p>
    <w:p w14:paraId="16258804" w14:textId="2E0A4AAA" w:rsidR="0068384E" w:rsidRPr="00F54559" w:rsidRDefault="0068384E" w:rsidP="0068384E">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5F5955B9" w14:textId="6DB11AE6" w:rsidR="00373110" w:rsidRPr="00F54559" w:rsidRDefault="00721CFD" w:rsidP="00E34202">
      <w:pPr>
        <w:tabs>
          <w:tab w:val="left" w:pos="1080"/>
        </w:tabs>
        <w:spacing w:after="160"/>
        <w:rPr>
          <w:rFonts w:cstheme="minorHAnsi"/>
          <w:sz w:val="24"/>
        </w:rPr>
      </w:pPr>
      <w:r w:rsidRPr="00F54559">
        <w:rPr>
          <w:rFonts w:cstheme="minorHAnsi"/>
          <w:sz w:val="24"/>
        </w:rPr>
        <w:t xml:space="preserve">policies and strategies are determined for this combined Managed Investment Pool (MIP).  Fair values, credit ratings, and interest rate risk for the entire investment pool are presented below under </w:t>
      </w:r>
      <w:r>
        <w:rPr>
          <w:rFonts w:cstheme="minorHAnsi"/>
          <w:sz w:val="24"/>
        </w:rPr>
        <w:t>“DB Plan and MIP investments”</w:t>
      </w:r>
      <w:r w:rsidRPr="00F54559">
        <w:rPr>
          <w:rFonts w:cstheme="minorHAnsi"/>
          <w:sz w:val="24"/>
        </w:rPr>
        <w:t xml:space="preserve">.  The amount held for the outside entities </w:t>
      </w:r>
      <w:r>
        <w:rPr>
          <w:rFonts w:cstheme="minorHAnsi"/>
          <w:sz w:val="24"/>
        </w:rPr>
        <w:t>are shown as “MIP held on behalf of outside entities”.</w:t>
      </w:r>
    </w:p>
    <w:p w14:paraId="4E5071F2" w14:textId="77777777" w:rsidR="00721CFD" w:rsidRDefault="00721CFD" w:rsidP="00E34202">
      <w:pPr>
        <w:tabs>
          <w:tab w:val="left" w:pos="0"/>
          <w:tab w:val="left" w:pos="1080"/>
          <w:tab w:val="decimal" w:pos="6786"/>
          <w:tab w:val="decimal" w:pos="9187"/>
        </w:tabs>
        <w:suppressAutoHyphens/>
        <w:spacing w:after="160"/>
        <w:rPr>
          <w:rFonts w:eastAsia="Times New Roman" w:cstheme="minorHAnsi"/>
          <w:bCs/>
          <w:spacing w:val="-3"/>
          <w:sz w:val="24"/>
          <w:szCs w:val="20"/>
        </w:rPr>
      </w:pPr>
      <w:r w:rsidRPr="00F54559">
        <w:rPr>
          <w:rFonts w:eastAsia="Times New Roman" w:cstheme="minorHAnsi"/>
          <w:b/>
          <w:i/>
          <w:spacing w:val="-3"/>
          <w:sz w:val="24"/>
          <w:szCs w:val="20"/>
        </w:rPr>
        <w:t>Operating Investments:</w:t>
      </w:r>
      <w:r w:rsidRPr="00F54559">
        <w:rPr>
          <w:rFonts w:eastAsia="Times New Roman" w:cstheme="minorHAnsi"/>
          <w:bCs/>
          <w:spacing w:val="-3"/>
          <w:sz w:val="24"/>
          <w:szCs w:val="20"/>
        </w:rPr>
        <w:t xml:space="preserve">  The System’s operating investments are available to fund operations or other purposes as determined by System management.</w:t>
      </w:r>
    </w:p>
    <w:p w14:paraId="7715B213" w14:textId="77777777" w:rsidR="00721CFD" w:rsidRDefault="00721CFD" w:rsidP="00E34202">
      <w:pPr>
        <w:tabs>
          <w:tab w:val="left" w:pos="0"/>
          <w:tab w:val="left" w:pos="1080"/>
          <w:tab w:val="decimal" w:pos="6786"/>
          <w:tab w:val="decimal" w:pos="9187"/>
        </w:tabs>
        <w:suppressAutoHyphens/>
        <w:spacing w:after="160"/>
        <w:rPr>
          <w:rFonts w:cstheme="minorHAnsi"/>
          <w:bCs/>
          <w:spacing w:val="-3"/>
          <w:sz w:val="24"/>
          <w:szCs w:val="24"/>
        </w:rPr>
      </w:pPr>
      <w:r w:rsidRPr="00F54559">
        <w:rPr>
          <w:rFonts w:cstheme="minorHAnsi"/>
          <w:b/>
          <w:i/>
          <w:spacing w:val="-3"/>
          <w:sz w:val="24"/>
          <w:szCs w:val="24"/>
        </w:rPr>
        <w:t>Deposits with Bond Trustees</w:t>
      </w:r>
      <w:r w:rsidRPr="00F54559">
        <w:rPr>
          <w:rFonts w:cstheme="minorHAnsi"/>
          <w:bCs/>
          <w:spacing w:val="-3"/>
          <w:sz w:val="24"/>
          <w:szCs w:val="24"/>
        </w:rPr>
        <w:t>:  Deposits with bond trustees are composed of unexpended bond proceeds</w:t>
      </w:r>
      <w:r>
        <w:rPr>
          <w:rFonts w:cstheme="minorHAnsi"/>
          <w:bCs/>
          <w:spacing w:val="-3"/>
          <w:sz w:val="24"/>
          <w:szCs w:val="24"/>
        </w:rPr>
        <w:t xml:space="preserve"> from bond issuances, bond anticipation notes and escrow accounts associated with the System’s lease-purchase program.</w:t>
      </w:r>
    </w:p>
    <w:p w14:paraId="0AB3AF76" w14:textId="48DCBD59" w:rsidR="00721CFD" w:rsidRDefault="00721CFD" w:rsidP="00721CFD">
      <w:pPr>
        <w:tabs>
          <w:tab w:val="left" w:pos="0"/>
          <w:tab w:val="left" w:pos="1080"/>
          <w:tab w:val="decimal" w:pos="6786"/>
          <w:tab w:val="decimal" w:pos="9079"/>
        </w:tabs>
        <w:suppressAutoHyphens/>
        <w:rPr>
          <w:rFonts w:eastAsia="Times New Roman" w:cstheme="minorHAnsi"/>
          <w:sz w:val="24"/>
        </w:rPr>
      </w:pPr>
      <w:r w:rsidRPr="00F54559">
        <w:rPr>
          <w:rFonts w:eastAsia="Times New Roman" w:cstheme="minorHAnsi"/>
          <w:b/>
          <w:i/>
          <w:spacing w:val="-3"/>
          <w:sz w:val="24"/>
          <w:szCs w:val="20"/>
        </w:rPr>
        <w:t>Endowment Investments:</w:t>
      </w:r>
      <w:r w:rsidRPr="00F54559">
        <w:rPr>
          <w:rFonts w:eastAsia="Times New Roman" w:cstheme="minorHAnsi"/>
          <w:sz w:val="24"/>
        </w:rPr>
        <w:t xml:space="preserve">  Except for certain gifts invested separately at the request of the donors (</w:t>
      </w:r>
      <w:r w:rsidRPr="00A801B2">
        <w:rPr>
          <w:rFonts w:eastAsia="Times New Roman" w:cstheme="minorHAnsi"/>
          <w:sz w:val="24"/>
        </w:rPr>
        <w:t>$</w:t>
      </w:r>
      <w:r w:rsidRPr="001C0A99">
        <w:rPr>
          <w:rFonts w:eastAsia="Times New Roman" w:cstheme="minorHAnsi"/>
          <w:sz w:val="24"/>
        </w:rPr>
        <w:t xml:space="preserve">1,851 </w:t>
      </w:r>
      <w:r w:rsidRPr="00F54559">
        <w:rPr>
          <w:rFonts w:eastAsia="Times New Roman" w:cstheme="minorHAnsi"/>
          <w:sz w:val="24"/>
        </w:rPr>
        <w:t>and $</w:t>
      </w:r>
      <w:r>
        <w:rPr>
          <w:rFonts w:eastAsia="Times New Roman" w:cstheme="minorHAnsi"/>
          <w:color w:val="000000" w:themeColor="text1"/>
          <w:sz w:val="24"/>
        </w:rPr>
        <w:t>716</w:t>
      </w:r>
      <w:r w:rsidRPr="00F54559">
        <w:rPr>
          <w:rFonts w:eastAsia="Times New Roman" w:cstheme="minorHAnsi"/>
          <w:sz w:val="24"/>
        </w:rPr>
        <w:t xml:space="preserve"> at June 30, 20</w:t>
      </w:r>
      <w:r>
        <w:rPr>
          <w:rFonts w:eastAsia="Times New Roman" w:cstheme="minorHAnsi"/>
          <w:sz w:val="24"/>
        </w:rPr>
        <w:t>22</w:t>
      </w:r>
      <w:r w:rsidRPr="00F54559">
        <w:rPr>
          <w:rFonts w:eastAsia="Times New Roman" w:cstheme="minorHAnsi"/>
          <w:sz w:val="24"/>
        </w:rPr>
        <w:t xml:space="preserve"> and 20</w:t>
      </w:r>
      <w:r>
        <w:rPr>
          <w:rFonts w:eastAsia="Times New Roman" w:cstheme="minorHAnsi"/>
          <w:sz w:val="24"/>
        </w:rPr>
        <w:t>21</w:t>
      </w:r>
      <w:r w:rsidRPr="00F54559">
        <w:rPr>
          <w:rFonts w:eastAsia="Times New Roman" w:cstheme="minorHAnsi"/>
          <w:sz w:val="24"/>
        </w:rPr>
        <w:t>, respectively), the System's endowment is managed as a pooled investment fund using external investment managers. The University of Maine at Fort Kent Foundation, the University of Southern Maine Foundation, and the John L. Martin Scholarship Fund, Inc. participate in the System’s endowment pool through a management agreement. The fair values of the investments held for these affiliated organizations at June 30, 2</w:t>
      </w:r>
      <w:r>
        <w:rPr>
          <w:rFonts w:eastAsia="Times New Roman" w:cstheme="minorHAnsi"/>
          <w:sz w:val="24"/>
        </w:rPr>
        <w:t>022</w:t>
      </w:r>
      <w:r w:rsidRPr="00F54559">
        <w:rPr>
          <w:rFonts w:eastAsia="Times New Roman" w:cstheme="minorHAnsi"/>
          <w:sz w:val="24"/>
        </w:rPr>
        <w:t xml:space="preserve"> and 20</w:t>
      </w:r>
      <w:r>
        <w:rPr>
          <w:rFonts w:eastAsia="Times New Roman" w:cstheme="minorHAnsi"/>
          <w:sz w:val="24"/>
        </w:rPr>
        <w:t>21</w:t>
      </w:r>
      <w:r w:rsidRPr="00F54559">
        <w:rPr>
          <w:rFonts w:eastAsia="Times New Roman" w:cstheme="minorHAnsi"/>
          <w:sz w:val="24"/>
        </w:rPr>
        <w:t xml:space="preserve">, respectively are </w:t>
      </w:r>
      <w:r w:rsidRPr="00A801B2">
        <w:rPr>
          <w:rFonts w:eastAsia="Times New Roman" w:cstheme="minorHAnsi"/>
          <w:sz w:val="24"/>
        </w:rPr>
        <w:t>$</w:t>
      </w:r>
      <w:r w:rsidRPr="001C0A99">
        <w:rPr>
          <w:rFonts w:eastAsia="Times New Roman" w:cstheme="minorHAnsi"/>
          <w:sz w:val="24"/>
        </w:rPr>
        <w:t>30,150</w:t>
      </w:r>
      <w:r w:rsidRPr="00EA358D">
        <w:rPr>
          <w:rFonts w:eastAsia="Times New Roman" w:cstheme="minorHAnsi"/>
          <w:sz w:val="24"/>
        </w:rPr>
        <w:t xml:space="preserve"> </w:t>
      </w:r>
      <w:r w:rsidRPr="00F54559">
        <w:rPr>
          <w:rFonts w:eastAsia="Times New Roman" w:cstheme="minorHAnsi"/>
          <w:sz w:val="24"/>
        </w:rPr>
        <w:t xml:space="preserve">and </w:t>
      </w:r>
      <w:r w:rsidRPr="00A801B2">
        <w:rPr>
          <w:rFonts w:eastAsia="Times New Roman" w:cstheme="minorHAnsi"/>
          <w:sz w:val="24"/>
        </w:rPr>
        <w:t>$</w:t>
      </w:r>
      <w:r w:rsidRPr="00832C1E">
        <w:rPr>
          <w:rFonts w:eastAsia="Times New Roman" w:cstheme="minorHAnsi"/>
          <w:sz w:val="24"/>
        </w:rPr>
        <w:t>35,</w:t>
      </w:r>
      <w:r>
        <w:rPr>
          <w:rFonts w:eastAsia="Times New Roman" w:cstheme="minorHAnsi"/>
          <w:sz w:val="24"/>
        </w:rPr>
        <w:t>190</w:t>
      </w:r>
      <w:r w:rsidRPr="00F54559">
        <w:rPr>
          <w:rFonts w:eastAsia="Times New Roman" w:cstheme="minorHAnsi"/>
          <w:sz w:val="24"/>
        </w:rPr>
        <w:t xml:space="preserve">, and are reported as </w:t>
      </w:r>
      <w:r>
        <w:rPr>
          <w:rFonts w:eastAsia="Times New Roman" w:cstheme="minorHAnsi"/>
          <w:sz w:val="24"/>
        </w:rPr>
        <w:t xml:space="preserve">investments in the UMS endowment pool </w:t>
      </w:r>
      <w:r w:rsidRPr="00F54559">
        <w:rPr>
          <w:rFonts w:eastAsia="Times New Roman" w:cstheme="minorHAnsi"/>
          <w:sz w:val="24"/>
        </w:rPr>
        <w:t xml:space="preserve">in the accompanying Statements of </w:t>
      </w:r>
      <w:r>
        <w:rPr>
          <w:rFonts w:eastAsia="Times New Roman" w:cstheme="minorHAnsi"/>
          <w:sz w:val="24"/>
        </w:rPr>
        <w:t xml:space="preserve">Fiduciary </w:t>
      </w:r>
      <w:r w:rsidRPr="00F54559">
        <w:rPr>
          <w:rFonts w:eastAsia="Times New Roman" w:cstheme="minorHAnsi"/>
          <w:sz w:val="24"/>
        </w:rPr>
        <w:t>Net Position.</w:t>
      </w:r>
    </w:p>
    <w:p w14:paraId="5BC08F32" w14:textId="77777777" w:rsidR="00373110" w:rsidRDefault="00373110" w:rsidP="00721CFD">
      <w:pPr>
        <w:tabs>
          <w:tab w:val="left" w:pos="0"/>
          <w:tab w:val="left" w:pos="1080"/>
          <w:tab w:val="decimal" w:pos="6786"/>
          <w:tab w:val="decimal" w:pos="9079"/>
        </w:tabs>
        <w:suppressAutoHyphens/>
        <w:rPr>
          <w:rFonts w:eastAsia="Times New Roman" w:cstheme="minorHAnsi"/>
          <w:sz w:val="24"/>
        </w:rPr>
      </w:pPr>
    </w:p>
    <w:p w14:paraId="16283777" w14:textId="77777777" w:rsidR="00721CFD" w:rsidRPr="00F54559" w:rsidRDefault="00721CFD" w:rsidP="00721CFD">
      <w:pPr>
        <w:tabs>
          <w:tab w:val="left" w:pos="0"/>
          <w:tab w:val="left" w:pos="1080"/>
          <w:tab w:val="decimal" w:pos="6786"/>
          <w:tab w:val="decimal" w:pos="9079"/>
        </w:tabs>
        <w:suppressAutoHyphens/>
        <w:spacing w:after="60"/>
        <w:rPr>
          <w:rFonts w:eastAsia="Times New Roman" w:cstheme="minorHAnsi"/>
          <w:bCs/>
          <w:spacing w:val="-3"/>
          <w:sz w:val="24"/>
          <w:szCs w:val="20"/>
        </w:rPr>
      </w:pPr>
      <w:r w:rsidRPr="00F54559">
        <w:rPr>
          <w:rFonts w:eastAsia="Times New Roman" w:cstheme="minorHAnsi"/>
          <w:bCs/>
          <w:spacing w:val="-3"/>
          <w:sz w:val="24"/>
          <w:szCs w:val="20"/>
        </w:rPr>
        <w:t>Endowed gifts are invested to generate income to be used to fund various activities such as scholarships and research as specified by the donors.  The total endowment accumulated net income and appreciation available to the System for spending is as follows at June 30:</w:t>
      </w:r>
    </w:p>
    <w:p w14:paraId="1FE48E93" w14:textId="77777777" w:rsidR="00721CFD" w:rsidRPr="00F54559" w:rsidRDefault="00721CFD" w:rsidP="00721CFD">
      <w:pPr>
        <w:tabs>
          <w:tab w:val="left" w:pos="0"/>
          <w:tab w:val="left" w:pos="1080"/>
          <w:tab w:val="decimal" w:pos="6786"/>
          <w:tab w:val="decimal" w:pos="9079"/>
        </w:tabs>
        <w:suppressAutoHyphens/>
        <w:rPr>
          <w:rFonts w:eastAsia="Times New Roman" w:cstheme="minorHAnsi"/>
          <w:bCs/>
          <w:spacing w:val="-3"/>
          <w:sz w:val="20"/>
          <w:szCs w:val="20"/>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otal endowment accumulated net income and appreciation available for spending as of June 30, 2018 and 2019.  In thousands, restricted - expendable decreased from $55,678 in FY18 to $54,432 in FY19; unrestricted increased from $16,012 in FY18 to $17,165 in FY19; and total available for spending which decreased from $71,690 in FY18 to $71,597 in FY19."/>
      </w:tblPr>
      <w:tblGrid>
        <w:gridCol w:w="3330"/>
        <w:gridCol w:w="1080"/>
        <w:gridCol w:w="1260"/>
      </w:tblGrid>
      <w:tr w:rsidR="00721CFD" w:rsidRPr="00A454B4" w14:paraId="251BA4F9" w14:textId="77777777" w:rsidTr="007B5BB3">
        <w:trPr>
          <w:trHeight w:val="323"/>
          <w:tblHeader/>
          <w:jc w:val="center"/>
        </w:trPr>
        <w:tc>
          <w:tcPr>
            <w:tcW w:w="3330" w:type="dxa"/>
          </w:tcPr>
          <w:p w14:paraId="1E3E55AD" w14:textId="77777777" w:rsidR="00721CFD" w:rsidRPr="00F54559" w:rsidRDefault="00721CFD" w:rsidP="007B5BB3">
            <w:pPr>
              <w:tabs>
                <w:tab w:val="left" w:pos="720"/>
                <w:tab w:val="left" w:pos="1440"/>
                <w:tab w:val="decimal" w:pos="6786"/>
                <w:tab w:val="decimal" w:pos="8100"/>
              </w:tabs>
              <w:suppressAutoHyphens/>
              <w:rPr>
                <w:rFonts w:eastAsia="Times New Roman" w:cstheme="minorHAnsi"/>
                <w:bCs/>
                <w:spacing w:val="-3"/>
                <w:sz w:val="24"/>
                <w:szCs w:val="24"/>
              </w:rPr>
            </w:pPr>
          </w:p>
        </w:tc>
        <w:tc>
          <w:tcPr>
            <w:tcW w:w="1080" w:type="dxa"/>
            <w:shd w:val="clear" w:color="auto" w:fill="auto"/>
          </w:tcPr>
          <w:p w14:paraId="58699122" w14:textId="77777777" w:rsidR="00721CFD" w:rsidRPr="001A18A6" w:rsidRDefault="00721CFD" w:rsidP="007B5BB3">
            <w:pPr>
              <w:tabs>
                <w:tab w:val="left" w:pos="1440"/>
                <w:tab w:val="decimal" w:pos="6786"/>
                <w:tab w:val="decimal" w:pos="8100"/>
              </w:tabs>
              <w:suppressAutoHyphens/>
              <w:jc w:val="center"/>
              <w:rPr>
                <w:rFonts w:eastAsia="Times New Roman" w:cstheme="minorHAnsi"/>
                <w:b/>
                <w:bCs/>
                <w:spacing w:val="-3"/>
                <w:sz w:val="24"/>
                <w:szCs w:val="24"/>
              </w:rPr>
            </w:pPr>
            <w:r w:rsidRPr="001A18A6">
              <w:rPr>
                <w:rFonts w:eastAsia="Times New Roman" w:cstheme="minorHAnsi"/>
                <w:b/>
                <w:bCs/>
                <w:spacing w:val="-3"/>
                <w:sz w:val="24"/>
                <w:szCs w:val="24"/>
              </w:rPr>
              <w:t>202</w:t>
            </w:r>
            <w:r>
              <w:rPr>
                <w:rFonts w:eastAsia="Times New Roman" w:cstheme="minorHAnsi"/>
                <w:b/>
                <w:bCs/>
                <w:spacing w:val="-3"/>
                <w:sz w:val="24"/>
                <w:szCs w:val="24"/>
              </w:rPr>
              <w:t>2</w:t>
            </w:r>
          </w:p>
        </w:tc>
        <w:tc>
          <w:tcPr>
            <w:tcW w:w="1260" w:type="dxa"/>
            <w:shd w:val="clear" w:color="auto" w:fill="D9D9D9" w:themeFill="background1" w:themeFillShade="D9"/>
          </w:tcPr>
          <w:p w14:paraId="64F1A389" w14:textId="77777777" w:rsidR="00721CFD" w:rsidRPr="001A18A6" w:rsidRDefault="00721CFD" w:rsidP="007B5BB3">
            <w:pPr>
              <w:tabs>
                <w:tab w:val="left" w:pos="720"/>
                <w:tab w:val="left" w:pos="1440"/>
                <w:tab w:val="decimal" w:pos="6786"/>
                <w:tab w:val="decimal" w:pos="8100"/>
              </w:tabs>
              <w:suppressAutoHyphens/>
              <w:jc w:val="center"/>
              <w:rPr>
                <w:rFonts w:eastAsia="Times New Roman" w:cstheme="minorHAnsi"/>
                <w:b/>
                <w:bCs/>
                <w:spacing w:val="-3"/>
                <w:sz w:val="24"/>
                <w:szCs w:val="24"/>
              </w:rPr>
            </w:pPr>
            <w:r w:rsidRPr="001A18A6">
              <w:rPr>
                <w:rFonts w:eastAsia="Times New Roman" w:cstheme="minorHAnsi"/>
                <w:b/>
                <w:bCs/>
                <w:spacing w:val="-3"/>
                <w:sz w:val="24"/>
                <w:szCs w:val="24"/>
              </w:rPr>
              <w:t>20</w:t>
            </w:r>
            <w:r>
              <w:rPr>
                <w:rFonts w:eastAsia="Times New Roman" w:cstheme="minorHAnsi"/>
                <w:b/>
                <w:bCs/>
                <w:spacing w:val="-3"/>
                <w:sz w:val="24"/>
                <w:szCs w:val="24"/>
              </w:rPr>
              <w:t>21</w:t>
            </w:r>
          </w:p>
        </w:tc>
      </w:tr>
      <w:tr w:rsidR="00721CFD" w:rsidRPr="00A454B4" w14:paraId="4D6D79F1" w14:textId="77777777" w:rsidTr="007B5BB3">
        <w:trPr>
          <w:trHeight w:val="323"/>
          <w:jc w:val="center"/>
        </w:trPr>
        <w:tc>
          <w:tcPr>
            <w:tcW w:w="3330" w:type="dxa"/>
          </w:tcPr>
          <w:p w14:paraId="3094B502" w14:textId="77777777" w:rsidR="00721CFD" w:rsidRPr="00F54559" w:rsidRDefault="00721CFD" w:rsidP="007B5BB3">
            <w:pPr>
              <w:tabs>
                <w:tab w:val="left" w:pos="720"/>
                <w:tab w:val="left" w:pos="1440"/>
                <w:tab w:val="decimal" w:pos="6786"/>
                <w:tab w:val="decimal" w:pos="8100"/>
              </w:tabs>
              <w:suppressAutoHyphens/>
              <w:rPr>
                <w:rFonts w:eastAsia="Times New Roman" w:cstheme="minorHAnsi"/>
                <w:bCs/>
                <w:spacing w:val="-3"/>
                <w:sz w:val="24"/>
                <w:szCs w:val="24"/>
              </w:rPr>
            </w:pPr>
            <w:r w:rsidRPr="00F54559">
              <w:rPr>
                <w:rFonts w:eastAsia="Times New Roman" w:cstheme="minorHAnsi"/>
                <w:bCs/>
                <w:spacing w:val="-3"/>
                <w:sz w:val="24"/>
                <w:szCs w:val="24"/>
              </w:rPr>
              <w:t>Restricted - expendable</w:t>
            </w:r>
          </w:p>
        </w:tc>
        <w:tc>
          <w:tcPr>
            <w:tcW w:w="1080" w:type="dxa"/>
            <w:shd w:val="clear" w:color="auto" w:fill="auto"/>
          </w:tcPr>
          <w:p w14:paraId="53F0CB51" w14:textId="77777777" w:rsidR="00721CFD" w:rsidRPr="00B933E3" w:rsidRDefault="00721CFD" w:rsidP="007B5BB3">
            <w:pPr>
              <w:tabs>
                <w:tab w:val="left" w:pos="720"/>
                <w:tab w:val="left" w:pos="1440"/>
                <w:tab w:val="decimal" w:pos="6786"/>
                <w:tab w:val="decimal" w:pos="8100"/>
              </w:tabs>
              <w:suppressAutoHyphens/>
              <w:jc w:val="right"/>
              <w:rPr>
                <w:rFonts w:eastAsia="Times New Roman" w:cstheme="minorHAnsi"/>
                <w:bCs/>
                <w:spacing w:val="-3"/>
                <w:sz w:val="24"/>
                <w:szCs w:val="24"/>
              </w:rPr>
            </w:pPr>
            <w:r w:rsidRPr="00B933E3">
              <w:rPr>
                <w:rFonts w:eastAsia="Times New Roman" w:cstheme="minorHAnsi"/>
                <w:bCs/>
                <w:spacing w:val="-3"/>
                <w:sz w:val="24"/>
                <w:szCs w:val="24"/>
              </w:rPr>
              <w:t>$</w:t>
            </w:r>
            <w:r w:rsidRPr="001C0A99">
              <w:rPr>
                <w:rFonts w:eastAsia="Times New Roman" w:cstheme="minorHAnsi"/>
                <w:bCs/>
                <w:spacing w:val="-3"/>
                <w:sz w:val="24"/>
                <w:szCs w:val="24"/>
              </w:rPr>
              <w:t>52,519</w:t>
            </w:r>
          </w:p>
        </w:tc>
        <w:tc>
          <w:tcPr>
            <w:tcW w:w="1260" w:type="dxa"/>
            <w:shd w:val="clear" w:color="auto" w:fill="D9D9D9" w:themeFill="background1" w:themeFillShade="D9"/>
          </w:tcPr>
          <w:p w14:paraId="57B4C81A" w14:textId="77777777" w:rsidR="00721CFD" w:rsidRPr="00F54559" w:rsidRDefault="00721CFD" w:rsidP="007B5BB3">
            <w:pPr>
              <w:tabs>
                <w:tab w:val="left" w:pos="720"/>
                <w:tab w:val="left" w:pos="1440"/>
                <w:tab w:val="decimal" w:pos="6786"/>
                <w:tab w:val="decimal" w:pos="8100"/>
              </w:tabs>
              <w:suppressAutoHyphens/>
              <w:jc w:val="right"/>
              <w:rPr>
                <w:rFonts w:eastAsia="Times New Roman" w:cstheme="minorHAnsi"/>
                <w:bCs/>
                <w:spacing w:val="-3"/>
                <w:sz w:val="24"/>
                <w:szCs w:val="24"/>
              </w:rPr>
            </w:pPr>
            <w:r w:rsidRPr="00751078">
              <w:rPr>
                <w:rFonts w:eastAsia="Times New Roman" w:cstheme="minorHAnsi"/>
                <w:bCs/>
                <w:spacing w:val="-3"/>
                <w:sz w:val="24"/>
                <w:szCs w:val="24"/>
              </w:rPr>
              <w:t>$</w:t>
            </w:r>
            <w:r w:rsidRPr="009C7237">
              <w:rPr>
                <w:rFonts w:eastAsia="Times New Roman" w:cstheme="minorHAnsi"/>
                <w:bCs/>
                <w:spacing w:val="-3"/>
                <w:sz w:val="24"/>
                <w:szCs w:val="24"/>
              </w:rPr>
              <w:t>7</w:t>
            </w:r>
            <w:r w:rsidRPr="00751078">
              <w:rPr>
                <w:rFonts w:eastAsia="Times New Roman" w:cstheme="minorHAnsi"/>
                <w:bCs/>
                <w:spacing w:val="-3"/>
                <w:sz w:val="24"/>
                <w:szCs w:val="24"/>
              </w:rPr>
              <w:t>6,</w:t>
            </w:r>
            <w:r w:rsidRPr="009C7237">
              <w:rPr>
                <w:rFonts w:eastAsia="Times New Roman" w:cstheme="minorHAnsi"/>
                <w:bCs/>
                <w:spacing w:val="-3"/>
                <w:sz w:val="24"/>
                <w:szCs w:val="24"/>
              </w:rPr>
              <w:t>199</w:t>
            </w:r>
          </w:p>
        </w:tc>
      </w:tr>
      <w:tr w:rsidR="00721CFD" w:rsidRPr="00A454B4" w14:paraId="334B3AEB" w14:textId="77777777" w:rsidTr="007B5BB3">
        <w:trPr>
          <w:trHeight w:val="323"/>
          <w:jc w:val="center"/>
        </w:trPr>
        <w:tc>
          <w:tcPr>
            <w:tcW w:w="3330" w:type="dxa"/>
            <w:tcBorders>
              <w:bottom w:val="single" w:sz="8" w:space="0" w:color="00688D"/>
            </w:tcBorders>
          </w:tcPr>
          <w:p w14:paraId="7BEBECFC" w14:textId="77777777" w:rsidR="00721CFD" w:rsidRPr="00F54559" w:rsidRDefault="00721CFD" w:rsidP="007B5BB3">
            <w:pPr>
              <w:tabs>
                <w:tab w:val="left" w:pos="720"/>
                <w:tab w:val="left" w:pos="1440"/>
                <w:tab w:val="decimal" w:pos="6786"/>
                <w:tab w:val="decimal" w:pos="8100"/>
              </w:tabs>
              <w:suppressAutoHyphens/>
              <w:rPr>
                <w:rFonts w:eastAsia="Times New Roman" w:cstheme="minorHAnsi"/>
                <w:bCs/>
                <w:spacing w:val="-3"/>
                <w:sz w:val="24"/>
                <w:szCs w:val="24"/>
              </w:rPr>
            </w:pPr>
            <w:r w:rsidRPr="00F54559">
              <w:rPr>
                <w:rFonts w:eastAsia="Times New Roman" w:cstheme="minorHAnsi"/>
                <w:bCs/>
                <w:spacing w:val="-3"/>
                <w:sz w:val="24"/>
                <w:szCs w:val="24"/>
              </w:rPr>
              <w:t>Unrestricted</w:t>
            </w:r>
          </w:p>
        </w:tc>
        <w:tc>
          <w:tcPr>
            <w:tcW w:w="1080" w:type="dxa"/>
            <w:tcBorders>
              <w:bottom w:val="single" w:sz="8" w:space="0" w:color="00688D"/>
            </w:tcBorders>
            <w:shd w:val="clear" w:color="auto" w:fill="auto"/>
          </w:tcPr>
          <w:p w14:paraId="24EF88F8" w14:textId="77777777" w:rsidR="00721CFD" w:rsidRPr="00B933E3" w:rsidRDefault="00721CFD" w:rsidP="007B5BB3">
            <w:pPr>
              <w:tabs>
                <w:tab w:val="left" w:pos="720"/>
                <w:tab w:val="left" w:pos="1440"/>
                <w:tab w:val="decimal" w:pos="6786"/>
                <w:tab w:val="decimal" w:pos="8100"/>
              </w:tabs>
              <w:suppressAutoHyphens/>
              <w:jc w:val="right"/>
              <w:rPr>
                <w:rFonts w:eastAsia="Times New Roman" w:cstheme="minorHAnsi"/>
                <w:bCs/>
                <w:spacing w:val="-3"/>
                <w:sz w:val="24"/>
                <w:szCs w:val="24"/>
              </w:rPr>
            </w:pPr>
            <w:r w:rsidRPr="001C0A99">
              <w:rPr>
                <w:rFonts w:eastAsia="Times New Roman" w:cstheme="minorHAnsi"/>
                <w:bCs/>
                <w:spacing w:val="-3"/>
                <w:sz w:val="24"/>
                <w:szCs w:val="24"/>
              </w:rPr>
              <w:t>17,183</w:t>
            </w:r>
          </w:p>
        </w:tc>
        <w:tc>
          <w:tcPr>
            <w:tcW w:w="1260" w:type="dxa"/>
            <w:tcBorders>
              <w:bottom w:val="single" w:sz="8" w:space="0" w:color="00688D"/>
            </w:tcBorders>
            <w:shd w:val="clear" w:color="auto" w:fill="D9D9D9" w:themeFill="background1" w:themeFillShade="D9"/>
          </w:tcPr>
          <w:p w14:paraId="14664AAB" w14:textId="77777777" w:rsidR="00721CFD" w:rsidRPr="00F54559" w:rsidRDefault="00721CFD" w:rsidP="007B5BB3">
            <w:pPr>
              <w:tabs>
                <w:tab w:val="left" w:pos="720"/>
                <w:tab w:val="left" w:pos="1440"/>
                <w:tab w:val="decimal" w:pos="6786"/>
                <w:tab w:val="decimal" w:pos="8100"/>
              </w:tabs>
              <w:suppressAutoHyphens/>
              <w:jc w:val="right"/>
              <w:rPr>
                <w:rFonts w:eastAsia="Times New Roman" w:cstheme="minorHAnsi"/>
                <w:bCs/>
                <w:spacing w:val="-3"/>
                <w:sz w:val="24"/>
                <w:szCs w:val="24"/>
              </w:rPr>
            </w:pPr>
            <w:r w:rsidRPr="009C7237">
              <w:rPr>
                <w:rFonts w:eastAsia="Times New Roman" w:cstheme="minorHAnsi"/>
                <w:bCs/>
                <w:spacing w:val="-3"/>
                <w:sz w:val="24"/>
                <w:szCs w:val="24"/>
              </w:rPr>
              <w:t>20,697</w:t>
            </w:r>
          </w:p>
        </w:tc>
      </w:tr>
      <w:tr w:rsidR="00721CFD" w:rsidRPr="00A454B4" w14:paraId="71875ACE" w14:textId="77777777" w:rsidTr="007B5BB3">
        <w:trPr>
          <w:trHeight w:val="334"/>
          <w:jc w:val="center"/>
        </w:trPr>
        <w:tc>
          <w:tcPr>
            <w:tcW w:w="3330" w:type="dxa"/>
            <w:tcBorders>
              <w:top w:val="single" w:sz="8" w:space="0" w:color="00688D"/>
              <w:bottom w:val="double" w:sz="4" w:space="0" w:color="00688D"/>
            </w:tcBorders>
          </w:tcPr>
          <w:p w14:paraId="68201712" w14:textId="77777777" w:rsidR="00721CFD" w:rsidRPr="00F54559" w:rsidRDefault="00721CFD" w:rsidP="007B5BB3">
            <w:pPr>
              <w:pStyle w:val="ReportTotal"/>
              <w:jc w:val="left"/>
              <w:rPr>
                <w:rFonts w:asciiTheme="minorHAnsi" w:hAnsiTheme="minorHAnsi" w:cstheme="minorHAnsi"/>
              </w:rPr>
            </w:pPr>
            <w:r w:rsidRPr="00F54559">
              <w:rPr>
                <w:rFonts w:asciiTheme="minorHAnsi" w:hAnsiTheme="minorHAnsi" w:cstheme="minorHAnsi"/>
              </w:rPr>
              <w:t>Total available for spending</w:t>
            </w:r>
          </w:p>
        </w:tc>
        <w:tc>
          <w:tcPr>
            <w:tcW w:w="1080" w:type="dxa"/>
            <w:tcBorders>
              <w:top w:val="single" w:sz="8" w:space="0" w:color="00688D"/>
              <w:bottom w:val="double" w:sz="4" w:space="0" w:color="00688D"/>
            </w:tcBorders>
            <w:shd w:val="clear" w:color="auto" w:fill="auto"/>
          </w:tcPr>
          <w:p w14:paraId="3221F53E" w14:textId="77777777" w:rsidR="00721CFD" w:rsidRPr="00B933E3" w:rsidRDefault="00721CFD" w:rsidP="007B5BB3">
            <w:pPr>
              <w:pStyle w:val="ReportTotal"/>
              <w:jc w:val="right"/>
              <w:rPr>
                <w:rFonts w:asciiTheme="minorHAnsi" w:hAnsiTheme="minorHAnsi" w:cstheme="minorHAnsi"/>
              </w:rPr>
            </w:pPr>
            <w:r w:rsidRPr="00B933E3">
              <w:rPr>
                <w:rFonts w:asciiTheme="minorHAnsi" w:hAnsiTheme="minorHAnsi" w:cstheme="minorHAnsi"/>
              </w:rPr>
              <w:t>$</w:t>
            </w:r>
            <w:r w:rsidRPr="001C0A99">
              <w:rPr>
                <w:rFonts w:asciiTheme="minorHAnsi" w:hAnsiTheme="minorHAnsi" w:cstheme="minorHAnsi"/>
              </w:rPr>
              <w:t>69,702</w:t>
            </w:r>
          </w:p>
        </w:tc>
        <w:tc>
          <w:tcPr>
            <w:tcW w:w="1260" w:type="dxa"/>
            <w:tcBorders>
              <w:top w:val="single" w:sz="8" w:space="0" w:color="00688D"/>
              <w:bottom w:val="double" w:sz="4" w:space="0" w:color="00688D"/>
            </w:tcBorders>
            <w:shd w:val="clear" w:color="auto" w:fill="D9D9D9" w:themeFill="background1" w:themeFillShade="D9"/>
          </w:tcPr>
          <w:p w14:paraId="5BCA0DFC" w14:textId="77777777" w:rsidR="00721CFD" w:rsidRPr="00F54559" w:rsidRDefault="00721CFD" w:rsidP="007B5BB3">
            <w:pPr>
              <w:pStyle w:val="ReportTotal"/>
              <w:jc w:val="right"/>
              <w:rPr>
                <w:rFonts w:asciiTheme="minorHAnsi" w:hAnsiTheme="minorHAnsi" w:cstheme="minorHAnsi"/>
              </w:rPr>
            </w:pPr>
            <w:r w:rsidRPr="00751078">
              <w:rPr>
                <w:rFonts w:asciiTheme="minorHAnsi" w:hAnsiTheme="minorHAnsi" w:cstheme="minorHAnsi"/>
              </w:rPr>
              <w:t>$</w:t>
            </w:r>
            <w:r w:rsidRPr="009C7237">
              <w:rPr>
                <w:rFonts w:asciiTheme="minorHAnsi" w:hAnsiTheme="minorHAnsi" w:cstheme="minorHAnsi"/>
              </w:rPr>
              <w:t>96,896</w:t>
            </w:r>
          </w:p>
        </w:tc>
      </w:tr>
    </w:tbl>
    <w:p w14:paraId="70B37E01" w14:textId="77777777" w:rsidR="00721CFD" w:rsidRPr="00E34202" w:rsidRDefault="00721CFD" w:rsidP="00721CFD">
      <w:pPr>
        <w:pStyle w:val="ReportHeading3"/>
        <w:spacing w:before="0" w:after="0"/>
        <w:rPr>
          <w:rFonts w:cstheme="minorHAnsi"/>
          <w:b w:val="0"/>
          <w:i w:val="0"/>
          <w:sz w:val="16"/>
          <w:szCs w:val="20"/>
          <w:u w:val="none"/>
        </w:rPr>
      </w:pPr>
    </w:p>
    <w:p w14:paraId="30F5DF3B" w14:textId="77777777" w:rsidR="00721CFD" w:rsidRPr="002A6F45" w:rsidRDefault="00721CFD" w:rsidP="00721CFD">
      <w:pPr>
        <w:spacing w:after="160" w:line="259" w:lineRule="auto"/>
        <w:rPr>
          <w:rFonts w:cstheme="minorHAnsi"/>
          <w:spacing w:val="-3"/>
          <w:sz w:val="24"/>
          <w:szCs w:val="24"/>
        </w:rPr>
      </w:pPr>
      <w:r w:rsidRPr="00F54559">
        <w:rPr>
          <w:rFonts w:cstheme="minorHAnsi"/>
          <w:b/>
          <w:i/>
          <w:spacing w:val="-3"/>
          <w:sz w:val="24"/>
          <w:szCs w:val="24"/>
        </w:rPr>
        <w:t>Investments for the Defined Benefit Plan – Classified Employees</w:t>
      </w:r>
      <w:r w:rsidRPr="002A6F45">
        <w:rPr>
          <w:rFonts w:cstheme="minorHAnsi"/>
          <w:b/>
          <w:i/>
          <w:spacing w:val="-3"/>
          <w:sz w:val="24"/>
          <w:szCs w:val="24"/>
        </w:rPr>
        <w:t xml:space="preserve">:  </w:t>
      </w:r>
      <w:r w:rsidRPr="002A6F45">
        <w:rPr>
          <w:rFonts w:cstheme="minorHAnsi"/>
          <w:spacing w:val="-3"/>
          <w:sz w:val="24"/>
          <w:szCs w:val="24"/>
          <w:shd w:val="clear" w:color="auto" w:fill="FFFFFF"/>
        </w:rPr>
        <w:t>These pension plan investments offset the Total Pension Liability of the System’s Defined Benefit Plan – Classified Employees (DB Plan) described in Note 13d. They are managed by the System and their </w:t>
      </w:r>
      <w:r w:rsidRPr="002A6F45">
        <w:rPr>
          <w:rFonts w:cstheme="minorHAnsi"/>
          <w:sz w:val="24"/>
          <w:szCs w:val="24"/>
          <w:shd w:val="clear" w:color="auto" w:fill="FFFFFF"/>
        </w:rPr>
        <w:t>fair values, credit ratings, and interest rate risk </w:t>
      </w:r>
      <w:r w:rsidRPr="002A6F45">
        <w:rPr>
          <w:rFonts w:cstheme="minorHAnsi"/>
          <w:spacing w:val="-3"/>
          <w:sz w:val="24"/>
          <w:szCs w:val="24"/>
          <w:shd w:val="clear" w:color="auto" w:fill="FFFFFF"/>
        </w:rPr>
        <w:t>are presented below in the </w:t>
      </w:r>
      <w:r>
        <w:rPr>
          <w:rFonts w:ascii="Calibri" w:eastAsia="Times New Roman" w:hAnsi="Calibri" w:cs="Tahoma"/>
          <w:sz w:val="24"/>
          <w:szCs w:val="20"/>
        </w:rPr>
        <w:t>“</w:t>
      </w:r>
      <w:r w:rsidRPr="002A6F45">
        <w:rPr>
          <w:rFonts w:cstheme="minorHAnsi"/>
          <w:sz w:val="24"/>
          <w:szCs w:val="24"/>
          <w:shd w:val="clear" w:color="auto" w:fill="FFFFFF"/>
        </w:rPr>
        <w:t>DB Plan and MIP investments”</w:t>
      </w:r>
      <w:r w:rsidRPr="002A6F45">
        <w:rPr>
          <w:rFonts w:cstheme="minorHAnsi"/>
          <w:spacing w:val="-3"/>
          <w:sz w:val="24"/>
          <w:szCs w:val="24"/>
          <w:shd w:val="clear" w:color="auto" w:fill="FFFFFF"/>
        </w:rPr>
        <w:t>. </w:t>
      </w:r>
    </w:p>
    <w:p w14:paraId="6602CC58" w14:textId="77777777" w:rsidR="009D1777" w:rsidRDefault="009D1777">
      <w:pPr>
        <w:spacing w:after="160" w:line="259" w:lineRule="auto"/>
        <w:rPr>
          <w:rFonts w:cstheme="minorHAnsi"/>
          <w:b/>
          <w:i/>
          <w:sz w:val="24"/>
          <w:szCs w:val="24"/>
          <w:u w:val="single"/>
        </w:rPr>
      </w:pPr>
      <w:r>
        <w:rPr>
          <w:rFonts w:cstheme="minorHAnsi"/>
          <w:i/>
        </w:rPr>
        <w:br w:type="page"/>
      </w:r>
    </w:p>
    <w:p w14:paraId="39964695" w14:textId="77777777" w:rsidR="009D1777" w:rsidRPr="00F54559" w:rsidRDefault="009D1777" w:rsidP="009D1777">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63819F71" w14:textId="39A0B9C0" w:rsidR="00721CFD" w:rsidRPr="00F54559" w:rsidRDefault="00721CFD" w:rsidP="00721CFD">
      <w:pPr>
        <w:pStyle w:val="AFR4"/>
        <w:spacing w:before="240"/>
        <w:rPr>
          <w:rFonts w:cstheme="minorHAnsi"/>
          <w:i/>
        </w:rPr>
      </w:pPr>
      <w:r w:rsidRPr="00F54559">
        <w:rPr>
          <w:rFonts w:cstheme="minorHAnsi"/>
          <w:i/>
        </w:rPr>
        <w:t>Fair Value Measurements:</w:t>
      </w:r>
    </w:p>
    <w:p w14:paraId="7ECE970D" w14:textId="77777777" w:rsidR="00721CFD" w:rsidRPr="00F54559" w:rsidRDefault="00721CFD" w:rsidP="00721CFD">
      <w:pPr>
        <w:tabs>
          <w:tab w:val="left" w:pos="1022"/>
          <w:tab w:val="left" w:pos="1440"/>
          <w:tab w:val="right" w:pos="4262"/>
          <w:tab w:val="right" w:pos="5220"/>
          <w:tab w:val="right" w:pos="6691"/>
          <w:tab w:val="right" w:pos="7621"/>
          <w:tab w:val="right" w:pos="9187"/>
        </w:tabs>
        <w:suppressAutoHyphens/>
        <w:spacing w:after="160"/>
        <w:rPr>
          <w:rFonts w:cstheme="minorHAnsi"/>
          <w:noProof/>
          <w:sz w:val="24"/>
        </w:rPr>
      </w:pPr>
      <w:r w:rsidRPr="00F54559">
        <w:rPr>
          <w:rFonts w:cstheme="minorHAnsi"/>
          <w:noProof/>
          <w:sz w:val="24"/>
        </w:rPr>
        <w:t xml:space="preserve">GASB Statement No. 72, </w:t>
      </w:r>
      <w:r w:rsidRPr="00F54559">
        <w:rPr>
          <w:rFonts w:cstheme="minorHAnsi"/>
          <w:i/>
          <w:noProof/>
          <w:sz w:val="24"/>
        </w:rPr>
        <w:t>Fair Value Measurement and Application</w:t>
      </w:r>
      <w:r w:rsidRPr="00F54559">
        <w:rPr>
          <w:rFonts w:cstheme="minorHAnsi"/>
          <w:noProof/>
          <w:sz w:val="24"/>
        </w:rPr>
        <w:t xml:space="preserve"> (GASB No. 72), defines fair value as the exchange price that would be received for an asset or paid to transfer a liability (an exit price) in the entity’s principal or most advantageous market for the asset or liability in an orderly transaction between market participants on the measurement date. GASB No. 72 also establishes a fair value hierarchy which requires an entity to maximize the use of observable inputs and minimize the use of unobservable inputs when measuring fair value, and describes three levels of inputs that may be used to measure fair value:</w:t>
      </w:r>
    </w:p>
    <w:p w14:paraId="5685C83B" w14:textId="77777777" w:rsidR="00721CFD" w:rsidRPr="00F54559" w:rsidRDefault="00721CFD" w:rsidP="00721CFD">
      <w:pPr>
        <w:numPr>
          <w:ilvl w:val="0"/>
          <w:numId w:val="7"/>
        </w:numPr>
        <w:spacing w:after="160"/>
        <w:ind w:left="1350" w:hanging="1080"/>
        <w:rPr>
          <w:rFonts w:eastAsia="Times New Roman" w:cstheme="minorHAnsi"/>
          <w:noProof/>
          <w:sz w:val="24"/>
          <w:szCs w:val="24"/>
        </w:rPr>
      </w:pPr>
      <w:r w:rsidRPr="00F54559">
        <w:rPr>
          <w:rFonts w:eastAsia="Times New Roman" w:cstheme="minorHAnsi"/>
          <w:noProof/>
          <w:sz w:val="24"/>
          <w:szCs w:val="24"/>
        </w:rPr>
        <w:t>Valuations based on unadjusted quoted prices in active markets for identical assets or liabilities that the entity has the ability to access as of the measurement date. Since valuations are based on quoted prices that are readily and regularly available in an active market, valuation of these securities does not entail a significant  degree of judgement.</w:t>
      </w:r>
    </w:p>
    <w:p w14:paraId="655F58AC" w14:textId="77777777" w:rsidR="00721CFD" w:rsidRPr="00F54559" w:rsidRDefault="00721CFD" w:rsidP="00721CFD">
      <w:pPr>
        <w:numPr>
          <w:ilvl w:val="0"/>
          <w:numId w:val="7"/>
        </w:numPr>
        <w:spacing w:before="120" w:after="160"/>
        <w:ind w:left="1350" w:hanging="1080"/>
        <w:rPr>
          <w:rFonts w:eastAsia="Times New Roman" w:cstheme="minorHAnsi"/>
          <w:noProof/>
          <w:sz w:val="24"/>
          <w:szCs w:val="24"/>
        </w:rPr>
      </w:pPr>
      <w:r w:rsidRPr="00F54559">
        <w:rPr>
          <w:rFonts w:eastAsia="Times New Roman" w:cstheme="minorHAnsi"/>
          <w:noProof/>
          <w:sz w:val="24"/>
          <w:szCs w:val="24"/>
        </w:rPr>
        <w:t xml:space="preserve">Valuations based on significant other observable inputs other than Level 1 prices, such as quoted prices for similar assets or liabilites, quoted prices in markets that are not active, and other inputs that are observable or can be corroborated by observable market data. </w:t>
      </w:r>
    </w:p>
    <w:p w14:paraId="15D9A524" w14:textId="77777777" w:rsidR="00721CFD" w:rsidRPr="00F54559" w:rsidRDefault="00721CFD" w:rsidP="00721CFD">
      <w:pPr>
        <w:numPr>
          <w:ilvl w:val="0"/>
          <w:numId w:val="7"/>
        </w:numPr>
        <w:ind w:left="1350" w:hanging="1080"/>
        <w:contextualSpacing/>
        <w:rPr>
          <w:rFonts w:eastAsia="Times New Roman" w:cstheme="minorHAnsi"/>
          <w:noProof/>
          <w:sz w:val="24"/>
          <w:szCs w:val="24"/>
        </w:rPr>
      </w:pPr>
      <w:r w:rsidRPr="00F54559">
        <w:rPr>
          <w:rFonts w:eastAsia="Times New Roman" w:cstheme="minorHAnsi"/>
          <w:noProof/>
          <w:sz w:val="24"/>
          <w:szCs w:val="24"/>
        </w:rPr>
        <w:t xml:space="preserve">Valuations based on inputs that are unobservable and significant to the overall fair value measurement. They reflect an entity’s own assumptions about the assumptions that market participants would use in pricing an asset or liability. </w:t>
      </w:r>
    </w:p>
    <w:p w14:paraId="59A103B5" w14:textId="77777777" w:rsidR="00721CFD" w:rsidRPr="00F54559" w:rsidRDefault="00721CFD" w:rsidP="00721CFD">
      <w:pPr>
        <w:pStyle w:val="ListParagraph"/>
        <w:rPr>
          <w:rFonts w:asciiTheme="minorHAnsi" w:hAnsiTheme="minorHAnsi" w:cstheme="minorHAnsi"/>
          <w:noProof/>
          <w:sz w:val="20"/>
        </w:rPr>
      </w:pPr>
    </w:p>
    <w:p w14:paraId="11182859" w14:textId="77777777" w:rsidR="00721CFD" w:rsidRDefault="00721CFD" w:rsidP="00721CFD">
      <w:pPr>
        <w:contextualSpacing/>
        <w:rPr>
          <w:rFonts w:eastAsia="Times New Roman" w:cstheme="minorHAnsi"/>
          <w:noProof/>
          <w:sz w:val="24"/>
          <w:szCs w:val="24"/>
        </w:rPr>
      </w:pPr>
      <w:r w:rsidRPr="00F54559">
        <w:rPr>
          <w:rFonts w:eastAsia="Times New Roman" w:cstheme="minorHAnsi"/>
          <w:noProof/>
          <w:sz w:val="24"/>
          <w:szCs w:val="24"/>
        </w:rPr>
        <w:t>The above hierarchy is based on the valuation inputs used to measure the fair value of the asset and gives the highest priority to level 1 measurements and the lowest priority to level 3 measurements.  Investments that are measured at fair value using net asset value (NAV) per share (or its equivalent) as a practical expedient are not classified in the fair value hierarchy.</w:t>
      </w:r>
    </w:p>
    <w:p w14:paraId="6C92EB8E" w14:textId="77777777" w:rsidR="00721CFD" w:rsidRPr="00F54559" w:rsidRDefault="00721CFD" w:rsidP="00721CFD">
      <w:pPr>
        <w:autoSpaceDE w:val="0"/>
        <w:autoSpaceDN w:val="0"/>
        <w:adjustRightInd w:val="0"/>
        <w:rPr>
          <w:rFonts w:eastAsia="Times New Roman" w:cstheme="minorHAnsi"/>
          <w:noProof/>
          <w:sz w:val="24"/>
          <w:szCs w:val="24"/>
        </w:rPr>
        <w:sectPr w:rsidR="00721CFD" w:rsidRPr="00F54559" w:rsidSect="00721CFD">
          <w:headerReference w:type="default" r:id="rId59"/>
          <w:footerReference w:type="first" r:id="rId60"/>
          <w:type w:val="continuous"/>
          <w:pgSz w:w="12240" w:h="15840" w:code="1"/>
          <w:pgMar w:top="1440" w:right="1440" w:bottom="1440" w:left="1440" w:header="720" w:footer="720" w:gutter="0"/>
          <w:cols w:space="0"/>
          <w:titlePg/>
          <w:docGrid w:linePitch="360"/>
        </w:sectPr>
      </w:pPr>
      <w:r w:rsidRPr="00F54559">
        <w:rPr>
          <w:rFonts w:eastAsia="Times New Roman" w:cstheme="minorHAnsi"/>
          <w:noProof/>
          <w:sz w:val="24"/>
          <w:szCs w:val="24"/>
        </w:rPr>
        <w:t>The System measures the fair value of investments in certain entities that do not have a quoted market price at the calculated NAV per share or its equivalent.  As these investments are not readily marketable the estimated value is subject to uncertainty, and therefore, may differ from the value that would have been used had a ready market for the investments existed.</w:t>
      </w:r>
    </w:p>
    <w:p w14:paraId="5B639ED8" w14:textId="77777777" w:rsidR="00721CFD" w:rsidRPr="00F54559" w:rsidRDefault="00721CFD" w:rsidP="00721CFD">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17D1B2D7" w14:textId="77777777" w:rsidR="00721CFD" w:rsidRDefault="00721CFD" w:rsidP="00721CFD">
      <w:pPr>
        <w:tabs>
          <w:tab w:val="left" w:pos="720"/>
          <w:tab w:val="left" w:pos="1080"/>
          <w:tab w:val="decimal" w:pos="6786"/>
          <w:tab w:val="decimal" w:pos="9187"/>
        </w:tabs>
        <w:suppressAutoHyphens/>
        <w:spacing w:after="240"/>
        <w:rPr>
          <w:rFonts w:eastAsia="Times New Roman" w:cstheme="minorHAnsi"/>
          <w:spacing w:val="-3"/>
          <w:sz w:val="24"/>
          <w:szCs w:val="20"/>
        </w:rPr>
      </w:pPr>
      <w:r w:rsidRPr="00E53CCD">
        <w:rPr>
          <w:rFonts w:eastAsia="Times New Roman" w:cstheme="minorHAnsi"/>
          <w:color w:val="000000"/>
          <w:spacing w:val="-3"/>
          <w:sz w:val="24"/>
          <w:szCs w:val="20"/>
        </w:rPr>
        <w:t xml:space="preserve">The </w:t>
      </w:r>
      <w:r w:rsidRPr="00187D5B">
        <w:rPr>
          <w:rFonts w:eastAsia="Times New Roman" w:cstheme="minorHAnsi"/>
          <w:b/>
          <w:color w:val="000000"/>
          <w:spacing w:val="-3"/>
          <w:sz w:val="24"/>
          <w:szCs w:val="20"/>
        </w:rPr>
        <w:t xml:space="preserve">System’s </w:t>
      </w:r>
      <w:r w:rsidRPr="00A1236B">
        <w:rPr>
          <w:rFonts w:eastAsia="Times New Roman" w:cstheme="minorHAnsi"/>
          <w:b/>
          <w:color w:val="000000"/>
          <w:spacing w:val="-3"/>
          <w:sz w:val="24"/>
          <w:szCs w:val="20"/>
        </w:rPr>
        <w:t>operating investments</w:t>
      </w:r>
      <w:r>
        <w:rPr>
          <w:rFonts w:eastAsia="Times New Roman" w:cstheme="minorHAnsi"/>
          <w:b/>
          <w:color w:val="000000"/>
          <w:spacing w:val="-3"/>
          <w:sz w:val="24"/>
          <w:szCs w:val="20"/>
        </w:rPr>
        <w:t xml:space="preserve"> and deposits with bond trustees </w:t>
      </w:r>
      <w:r w:rsidRPr="00F54559">
        <w:rPr>
          <w:rFonts w:eastAsia="Times New Roman" w:cstheme="minorHAnsi"/>
          <w:color w:val="000000"/>
          <w:spacing w:val="-3"/>
          <w:sz w:val="24"/>
          <w:szCs w:val="20"/>
        </w:rPr>
        <w:t xml:space="preserve">were composed of the following at </w:t>
      </w:r>
      <w:r w:rsidRPr="00C9349A">
        <w:rPr>
          <w:rFonts w:eastAsia="Times New Roman" w:cstheme="minorHAnsi"/>
          <w:color w:val="000000"/>
          <w:spacing w:val="-3"/>
          <w:sz w:val="24"/>
          <w:szCs w:val="20"/>
        </w:rPr>
        <w:t>June 30</w:t>
      </w:r>
      <w:r w:rsidRPr="00C9349A">
        <w:rPr>
          <w:rFonts w:eastAsia="Times New Roman" w:cstheme="minorHAnsi"/>
          <w:spacing w:val="-3"/>
          <w:sz w:val="24"/>
          <w:szCs w:val="20"/>
        </w:rPr>
        <w:t>, 202</w:t>
      </w:r>
      <w:r>
        <w:rPr>
          <w:rFonts w:eastAsia="Times New Roman" w:cstheme="minorHAnsi"/>
          <w:spacing w:val="-3"/>
          <w:sz w:val="24"/>
          <w:szCs w:val="20"/>
        </w:rPr>
        <w:t>2</w:t>
      </w:r>
      <w:r w:rsidRPr="00F54559">
        <w:rPr>
          <w:rFonts w:eastAsia="Times New Roman" w:cstheme="minorHAnsi"/>
          <w:spacing w:val="-3"/>
          <w:sz w:val="24"/>
          <w:szCs w:val="20"/>
        </w:rPr>
        <w:t>:</w:t>
      </w:r>
    </w:p>
    <w:p w14:paraId="62C6AAEF" w14:textId="77777777" w:rsidR="00721CFD" w:rsidRDefault="00721CFD" w:rsidP="00721CFD">
      <w:pPr>
        <w:tabs>
          <w:tab w:val="left" w:pos="720"/>
          <w:tab w:val="left" w:pos="1080"/>
          <w:tab w:val="decimal" w:pos="6786"/>
          <w:tab w:val="decimal" w:pos="9187"/>
        </w:tabs>
        <w:suppressAutoHyphens/>
        <w:spacing w:after="240"/>
        <w:rPr>
          <w:rFonts w:eastAsia="Times New Roman" w:cstheme="minorHAnsi"/>
          <w:spacing w:val="-3"/>
          <w:sz w:val="24"/>
          <w:szCs w:val="20"/>
        </w:rPr>
      </w:pPr>
      <w:r w:rsidRPr="008C21CA">
        <w:rPr>
          <w:noProof/>
        </w:rPr>
        <w:drawing>
          <wp:inline distT="0" distB="0" distL="0" distR="0" wp14:anchorId="108E779B" wp14:editId="2AE7CAC6">
            <wp:extent cx="8229600" cy="3331210"/>
            <wp:effectExtent l="0" t="0" r="0" b="2540"/>
            <wp:docPr id="42" name="Picture 42" descr="   Fair Value Measurements Using:    Credit  &#10;  Total   Level 1   Level 2   Level 3   Rating   Interest Rate Risk  &#10;Operating Investments measured at fair value:       &#10;Equities:       &#10;Multi-strategy funds  $47,207   $47,207   $-   $-    &#10;Fixed income funds:       &#10;Bonds  123,279   43,398   79,881   -   Not rated   1.3-6.44 years  Duration&#10;Money markets  43,826   43,826   -   -   Not rated   16-33 days  Weighted Average Maturity&#10;Total operating investments at fair value level  214,312   $134,431   $79,881   $-    &#10;Operating investments measured at NAV       &#10;Equities:  Multi-Strategy  15,557       &#10;Bank loans  17,910      Not rated   .30 years  Duration&#10;Total operating investments measured at NAV  33,467       &#10;Total operating investments measured at fair value plus NAV  247,779       &#10;State pool measured at amortized cost  59,298      Not rated  .74 years Duration&#10;Total operating investments  $307,077       &#10;       &#10;Deposits with Bond Trustees:       &#10;Bonds and money markets  $3,659   $3,659   $-   $-   Not rated   16-48 days  Weighted Average Mat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   Fair Value Measurements Using:    Credit  &#10;  Total   Level 1   Level 2   Level 3   Rating   Interest Rate Risk  &#10;Operating Investments measured at fair value:       &#10;Equities:       &#10;Multi-strategy funds  $47,207   $47,207   $-   $-    &#10;Fixed income funds:       &#10;Bonds  123,279   43,398   79,881   -   Not rated   1.3-6.44 years  Duration&#10;Money markets  43,826   43,826   -   -   Not rated   16-33 days  Weighted Average Maturity&#10;Total operating investments at fair value level  214,312   $134,431   $79,881   $-    &#10;Operating investments measured at NAV       &#10;Equities:  Multi-Strategy  15,557       &#10;Bank loans  17,910      Not rated   .30 years  Duration&#10;Total operating investments measured at NAV  33,467       &#10;Total operating investments measured at fair value plus NAV  247,779       &#10;State pool measured at amortized cost  59,298      Not rated  .74 years Duration&#10;Total operating investments  $307,077       &#10;       &#10;Deposits with Bond Trustees:       &#10;Bonds and money markets  $3,659   $3,659   $-   $-   Not rated   16-48 days  Weighted Average Maturit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29600" cy="3331210"/>
                    </a:xfrm>
                    <a:prstGeom prst="rect">
                      <a:avLst/>
                    </a:prstGeom>
                    <a:noFill/>
                    <a:ln>
                      <a:noFill/>
                    </a:ln>
                  </pic:spPr>
                </pic:pic>
              </a:graphicData>
            </a:graphic>
          </wp:inline>
        </w:drawing>
      </w:r>
      <w:r w:rsidRPr="00937971" w:rsidDel="00937971">
        <w:t xml:space="preserve"> </w:t>
      </w:r>
      <w:r>
        <w:rPr>
          <w:rFonts w:eastAsia="Times New Roman" w:cstheme="minorHAnsi"/>
          <w:spacing w:val="-3"/>
          <w:sz w:val="24"/>
          <w:szCs w:val="20"/>
        </w:rPr>
        <w:fldChar w:fldCharType="begin"/>
      </w:r>
      <w:r>
        <w:rPr>
          <w:rFonts w:eastAsia="Times New Roman" w:cstheme="minorHAnsi"/>
          <w:spacing w:val="-3"/>
          <w:sz w:val="24"/>
          <w:szCs w:val="20"/>
        </w:rPr>
        <w:fldChar w:fldCharType="end"/>
      </w:r>
    </w:p>
    <w:p w14:paraId="7A9881F1" w14:textId="77777777" w:rsidR="00721CFD" w:rsidRPr="00F54559" w:rsidRDefault="00721CFD" w:rsidP="00721CFD">
      <w:pPr>
        <w:tabs>
          <w:tab w:val="left" w:pos="720"/>
          <w:tab w:val="left" w:pos="1080"/>
          <w:tab w:val="decimal" w:pos="6786"/>
          <w:tab w:val="decimal" w:pos="9187"/>
        </w:tabs>
        <w:suppressAutoHyphens/>
        <w:spacing w:before="160" w:after="160"/>
        <w:rPr>
          <w:rFonts w:eastAsia="Times New Roman" w:cstheme="minorHAnsi"/>
          <w:color w:val="000000"/>
          <w:spacing w:val="-3"/>
          <w:sz w:val="24"/>
          <w:szCs w:val="20"/>
        </w:rPr>
        <w:sectPr w:rsidR="00721CFD" w:rsidRPr="00F54559" w:rsidSect="007B5BB3">
          <w:headerReference w:type="default" r:id="rId62"/>
          <w:footerReference w:type="default" r:id="rId63"/>
          <w:pgSz w:w="15840" w:h="12240" w:orient="landscape" w:code="1"/>
          <w:pgMar w:top="1440" w:right="1440" w:bottom="1440" w:left="1440" w:header="720" w:footer="720" w:gutter="0"/>
          <w:cols w:space="0"/>
          <w:docGrid w:linePitch="360"/>
        </w:sectPr>
      </w:pPr>
    </w:p>
    <w:p w14:paraId="3639B786" w14:textId="63035894" w:rsidR="00373110" w:rsidRDefault="00721CFD" w:rsidP="00721CFD">
      <w:pPr>
        <w:spacing w:after="160" w:line="259" w:lineRule="auto"/>
        <w:rPr>
          <w:rFonts w:eastAsia="Times New Roman" w:cstheme="minorHAnsi"/>
          <w:color w:val="000000"/>
          <w:spacing w:val="-3"/>
          <w:sz w:val="24"/>
          <w:szCs w:val="20"/>
        </w:rPr>
      </w:pPr>
      <w:r w:rsidRPr="00F54559">
        <w:rPr>
          <w:rFonts w:cstheme="minorHAnsi"/>
          <w:b/>
          <w:i/>
          <w:noProof/>
          <w:sz w:val="26"/>
          <w:szCs w:val="26"/>
        </w:rPr>
        <w:lastRenderedPageBreak/>
        <w:t xml:space="preserve">3. INVESTMENTS </w:t>
      </w:r>
      <w:r w:rsidR="00373110">
        <w:rPr>
          <w:rFonts w:cstheme="minorHAnsi"/>
          <w:b/>
          <w:i/>
          <w:noProof/>
          <w:sz w:val="26"/>
          <w:szCs w:val="26"/>
        </w:rPr>
        <w:t>–</w:t>
      </w:r>
      <w:r w:rsidRPr="00F54559">
        <w:rPr>
          <w:rFonts w:cstheme="minorHAnsi"/>
          <w:b/>
          <w:i/>
          <w:noProof/>
          <w:sz w:val="26"/>
          <w:szCs w:val="26"/>
        </w:rPr>
        <w:t xml:space="preserve"> CONTINUED</w:t>
      </w:r>
    </w:p>
    <w:p w14:paraId="6640A1E7" w14:textId="06F2D099" w:rsidR="000B0AAD" w:rsidRDefault="00721CFD" w:rsidP="00721CFD">
      <w:pPr>
        <w:spacing w:after="160" w:line="259" w:lineRule="auto"/>
        <w:rPr>
          <w:noProof/>
        </w:rPr>
      </w:pPr>
      <w:r w:rsidRPr="00F54559">
        <w:rPr>
          <w:rFonts w:eastAsia="Times New Roman" w:cstheme="minorHAnsi"/>
          <w:color w:val="000000"/>
          <w:spacing w:val="-3"/>
          <w:sz w:val="24"/>
          <w:szCs w:val="20"/>
        </w:rPr>
        <w:t xml:space="preserve">The </w:t>
      </w:r>
      <w:r w:rsidRPr="00F54559">
        <w:rPr>
          <w:rFonts w:eastAsia="Times New Roman" w:cstheme="minorHAnsi"/>
          <w:b/>
          <w:color w:val="000000"/>
          <w:spacing w:val="-3"/>
          <w:sz w:val="24"/>
          <w:szCs w:val="20"/>
        </w:rPr>
        <w:t xml:space="preserve">System’s </w:t>
      </w:r>
      <w:r>
        <w:rPr>
          <w:rFonts w:eastAsia="Times New Roman" w:cstheme="minorHAnsi"/>
          <w:b/>
          <w:color w:val="000000"/>
          <w:spacing w:val="-3"/>
          <w:sz w:val="24"/>
          <w:szCs w:val="20"/>
        </w:rPr>
        <w:t>DB Plan</w:t>
      </w:r>
      <w:r w:rsidR="00961F94">
        <w:rPr>
          <w:rFonts w:eastAsia="Times New Roman" w:cstheme="minorHAnsi"/>
          <w:b/>
          <w:color w:val="000000"/>
          <w:spacing w:val="-3"/>
          <w:sz w:val="24"/>
          <w:szCs w:val="20"/>
        </w:rPr>
        <w:t xml:space="preserve">, </w:t>
      </w:r>
      <w:r>
        <w:rPr>
          <w:rFonts w:eastAsia="Times New Roman" w:cstheme="minorHAnsi"/>
          <w:b/>
          <w:color w:val="000000"/>
          <w:spacing w:val="-3"/>
          <w:sz w:val="24"/>
          <w:szCs w:val="20"/>
        </w:rPr>
        <w:t xml:space="preserve">MIP </w:t>
      </w:r>
      <w:r w:rsidR="00961F94">
        <w:rPr>
          <w:rFonts w:eastAsia="Times New Roman" w:cstheme="minorHAnsi"/>
          <w:b/>
          <w:color w:val="000000"/>
          <w:spacing w:val="-3"/>
          <w:sz w:val="24"/>
          <w:szCs w:val="20"/>
        </w:rPr>
        <w:t>and separately invested</w:t>
      </w:r>
      <w:r w:rsidR="00961F94">
        <w:rPr>
          <w:rFonts w:eastAsia="Times New Roman" w:cstheme="minorHAnsi"/>
          <w:color w:val="000000"/>
          <w:spacing w:val="-3"/>
          <w:sz w:val="24"/>
          <w:szCs w:val="20"/>
        </w:rPr>
        <w:t xml:space="preserve"> </w:t>
      </w:r>
      <w:r w:rsidR="00961F94">
        <w:rPr>
          <w:rFonts w:eastAsia="Times New Roman" w:cstheme="minorHAnsi"/>
          <w:b/>
          <w:color w:val="000000"/>
          <w:spacing w:val="-3"/>
          <w:sz w:val="24"/>
          <w:szCs w:val="20"/>
        </w:rPr>
        <w:t xml:space="preserve">endowments </w:t>
      </w:r>
      <w:r w:rsidRPr="00F54559">
        <w:rPr>
          <w:rFonts w:eastAsia="Times New Roman" w:cstheme="minorHAnsi"/>
          <w:color w:val="000000"/>
          <w:spacing w:val="-3"/>
          <w:sz w:val="24"/>
          <w:szCs w:val="20"/>
        </w:rPr>
        <w:t xml:space="preserve">were composed of the following at </w:t>
      </w:r>
      <w:r w:rsidRPr="00601B8C">
        <w:rPr>
          <w:rFonts w:eastAsia="Times New Roman" w:cstheme="minorHAnsi"/>
          <w:color w:val="000000"/>
          <w:spacing w:val="-3"/>
          <w:sz w:val="24"/>
          <w:szCs w:val="20"/>
        </w:rPr>
        <w:t>June 30</w:t>
      </w:r>
      <w:r w:rsidRPr="00601B8C">
        <w:rPr>
          <w:rFonts w:eastAsia="Times New Roman" w:cstheme="minorHAnsi"/>
          <w:spacing w:val="-3"/>
          <w:sz w:val="24"/>
          <w:szCs w:val="20"/>
        </w:rPr>
        <w:t>, 202</w:t>
      </w:r>
      <w:r>
        <w:rPr>
          <w:rFonts w:eastAsia="Times New Roman" w:cstheme="minorHAnsi"/>
          <w:spacing w:val="-3"/>
          <w:sz w:val="24"/>
          <w:szCs w:val="20"/>
        </w:rPr>
        <w:t>2</w:t>
      </w:r>
      <w:r w:rsidRPr="00F54559">
        <w:rPr>
          <w:rFonts w:eastAsia="Times New Roman" w:cstheme="minorHAnsi"/>
          <w:spacing w:val="-3"/>
          <w:sz w:val="24"/>
          <w:szCs w:val="20"/>
        </w:rPr>
        <w:t>:</w:t>
      </w:r>
      <w:r w:rsidR="000B0AAD" w:rsidRPr="000B0AAD">
        <w:rPr>
          <w:noProof/>
        </w:rPr>
        <w:t xml:space="preserve"> </w:t>
      </w:r>
    </w:p>
    <w:p w14:paraId="5AAED973" w14:textId="785D2048" w:rsidR="00721CFD" w:rsidRPr="001B0CB6" w:rsidRDefault="00FF072C" w:rsidP="007840A5">
      <w:pPr>
        <w:spacing w:after="160" w:line="259" w:lineRule="auto"/>
        <w:rPr>
          <w:rFonts w:eastAsia="Times New Roman" w:cstheme="minorHAnsi"/>
          <w:spacing w:val="-3"/>
          <w:sz w:val="24"/>
          <w:szCs w:val="20"/>
        </w:rPr>
        <w:sectPr w:rsidR="00721CFD" w:rsidRPr="001B0CB6" w:rsidSect="007B5BB3">
          <w:pgSz w:w="15840" w:h="12240" w:orient="landscape" w:code="1"/>
          <w:pgMar w:top="1440" w:right="1440" w:bottom="1440" w:left="1440" w:header="720" w:footer="720" w:gutter="0"/>
          <w:cols w:space="0"/>
          <w:docGrid w:linePitch="360"/>
        </w:sectPr>
      </w:pPr>
      <w:r w:rsidRPr="00FF072C">
        <w:rPr>
          <w:noProof/>
        </w:rPr>
        <w:drawing>
          <wp:inline distT="0" distB="0" distL="0" distR="0" wp14:anchorId="01F42F9A" wp14:editId="7730A25E">
            <wp:extent cx="6566254" cy="5311471"/>
            <wp:effectExtent l="0" t="0" r="6350" b="3810"/>
            <wp:docPr id="45" name="Picture 45" descr="   Fair Value Measurements Using:    Credit  &#10;  Total   Level 1   Level 2   Level 3   Rating   Interest Rate Risk  &#10;Investments measured at fair value:       &#10;Equities:       &#10;Equity securities  $9,200   $9,200   $-   $-    &#10;Equity funds  42,652   20,198   22,454   -    &#10;Multi-strategy funds  29,347   29,347   -   -   Not rated   Not rated  &#10;Fixed income funds:       &#10;Money markets  2,031   2,031   -   -   Not rated   14 days  Weighted Average Maturity&#10;Bonds  37,674   37,674   -   -   Not rated  1.8-7.6 years Duration&#10;Real assets  2,004   -   -   2,004   Not rated   Not rated  &#10;Total DB Plan, MIP and separately held at fair value level  122,908   $98,450   $22,454   $2,004    &#10;Investments measured at NAV:       &#10;Equity securities  48,406       &#10;Equity funds  87,098       &#10;Multi-strategy funds  32,837       &#10;Fixed income funds - bonds  45,040       &#10;Bank loans  18,976      Not rated  0.3 years Duration&#10;Total DB Plan and MIP investments measured at NAV  232,357       &#10;Total DB Plan, MIP and separately held investments  $355,265       &#10;Breakdown of above investments by portfolio plus separately invested endowments:       &#10;DB Plan at fair value level  $11,681   $9,677   $-   $2,004    &#10;DB Plan at NAV  8,711       &#10;Total DB Plan Investments  $20,392       &#10;Fiduciary funds separately invested at fair level  $168   $168      &#10;MIP held on behalf of outside entities at fair level  $55,312   $44,129   $11,183   $-    &#10;MIP held on behalf of outside entities at NAV  111,383       &#10;Total MIP held on behalf of outside entities  $166,695       &#10;Fiduciary Funds held in Endowment Pool at fair value level  $10,004   $7,981   $2,023   $-    &#10;Fiduciary Funds held in Endowment Pool at NAV  20,146       &#10;Total Fiduciary Funds held in Endowment Pool  $30,150       &#10;Endowment pool investments included in the MIP at fair value  $45,743   $36,495   $9,248   $-    &#10;Endowment pool investments included in the MIP at NAV  92,117       &#10;Total endowment pool investments included in the MIP  137,860       &#10;Endowment investments - separately invested  3,308   $3,308   $-   $-    &#10;Total endowment investments  $14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   Fair Value Measurements Using:    Credit  &#10;  Total   Level 1   Level 2   Level 3   Rating   Interest Rate Risk  &#10;Investments measured at fair value:       &#10;Equities:       &#10;Equity securities  $9,200   $9,200   $-   $-    &#10;Equity funds  42,652   20,198   22,454   -    &#10;Multi-strategy funds  29,347   29,347   -   -   Not rated   Not rated  &#10;Fixed income funds:       &#10;Money markets  2,031   2,031   -   -   Not rated   14 days  Weighted Average Maturity&#10;Bonds  37,674   37,674   -   -   Not rated  1.8-7.6 years Duration&#10;Real assets  2,004   -   -   2,004   Not rated   Not rated  &#10;Total DB Plan, MIP and separately held at fair value level  122,908   $98,450   $22,454   $2,004    &#10;Investments measured at NAV:       &#10;Equity securities  48,406       &#10;Equity funds  87,098       &#10;Multi-strategy funds  32,837       &#10;Fixed income funds - bonds  45,040       &#10;Bank loans  18,976      Not rated  0.3 years Duration&#10;Total DB Plan and MIP investments measured at NAV  232,357       &#10;Total DB Plan, MIP and separately held investments  $355,265       &#10;Breakdown of above investments by portfolio plus separately invested endowments:       &#10;DB Plan at fair value level  $11,681   $9,677   $-   $2,004    &#10;DB Plan at NAV  8,711       &#10;Total DB Plan Investments  $20,392       &#10;Fiduciary funds separately invested at fair level  $168   $168      &#10;MIP held on behalf of outside entities at fair level  $55,312   $44,129   $11,183   $-    &#10;MIP held on behalf of outside entities at NAV  111,383       &#10;Total MIP held on behalf of outside entities  $166,695       &#10;Fiduciary Funds held in Endowment Pool at fair value level  $10,004   $7,981   $2,023   $-    &#10;Fiduciary Funds held in Endowment Pool at NAV  20,146       &#10;Total Fiduciary Funds held in Endowment Pool  $30,150       &#10;Endowment pool investments included in the MIP at fair value  $45,743   $36,495   $9,248   $-    &#10;Endowment pool investments included in the MIP at NAV  92,117       &#10;Total endowment pool investments included in the MIP  137,860       &#10;Endowment investments - separately invested  3,308   $3,308   $-   $-    &#10;Total endowment investments  $141,1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30214" cy="5363208"/>
                    </a:xfrm>
                    <a:prstGeom prst="rect">
                      <a:avLst/>
                    </a:prstGeom>
                    <a:noFill/>
                    <a:ln>
                      <a:noFill/>
                    </a:ln>
                  </pic:spPr>
                </pic:pic>
              </a:graphicData>
            </a:graphic>
          </wp:inline>
        </w:drawing>
      </w:r>
      <w:r w:rsidR="00721CFD">
        <w:rPr>
          <w:rFonts w:eastAsia="Times New Roman" w:cstheme="minorHAnsi"/>
          <w:spacing w:val="-3"/>
          <w:sz w:val="24"/>
          <w:szCs w:val="20"/>
        </w:rPr>
        <w:fldChar w:fldCharType="begin"/>
      </w:r>
      <w:r w:rsidR="00721CFD">
        <w:rPr>
          <w:rFonts w:eastAsia="Times New Roman" w:cstheme="minorHAnsi"/>
          <w:spacing w:val="-3"/>
          <w:sz w:val="24"/>
          <w:szCs w:val="20"/>
        </w:rPr>
        <w:fldChar w:fldCharType="end"/>
      </w:r>
      <w:r w:rsidR="001B0CB6">
        <w:rPr>
          <w:rFonts w:eastAsia="Times New Roman" w:cstheme="minorHAnsi"/>
          <w:spacing w:val="-3"/>
          <w:sz w:val="24"/>
          <w:szCs w:val="20"/>
        </w:rPr>
        <w:tab/>
      </w:r>
    </w:p>
    <w:p w14:paraId="00D8E440" w14:textId="77777777" w:rsidR="00721CFD" w:rsidRPr="00F54559" w:rsidRDefault="00721CFD" w:rsidP="00721CFD">
      <w:pPr>
        <w:spacing w:after="160"/>
        <w:rPr>
          <w:rFonts w:eastAsiaTheme="majorEastAsia" w:cstheme="minorHAnsi"/>
          <w:b/>
          <w:i/>
          <w:iCs/>
          <w:smallCaps/>
          <w:noProof/>
          <w:color w:val="000000" w:themeColor="text1"/>
          <w:sz w:val="26"/>
          <w:szCs w:val="26"/>
        </w:rPr>
      </w:pPr>
      <w:r w:rsidRPr="00F54559">
        <w:rPr>
          <w:rFonts w:eastAsiaTheme="majorEastAsia" w:cstheme="minorHAnsi"/>
          <w:b/>
          <w:i/>
          <w:iCs/>
          <w:smallCaps/>
          <w:noProof/>
          <w:color w:val="000000" w:themeColor="text1"/>
          <w:sz w:val="26"/>
          <w:szCs w:val="26"/>
        </w:rPr>
        <w:lastRenderedPageBreak/>
        <w:t>3. INVESTMENTS - CONTINUED</w:t>
      </w:r>
    </w:p>
    <w:p w14:paraId="1BB92C11" w14:textId="77777777" w:rsidR="00721CFD" w:rsidRDefault="00721CFD" w:rsidP="00721CFD">
      <w:pPr>
        <w:rPr>
          <w:rFonts w:eastAsia="Times New Roman" w:cstheme="minorHAnsi"/>
          <w:color w:val="FF0000"/>
          <w:spacing w:val="-3"/>
          <w:sz w:val="24"/>
          <w:szCs w:val="20"/>
        </w:rPr>
      </w:pPr>
      <w:r w:rsidRPr="00F54559">
        <w:rPr>
          <w:rFonts w:cstheme="minorHAnsi"/>
          <w:sz w:val="24"/>
        </w:rPr>
        <w:t xml:space="preserve">Additional disclosures for </w:t>
      </w:r>
      <w:r w:rsidRPr="00F54559">
        <w:rPr>
          <w:rFonts w:cstheme="minorHAnsi"/>
          <w:b/>
          <w:sz w:val="24"/>
        </w:rPr>
        <w:t xml:space="preserve">System investments, </w:t>
      </w:r>
      <w:r w:rsidRPr="00F54559">
        <w:rPr>
          <w:rFonts w:cstheme="minorHAnsi"/>
          <w:sz w:val="24"/>
        </w:rPr>
        <w:t xml:space="preserve">including the </w:t>
      </w:r>
      <w:r>
        <w:rPr>
          <w:rFonts w:cstheme="minorHAnsi"/>
          <w:sz w:val="24"/>
        </w:rPr>
        <w:t xml:space="preserve">DB Plan and </w:t>
      </w:r>
      <w:r w:rsidRPr="00F54559">
        <w:rPr>
          <w:rFonts w:cstheme="minorHAnsi"/>
          <w:sz w:val="24"/>
        </w:rPr>
        <w:t xml:space="preserve">MIP, measured at NAV at June 30, </w:t>
      </w:r>
      <w:r>
        <w:rPr>
          <w:rFonts w:cstheme="minorHAnsi"/>
          <w:sz w:val="24"/>
        </w:rPr>
        <w:t>2022</w:t>
      </w:r>
      <w:r w:rsidRPr="00F54559">
        <w:rPr>
          <w:rFonts w:cstheme="minorHAnsi"/>
          <w:sz w:val="24"/>
        </w:rPr>
        <w:t>:</w:t>
      </w:r>
      <w:r w:rsidRPr="00BF3BD5">
        <w:rPr>
          <w:rFonts w:eastAsia="Times New Roman" w:cstheme="minorHAnsi"/>
          <w:color w:val="FF0000"/>
          <w:spacing w:val="-3"/>
          <w:sz w:val="24"/>
          <w:szCs w:val="20"/>
        </w:rPr>
        <w:t xml:space="preserve"> </w:t>
      </w:r>
    </w:p>
    <w:tbl>
      <w:tblPr>
        <w:tblW w:w="10000" w:type="dxa"/>
        <w:tblLook w:val="04A0" w:firstRow="1" w:lastRow="0" w:firstColumn="1" w:lastColumn="0" w:noHBand="0" w:noVBand="1"/>
      </w:tblPr>
      <w:tblGrid>
        <w:gridCol w:w="5280"/>
        <w:gridCol w:w="1040"/>
        <w:gridCol w:w="1900"/>
        <w:gridCol w:w="1780"/>
      </w:tblGrid>
      <w:tr w:rsidR="00721CFD" w:rsidRPr="00350BDC" w14:paraId="2816A72D" w14:textId="77777777" w:rsidTr="007B5BB3">
        <w:trPr>
          <w:trHeight w:val="840"/>
        </w:trPr>
        <w:tc>
          <w:tcPr>
            <w:tcW w:w="5280" w:type="dxa"/>
            <w:tcBorders>
              <w:top w:val="nil"/>
              <w:left w:val="nil"/>
              <w:bottom w:val="single" w:sz="12" w:space="0" w:color="00688D"/>
              <w:right w:val="nil"/>
            </w:tcBorders>
            <w:shd w:val="clear" w:color="000000" w:fill="FFFFFF"/>
            <w:noWrap/>
            <w:vAlign w:val="bottom"/>
            <w:hideMark/>
          </w:tcPr>
          <w:p w14:paraId="29DC403A" w14:textId="77777777" w:rsidR="00721CFD" w:rsidRPr="00303AA9" w:rsidRDefault="00721CFD" w:rsidP="007B5BB3">
            <w:pPr>
              <w:rPr>
                <w:rFonts w:ascii="Calibri" w:eastAsia="Times New Roman" w:hAnsi="Calibri" w:cs="Calibri"/>
                <w:b/>
                <w:bCs/>
                <w:color w:val="0D0D0D"/>
                <w:sz w:val="18"/>
                <w:szCs w:val="20"/>
              </w:rPr>
            </w:pPr>
            <w:bookmarkStart w:id="9" w:name="RANGE!A1:D21"/>
            <w:r w:rsidRPr="00303AA9">
              <w:rPr>
                <w:rFonts w:ascii="Calibri" w:eastAsia="Times New Roman" w:hAnsi="Calibri" w:cs="Calibri"/>
                <w:b/>
                <w:bCs/>
                <w:color w:val="0D0D0D"/>
                <w:sz w:val="18"/>
                <w:szCs w:val="20"/>
              </w:rPr>
              <w:t> </w:t>
            </w:r>
            <w:bookmarkEnd w:id="9"/>
          </w:p>
        </w:tc>
        <w:tc>
          <w:tcPr>
            <w:tcW w:w="1040" w:type="dxa"/>
            <w:tcBorders>
              <w:top w:val="nil"/>
              <w:left w:val="nil"/>
              <w:bottom w:val="single" w:sz="12" w:space="0" w:color="00688D"/>
              <w:right w:val="nil"/>
            </w:tcBorders>
            <w:shd w:val="clear" w:color="000000" w:fill="FFFFFF"/>
            <w:vAlign w:val="bottom"/>
            <w:hideMark/>
          </w:tcPr>
          <w:p w14:paraId="0198AAF5" w14:textId="77777777" w:rsidR="00721CFD" w:rsidRPr="00303AA9" w:rsidRDefault="00721CFD" w:rsidP="007B5BB3">
            <w:pPr>
              <w:jc w:val="cente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xml:space="preserve"> Fair</w:t>
            </w:r>
            <w:r w:rsidRPr="00303AA9">
              <w:rPr>
                <w:rFonts w:ascii="Calibri" w:eastAsia="Times New Roman" w:hAnsi="Calibri" w:cs="Calibri"/>
                <w:b/>
                <w:bCs/>
                <w:color w:val="0D0D0D"/>
                <w:sz w:val="18"/>
                <w:szCs w:val="20"/>
              </w:rPr>
              <w:br/>
              <w:t xml:space="preserve">Value </w:t>
            </w:r>
          </w:p>
        </w:tc>
        <w:tc>
          <w:tcPr>
            <w:tcW w:w="1900" w:type="dxa"/>
            <w:tcBorders>
              <w:top w:val="nil"/>
              <w:left w:val="nil"/>
              <w:bottom w:val="single" w:sz="12" w:space="0" w:color="00688D"/>
              <w:right w:val="nil"/>
            </w:tcBorders>
            <w:shd w:val="clear" w:color="000000" w:fill="FFFFFF"/>
            <w:vAlign w:val="bottom"/>
            <w:hideMark/>
          </w:tcPr>
          <w:p w14:paraId="58E32579" w14:textId="77777777" w:rsidR="00721CFD" w:rsidRPr="00303AA9" w:rsidRDefault="00721CFD" w:rsidP="007B5BB3">
            <w:pPr>
              <w:jc w:val="cente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xml:space="preserve"> Redemption</w:t>
            </w:r>
            <w:r w:rsidRPr="00303AA9">
              <w:rPr>
                <w:rFonts w:ascii="Calibri" w:eastAsia="Times New Roman" w:hAnsi="Calibri" w:cs="Calibri"/>
                <w:b/>
                <w:bCs/>
                <w:color w:val="0D0D0D"/>
                <w:sz w:val="18"/>
                <w:szCs w:val="20"/>
              </w:rPr>
              <w:br/>
              <w:t>Frequency (If</w:t>
            </w:r>
            <w:r w:rsidRPr="00303AA9">
              <w:rPr>
                <w:rFonts w:ascii="Calibri" w:eastAsia="Times New Roman" w:hAnsi="Calibri" w:cs="Calibri"/>
                <w:b/>
                <w:bCs/>
                <w:color w:val="0D0D0D"/>
                <w:sz w:val="18"/>
                <w:szCs w:val="20"/>
              </w:rPr>
              <w:br/>
              <w:t xml:space="preserve">Currently Eligible) </w:t>
            </w:r>
          </w:p>
        </w:tc>
        <w:tc>
          <w:tcPr>
            <w:tcW w:w="1780" w:type="dxa"/>
            <w:tcBorders>
              <w:top w:val="nil"/>
              <w:left w:val="nil"/>
              <w:bottom w:val="single" w:sz="12" w:space="0" w:color="00688D"/>
              <w:right w:val="nil"/>
            </w:tcBorders>
            <w:shd w:val="clear" w:color="000000" w:fill="FFFFFF"/>
            <w:vAlign w:val="bottom"/>
            <w:hideMark/>
          </w:tcPr>
          <w:p w14:paraId="1D217873" w14:textId="77777777" w:rsidR="00721CFD" w:rsidRPr="00303AA9" w:rsidRDefault="00721CFD" w:rsidP="007B5BB3">
            <w:pPr>
              <w:jc w:val="cente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xml:space="preserve"> Redemption</w:t>
            </w:r>
            <w:r w:rsidRPr="00303AA9">
              <w:rPr>
                <w:rFonts w:ascii="Calibri" w:eastAsia="Times New Roman" w:hAnsi="Calibri" w:cs="Calibri"/>
                <w:b/>
                <w:bCs/>
                <w:color w:val="0D0D0D"/>
                <w:sz w:val="18"/>
                <w:szCs w:val="20"/>
              </w:rPr>
              <w:br/>
              <w:t>Period</w:t>
            </w:r>
            <w:r w:rsidRPr="00303AA9">
              <w:rPr>
                <w:rFonts w:ascii="Calibri" w:eastAsia="Times New Roman" w:hAnsi="Calibri" w:cs="Calibri"/>
                <w:b/>
                <w:bCs/>
                <w:color w:val="0D0D0D"/>
                <w:sz w:val="18"/>
                <w:szCs w:val="20"/>
              </w:rPr>
              <w:br/>
              <w:t xml:space="preserve">Notice </w:t>
            </w:r>
          </w:p>
        </w:tc>
      </w:tr>
      <w:tr w:rsidR="00721CFD" w:rsidRPr="00350BDC" w14:paraId="6EE43E52" w14:textId="77777777" w:rsidTr="007B5BB3">
        <w:trPr>
          <w:trHeight w:val="324"/>
        </w:trPr>
        <w:tc>
          <w:tcPr>
            <w:tcW w:w="5280" w:type="dxa"/>
            <w:tcBorders>
              <w:top w:val="nil"/>
              <w:left w:val="nil"/>
              <w:bottom w:val="nil"/>
              <w:right w:val="nil"/>
            </w:tcBorders>
            <w:shd w:val="clear" w:color="000000" w:fill="FFFFFF"/>
            <w:noWrap/>
            <w:vAlign w:val="bottom"/>
            <w:hideMark/>
          </w:tcPr>
          <w:p w14:paraId="08182332"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Operating Investments measured at NAV:</w:t>
            </w:r>
          </w:p>
        </w:tc>
        <w:tc>
          <w:tcPr>
            <w:tcW w:w="1040" w:type="dxa"/>
            <w:tcBorders>
              <w:top w:val="nil"/>
              <w:left w:val="nil"/>
              <w:bottom w:val="nil"/>
              <w:right w:val="nil"/>
            </w:tcBorders>
            <w:shd w:val="clear" w:color="000000" w:fill="FFFFFF"/>
            <w:noWrap/>
            <w:vAlign w:val="bottom"/>
            <w:hideMark/>
          </w:tcPr>
          <w:p w14:paraId="210AF155" w14:textId="77777777" w:rsidR="00721CFD" w:rsidRPr="00303AA9" w:rsidRDefault="00721CFD" w:rsidP="007B5BB3">
            <w:pPr>
              <w:jc w:val="cente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900" w:type="dxa"/>
            <w:tcBorders>
              <w:top w:val="nil"/>
              <w:left w:val="nil"/>
              <w:bottom w:val="nil"/>
              <w:right w:val="nil"/>
            </w:tcBorders>
            <w:shd w:val="clear" w:color="000000" w:fill="FFFFFF"/>
            <w:noWrap/>
            <w:vAlign w:val="bottom"/>
            <w:hideMark/>
          </w:tcPr>
          <w:p w14:paraId="3BD91E40"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136A44F6"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721CFD" w:rsidRPr="00350BDC" w14:paraId="3499E451" w14:textId="77777777" w:rsidTr="007B5BB3">
        <w:trPr>
          <w:trHeight w:val="312"/>
        </w:trPr>
        <w:tc>
          <w:tcPr>
            <w:tcW w:w="5280" w:type="dxa"/>
            <w:tcBorders>
              <w:top w:val="nil"/>
              <w:left w:val="nil"/>
              <w:bottom w:val="nil"/>
              <w:right w:val="nil"/>
            </w:tcBorders>
            <w:shd w:val="clear" w:color="000000" w:fill="FFFFFF"/>
            <w:noWrap/>
            <w:vAlign w:val="bottom"/>
            <w:hideMark/>
          </w:tcPr>
          <w:p w14:paraId="4537CF64"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Equities:  Multi-strategy ₁</w:t>
            </w:r>
          </w:p>
        </w:tc>
        <w:tc>
          <w:tcPr>
            <w:tcW w:w="1040" w:type="dxa"/>
            <w:tcBorders>
              <w:top w:val="nil"/>
              <w:left w:val="nil"/>
              <w:bottom w:val="nil"/>
              <w:right w:val="nil"/>
            </w:tcBorders>
            <w:shd w:val="clear" w:color="000000" w:fill="FFFFFF"/>
            <w:noWrap/>
            <w:vAlign w:val="bottom"/>
            <w:hideMark/>
          </w:tcPr>
          <w:p w14:paraId="091C160F" w14:textId="77777777" w:rsidR="00721CFD" w:rsidRPr="00303AA9" w:rsidRDefault="00721CFD" w:rsidP="007B5BB3">
            <w:pPr>
              <w:jc w:val="right"/>
              <w:rPr>
                <w:rFonts w:ascii="Calibri" w:eastAsia="Times New Roman" w:hAnsi="Calibri" w:cs="Calibri"/>
                <w:color w:val="0D0D0D"/>
                <w:sz w:val="18"/>
                <w:szCs w:val="20"/>
              </w:rPr>
            </w:pPr>
            <w:r w:rsidRPr="00303AA9">
              <w:rPr>
                <w:rFonts w:ascii="Calibri" w:eastAsia="Times New Roman" w:hAnsi="Calibri" w:cs="Calibri"/>
                <w:color w:val="0D0D0D"/>
                <w:sz w:val="18"/>
                <w:szCs w:val="20"/>
              </w:rPr>
              <w:t xml:space="preserve"> $   15,557</w:t>
            </w:r>
          </w:p>
        </w:tc>
        <w:tc>
          <w:tcPr>
            <w:tcW w:w="1900" w:type="dxa"/>
            <w:tcBorders>
              <w:top w:val="nil"/>
              <w:left w:val="nil"/>
              <w:bottom w:val="nil"/>
              <w:right w:val="nil"/>
            </w:tcBorders>
            <w:shd w:val="clear" w:color="000000" w:fill="FFFFFF"/>
            <w:noWrap/>
            <w:vAlign w:val="bottom"/>
            <w:hideMark/>
          </w:tcPr>
          <w:p w14:paraId="1586F20D"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Quarterly, Monthly</w:t>
            </w:r>
          </w:p>
        </w:tc>
        <w:tc>
          <w:tcPr>
            <w:tcW w:w="1780" w:type="dxa"/>
            <w:tcBorders>
              <w:top w:val="nil"/>
              <w:left w:val="nil"/>
              <w:bottom w:val="nil"/>
              <w:right w:val="nil"/>
            </w:tcBorders>
            <w:shd w:val="clear" w:color="000000" w:fill="FFFFFF"/>
            <w:noWrap/>
            <w:vAlign w:val="bottom"/>
            <w:hideMark/>
          </w:tcPr>
          <w:p w14:paraId="7500A3D4"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60, 90 days</w:t>
            </w:r>
          </w:p>
        </w:tc>
      </w:tr>
      <w:tr w:rsidR="00721CFD" w:rsidRPr="00350BDC" w14:paraId="13C635B2" w14:textId="77777777" w:rsidTr="007B5BB3">
        <w:trPr>
          <w:trHeight w:val="312"/>
        </w:trPr>
        <w:tc>
          <w:tcPr>
            <w:tcW w:w="5280" w:type="dxa"/>
            <w:tcBorders>
              <w:top w:val="nil"/>
              <w:left w:val="nil"/>
              <w:bottom w:val="single" w:sz="4" w:space="0" w:color="00688D"/>
              <w:right w:val="nil"/>
            </w:tcBorders>
            <w:shd w:val="clear" w:color="000000" w:fill="FFFFFF"/>
            <w:noWrap/>
            <w:vAlign w:val="bottom"/>
            <w:hideMark/>
          </w:tcPr>
          <w:p w14:paraId="0ED8CB46"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Bank loans ₂</w:t>
            </w:r>
          </w:p>
        </w:tc>
        <w:tc>
          <w:tcPr>
            <w:tcW w:w="1040" w:type="dxa"/>
            <w:tcBorders>
              <w:top w:val="nil"/>
              <w:left w:val="nil"/>
              <w:bottom w:val="single" w:sz="4" w:space="0" w:color="00688D"/>
              <w:right w:val="nil"/>
            </w:tcBorders>
            <w:shd w:val="clear" w:color="000000" w:fill="FFFFFF"/>
            <w:noWrap/>
            <w:vAlign w:val="bottom"/>
            <w:hideMark/>
          </w:tcPr>
          <w:p w14:paraId="2DFAF9B9" w14:textId="77777777" w:rsidR="00721CFD" w:rsidRPr="00303AA9" w:rsidRDefault="00721CFD" w:rsidP="007B5BB3">
            <w:pPr>
              <w:jc w:val="right"/>
              <w:rPr>
                <w:rFonts w:ascii="Calibri" w:eastAsia="Times New Roman" w:hAnsi="Calibri" w:cs="Calibri"/>
                <w:color w:val="0D0D0D"/>
                <w:sz w:val="18"/>
                <w:szCs w:val="20"/>
              </w:rPr>
            </w:pPr>
            <w:r w:rsidRPr="00303AA9">
              <w:rPr>
                <w:rFonts w:ascii="Calibri" w:eastAsia="Times New Roman" w:hAnsi="Calibri" w:cs="Calibri"/>
                <w:color w:val="0D0D0D"/>
                <w:sz w:val="18"/>
                <w:szCs w:val="20"/>
              </w:rPr>
              <w:t xml:space="preserve">      17,910</w:t>
            </w:r>
          </w:p>
        </w:tc>
        <w:tc>
          <w:tcPr>
            <w:tcW w:w="1900" w:type="dxa"/>
            <w:tcBorders>
              <w:top w:val="nil"/>
              <w:left w:val="nil"/>
              <w:bottom w:val="nil"/>
              <w:right w:val="nil"/>
            </w:tcBorders>
            <w:shd w:val="clear" w:color="000000" w:fill="FFFFFF"/>
            <w:noWrap/>
            <w:vAlign w:val="bottom"/>
            <w:hideMark/>
          </w:tcPr>
          <w:p w14:paraId="104AF804"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Bi-monthly</w:t>
            </w:r>
          </w:p>
        </w:tc>
        <w:tc>
          <w:tcPr>
            <w:tcW w:w="1780" w:type="dxa"/>
            <w:tcBorders>
              <w:top w:val="nil"/>
              <w:left w:val="nil"/>
              <w:bottom w:val="nil"/>
              <w:right w:val="nil"/>
            </w:tcBorders>
            <w:shd w:val="clear" w:color="000000" w:fill="FFFFFF"/>
            <w:noWrap/>
            <w:vAlign w:val="bottom"/>
            <w:hideMark/>
          </w:tcPr>
          <w:p w14:paraId="271961B5"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15 days</w:t>
            </w:r>
          </w:p>
        </w:tc>
      </w:tr>
      <w:tr w:rsidR="00721CFD" w:rsidRPr="00350BDC" w14:paraId="0A78FCDA" w14:textId="77777777" w:rsidTr="007B5BB3">
        <w:trPr>
          <w:trHeight w:val="324"/>
        </w:trPr>
        <w:tc>
          <w:tcPr>
            <w:tcW w:w="5280" w:type="dxa"/>
            <w:tcBorders>
              <w:top w:val="nil"/>
              <w:left w:val="nil"/>
              <w:bottom w:val="double" w:sz="6" w:space="0" w:color="00688D"/>
              <w:right w:val="nil"/>
            </w:tcBorders>
            <w:shd w:val="clear" w:color="000000" w:fill="FFFFFF"/>
            <w:noWrap/>
            <w:vAlign w:val="bottom"/>
            <w:hideMark/>
          </w:tcPr>
          <w:p w14:paraId="3606B872"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Total operating investments measured at NAV</w:t>
            </w:r>
          </w:p>
        </w:tc>
        <w:tc>
          <w:tcPr>
            <w:tcW w:w="1040" w:type="dxa"/>
            <w:tcBorders>
              <w:top w:val="nil"/>
              <w:left w:val="nil"/>
              <w:bottom w:val="double" w:sz="6" w:space="0" w:color="00688D"/>
              <w:right w:val="nil"/>
            </w:tcBorders>
            <w:shd w:val="clear" w:color="000000" w:fill="FFFFFF"/>
            <w:noWrap/>
            <w:vAlign w:val="bottom"/>
            <w:hideMark/>
          </w:tcPr>
          <w:p w14:paraId="3ADEAB88" w14:textId="77777777" w:rsidR="00721CFD" w:rsidRPr="00303AA9" w:rsidRDefault="00721CFD" w:rsidP="007B5BB3">
            <w:pPr>
              <w:jc w:val="right"/>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xml:space="preserve"> $   33,467</w:t>
            </w:r>
          </w:p>
        </w:tc>
        <w:tc>
          <w:tcPr>
            <w:tcW w:w="1900" w:type="dxa"/>
            <w:tcBorders>
              <w:top w:val="nil"/>
              <w:left w:val="nil"/>
              <w:bottom w:val="nil"/>
              <w:right w:val="nil"/>
            </w:tcBorders>
            <w:shd w:val="clear" w:color="000000" w:fill="FFFFFF"/>
            <w:noWrap/>
            <w:vAlign w:val="bottom"/>
            <w:hideMark/>
          </w:tcPr>
          <w:p w14:paraId="0B674A24"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1493F05E"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721CFD" w:rsidRPr="00350BDC" w14:paraId="5A99CB1B" w14:textId="77777777" w:rsidTr="007B5BB3">
        <w:trPr>
          <w:trHeight w:val="324"/>
        </w:trPr>
        <w:tc>
          <w:tcPr>
            <w:tcW w:w="5280" w:type="dxa"/>
            <w:tcBorders>
              <w:top w:val="nil"/>
              <w:left w:val="nil"/>
              <w:bottom w:val="nil"/>
              <w:right w:val="nil"/>
            </w:tcBorders>
            <w:shd w:val="clear" w:color="000000" w:fill="FFFFFF"/>
            <w:noWrap/>
            <w:vAlign w:val="bottom"/>
            <w:hideMark/>
          </w:tcPr>
          <w:p w14:paraId="5E88DB3C"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040" w:type="dxa"/>
            <w:tcBorders>
              <w:top w:val="nil"/>
              <w:left w:val="nil"/>
              <w:bottom w:val="nil"/>
              <w:right w:val="nil"/>
            </w:tcBorders>
            <w:shd w:val="clear" w:color="000000" w:fill="FFFFFF"/>
            <w:noWrap/>
            <w:vAlign w:val="bottom"/>
            <w:hideMark/>
          </w:tcPr>
          <w:p w14:paraId="434F74CC" w14:textId="77777777" w:rsidR="00721CFD" w:rsidRPr="00303AA9" w:rsidRDefault="00721CFD" w:rsidP="007B5BB3">
            <w:pPr>
              <w:jc w:val="right"/>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900" w:type="dxa"/>
            <w:tcBorders>
              <w:top w:val="nil"/>
              <w:left w:val="nil"/>
              <w:bottom w:val="nil"/>
              <w:right w:val="nil"/>
            </w:tcBorders>
            <w:shd w:val="clear" w:color="000000" w:fill="FFFFFF"/>
            <w:noWrap/>
            <w:vAlign w:val="bottom"/>
            <w:hideMark/>
          </w:tcPr>
          <w:p w14:paraId="5A409471"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7A8BA730"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721CFD" w:rsidRPr="00350BDC" w14:paraId="30755819" w14:textId="77777777" w:rsidTr="007B5BB3">
        <w:trPr>
          <w:trHeight w:val="312"/>
        </w:trPr>
        <w:tc>
          <w:tcPr>
            <w:tcW w:w="5280" w:type="dxa"/>
            <w:tcBorders>
              <w:top w:val="nil"/>
              <w:left w:val="nil"/>
              <w:bottom w:val="nil"/>
              <w:right w:val="nil"/>
            </w:tcBorders>
            <w:shd w:val="clear" w:color="000000" w:fill="FFFFFF"/>
            <w:noWrap/>
            <w:vAlign w:val="bottom"/>
            <w:hideMark/>
          </w:tcPr>
          <w:p w14:paraId="5911AF96"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Investments measured at NAV:</w:t>
            </w:r>
          </w:p>
        </w:tc>
        <w:tc>
          <w:tcPr>
            <w:tcW w:w="1040" w:type="dxa"/>
            <w:tcBorders>
              <w:top w:val="nil"/>
              <w:left w:val="nil"/>
              <w:bottom w:val="nil"/>
              <w:right w:val="nil"/>
            </w:tcBorders>
            <w:shd w:val="clear" w:color="000000" w:fill="FFFFFF"/>
            <w:noWrap/>
            <w:vAlign w:val="bottom"/>
            <w:hideMark/>
          </w:tcPr>
          <w:p w14:paraId="1689F319" w14:textId="77777777" w:rsidR="00721CFD" w:rsidRPr="00303AA9" w:rsidRDefault="00721CFD" w:rsidP="007B5BB3">
            <w:pPr>
              <w:jc w:val="right"/>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900" w:type="dxa"/>
            <w:tcBorders>
              <w:top w:val="nil"/>
              <w:left w:val="nil"/>
              <w:bottom w:val="nil"/>
              <w:right w:val="nil"/>
            </w:tcBorders>
            <w:shd w:val="clear" w:color="000000" w:fill="FFFFFF"/>
            <w:noWrap/>
            <w:vAlign w:val="bottom"/>
            <w:hideMark/>
          </w:tcPr>
          <w:p w14:paraId="453FC53F"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3A7EE072"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721CFD" w:rsidRPr="00350BDC" w14:paraId="1E7AE725" w14:textId="77777777" w:rsidTr="007B5BB3">
        <w:trPr>
          <w:trHeight w:val="312"/>
        </w:trPr>
        <w:tc>
          <w:tcPr>
            <w:tcW w:w="5280" w:type="dxa"/>
            <w:tcBorders>
              <w:top w:val="nil"/>
              <w:left w:val="nil"/>
              <w:bottom w:val="nil"/>
              <w:right w:val="nil"/>
            </w:tcBorders>
            <w:shd w:val="clear" w:color="000000" w:fill="FFFFFF"/>
            <w:noWrap/>
            <w:vAlign w:val="bottom"/>
            <w:hideMark/>
          </w:tcPr>
          <w:p w14:paraId="20C17307"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Equity securities</w:t>
            </w:r>
          </w:p>
        </w:tc>
        <w:tc>
          <w:tcPr>
            <w:tcW w:w="1040" w:type="dxa"/>
            <w:tcBorders>
              <w:top w:val="nil"/>
              <w:left w:val="nil"/>
              <w:bottom w:val="nil"/>
              <w:right w:val="nil"/>
            </w:tcBorders>
            <w:shd w:val="clear" w:color="000000" w:fill="FFFFFF"/>
            <w:noWrap/>
            <w:vAlign w:val="bottom"/>
            <w:hideMark/>
          </w:tcPr>
          <w:p w14:paraId="38669302" w14:textId="77777777" w:rsidR="00721CFD" w:rsidRPr="00303AA9" w:rsidRDefault="00721CFD" w:rsidP="007B5BB3">
            <w:pPr>
              <w:jc w:val="right"/>
              <w:rPr>
                <w:rFonts w:ascii="Calibri" w:eastAsia="Times New Roman" w:hAnsi="Calibri" w:cs="Calibri"/>
                <w:color w:val="0D0D0D"/>
                <w:sz w:val="18"/>
                <w:szCs w:val="20"/>
              </w:rPr>
            </w:pPr>
            <w:r w:rsidRPr="00303AA9">
              <w:rPr>
                <w:rFonts w:ascii="Calibri" w:eastAsia="Times New Roman" w:hAnsi="Calibri" w:cs="Calibri"/>
                <w:color w:val="0D0D0D"/>
                <w:sz w:val="18"/>
                <w:szCs w:val="20"/>
              </w:rPr>
              <w:t xml:space="preserve"> $   48,406</w:t>
            </w:r>
          </w:p>
        </w:tc>
        <w:tc>
          <w:tcPr>
            <w:tcW w:w="1900" w:type="dxa"/>
            <w:tcBorders>
              <w:top w:val="nil"/>
              <w:left w:val="nil"/>
              <w:bottom w:val="nil"/>
              <w:right w:val="nil"/>
            </w:tcBorders>
            <w:shd w:val="clear" w:color="000000" w:fill="FFFFFF"/>
            <w:noWrap/>
            <w:vAlign w:val="bottom"/>
            <w:hideMark/>
          </w:tcPr>
          <w:p w14:paraId="522287CC"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Monthly</w:t>
            </w:r>
          </w:p>
        </w:tc>
        <w:tc>
          <w:tcPr>
            <w:tcW w:w="1780" w:type="dxa"/>
            <w:tcBorders>
              <w:top w:val="nil"/>
              <w:left w:val="nil"/>
              <w:bottom w:val="nil"/>
              <w:right w:val="nil"/>
            </w:tcBorders>
            <w:shd w:val="clear" w:color="000000" w:fill="FFFFFF"/>
            <w:noWrap/>
            <w:vAlign w:val="bottom"/>
            <w:hideMark/>
          </w:tcPr>
          <w:p w14:paraId="11C06F4F"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30 days</w:t>
            </w:r>
          </w:p>
        </w:tc>
      </w:tr>
      <w:tr w:rsidR="00721CFD" w:rsidRPr="00350BDC" w14:paraId="0ACB5A02" w14:textId="77777777" w:rsidTr="007B5BB3">
        <w:trPr>
          <w:trHeight w:val="312"/>
        </w:trPr>
        <w:tc>
          <w:tcPr>
            <w:tcW w:w="5280" w:type="dxa"/>
            <w:tcBorders>
              <w:top w:val="nil"/>
              <w:left w:val="nil"/>
              <w:bottom w:val="nil"/>
              <w:right w:val="nil"/>
            </w:tcBorders>
            <w:shd w:val="clear" w:color="000000" w:fill="FFFFFF"/>
            <w:noWrap/>
            <w:vAlign w:val="bottom"/>
            <w:hideMark/>
          </w:tcPr>
          <w:p w14:paraId="6C0227D1"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Equity funds</w:t>
            </w:r>
          </w:p>
        </w:tc>
        <w:tc>
          <w:tcPr>
            <w:tcW w:w="1040" w:type="dxa"/>
            <w:tcBorders>
              <w:top w:val="nil"/>
              <w:left w:val="nil"/>
              <w:bottom w:val="nil"/>
              <w:right w:val="nil"/>
            </w:tcBorders>
            <w:shd w:val="clear" w:color="000000" w:fill="FFFFFF"/>
            <w:noWrap/>
            <w:vAlign w:val="bottom"/>
            <w:hideMark/>
          </w:tcPr>
          <w:p w14:paraId="29BE71AA" w14:textId="77777777" w:rsidR="00721CFD" w:rsidRPr="00303AA9" w:rsidRDefault="00721CFD" w:rsidP="007B5BB3">
            <w:pPr>
              <w:jc w:val="right"/>
              <w:rPr>
                <w:rFonts w:ascii="Calibri" w:eastAsia="Times New Roman" w:hAnsi="Calibri" w:cs="Calibri"/>
                <w:color w:val="0D0D0D"/>
                <w:sz w:val="18"/>
                <w:szCs w:val="20"/>
              </w:rPr>
            </w:pPr>
            <w:r w:rsidRPr="00303AA9">
              <w:rPr>
                <w:rFonts w:ascii="Calibri" w:eastAsia="Times New Roman" w:hAnsi="Calibri" w:cs="Calibri"/>
                <w:color w:val="0D0D0D"/>
                <w:sz w:val="18"/>
                <w:szCs w:val="20"/>
              </w:rPr>
              <w:t xml:space="preserve">      87,098</w:t>
            </w:r>
          </w:p>
        </w:tc>
        <w:tc>
          <w:tcPr>
            <w:tcW w:w="1900" w:type="dxa"/>
            <w:tcBorders>
              <w:top w:val="nil"/>
              <w:left w:val="nil"/>
              <w:bottom w:val="nil"/>
              <w:right w:val="nil"/>
            </w:tcBorders>
            <w:shd w:val="clear" w:color="000000" w:fill="FFFFFF"/>
            <w:noWrap/>
            <w:vAlign w:val="bottom"/>
            <w:hideMark/>
          </w:tcPr>
          <w:p w14:paraId="0A1B609A"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Monthly</w:t>
            </w:r>
          </w:p>
        </w:tc>
        <w:tc>
          <w:tcPr>
            <w:tcW w:w="1780" w:type="dxa"/>
            <w:tcBorders>
              <w:top w:val="nil"/>
              <w:left w:val="nil"/>
              <w:bottom w:val="nil"/>
              <w:right w:val="nil"/>
            </w:tcBorders>
            <w:shd w:val="clear" w:color="000000" w:fill="FFFFFF"/>
            <w:noWrap/>
            <w:vAlign w:val="bottom"/>
            <w:hideMark/>
          </w:tcPr>
          <w:p w14:paraId="57559F41"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30 days</w:t>
            </w:r>
          </w:p>
        </w:tc>
      </w:tr>
      <w:tr w:rsidR="00721CFD" w:rsidRPr="00350BDC" w14:paraId="6E7E50F4" w14:textId="77777777" w:rsidTr="007B5BB3">
        <w:trPr>
          <w:trHeight w:val="312"/>
        </w:trPr>
        <w:tc>
          <w:tcPr>
            <w:tcW w:w="5280" w:type="dxa"/>
            <w:tcBorders>
              <w:top w:val="nil"/>
              <w:left w:val="nil"/>
              <w:bottom w:val="nil"/>
              <w:right w:val="nil"/>
            </w:tcBorders>
            <w:shd w:val="clear" w:color="000000" w:fill="FFFFFF"/>
            <w:noWrap/>
            <w:vAlign w:val="bottom"/>
            <w:hideMark/>
          </w:tcPr>
          <w:p w14:paraId="3648A697"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Multi-strategy funds ₁</w:t>
            </w:r>
          </w:p>
        </w:tc>
        <w:tc>
          <w:tcPr>
            <w:tcW w:w="1040" w:type="dxa"/>
            <w:tcBorders>
              <w:top w:val="nil"/>
              <w:left w:val="nil"/>
              <w:bottom w:val="nil"/>
              <w:right w:val="nil"/>
            </w:tcBorders>
            <w:shd w:val="clear" w:color="000000" w:fill="FFFFFF"/>
            <w:noWrap/>
            <w:vAlign w:val="bottom"/>
            <w:hideMark/>
          </w:tcPr>
          <w:p w14:paraId="1C2BBA9C" w14:textId="77777777" w:rsidR="00721CFD" w:rsidRPr="00303AA9" w:rsidRDefault="00721CFD" w:rsidP="007B5BB3">
            <w:pPr>
              <w:jc w:val="right"/>
              <w:rPr>
                <w:rFonts w:ascii="Calibri" w:eastAsia="Times New Roman" w:hAnsi="Calibri" w:cs="Calibri"/>
                <w:color w:val="0D0D0D"/>
                <w:sz w:val="18"/>
                <w:szCs w:val="20"/>
              </w:rPr>
            </w:pPr>
            <w:r w:rsidRPr="00303AA9">
              <w:rPr>
                <w:rFonts w:ascii="Calibri" w:eastAsia="Times New Roman" w:hAnsi="Calibri" w:cs="Calibri"/>
                <w:color w:val="0D0D0D"/>
                <w:sz w:val="18"/>
                <w:szCs w:val="20"/>
              </w:rPr>
              <w:t xml:space="preserve">      32,837</w:t>
            </w:r>
          </w:p>
        </w:tc>
        <w:tc>
          <w:tcPr>
            <w:tcW w:w="1900" w:type="dxa"/>
            <w:tcBorders>
              <w:top w:val="nil"/>
              <w:left w:val="nil"/>
              <w:bottom w:val="nil"/>
              <w:right w:val="nil"/>
            </w:tcBorders>
            <w:shd w:val="clear" w:color="000000" w:fill="FFFFFF"/>
            <w:noWrap/>
            <w:vAlign w:val="bottom"/>
            <w:hideMark/>
          </w:tcPr>
          <w:p w14:paraId="54A2BEA6"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Quarterly, Monthly</w:t>
            </w:r>
          </w:p>
        </w:tc>
        <w:tc>
          <w:tcPr>
            <w:tcW w:w="1780" w:type="dxa"/>
            <w:tcBorders>
              <w:top w:val="nil"/>
              <w:left w:val="nil"/>
              <w:bottom w:val="nil"/>
              <w:right w:val="nil"/>
            </w:tcBorders>
            <w:shd w:val="clear" w:color="000000" w:fill="FFFFFF"/>
            <w:noWrap/>
            <w:vAlign w:val="bottom"/>
            <w:hideMark/>
          </w:tcPr>
          <w:p w14:paraId="0278C731"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30, 45, 60, 90 days</w:t>
            </w:r>
          </w:p>
        </w:tc>
      </w:tr>
      <w:tr w:rsidR="00721CFD" w:rsidRPr="00350BDC" w14:paraId="695E0284" w14:textId="77777777" w:rsidTr="007B5BB3">
        <w:trPr>
          <w:trHeight w:val="312"/>
        </w:trPr>
        <w:tc>
          <w:tcPr>
            <w:tcW w:w="5280" w:type="dxa"/>
            <w:tcBorders>
              <w:top w:val="nil"/>
              <w:left w:val="nil"/>
              <w:bottom w:val="nil"/>
              <w:right w:val="nil"/>
            </w:tcBorders>
            <w:shd w:val="clear" w:color="000000" w:fill="FFFFFF"/>
            <w:noWrap/>
            <w:vAlign w:val="bottom"/>
            <w:hideMark/>
          </w:tcPr>
          <w:p w14:paraId="7EF49CA5"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Fixed income funds - bonds</w:t>
            </w:r>
          </w:p>
        </w:tc>
        <w:tc>
          <w:tcPr>
            <w:tcW w:w="1040" w:type="dxa"/>
            <w:tcBorders>
              <w:top w:val="nil"/>
              <w:left w:val="nil"/>
              <w:bottom w:val="nil"/>
              <w:right w:val="nil"/>
            </w:tcBorders>
            <w:shd w:val="clear" w:color="000000" w:fill="FFFFFF"/>
            <w:noWrap/>
            <w:vAlign w:val="bottom"/>
            <w:hideMark/>
          </w:tcPr>
          <w:p w14:paraId="092A6E64" w14:textId="77777777" w:rsidR="00721CFD" w:rsidRPr="00303AA9" w:rsidRDefault="00721CFD" w:rsidP="007B5BB3">
            <w:pPr>
              <w:jc w:val="right"/>
              <w:rPr>
                <w:rFonts w:ascii="Calibri" w:eastAsia="Times New Roman" w:hAnsi="Calibri" w:cs="Calibri"/>
                <w:color w:val="0D0D0D"/>
                <w:sz w:val="18"/>
                <w:szCs w:val="20"/>
              </w:rPr>
            </w:pPr>
            <w:r w:rsidRPr="00303AA9">
              <w:rPr>
                <w:rFonts w:ascii="Calibri" w:eastAsia="Times New Roman" w:hAnsi="Calibri" w:cs="Calibri"/>
                <w:color w:val="0D0D0D"/>
                <w:sz w:val="18"/>
                <w:szCs w:val="20"/>
              </w:rPr>
              <w:t xml:space="preserve">      45,040</w:t>
            </w:r>
          </w:p>
        </w:tc>
        <w:tc>
          <w:tcPr>
            <w:tcW w:w="1900" w:type="dxa"/>
            <w:tcBorders>
              <w:top w:val="nil"/>
              <w:left w:val="nil"/>
              <w:bottom w:val="nil"/>
              <w:right w:val="nil"/>
            </w:tcBorders>
            <w:shd w:val="clear" w:color="000000" w:fill="FFFFFF"/>
            <w:noWrap/>
            <w:vAlign w:val="bottom"/>
            <w:hideMark/>
          </w:tcPr>
          <w:p w14:paraId="3BD99CF7"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Monthly</w:t>
            </w:r>
          </w:p>
        </w:tc>
        <w:tc>
          <w:tcPr>
            <w:tcW w:w="1780" w:type="dxa"/>
            <w:tcBorders>
              <w:top w:val="nil"/>
              <w:left w:val="nil"/>
              <w:bottom w:val="nil"/>
              <w:right w:val="nil"/>
            </w:tcBorders>
            <w:shd w:val="clear" w:color="000000" w:fill="FFFFFF"/>
            <w:noWrap/>
            <w:vAlign w:val="bottom"/>
            <w:hideMark/>
          </w:tcPr>
          <w:p w14:paraId="266770C5"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5 days</w:t>
            </w:r>
          </w:p>
        </w:tc>
      </w:tr>
      <w:tr w:rsidR="00721CFD" w:rsidRPr="00350BDC" w14:paraId="38BBA461" w14:textId="77777777" w:rsidTr="007B5BB3">
        <w:trPr>
          <w:trHeight w:val="312"/>
        </w:trPr>
        <w:tc>
          <w:tcPr>
            <w:tcW w:w="5280" w:type="dxa"/>
            <w:tcBorders>
              <w:top w:val="nil"/>
              <w:left w:val="nil"/>
              <w:bottom w:val="single" w:sz="4" w:space="0" w:color="00688D"/>
              <w:right w:val="nil"/>
            </w:tcBorders>
            <w:shd w:val="clear" w:color="000000" w:fill="FFFFFF"/>
            <w:noWrap/>
            <w:vAlign w:val="bottom"/>
            <w:hideMark/>
          </w:tcPr>
          <w:p w14:paraId="569370B2"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Bank loans ₂</w:t>
            </w:r>
          </w:p>
        </w:tc>
        <w:tc>
          <w:tcPr>
            <w:tcW w:w="1040" w:type="dxa"/>
            <w:tcBorders>
              <w:top w:val="nil"/>
              <w:left w:val="nil"/>
              <w:bottom w:val="single" w:sz="4" w:space="0" w:color="auto"/>
              <w:right w:val="nil"/>
            </w:tcBorders>
            <w:shd w:val="clear" w:color="000000" w:fill="FFFFFF"/>
            <w:noWrap/>
            <w:vAlign w:val="bottom"/>
            <w:hideMark/>
          </w:tcPr>
          <w:p w14:paraId="71574855" w14:textId="77777777" w:rsidR="00721CFD" w:rsidRPr="00303AA9" w:rsidRDefault="00721CFD" w:rsidP="007B5BB3">
            <w:pPr>
              <w:jc w:val="right"/>
              <w:rPr>
                <w:rFonts w:ascii="Calibri" w:eastAsia="Times New Roman" w:hAnsi="Calibri" w:cs="Calibri"/>
                <w:color w:val="0D0D0D"/>
                <w:sz w:val="18"/>
                <w:szCs w:val="20"/>
              </w:rPr>
            </w:pPr>
            <w:r w:rsidRPr="00303AA9">
              <w:rPr>
                <w:rFonts w:ascii="Calibri" w:eastAsia="Times New Roman" w:hAnsi="Calibri" w:cs="Calibri"/>
                <w:color w:val="0D0D0D"/>
                <w:sz w:val="18"/>
                <w:szCs w:val="20"/>
              </w:rPr>
              <w:t xml:space="preserve">      18,976</w:t>
            </w:r>
          </w:p>
        </w:tc>
        <w:tc>
          <w:tcPr>
            <w:tcW w:w="1900" w:type="dxa"/>
            <w:tcBorders>
              <w:top w:val="nil"/>
              <w:left w:val="nil"/>
              <w:bottom w:val="nil"/>
              <w:right w:val="nil"/>
            </w:tcBorders>
            <w:shd w:val="clear" w:color="000000" w:fill="FFFFFF"/>
            <w:noWrap/>
            <w:vAlign w:val="bottom"/>
            <w:hideMark/>
          </w:tcPr>
          <w:p w14:paraId="3C7EE5C2"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Monthly</w:t>
            </w:r>
          </w:p>
        </w:tc>
        <w:tc>
          <w:tcPr>
            <w:tcW w:w="1780" w:type="dxa"/>
            <w:tcBorders>
              <w:top w:val="nil"/>
              <w:left w:val="nil"/>
              <w:bottom w:val="nil"/>
              <w:right w:val="nil"/>
            </w:tcBorders>
            <w:shd w:val="clear" w:color="000000" w:fill="FFFFFF"/>
            <w:noWrap/>
            <w:vAlign w:val="bottom"/>
            <w:hideMark/>
          </w:tcPr>
          <w:p w14:paraId="6B410722"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30 days</w:t>
            </w:r>
          </w:p>
        </w:tc>
      </w:tr>
      <w:tr w:rsidR="00721CFD" w:rsidRPr="00350BDC" w14:paraId="115C160D" w14:textId="77777777" w:rsidTr="007B5BB3">
        <w:trPr>
          <w:trHeight w:val="324"/>
        </w:trPr>
        <w:tc>
          <w:tcPr>
            <w:tcW w:w="5280" w:type="dxa"/>
            <w:tcBorders>
              <w:top w:val="nil"/>
              <w:left w:val="nil"/>
              <w:bottom w:val="double" w:sz="6" w:space="0" w:color="00688D"/>
              <w:right w:val="nil"/>
            </w:tcBorders>
            <w:shd w:val="clear" w:color="000000" w:fill="FFFFFF"/>
            <w:noWrap/>
            <w:vAlign w:val="bottom"/>
            <w:hideMark/>
          </w:tcPr>
          <w:p w14:paraId="119DEEFD"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Total DB Plan and MIP investments measured at NAV</w:t>
            </w:r>
          </w:p>
        </w:tc>
        <w:tc>
          <w:tcPr>
            <w:tcW w:w="1040" w:type="dxa"/>
            <w:tcBorders>
              <w:top w:val="single" w:sz="4" w:space="0" w:color="00688D"/>
              <w:left w:val="nil"/>
              <w:bottom w:val="double" w:sz="6" w:space="0" w:color="00688D"/>
              <w:right w:val="nil"/>
            </w:tcBorders>
            <w:shd w:val="clear" w:color="000000" w:fill="FFFFFF"/>
            <w:noWrap/>
            <w:vAlign w:val="bottom"/>
            <w:hideMark/>
          </w:tcPr>
          <w:p w14:paraId="72E619E7" w14:textId="77777777" w:rsidR="00721CFD" w:rsidRPr="00303AA9" w:rsidRDefault="00721CFD" w:rsidP="007B5BB3">
            <w:pPr>
              <w:jc w:val="right"/>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xml:space="preserve"> $ 232,357</w:t>
            </w:r>
          </w:p>
        </w:tc>
        <w:tc>
          <w:tcPr>
            <w:tcW w:w="1900" w:type="dxa"/>
            <w:tcBorders>
              <w:top w:val="nil"/>
              <w:left w:val="nil"/>
              <w:bottom w:val="nil"/>
              <w:right w:val="nil"/>
            </w:tcBorders>
            <w:shd w:val="clear" w:color="000000" w:fill="FFFFFF"/>
            <w:noWrap/>
            <w:vAlign w:val="bottom"/>
            <w:hideMark/>
          </w:tcPr>
          <w:p w14:paraId="007CA364"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4894D92B"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721CFD" w:rsidRPr="00350BDC" w14:paraId="444B0DB5" w14:textId="77777777" w:rsidTr="007B5BB3">
        <w:trPr>
          <w:trHeight w:val="324"/>
        </w:trPr>
        <w:tc>
          <w:tcPr>
            <w:tcW w:w="5280" w:type="dxa"/>
            <w:tcBorders>
              <w:top w:val="nil"/>
              <w:left w:val="nil"/>
              <w:bottom w:val="nil"/>
              <w:right w:val="nil"/>
            </w:tcBorders>
            <w:shd w:val="clear" w:color="000000" w:fill="FFFFFF"/>
            <w:noWrap/>
            <w:vAlign w:val="bottom"/>
            <w:hideMark/>
          </w:tcPr>
          <w:p w14:paraId="14C69DFB"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040" w:type="dxa"/>
            <w:tcBorders>
              <w:top w:val="nil"/>
              <w:left w:val="nil"/>
              <w:bottom w:val="nil"/>
              <w:right w:val="nil"/>
            </w:tcBorders>
            <w:shd w:val="clear" w:color="000000" w:fill="FFFFFF"/>
            <w:noWrap/>
            <w:vAlign w:val="bottom"/>
            <w:hideMark/>
          </w:tcPr>
          <w:p w14:paraId="22A774EF" w14:textId="77777777" w:rsidR="00721CFD" w:rsidRPr="00303AA9" w:rsidRDefault="00721CFD" w:rsidP="007B5BB3">
            <w:pPr>
              <w:jc w:val="right"/>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900" w:type="dxa"/>
            <w:tcBorders>
              <w:top w:val="nil"/>
              <w:left w:val="nil"/>
              <w:bottom w:val="nil"/>
              <w:right w:val="nil"/>
            </w:tcBorders>
            <w:shd w:val="clear" w:color="000000" w:fill="FFFFFF"/>
            <w:noWrap/>
            <w:vAlign w:val="bottom"/>
            <w:hideMark/>
          </w:tcPr>
          <w:p w14:paraId="0D3DCAFF"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16A147C5"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721CFD" w:rsidRPr="00350BDC" w14:paraId="33C87E1F" w14:textId="77777777" w:rsidTr="007B5BB3">
        <w:trPr>
          <w:trHeight w:val="312"/>
        </w:trPr>
        <w:tc>
          <w:tcPr>
            <w:tcW w:w="5280" w:type="dxa"/>
            <w:tcBorders>
              <w:top w:val="nil"/>
              <w:left w:val="nil"/>
              <w:bottom w:val="nil"/>
              <w:right w:val="nil"/>
            </w:tcBorders>
            <w:shd w:val="clear" w:color="000000" w:fill="FFFFFF"/>
            <w:noWrap/>
            <w:vAlign w:val="bottom"/>
            <w:hideMark/>
          </w:tcPr>
          <w:p w14:paraId="0E59BAFD"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Further breakdown of above DB Plan and MIP investments:</w:t>
            </w:r>
          </w:p>
        </w:tc>
        <w:tc>
          <w:tcPr>
            <w:tcW w:w="1040" w:type="dxa"/>
            <w:tcBorders>
              <w:top w:val="nil"/>
              <w:left w:val="nil"/>
              <w:bottom w:val="nil"/>
              <w:right w:val="nil"/>
            </w:tcBorders>
            <w:shd w:val="clear" w:color="000000" w:fill="FFFFFF"/>
            <w:noWrap/>
            <w:vAlign w:val="bottom"/>
            <w:hideMark/>
          </w:tcPr>
          <w:p w14:paraId="23673468" w14:textId="77777777" w:rsidR="00721CFD" w:rsidRPr="00303AA9" w:rsidRDefault="00721CFD" w:rsidP="007B5BB3">
            <w:pPr>
              <w:jc w:val="right"/>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900" w:type="dxa"/>
            <w:tcBorders>
              <w:top w:val="nil"/>
              <w:left w:val="nil"/>
              <w:bottom w:val="nil"/>
              <w:right w:val="nil"/>
            </w:tcBorders>
            <w:shd w:val="clear" w:color="000000" w:fill="FFFFFF"/>
            <w:noWrap/>
            <w:vAlign w:val="bottom"/>
            <w:hideMark/>
          </w:tcPr>
          <w:p w14:paraId="495251F9"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761F8F47"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721CFD" w:rsidRPr="00350BDC" w14:paraId="1F471583" w14:textId="77777777" w:rsidTr="007B5BB3">
        <w:trPr>
          <w:trHeight w:val="312"/>
        </w:trPr>
        <w:tc>
          <w:tcPr>
            <w:tcW w:w="5280" w:type="dxa"/>
            <w:tcBorders>
              <w:top w:val="nil"/>
              <w:left w:val="nil"/>
              <w:bottom w:val="nil"/>
              <w:right w:val="nil"/>
            </w:tcBorders>
            <w:shd w:val="clear" w:color="000000" w:fill="FFFFFF"/>
            <w:noWrap/>
            <w:vAlign w:val="bottom"/>
            <w:hideMark/>
          </w:tcPr>
          <w:p w14:paraId="2D9B3152"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DB Plan at NAV</w:t>
            </w:r>
          </w:p>
        </w:tc>
        <w:tc>
          <w:tcPr>
            <w:tcW w:w="1040" w:type="dxa"/>
            <w:tcBorders>
              <w:top w:val="nil"/>
              <w:left w:val="nil"/>
              <w:bottom w:val="nil"/>
              <w:right w:val="nil"/>
            </w:tcBorders>
            <w:shd w:val="clear" w:color="000000" w:fill="FFFFFF"/>
            <w:noWrap/>
            <w:vAlign w:val="bottom"/>
            <w:hideMark/>
          </w:tcPr>
          <w:p w14:paraId="35BFEA43" w14:textId="77777777" w:rsidR="00721CFD" w:rsidRPr="00303AA9" w:rsidRDefault="00721CFD" w:rsidP="007B5BB3">
            <w:pPr>
              <w:jc w:val="right"/>
              <w:rPr>
                <w:rFonts w:ascii="Calibri" w:eastAsia="Times New Roman" w:hAnsi="Calibri" w:cs="Calibri"/>
                <w:color w:val="0D0D0D"/>
                <w:sz w:val="18"/>
                <w:szCs w:val="20"/>
              </w:rPr>
            </w:pPr>
            <w:r w:rsidRPr="00303AA9">
              <w:rPr>
                <w:rFonts w:ascii="Calibri" w:eastAsia="Times New Roman" w:hAnsi="Calibri" w:cs="Calibri"/>
                <w:color w:val="0D0D0D"/>
                <w:sz w:val="18"/>
                <w:szCs w:val="20"/>
              </w:rPr>
              <w:t xml:space="preserve"> $     8,711</w:t>
            </w:r>
          </w:p>
        </w:tc>
        <w:tc>
          <w:tcPr>
            <w:tcW w:w="1900" w:type="dxa"/>
            <w:tcBorders>
              <w:top w:val="nil"/>
              <w:left w:val="nil"/>
              <w:bottom w:val="nil"/>
              <w:right w:val="nil"/>
            </w:tcBorders>
            <w:shd w:val="clear" w:color="000000" w:fill="FFFFFF"/>
            <w:noWrap/>
            <w:vAlign w:val="bottom"/>
            <w:hideMark/>
          </w:tcPr>
          <w:p w14:paraId="1E8ACD28"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4DED2F94"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721CFD" w:rsidRPr="00350BDC" w14:paraId="3EE9A4DD" w14:textId="77777777" w:rsidTr="007B5BB3">
        <w:trPr>
          <w:trHeight w:val="312"/>
        </w:trPr>
        <w:tc>
          <w:tcPr>
            <w:tcW w:w="5280" w:type="dxa"/>
            <w:tcBorders>
              <w:top w:val="nil"/>
              <w:left w:val="nil"/>
              <w:bottom w:val="nil"/>
              <w:right w:val="nil"/>
            </w:tcBorders>
            <w:shd w:val="clear" w:color="000000" w:fill="FFFFFF"/>
            <w:noWrap/>
            <w:vAlign w:val="bottom"/>
            <w:hideMark/>
          </w:tcPr>
          <w:p w14:paraId="051106C7"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MIP held on behalf of outside entities at NAV</w:t>
            </w:r>
          </w:p>
        </w:tc>
        <w:tc>
          <w:tcPr>
            <w:tcW w:w="1040" w:type="dxa"/>
            <w:tcBorders>
              <w:top w:val="nil"/>
              <w:left w:val="nil"/>
              <w:bottom w:val="nil"/>
              <w:right w:val="nil"/>
            </w:tcBorders>
            <w:shd w:val="clear" w:color="000000" w:fill="FFFFFF"/>
            <w:noWrap/>
            <w:vAlign w:val="bottom"/>
            <w:hideMark/>
          </w:tcPr>
          <w:p w14:paraId="793DBF01" w14:textId="77777777" w:rsidR="00721CFD" w:rsidRPr="00303AA9" w:rsidRDefault="00721CFD" w:rsidP="007B5BB3">
            <w:pPr>
              <w:jc w:val="right"/>
              <w:rPr>
                <w:rFonts w:ascii="Calibri" w:eastAsia="Times New Roman" w:hAnsi="Calibri" w:cs="Calibri"/>
                <w:color w:val="0D0D0D"/>
                <w:sz w:val="18"/>
                <w:szCs w:val="20"/>
              </w:rPr>
            </w:pPr>
            <w:r w:rsidRPr="00303AA9">
              <w:rPr>
                <w:rFonts w:ascii="Calibri" w:eastAsia="Times New Roman" w:hAnsi="Calibri" w:cs="Calibri"/>
                <w:color w:val="0D0D0D"/>
                <w:sz w:val="18"/>
                <w:szCs w:val="20"/>
              </w:rPr>
              <w:t xml:space="preserve">    111,383</w:t>
            </w:r>
          </w:p>
        </w:tc>
        <w:tc>
          <w:tcPr>
            <w:tcW w:w="1900" w:type="dxa"/>
            <w:tcBorders>
              <w:top w:val="nil"/>
              <w:left w:val="nil"/>
              <w:bottom w:val="nil"/>
              <w:right w:val="nil"/>
            </w:tcBorders>
            <w:shd w:val="clear" w:color="000000" w:fill="FFFFFF"/>
            <w:noWrap/>
            <w:vAlign w:val="bottom"/>
            <w:hideMark/>
          </w:tcPr>
          <w:p w14:paraId="50D58AD7"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2B3C2F27"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721CFD" w:rsidRPr="00350BDC" w14:paraId="5E72B0FE" w14:textId="77777777" w:rsidTr="007B5BB3">
        <w:trPr>
          <w:trHeight w:val="312"/>
        </w:trPr>
        <w:tc>
          <w:tcPr>
            <w:tcW w:w="5280" w:type="dxa"/>
            <w:tcBorders>
              <w:top w:val="nil"/>
              <w:left w:val="nil"/>
              <w:bottom w:val="nil"/>
              <w:right w:val="nil"/>
            </w:tcBorders>
            <w:shd w:val="clear" w:color="000000" w:fill="FFFFFF"/>
            <w:noWrap/>
            <w:vAlign w:val="bottom"/>
            <w:hideMark/>
          </w:tcPr>
          <w:p w14:paraId="246686E2"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Fiduciary funds held in the Endowment Pool for others</w:t>
            </w:r>
          </w:p>
        </w:tc>
        <w:tc>
          <w:tcPr>
            <w:tcW w:w="1040" w:type="dxa"/>
            <w:tcBorders>
              <w:top w:val="nil"/>
              <w:left w:val="nil"/>
              <w:bottom w:val="nil"/>
              <w:right w:val="nil"/>
            </w:tcBorders>
            <w:shd w:val="clear" w:color="000000" w:fill="FFFFFF"/>
            <w:noWrap/>
            <w:vAlign w:val="bottom"/>
            <w:hideMark/>
          </w:tcPr>
          <w:p w14:paraId="0C51425A" w14:textId="77777777" w:rsidR="00721CFD" w:rsidRPr="00303AA9" w:rsidRDefault="00721CFD" w:rsidP="007B5BB3">
            <w:pPr>
              <w:jc w:val="right"/>
              <w:rPr>
                <w:rFonts w:ascii="Calibri" w:eastAsia="Times New Roman" w:hAnsi="Calibri" w:cs="Calibri"/>
                <w:color w:val="0D0D0D"/>
                <w:sz w:val="18"/>
                <w:szCs w:val="20"/>
              </w:rPr>
            </w:pPr>
            <w:r w:rsidRPr="00303AA9">
              <w:rPr>
                <w:rFonts w:ascii="Calibri" w:eastAsia="Times New Roman" w:hAnsi="Calibri" w:cs="Calibri"/>
                <w:color w:val="0D0D0D"/>
                <w:sz w:val="18"/>
                <w:szCs w:val="20"/>
              </w:rPr>
              <w:t xml:space="preserve">      20,146</w:t>
            </w:r>
          </w:p>
        </w:tc>
        <w:tc>
          <w:tcPr>
            <w:tcW w:w="1900" w:type="dxa"/>
            <w:tcBorders>
              <w:top w:val="nil"/>
              <w:left w:val="nil"/>
              <w:bottom w:val="nil"/>
              <w:right w:val="nil"/>
            </w:tcBorders>
            <w:shd w:val="clear" w:color="000000" w:fill="FFFFFF"/>
            <w:noWrap/>
            <w:vAlign w:val="bottom"/>
            <w:hideMark/>
          </w:tcPr>
          <w:p w14:paraId="246B3DA8"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41290A08"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721CFD" w:rsidRPr="00350BDC" w14:paraId="34F040EA" w14:textId="77777777" w:rsidTr="007B5BB3">
        <w:trPr>
          <w:trHeight w:val="312"/>
        </w:trPr>
        <w:tc>
          <w:tcPr>
            <w:tcW w:w="5280" w:type="dxa"/>
            <w:tcBorders>
              <w:top w:val="nil"/>
              <w:left w:val="nil"/>
              <w:bottom w:val="nil"/>
              <w:right w:val="nil"/>
            </w:tcBorders>
            <w:shd w:val="clear" w:color="000000" w:fill="FFFFFF"/>
            <w:noWrap/>
            <w:vAlign w:val="bottom"/>
            <w:hideMark/>
          </w:tcPr>
          <w:p w14:paraId="70FCE32D" w14:textId="77777777" w:rsidR="00721CFD" w:rsidRPr="00303AA9" w:rsidRDefault="00721CFD" w:rsidP="007B5BB3">
            <w:pPr>
              <w:rPr>
                <w:rFonts w:ascii="Calibri" w:eastAsia="Times New Roman" w:hAnsi="Calibri" w:cs="Calibri"/>
                <w:color w:val="0D0D0D"/>
                <w:sz w:val="18"/>
                <w:szCs w:val="20"/>
              </w:rPr>
            </w:pPr>
            <w:r w:rsidRPr="00303AA9">
              <w:rPr>
                <w:rFonts w:ascii="Calibri" w:eastAsia="Times New Roman" w:hAnsi="Calibri" w:cs="Calibri"/>
                <w:color w:val="0D0D0D"/>
                <w:sz w:val="18"/>
                <w:szCs w:val="20"/>
              </w:rPr>
              <w:t>Endowment pool investments included in the MIP at NAV</w:t>
            </w:r>
          </w:p>
        </w:tc>
        <w:tc>
          <w:tcPr>
            <w:tcW w:w="1040" w:type="dxa"/>
            <w:tcBorders>
              <w:top w:val="nil"/>
              <w:left w:val="nil"/>
              <w:bottom w:val="nil"/>
              <w:right w:val="nil"/>
            </w:tcBorders>
            <w:shd w:val="clear" w:color="auto" w:fill="auto"/>
            <w:noWrap/>
            <w:vAlign w:val="bottom"/>
            <w:hideMark/>
          </w:tcPr>
          <w:p w14:paraId="30A42C8F" w14:textId="77777777" w:rsidR="00721CFD" w:rsidRPr="00303AA9" w:rsidRDefault="00721CFD" w:rsidP="007B5BB3">
            <w:pPr>
              <w:jc w:val="right"/>
              <w:rPr>
                <w:rFonts w:ascii="Calibri" w:eastAsia="Times New Roman" w:hAnsi="Calibri" w:cs="Calibri"/>
                <w:color w:val="0D0D0D"/>
                <w:sz w:val="18"/>
                <w:szCs w:val="20"/>
              </w:rPr>
            </w:pPr>
            <w:r w:rsidRPr="00303AA9">
              <w:rPr>
                <w:rFonts w:ascii="Calibri" w:eastAsia="Times New Roman" w:hAnsi="Calibri" w:cs="Calibri"/>
                <w:color w:val="0D0D0D"/>
                <w:sz w:val="18"/>
                <w:szCs w:val="20"/>
              </w:rPr>
              <w:t xml:space="preserve">     92,117</w:t>
            </w:r>
          </w:p>
        </w:tc>
        <w:tc>
          <w:tcPr>
            <w:tcW w:w="1900" w:type="dxa"/>
            <w:tcBorders>
              <w:top w:val="nil"/>
              <w:left w:val="nil"/>
              <w:bottom w:val="nil"/>
              <w:right w:val="nil"/>
            </w:tcBorders>
            <w:shd w:val="clear" w:color="000000" w:fill="FFFFFF"/>
            <w:noWrap/>
            <w:vAlign w:val="bottom"/>
            <w:hideMark/>
          </w:tcPr>
          <w:p w14:paraId="254E437E"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467FEE92"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r w:rsidR="00721CFD" w:rsidRPr="00350BDC" w14:paraId="114EC92D" w14:textId="77777777" w:rsidTr="007B5BB3">
        <w:trPr>
          <w:trHeight w:val="324"/>
        </w:trPr>
        <w:tc>
          <w:tcPr>
            <w:tcW w:w="5280" w:type="dxa"/>
            <w:tcBorders>
              <w:top w:val="single" w:sz="4" w:space="0" w:color="00688D"/>
              <w:left w:val="nil"/>
              <w:bottom w:val="double" w:sz="6" w:space="0" w:color="00688D"/>
              <w:right w:val="nil"/>
            </w:tcBorders>
            <w:shd w:val="clear" w:color="000000" w:fill="FFFFFF"/>
            <w:noWrap/>
            <w:vAlign w:val="bottom"/>
            <w:hideMark/>
          </w:tcPr>
          <w:p w14:paraId="7FF71DBB"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Total investments measured at NAV by portfolio</w:t>
            </w:r>
          </w:p>
        </w:tc>
        <w:tc>
          <w:tcPr>
            <w:tcW w:w="1040" w:type="dxa"/>
            <w:tcBorders>
              <w:top w:val="single" w:sz="4" w:space="0" w:color="00688D"/>
              <w:left w:val="nil"/>
              <w:bottom w:val="double" w:sz="6" w:space="0" w:color="00688D"/>
              <w:right w:val="nil"/>
            </w:tcBorders>
            <w:shd w:val="clear" w:color="000000" w:fill="FFFFFF"/>
            <w:noWrap/>
            <w:vAlign w:val="bottom"/>
            <w:hideMark/>
          </w:tcPr>
          <w:p w14:paraId="463C8F23" w14:textId="77777777" w:rsidR="00721CFD" w:rsidRPr="00303AA9" w:rsidRDefault="00721CFD" w:rsidP="007B5BB3">
            <w:pPr>
              <w:jc w:val="right"/>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xml:space="preserve"> $ 232,357</w:t>
            </w:r>
          </w:p>
        </w:tc>
        <w:tc>
          <w:tcPr>
            <w:tcW w:w="1900" w:type="dxa"/>
            <w:tcBorders>
              <w:top w:val="nil"/>
              <w:left w:val="nil"/>
              <w:bottom w:val="nil"/>
              <w:right w:val="nil"/>
            </w:tcBorders>
            <w:shd w:val="clear" w:color="000000" w:fill="FFFFFF"/>
            <w:noWrap/>
            <w:vAlign w:val="bottom"/>
            <w:hideMark/>
          </w:tcPr>
          <w:p w14:paraId="1C4C0377"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c>
          <w:tcPr>
            <w:tcW w:w="1780" w:type="dxa"/>
            <w:tcBorders>
              <w:top w:val="nil"/>
              <w:left w:val="nil"/>
              <w:bottom w:val="nil"/>
              <w:right w:val="nil"/>
            </w:tcBorders>
            <w:shd w:val="clear" w:color="000000" w:fill="FFFFFF"/>
            <w:noWrap/>
            <w:vAlign w:val="bottom"/>
            <w:hideMark/>
          </w:tcPr>
          <w:p w14:paraId="2B2DA63A" w14:textId="77777777" w:rsidR="00721CFD" w:rsidRPr="00303AA9" w:rsidRDefault="00721CFD" w:rsidP="007B5BB3">
            <w:pPr>
              <w:rPr>
                <w:rFonts w:ascii="Calibri" w:eastAsia="Times New Roman" w:hAnsi="Calibri" w:cs="Calibri"/>
                <w:b/>
                <w:bCs/>
                <w:color w:val="0D0D0D"/>
                <w:sz w:val="18"/>
                <w:szCs w:val="20"/>
              </w:rPr>
            </w:pPr>
            <w:r w:rsidRPr="00303AA9">
              <w:rPr>
                <w:rFonts w:ascii="Calibri" w:eastAsia="Times New Roman" w:hAnsi="Calibri" w:cs="Calibri"/>
                <w:b/>
                <w:bCs/>
                <w:color w:val="0D0D0D"/>
                <w:sz w:val="18"/>
                <w:szCs w:val="20"/>
              </w:rPr>
              <w:t> </w:t>
            </w:r>
          </w:p>
        </w:tc>
      </w:tr>
    </w:tbl>
    <w:p w14:paraId="16888F7A" w14:textId="77777777" w:rsidR="00721CFD" w:rsidRDefault="00721CFD" w:rsidP="00721CFD">
      <w:pPr>
        <w:rPr>
          <w:rFonts w:eastAsia="Times New Roman" w:cstheme="minorHAnsi"/>
          <w:color w:val="FF0000"/>
          <w:spacing w:val="-3"/>
          <w:sz w:val="24"/>
          <w:szCs w:val="20"/>
        </w:rPr>
      </w:pPr>
    </w:p>
    <w:p w14:paraId="0FF503C7" w14:textId="77777777" w:rsidR="00721CFD" w:rsidRPr="00F54559" w:rsidRDefault="00721CFD" w:rsidP="00721CFD">
      <w:pPr>
        <w:rPr>
          <w:rFonts w:eastAsia="Times New Roman" w:cstheme="minorHAnsi"/>
          <w:color w:val="000000"/>
          <w:spacing w:val="-3"/>
          <w:sz w:val="24"/>
          <w:szCs w:val="20"/>
        </w:rPr>
      </w:pPr>
      <w:r>
        <w:rPr>
          <w:rFonts w:eastAsia="Times New Roman" w:cstheme="minorHAnsi"/>
          <w:color w:val="000000"/>
          <w:spacing w:val="-3"/>
          <w:sz w:val="24"/>
          <w:szCs w:val="20"/>
        </w:rPr>
        <w:fldChar w:fldCharType="begin"/>
      </w:r>
      <w:r>
        <w:rPr>
          <w:rFonts w:eastAsia="Times New Roman" w:cstheme="minorHAnsi"/>
          <w:color w:val="000000"/>
          <w:spacing w:val="-3"/>
          <w:sz w:val="24"/>
          <w:szCs w:val="20"/>
        </w:rPr>
        <w:fldChar w:fldCharType="end"/>
      </w:r>
    </w:p>
    <w:p w14:paraId="459EB592" w14:textId="77777777" w:rsidR="00721CFD" w:rsidRPr="00F54559" w:rsidRDefault="00721CFD" w:rsidP="00721CFD">
      <w:pPr>
        <w:tabs>
          <w:tab w:val="left" w:pos="720"/>
          <w:tab w:val="left" w:pos="1080"/>
          <w:tab w:val="decimal" w:pos="6786"/>
          <w:tab w:val="decimal" w:pos="9187"/>
        </w:tabs>
        <w:suppressAutoHyphens/>
        <w:rPr>
          <w:rFonts w:eastAsia="Times New Roman" w:cstheme="minorHAnsi"/>
          <w:color w:val="000000"/>
          <w:spacing w:val="-3"/>
          <w:sz w:val="24"/>
          <w:szCs w:val="20"/>
        </w:rPr>
        <w:sectPr w:rsidR="00721CFD" w:rsidRPr="00F54559" w:rsidSect="007B5BB3">
          <w:footerReference w:type="default" r:id="rId65"/>
          <w:pgSz w:w="12240" w:h="15840" w:code="1"/>
          <w:pgMar w:top="1440" w:right="1440" w:bottom="1440" w:left="1440" w:header="720" w:footer="720" w:gutter="0"/>
          <w:cols w:space="0"/>
          <w:docGrid w:linePitch="360"/>
        </w:sectPr>
      </w:pPr>
    </w:p>
    <w:p w14:paraId="74A8786E" w14:textId="77777777" w:rsidR="00721CFD" w:rsidRPr="00F54559" w:rsidRDefault="00721CFD" w:rsidP="00721CFD">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7E20FE5B" w14:textId="77777777" w:rsidR="00721CFD" w:rsidRDefault="00721CFD" w:rsidP="00721CFD">
      <w:pPr>
        <w:tabs>
          <w:tab w:val="left" w:pos="720"/>
          <w:tab w:val="left" w:pos="1080"/>
          <w:tab w:val="decimal" w:pos="6786"/>
          <w:tab w:val="decimal" w:pos="9187"/>
        </w:tabs>
        <w:suppressAutoHyphens/>
        <w:spacing w:after="240"/>
        <w:rPr>
          <w:rFonts w:eastAsia="Times New Roman" w:cstheme="minorHAnsi"/>
          <w:spacing w:val="-3"/>
          <w:sz w:val="24"/>
          <w:szCs w:val="20"/>
        </w:rPr>
      </w:pPr>
      <w:r w:rsidRPr="00E53CCD">
        <w:rPr>
          <w:rFonts w:eastAsia="Times New Roman" w:cstheme="minorHAnsi"/>
          <w:color w:val="000000"/>
          <w:spacing w:val="-3"/>
          <w:sz w:val="24"/>
          <w:szCs w:val="20"/>
        </w:rPr>
        <w:t xml:space="preserve">The </w:t>
      </w:r>
      <w:r w:rsidRPr="00187D5B">
        <w:rPr>
          <w:rFonts w:eastAsia="Times New Roman" w:cstheme="minorHAnsi"/>
          <w:b/>
          <w:color w:val="000000"/>
          <w:spacing w:val="-3"/>
          <w:sz w:val="24"/>
          <w:szCs w:val="20"/>
        </w:rPr>
        <w:t xml:space="preserve">System’s </w:t>
      </w:r>
      <w:r w:rsidRPr="00A1236B">
        <w:rPr>
          <w:rFonts w:eastAsia="Times New Roman" w:cstheme="minorHAnsi"/>
          <w:b/>
          <w:color w:val="000000"/>
          <w:spacing w:val="-3"/>
          <w:sz w:val="24"/>
          <w:szCs w:val="20"/>
        </w:rPr>
        <w:t>operating investments</w:t>
      </w:r>
      <w:r>
        <w:rPr>
          <w:rFonts w:eastAsia="Times New Roman" w:cstheme="minorHAnsi"/>
          <w:b/>
          <w:color w:val="000000"/>
          <w:spacing w:val="-3"/>
          <w:sz w:val="24"/>
          <w:szCs w:val="20"/>
        </w:rPr>
        <w:t xml:space="preserve"> and deposits with bond trustees </w:t>
      </w:r>
      <w:r w:rsidRPr="00F54559">
        <w:rPr>
          <w:rFonts w:eastAsia="Times New Roman" w:cstheme="minorHAnsi"/>
          <w:color w:val="000000"/>
          <w:spacing w:val="-3"/>
          <w:sz w:val="24"/>
          <w:szCs w:val="20"/>
        </w:rPr>
        <w:t>were composed of the following at June 30</w:t>
      </w:r>
      <w:r w:rsidRPr="00F54559">
        <w:rPr>
          <w:rFonts w:eastAsia="Times New Roman" w:cstheme="minorHAnsi"/>
          <w:spacing w:val="-3"/>
          <w:sz w:val="24"/>
          <w:szCs w:val="20"/>
        </w:rPr>
        <w:t xml:space="preserve">, </w:t>
      </w:r>
      <w:r w:rsidRPr="000A753B">
        <w:rPr>
          <w:rFonts w:eastAsia="Times New Roman" w:cstheme="minorHAnsi"/>
          <w:spacing w:val="-3"/>
          <w:sz w:val="24"/>
          <w:szCs w:val="20"/>
        </w:rPr>
        <w:t>20</w:t>
      </w:r>
      <w:r>
        <w:rPr>
          <w:rFonts w:eastAsia="Times New Roman" w:cstheme="minorHAnsi"/>
          <w:spacing w:val="-3"/>
          <w:sz w:val="24"/>
          <w:szCs w:val="20"/>
        </w:rPr>
        <w:t>21</w:t>
      </w:r>
      <w:r w:rsidRPr="00F54559">
        <w:rPr>
          <w:rFonts w:eastAsia="Times New Roman" w:cstheme="minorHAnsi"/>
          <w:spacing w:val="-3"/>
          <w:sz w:val="24"/>
          <w:szCs w:val="20"/>
        </w:rPr>
        <w:t>:</w:t>
      </w:r>
    </w:p>
    <w:p w14:paraId="52CAE690" w14:textId="77777777" w:rsidR="00721CFD" w:rsidRPr="00C07091" w:rsidRDefault="00721CFD" w:rsidP="00721CFD">
      <w:pPr>
        <w:tabs>
          <w:tab w:val="left" w:pos="720"/>
          <w:tab w:val="left" w:pos="1080"/>
          <w:tab w:val="decimal" w:pos="6786"/>
          <w:tab w:val="decimal" w:pos="9187"/>
        </w:tabs>
        <w:suppressAutoHyphens/>
        <w:spacing w:after="240"/>
        <w:rPr>
          <w:rFonts w:eastAsia="Times New Roman" w:cstheme="minorHAnsi"/>
          <w:color w:val="FF0000"/>
          <w:spacing w:val="-3"/>
          <w:sz w:val="24"/>
          <w:szCs w:val="20"/>
        </w:rPr>
        <w:sectPr w:rsidR="00721CFD" w:rsidRPr="00C07091" w:rsidSect="007B5BB3">
          <w:footerReference w:type="default" r:id="rId66"/>
          <w:pgSz w:w="15840" w:h="12240" w:orient="landscape" w:code="1"/>
          <w:pgMar w:top="1440" w:right="1440" w:bottom="1440" w:left="1440" w:header="720" w:footer="720" w:gutter="0"/>
          <w:cols w:space="0"/>
          <w:docGrid w:linePitch="360"/>
        </w:sectPr>
      </w:pPr>
      <w:r w:rsidRPr="00CB5DAC">
        <w:rPr>
          <w:noProof/>
        </w:rPr>
        <w:drawing>
          <wp:inline distT="0" distB="0" distL="0" distR="0" wp14:anchorId="77DFDD59" wp14:editId="6BC16024">
            <wp:extent cx="7746716" cy="3156668"/>
            <wp:effectExtent l="0" t="0" r="6985" b="5715"/>
            <wp:docPr id="43" name="Picture 43" descr="   Fair Value Measurements Using:    Credit  &#10;  Total   Level 1   Level 2   Level 3   Rating   Interest Rate Risk  &#10;Operating Investments measured at fair value:       &#10;Equities:       &#10;Multi-strategy funds  $52,919   $52,919   $-   $-    &#10;Fixed income funds:       &#10;Bonds  117,535   41,482   76,053   -   Not rated   1.28-6.58 years  Duration&#10;Money markets  28,519   28,519   -   -   Not rated   28-47 days  Weighted Average Maturity&#10;Total operating investments at fair value level  198,973   $122,920   $76,053   $-    &#10;Operating investments measured at NAV       &#10;Equities:  Multi-Strategy  15,706       &#10;Bank loans  18,587      Not rated   .30 years  Duration&#10;Total operating investments measured at NAV  34,293       &#10;Total operating investments measured at fair value plus NAV  233,266       &#10;State pool measured at amortized cost  52,796      Not rated  .69 years Duration&#10;Total operating investments  $286,062       &#10;       &#10;Deposits with Bond Trustees:       &#10;Bonds and money markets  $34,203   $34,203   $-   $-   Not rated   28-47 days  Weighted Average    Fair Value Measurements Using:    Credit  &#10;  Total   Level 1   Level 2   Level 3   Rating   Interest Rate Risk  &#10;Operating Investments measured at fair value:       &#10;Equities:       &#10;Multi-strategy funds  $52,919   $52,919   $-   $-    &#10;Fixed income funds:       &#10;Bonds  117,535   41,482   76,053   -   Not rated   1.28-6.58 years  Duration&#10;Money markets  28,519   28,519   -   -   Not rated   28-47 days  Weighted Average Maturity&#10;Total operating investments at fair value level  198,973   $122,920   $76,053   $-    &#10;Operating investments measured at NAV       &#10;Equities:  Multi-Strategy  15,706       &#10;Bank loans  18,587      Not rated   .30 years  Duration&#10;Total operating investments measured at NAV  34,293       &#10;Total operating investments measured at fair value plus NAV  233,266       &#10;State pool measured at amortized cost  52,796      Not rated  .69 years Duration&#10;Total operating investments  $286,062       &#10;       &#10;Deposits with Bond Trustees:       &#10;Bonds and money markets  $34,203   $34,203   $-   $-   Not rated   28-47 days  Weighted Average Mat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   Fair Value Measurements Using:    Credit  &#10;  Total   Level 1   Level 2   Level 3   Rating   Interest Rate Risk  &#10;Operating Investments measured at fair value:       &#10;Equities:       &#10;Multi-strategy funds  $52,919   $52,919   $-   $-    &#10;Fixed income funds:       &#10;Bonds  117,535   41,482   76,053   -   Not rated   1.28-6.58 years  Duration&#10;Money markets  28,519   28,519   -   -   Not rated   28-47 days  Weighted Average Maturity&#10;Total operating investments at fair value level  198,973   $122,920   $76,053   $-    &#10;Operating investments measured at NAV       &#10;Equities:  Multi-Strategy  15,706       &#10;Bank loans  18,587      Not rated   .30 years  Duration&#10;Total operating investments measured at NAV  34,293       &#10;Total operating investments measured at fair value plus NAV  233,266       &#10;State pool measured at amortized cost  52,796      Not rated  .69 years Duration&#10;Total operating investments  $286,062       &#10;       &#10;Deposits with Bond Trustees:       &#10;Bonds and money markets  $34,203   $34,203   $-   $-   Not rated   28-47 days  Weighted Average    Fair Value Measurements Using:    Credit  &#10;  Total   Level 1   Level 2   Level 3   Rating   Interest Rate Risk  &#10;Operating Investments measured at fair value:       &#10;Equities:       &#10;Multi-strategy funds  $52,919   $52,919   $-   $-    &#10;Fixed income funds:       &#10;Bonds  117,535   41,482   76,053   -   Not rated   1.28-6.58 years  Duration&#10;Money markets  28,519   28,519   -   -   Not rated   28-47 days  Weighted Average Maturity&#10;Total operating investments at fair value level  198,973   $122,920   $76,053   $-    &#10;Operating investments measured at NAV       &#10;Equities:  Multi-Strategy  15,706       &#10;Bank loans  18,587      Not rated   .30 years  Duration&#10;Total operating investments measured at NAV  34,293       &#10;Total operating investments measured at fair value plus NAV  233,266       &#10;State pool measured at amortized cost  52,796      Not rated  .69 years Duration&#10;Total operating investments  $286,062       &#10;       &#10;Deposits with Bond Trustees:       &#10;Bonds and money markets  $34,203   $34,203   $-   $-   Not rated   28-47 days  Weighted Average Maturit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92214" cy="3175208"/>
                    </a:xfrm>
                    <a:prstGeom prst="rect">
                      <a:avLst/>
                    </a:prstGeom>
                    <a:noFill/>
                    <a:ln>
                      <a:noFill/>
                    </a:ln>
                  </pic:spPr>
                </pic:pic>
              </a:graphicData>
            </a:graphic>
          </wp:inline>
        </w:drawing>
      </w:r>
    </w:p>
    <w:p w14:paraId="4CFC05BE" w14:textId="77777777" w:rsidR="00721CFD" w:rsidRPr="00F54559" w:rsidRDefault="00721CFD" w:rsidP="00721CFD">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7B752548" w14:textId="0AB8D039" w:rsidR="00721CFD" w:rsidRDefault="002B67C2" w:rsidP="00721CFD">
      <w:pPr>
        <w:spacing w:after="160" w:line="259" w:lineRule="auto"/>
        <w:rPr>
          <w:rFonts w:eastAsia="Times New Roman" w:cstheme="minorHAnsi"/>
          <w:color w:val="000000"/>
          <w:spacing w:val="-3"/>
          <w:sz w:val="24"/>
          <w:szCs w:val="20"/>
        </w:rPr>
      </w:pPr>
      <w:r w:rsidRPr="00F54559">
        <w:rPr>
          <w:rFonts w:eastAsia="Times New Roman" w:cstheme="minorHAnsi"/>
          <w:color w:val="000000"/>
          <w:spacing w:val="-3"/>
          <w:sz w:val="24"/>
          <w:szCs w:val="20"/>
        </w:rPr>
        <w:t xml:space="preserve">The </w:t>
      </w:r>
      <w:r w:rsidRPr="00F54559">
        <w:rPr>
          <w:rFonts w:eastAsia="Times New Roman" w:cstheme="minorHAnsi"/>
          <w:b/>
          <w:color w:val="000000"/>
          <w:spacing w:val="-3"/>
          <w:sz w:val="24"/>
          <w:szCs w:val="20"/>
        </w:rPr>
        <w:t xml:space="preserve">System’s </w:t>
      </w:r>
      <w:r>
        <w:rPr>
          <w:rFonts w:eastAsia="Times New Roman" w:cstheme="minorHAnsi"/>
          <w:b/>
          <w:color w:val="000000"/>
          <w:spacing w:val="-3"/>
          <w:sz w:val="24"/>
          <w:szCs w:val="20"/>
        </w:rPr>
        <w:t>DB Plan, MIP and separately invested</w:t>
      </w:r>
      <w:r>
        <w:rPr>
          <w:rFonts w:eastAsia="Times New Roman" w:cstheme="minorHAnsi"/>
          <w:color w:val="000000"/>
          <w:spacing w:val="-3"/>
          <w:sz w:val="24"/>
          <w:szCs w:val="20"/>
        </w:rPr>
        <w:t xml:space="preserve"> </w:t>
      </w:r>
      <w:r>
        <w:rPr>
          <w:rFonts w:eastAsia="Times New Roman" w:cstheme="minorHAnsi"/>
          <w:b/>
          <w:color w:val="000000"/>
          <w:spacing w:val="-3"/>
          <w:sz w:val="24"/>
          <w:szCs w:val="20"/>
        </w:rPr>
        <w:t xml:space="preserve">endowments </w:t>
      </w:r>
      <w:r w:rsidRPr="00F54559">
        <w:rPr>
          <w:rFonts w:eastAsia="Times New Roman" w:cstheme="minorHAnsi"/>
          <w:color w:val="000000"/>
          <w:spacing w:val="-3"/>
          <w:sz w:val="24"/>
          <w:szCs w:val="20"/>
        </w:rPr>
        <w:t xml:space="preserve">were composed of the following at </w:t>
      </w:r>
      <w:r w:rsidRPr="00601B8C">
        <w:rPr>
          <w:rFonts w:eastAsia="Times New Roman" w:cstheme="minorHAnsi"/>
          <w:color w:val="000000"/>
          <w:spacing w:val="-3"/>
          <w:sz w:val="24"/>
          <w:szCs w:val="20"/>
        </w:rPr>
        <w:t>June 30</w:t>
      </w:r>
      <w:r w:rsidRPr="00601B8C">
        <w:rPr>
          <w:rFonts w:eastAsia="Times New Roman" w:cstheme="minorHAnsi"/>
          <w:spacing w:val="-3"/>
          <w:sz w:val="24"/>
          <w:szCs w:val="20"/>
        </w:rPr>
        <w:t>, 202</w:t>
      </w:r>
      <w:r>
        <w:rPr>
          <w:rFonts w:eastAsia="Times New Roman" w:cstheme="minorHAnsi"/>
          <w:spacing w:val="-3"/>
          <w:sz w:val="24"/>
          <w:szCs w:val="20"/>
        </w:rPr>
        <w:t>1:</w:t>
      </w:r>
    </w:p>
    <w:p w14:paraId="58244480" w14:textId="70B46D67" w:rsidR="00721CFD" w:rsidRPr="00F54559" w:rsidRDefault="00D151E7" w:rsidP="00721CFD">
      <w:pPr>
        <w:spacing w:after="160" w:line="259" w:lineRule="auto"/>
        <w:rPr>
          <w:rFonts w:eastAsiaTheme="majorEastAsia" w:cstheme="minorHAnsi"/>
          <w:b/>
          <w:i/>
          <w:iCs/>
          <w:smallCaps/>
          <w:noProof/>
          <w:color w:val="000000" w:themeColor="text1"/>
          <w:sz w:val="26"/>
          <w:szCs w:val="26"/>
          <w:u w:color="5B9BD5"/>
        </w:rPr>
        <w:sectPr w:rsidR="00721CFD" w:rsidRPr="00F54559" w:rsidSect="007B5BB3">
          <w:pgSz w:w="15840" w:h="12240" w:orient="landscape" w:code="1"/>
          <w:pgMar w:top="1440" w:right="1440" w:bottom="1440" w:left="1440" w:header="720" w:footer="720" w:gutter="0"/>
          <w:cols w:space="0"/>
          <w:docGrid w:linePitch="360"/>
        </w:sectPr>
      </w:pPr>
      <w:r w:rsidRPr="00D151E7">
        <w:rPr>
          <w:noProof/>
        </w:rPr>
        <w:drawing>
          <wp:inline distT="0" distB="0" distL="0" distR="0" wp14:anchorId="5B503CCA" wp14:editId="715DCEE8">
            <wp:extent cx="6551875" cy="5153559"/>
            <wp:effectExtent l="0" t="0" r="1905" b="9525"/>
            <wp:docPr id="47" name="Picture 47" descr="   Fair Value Measurements Using:    Credit  &#10;  Total   Level 1   Level 2   Level 3   Rating   Interest Rate Risk  &#10;Investments measured at fair value:       &#10;Equities:       &#10;Equity securities  $13,600   $13,600   $-   $-    &#10;Equity funds  51,613   51,613   -   -    &#10;Multi-strategy funds  31,396   31,396   -   -   Not rated   Not rated  &#10;Fixed income funds:       &#10;Money markets  2,490   2,490   -   -   Not rated   27 days  Weighted Average Maturity&#10;Bonds  60,494   60,494   -   -   Not rated  1.28-7.5 years Duration&#10;Real assets  2,161   -   -   2,161   Not rated   Not rated  &#10;Total DB Plan and MIP investments at fair value level  161,754   $159,593   $-   $2,161    &#10;Investments measured at NAV:       &#10;Equity securities  92,541       &#10;Equity funds  118,188       &#10;Multi-strategy funds  33,770       &#10;Fixed income funds - bonds  41,177       &#10;Bank loans  21,602      Not rated  0.3 years Duration&#10;Total DB Plan and MIP investments measured at NAV  307,278       &#10;Total DB Plan and MIP investments  $469,032       &#10;Breakdown of above investments by portfolio plus separately invested endowments:       &#10;DB Plan at fair value level  $13,917   $11,756   $-   $2,161    &#10;DB Plan at NAV  11,374       &#10;Total DB Plan Investments  $25,291       &#10;MIP held on behalf of outside entities at fair level  $82,367   $82,367   $-   $-    &#10;MIP held on behalf of outside entities at NAV  164,861       &#10;Total MIP held on behalf of outside entities  $247,228       &#10;Fiduciary Funds held in Endowment Pool at fair value level  $11,724   $11,724   $-   $-    &#10;Fiduciary Funds held in Endowment Pool at NAV  23,466       &#10;Total Fiduciary Funds  $35,190       &#10;Endowment pool investments included in the MIP at fair value  $53,746   $53,746   $-   $-    &#10;Endowment pool investments included in the MIP at NAV  107,577       &#10;Total endowment pool investments included in the MIP  161,323       &#10;Endowment investments - separately invested  4,989   $4,989   $-   $-    &#10;Total endowment investments  $16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   Fair Value Measurements Using:    Credit  &#10;  Total   Level 1   Level 2   Level 3   Rating   Interest Rate Risk  &#10;Investments measured at fair value:       &#10;Equities:       &#10;Equity securities  $13,600   $13,600   $-   $-    &#10;Equity funds  51,613   51,613   -   -    &#10;Multi-strategy funds  31,396   31,396   -   -   Not rated   Not rated  &#10;Fixed income funds:       &#10;Money markets  2,490   2,490   -   -   Not rated   27 days  Weighted Average Maturity&#10;Bonds  60,494   60,494   -   -   Not rated  1.28-7.5 years Duration&#10;Real assets  2,161   -   -   2,161   Not rated   Not rated  &#10;Total DB Plan and MIP investments at fair value level  161,754   $159,593   $-   $2,161    &#10;Investments measured at NAV:       &#10;Equity securities  92,541       &#10;Equity funds  118,188       &#10;Multi-strategy funds  33,770       &#10;Fixed income funds - bonds  41,177       &#10;Bank loans  21,602      Not rated  0.3 years Duration&#10;Total DB Plan and MIP investments measured at NAV  307,278       &#10;Total DB Plan and MIP investments  $469,032       &#10;Breakdown of above investments by portfolio plus separately invested endowments:       &#10;DB Plan at fair value level  $13,917   $11,756   $-   $2,161    &#10;DB Plan at NAV  11,374       &#10;Total DB Plan Investments  $25,291       &#10;MIP held on behalf of outside entities at fair level  $82,367   $82,367   $-   $-    &#10;MIP held on behalf of outside entities at NAV  164,861       &#10;Total MIP held on behalf of outside entities  $247,228       &#10;Fiduciary Funds held in Endowment Pool at fair value level  $11,724   $11,724   $-   $-    &#10;Fiduciary Funds held in Endowment Pool at NAV  23,466       &#10;Total Fiduciary Funds  $35,190       &#10;Endowment pool investments included in the MIP at fair value  $53,746   $53,746   $-   $-    &#10;Endowment pool investments included in the MIP at NAV  107,577       &#10;Total endowment pool investments included in the MIP  161,323       &#10;Endowment investments - separately invested  4,989   $4,989   $-   $-    &#10;Total endowment investments  $166,3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57661" cy="5158110"/>
                    </a:xfrm>
                    <a:prstGeom prst="rect">
                      <a:avLst/>
                    </a:prstGeom>
                    <a:noFill/>
                    <a:ln>
                      <a:noFill/>
                    </a:ln>
                  </pic:spPr>
                </pic:pic>
              </a:graphicData>
            </a:graphic>
          </wp:inline>
        </w:drawing>
      </w:r>
    </w:p>
    <w:p w14:paraId="0264BA65" w14:textId="77777777" w:rsidR="00721CFD" w:rsidRPr="00F54559" w:rsidRDefault="00721CFD" w:rsidP="00721CFD">
      <w:pPr>
        <w:tabs>
          <w:tab w:val="left" w:pos="720"/>
          <w:tab w:val="left" w:pos="1080"/>
          <w:tab w:val="decimal" w:pos="6786"/>
          <w:tab w:val="decimal" w:pos="9187"/>
        </w:tabs>
        <w:suppressAutoHyphens/>
        <w:spacing w:after="240"/>
        <w:rPr>
          <w:rFonts w:cstheme="minorHAnsi"/>
          <w:sz w:val="24"/>
        </w:rPr>
      </w:pPr>
      <w:r w:rsidRPr="00F54559">
        <w:rPr>
          <w:rFonts w:eastAsiaTheme="majorEastAsia" w:cstheme="minorHAnsi"/>
          <w:b/>
          <w:i/>
          <w:iCs/>
          <w:smallCaps/>
          <w:noProof/>
          <w:color w:val="000000" w:themeColor="text1"/>
          <w:sz w:val="26"/>
          <w:szCs w:val="26"/>
          <w:u w:color="5B9BD5"/>
        </w:rPr>
        <w:lastRenderedPageBreak/>
        <w:t>3. INVESTMENTS - CONTINUED</w:t>
      </w:r>
    </w:p>
    <w:p w14:paraId="6D4F6AA3" w14:textId="77777777" w:rsidR="00721CFD" w:rsidRDefault="00721CFD" w:rsidP="00721CFD">
      <w:pPr>
        <w:tabs>
          <w:tab w:val="left" w:pos="720"/>
          <w:tab w:val="left" w:pos="1080"/>
          <w:tab w:val="decimal" w:pos="6786"/>
          <w:tab w:val="decimal" w:pos="9187"/>
        </w:tabs>
        <w:suppressAutoHyphens/>
        <w:spacing w:after="120"/>
        <w:rPr>
          <w:rFonts w:eastAsia="Times New Roman" w:cstheme="minorHAnsi"/>
          <w:color w:val="FF0000"/>
          <w:spacing w:val="-3"/>
          <w:sz w:val="24"/>
          <w:szCs w:val="20"/>
        </w:rPr>
      </w:pPr>
      <w:r w:rsidRPr="00F54559">
        <w:rPr>
          <w:rFonts w:cstheme="minorHAnsi"/>
          <w:sz w:val="24"/>
        </w:rPr>
        <w:t xml:space="preserve">Additional disclosures for </w:t>
      </w:r>
      <w:r w:rsidRPr="00F54559">
        <w:rPr>
          <w:rFonts w:cstheme="minorHAnsi"/>
          <w:b/>
          <w:sz w:val="24"/>
        </w:rPr>
        <w:t xml:space="preserve">System investments, </w:t>
      </w:r>
      <w:r w:rsidRPr="00F54559">
        <w:rPr>
          <w:rFonts w:cstheme="minorHAnsi"/>
          <w:sz w:val="24"/>
        </w:rPr>
        <w:t xml:space="preserve">including the </w:t>
      </w:r>
      <w:r>
        <w:rPr>
          <w:rFonts w:cstheme="minorHAnsi"/>
          <w:sz w:val="24"/>
        </w:rPr>
        <w:t xml:space="preserve">DB Plan and </w:t>
      </w:r>
      <w:r w:rsidRPr="00F54559">
        <w:rPr>
          <w:rFonts w:cstheme="minorHAnsi"/>
          <w:sz w:val="24"/>
        </w:rPr>
        <w:t xml:space="preserve">MIP, measured at NAV at June 30, </w:t>
      </w:r>
      <w:r>
        <w:rPr>
          <w:rFonts w:cstheme="minorHAnsi"/>
          <w:sz w:val="24"/>
        </w:rPr>
        <w:t>2021</w:t>
      </w:r>
      <w:r w:rsidRPr="00F54559">
        <w:rPr>
          <w:rFonts w:cstheme="minorHAnsi"/>
          <w:sz w:val="24"/>
        </w:rPr>
        <w:t>:</w:t>
      </w:r>
    </w:p>
    <w:tbl>
      <w:tblPr>
        <w:tblpPr w:leftFromText="180" w:rightFromText="180" w:vertAnchor="text" w:horzAnchor="margin" w:tblpY="34"/>
        <w:tblW w:w="9360" w:type="dxa"/>
        <w:tblLook w:val="04A0" w:firstRow="1" w:lastRow="0" w:firstColumn="1" w:lastColumn="0" w:noHBand="0" w:noVBand="1"/>
      </w:tblPr>
      <w:tblGrid>
        <w:gridCol w:w="4907"/>
        <w:gridCol w:w="1050"/>
        <w:gridCol w:w="1767"/>
        <w:gridCol w:w="1636"/>
      </w:tblGrid>
      <w:tr w:rsidR="00721CFD" w:rsidRPr="00BA36D0" w14:paraId="624BC6F9" w14:textId="77777777" w:rsidTr="007B5BB3">
        <w:trPr>
          <w:trHeight w:val="840"/>
        </w:trPr>
        <w:tc>
          <w:tcPr>
            <w:tcW w:w="4907" w:type="dxa"/>
            <w:tcBorders>
              <w:top w:val="nil"/>
              <w:left w:val="nil"/>
              <w:bottom w:val="single" w:sz="12" w:space="0" w:color="00688D"/>
              <w:right w:val="nil"/>
            </w:tcBorders>
            <w:shd w:val="clear" w:color="000000" w:fill="FFFFFF"/>
            <w:noWrap/>
            <w:vAlign w:val="bottom"/>
            <w:hideMark/>
          </w:tcPr>
          <w:p w14:paraId="1ABAE708" w14:textId="77777777" w:rsidR="00721CFD" w:rsidRPr="00BA36D0" w:rsidRDefault="00721CFD" w:rsidP="007B5BB3">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 </w:t>
            </w:r>
          </w:p>
        </w:tc>
        <w:tc>
          <w:tcPr>
            <w:tcW w:w="1050" w:type="dxa"/>
            <w:tcBorders>
              <w:top w:val="nil"/>
              <w:left w:val="nil"/>
              <w:bottom w:val="single" w:sz="12" w:space="0" w:color="00688D"/>
              <w:right w:val="nil"/>
            </w:tcBorders>
            <w:shd w:val="clear" w:color="000000" w:fill="FFFFFF"/>
            <w:vAlign w:val="bottom"/>
            <w:hideMark/>
          </w:tcPr>
          <w:p w14:paraId="0F3DD309" w14:textId="77777777" w:rsidR="00721CFD" w:rsidRPr="00BA36D0" w:rsidRDefault="00721CFD" w:rsidP="007B5BB3">
            <w:pPr>
              <w:jc w:val="cente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Fair</w:t>
            </w:r>
            <w:r w:rsidRPr="00BA36D0">
              <w:rPr>
                <w:rFonts w:ascii="Calibri" w:eastAsia="Times New Roman" w:hAnsi="Calibri" w:cs="Calibri"/>
                <w:b/>
                <w:bCs/>
                <w:color w:val="0D0D0D"/>
                <w:sz w:val="18"/>
                <w:szCs w:val="20"/>
              </w:rPr>
              <w:br/>
              <w:t xml:space="preserve">Value </w:t>
            </w:r>
          </w:p>
        </w:tc>
        <w:tc>
          <w:tcPr>
            <w:tcW w:w="1767" w:type="dxa"/>
            <w:tcBorders>
              <w:top w:val="nil"/>
              <w:left w:val="nil"/>
              <w:bottom w:val="single" w:sz="12" w:space="0" w:color="00688D"/>
              <w:right w:val="nil"/>
            </w:tcBorders>
            <w:shd w:val="clear" w:color="000000" w:fill="FFFFFF"/>
            <w:vAlign w:val="bottom"/>
            <w:hideMark/>
          </w:tcPr>
          <w:p w14:paraId="51D5AB6D" w14:textId="77777777" w:rsidR="00721CFD" w:rsidRPr="00BA36D0" w:rsidRDefault="00721CFD" w:rsidP="007B5BB3">
            <w:pPr>
              <w:jc w:val="cente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Redemption</w:t>
            </w:r>
            <w:r w:rsidRPr="00BA36D0">
              <w:rPr>
                <w:rFonts w:ascii="Calibri" w:eastAsia="Times New Roman" w:hAnsi="Calibri" w:cs="Calibri"/>
                <w:b/>
                <w:bCs/>
                <w:color w:val="0D0D0D"/>
                <w:sz w:val="18"/>
                <w:szCs w:val="20"/>
              </w:rPr>
              <w:br/>
              <w:t>Frequency (If</w:t>
            </w:r>
            <w:r w:rsidRPr="00BA36D0">
              <w:rPr>
                <w:rFonts w:ascii="Calibri" w:eastAsia="Times New Roman" w:hAnsi="Calibri" w:cs="Calibri"/>
                <w:b/>
                <w:bCs/>
                <w:color w:val="0D0D0D"/>
                <w:sz w:val="18"/>
                <w:szCs w:val="20"/>
              </w:rPr>
              <w:br/>
              <w:t xml:space="preserve">Currently Eligible) </w:t>
            </w:r>
          </w:p>
        </w:tc>
        <w:tc>
          <w:tcPr>
            <w:tcW w:w="1636" w:type="dxa"/>
            <w:tcBorders>
              <w:top w:val="nil"/>
              <w:left w:val="nil"/>
              <w:bottom w:val="single" w:sz="12" w:space="0" w:color="00688D"/>
              <w:right w:val="nil"/>
            </w:tcBorders>
            <w:shd w:val="clear" w:color="000000" w:fill="FFFFFF"/>
            <w:vAlign w:val="bottom"/>
            <w:hideMark/>
          </w:tcPr>
          <w:p w14:paraId="0D1E666B" w14:textId="77777777" w:rsidR="00721CFD" w:rsidRPr="00BA36D0" w:rsidRDefault="00721CFD" w:rsidP="007B5BB3">
            <w:pPr>
              <w:jc w:val="cente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Redemption</w:t>
            </w:r>
            <w:r w:rsidRPr="00BA36D0">
              <w:rPr>
                <w:rFonts w:ascii="Calibri" w:eastAsia="Times New Roman" w:hAnsi="Calibri" w:cs="Calibri"/>
                <w:b/>
                <w:bCs/>
                <w:color w:val="0D0D0D"/>
                <w:sz w:val="18"/>
                <w:szCs w:val="20"/>
              </w:rPr>
              <w:br/>
              <w:t>Period</w:t>
            </w:r>
            <w:r w:rsidRPr="00BA36D0">
              <w:rPr>
                <w:rFonts w:ascii="Calibri" w:eastAsia="Times New Roman" w:hAnsi="Calibri" w:cs="Calibri"/>
                <w:b/>
                <w:bCs/>
                <w:color w:val="0D0D0D"/>
                <w:sz w:val="18"/>
                <w:szCs w:val="20"/>
              </w:rPr>
              <w:br/>
              <w:t xml:space="preserve">Notice </w:t>
            </w:r>
          </w:p>
        </w:tc>
      </w:tr>
      <w:tr w:rsidR="00721CFD" w:rsidRPr="00BA36D0" w14:paraId="6DA3E29B" w14:textId="77777777" w:rsidTr="007B5BB3">
        <w:trPr>
          <w:trHeight w:val="324"/>
        </w:trPr>
        <w:tc>
          <w:tcPr>
            <w:tcW w:w="4907" w:type="dxa"/>
            <w:tcBorders>
              <w:top w:val="nil"/>
              <w:left w:val="nil"/>
              <w:bottom w:val="nil"/>
              <w:right w:val="nil"/>
            </w:tcBorders>
            <w:shd w:val="clear" w:color="000000" w:fill="FFFFFF"/>
            <w:noWrap/>
            <w:vAlign w:val="bottom"/>
            <w:hideMark/>
          </w:tcPr>
          <w:p w14:paraId="101D2FD4" w14:textId="77777777" w:rsidR="00721CFD" w:rsidRPr="00BA36D0" w:rsidRDefault="00721CFD" w:rsidP="007B5BB3">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Operating Investments measured at NAV:</w:t>
            </w:r>
          </w:p>
        </w:tc>
        <w:tc>
          <w:tcPr>
            <w:tcW w:w="1050" w:type="dxa"/>
            <w:tcBorders>
              <w:top w:val="nil"/>
              <w:left w:val="nil"/>
              <w:bottom w:val="nil"/>
              <w:right w:val="nil"/>
            </w:tcBorders>
            <w:shd w:val="clear" w:color="000000" w:fill="FFFFFF"/>
            <w:noWrap/>
            <w:vAlign w:val="bottom"/>
            <w:hideMark/>
          </w:tcPr>
          <w:p w14:paraId="4AC084AC" w14:textId="77777777" w:rsidR="00721CFD" w:rsidRPr="00BA36D0" w:rsidRDefault="00721CFD" w:rsidP="007B5BB3">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767" w:type="dxa"/>
            <w:tcBorders>
              <w:top w:val="nil"/>
              <w:left w:val="nil"/>
              <w:bottom w:val="nil"/>
              <w:right w:val="nil"/>
            </w:tcBorders>
            <w:shd w:val="clear" w:color="000000" w:fill="FFFFFF"/>
            <w:noWrap/>
            <w:vAlign w:val="bottom"/>
            <w:hideMark/>
          </w:tcPr>
          <w:p w14:paraId="56AE9E36"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03F874C2"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721CFD" w:rsidRPr="00BA36D0" w14:paraId="7E9D1F10" w14:textId="77777777" w:rsidTr="007B5BB3">
        <w:trPr>
          <w:trHeight w:val="312"/>
        </w:trPr>
        <w:tc>
          <w:tcPr>
            <w:tcW w:w="4907" w:type="dxa"/>
            <w:tcBorders>
              <w:top w:val="nil"/>
              <w:left w:val="nil"/>
              <w:bottom w:val="nil"/>
              <w:right w:val="nil"/>
            </w:tcBorders>
            <w:shd w:val="clear" w:color="000000" w:fill="FFFFFF"/>
            <w:noWrap/>
            <w:vAlign w:val="bottom"/>
            <w:hideMark/>
          </w:tcPr>
          <w:p w14:paraId="433953FD" w14:textId="77777777" w:rsidR="00721CFD" w:rsidRPr="00BA36D0" w:rsidRDefault="00721CFD" w:rsidP="007B5BB3">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Equities:  Multi-strategy</w:t>
            </w:r>
            <w:r w:rsidRPr="00BA36D0">
              <w:rPr>
                <w:rFonts w:ascii="Calibri" w:eastAsia="Times New Roman" w:hAnsi="Calibri" w:cs="Calibri"/>
                <w:color w:val="0D0D0D"/>
                <w:sz w:val="18"/>
                <w:szCs w:val="20"/>
                <w:vertAlign w:val="superscript"/>
              </w:rPr>
              <w:t xml:space="preserve"> ₁</w:t>
            </w:r>
          </w:p>
        </w:tc>
        <w:tc>
          <w:tcPr>
            <w:tcW w:w="1050" w:type="dxa"/>
            <w:tcBorders>
              <w:top w:val="nil"/>
              <w:left w:val="nil"/>
              <w:bottom w:val="nil"/>
              <w:right w:val="nil"/>
            </w:tcBorders>
            <w:shd w:val="clear" w:color="000000" w:fill="FFFFFF"/>
            <w:noWrap/>
            <w:vAlign w:val="bottom"/>
            <w:hideMark/>
          </w:tcPr>
          <w:p w14:paraId="0957D82C" w14:textId="77777777" w:rsidR="00721CFD" w:rsidRPr="00BA36D0" w:rsidRDefault="00721CFD" w:rsidP="007B5BB3">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   15,706 </w:t>
            </w:r>
          </w:p>
        </w:tc>
        <w:tc>
          <w:tcPr>
            <w:tcW w:w="1767" w:type="dxa"/>
            <w:tcBorders>
              <w:top w:val="nil"/>
              <w:left w:val="nil"/>
              <w:bottom w:val="nil"/>
              <w:right w:val="nil"/>
            </w:tcBorders>
            <w:shd w:val="clear" w:color="000000" w:fill="FFFFFF"/>
            <w:noWrap/>
            <w:vAlign w:val="bottom"/>
            <w:hideMark/>
          </w:tcPr>
          <w:p w14:paraId="0A0CB980"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Quarterly, Monthly</w:t>
            </w:r>
          </w:p>
        </w:tc>
        <w:tc>
          <w:tcPr>
            <w:tcW w:w="1636" w:type="dxa"/>
            <w:tcBorders>
              <w:top w:val="nil"/>
              <w:left w:val="nil"/>
              <w:bottom w:val="nil"/>
              <w:right w:val="nil"/>
            </w:tcBorders>
            <w:shd w:val="clear" w:color="000000" w:fill="FFFFFF"/>
            <w:noWrap/>
            <w:vAlign w:val="bottom"/>
            <w:hideMark/>
          </w:tcPr>
          <w:p w14:paraId="253508BE"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60, 90 days</w:t>
            </w:r>
          </w:p>
        </w:tc>
      </w:tr>
      <w:tr w:rsidR="00721CFD" w:rsidRPr="00BA36D0" w14:paraId="30BB8368" w14:textId="77777777" w:rsidTr="007B5BB3">
        <w:trPr>
          <w:trHeight w:val="312"/>
        </w:trPr>
        <w:tc>
          <w:tcPr>
            <w:tcW w:w="4907" w:type="dxa"/>
            <w:tcBorders>
              <w:top w:val="nil"/>
              <w:left w:val="nil"/>
              <w:bottom w:val="single" w:sz="4" w:space="0" w:color="00688D"/>
              <w:right w:val="nil"/>
            </w:tcBorders>
            <w:shd w:val="clear" w:color="000000" w:fill="FFFFFF"/>
            <w:noWrap/>
            <w:vAlign w:val="bottom"/>
            <w:hideMark/>
          </w:tcPr>
          <w:p w14:paraId="6CBD91EF" w14:textId="77777777" w:rsidR="00721CFD" w:rsidRPr="00BA36D0" w:rsidRDefault="00721CFD" w:rsidP="007B5BB3">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Bank loans </w:t>
            </w:r>
            <w:r w:rsidRPr="00BA36D0">
              <w:rPr>
                <w:rFonts w:ascii="Calibri" w:eastAsia="Times New Roman" w:hAnsi="Calibri" w:cs="Calibri"/>
                <w:color w:val="0D0D0D"/>
                <w:sz w:val="18"/>
                <w:szCs w:val="20"/>
                <w:vertAlign w:val="superscript"/>
              </w:rPr>
              <w:t>₂</w:t>
            </w:r>
          </w:p>
        </w:tc>
        <w:tc>
          <w:tcPr>
            <w:tcW w:w="1050" w:type="dxa"/>
            <w:tcBorders>
              <w:top w:val="nil"/>
              <w:left w:val="nil"/>
              <w:bottom w:val="single" w:sz="4" w:space="0" w:color="00688D"/>
              <w:right w:val="nil"/>
            </w:tcBorders>
            <w:shd w:val="clear" w:color="000000" w:fill="FFFFFF"/>
            <w:noWrap/>
            <w:vAlign w:val="bottom"/>
            <w:hideMark/>
          </w:tcPr>
          <w:p w14:paraId="3F947808" w14:textId="77777777" w:rsidR="00721CFD" w:rsidRPr="00BA36D0" w:rsidRDefault="00721CFD" w:rsidP="007B5BB3">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18,587 </w:t>
            </w:r>
          </w:p>
        </w:tc>
        <w:tc>
          <w:tcPr>
            <w:tcW w:w="1767" w:type="dxa"/>
            <w:tcBorders>
              <w:top w:val="nil"/>
              <w:left w:val="nil"/>
              <w:bottom w:val="nil"/>
              <w:right w:val="nil"/>
            </w:tcBorders>
            <w:shd w:val="clear" w:color="000000" w:fill="FFFFFF"/>
            <w:noWrap/>
            <w:vAlign w:val="bottom"/>
            <w:hideMark/>
          </w:tcPr>
          <w:p w14:paraId="3DCDAEA3"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Bi-monthly</w:t>
            </w:r>
          </w:p>
        </w:tc>
        <w:tc>
          <w:tcPr>
            <w:tcW w:w="1636" w:type="dxa"/>
            <w:tcBorders>
              <w:top w:val="nil"/>
              <w:left w:val="nil"/>
              <w:bottom w:val="nil"/>
              <w:right w:val="nil"/>
            </w:tcBorders>
            <w:shd w:val="clear" w:color="000000" w:fill="FFFFFF"/>
            <w:noWrap/>
            <w:vAlign w:val="bottom"/>
            <w:hideMark/>
          </w:tcPr>
          <w:p w14:paraId="16B173FE"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15 days</w:t>
            </w:r>
          </w:p>
        </w:tc>
      </w:tr>
      <w:tr w:rsidR="00721CFD" w:rsidRPr="00BA36D0" w14:paraId="0C3ACBED" w14:textId="77777777" w:rsidTr="007B5BB3">
        <w:trPr>
          <w:trHeight w:val="324"/>
        </w:trPr>
        <w:tc>
          <w:tcPr>
            <w:tcW w:w="4907" w:type="dxa"/>
            <w:tcBorders>
              <w:top w:val="nil"/>
              <w:left w:val="nil"/>
              <w:bottom w:val="double" w:sz="6" w:space="0" w:color="00688D"/>
              <w:right w:val="nil"/>
            </w:tcBorders>
            <w:shd w:val="clear" w:color="000000" w:fill="FFFFFF"/>
            <w:noWrap/>
            <w:vAlign w:val="bottom"/>
            <w:hideMark/>
          </w:tcPr>
          <w:p w14:paraId="24AD0619" w14:textId="77777777" w:rsidR="00721CFD" w:rsidRPr="00BA36D0" w:rsidRDefault="00721CFD" w:rsidP="007B5BB3">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Total operating investments measured at NAV</w:t>
            </w:r>
          </w:p>
        </w:tc>
        <w:tc>
          <w:tcPr>
            <w:tcW w:w="1050" w:type="dxa"/>
            <w:tcBorders>
              <w:top w:val="nil"/>
              <w:left w:val="nil"/>
              <w:bottom w:val="double" w:sz="6" w:space="0" w:color="00688D"/>
              <w:right w:val="nil"/>
            </w:tcBorders>
            <w:shd w:val="clear" w:color="000000" w:fill="FFFFFF"/>
            <w:noWrap/>
            <w:vAlign w:val="bottom"/>
            <w:hideMark/>
          </w:tcPr>
          <w:p w14:paraId="1CCFB457" w14:textId="77777777" w:rsidR="00721CFD" w:rsidRPr="00BA36D0" w:rsidRDefault="00721CFD" w:rsidP="007B5BB3">
            <w:pPr>
              <w:jc w:val="right"/>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 xml:space="preserve">$   34,293 </w:t>
            </w:r>
          </w:p>
        </w:tc>
        <w:tc>
          <w:tcPr>
            <w:tcW w:w="1767" w:type="dxa"/>
            <w:tcBorders>
              <w:top w:val="nil"/>
              <w:left w:val="nil"/>
              <w:bottom w:val="nil"/>
              <w:right w:val="nil"/>
            </w:tcBorders>
            <w:shd w:val="clear" w:color="000000" w:fill="FFFFFF"/>
            <w:noWrap/>
            <w:vAlign w:val="bottom"/>
            <w:hideMark/>
          </w:tcPr>
          <w:p w14:paraId="67463D7A"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0CB1634A"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721CFD" w:rsidRPr="00BA36D0" w14:paraId="29E48003" w14:textId="77777777" w:rsidTr="007B5BB3">
        <w:trPr>
          <w:trHeight w:val="675"/>
        </w:trPr>
        <w:tc>
          <w:tcPr>
            <w:tcW w:w="4907" w:type="dxa"/>
            <w:tcBorders>
              <w:top w:val="nil"/>
              <w:left w:val="nil"/>
              <w:bottom w:val="nil"/>
              <w:right w:val="nil"/>
            </w:tcBorders>
            <w:shd w:val="clear" w:color="000000" w:fill="FFFFFF"/>
            <w:noWrap/>
            <w:vAlign w:val="bottom"/>
            <w:hideMark/>
          </w:tcPr>
          <w:p w14:paraId="46AE05DC" w14:textId="77777777" w:rsidR="00721CFD" w:rsidRDefault="00721CFD" w:rsidP="007B5BB3">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Investments measured at NAV:</w:t>
            </w:r>
          </w:p>
          <w:p w14:paraId="1D239CB2" w14:textId="77777777" w:rsidR="00721CFD" w:rsidRPr="00BA36D0" w:rsidRDefault="00721CFD" w:rsidP="007B5BB3">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Equity securities</w:t>
            </w:r>
          </w:p>
        </w:tc>
        <w:tc>
          <w:tcPr>
            <w:tcW w:w="1050" w:type="dxa"/>
            <w:tcBorders>
              <w:top w:val="nil"/>
              <w:left w:val="nil"/>
              <w:bottom w:val="nil"/>
              <w:right w:val="nil"/>
            </w:tcBorders>
            <w:shd w:val="clear" w:color="000000" w:fill="FFFFFF"/>
            <w:noWrap/>
            <w:vAlign w:val="bottom"/>
            <w:hideMark/>
          </w:tcPr>
          <w:p w14:paraId="7A3F0EFC" w14:textId="77777777" w:rsidR="00721CFD" w:rsidRPr="00BA36D0" w:rsidRDefault="00721CFD" w:rsidP="007B5BB3">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   92,541 </w:t>
            </w:r>
          </w:p>
        </w:tc>
        <w:tc>
          <w:tcPr>
            <w:tcW w:w="1767" w:type="dxa"/>
            <w:tcBorders>
              <w:top w:val="nil"/>
              <w:left w:val="nil"/>
              <w:bottom w:val="nil"/>
              <w:right w:val="nil"/>
            </w:tcBorders>
            <w:shd w:val="clear" w:color="000000" w:fill="FFFFFF"/>
            <w:noWrap/>
            <w:vAlign w:val="bottom"/>
            <w:hideMark/>
          </w:tcPr>
          <w:p w14:paraId="602ECDD5"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Monthly</w:t>
            </w:r>
          </w:p>
        </w:tc>
        <w:tc>
          <w:tcPr>
            <w:tcW w:w="1636" w:type="dxa"/>
            <w:tcBorders>
              <w:top w:val="nil"/>
              <w:left w:val="nil"/>
              <w:bottom w:val="nil"/>
              <w:right w:val="nil"/>
            </w:tcBorders>
            <w:shd w:val="clear" w:color="000000" w:fill="FFFFFF"/>
            <w:noWrap/>
            <w:vAlign w:val="bottom"/>
            <w:hideMark/>
          </w:tcPr>
          <w:p w14:paraId="7E9B60FB"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30 days</w:t>
            </w:r>
          </w:p>
        </w:tc>
      </w:tr>
      <w:tr w:rsidR="00721CFD" w:rsidRPr="00BA36D0" w14:paraId="41827211" w14:textId="77777777" w:rsidTr="007B5BB3">
        <w:trPr>
          <w:trHeight w:val="312"/>
        </w:trPr>
        <w:tc>
          <w:tcPr>
            <w:tcW w:w="4907" w:type="dxa"/>
            <w:tcBorders>
              <w:top w:val="nil"/>
              <w:left w:val="nil"/>
              <w:bottom w:val="nil"/>
              <w:right w:val="nil"/>
            </w:tcBorders>
            <w:shd w:val="clear" w:color="000000" w:fill="FFFFFF"/>
            <w:noWrap/>
            <w:vAlign w:val="bottom"/>
            <w:hideMark/>
          </w:tcPr>
          <w:p w14:paraId="3E0FAC43" w14:textId="77777777" w:rsidR="00721CFD" w:rsidRPr="00BA36D0" w:rsidRDefault="00721CFD" w:rsidP="007B5BB3">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Equity funds</w:t>
            </w:r>
          </w:p>
        </w:tc>
        <w:tc>
          <w:tcPr>
            <w:tcW w:w="1050" w:type="dxa"/>
            <w:tcBorders>
              <w:top w:val="nil"/>
              <w:left w:val="nil"/>
              <w:bottom w:val="nil"/>
              <w:right w:val="nil"/>
            </w:tcBorders>
            <w:shd w:val="clear" w:color="000000" w:fill="FFFFFF"/>
            <w:noWrap/>
            <w:vAlign w:val="bottom"/>
            <w:hideMark/>
          </w:tcPr>
          <w:p w14:paraId="7A505084" w14:textId="77777777" w:rsidR="00721CFD" w:rsidRPr="00BA36D0" w:rsidRDefault="00721CFD" w:rsidP="007B5BB3">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118,188 </w:t>
            </w:r>
          </w:p>
        </w:tc>
        <w:tc>
          <w:tcPr>
            <w:tcW w:w="1767" w:type="dxa"/>
            <w:tcBorders>
              <w:top w:val="nil"/>
              <w:left w:val="nil"/>
              <w:bottom w:val="nil"/>
              <w:right w:val="nil"/>
            </w:tcBorders>
            <w:shd w:val="clear" w:color="000000" w:fill="FFFFFF"/>
            <w:noWrap/>
            <w:vAlign w:val="bottom"/>
            <w:hideMark/>
          </w:tcPr>
          <w:p w14:paraId="762DD169"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Monthly</w:t>
            </w:r>
          </w:p>
        </w:tc>
        <w:tc>
          <w:tcPr>
            <w:tcW w:w="1636" w:type="dxa"/>
            <w:tcBorders>
              <w:top w:val="nil"/>
              <w:left w:val="nil"/>
              <w:bottom w:val="nil"/>
              <w:right w:val="nil"/>
            </w:tcBorders>
            <w:shd w:val="clear" w:color="000000" w:fill="FFFFFF"/>
            <w:noWrap/>
            <w:vAlign w:val="bottom"/>
            <w:hideMark/>
          </w:tcPr>
          <w:p w14:paraId="56C793EB"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30 days</w:t>
            </w:r>
          </w:p>
        </w:tc>
      </w:tr>
      <w:tr w:rsidR="00721CFD" w:rsidRPr="00BA36D0" w14:paraId="0D5F78AC" w14:textId="77777777" w:rsidTr="007B5BB3">
        <w:trPr>
          <w:trHeight w:val="312"/>
        </w:trPr>
        <w:tc>
          <w:tcPr>
            <w:tcW w:w="4907" w:type="dxa"/>
            <w:tcBorders>
              <w:top w:val="nil"/>
              <w:left w:val="nil"/>
              <w:bottom w:val="nil"/>
              <w:right w:val="nil"/>
            </w:tcBorders>
            <w:shd w:val="clear" w:color="000000" w:fill="FFFFFF"/>
            <w:noWrap/>
            <w:vAlign w:val="bottom"/>
            <w:hideMark/>
          </w:tcPr>
          <w:p w14:paraId="445ECBE5" w14:textId="77777777" w:rsidR="00721CFD" w:rsidRPr="00BA36D0" w:rsidRDefault="00721CFD" w:rsidP="007B5BB3">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Multi-strategy funds</w:t>
            </w:r>
            <w:r w:rsidRPr="00BA36D0">
              <w:rPr>
                <w:rFonts w:ascii="Calibri" w:eastAsia="Times New Roman" w:hAnsi="Calibri" w:cs="Calibri"/>
                <w:color w:val="0D0D0D"/>
                <w:sz w:val="18"/>
                <w:szCs w:val="20"/>
                <w:vertAlign w:val="superscript"/>
              </w:rPr>
              <w:t xml:space="preserve"> ₁</w:t>
            </w:r>
          </w:p>
        </w:tc>
        <w:tc>
          <w:tcPr>
            <w:tcW w:w="1050" w:type="dxa"/>
            <w:tcBorders>
              <w:top w:val="nil"/>
              <w:left w:val="nil"/>
              <w:bottom w:val="nil"/>
              <w:right w:val="nil"/>
            </w:tcBorders>
            <w:shd w:val="clear" w:color="000000" w:fill="FFFFFF"/>
            <w:noWrap/>
            <w:vAlign w:val="bottom"/>
            <w:hideMark/>
          </w:tcPr>
          <w:p w14:paraId="03C0E23E" w14:textId="77777777" w:rsidR="00721CFD" w:rsidRPr="00BA36D0" w:rsidRDefault="00721CFD" w:rsidP="007B5BB3">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33,770 </w:t>
            </w:r>
          </w:p>
        </w:tc>
        <w:tc>
          <w:tcPr>
            <w:tcW w:w="1767" w:type="dxa"/>
            <w:tcBorders>
              <w:top w:val="nil"/>
              <w:left w:val="nil"/>
              <w:bottom w:val="nil"/>
              <w:right w:val="nil"/>
            </w:tcBorders>
            <w:shd w:val="clear" w:color="000000" w:fill="FFFFFF"/>
            <w:noWrap/>
            <w:vAlign w:val="bottom"/>
            <w:hideMark/>
          </w:tcPr>
          <w:p w14:paraId="19B41408"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Quarterly, Monthly</w:t>
            </w:r>
          </w:p>
        </w:tc>
        <w:tc>
          <w:tcPr>
            <w:tcW w:w="1636" w:type="dxa"/>
            <w:tcBorders>
              <w:top w:val="nil"/>
              <w:left w:val="nil"/>
              <w:bottom w:val="nil"/>
              <w:right w:val="nil"/>
            </w:tcBorders>
            <w:shd w:val="clear" w:color="000000" w:fill="FFFFFF"/>
            <w:noWrap/>
            <w:vAlign w:val="bottom"/>
            <w:hideMark/>
          </w:tcPr>
          <w:p w14:paraId="2C713087"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30, 45, 60, 90 days</w:t>
            </w:r>
          </w:p>
        </w:tc>
      </w:tr>
      <w:tr w:rsidR="00721CFD" w:rsidRPr="00BA36D0" w14:paraId="7EDF587A" w14:textId="77777777" w:rsidTr="007B5BB3">
        <w:trPr>
          <w:trHeight w:val="312"/>
        </w:trPr>
        <w:tc>
          <w:tcPr>
            <w:tcW w:w="4907" w:type="dxa"/>
            <w:tcBorders>
              <w:top w:val="nil"/>
              <w:left w:val="nil"/>
              <w:bottom w:val="nil"/>
              <w:right w:val="nil"/>
            </w:tcBorders>
            <w:shd w:val="clear" w:color="000000" w:fill="FFFFFF"/>
            <w:noWrap/>
            <w:vAlign w:val="bottom"/>
            <w:hideMark/>
          </w:tcPr>
          <w:p w14:paraId="22A518DB" w14:textId="77777777" w:rsidR="00721CFD" w:rsidRPr="00BA36D0" w:rsidRDefault="00721CFD" w:rsidP="007B5BB3">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Fixed income funds - bonds</w:t>
            </w:r>
          </w:p>
        </w:tc>
        <w:tc>
          <w:tcPr>
            <w:tcW w:w="1050" w:type="dxa"/>
            <w:tcBorders>
              <w:top w:val="nil"/>
              <w:left w:val="nil"/>
              <w:bottom w:val="nil"/>
              <w:right w:val="nil"/>
            </w:tcBorders>
            <w:shd w:val="clear" w:color="000000" w:fill="FFFFFF"/>
            <w:noWrap/>
            <w:vAlign w:val="bottom"/>
            <w:hideMark/>
          </w:tcPr>
          <w:p w14:paraId="32B75024" w14:textId="77777777" w:rsidR="00721CFD" w:rsidRPr="00BA36D0" w:rsidRDefault="00721CFD" w:rsidP="007B5BB3">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41,177 </w:t>
            </w:r>
          </w:p>
        </w:tc>
        <w:tc>
          <w:tcPr>
            <w:tcW w:w="1767" w:type="dxa"/>
            <w:tcBorders>
              <w:top w:val="nil"/>
              <w:left w:val="nil"/>
              <w:bottom w:val="nil"/>
              <w:right w:val="nil"/>
            </w:tcBorders>
            <w:shd w:val="clear" w:color="000000" w:fill="FFFFFF"/>
            <w:noWrap/>
            <w:vAlign w:val="bottom"/>
            <w:hideMark/>
          </w:tcPr>
          <w:p w14:paraId="3D8A52F7"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Monthly</w:t>
            </w:r>
          </w:p>
        </w:tc>
        <w:tc>
          <w:tcPr>
            <w:tcW w:w="1636" w:type="dxa"/>
            <w:tcBorders>
              <w:top w:val="nil"/>
              <w:left w:val="nil"/>
              <w:bottom w:val="nil"/>
              <w:right w:val="nil"/>
            </w:tcBorders>
            <w:shd w:val="clear" w:color="000000" w:fill="FFFFFF"/>
            <w:noWrap/>
            <w:vAlign w:val="bottom"/>
            <w:hideMark/>
          </w:tcPr>
          <w:p w14:paraId="7E9D980E"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5 days</w:t>
            </w:r>
          </w:p>
        </w:tc>
      </w:tr>
      <w:tr w:rsidR="00721CFD" w:rsidRPr="00BA36D0" w14:paraId="0C5ECD2E" w14:textId="77777777" w:rsidTr="007B5BB3">
        <w:trPr>
          <w:trHeight w:val="312"/>
        </w:trPr>
        <w:tc>
          <w:tcPr>
            <w:tcW w:w="4907" w:type="dxa"/>
            <w:tcBorders>
              <w:top w:val="nil"/>
              <w:left w:val="nil"/>
              <w:bottom w:val="single" w:sz="4" w:space="0" w:color="00688D"/>
              <w:right w:val="nil"/>
            </w:tcBorders>
            <w:shd w:val="clear" w:color="000000" w:fill="FFFFFF"/>
            <w:noWrap/>
            <w:vAlign w:val="bottom"/>
            <w:hideMark/>
          </w:tcPr>
          <w:p w14:paraId="59524937" w14:textId="77777777" w:rsidR="00721CFD" w:rsidRPr="00BA36D0" w:rsidRDefault="00721CFD" w:rsidP="007B5BB3">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Bank loans </w:t>
            </w:r>
            <w:r w:rsidRPr="00BA36D0">
              <w:rPr>
                <w:rFonts w:ascii="Calibri" w:eastAsia="Times New Roman" w:hAnsi="Calibri" w:cs="Calibri"/>
                <w:color w:val="0D0D0D"/>
                <w:sz w:val="18"/>
                <w:szCs w:val="20"/>
                <w:vertAlign w:val="superscript"/>
              </w:rPr>
              <w:t>₂</w:t>
            </w:r>
          </w:p>
        </w:tc>
        <w:tc>
          <w:tcPr>
            <w:tcW w:w="1050" w:type="dxa"/>
            <w:tcBorders>
              <w:top w:val="nil"/>
              <w:left w:val="nil"/>
              <w:bottom w:val="single" w:sz="4" w:space="0" w:color="auto"/>
              <w:right w:val="nil"/>
            </w:tcBorders>
            <w:shd w:val="clear" w:color="000000" w:fill="FFFFFF"/>
            <w:noWrap/>
            <w:vAlign w:val="bottom"/>
            <w:hideMark/>
          </w:tcPr>
          <w:p w14:paraId="44CF976D" w14:textId="77777777" w:rsidR="00721CFD" w:rsidRPr="00BA36D0" w:rsidRDefault="00721CFD" w:rsidP="007B5BB3">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21,602 </w:t>
            </w:r>
          </w:p>
        </w:tc>
        <w:tc>
          <w:tcPr>
            <w:tcW w:w="1767" w:type="dxa"/>
            <w:tcBorders>
              <w:top w:val="nil"/>
              <w:left w:val="nil"/>
              <w:bottom w:val="nil"/>
              <w:right w:val="nil"/>
            </w:tcBorders>
            <w:shd w:val="clear" w:color="000000" w:fill="FFFFFF"/>
            <w:noWrap/>
            <w:vAlign w:val="bottom"/>
            <w:hideMark/>
          </w:tcPr>
          <w:p w14:paraId="6AF0FF45"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Monthly</w:t>
            </w:r>
          </w:p>
        </w:tc>
        <w:tc>
          <w:tcPr>
            <w:tcW w:w="1636" w:type="dxa"/>
            <w:tcBorders>
              <w:top w:val="nil"/>
              <w:left w:val="nil"/>
              <w:bottom w:val="nil"/>
              <w:right w:val="nil"/>
            </w:tcBorders>
            <w:shd w:val="clear" w:color="000000" w:fill="FFFFFF"/>
            <w:noWrap/>
            <w:vAlign w:val="bottom"/>
            <w:hideMark/>
          </w:tcPr>
          <w:p w14:paraId="3A7DEFA1"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30 days</w:t>
            </w:r>
          </w:p>
        </w:tc>
      </w:tr>
      <w:tr w:rsidR="00721CFD" w:rsidRPr="00BA36D0" w14:paraId="42354CF6" w14:textId="77777777" w:rsidTr="007B5BB3">
        <w:trPr>
          <w:trHeight w:val="324"/>
        </w:trPr>
        <w:tc>
          <w:tcPr>
            <w:tcW w:w="4907" w:type="dxa"/>
            <w:tcBorders>
              <w:top w:val="nil"/>
              <w:left w:val="nil"/>
              <w:bottom w:val="double" w:sz="6" w:space="0" w:color="00688D"/>
              <w:right w:val="nil"/>
            </w:tcBorders>
            <w:shd w:val="clear" w:color="000000" w:fill="FFFFFF"/>
            <w:noWrap/>
            <w:vAlign w:val="bottom"/>
            <w:hideMark/>
          </w:tcPr>
          <w:p w14:paraId="2BF22173" w14:textId="77777777" w:rsidR="00721CFD" w:rsidRPr="00BA36D0" w:rsidRDefault="00721CFD" w:rsidP="007B5BB3">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Total DB Plan and MIP investments measured at NAV</w:t>
            </w:r>
          </w:p>
        </w:tc>
        <w:tc>
          <w:tcPr>
            <w:tcW w:w="1050" w:type="dxa"/>
            <w:tcBorders>
              <w:top w:val="single" w:sz="4" w:space="0" w:color="00688D"/>
              <w:left w:val="nil"/>
              <w:bottom w:val="double" w:sz="6" w:space="0" w:color="00688D"/>
              <w:right w:val="nil"/>
            </w:tcBorders>
            <w:shd w:val="clear" w:color="000000" w:fill="FFFFFF"/>
            <w:noWrap/>
            <w:vAlign w:val="bottom"/>
            <w:hideMark/>
          </w:tcPr>
          <w:p w14:paraId="02F9F40D" w14:textId="77777777" w:rsidR="00721CFD" w:rsidRPr="00BA36D0" w:rsidRDefault="00721CFD" w:rsidP="007B5BB3">
            <w:pPr>
              <w:jc w:val="right"/>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 xml:space="preserve">$ 307,278 </w:t>
            </w:r>
          </w:p>
        </w:tc>
        <w:tc>
          <w:tcPr>
            <w:tcW w:w="1767" w:type="dxa"/>
            <w:tcBorders>
              <w:top w:val="nil"/>
              <w:left w:val="nil"/>
              <w:bottom w:val="nil"/>
              <w:right w:val="nil"/>
            </w:tcBorders>
            <w:shd w:val="clear" w:color="000000" w:fill="FFFFFF"/>
            <w:noWrap/>
            <w:vAlign w:val="bottom"/>
            <w:hideMark/>
          </w:tcPr>
          <w:p w14:paraId="4A143DD6"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05950D8B"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721CFD" w:rsidRPr="00BA36D0" w14:paraId="0225C947" w14:textId="77777777" w:rsidTr="007B5BB3">
        <w:trPr>
          <w:trHeight w:val="720"/>
        </w:trPr>
        <w:tc>
          <w:tcPr>
            <w:tcW w:w="4907" w:type="dxa"/>
            <w:tcBorders>
              <w:top w:val="nil"/>
              <w:left w:val="nil"/>
              <w:bottom w:val="nil"/>
              <w:right w:val="nil"/>
            </w:tcBorders>
            <w:shd w:val="clear" w:color="000000" w:fill="FFFFFF"/>
            <w:noWrap/>
            <w:vAlign w:val="bottom"/>
            <w:hideMark/>
          </w:tcPr>
          <w:p w14:paraId="11D64D71" w14:textId="77777777" w:rsidR="00721CFD" w:rsidRDefault="00721CFD" w:rsidP="007B5BB3">
            <w:pPr>
              <w:rPr>
                <w:rFonts w:ascii="Calibri" w:eastAsia="Times New Roman" w:hAnsi="Calibri" w:cs="Calibri"/>
                <w:color w:val="0D0D0D"/>
                <w:sz w:val="18"/>
                <w:szCs w:val="20"/>
              </w:rPr>
            </w:pPr>
            <w:r w:rsidRPr="00BA36D0">
              <w:rPr>
                <w:rFonts w:ascii="Calibri" w:eastAsia="Times New Roman" w:hAnsi="Calibri" w:cs="Calibri"/>
                <w:b/>
                <w:bCs/>
                <w:color w:val="0D0D0D"/>
                <w:sz w:val="18"/>
                <w:szCs w:val="20"/>
              </w:rPr>
              <w:t>Further breakdown of above DB Plan and MIP investments:</w:t>
            </w:r>
          </w:p>
          <w:p w14:paraId="656593E2" w14:textId="77777777" w:rsidR="00721CFD" w:rsidRPr="00BA36D0" w:rsidRDefault="00721CFD" w:rsidP="007B5BB3">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DB Plan at NAV</w:t>
            </w:r>
          </w:p>
        </w:tc>
        <w:tc>
          <w:tcPr>
            <w:tcW w:w="1050" w:type="dxa"/>
            <w:tcBorders>
              <w:top w:val="nil"/>
              <w:left w:val="nil"/>
              <w:bottom w:val="nil"/>
              <w:right w:val="nil"/>
            </w:tcBorders>
            <w:shd w:val="clear" w:color="000000" w:fill="FFFFFF"/>
            <w:noWrap/>
            <w:vAlign w:val="bottom"/>
            <w:hideMark/>
          </w:tcPr>
          <w:p w14:paraId="04E728E9" w14:textId="77777777" w:rsidR="00721CFD" w:rsidRPr="00BA36D0" w:rsidRDefault="00721CFD" w:rsidP="007B5BB3">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   11,374 </w:t>
            </w:r>
          </w:p>
        </w:tc>
        <w:tc>
          <w:tcPr>
            <w:tcW w:w="1767" w:type="dxa"/>
            <w:tcBorders>
              <w:top w:val="nil"/>
              <w:left w:val="nil"/>
              <w:bottom w:val="nil"/>
              <w:right w:val="nil"/>
            </w:tcBorders>
            <w:shd w:val="clear" w:color="000000" w:fill="FFFFFF"/>
            <w:noWrap/>
            <w:vAlign w:val="bottom"/>
            <w:hideMark/>
          </w:tcPr>
          <w:p w14:paraId="33192406"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6687C88D"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721CFD" w:rsidRPr="00BA36D0" w14:paraId="5D00D168" w14:textId="77777777" w:rsidTr="007B5BB3">
        <w:trPr>
          <w:trHeight w:val="312"/>
        </w:trPr>
        <w:tc>
          <w:tcPr>
            <w:tcW w:w="4907" w:type="dxa"/>
            <w:tcBorders>
              <w:top w:val="nil"/>
              <w:left w:val="nil"/>
              <w:bottom w:val="nil"/>
              <w:right w:val="nil"/>
            </w:tcBorders>
            <w:shd w:val="clear" w:color="000000" w:fill="FFFFFF"/>
            <w:noWrap/>
            <w:vAlign w:val="bottom"/>
            <w:hideMark/>
          </w:tcPr>
          <w:p w14:paraId="7EA76C86" w14:textId="77777777" w:rsidR="00721CFD" w:rsidRPr="00BA36D0" w:rsidRDefault="00721CFD" w:rsidP="007B5BB3">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MIP held on behalf of outside entities at NAV</w:t>
            </w:r>
          </w:p>
        </w:tc>
        <w:tc>
          <w:tcPr>
            <w:tcW w:w="1050" w:type="dxa"/>
            <w:tcBorders>
              <w:top w:val="nil"/>
              <w:left w:val="nil"/>
              <w:bottom w:val="nil"/>
              <w:right w:val="nil"/>
            </w:tcBorders>
            <w:shd w:val="clear" w:color="000000" w:fill="FFFFFF"/>
            <w:noWrap/>
            <w:vAlign w:val="bottom"/>
            <w:hideMark/>
          </w:tcPr>
          <w:p w14:paraId="77FB58AC" w14:textId="77777777" w:rsidR="00721CFD" w:rsidRPr="00BA36D0" w:rsidRDefault="00721CFD" w:rsidP="007B5BB3">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164,861 </w:t>
            </w:r>
          </w:p>
        </w:tc>
        <w:tc>
          <w:tcPr>
            <w:tcW w:w="1767" w:type="dxa"/>
            <w:tcBorders>
              <w:top w:val="nil"/>
              <w:left w:val="nil"/>
              <w:bottom w:val="nil"/>
              <w:right w:val="nil"/>
            </w:tcBorders>
            <w:shd w:val="clear" w:color="000000" w:fill="FFFFFF"/>
            <w:noWrap/>
            <w:vAlign w:val="bottom"/>
            <w:hideMark/>
          </w:tcPr>
          <w:p w14:paraId="0085C955"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27896552"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721CFD" w:rsidRPr="00BA36D0" w14:paraId="0B9F1853" w14:textId="77777777" w:rsidTr="007B5BB3">
        <w:trPr>
          <w:trHeight w:val="312"/>
        </w:trPr>
        <w:tc>
          <w:tcPr>
            <w:tcW w:w="4907" w:type="dxa"/>
            <w:tcBorders>
              <w:top w:val="nil"/>
              <w:left w:val="nil"/>
              <w:bottom w:val="nil"/>
              <w:right w:val="nil"/>
            </w:tcBorders>
            <w:shd w:val="clear" w:color="000000" w:fill="FFFFFF"/>
            <w:noWrap/>
            <w:vAlign w:val="bottom"/>
            <w:hideMark/>
          </w:tcPr>
          <w:p w14:paraId="036E673A" w14:textId="77777777" w:rsidR="00721CFD" w:rsidRPr="00BA36D0" w:rsidRDefault="00721CFD" w:rsidP="007B5BB3">
            <w:pPr>
              <w:ind w:firstLineChars="100" w:firstLine="180"/>
              <w:rPr>
                <w:rFonts w:ascii="Calibri" w:eastAsia="Times New Roman" w:hAnsi="Calibri" w:cs="Calibri"/>
                <w:color w:val="0D0D0D"/>
                <w:sz w:val="18"/>
                <w:szCs w:val="20"/>
              </w:rPr>
            </w:pPr>
            <w:r w:rsidRPr="00BA36D0">
              <w:rPr>
                <w:rFonts w:ascii="Calibri" w:eastAsia="Times New Roman" w:hAnsi="Calibri" w:cs="Calibri"/>
                <w:color w:val="0D0D0D"/>
                <w:sz w:val="18"/>
                <w:szCs w:val="20"/>
              </w:rPr>
              <w:t>Fiduciary funds held in the Endowment Pool for others</w:t>
            </w:r>
          </w:p>
        </w:tc>
        <w:tc>
          <w:tcPr>
            <w:tcW w:w="1050" w:type="dxa"/>
            <w:tcBorders>
              <w:top w:val="nil"/>
              <w:left w:val="nil"/>
              <w:bottom w:val="nil"/>
              <w:right w:val="nil"/>
            </w:tcBorders>
            <w:shd w:val="clear" w:color="000000" w:fill="FFFFFF"/>
            <w:noWrap/>
            <w:vAlign w:val="bottom"/>
            <w:hideMark/>
          </w:tcPr>
          <w:p w14:paraId="3D7ACF2C" w14:textId="77777777" w:rsidR="00721CFD" w:rsidRPr="00BA36D0" w:rsidRDefault="00721CFD" w:rsidP="007B5BB3">
            <w:pPr>
              <w:jc w:val="right"/>
              <w:rPr>
                <w:rFonts w:ascii="Calibri" w:eastAsia="Times New Roman" w:hAnsi="Calibri" w:cs="Calibri"/>
                <w:color w:val="0D0D0D"/>
                <w:sz w:val="18"/>
                <w:szCs w:val="20"/>
              </w:rPr>
            </w:pPr>
            <w:r w:rsidRPr="00BA36D0">
              <w:rPr>
                <w:rFonts w:ascii="Calibri" w:eastAsia="Times New Roman" w:hAnsi="Calibri" w:cs="Calibri"/>
                <w:color w:val="0D0D0D"/>
                <w:sz w:val="18"/>
                <w:szCs w:val="20"/>
              </w:rPr>
              <w:t xml:space="preserve">23,466 </w:t>
            </w:r>
          </w:p>
        </w:tc>
        <w:tc>
          <w:tcPr>
            <w:tcW w:w="1767" w:type="dxa"/>
            <w:tcBorders>
              <w:top w:val="nil"/>
              <w:left w:val="nil"/>
              <w:bottom w:val="nil"/>
              <w:right w:val="nil"/>
            </w:tcBorders>
            <w:shd w:val="clear" w:color="000000" w:fill="FFFFFF"/>
            <w:noWrap/>
            <w:vAlign w:val="bottom"/>
            <w:hideMark/>
          </w:tcPr>
          <w:p w14:paraId="2B6AA02E"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348FCC58"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721CFD" w:rsidRPr="00BA36D0" w14:paraId="4787585F" w14:textId="77777777" w:rsidTr="007B5BB3">
        <w:trPr>
          <w:trHeight w:val="312"/>
        </w:trPr>
        <w:tc>
          <w:tcPr>
            <w:tcW w:w="4907" w:type="dxa"/>
            <w:tcBorders>
              <w:top w:val="nil"/>
              <w:left w:val="nil"/>
              <w:bottom w:val="nil"/>
              <w:right w:val="nil"/>
            </w:tcBorders>
            <w:shd w:val="clear" w:color="000000" w:fill="FFFFFF"/>
            <w:noWrap/>
            <w:vAlign w:val="bottom"/>
            <w:hideMark/>
          </w:tcPr>
          <w:p w14:paraId="7174DF26" w14:textId="77777777" w:rsidR="00721CFD" w:rsidRPr="00355F1D" w:rsidRDefault="00721CFD" w:rsidP="007B5BB3">
            <w:pPr>
              <w:ind w:firstLineChars="100" w:firstLine="180"/>
              <w:rPr>
                <w:rFonts w:ascii="Calibri" w:eastAsia="Times New Roman" w:hAnsi="Calibri" w:cs="Calibri"/>
                <w:color w:val="0D0D0D"/>
                <w:sz w:val="18"/>
                <w:szCs w:val="20"/>
              </w:rPr>
            </w:pPr>
            <w:r w:rsidRPr="00355F1D">
              <w:rPr>
                <w:rFonts w:ascii="Calibri" w:eastAsia="Times New Roman" w:hAnsi="Calibri" w:cs="Calibri"/>
                <w:color w:val="0D0D0D"/>
                <w:sz w:val="18"/>
                <w:szCs w:val="20"/>
              </w:rPr>
              <w:t>Endowment pool investments included in the MIP at NAV</w:t>
            </w:r>
          </w:p>
        </w:tc>
        <w:tc>
          <w:tcPr>
            <w:tcW w:w="1050" w:type="dxa"/>
            <w:tcBorders>
              <w:top w:val="nil"/>
              <w:left w:val="nil"/>
              <w:bottom w:val="nil"/>
              <w:right w:val="nil"/>
            </w:tcBorders>
            <w:shd w:val="clear" w:color="auto" w:fill="auto"/>
            <w:noWrap/>
            <w:vAlign w:val="bottom"/>
            <w:hideMark/>
          </w:tcPr>
          <w:p w14:paraId="2BA19B15" w14:textId="77777777" w:rsidR="00721CFD" w:rsidRPr="00D27CDA" w:rsidRDefault="00721CFD" w:rsidP="007B5BB3">
            <w:pPr>
              <w:jc w:val="right"/>
              <w:rPr>
                <w:rFonts w:ascii="Calibri" w:eastAsia="Times New Roman" w:hAnsi="Calibri" w:cs="Calibri"/>
                <w:bCs/>
                <w:iCs/>
                <w:color w:val="0D0D0D"/>
                <w:sz w:val="18"/>
                <w:szCs w:val="20"/>
              </w:rPr>
            </w:pPr>
            <w:r w:rsidRPr="00D27CDA">
              <w:rPr>
                <w:rFonts w:ascii="Calibri" w:eastAsia="Times New Roman" w:hAnsi="Calibri" w:cs="Calibri"/>
                <w:bCs/>
                <w:iCs/>
                <w:color w:val="0D0D0D"/>
                <w:sz w:val="18"/>
                <w:szCs w:val="20"/>
              </w:rPr>
              <w:t xml:space="preserve">107,577 </w:t>
            </w:r>
          </w:p>
        </w:tc>
        <w:tc>
          <w:tcPr>
            <w:tcW w:w="1767" w:type="dxa"/>
            <w:tcBorders>
              <w:top w:val="nil"/>
              <w:left w:val="nil"/>
              <w:bottom w:val="nil"/>
              <w:right w:val="nil"/>
            </w:tcBorders>
            <w:shd w:val="clear" w:color="000000" w:fill="FFFFFF"/>
            <w:noWrap/>
            <w:vAlign w:val="bottom"/>
            <w:hideMark/>
          </w:tcPr>
          <w:p w14:paraId="71C74C38"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05C3E726"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r w:rsidR="00721CFD" w:rsidRPr="00BA36D0" w14:paraId="58AA618E" w14:textId="77777777" w:rsidTr="007B5BB3">
        <w:trPr>
          <w:trHeight w:val="324"/>
        </w:trPr>
        <w:tc>
          <w:tcPr>
            <w:tcW w:w="4907" w:type="dxa"/>
            <w:tcBorders>
              <w:top w:val="single" w:sz="4" w:space="0" w:color="00688D"/>
              <w:left w:val="nil"/>
              <w:bottom w:val="double" w:sz="6" w:space="0" w:color="00688D"/>
              <w:right w:val="nil"/>
            </w:tcBorders>
            <w:shd w:val="clear" w:color="000000" w:fill="FFFFFF"/>
            <w:noWrap/>
            <w:vAlign w:val="bottom"/>
            <w:hideMark/>
          </w:tcPr>
          <w:p w14:paraId="2E561DDD" w14:textId="77777777" w:rsidR="00721CFD" w:rsidRPr="00BA36D0" w:rsidRDefault="00721CFD" w:rsidP="007B5BB3">
            <w:pPr>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Total investments measured at NAV by portfolio</w:t>
            </w:r>
          </w:p>
        </w:tc>
        <w:tc>
          <w:tcPr>
            <w:tcW w:w="1050" w:type="dxa"/>
            <w:tcBorders>
              <w:top w:val="single" w:sz="4" w:space="0" w:color="00688D"/>
              <w:left w:val="nil"/>
              <w:bottom w:val="double" w:sz="6" w:space="0" w:color="00688D"/>
              <w:right w:val="nil"/>
            </w:tcBorders>
            <w:shd w:val="clear" w:color="000000" w:fill="FFFFFF"/>
            <w:noWrap/>
            <w:vAlign w:val="bottom"/>
            <w:hideMark/>
          </w:tcPr>
          <w:p w14:paraId="38C46999" w14:textId="77777777" w:rsidR="00721CFD" w:rsidRPr="00BA36D0" w:rsidRDefault="00721CFD" w:rsidP="007B5BB3">
            <w:pPr>
              <w:jc w:val="right"/>
              <w:rPr>
                <w:rFonts w:ascii="Calibri" w:eastAsia="Times New Roman" w:hAnsi="Calibri" w:cs="Calibri"/>
                <w:b/>
                <w:bCs/>
                <w:color w:val="0D0D0D"/>
                <w:sz w:val="18"/>
                <w:szCs w:val="20"/>
              </w:rPr>
            </w:pPr>
            <w:r w:rsidRPr="00BA36D0">
              <w:rPr>
                <w:rFonts w:ascii="Calibri" w:eastAsia="Times New Roman" w:hAnsi="Calibri" w:cs="Calibri"/>
                <w:b/>
                <w:bCs/>
                <w:color w:val="0D0D0D"/>
                <w:sz w:val="18"/>
                <w:szCs w:val="20"/>
              </w:rPr>
              <w:t xml:space="preserve">$ 307,278 </w:t>
            </w:r>
          </w:p>
        </w:tc>
        <w:tc>
          <w:tcPr>
            <w:tcW w:w="1767" w:type="dxa"/>
            <w:tcBorders>
              <w:top w:val="nil"/>
              <w:left w:val="nil"/>
              <w:bottom w:val="nil"/>
              <w:right w:val="nil"/>
            </w:tcBorders>
            <w:shd w:val="clear" w:color="000000" w:fill="FFFFFF"/>
            <w:noWrap/>
            <w:vAlign w:val="bottom"/>
            <w:hideMark/>
          </w:tcPr>
          <w:p w14:paraId="6213E2E7"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c>
          <w:tcPr>
            <w:tcW w:w="1636" w:type="dxa"/>
            <w:tcBorders>
              <w:top w:val="nil"/>
              <w:left w:val="nil"/>
              <w:bottom w:val="nil"/>
              <w:right w:val="nil"/>
            </w:tcBorders>
            <w:shd w:val="clear" w:color="000000" w:fill="FFFFFF"/>
            <w:noWrap/>
            <w:vAlign w:val="bottom"/>
            <w:hideMark/>
          </w:tcPr>
          <w:p w14:paraId="2FF4AD55" w14:textId="77777777" w:rsidR="00721CFD" w:rsidRPr="00BA36D0" w:rsidRDefault="00721CFD" w:rsidP="007B5BB3">
            <w:pPr>
              <w:rPr>
                <w:rFonts w:ascii="Calibri" w:eastAsia="Times New Roman" w:hAnsi="Calibri" w:cs="Calibri"/>
                <w:color w:val="0D0D0D"/>
                <w:sz w:val="18"/>
                <w:szCs w:val="20"/>
              </w:rPr>
            </w:pPr>
            <w:r w:rsidRPr="00BA36D0">
              <w:rPr>
                <w:rFonts w:ascii="Calibri" w:eastAsia="Times New Roman" w:hAnsi="Calibri" w:cs="Calibri"/>
                <w:color w:val="0D0D0D"/>
                <w:sz w:val="18"/>
                <w:szCs w:val="20"/>
              </w:rPr>
              <w:t> </w:t>
            </w:r>
          </w:p>
        </w:tc>
      </w:tr>
    </w:tbl>
    <w:p w14:paraId="1B6D6FF6" w14:textId="77777777" w:rsidR="00721CFD" w:rsidRPr="00F54559" w:rsidRDefault="00721CFD" w:rsidP="00721CFD">
      <w:pPr>
        <w:tabs>
          <w:tab w:val="left" w:pos="720"/>
          <w:tab w:val="left" w:pos="1080"/>
          <w:tab w:val="decimal" w:pos="6786"/>
          <w:tab w:val="decimal" w:pos="9187"/>
        </w:tabs>
        <w:suppressAutoHyphens/>
        <w:spacing w:after="120"/>
        <w:rPr>
          <w:rFonts w:cstheme="minorHAnsi"/>
          <w:sz w:val="24"/>
        </w:rPr>
      </w:pPr>
    </w:p>
    <w:p w14:paraId="506CEF02" w14:textId="77777777" w:rsidR="00721CFD" w:rsidRPr="00F54559" w:rsidRDefault="00721CFD" w:rsidP="00721CFD">
      <w:pPr>
        <w:spacing w:after="160"/>
        <w:rPr>
          <w:rFonts w:cstheme="minorHAnsi"/>
          <w:sz w:val="24"/>
          <w:szCs w:val="24"/>
        </w:rPr>
      </w:pPr>
      <w:r w:rsidRPr="00F54559">
        <w:rPr>
          <w:rFonts w:cstheme="minorHAnsi"/>
          <w:sz w:val="24"/>
          <w:szCs w:val="24"/>
        </w:rPr>
        <w:t>Additional information for investments measured at NAV at June 30, 20</w:t>
      </w:r>
      <w:r>
        <w:rPr>
          <w:rFonts w:cstheme="minorHAnsi"/>
          <w:sz w:val="24"/>
          <w:szCs w:val="24"/>
        </w:rPr>
        <w:t>22</w:t>
      </w:r>
      <w:r w:rsidRPr="00F54559">
        <w:rPr>
          <w:rFonts w:cstheme="minorHAnsi"/>
          <w:sz w:val="24"/>
          <w:szCs w:val="24"/>
        </w:rPr>
        <w:t xml:space="preserve"> and 20</w:t>
      </w:r>
      <w:r>
        <w:rPr>
          <w:rFonts w:cstheme="minorHAnsi"/>
          <w:sz w:val="24"/>
          <w:szCs w:val="24"/>
        </w:rPr>
        <w:t>21</w:t>
      </w:r>
      <w:r w:rsidRPr="00F54559">
        <w:rPr>
          <w:rFonts w:cstheme="minorHAnsi"/>
          <w:sz w:val="24"/>
          <w:szCs w:val="24"/>
        </w:rPr>
        <w:t xml:space="preserve"> is as follows:</w:t>
      </w:r>
    </w:p>
    <w:p w14:paraId="7E19F3DE" w14:textId="77777777" w:rsidR="00721CFD" w:rsidRPr="00F54559" w:rsidRDefault="00721CFD" w:rsidP="00721CFD">
      <w:pPr>
        <w:tabs>
          <w:tab w:val="left" w:pos="1170"/>
        </w:tabs>
        <w:spacing w:after="120"/>
        <w:ind w:left="461" w:hanging="187"/>
        <w:rPr>
          <w:rFonts w:cstheme="minorHAnsi"/>
        </w:rPr>
      </w:pPr>
      <w:r w:rsidRPr="00F54559">
        <w:rPr>
          <w:rFonts w:cstheme="minorHAnsi"/>
          <w:sz w:val="24"/>
          <w:szCs w:val="24"/>
          <w:vertAlign w:val="superscript"/>
        </w:rPr>
        <w:t>1</w:t>
      </w:r>
      <w:r w:rsidRPr="00F54559">
        <w:rPr>
          <w:rFonts w:cstheme="minorHAnsi"/>
          <w:sz w:val="24"/>
          <w:szCs w:val="24"/>
          <w:vertAlign w:val="subscript"/>
        </w:rPr>
        <w:t xml:space="preserve"> </w:t>
      </w:r>
      <w:r w:rsidRPr="00F54559">
        <w:rPr>
          <w:rFonts w:cstheme="minorHAnsi"/>
        </w:rPr>
        <w:t>Multi-strategy funds: Includes investments in equities and limited partnerships.  Limited partnerships may invest in pooled vehicles in global equities, fixed income instruments, currencies, commodities; long and short positions with respect to bonds, leveraged loans, trade claims and other investments; or other hedge funds with objectives to outperform certain benchmarks.  Fair values of these investments are completed on a monthly or quarterly basis using other significant direct or indirect observable inputs or recent observable transaction information for similar investments. Includes investments in liquidation status awaiting final distributions.</w:t>
      </w:r>
    </w:p>
    <w:p w14:paraId="44AD8B2D" w14:textId="77777777" w:rsidR="00721CFD" w:rsidRDefault="00721CFD" w:rsidP="00721CFD">
      <w:pPr>
        <w:tabs>
          <w:tab w:val="left" w:pos="1170"/>
        </w:tabs>
        <w:spacing w:after="120"/>
        <w:ind w:left="450" w:hanging="180"/>
        <w:rPr>
          <w:rFonts w:cstheme="minorHAnsi"/>
          <w:b/>
          <w:i/>
          <w:noProof/>
          <w:sz w:val="26"/>
          <w:szCs w:val="26"/>
        </w:rPr>
      </w:pPr>
      <w:r w:rsidRPr="00F54559">
        <w:rPr>
          <w:rFonts w:cstheme="minorHAnsi"/>
          <w:sz w:val="24"/>
          <w:szCs w:val="24"/>
          <w:vertAlign w:val="superscript"/>
        </w:rPr>
        <w:t>2</w:t>
      </w:r>
      <w:r w:rsidRPr="00F54559">
        <w:rPr>
          <w:rFonts w:cstheme="minorHAnsi"/>
          <w:sz w:val="24"/>
          <w:szCs w:val="24"/>
          <w:vertAlign w:val="subscript"/>
        </w:rPr>
        <w:t xml:space="preserve"> </w:t>
      </w:r>
      <w:r w:rsidRPr="00F54559">
        <w:rPr>
          <w:rFonts w:cstheme="minorHAnsi"/>
        </w:rPr>
        <w:t>Bank loans: Investments in these funds include floating rate loans in a diverse set of industries and are traditionally rated below investment grade. Other observable inputs determine fair value of this investment.</w:t>
      </w:r>
      <w:r>
        <w:rPr>
          <w:rFonts w:cstheme="minorHAnsi"/>
          <w:b/>
          <w:i/>
          <w:noProof/>
          <w:sz w:val="26"/>
          <w:szCs w:val="26"/>
        </w:rPr>
        <w:br w:type="page"/>
      </w:r>
    </w:p>
    <w:p w14:paraId="50C11D2E" w14:textId="77777777" w:rsidR="00721CFD" w:rsidRPr="00F54559" w:rsidRDefault="00721CFD" w:rsidP="00721CFD">
      <w:pPr>
        <w:spacing w:after="160" w:line="259" w:lineRule="auto"/>
        <w:rPr>
          <w:rFonts w:cstheme="minorHAnsi"/>
          <w:i/>
          <w:sz w:val="26"/>
          <w:szCs w:val="26"/>
        </w:rPr>
      </w:pPr>
      <w:r w:rsidRPr="00F54559">
        <w:rPr>
          <w:rFonts w:cstheme="minorHAnsi"/>
          <w:b/>
          <w:i/>
          <w:noProof/>
          <w:sz w:val="26"/>
          <w:szCs w:val="26"/>
        </w:rPr>
        <w:lastRenderedPageBreak/>
        <w:t>3. INVESTMENTS - CONTINUED</w:t>
      </w:r>
    </w:p>
    <w:p w14:paraId="1B8953C4" w14:textId="77777777" w:rsidR="00721CFD" w:rsidRPr="00F54559" w:rsidRDefault="00721CFD" w:rsidP="00721CFD">
      <w:pPr>
        <w:pStyle w:val="AFR3"/>
        <w:rPr>
          <w:rFonts w:cstheme="minorHAnsi"/>
        </w:rPr>
      </w:pPr>
      <w:r w:rsidRPr="00F54559">
        <w:rPr>
          <w:rFonts w:cstheme="minorHAnsi"/>
        </w:rPr>
        <w:t>b. Interest Rate Risk</w:t>
      </w:r>
    </w:p>
    <w:p w14:paraId="7E5F48D0" w14:textId="77777777" w:rsidR="00721CFD" w:rsidRPr="00F54559" w:rsidRDefault="00721CFD" w:rsidP="00721CFD">
      <w:pPr>
        <w:rPr>
          <w:rFonts w:cstheme="minorHAnsi"/>
          <w:sz w:val="24"/>
        </w:rPr>
      </w:pPr>
      <w:r w:rsidRPr="00F54559">
        <w:rPr>
          <w:rFonts w:cstheme="minorHAnsi"/>
          <w:sz w:val="24"/>
        </w:rPr>
        <w:t>Interest rate risk is the risk that changes in interest rates will adversely affect the fair value of an investment.  The System’s policy for managing interest rate risk is as follows:</w:t>
      </w:r>
    </w:p>
    <w:p w14:paraId="28793FC3" w14:textId="77777777" w:rsidR="00721CFD" w:rsidRPr="00F54559" w:rsidRDefault="00721CFD" w:rsidP="00721CFD">
      <w:pPr>
        <w:spacing w:before="120"/>
        <w:rPr>
          <w:rFonts w:cstheme="minorHAnsi"/>
          <w:sz w:val="24"/>
        </w:rPr>
      </w:pPr>
      <w:r w:rsidRPr="00F54559">
        <w:rPr>
          <w:rStyle w:val="AFR5Char"/>
          <w:rFonts w:asciiTheme="minorHAnsi" w:hAnsiTheme="minorHAnsi" w:cstheme="minorHAnsi"/>
        </w:rPr>
        <w:t>Operating Investments:</w:t>
      </w:r>
      <w:r w:rsidRPr="00F54559">
        <w:rPr>
          <w:rFonts w:cstheme="minorHAnsi"/>
          <w:sz w:val="24"/>
        </w:rPr>
        <w:t xml:space="preserve">  To limit interest rate exposure, the System diversifies its investments as specified in Note 1.</w:t>
      </w:r>
      <w:r>
        <w:rPr>
          <w:rFonts w:cstheme="minorHAnsi"/>
          <w:sz w:val="24"/>
        </w:rPr>
        <w:t>f</w:t>
      </w:r>
      <w:r w:rsidRPr="00F54559">
        <w:rPr>
          <w:rFonts w:cstheme="minorHAnsi"/>
          <w:sz w:val="24"/>
        </w:rPr>
        <w:t>.</w:t>
      </w:r>
    </w:p>
    <w:p w14:paraId="4E8FDA68" w14:textId="77777777" w:rsidR="00721CFD" w:rsidRPr="00F54559" w:rsidRDefault="00721CFD" w:rsidP="00721CFD">
      <w:pPr>
        <w:spacing w:before="120"/>
        <w:rPr>
          <w:rFonts w:cstheme="minorHAnsi"/>
          <w:spacing w:val="-3"/>
          <w:sz w:val="24"/>
          <w:szCs w:val="20"/>
        </w:rPr>
      </w:pPr>
      <w:r w:rsidRPr="00F54559">
        <w:rPr>
          <w:rStyle w:val="AFR5Char"/>
          <w:rFonts w:asciiTheme="minorHAnsi" w:hAnsiTheme="minorHAnsi" w:cstheme="minorHAnsi"/>
        </w:rPr>
        <w:t>Endowment Investments:</w:t>
      </w:r>
      <w:r w:rsidRPr="00F54559">
        <w:rPr>
          <w:rFonts w:cstheme="minorHAnsi"/>
          <w:sz w:val="24"/>
        </w:rPr>
        <w:t xml:space="preserve"> To limit interest rate exposure, the endowment investment policy restricts t</w:t>
      </w:r>
      <w:r w:rsidRPr="00F54559">
        <w:rPr>
          <w:rFonts w:cstheme="minorHAnsi"/>
          <w:spacing w:val="-3"/>
          <w:sz w:val="24"/>
          <w:szCs w:val="20"/>
        </w:rPr>
        <w:t xml:space="preserve">he average effective duration of the fixed income portfolio to no more than 1 year from the duration of the applicable benchmark (e.g., the Barclays Capital Aggregate Bond Index was </w:t>
      </w:r>
      <w:r w:rsidRPr="001C0A99">
        <w:rPr>
          <w:rFonts w:cstheme="minorHAnsi"/>
          <w:spacing w:val="-3"/>
          <w:sz w:val="24"/>
          <w:szCs w:val="20"/>
        </w:rPr>
        <w:t>6.40</w:t>
      </w:r>
      <w:r w:rsidRPr="00CE0BCA">
        <w:rPr>
          <w:rFonts w:cstheme="minorHAnsi"/>
          <w:spacing w:val="-3"/>
          <w:sz w:val="24"/>
          <w:szCs w:val="20"/>
        </w:rPr>
        <w:t xml:space="preserve"> </w:t>
      </w:r>
      <w:r w:rsidRPr="00F54559">
        <w:rPr>
          <w:rFonts w:cstheme="minorHAnsi"/>
          <w:spacing w:val="-3"/>
          <w:sz w:val="24"/>
          <w:szCs w:val="20"/>
        </w:rPr>
        <w:t xml:space="preserve">years and </w:t>
      </w:r>
      <w:r>
        <w:rPr>
          <w:rFonts w:cstheme="minorHAnsi"/>
          <w:spacing w:val="-3"/>
          <w:sz w:val="24"/>
          <w:szCs w:val="20"/>
        </w:rPr>
        <w:t>6.61</w:t>
      </w:r>
      <w:r w:rsidRPr="00F54559">
        <w:rPr>
          <w:rFonts w:cstheme="minorHAnsi"/>
          <w:spacing w:val="-3"/>
          <w:sz w:val="24"/>
          <w:szCs w:val="20"/>
        </w:rPr>
        <w:t xml:space="preserve"> years at June 30, 20</w:t>
      </w:r>
      <w:r>
        <w:rPr>
          <w:rFonts w:cstheme="minorHAnsi"/>
          <w:spacing w:val="-3"/>
          <w:sz w:val="24"/>
          <w:szCs w:val="20"/>
        </w:rPr>
        <w:t>22</w:t>
      </w:r>
      <w:r w:rsidRPr="00F54559">
        <w:rPr>
          <w:rFonts w:cstheme="minorHAnsi"/>
          <w:spacing w:val="-3"/>
          <w:sz w:val="24"/>
          <w:szCs w:val="20"/>
        </w:rPr>
        <w:t xml:space="preserve"> and 20</w:t>
      </w:r>
      <w:r>
        <w:rPr>
          <w:rFonts w:cstheme="minorHAnsi"/>
          <w:spacing w:val="-3"/>
          <w:sz w:val="24"/>
          <w:szCs w:val="20"/>
        </w:rPr>
        <w:t>21</w:t>
      </w:r>
      <w:r w:rsidRPr="00F54559">
        <w:rPr>
          <w:rFonts w:cstheme="minorHAnsi"/>
          <w:spacing w:val="-3"/>
          <w:sz w:val="24"/>
          <w:szCs w:val="20"/>
        </w:rPr>
        <w:t>, respectively).</w:t>
      </w:r>
    </w:p>
    <w:p w14:paraId="7FBA94F4" w14:textId="77777777" w:rsidR="00721CFD" w:rsidRPr="00F54559" w:rsidRDefault="00721CFD" w:rsidP="00721CFD">
      <w:pPr>
        <w:spacing w:before="120"/>
        <w:rPr>
          <w:rFonts w:cstheme="minorHAnsi"/>
          <w:spacing w:val="-3"/>
          <w:sz w:val="24"/>
          <w:szCs w:val="20"/>
        </w:rPr>
      </w:pPr>
      <w:r w:rsidRPr="00F54559">
        <w:rPr>
          <w:rFonts w:cstheme="minorHAnsi"/>
          <w:b/>
          <w:i/>
          <w:spacing w:val="-3"/>
          <w:sz w:val="24"/>
          <w:szCs w:val="24"/>
        </w:rPr>
        <w:t xml:space="preserve">Investments for the Defined Benefit Plan – Classified Employees:  </w:t>
      </w:r>
      <w:r w:rsidRPr="00F54559">
        <w:rPr>
          <w:rFonts w:cstheme="minorHAnsi"/>
          <w:sz w:val="24"/>
        </w:rPr>
        <w:t>To limit interest rate exposure, the defined benefit plan investment policy restricts t</w:t>
      </w:r>
      <w:r w:rsidRPr="00F54559">
        <w:rPr>
          <w:rFonts w:cstheme="minorHAnsi"/>
          <w:spacing w:val="-3"/>
          <w:sz w:val="24"/>
          <w:szCs w:val="20"/>
        </w:rPr>
        <w:t xml:space="preserve">he average effective duration of the fixed income portfolio to no more than 1 year from the duration of the applicable benchmark (e.g., the Barclays Capital Aggregate Bond Index </w:t>
      </w:r>
      <w:r w:rsidRPr="006C5CD8">
        <w:rPr>
          <w:rFonts w:cstheme="minorHAnsi"/>
          <w:spacing w:val="-3"/>
          <w:sz w:val="24"/>
          <w:szCs w:val="20"/>
        </w:rPr>
        <w:t xml:space="preserve">was </w:t>
      </w:r>
      <w:r w:rsidRPr="00CE0BCA">
        <w:rPr>
          <w:rFonts w:cstheme="minorHAnsi"/>
          <w:spacing w:val="-3"/>
          <w:sz w:val="24"/>
          <w:szCs w:val="20"/>
        </w:rPr>
        <w:t>6.</w:t>
      </w:r>
      <w:r w:rsidRPr="008746BB">
        <w:rPr>
          <w:rFonts w:cstheme="minorHAnsi"/>
          <w:spacing w:val="-3"/>
          <w:sz w:val="24"/>
          <w:szCs w:val="20"/>
        </w:rPr>
        <w:t>40</w:t>
      </w:r>
      <w:r w:rsidRPr="00CE0BCA">
        <w:rPr>
          <w:rFonts w:cstheme="minorHAnsi"/>
          <w:spacing w:val="-3"/>
          <w:sz w:val="24"/>
          <w:szCs w:val="20"/>
        </w:rPr>
        <w:t xml:space="preserve"> </w:t>
      </w:r>
      <w:r w:rsidRPr="00F54559">
        <w:rPr>
          <w:rFonts w:cstheme="minorHAnsi"/>
          <w:spacing w:val="-3"/>
          <w:sz w:val="24"/>
          <w:szCs w:val="20"/>
        </w:rPr>
        <w:t xml:space="preserve">years and </w:t>
      </w:r>
      <w:r>
        <w:rPr>
          <w:rFonts w:cstheme="minorHAnsi"/>
          <w:spacing w:val="-3"/>
          <w:sz w:val="24"/>
          <w:szCs w:val="20"/>
        </w:rPr>
        <w:t>6.61</w:t>
      </w:r>
      <w:r w:rsidRPr="00F54559">
        <w:rPr>
          <w:rFonts w:cstheme="minorHAnsi"/>
          <w:spacing w:val="-3"/>
          <w:sz w:val="24"/>
          <w:szCs w:val="20"/>
        </w:rPr>
        <w:t xml:space="preserve"> years at June 30, 20</w:t>
      </w:r>
      <w:r>
        <w:rPr>
          <w:rFonts w:cstheme="minorHAnsi"/>
          <w:spacing w:val="-3"/>
          <w:sz w:val="24"/>
          <w:szCs w:val="20"/>
        </w:rPr>
        <w:t>22</w:t>
      </w:r>
      <w:r w:rsidRPr="00F54559">
        <w:rPr>
          <w:rFonts w:cstheme="minorHAnsi"/>
          <w:spacing w:val="-3"/>
          <w:sz w:val="24"/>
          <w:szCs w:val="20"/>
        </w:rPr>
        <w:t xml:space="preserve"> and 20</w:t>
      </w:r>
      <w:r>
        <w:rPr>
          <w:rFonts w:cstheme="minorHAnsi"/>
          <w:spacing w:val="-3"/>
          <w:sz w:val="24"/>
          <w:szCs w:val="20"/>
        </w:rPr>
        <w:t>21</w:t>
      </w:r>
      <w:r w:rsidRPr="00F54559">
        <w:rPr>
          <w:rFonts w:cstheme="minorHAnsi"/>
          <w:spacing w:val="-3"/>
          <w:sz w:val="24"/>
          <w:szCs w:val="20"/>
        </w:rPr>
        <w:t>, respectively).</w:t>
      </w:r>
    </w:p>
    <w:p w14:paraId="33F1584A" w14:textId="77777777" w:rsidR="00721CFD" w:rsidRPr="00E24051" w:rsidRDefault="00721CFD" w:rsidP="00721CFD">
      <w:pPr>
        <w:pStyle w:val="AFR3"/>
      </w:pPr>
      <w:r w:rsidRPr="00E24051">
        <w:t>c. Foreign Currency Risk</w:t>
      </w:r>
    </w:p>
    <w:p w14:paraId="4CD4EE44" w14:textId="77777777" w:rsidR="00721CFD" w:rsidRPr="00F54559" w:rsidRDefault="00721CFD" w:rsidP="00721CFD">
      <w:pPr>
        <w:tabs>
          <w:tab w:val="left" w:pos="0"/>
          <w:tab w:val="left" w:pos="1080"/>
          <w:tab w:val="decimal" w:pos="6786"/>
          <w:tab w:val="decimal" w:pos="9187"/>
        </w:tabs>
        <w:suppressAutoHyphens/>
        <w:spacing w:before="120"/>
        <w:rPr>
          <w:rFonts w:eastAsia="Times New Roman" w:cstheme="minorHAnsi"/>
          <w:spacing w:val="-3"/>
          <w:sz w:val="24"/>
          <w:szCs w:val="20"/>
        </w:rPr>
      </w:pPr>
      <w:r w:rsidRPr="00F54559">
        <w:rPr>
          <w:rFonts w:eastAsia="Times New Roman" w:cstheme="minorHAnsi"/>
          <w:b/>
          <w:i/>
          <w:color w:val="000000"/>
          <w:spacing w:val="-3"/>
          <w:sz w:val="24"/>
        </w:rPr>
        <w:t xml:space="preserve">Operating </w:t>
      </w:r>
      <w:r w:rsidRPr="00F54559">
        <w:rPr>
          <w:rFonts w:eastAsia="Times New Roman" w:cstheme="minorHAnsi"/>
          <w:b/>
          <w:i/>
          <w:spacing w:val="-3"/>
          <w:sz w:val="24"/>
        </w:rPr>
        <w:t>Investments:</w:t>
      </w:r>
      <w:r w:rsidRPr="00355F1D">
        <w:rPr>
          <w:rFonts w:eastAsia="Times New Roman" w:cstheme="minorHAnsi"/>
          <w:bCs/>
          <w:iCs/>
          <w:spacing w:val="-3"/>
          <w:sz w:val="24"/>
        </w:rPr>
        <w:t xml:space="preserve">  </w:t>
      </w:r>
      <w:r w:rsidRPr="00F54559">
        <w:rPr>
          <w:rFonts w:eastAsia="Times New Roman" w:cstheme="minorHAnsi"/>
          <w:spacing w:val="-3"/>
          <w:sz w:val="24"/>
          <w:szCs w:val="20"/>
        </w:rPr>
        <w:t>The System’s operating investments include various fixed income, equity, and hedge fund holdings that have foreign currency exposure, with some funds hedging against foreign currency risk.  Portfolio foreign currency exposure was $</w:t>
      </w:r>
      <w:r w:rsidRPr="001C0A99">
        <w:rPr>
          <w:rFonts w:eastAsia="Times New Roman" w:cstheme="minorHAnsi"/>
          <w:spacing w:val="-3"/>
          <w:sz w:val="24"/>
          <w:szCs w:val="20"/>
        </w:rPr>
        <w:t>15,687</w:t>
      </w:r>
      <w:r w:rsidRPr="00CE0BCA">
        <w:rPr>
          <w:rFonts w:eastAsia="Times New Roman" w:cstheme="minorHAnsi"/>
          <w:spacing w:val="-3"/>
          <w:sz w:val="24"/>
          <w:szCs w:val="20"/>
        </w:rPr>
        <w:t xml:space="preserve"> </w:t>
      </w:r>
      <w:r w:rsidRPr="00F54559">
        <w:rPr>
          <w:rFonts w:eastAsia="Times New Roman" w:cstheme="minorHAnsi"/>
          <w:spacing w:val="-3"/>
          <w:sz w:val="24"/>
          <w:szCs w:val="20"/>
        </w:rPr>
        <w:t>and $</w:t>
      </w:r>
      <w:r w:rsidRPr="00AF2E67">
        <w:rPr>
          <w:rFonts w:eastAsia="Times New Roman" w:cstheme="minorHAnsi"/>
          <w:spacing w:val="-3"/>
          <w:sz w:val="24"/>
          <w:szCs w:val="20"/>
        </w:rPr>
        <w:t>6,622</w:t>
      </w:r>
      <w:r w:rsidRPr="00F54559">
        <w:rPr>
          <w:rFonts w:eastAsia="Times New Roman" w:cstheme="minorHAnsi"/>
          <w:spacing w:val="-3"/>
          <w:sz w:val="24"/>
          <w:szCs w:val="20"/>
        </w:rPr>
        <w:t xml:space="preserve"> at June 30, 20</w:t>
      </w:r>
      <w:r>
        <w:rPr>
          <w:rFonts w:eastAsia="Times New Roman" w:cstheme="minorHAnsi"/>
          <w:spacing w:val="-3"/>
          <w:sz w:val="24"/>
          <w:szCs w:val="20"/>
        </w:rPr>
        <w:t>22</w:t>
      </w:r>
      <w:r w:rsidRPr="00F54559">
        <w:rPr>
          <w:rFonts w:eastAsia="Times New Roman" w:cstheme="minorHAnsi"/>
          <w:spacing w:val="-3"/>
          <w:sz w:val="24"/>
          <w:szCs w:val="20"/>
        </w:rPr>
        <w:t xml:space="preserve"> and 20</w:t>
      </w:r>
      <w:r>
        <w:rPr>
          <w:rFonts w:eastAsia="Times New Roman" w:cstheme="minorHAnsi"/>
          <w:spacing w:val="-3"/>
          <w:sz w:val="24"/>
          <w:szCs w:val="20"/>
        </w:rPr>
        <w:t>21</w:t>
      </w:r>
      <w:r w:rsidRPr="00F54559">
        <w:rPr>
          <w:rFonts w:eastAsia="Times New Roman" w:cstheme="minorHAnsi"/>
          <w:spacing w:val="-3"/>
          <w:sz w:val="24"/>
          <w:szCs w:val="20"/>
        </w:rPr>
        <w:t>, respectively.</w:t>
      </w:r>
    </w:p>
    <w:p w14:paraId="1FC58950" w14:textId="77777777" w:rsidR="00721CFD" w:rsidRPr="00F54559" w:rsidRDefault="00721CFD" w:rsidP="00721CFD">
      <w:pPr>
        <w:tabs>
          <w:tab w:val="left" w:pos="0"/>
          <w:tab w:val="left" w:pos="1080"/>
          <w:tab w:val="decimal" w:pos="6786"/>
          <w:tab w:val="decimal" w:pos="9187"/>
        </w:tabs>
        <w:suppressAutoHyphens/>
        <w:spacing w:before="120"/>
        <w:rPr>
          <w:rFonts w:eastAsia="Times New Roman" w:cstheme="minorHAnsi"/>
          <w:spacing w:val="-3"/>
          <w:sz w:val="24"/>
          <w:szCs w:val="20"/>
        </w:rPr>
      </w:pPr>
      <w:r w:rsidRPr="00735A4C">
        <w:rPr>
          <w:rStyle w:val="AFR5Char"/>
        </w:rPr>
        <w:t>Endowment Investments:</w:t>
      </w:r>
      <w:r w:rsidRPr="00355F1D">
        <w:rPr>
          <w:rFonts w:eastAsia="Times New Roman" w:cstheme="minorHAnsi"/>
          <w:bCs/>
          <w:iCs/>
          <w:spacing w:val="-3"/>
          <w:sz w:val="24"/>
        </w:rPr>
        <w:t xml:space="preserve">  </w:t>
      </w:r>
      <w:r w:rsidRPr="00F54559">
        <w:rPr>
          <w:rFonts w:eastAsia="Times New Roman" w:cstheme="minorHAnsi"/>
          <w:spacing w:val="-3"/>
          <w:sz w:val="24"/>
          <w:szCs w:val="20"/>
        </w:rPr>
        <w:t>The System’s endowments are invested in the System MIP. The MIP invests in various fixed income, equity, and hedge funds which have foreign currency exposure, with some funds hedging against foreign currency risk.  The endowment investments share of the foreign currency exposure in the MIP was $</w:t>
      </w:r>
      <w:r w:rsidRPr="001C0A99">
        <w:rPr>
          <w:rFonts w:eastAsia="Times New Roman" w:cstheme="minorHAnsi"/>
          <w:spacing w:val="-3"/>
          <w:sz w:val="24"/>
          <w:szCs w:val="20"/>
        </w:rPr>
        <w:t>37,055</w:t>
      </w:r>
      <w:r w:rsidRPr="00CE0BCA">
        <w:rPr>
          <w:rFonts w:eastAsia="Times New Roman" w:cstheme="minorHAnsi"/>
          <w:spacing w:val="-3"/>
          <w:sz w:val="24"/>
          <w:szCs w:val="20"/>
        </w:rPr>
        <w:t xml:space="preserve"> </w:t>
      </w:r>
      <w:r w:rsidRPr="00F54559">
        <w:rPr>
          <w:rFonts w:eastAsia="Times New Roman" w:cstheme="minorHAnsi"/>
          <w:spacing w:val="-3"/>
          <w:sz w:val="24"/>
          <w:szCs w:val="20"/>
        </w:rPr>
        <w:t>and $</w:t>
      </w:r>
      <w:r>
        <w:rPr>
          <w:rFonts w:eastAsia="Times New Roman" w:cstheme="minorHAnsi"/>
          <w:spacing w:val="-3"/>
          <w:sz w:val="24"/>
          <w:szCs w:val="20"/>
        </w:rPr>
        <w:t>54,847</w:t>
      </w:r>
      <w:r w:rsidRPr="00AF2E67">
        <w:rPr>
          <w:rFonts w:eastAsia="Times New Roman" w:cstheme="minorHAnsi"/>
          <w:spacing w:val="-3"/>
          <w:sz w:val="24"/>
          <w:szCs w:val="20"/>
        </w:rPr>
        <w:t xml:space="preserve"> </w:t>
      </w:r>
      <w:r w:rsidRPr="00F54559">
        <w:rPr>
          <w:rFonts w:eastAsia="Times New Roman" w:cstheme="minorHAnsi"/>
          <w:spacing w:val="-3"/>
          <w:sz w:val="24"/>
          <w:szCs w:val="20"/>
        </w:rPr>
        <w:t>at June 30, 20</w:t>
      </w:r>
      <w:r>
        <w:rPr>
          <w:rFonts w:eastAsia="Times New Roman" w:cstheme="minorHAnsi"/>
          <w:spacing w:val="-3"/>
          <w:sz w:val="24"/>
          <w:szCs w:val="20"/>
        </w:rPr>
        <w:t>22</w:t>
      </w:r>
      <w:r w:rsidRPr="00F54559">
        <w:rPr>
          <w:rFonts w:eastAsia="Times New Roman" w:cstheme="minorHAnsi"/>
          <w:spacing w:val="-3"/>
          <w:sz w:val="24"/>
          <w:szCs w:val="20"/>
        </w:rPr>
        <w:t xml:space="preserve"> and 20</w:t>
      </w:r>
      <w:r>
        <w:rPr>
          <w:rFonts w:eastAsia="Times New Roman" w:cstheme="minorHAnsi"/>
          <w:spacing w:val="-3"/>
          <w:sz w:val="24"/>
          <w:szCs w:val="20"/>
        </w:rPr>
        <w:t>21</w:t>
      </w:r>
      <w:r w:rsidRPr="00F54559">
        <w:rPr>
          <w:rFonts w:eastAsia="Times New Roman" w:cstheme="minorHAnsi"/>
          <w:spacing w:val="-3"/>
          <w:sz w:val="24"/>
          <w:szCs w:val="20"/>
        </w:rPr>
        <w:t>, respectively.</w:t>
      </w:r>
      <w:r>
        <w:rPr>
          <w:rFonts w:eastAsia="Times New Roman" w:cstheme="minorHAnsi"/>
          <w:spacing w:val="-3"/>
          <w:sz w:val="24"/>
          <w:szCs w:val="20"/>
        </w:rPr>
        <w:t xml:space="preserve">  This includes $</w:t>
      </w:r>
      <w:r w:rsidRPr="001C0A99">
        <w:rPr>
          <w:rFonts w:eastAsia="Times New Roman" w:cstheme="minorHAnsi"/>
          <w:spacing w:val="-3"/>
          <w:sz w:val="24"/>
          <w:szCs w:val="20"/>
        </w:rPr>
        <w:t>6,650</w:t>
      </w:r>
      <w:r w:rsidRPr="00CE0BCA">
        <w:rPr>
          <w:rFonts w:eastAsia="Times New Roman" w:cstheme="minorHAnsi"/>
          <w:spacing w:val="-3"/>
          <w:sz w:val="24"/>
          <w:szCs w:val="20"/>
        </w:rPr>
        <w:t xml:space="preserve"> </w:t>
      </w:r>
      <w:r>
        <w:rPr>
          <w:rFonts w:eastAsia="Times New Roman" w:cstheme="minorHAnsi"/>
          <w:spacing w:val="-3"/>
          <w:sz w:val="24"/>
          <w:szCs w:val="20"/>
        </w:rPr>
        <w:t xml:space="preserve">and $9,822 at June 30, 2022 and 2021, respectively, for investments held for affiliated organizations. </w:t>
      </w:r>
    </w:p>
    <w:p w14:paraId="78317709" w14:textId="339C52D5" w:rsidR="00721CFD" w:rsidRDefault="00721CFD" w:rsidP="00721CFD">
      <w:pPr>
        <w:tabs>
          <w:tab w:val="left" w:pos="0"/>
          <w:tab w:val="left" w:pos="1080"/>
          <w:tab w:val="decimal" w:pos="6786"/>
          <w:tab w:val="decimal" w:pos="9187"/>
        </w:tabs>
        <w:suppressAutoHyphens/>
        <w:spacing w:before="120"/>
        <w:rPr>
          <w:rFonts w:cstheme="minorHAnsi"/>
        </w:rPr>
      </w:pPr>
      <w:r w:rsidRPr="00735A4C">
        <w:rPr>
          <w:rStyle w:val="AFR5Char"/>
        </w:rPr>
        <w:t>Investments for the Defined Benefit Plan – Classified Employees:</w:t>
      </w:r>
      <w:r w:rsidRPr="00F54559">
        <w:rPr>
          <w:rFonts w:cstheme="minorHAnsi"/>
          <w:sz w:val="20"/>
          <w:szCs w:val="20"/>
        </w:rPr>
        <w:t xml:space="preserve">  </w:t>
      </w:r>
      <w:r w:rsidRPr="00F54559">
        <w:rPr>
          <w:rFonts w:cstheme="minorHAnsi"/>
          <w:sz w:val="24"/>
          <w:szCs w:val="24"/>
        </w:rPr>
        <w:t xml:space="preserve">Pension investments include various fixed income, equity, and hedge fund holdings that have </w:t>
      </w:r>
      <w:r w:rsidRPr="00F54559">
        <w:rPr>
          <w:rFonts w:eastAsia="Times New Roman" w:cstheme="minorHAnsi"/>
          <w:spacing w:val="-3"/>
          <w:sz w:val="24"/>
          <w:szCs w:val="20"/>
        </w:rPr>
        <w:t xml:space="preserve">foreign currency exposure, with some funds hedging against foreign currency risk.  Portfolio foreign currency exposure </w:t>
      </w:r>
      <w:r w:rsidRPr="00CE0BCA">
        <w:rPr>
          <w:rFonts w:eastAsia="Times New Roman" w:cstheme="minorHAnsi"/>
          <w:spacing w:val="-3"/>
          <w:sz w:val="24"/>
          <w:szCs w:val="20"/>
        </w:rPr>
        <w:t>was $</w:t>
      </w:r>
      <w:r w:rsidRPr="001C0A99">
        <w:rPr>
          <w:rFonts w:eastAsia="Times New Roman" w:cstheme="minorHAnsi"/>
          <w:spacing w:val="-3"/>
          <w:sz w:val="24"/>
          <w:szCs w:val="20"/>
        </w:rPr>
        <w:t>3</w:t>
      </w:r>
      <w:r w:rsidR="00D654D2">
        <w:rPr>
          <w:rFonts w:eastAsia="Times New Roman" w:cstheme="minorHAnsi"/>
          <w:spacing w:val="-3"/>
          <w:sz w:val="24"/>
          <w:szCs w:val="20"/>
        </w:rPr>
        <w:t>,</w:t>
      </w:r>
      <w:r w:rsidR="00615C27">
        <w:rPr>
          <w:rFonts w:eastAsia="Times New Roman" w:cstheme="minorHAnsi"/>
          <w:spacing w:val="-3"/>
          <w:sz w:val="24"/>
          <w:szCs w:val="20"/>
        </w:rPr>
        <w:t>151</w:t>
      </w:r>
      <w:r w:rsidR="00615C27" w:rsidRPr="00AA2AB7">
        <w:rPr>
          <w:rFonts w:eastAsia="Times New Roman" w:cstheme="minorHAnsi"/>
          <w:spacing w:val="-3"/>
          <w:sz w:val="24"/>
          <w:szCs w:val="20"/>
        </w:rPr>
        <w:t xml:space="preserve"> </w:t>
      </w:r>
      <w:r w:rsidRPr="00F54559">
        <w:rPr>
          <w:rFonts w:eastAsia="Times New Roman" w:cstheme="minorHAnsi"/>
          <w:spacing w:val="-3"/>
          <w:sz w:val="24"/>
          <w:szCs w:val="20"/>
        </w:rPr>
        <w:t>and $</w:t>
      </w:r>
      <w:r w:rsidRPr="00AF2E67">
        <w:rPr>
          <w:rFonts w:eastAsia="Times New Roman" w:cstheme="minorHAnsi"/>
          <w:spacing w:val="-3"/>
          <w:sz w:val="24"/>
          <w:szCs w:val="20"/>
        </w:rPr>
        <w:t xml:space="preserve">4,956 </w:t>
      </w:r>
      <w:r w:rsidRPr="00F54559">
        <w:rPr>
          <w:rFonts w:eastAsia="Times New Roman" w:cstheme="minorHAnsi"/>
          <w:spacing w:val="-3"/>
          <w:sz w:val="24"/>
          <w:szCs w:val="20"/>
        </w:rPr>
        <w:t>at June 30, 20</w:t>
      </w:r>
      <w:r>
        <w:rPr>
          <w:rFonts w:eastAsia="Times New Roman" w:cstheme="minorHAnsi"/>
          <w:spacing w:val="-3"/>
          <w:sz w:val="24"/>
          <w:szCs w:val="20"/>
        </w:rPr>
        <w:t>22</w:t>
      </w:r>
      <w:r w:rsidRPr="00F54559">
        <w:rPr>
          <w:rFonts w:eastAsia="Times New Roman" w:cstheme="minorHAnsi"/>
          <w:spacing w:val="-3"/>
          <w:sz w:val="24"/>
          <w:szCs w:val="20"/>
        </w:rPr>
        <w:t xml:space="preserve"> and 20</w:t>
      </w:r>
      <w:r>
        <w:rPr>
          <w:rFonts w:eastAsia="Times New Roman" w:cstheme="minorHAnsi"/>
          <w:spacing w:val="-3"/>
          <w:sz w:val="24"/>
          <w:szCs w:val="20"/>
        </w:rPr>
        <w:t>21</w:t>
      </w:r>
      <w:r w:rsidRPr="00F54559">
        <w:rPr>
          <w:rFonts w:eastAsia="Times New Roman" w:cstheme="minorHAnsi"/>
          <w:spacing w:val="-3"/>
          <w:sz w:val="24"/>
          <w:szCs w:val="20"/>
        </w:rPr>
        <w:t>, respectively.</w:t>
      </w:r>
    </w:p>
    <w:p w14:paraId="3AC4143A" w14:textId="77777777" w:rsidR="005B6CCB" w:rsidRDefault="005B6CCB">
      <w:pPr>
        <w:spacing w:after="160" w:line="259" w:lineRule="auto"/>
        <w:rPr>
          <w:rFonts w:eastAsiaTheme="majorEastAsia" w:cstheme="minorHAnsi"/>
          <w:b/>
          <w:i/>
          <w:iCs/>
          <w:smallCaps/>
          <w:noProof/>
          <w:color w:val="000000" w:themeColor="text1"/>
          <w:sz w:val="26"/>
          <w:szCs w:val="26"/>
          <w:u w:color="000000" w:themeColor="text1"/>
        </w:rPr>
      </w:pPr>
      <w:r>
        <w:rPr>
          <w:rFonts w:eastAsiaTheme="majorEastAsia" w:cstheme="minorHAnsi"/>
          <w:iCs/>
          <w:smallCaps/>
          <w:noProof/>
          <w:color w:val="000000" w:themeColor="text1"/>
          <w:szCs w:val="26"/>
        </w:rPr>
        <w:br w:type="page"/>
      </w:r>
    </w:p>
    <w:p w14:paraId="3493B9C3" w14:textId="19004782" w:rsidR="00721CFD" w:rsidRPr="00F54559" w:rsidRDefault="00721CFD" w:rsidP="00721CFD">
      <w:pPr>
        <w:pStyle w:val="AFR3"/>
        <w:rPr>
          <w:rFonts w:cstheme="minorHAnsi"/>
          <w:u w:val="none"/>
        </w:rPr>
      </w:pPr>
      <w:r w:rsidRPr="00F54559">
        <w:rPr>
          <w:rFonts w:eastAsiaTheme="majorEastAsia" w:cstheme="minorHAnsi"/>
          <w:iCs/>
          <w:smallCaps/>
          <w:noProof/>
          <w:color w:val="000000" w:themeColor="text1"/>
          <w:szCs w:val="26"/>
          <w:u w:val="none"/>
        </w:rPr>
        <w:lastRenderedPageBreak/>
        <w:t>3. INVESTMENTS - CONTINUED</w:t>
      </w:r>
    </w:p>
    <w:p w14:paraId="224A4E93" w14:textId="77777777" w:rsidR="00721CFD" w:rsidRPr="00F54559" w:rsidRDefault="00721CFD" w:rsidP="00721CFD">
      <w:pPr>
        <w:pStyle w:val="AFR3"/>
        <w:rPr>
          <w:rFonts w:cstheme="minorHAnsi"/>
        </w:rPr>
      </w:pPr>
      <w:r w:rsidRPr="00F54559">
        <w:rPr>
          <w:rFonts w:cstheme="minorHAnsi"/>
        </w:rPr>
        <w:t xml:space="preserve">d. </w:t>
      </w:r>
      <w:r w:rsidRPr="0059135A">
        <w:rPr>
          <w:rFonts w:cstheme="minorHAnsi"/>
        </w:rPr>
        <w:t>Investment Income</w:t>
      </w:r>
    </w:p>
    <w:p w14:paraId="790ABD58" w14:textId="77777777" w:rsidR="007C1003" w:rsidRDefault="00721CFD" w:rsidP="00721CFD">
      <w:pPr>
        <w:tabs>
          <w:tab w:val="left" w:pos="720"/>
          <w:tab w:val="decimal" w:pos="6786"/>
          <w:tab w:val="decimal" w:pos="9187"/>
        </w:tabs>
        <w:suppressAutoHyphens/>
        <w:spacing w:after="120"/>
        <w:rPr>
          <w:rFonts w:eastAsia="Times New Roman" w:cstheme="minorHAnsi"/>
          <w:spacing w:val="-3"/>
          <w:sz w:val="24"/>
          <w:szCs w:val="20"/>
        </w:rPr>
      </w:pPr>
      <w:r w:rsidRPr="00F54559">
        <w:rPr>
          <w:rFonts w:eastAsia="Times New Roman" w:cstheme="minorHAnsi"/>
          <w:spacing w:val="-3"/>
          <w:sz w:val="24"/>
          <w:szCs w:val="20"/>
        </w:rPr>
        <w:t xml:space="preserve">Income related to the </w:t>
      </w:r>
      <w:r w:rsidRPr="00F54559">
        <w:rPr>
          <w:rFonts w:eastAsia="Times New Roman" w:cstheme="minorHAnsi"/>
          <w:b/>
          <w:spacing w:val="-3"/>
          <w:sz w:val="24"/>
          <w:szCs w:val="20"/>
        </w:rPr>
        <w:t>System’s investments</w:t>
      </w:r>
      <w:r>
        <w:rPr>
          <w:rFonts w:eastAsia="Times New Roman" w:cstheme="minorHAnsi"/>
          <w:b/>
          <w:spacing w:val="-3"/>
          <w:sz w:val="24"/>
          <w:szCs w:val="20"/>
        </w:rPr>
        <w:t xml:space="preserve"> </w:t>
      </w:r>
      <w:r w:rsidRPr="0080169A">
        <w:rPr>
          <w:rFonts w:eastAsia="Times New Roman" w:cstheme="minorHAnsi"/>
          <w:spacing w:val="-3"/>
          <w:sz w:val="24"/>
          <w:szCs w:val="20"/>
        </w:rPr>
        <w:t>and reported in the accompanying Statements of Revenues, Expenses and Changes in Net Position</w:t>
      </w:r>
      <w:r w:rsidRPr="00F54559">
        <w:rPr>
          <w:rFonts w:eastAsia="Times New Roman" w:cstheme="minorHAnsi"/>
          <w:spacing w:val="-3"/>
          <w:sz w:val="24"/>
          <w:szCs w:val="20"/>
        </w:rPr>
        <w:t xml:space="preserve"> is as follows:</w:t>
      </w:r>
    </w:p>
    <w:p w14:paraId="17B523FD" w14:textId="7CF5431A" w:rsidR="00721CFD" w:rsidRPr="00F54559" w:rsidRDefault="007C1003" w:rsidP="00721CFD">
      <w:pPr>
        <w:tabs>
          <w:tab w:val="left" w:pos="720"/>
          <w:tab w:val="decimal" w:pos="6786"/>
          <w:tab w:val="decimal" w:pos="9187"/>
        </w:tabs>
        <w:suppressAutoHyphens/>
        <w:spacing w:after="120"/>
        <w:rPr>
          <w:rFonts w:eastAsia="Times New Roman" w:cstheme="minorHAnsi"/>
          <w:spacing w:val="-3"/>
          <w:sz w:val="24"/>
          <w:szCs w:val="20"/>
        </w:rPr>
      </w:pPr>
      <w:r w:rsidRPr="007C1003">
        <w:rPr>
          <w:noProof/>
        </w:rPr>
        <w:drawing>
          <wp:inline distT="0" distB="0" distL="0" distR="0" wp14:anchorId="3AB6807A" wp14:editId="3B76098B">
            <wp:extent cx="5677535" cy="6050915"/>
            <wp:effectExtent l="0" t="0" r="0" b="6985"/>
            <wp:docPr id="48" name="Picture 48" descr="2022    &#10; &quot;Net&#10;Gains&#10;(Losses)&quot; &quot;Interest&#10;and&#10;Dividends&quot; &quot;Investment&#10;Fees&quot; &quot;Net&#10;Income&#10;(Loss)&quot;&#10;Endowment investment income and fees  $(20,996)  $1,770   $(949)  $(20,175)&#10;Net loss allocated to annuities payable to others     34 &#10;System endowment net loss     $(20,141)&#10;Reported as endowment return used for operations     $6,154 &#10;Reported as endowment return, net of amount used for operations     (26,295)&#10;System endowment loss     $(20,141)&#10;Operating investments  $(18,697)  $5,962   $(991)  $(13,726)&#10;Lease Receivables  -   41   -   41 &#10;Perkins savings account  -   8   -   8 &#10;Deposits with bond trustees  -   13   -   13 &#10;Total other investment income (loss)  $(18,697)  $6,024   $(991)  $(13,664)&#10;    &#10;2021 Restated    &#10; &quot;Net&#10;Gains&#10;(Losses)&quot; &quot;Interest&#10;and&#10;Dividends&quot; &quot;Investment&#10;Fees&quot; &quot;Net&#10;Income&#10;(Loss)&quot;&#10;Endowment investment income and fees  $34,619   $1,803   $(963)  $35,459 &#10;Net income allocated to annuities payable to others     (47)&#10;System endowment net income     $35,412 &#10;Reported as endowment return used for operations     $6,006 &#10;Reported as endowment return, net of amount used for operations     29,406 &#10;System endowment income     $35,412 &#10;Operating investments  $17,595   $5,877   $(999)  $22,473 &#10;Lease Receivables  -   40   -   40 &#10;Perkins savings account  -   9   -   9 &#10;Deposits with bond trustees  -   3   -   3 &#10;Total other investment income (loss)  $17,595   $5,929   $(999)  $2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2022    &#10; &quot;Net&#10;Gains&#10;(Losses)&quot; &quot;Interest&#10;and&#10;Dividends&quot; &quot;Investment&#10;Fees&quot; &quot;Net&#10;Income&#10;(Loss)&quot;&#10;Endowment investment income and fees  $(20,996)  $1,770   $(949)  $(20,175)&#10;Net loss allocated to annuities payable to others     34 &#10;System endowment net loss     $(20,141)&#10;Reported as endowment return used for operations     $6,154 &#10;Reported as endowment return, net of amount used for operations     (26,295)&#10;System endowment loss     $(20,141)&#10;Operating investments  $(18,697)  $5,962   $(991)  $(13,726)&#10;Lease Receivables  -   41   -   41 &#10;Perkins savings account  -   8   -   8 &#10;Deposits with bond trustees  -   13   -   13 &#10;Total other investment income (loss)  $(18,697)  $6,024   $(991)  $(13,664)&#10;    &#10;2021 Restated    &#10; &quot;Net&#10;Gains&#10;(Losses)&quot; &quot;Interest&#10;and&#10;Dividends&quot; &quot;Investment&#10;Fees&quot; &quot;Net&#10;Income&#10;(Loss)&quot;&#10;Endowment investment income and fees  $34,619   $1,803   $(963)  $35,459 &#10;Net income allocated to annuities payable to others     (47)&#10;System endowment net income     $35,412 &#10;Reported as endowment return used for operations     $6,006 &#10;Reported as endowment return, net of amount used for operations     29,406 &#10;System endowment income     $35,412 &#10;Operating investments  $17,595   $5,877   $(999)  $22,473 &#10;Lease Receivables  -   40   -   40 &#10;Perkins savings account  -   9   -   9 &#10;Deposits with bond trustees  -   3   -   3 &#10;Total other investment income (loss)  $17,595   $5,929   $(999)  $22,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7535" cy="6050915"/>
                    </a:xfrm>
                    <a:prstGeom prst="rect">
                      <a:avLst/>
                    </a:prstGeom>
                    <a:noFill/>
                    <a:ln>
                      <a:noFill/>
                    </a:ln>
                  </pic:spPr>
                </pic:pic>
              </a:graphicData>
            </a:graphic>
          </wp:inline>
        </w:drawing>
      </w:r>
      <w:r w:rsidR="00721CFD">
        <w:rPr>
          <w:rFonts w:eastAsia="Times New Roman" w:cstheme="minorHAnsi"/>
          <w:spacing w:val="-3"/>
          <w:sz w:val="24"/>
          <w:szCs w:val="20"/>
        </w:rPr>
        <w:fldChar w:fldCharType="begin"/>
      </w:r>
      <w:r w:rsidR="00721CFD">
        <w:rPr>
          <w:rFonts w:eastAsia="Times New Roman" w:cstheme="minorHAnsi"/>
          <w:spacing w:val="-3"/>
          <w:sz w:val="24"/>
          <w:szCs w:val="20"/>
        </w:rPr>
        <w:fldChar w:fldCharType="end"/>
      </w:r>
    </w:p>
    <w:p w14:paraId="1B32586F" w14:textId="77777777" w:rsidR="00721CFD" w:rsidRPr="00F54559" w:rsidRDefault="00721CFD" w:rsidP="00721CFD">
      <w:pPr>
        <w:spacing w:after="160" w:line="259" w:lineRule="auto"/>
        <w:rPr>
          <w:rFonts w:eastAsiaTheme="majorEastAsia" w:cstheme="minorHAnsi"/>
          <w:b/>
          <w:i/>
          <w:iCs/>
          <w:smallCaps/>
          <w:noProof/>
          <w:color w:val="000000" w:themeColor="text1"/>
          <w:sz w:val="24"/>
          <w:szCs w:val="24"/>
          <w:u w:color="5B9BD5"/>
        </w:rPr>
      </w:pPr>
      <w:r w:rsidRPr="00F54559">
        <w:rPr>
          <w:rFonts w:cstheme="minorHAnsi"/>
          <w:sz w:val="24"/>
          <w:szCs w:val="24"/>
        </w:rPr>
        <w:t xml:space="preserve">See Note 13d for investment returns related to </w:t>
      </w:r>
      <w:r w:rsidRPr="00F54559">
        <w:rPr>
          <w:rFonts w:cstheme="minorHAnsi"/>
          <w:spacing w:val="-3"/>
          <w:sz w:val="24"/>
          <w:szCs w:val="24"/>
        </w:rPr>
        <w:t xml:space="preserve">the </w:t>
      </w:r>
      <w:r w:rsidRPr="00F54559">
        <w:rPr>
          <w:rFonts w:cstheme="minorHAnsi"/>
          <w:b/>
          <w:spacing w:val="-3"/>
          <w:sz w:val="24"/>
          <w:szCs w:val="24"/>
        </w:rPr>
        <w:t>Defined Benefit Plan – Classified Employees</w:t>
      </w:r>
      <w:r w:rsidRPr="00F54559">
        <w:rPr>
          <w:rFonts w:cstheme="minorHAnsi"/>
          <w:sz w:val="24"/>
          <w:szCs w:val="24"/>
        </w:rPr>
        <w:t>.</w:t>
      </w:r>
      <w:r w:rsidRPr="00F54559">
        <w:rPr>
          <w:rFonts w:cstheme="minorHAnsi"/>
          <w:sz w:val="24"/>
          <w:szCs w:val="24"/>
        </w:rPr>
        <w:br w:type="page"/>
      </w:r>
    </w:p>
    <w:p w14:paraId="757764A6" w14:textId="77777777" w:rsidR="00721CFD" w:rsidRPr="00F54559" w:rsidRDefault="00721CFD" w:rsidP="00721CFD">
      <w:pPr>
        <w:pStyle w:val="AFR2"/>
        <w:rPr>
          <w:rFonts w:cstheme="minorHAnsi"/>
          <w:sz w:val="26"/>
          <w:szCs w:val="26"/>
        </w:rPr>
      </w:pPr>
      <w:r w:rsidRPr="00F54559">
        <w:rPr>
          <w:rFonts w:cstheme="minorHAnsi"/>
          <w:sz w:val="26"/>
          <w:szCs w:val="26"/>
        </w:rPr>
        <w:lastRenderedPageBreak/>
        <w:t xml:space="preserve">4. </w:t>
      </w:r>
      <w:r w:rsidRPr="00636881">
        <w:rPr>
          <w:rFonts w:cstheme="minorHAnsi"/>
          <w:sz w:val="26"/>
          <w:szCs w:val="26"/>
        </w:rPr>
        <w:t>ACCOUNTS, GRANTS, AND PLEDGES RECEIVABLE</w:t>
      </w:r>
    </w:p>
    <w:p w14:paraId="005D3BB4" w14:textId="77777777" w:rsidR="00721CFD" w:rsidRPr="00F54559" w:rsidRDefault="00721CFD" w:rsidP="00721CFD">
      <w:pPr>
        <w:tabs>
          <w:tab w:val="left" w:pos="720"/>
          <w:tab w:val="left" w:pos="1440"/>
          <w:tab w:val="decimal" w:pos="6786"/>
          <w:tab w:val="decimal" w:pos="9079"/>
        </w:tabs>
        <w:suppressAutoHyphens/>
        <w:rPr>
          <w:rFonts w:eastAsia="Times New Roman" w:cstheme="minorHAnsi"/>
          <w:bCs/>
          <w:spacing w:val="-3"/>
          <w:sz w:val="24"/>
        </w:rPr>
      </w:pPr>
      <w:r w:rsidRPr="00F54559">
        <w:rPr>
          <w:rFonts w:eastAsia="Times New Roman" w:cstheme="minorHAnsi"/>
          <w:bCs/>
          <w:spacing w:val="-3"/>
          <w:sz w:val="24"/>
        </w:rPr>
        <w:t>Accounts, grants, and pledges receivable include the following at June 30:</w:t>
      </w:r>
    </w:p>
    <w:p w14:paraId="13C82490" w14:textId="77777777" w:rsidR="00721CFD" w:rsidRPr="00735A4C" w:rsidRDefault="00721CFD" w:rsidP="00721CFD">
      <w:pPr>
        <w:tabs>
          <w:tab w:val="left" w:pos="720"/>
          <w:tab w:val="left" w:pos="1440"/>
          <w:tab w:val="decimal" w:pos="6786"/>
          <w:tab w:val="decimal" w:pos="9079"/>
        </w:tabs>
        <w:suppressAutoHyphens/>
        <w:spacing w:before="160" w:after="160"/>
        <w:rPr>
          <w:rFonts w:eastAsia="Times New Roman" w:cstheme="minorHAnsi"/>
          <w:bCs/>
          <w:spacing w:val="-3"/>
          <w:sz w:val="20"/>
        </w:rPr>
      </w:pPr>
      <w:r w:rsidRPr="004C0AAA">
        <w:rPr>
          <w:noProof/>
        </w:rPr>
        <w:drawing>
          <wp:inline distT="0" distB="0" distL="0" distR="0" wp14:anchorId="6F4AF1C8" wp14:editId="7C3249BB">
            <wp:extent cx="5943600" cy="2120809"/>
            <wp:effectExtent l="0" t="0" r="0" b="0"/>
            <wp:docPr id="51" name="Picture 51" descr=" 2022   2021  &#10; Total &quot;Current&#10;Portion&quot; &quot;Noncurrent &#10;Portion&quot; Total &quot;Current&#10;Portion&quot; &quot;Noncurrent &#10;Portion&quot;&#10;Student and other accounts receivable  $46,725   $46,200   $525   $45,729   $45,236   $493 &#10;Grants receivable  41,835   37,101   4,734   51,705   48,530   3,175 &#10;Pledges receivable  1,513   812   701   528   106   422 &#10;Total gross receivables  90,073   84,113   5,960   97,962   93,872   4,090 &#10;Less allowance for doubtful accounts  (19,643)  (19,631)  (12)  (19,233)  (19,225)  (8)&#10;Less discount on pledges receivable  (90)  -   (90)  (13)  -   (13)&#10;Total receivables, net  $70,340   $64,482   $5,858   $78,716   $74,647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 2022   2021  &#10; Total &quot;Current&#10;Portion&quot; &quot;Noncurrent &#10;Portion&quot; Total &quot;Current&#10;Portion&quot; &quot;Noncurrent &#10;Portion&quot;&#10;Student and other accounts receivable  $46,725   $46,200   $525   $45,729   $45,236   $493 &#10;Grants receivable  41,835   37,101   4,734   51,705   48,530   3,175 &#10;Pledges receivable  1,513   812   701   528   106   422 &#10;Total gross receivables  90,073   84,113   5,960   97,962   93,872   4,090 &#10;Less allowance for doubtful accounts  (19,643)  (19,631)  (12)  (19,233)  (19,225)  (8)&#10;Less discount on pledges receivable  (90)  -   (90)  (13)  -   (13)&#10;Total receivables, net  $70,340   $64,482   $5,858   $78,716   $74,647   $4,0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120809"/>
                    </a:xfrm>
                    <a:prstGeom prst="rect">
                      <a:avLst/>
                    </a:prstGeom>
                    <a:noFill/>
                    <a:ln>
                      <a:noFill/>
                    </a:ln>
                  </pic:spPr>
                </pic:pic>
              </a:graphicData>
            </a:graphic>
          </wp:inline>
        </w:drawing>
      </w:r>
      <w:r>
        <w:rPr>
          <w:rFonts w:eastAsia="Times New Roman" w:cstheme="minorHAnsi"/>
          <w:bCs/>
          <w:spacing w:val="-3"/>
          <w:sz w:val="20"/>
        </w:rPr>
        <w:fldChar w:fldCharType="begin"/>
      </w:r>
      <w:r>
        <w:rPr>
          <w:rFonts w:eastAsia="Times New Roman" w:cstheme="minorHAnsi"/>
          <w:bCs/>
          <w:spacing w:val="-3"/>
          <w:sz w:val="20"/>
        </w:rPr>
        <w:fldChar w:fldCharType="end"/>
      </w:r>
    </w:p>
    <w:p w14:paraId="002F5653" w14:textId="77777777" w:rsidR="00721CFD" w:rsidRPr="00F54559" w:rsidRDefault="00721CFD" w:rsidP="00721CFD">
      <w:pPr>
        <w:tabs>
          <w:tab w:val="left" w:pos="0"/>
          <w:tab w:val="left" w:pos="90"/>
          <w:tab w:val="decimal" w:pos="6786"/>
          <w:tab w:val="decimal" w:pos="9079"/>
        </w:tabs>
        <w:suppressAutoHyphens/>
        <w:rPr>
          <w:rFonts w:eastAsia="Times New Roman" w:cstheme="minorHAnsi"/>
          <w:bCs/>
          <w:spacing w:val="-3"/>
          <w:sz w:val="24"/>
        </w:rPr>
      </w:pPr>
      <w:r w:rsidRPr="00F54559">
        <w:rPr>
          <w:rFonts w:eastAsia="Times New Roman" w:cstheme="minorHAnsi"/>
          <w:bCs/>
          <w:spacing w:val="-3"/>
          <w:sz w:val="24"/>
        </w:rPr>
        <w:t>In accordance with GASB Statement No. 35, grants receivable related to the acquisition of capital assets is reported as a noncurrent receivable even though collection is expected within the next twelve months.</w:t>
      </w:r>
    </w:p>
    <w:p w14:paraId="330F5DDD" w14:textId="77777777" w:rsidR="00721CFD" w:rsidRPr="00F54559" w:rsidRDefault="00721CFD" w:rsidP="00721CFD">
      <w:pPr>
        <w:pStyle w:val="AFR2"/>
        <w:rPr>
          <w:rFonts w:cstheme="minorHAnsi"/>
          <w:sz w:val="26"/>
          <w:szCs w:val="26"/>
        </w:rPr>
      </w:pPr>
      <w:r w:rsidRPr="00F54559">
        <w:rPr>
          <w:rFonts w:cstheme="minorHAnsi"/>
          <w:sz w:val="26"/>
          <w:szCs w:val="26"/>
        </w:rPr>
        <w:t xml:space="preserve">5. </w:t>
      </w:r>
      <w:r w:rsidRPr="00AC43BF">
        <w:rPr>
          <w:rFonts w:cstheme="minorHAnsi"/>
          <w:sz w:val="26"/>
          <w:szCs w:val="26"/>
        </w:rPr>
        <w:t>NOTES AND LEASES RECEIVABLE</w:t>
      </w:r>
    </w:p>
    <w:p w14:paraId="6F90BDA8" w14:textId="77777777" w:rsidR="00721CFD" w:rsidRDefault="00721CFD" w:rsidP="004E555D">
      <w:pPr>
        <w:tabs>
          <w:tab w:val="left" w:pos="720"/>
          <w:tab w:val="left" w:pos="1022"/>
          <w:tab w:val="left" w:pos="1440"/>
        </w:tabs>
        <w:suppressAutoHyphens/>
        <w:spacing w:after="120"/>
        <w:rPr>
          <w:rFonts w:cstheme="minorHAnsi"/>
          <w:bCs/>
          <w:spacing w:val="-3"/>
          <w:sz w:val="24"/>
        </w:rPr>
      </w:pPr>
      <w:r w:rsidRPr="00F54559">
        <w:rPr>
          <w:rFonts w:cstheme="minorHAnsi"/>
          <w:bCs/>
          <w:spacing w:val="-3"/>
          <w:sz w:val="24"/>
        </w:rPr>
        <w:t>Notes and leases receivable include the following at June 30:</w:t>
      </w:r>
    </w:p>
    <w:p w14:paraId="1EC8D6A6" w14:textId="77777777" w:rsidR="00721CFD" w:rsidRPr="00F54559" w:rsidRDefault="00721CFD" w:rsidP="004E555D">
      <w:pPr>
        <w:tabs>
          <w:tab w:val="left" w:pos="720"/>
          <w:tab w:val="left" w:pos="1022"/>
          <w:tab w:val="left" w:pos="1440"/>
        </w:tabs>
        <w:suppressAutoHyphens/>
        <w:spacing w:after="160"/>
        <w:rPr>
          <w:rFonts w:cstheme="minorHAnsi"/>
          <w:sz w:val="24"/>
          <w:szCs w:val="20"/>
        </w:rPr>
      </w:pPr>
      <w:r w:rsidRPr="00BB297B">
        <w:rPr>
          <w:noProof/>
        </w:rPr>
        <w:drawing>
          <wp:inline distT="0" distB="0" distL="0" distR="0" wp14:anchorId="5AA3F130" wp14:editId="3CB40CC5">
            <wp:extent cx="5589905" cy="2106930"/>
            <wp:effectExtent l="0" t="0" r="0" b="0"/>
            <wp:docPr id="22" name="Picture 22" descr=" 2022   2021 Restated  &#10; Total &quot;Current&#10;Portion&quot; &quot;Noncurrent &#10;Portion&quot; Total &quot;Current&#10;Portion&quot; &quot;Noncurrent &#10;Portion&quot;&#10;      &#10;Perkins loans  $10,422   $-   $10,422   $15,355   $-   $15,355 &#10;Nursing loans  2,095   -   2,095   2,141   -   2,141 &#10;Institutional loans  11,121   -   11,121   11,145   -   11,145 &#10;Leases receivable (a)  3,759   351   3,408   3,699   354   3,345 &#10;Total notes and leases receivable  27,397   351   27,046   32,340   354   31,986 &#10;Less allowance for doubtful accounts  (874)  -   (874)  (885)  -   (885)&#10;Total notes and leases receivable, net  $26,523   $351   $26,172   $31,455   $354   $3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 2022   2021 Restated  &#10; Total &quot;Current&#10;Portion&quot; &quot;Noncurrent &#10;Portion&quot; Total &quot;Current&#10;Portion&quot; &quot;Noncurrent &#10;Portion&quot;&#10;      &#10;Perkins loans  $10,422   $-   $10,422   $15,355   $-   $15,355 &#10;Nursing loans  2,095   -   2,095   2,141   -   2,141 &#10;Institutional loans  11,121   -   11,121   11,145   -   11,145 &#10;Leases receivable (a)  3,759   351   3,408   3,699   354   3,345 &#10;Total notes and leases receivable  27,397   351   27,046   32,340   354   31,986 &#10;Less allowance for doubtful accounts  (874)  -   (874)  (885)  -   (885)&#10;Total notes and leases receivable, net  $26,523   $351   $26,172   $31,455   $354   $31,1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9905" cy="2106930"/>
                    </a:xfrm>
                    <a:prstGeom prst="rect">
                      <a:avLst/>
                    </a:prstGeom>
                    <a:noFill/>
                    <a:ln>
                      <a:noFill/>
                    </a:ln>
                  </pic:spPr>
                </pic:pic>
              </a:graphicData>
            </a:graphic>
          </wp:inline>
        </w:drawing>
      </w:r>
    </w:p>
    <w:p w14:paraId="28FAA431" w14:textId="77777777" w:rsidR="00721CFD" w:rsidRDefault="00721CFD" w:rsidP="00721CFD">
      <w:pPr>
        <w:tabs>
          <w:tab w:val="left" w:pos="540"/>
          <w:tab w:val="left" w:pos="1800"/>
        </w:tabs>
        <w:suppressAutoHyphens/>
        <w:rPr>
          <w:rFonts w:cstheme="minorHAnsi"/>
          <w:bCs/>
          <w:spacing w:val="-3"/>
          <w:sz w:val="24"/>
        </w:rPr>
      </w:pPr>
      <w:r w:rsidRPr="00F54559">
        <w:rPr>
          <w:rFonts w:cstheme="minorHAnsi"/>
          <w:bCs/>
          <w:spacing w:val="-3"/>
          <w:sz w:val="24"/>
        </w:rPr>
        <w:t>Collections of the notes receivable for Perkins, Nursing, and Institutional loans may not be used to pay current liabilities, as the proceeds are restricted for making new loans.  Accordingly, these notes receivable are recorded in the accompanying Statements of Net Position as noncurrent assets.</w:t>
      </w:r>
    </w:p>
    <w:p w14:paraId="3279A2B9" w14:textId="11094D9D" w:rsidR="00373110" w:rsidRDefault="00373110" w:rsidP="00721CFD">
      <w:pPr>
        <w:tabs>
          <w:tab w:val="left" w:pos="540"/>
          <w:tab w:val="left" w:pos="1800"/>
        </w:tabs>
        <w:suppressAutoHyphens/>
        <w:rPr>
          <w:rFonts w:cstheme="minorHAnsi"/>
          <w:bCs/>
          <w:spacing w:val="-3"/>
          <w:sz w:val="20"/>
        </w:rPr>
      </w:pPr>
      <w:r>
        <w:rPr>
          <w:rFonts w:cstheme="minorHAnsi"/>
          <w:bCs/>
          <w:spacing w:val="-3"/>
          <w:sz w:val="20"/>
        </w:rPr>
        <w:br w:type="page"/>
      </w:r>
    </w:p>
    <w:p w14:paraId="0981E7E0" w14:textId="64E3C4F7" w:rsidR="00373110" w:rsidRPr="00FC4B1F" w:rsidRDefault="00373110" w:rsidP="009A7150">
      <w:pPr>
        <w:pStyle w:val="AFR3"/>
        <w:spacing w:after="240"/>
        <w:rPr>
          <w:rFonts w:cstheme="minorHAnsi"/>
          <w:szCs w:val="26"/>
        </w:rPr>
      </w:pPr>
      <w:r w:rsidRPr="004E555D">
        <w:rPr>
          <w:rFonts w:eastAsiaTheme="majorEastAsia" w:cstheme="minorHAnsi"/>
          <w:iCs/>
          <w:smallCaps/>
          <w:noProof/>
          <w:color w:val="000000" w:themeColor="text1"/>
          <w:szCs w:val="26"/>
          <w:u w:val="none"/>
        </w:rPr>
        <w:lastRenderedPageBreak/>
        <w:t xml:space="preserve">5. NOTES AND LEASES RECEIVABLE - </w:t>
      </w:r>
      <w:r w:rsidRPr="00373110">
        <w:rPr>
          <w:rFonts w:eastAsiaTheme="majorEastAsia" w:cstheme="minorHAnsi"/>
          <w:iCs/>
          <w:smallCaps/>
          <w:noProof/>
          <w:color w:val="000000" w:themeColor="text1"/>
          <w:szCs w:val="26"/>
          <w:u w:val="none"/>
        </w:rPr>
        <w:t>CONTINUED</w:t>
      </w:r>
    </w:p>
    <w:p w14:paraId="01443339" w14:textId="6CCC5087" w:rsidR="003F4D9A" w:rsidRDefault="002C50B3" w:rsidP="009A7150">
      <w:pPr>
        <w:numPr>
          <w:ilvl w:val="0"/>
          <w:numId w:val="10"/>
        </w:numPr>
        <w:tabs>
          <w:tab w:val="left" w:pos="720"/>
          <w:tab w:val="left" w:pos="1440"/>
        </w:tabs>
        <w:suppressAutoHyphens/>
        <w:spacing w:before="120"/>
        <w:ind w:right="360"/>
        <w:rPr>
          <w:rFonts w:eastAsia="Times New Roman" w:cstheme="minorHAnsi"/>
          <w:bCs/>
          <w:spacing w:val="-3"/>
          <w:sz w:val="24"/>
          <w:szCs w:val="24"/>
        </w:rPr>
      </w:pPr>
      <w:r>
        <w:rPr>
          <w:rFonts w:eastAsia="Times New Roman" w:cstheme="minorHAnsi"/>
          <w:bCs/>
          <w:spacing w:val="-3"/>
          <w:sz w:val="24"/>
          <w:szCs w:val="24"/>
        </w:rPr>
        <w:t xml:space="preserve">The </w:t>
      </w:r>
      <w:r w:rsidR="00BD0B91">
        <w:rPr>
          <w:rFonts w:eastAsia="Times New Roman" w:cstheme="minorHAnsi"/>
          <w:bCs/>
          <w:spacing w:val="-3"/>
          <w:sz w:val="24"/>
          <w:szCs w:val="24"/>
        </w:rPr>
        <w:t>System,</w:t>
      </w:r>
      <w:r>
        <w:rPr>
          <w:rFonts w:eastAsia="Times New Roman" w:cstheme="minorHAnsi"/>
          <w:bCs/>
          <w:spacing w:val="-3"/>
          <w:sz w:val="24"/>
          <w:szCs w:val="24"/>
        </w:rPr>
        <w:t xml:space="preserve"> ac</w:t>
      </w:r>
      <w:r w:rsidR="00E94785">
        <w:rPr>
          <w:rFonts w:eastAsia="Times New Roman" w:cstheme="minorHAnsi"/>
          <w:bCs/>
          <w:spacing w:val="-3"/>
          <w:sz w:val="24"/>
          <w:szCs w:val="24"/>
        </w:rPr>
        <w:t>ting as lessor, leases building space</w:t>
      </w:r>
      <w:r>
        <w:rPr>
          <w:rFonts w:eastAsia="Times New Roman" w:cstheme="minorHAnsi"/>
          <w:bCs/>
          <w:spacing w:val="-3"/>
          <w:sz w:val="24"/>
          <w:szCs w:val="24"/>
        </w:rPr>
        <w:t xml:space="preserve"> </w:t>
      </w:r>
      <w:r w:rsidR="00BD0B91">
        <w:rPr>
          <w:rFonts w:eastAsia="Times New Roman" w:cstheme="minorHAnsi"/>
          <w:bCs/>
          <w:spacing w:val="-3"/>
          <w:sz w:val="24"/>
          <w:szCs w:val="24"/>
        </w:rPr>
        <w:t xml:space="preserve">for various terms </w:t>
      </w:r>
      <w:r>
        <w:rPr>
          <w:rFonts w:eastAsia="Times New Roman" w:cstheme="minorHAnsi"/>
          <w:bCs/>
          <w:spacing w:val="-3"/>
          <w:sz w:val="24"/>
          <w:szCs w:val="24"/>
        </w:rPr>
        <w:t xml:space="preserve">under long-term non-cancelable lease agreements. </w:t>
      </w:r>
      <w:r w:rsidR="00BF6DBA">
        <w:rPr>
          <w:rFonts w:eastAsia="Times New Roman" w:cstheme="minorHAnsi"/>
          <w:bCs/>
          <w:spacing w:val="-3"/>
          <w:sz w:val="24"/>
          <w:szCs w:val="24"/>
        </w:rPr>
        <w:t xml:space="preserve">The original lease terms expire at various dates through 2027 and provide for renewal options (ranging from 1-20 years) which extend them to 2047. </w:t>
      </w:r>
      <w:r>
        <w:rPr>
          <w:rFonts w:eastAsia="Times New Roman" w:cstheme="minorHAnsi"/>
          <w:bCs/>
          <w:spacing w:val="-3"/>
          <w:sz w:val="24"/>
          <w:szCs w:val="24"/>
        </w:rPr>
        <w:t>During the year ended Ju</w:t>
      </w:r>
      <w:r w:rsidR="007B5BB3">
        <w:rPr>
          <w:rFonts w:eastAsia="Times New Roman" w:cstheme="minorHAnsi"/>
          <w:bCs/>
          <w:spacing w:val="-3"/>
          <w:sz w:val="24"/>
          <w:szCs w:val="24"/>
        </w:rPr>
        <w:t>ne 30, 2022,</w:t>
      </w:r>
      <w:r>
        <w:rPr>
          <w:rFonts w:eastAsia="Times New Roman" w:cstheme="minorHAnsi"/>
          <w:bCs/>
          <w:spacing w:val="-3"/>
          <w:sz w:val="24"/>
          <w:szCs w:val="24"/>
        </w:rPr>
        <w:t xml:space="preserve"> </w:t>
      </w:r>
      <w:r w:rsidR="0027230E">
        <w:rPr>
          <w:rFonts w:eastAsia="Times New Roman" w:cstheme="minorHAnsi"/>
          <w:bCs/>
          <w:spacing w:val="-3"/>
          <w:sz w:val="24"/>
          <w:szCs w:val="24"/>
        </w:rPr>
        <w:t>the System</w:t>
      </w:r>
      <w:r w:rsidR="003F4D9A">
        <w:rPr>
          <w:rFonts w:eastAsia="Times New Roman" w:cstheme="minorHAnsi"/>
          <w:bCs/>
          <w:spacing w:val="-3"/>
          <w:sz w:val="24"/>
          <w:szCs w:val="24"/>
        </w:rPr>
        <w:t xml:space="preserve"> recognized $</w:t>
      </w:r>
      <w:r w:rsidR="00F33619">
        <w:rPr>
          <w:rFonts w:eastAsia="Times New Roman" w:cstheme="minorHAnsi"/>
          <w:bCs/>
          <w:spacing w:val="-3"/>
          <w:sz w:val="24"/>
          <w:szCs w:val="24"/>
        </w:rPr>
        <w:t>353</w:t>
      </w:r>
      <w:r w:rsidR="003F4D9A">
        <w:rPr>
          <w:rFonts w:eastAsia="Times New Roman" w:cstheme="minorHAnsi"/>
          <w:bCs/>
          <w:spacing w:val="-3"/>
          <w:sz w:val="24"/>
          <w:szCs w:val="24"/>
        </w:rPr>
        <w:t xml:space="preserve"> and $41</w:t>
      </w:r>
      <w:r>
        <w:rPr>
          <w:rFonts w:eastAsia="Times New Roman" w:cstheme="minorHAnsi"/>
          <w:bCs/>
          <w:spacing w:val="-3"/>
          <w:sz w:val="24"/>
          <w:szCs w:val="24"/>
        </w:rPr>
        <w:t xml:space="preserve"> in lease revenue and interest, respectively, pursuant to these contracts. </w:t>
      </w:r>
    </w:p>
    <w:p w14:paraId="4840323F" w14:textId="77777777" w:rsidR="00BF6DBA" w:rsidRDefault="00BF6DBA" w:rsidP="00422839">
      <w:pPr>
        <w:tabs>
          <w:tab w:val="left" w:pos="720"/>
          <w:tab w:val="left" w:pos="1440"/>
        </w:tabs>
        <w:suppressAutoHyphens/>
        <w:ind w:right="360"/>
        <w:rPr>
          <w:rFonts w:eastAsia="Times New Roman" w:cstheme="minorHAnsi"/>
          <w:bCs/>
          <w:spacing w:val="-3"/>
          <w:sz w:val="24"/>
          <w:szCs w:val="24"/>
        </w:rPr>
      </w:pPr>
    </w:p>
    <w:p w14:paraId="3155E26B" w14:textId="77777777" w:rsidR="00E94785" w:rsidRPr="00E94785" w:rsidRDefault="00E94785" w:rsidP="00E94785">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r>
      <w:r w:rsidRPr="00E94785">
        <w:rPr>
          <w:rFonts w:eastAsia="Times New Roman" w:cstheme="minorHAnsi"/>
          <w:bCs/>
          <w:spacing w:val="-3"/>
          <w:sz w:val="24"/>
          <w:szCs w:val="24"/>
        </w:rPr>
        <w:t>Certain leases provide for increases in future minimum annual rental payments based</w:t>
      </w:r>
    </w:p>
    <w:p w14:paraId="46DBE45C" w14:textId="7F3FDE07" w:rsidR="00E94785" w:rsidRPr="00E94785" w:rsidRDefault="00E94785" w:rsidP="00E94785">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r>
      <w:r w:rsidRPr="00E94785">
        <w:rPr>
          <w:rFonts w:eastAsia="Times New Roman" w:cstheme="minorHAnsi"/>
          <w:bCs/>
          <w:spacing w:val="-3"/>
          <w:sz w:val="24"/>
          <w:szCs w:val="24"/>
        </w:rPr>
        <w:t>on defined increases in the Consumer Price Index, subject to certain minimum</w:t>
      </w:r>
    </w:p>
    <w:p w14:paraId="7009FAE4" w14:textId="1FD42A29" w:rsidR="00E94785" w:rsidRDefault="00E94785" w:rsidP="004E555D">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r>
      <w:r w:rsidRPr="00E94785">
        <w:rPr>
          <w:rFonts w:eastAsia="Times New Roman" w:cstheme="minorHAnsi"/>
          <w:bCs/>
          <w:spacing w:val="-3"/>
          <w:sz w:val="24"/>
          <w:szCs w:val="24"/>
        </w:rPr>
        <w:t>increases.</w:t>
      </w:r>
    </w:p>
    <w:p w14:paraId="29622EC1" w14:textId="3B4ABCCD" w:rsidR="00E94785" w:rsidRDefault="00E94785" w:rsidP="004E555D">
      <w:pPr>
        <w:tabs>
          <w:tab w:val="left" w:pos="720"/>
          <w:tab w:val="left" w:pos="1440"/>
        </w:tabs>
        <w:suppressAutoHyphens/>
        <w:ind w:right="360"/>
        <w:rPr>
          <w:rFonts w:eastAsia="Times New Roman" w:cstheme="minorHAnsi"/>
          <w:bCs/>
          <w:spacing w:val="-3"/>
          <w:sz w:val="24"/>
          <w:szCs w:val="24"/>
        </w:rPr>
      </w:pPr>
    </w:p>
    <w:p w14:paraId="4C59740E" w14:textId="71C72E0B" w:rsidR="008B4F92" w:rsidRPr="008B4F92" w:rsidRDefault="00E94785" w:rsidP="008B4F92">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r>
      <w:r w:rsidR="003B7305">
        <w:rPr>
          <w:rFonts w:eastAsia="Times New Roman" w:cstheme="minorHAnsi"/>
          <w:bCs/>
          <w:spacing w:val="-3"/>
          <w:sz w:val="24"/>
          <w:szCs w:val="24"/>
        </w:rPr>
        <w:t>The System</w:t>
      </w:r>
      <w:r w:rsidR="008B4F92">
        <w:rPr>
          <w:rFonts w:eastAsia="Times New Roman" w:cstheme="minorHAnsi"/>
          <w:bCs/>
          <w:spacing w:val="-3"/>
          <w:sz w:val="24"/>
          <w:szCs w:val="24"/>
        </w:rPr>
        <w:t xml:space="preserve"> </w:t>
      </w:r>
      <w:r w:rsidR="008B4F92" w:rsidRPr="008B4F92">
        <w:rPr>
          <w:rFonts w:eastAsia="Times New Roman" w:cstheme="minorHAnsi"/>
          <w:bCs/>
          <w:spacing w:val="-3"/>
          <w:sz w:val="24"/>
          <w:szCs w:val="24"/>
        </w:rPr>
        <w:t xml:space="preserve">leases </w:t>
      </w:r>
      <w:r w:rsidR="008B4F92">
        <w:rPr>
          <w:rFonts w:eastAsia="Times New Roman" w:cstheme="minorHAnsi"/>
          <w:bCs/>
          <w:spacing w:val="-3"/>
          <w:sz w:val="24"/>
          <w:szCs w:val="24"/>
        </w:rPr>
        <w:t>office space</w:t>
      </w:r>
      <w:r w:rsidR="008B4F92" w:rsidRPr="008B4F92">
        <w:rPr>
          <w:rFonts w:eastAsia="Times New Roman" w:cstheme="minorHAnsi"/>
          <w:bCs/>
          <w:spacing w:val="-3"/>
          <w:sz w:val="24"/>
          <w:szCs w:val="24"/>
        </w:rPr>
        <w:t xml:space="preserve"> to a related party, and a related lease</w:t>
      </w:r>
      <w:r w:rsidR="008B4F92">
        <w:rPr>
          <w:rFonts w:eastAsia="Times New Roman" w:cstheme="minorHAnsi"/>
          <w:bCs/>
          <w:spacing w:val="-3"/>
          <w:sz w:val="24"/>
          <w:szCs w:val="24"/>
        </w:rPr>
        <w:t xml:space="preserve"> receivable and</w:t>
      </w:r>
    </w:p>
    <w:p w14:paraId="1EC615CE" w14:textId="7D588414" w:rsidR="008B4F92" w:rsidRPr="008B4F92" w:rsidRDefault="008B4F92" w:rsidP="008B4F92">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r>
      <w:r w:rsidRPr="008B4F92">
        <w:rPr>
          <w:rFonts w:eastAsia="Times New Roman" w:cstheme="minorHAnsi"/>
          <w:bCs/>
          <w:spacing w:val="-3"/>
          <w:sz w:val="24"/>
          <w:szCs w:val="24"/>
        </w:rPr>
        <w:t>deferred inflow have been recorded. The lease provides for minimum</w:t>
      </w:r>
      <w:r>
        <w:rPr>
          <w:rFonts w:eastAsia="Times New Roman" w:cstheme="minorHAnsi"/>
          <w:bCs/>
          <w:spacing w:val="-3"/>
          <w:sz w:val="24"/>
          <w:szCs w:val="24"/>
        </w:rPr>
        <w:t xml:space="preserve"> semi annual</w:t>
      </w:r>
    </w:p>
    <w:p w14:paraId="3D39D5EC" w14:textId="6502FBF3" w:rsidR="00E94785" w:rsidRDefault="008B4F92" w:rsidP="004E555D">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t xml:space="preserve">lease </w:t>
      </w:r>
      <w:r w:rsidRPr="008B4F92">
        <w:rPr>
          <w:rFonts w:eastAsia="Times New Roman" w:cstheme="minorHAnsi"/>
          <w:bCs/>
          <w:spacing w:val="-3"/>
          <w:sz w:val="24"/>
          <w:szCs w:val="24"/>
        </w:rPr>
        <w:t>payments of $</w:t>
      </w:r>
      <w:r>
        <w:rPr>
          <w:rFonts w:eastAsia="Times New Roman" w:cstheme="minorHAnsi"/>
          <w:bCs/>
          <w:spacing w:val="-3"/>
          <w:sz w:val="24"/>
          <w:szCs w:val="24"/>
        </w:rPr>
        <w:t>13</w:t>
      </w:r>
      <w:r w:rsidRPr="008B4F92">
        <w:rPr>
          <w:rFonts w:eastAsia="Times New Roman" w:cstheme="minorHAnsi"/>
          <w:bCs/>
          <w:spacing w:val="-3"/>
          <w:sz w:val="24"/>
          <w:szCs w:val="24"/>
        </w:rPr>
        <w:t xml:space="preserve"> through </w:t>
      </w:r>
      <w:r>
        <w:rPr>
          <w:rFonts w:eastAsia="Times New Roman" w:cstheme="minorHAnsi"/>
          <w:bCs/>
          <w:spacing w:val="-3"/>
          <w:sz w:val="24"/>
          <w:szCs w:val="24"/>
        </w:rPr>
        <w:t>January 2030.</w:t>
      </w:r>
    </w:p>
    <w:p w14:paraId="3E887ECE" w14:textId="7E63CFAF" w:rsidR="00EB2724" w:rsidRDefault="00EB2724" w:rsidP="004E555D">
      <w:pPr>
        <w:tabs>
          <w:tab w:val="left" w:pos="720"/>
          <w:tab w:val="left" w:pos="1440"/>
        </w:tabs>
        <w:suppressAutoHyphens/>
        <w:ind w:right="360"/>
        <w:rPr>
          <w:rFonts w:eastAsia="Times New Roman" w:cstheme="minorHAnsi"/>
          <w:bCs/>
          <w:spacing w:val="-3"/>
          <w:sz w:val="24"/>
          <w:szCs w:val="24"/>
        </w:rPr>
      </w:pPr>
    </w:p>
    <w:p w14:paraId="3C8CAC3C" w14:textId="77777777" w:rsidR="00EB2724" w:rsidRPr="00EB2724" w:rsidRDefault="00EB2724" w:rsidP="00EB2724">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r>
      <w:r w:rsidRPr="00EB2724">
        <w:rPr>
          <w:rFonts w:eastAsia="Times New Roman" w:cstheme="minorHAnsi"/>
          <w:bCs/>
          <w:spacing w:val="-3"/>
          <w:sz w:val="24"/>
          <w:szCs w:val="24"/>
        </w:rPr>
        <w:t>Total future minimum lease payments to be received under lease agreements are as</w:t>
      </w:r>
    </w:p>
    <w:p w14:paraId="3A5510DA" w14:textId="09E27BAA" w:rsidR="000F2AE3" w:rsidRDefault="00EB2724" w:rsidP="003F4D9A">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ab/>
      </w:r>
      <w:r w:rsidR="0027230E">
        <w:rPr>
          <w:rFonts w:eastAsia="Times New Roman" w:cstheme="minorHAnsi"/>
          <w:bCs/>
          <w:spacing w:val="-3"/>
          <w:sz w:val="24"/>
          <w:szCs w:val="24"/>
        </w:rPr>
        <w:t>f</w:t>
      </w:r>
      <w:r w:rsidR="005F3144">
        <w:rPr>
          <w:rFonts w:eastAsia="Times New Roman" w:cstheme="minorHAnsi"/>
          <w:bCs/>
          <w:spacing w:val="-3"/>
          <w:sz w:val="24"/>
          <w:szCs w:val="24"/>
        </w:rPr>
        <w:t>ollows:</w:t>
      </w:r>
    </w:p>
    <w:tbl>
      <w:tblPr>
        <w:tblW w:w="5066" w:type="dxa"/>
        <w:jc w:val="center"/>
        <w:tblLayout w:type="fixed"/>
        <w:tblLook w:val="04A0" w:firstRow="1" w:lastRow="0" w:firstColumn="1" w:lastColumn="0" w:noHBand="0" w:noVBand="1"/>
      </w:tblPr>
      <w:tblGrid>
        <w:gridCol w:w="2392"/>
        <w:gridCol w:w="1337"/>
        <w:gridCol w:w="1337"/>
      </w:tblGrid>
      <w:tr w:rsidR="005F3144" w:rsidRPr="003323E0" w14:paraId="011E36A5" w14:textId="77777777" w:rsidTr="00DC6B34">
        <w:trPr>
          <w:trHeight w:val="588"/>
          <w:tblHeader/>
          <w:jc w:val="center"/>
        </w:trPr>
        <w:tc>
          <w:tcPr>
            <w:tcW w:w="2392" w:type="dxa"/>
            <w:tcBorders>
              <w:top w:val="nil"/>
              <w:left w:val="nil"/>
              <w:bottom w:val="nil"/>
              <w:right w:val="nil"/>
            </w:tcBorders>
            <w:shd w:val="clear" w:color="000000" w:fill="FFFFFF"/>
            <w:vAlign w:val="bottom"/>
            <w:hideMark/>
          </w:tcPr>
          <w:p w14:paraId="3F05F475" w14:textId="77777777" w:rsidR="005F3144" w:rsidRPr="003323E0" w:rsidRDefault="005F3144" w:rsidP="00DC6B34">
            <w:pPr>
              <w:rPr>
                <w:rFonts w:ascii="Calibri" w:eastAsia="Times New Roman" w:hAnsi="Calibri" w:cs="Calibri"/>
                <w:b/>
                <w:bCs/>
                <w:color w:val="0D0D0D"/>
              </w:rPr>
            </w:pPr>
            <w:r w:rsidRPr="003323E0">
              <w:rPr>
                <w:rFonts w:ascii="Calibri" w:eastAsia="Times New Roman" w:hAnsi="Calibri" w:cs="Calibri"/>
                <w:b/>
                <w:bCs/>
                <w:color w:val="0D0D0D"/>
              </w:rPr>
              <w:t>Year Ending</w:t>
            </w:r>
            <w:r>
              <w:rPr>
                <w:rFonts w:ascii="Calibri" w:eastAsia="Times New Roman" w:hAnsi="Calibri" w:cs="Calibri"/>
                <w:b/>
                <w:bCs/>
                <w:color w:val="0D0D0D"/>
              </w:rPr>
              <w:t xml:space="preserve"> </w:t>
            </w:r>
            <w:r w:rsidRPr="003323E0">
              <w:rPr>
                <w:rFonts w:ascii="Calibri" w:eastAsia="Times New Roman" w:hAnsi="Calibri" w:cs="Calibri"/>
                <w:b/>
                <w:bCs/>
                <w:color w:val="0D0D0D"/>
              </w:rPr>
              <w:t>June 30:</w:t>
            </w:r>
          </w:p>
        </w:tc>
        <w:tc>
          <w:tcPr>
            <w:tcW w:w="1337" w:type="dxa"/>
            <w:tcBorders>
              <w:top w:val="nil"/>
              <w:left w:val="nil"/>
              <w:bottom w:val="single" w:sz="12" w:space="0" w:color="00688D"/>
              <w:right w:val="nil"/>
            </w:tcBorders>
            <w:shd w:val="clear" w:color="000000" w:fill="FFFFFF"/>
            <w:noWrap/>
            <w:vAlign w:val="bottom"/>
            <w:hideMark/>
          </w:tcPr>
          <w:p w14:paraId="62800B5D" w14:textId="77777777" w:rsidR="005F3144" w:rsidRPr="003323E0" w:rsidRDefault="005F3144" w:rsidP="00DC6B34">
            <w:pPr>
              <w:jc w:val="center"/>
              <w:rPr>
                <w:rFonts w:ascii="Calibri" w:eastAsia="Times New Roman" w:hAnsi="Calibri" w:cs="Calibri"/>
                <w:b/>
                <w:bCs/>
                <w:color w:val="0D0D0D"/>
              </w:rPr>
            </w:pPr>
            <w:r w:rsidRPr="003323E0">
              <w:rPr>
                <w:rFonts w:ascii="Calibri" w:eastAsia="Times New Roman" w:hAnsi="Calibri" w:cs="Calibri"/>
                <w:b/>
                <w:bCs/>
                <w:color w:val="0D0D0D"/>
              </w:rPr>
              <w:t>Principal</w:t>
            </w:r>
          </w:p>
        </w:tc>
        <w:tc>
          <w:tcPr>
            <w:tcW w:w="1337" w:type="dxa"/>
            <w:tcBorders>
              <w:top w:val="nil"/>
              <w:left w:val="nil"/>
              <w:bottom w:val="single" w:sz="12" w:space="0" w:color="00688D"/>
              <w:right w:val="nil"/>
            </w:tcBorders>
            <w:shd w:val="clear" w:color="auto" w:fill="auto"/>
            <w:noWrap/>
            <w:vAlign w:val="bottom"/>
            <w:hideMark/>
          </w:tcPr>
          <w:p w14:paraId="6540C6F9" w14:textId="77777777" w:rsidR="005F3144" w:rsidRPr="003323E0" w:rsidRDefault="005F3144" w:rsidP="00DC6B34">
            <w:pPr>
              <w:jc w:val="center"/>
              <w:rPr>
                <w:rFonts w:ascii="Calibri" w:eastAsia="Times New Roman" w:hAnsi="Calibri" w:cs="Calibri"/>
                <w:b/>
                <w:bCs/>
                <w:color w:val="0D0D0D"/>
              </w:rPr>
            </w:pPr>
            <w:r w:rsidRPr="003323E0">
              <w:rPr>
                <w:rFonts w:ascii="Calibri" w:eastAsia="Times New Roman" w:hAnsi="Calibri" w:cs="Calibri"/>
                <w:b/>
                <w:bCs/>
                <w:color w:val="0D0D0D"/>
              </w:rPr>
              <w:t>Interest</w:t>
            </w:r>
          </w:p>
        </w:tc>
      </w:tr>
      <w:tr w:rsidR="00115B7C" w:rsidRPr="003323E0" w14:paraId="735C1D45" w14:textId="77777777" w:rsidTr="00DC6B34">
        <w:trPr>
          <w:trHeight w:val="300"/>
          <w:jc w:val="center"/>
        </w:trPr>
        <w:tc>
          <w:tcPr>
            <w:tcW w:w="2392" w:type="dxa"/>
            <w:tcBorders>
              <w:top w:val="nil"/>
              <w:left w:val="nil"/>
              <w:bottom w:val="nil"/>
              <w:right w:val="nil"/>
            </w:tcBorders>
            <w:shd w:val="clear" w:color="000000" w:fill="FFFFFF"/>
            <w:noWrap/>
            <w:vAlign w:val="bottom"/>
            <w:hideMark/>
          </w:tcPr>
          <w:p w14:paraId="7F2318E7" w14:textId="77777777" w:rsidR="00115B7C" w:rsidRPr="003323E0" w:rsidRDefault="00115B7C" w:rsidP="00115B7C">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3</w:t>
            </w:r>
          </w:p>
        </w:tc>
        <w:tc>
          <w:tcPr>
            <w:tcW w:w="1337" w:type="dxa"/>
            <w:tcBorders>
              <w:top w:val="nil"/>
              <w:left w:val="nil"/>
              <w:bottom w:val="nil"/>
              <w:right w:val="nil"/>
            </w:tcBorders>
            <w:shd w:val="clear" w:color="000000" w:fill="FFFFFF"/>
            <w:noWrap/>
            <w:vAlign w:val="bottom"/>
            <w:hideMark/>
          </w:tcPr>
          <w:p w14:paraId="007F4245" w14:textId="4DB91C23" w:rsidR="00115B7C" w:rsidRPr="00703045" w:rsidRDefault="00115B7C" w:rsidP="00115B7C">
            <w:pPr>
              <w:jc w:val="right"/>
              <w:rPr>
                <w:rFonts w:ascii="Calibri" w:eastAsia="Times New Roman" w:hAnsi="Calibri" w:cs="Calibri"/>
                <w:color w:val="FF0000"/>
              </w:rPr>
            </w:pPr>
            <w:r>
              <w:rPr>
                <w:rFonts w:ascii="Calibri" w:hAnsi="Calibri"/>
                <w:color w:val="000000"/>
              </w:rPr>
              <w:t>$     351</w:t>
            </w:r>
          </w:p>
        </w:tc>
        <w:tc>
          <w:tcPr>
            <w:tcW w:w="1337" w:type="dxa"/>
            <w:tcBorders>
              <w:top w:val="nil"/>
              <w:left w:val="nil"/>
              <w:bottom w:val="nil"/>
              <w:right w:val="nil"/>
            </w:tcBorders>
            <w:shd w:val="clear" w:color="auto" w:fill="auto"/>
            <w:noWrap/>
            <w:vAlign w:val="bottom"/>
            <w:hideMark/>
          </w:tcPr>
          <w:p w14:paraId="2D1E02BF" w14:textId="2D4A5FA6" w:rsidR="00115B7C" w:rsidRPr="00703045" w:rsidRDefault="00115B7C" w:rsidP="00115B7C">
            <w:pPr>
              <w:jc w:val="right"/>
              <w:rPr>
                <w:rFonts w:ascii="Calibri" w:eastAsia="Times New Roman" w:hAnsi="Calibri" w:cs="Calibri"/>
                <w:color w:val="FF0000"/>
              </w:rPr>
            </w:pPr>
            <w:r>
              <w:rPr>
                <w:rFonts w:ascii="Calibri" w:hAnsi="Calibri"/>
                <w:color w:val="000000"/>
              </w:rPr>
              <w:t>$      40</w:t>
            </w:r>
          </w:p>
        </w:tc>
      </w:tr>
      <w:tr w:rsidR="00115B7C" w:rsidRPr="003323E0" w14:paraId="250BADE5" w14:textId="77777777" w:rsidTr="00DC6B34">
        <w:trPr>
          <w:trHeight w:val="288"/>
          <w:jc w:val="center"/>
        </w:trPr>
        <w:tc>
          <w:tcPr>
            <w:tcW w:w="2392" w:type="dxa"/>
            <w:tcBorders>
              <w:top w:val="nil"/>
              <w:left w:val="nil"/>
              <w:bottom w:val="nil"/>
              <w:right w:val="nil"/>
            </w:tcBorders>
            <w:shd w:val="clear" w:color="000000" w:fill="FFFFFF"/>
            <w:noWrap/>
            <w:vAlign w:val="bottom"/>
            <w:hideMark/>
          </w:tcPr>
          <w:p w14:paraId="2FDBDB23" w14:textId="77777777" w:rsidR="00115B7C" w:rsidRPr="003323E0" w:rsidRDefault="00115B7C" w:rsidP="00115B7C">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4</w:t>
            </w:r>
          </w:p>
        </w:tc>
        <w:tc>
          <w:tcPr>
            <w:tcW w:w="1337" w:type="dxa"/>
            <w:tcBorders>
              <w:top w:val="nil"/>
              <w:left w:val="nil"/>
              <w:bottom w:val="nil"/>
              <w:right w:val="nil"/>
            </w:tcBorders>
            <w:shd w:val="clear" w:color="000000" w:fill="FFFFFF"/>
            <w:noWrap/>
            <w:vAlign w:val="bottom"/>
            <w:hideMark/>
          </w:tcPr>
          <w:p w14:paraId="2072A1B6" w14:textId="10ACBC69" w:rsidR="00115B7C" w:rsidRPr="00703045" w:rsidRDefault="00115B7C" w:rsidP="00115B7C">
            <w:pPr>
              <w:jc w:val="right"/>
              <w:rPr>
                <w:rFonts w:ascii="Calibri" w:eastAsia="Times New Roman" w:hAnsi="Calibri" w:cs="Calibri"/>
                <w:color w:val="FF0000"/>
              </w:rPr>
            </w:pPr>
            <w:r>
              <w:rPr>
                <w:rFonts w:ascii="Calibri" w:hAnsi="Calibri"/>
                <w:color w:val="000000"/>
              </w:rPr>
              <w:t>349</w:t>
            </w:r>
          </w:p>
        </w:tc>
        <w:tc>
          <w:tcPr>
            <w:tcW w:w="1337" w:type="dxa"/>
            <w:tcBorders>
              <w:top w:val="nil"/>
              <w:left w:val="nil"/>
              <w:bottom w:val="nil"/>
              <w:right w:val="nil"/>
            </w:tcBorders>
            <w:shd w:val="clear" w:color="auto" w:fill="auto"/>
            <w:noWrap/>
            <w:vAlign w:val="bottom"/>
            <w:hideMark/>
          </w:tcPr>
          <w:p w14:paraId="68B28E58" w14:textId="28461FCB" w:rsidR="00115B7C" w:rsidRPr="00703045" w:rsidRDefault="00115B7C" w:rsidP="00115B7C">
            <w:pPr>
              <w:jc w:val="right"/>
              <w:rPr>
                <w:rFonts w:ascii="Calibri" w:eastAsia="Times New Roman" w:hAnsi="Calibri" w:cs="Calibri"/>
                <w:color w:val="FF0000"/>
              </w:rPr>
            </w:pPr>
            <w:r>
              <w:rPr>
                <w:rFonts w:ascii="Calibri" w:hAnsi="Calibri"/>
                <w:color w:val="000000"/>
              </w:rPr>
              <w:t>37</w:t>
            </w:r>
          </w:p>
        </w:tc>
      </w:tr>
      <w:tr w:rsidR="00115B7C" w:rsidRPr="003323E0" w14:paraId="339C3911" w14:textId="77777777" w:rsidTr="00DC6B34">
        <w:trPr>
          <w:trHeight w:val="288"/>
          <w:jc w:val="center"/>
        </w:trPr>
        <w:tc>
          <w:tcPr>
            <w:tcW w:w="2392" w:type="dxa"/>
            <w:tcBorders>
              <w:top w:val="nil"/>
              <w:left w:val="nil"/>
              <w:bottom w:val="nil"/>
              <w:right w:val="nil"/>
            </w:tcBorders>
            <w:shd w:val="clear" w:color="000000" w:fill="FFFFFF"/>
            <w:noWrap/>
            <w:vAlign w:val="bottom"/>
            <w:hideMark/>
          </w:tcPr>
          <w:p w14:paraId="4C1B018F" w14:textId="77777777" w:rsidR="00115B7C" w:rsidRPr="003323E0" w:rsidRDefault="00115B7C" w:rsidP="00115B7C">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5</w:t>
            </w:r>
          </w:p>
        </w:tc>
        <w:tc>
          <w:tcPr>
            <w:tcW w:w="1337" w:type="dxa"/>
            <w:tcBorders>
              <w:top w:val="nil"/>
              <w:left w:val="nil"/>
              <w:bottom w:val="nil"/>
              <w:right w:val="nil"/>
            </w:tcBorders>
            <w:shd w:val="clear" w:color="000000" w:fill="FFFFFF"/>
            <w:noWrap/>
            <w:vAlign w:val="bottom"/>
            <w:hideMark/>
          </w:tcPr>
          <w:p w14:paraId="43179CD9" w14:textId="10196C08" w:rsidR="00115B7C" w:rsidRPr="00703045" w:rsidRDefault="00115B7C" w:rsidP="00115B7C">
            <w:pPr>
              <w:jc w:val="right"/>
              <w:rPr>
                <w:rFonts w:ascii="Calibri" w:eastAsia="Times New Roman" w:hAnsi="Calibri" w:cs="Calibri"/>
                <w:color w:val="FF0000"/>
              </w:rPr>
            </w:pPr>
            <w:r>
              <w:rPr>
                <w:rFonts w:ascii="Calibri" w:hAnsi="Calibri"/>
                <w:color w:val="000000"/>
              </w:rPr>
              <w:t>303</w:t>
            </w:r>
          </w:p>
        </w:tc>
        <w:tc>
          <w:tcPr>
            <w:tcW w:w="1337" w:type="dxa"/>
            <w:tcBorders>
              <w:top w:val="nil"/>
              <w:left w:val="nil"/>
              <w:bottom w:val="nil"/>
              <w:right w:val="nil"/>
            </w:tcBorders>
            <w:shd w:val="clear" w:color="auto" w:fill="auto"/>
            <w:noWrap/>
            <w:vAlign w:val="bottom"/>
            <w:hideMark/>
          </w:tcPr>
          <w:p w14:paraId="7BE8F8C3" w14:textId="67F157DB" w:rsidR="00115B7C" w:rsidRPr="00703045" w:rsidRDefault="00115B7C" w:rsidP="00115B7C">
            <w:pPr>
              <w:jc w:val="right"/>
              <w:rPr>
                <w:rFonts w:ascii="Calibri" w:eastAsia="Times New Roman" w:hAnsi="Calibri" w:cs="Calibri"/>
                <w:color w:val="FF0000"/>
              </w:rPr>
            </w:pPr>
            <w:r>
              <w:rPr>
                <w:rFonts w:ascii="Calibri" w:hAnsi="Calibri"/>
                <w:color w:val="000000"/>
              </w:rPr>
              <w:t>34</w:t>
            </w:r>
          </w:p>
        </w:tc>
      </w:tr>
      <w:tr w:rsidR="00115B7C" w:rsidRPr="003323E0" w14:paraId="10ACFFCE" w14:textId="77777777" w:rsidTr="00DC6B34">
        <w:trPr>
          <w:trHeight w:val="288"/>
          <w:jc w:val="center"/>
        </w:trPr>
        <w:tc>
          <w:tcPr>
            <w:tcW w:w="2392" w:type="dxa"/>
            <w:tcBorders>
              <w:top w:val="nil"/>
              <w:left w:val="nil"/>
              <w:bottom w:val="nil"/>
              <w:right w:val="nil"/>
            </w:tcBorders>
            <w:shd w:val="clear" w:color="000000" w:fill="FFFFFF"/>
            <w:noWrap/>
            <w:vAlign w:val="bottom"/>
            <w:hideMark/>
          </w:tcPr>
          <w:p w14:paraId="0B460E21" w14:textId="77777777" w:rsidR="00115B7C" w:rsidRPr="003323E0" w:rsidRDefault="00115B7C" w:rsidP="00115B7C">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6</w:t>
            </w:r>
          </w:p>
        </w:tc>
        <w:tc>
          <w:tcPr>
            <w:tcW w:w="1337" w:type="dxa"/>
            <w:tcBorders>
              <w:top w:val="nil"/>
              <w:left w:val="nil"/>
              <w:bottom w:val="nil"/>
              <w:right w:val="nil"/>
            </w:tcBorders>
            <w:shd w:val="clear" w:color="000000" w:fill="FFFFFF"/>
            <w:noWrap/>
            <w:vAlign w:val="bottom"/>
            <w:hideMark/>
          </w:tcPr>
          <w:p w14:paraId="1998D05F" w14:textId="7C067AE2" w:rsidR="00115B7C" w:rsidRPr="00703045" w:rsidRDefault="00115B7C" w:rsidP="00115B7C">
            <w:pPr>
              <w:jc w:val="right"/>
              <w:rPr>
                <w:rFonts w:ascii="Calibri" w:eastAsia="Times New Roman" w:hAnsi="Calibri" w:cs="Calibri"/>
                <w:color w:val="FF0000"/>
              </w:rPr>
            </w:pPr>
            <w:r>
              <w:rPr>
                <w:rFonts w:ascii="Calibri" w:hAnsi="Calibri"/>
                <w:color w:val="000000"/>
              </w:rPr>
              <w:t>285</w:t>
            </w:r>
          </w:p>
        </w:tc>
        <w:tc>
          <w:tcPr>
            <w:tcW w:w="1337" w:type="dxa"/>
            <w:tcBorders>
              <w:top w:val="nil"/>
              <w:left w:val="nil"/>
              <w:bottom w:val="nil"/>
              <w:right w:val="nil"/>
            </w:tcBorders>
            <w:shd w:val="clear" w:color="auto" w:fill="auto"/>
            <w:noWrap/>
            <w:vAlign w:val="bottom"/>
            <w:hideMark/>
          </w:tcPr>
          <w:p w14:paraId="167E91D3" w14:textId="78769E90" w:rsidR="00115B7C" w:rsidRPr="00703045" w:rsidRDefault="00115B7C" w:rsidP="00115B7C">
            <w:pPr>
              <w:jc w:val="right"/>
              <w:rPr>
                <w:rFonts w:ascii="Calibri" w:eastAsia="Times New Roman" w:hAnsi="Calibri" w:cs="Calibri"/>
                <w:color w:val="FF0000"/>
              </w:rPr>
            </w:pPr>
            <w:r>
              <w:rPr>
                <w:rFonts w:ascii="Calibri" w:hAnsi="Calibri"/>
                <w:color w:val="000000"/>
              </w:rPr>
              <w:t>32</w:t>
            </w:r>
          </w:p>
        </w:tc>
      </w:tr>
      <w:tr w:rsidR="00115B7C" w:rsidRPr="003323E0" w14:paraId="207E71F6" w14:textId="77777777" w:rsidTr="00DC6B34">
        <w:trPr>
          <w:trHeight w:val="288"/>
          <w:jc w:val="center"/>
        </w:trPr>
        <w:tc>
          <w:tcPr>
            <w:tcW w:w="2392" w:type="dxa"/>
            <w:tcBorders>
              <w:top w:val="nil"/>
              <w:left w:val="nil"/>
              <w:bottom w:val="nil"/>
              <w:right w:val="nil"/>
            </w:tcBorders>
            <w:shd w:val="clear" w:color="000000" w:fill="FFFFFF"/>
            <w:noWrap/>
            <w:vAlign w:val="bottom"/>
            <w:hideMark/>
          </w:tcPr>
          <w:p w14:paraId="57DE457F" w14:textId="77777777" w:rsidR="00115B7C" w:rsidRPr="003323E0" w:rsidRDefault="00115B7C" w:rsidP="00115B7C">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7</w:t>
            </w:r>
          </w:p>
        </w:tc>
        <w:tc>
          <w:tcPr>
            <w:tcW w:w="1337" w:type="dxa"/>
            <w:tcBorders>
              <w:top w:val="nil"/>
              <w:left w:val="nil"/>
              <w:bottom w:val="nil"/>
              <w:right w:val="nil"/>
            </w:tcBorders>
            <w:shd w:val="clear" w:color="000000" w:fill="FFFFFF"/>
            <w:noWrap/>
            <w:vAlign w:val="bottom"/>
            <w:hideMark/>
          </w:tcPr>
          <w:p w14:paraId="051CF3CE" w14:textId="1D4F6820" w:rsidR="00115B7C" w:rsidRPr="00703045" w:rsidRDefault="00115B7C" w:rsidP="00115B7C">
            <w:pPr>
              <w:jc w:val="right"/>
              <w:rPr>
                <w:rFonts w:ascii="Calibri" w:eastAsia="Times New Roman" w:hAnsi="Calibri" w:cs="Calibri"/>
                <w:color w:val="FF0000"/>
              </w:rPr>
            </w:pPr>
            <w:r>
              <w:rPr>
                <w:rFonts w:ascii="Calibri" w:hAnsi="Calibri"/>
                <w:color w:val="000000"/>
              </w:rPr>
              <w:t>245</w:t>
            </w:r>
          </w:p>
        </w:tc>
        <w:tc>
          <w:tcPr>
            <w:tcW w:w="1337" w:type="dxa"/>
            <w:tcBorders>
              <w:top w:val="nil"/>
              <w:left w:val="nil"/>
              <w:bottom w:val="nil"/>
              <w:right w:val="nil"/>
            </w:tcBorders>
            <w:shd w:val="clear" w:color="auto" w:fill="auto"/>
            <w:noWrap/>
            <w:vAlign w:val="bottom"/>
            <w:hideMark/>
          </w:tcPr>
          <w:p w14:paraId="42C1D112" w14:textId="22426DC5" w:rsidR="00115B7C" w:rsidRPr="00703045" w:rsidRDefault="00115B7C" w:rsidP="00115B7C">
            <w:pPr>
              <w:jc w:val="right"/>
              <w:rPr>
                <w:rFonts w:ascii="Calibri" w:eastAsia="Times New Roman" w:hAnsi="Calibri" w:cs="Calibri"/>
                <w:color w:val="FF0000"/>
              </w:rPr>
            </w:pPr>
            <w:r>
              <w:rPr>
                <w:rFonts w:ascii="Calibri" w:hAnsi="Calibri"/>
                <w:color w:val="000000"/>
              </w:rPr>
              <w:t>29</w:t>
            </w:r>
          </w:p>
        </w:tc>
      </w:tr>
      <w:tr w:rsidR="00115B7C" w:rsidRPr="003323E0" w14:paraId="6ED8245B" w14:textId="77777777" w:rsidTr="00DC6B34">
        <w:trPr>
          <w:trHeight w:val="288"/>
          <w:jc w:val="center"/>
        </w:trPr>
        <w:tc>
          <w:tcPr>
            <w:tcW w:w="2392" w:type="dxa"/>
            <w:tcBorders>
              <w:top w:val="nil"/>
              <w:left w:val="nil"/>
              <w:bottom w:val="nil"/>
              <w:right w:val="nil"/>
            </w:tcBorders>
            <w:shd w:val="clear" w:color="000000" w:fill="FFFFFF"/>
            <w:noWrap/>
            <w:vAlign w:val="bottom"/>
            <w:hideMark/>
          </w:tcPr>
          <w:p w14:paraId="2DE6BCB7" w14:textId="77777777" w:rsidR="00115B7C" w:rsidRPr="003323E0" w:rsidRDefault="00115B7C" w:rsidP="00115B7C">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8</w:t>
            </w:r>
            <w:r w:rsidRPr="003323E0">
              <w:rPr>
                <w:rFonts w:ascii="Calibri" w:eastAsia="Times New Roman" w:hAnsi="Calibri" w:cs="Calibri"/>
                <w:color w:val="0D0D0D"/>
              </w:rPr>
              <w:t>-203</w:t>
            </w:r>
            <w:r>
              <w:rPr>
                <w:rFonts w:ascii="Calibri" w:eastAsia="Times New Roman" w:hAnsi="Calibri" w:cs="Calibri"/>
                <w:color w:val="0D0D0D"/>
              </w:rPr>
              <w:t>2</w:t>
            </w:r>
          </w:p>
        </w:tc>
        <w:tc>
          <w:tcPr>
            <w:tcW w:w="1337" w:type="dxa"/>
            <w:tcBorders>
              <w:top w:val="nil"/>
              <w:left w:val="nil"/>
              <w:bottom w:val="nil"/>
              <w:right w:val="nil"/>
            </w:tcBorders>
            <w:shd w:val="clear" w:color="000000" w:fill="FFFFFF"/>
            <w:noWrap/>
            <w:vAlign w:val="bottom"/>
            <w:hideMark/>
          </w:tcPr>
          <w:p w14:paraId="07E283DD" w14:textId="10FB2995" w:rsidR="00115B7C" w:rsidRPr="00703045" w:rsidRDefault="00115B7C" w:rsidP="00115B7C">
            <w:pPr>
              <w:jc w:val="right"/>
              <w:rPr>
                <w:rFonts w:ascii="Calibri" w:eastAsia="Times New Roman" w:hAnsi="Calibri" w:cs="Calibri"/>
                <w:color w:val="FF0000"/>
              </w:rPr>
            </w:pPr>
            <w:r>
              <w:rPr>
                <w:rFonts w:ascii="Calibri" w:hAnsi="Calibri"/>
                <w:color w:val="000000"/>
              </w:rPr>
              <w:t>821</w:t>
            </w:r>
          </w:p>
        </w:tc>
        <w:tc>
          <w:tcPr>
            <w:tcW w:w="1337" w:type="dxa"/>
            <w:tcBorders>
              <w:top w:val="nil"/>
              <w:left w:val="nil"/>
              <w:bottom w:val="nil"/>
              <w:right w:val="nil"/>
            </w:tcBorders>
            <w:shd w:val="clear" w:color="auto" w:fill="auto"/>
            <w:noWrap/>
            <w:vAlign w:val="bottom"/>
            <w:hideMark/>
          </w:tcPr>
          <w:p w14:paraId="17E95E6C" w14:textId="12DC721C" w:rsidR="00115B7C" w:rsidRPr="00703045" w:rsidRDefault="00C8134D" w:rsidP="00115B7C">
            <w:pPr>
              <w:jc w:val="right"/>
              <w:rPr>
                <w:rFonts w:ascii="Calibri" w:eastAsia="Times New Roman" w:hAnsi="Calibri" w:cs="Calibri"/>
                <w:color w:val="FF0000"/>
              </w:rPr>
            </w:pPr>
            <w:r>
              <w:rPr>
                <w:rFonts w:ascii="Calibri" w:hAnsi="Calibri"/>
                <w:color w:val="000000"/>
              </w:rPr>
              <w:t>115</w:t>
            </w:r>
          </w:p>
        </w:tc>
      </w:tr>
      <w:tr w:rsidR="00115B7C" w:rsidRPr="003323E0" w14:paraId="08145E35" w14:textId="77777777" w:rsidTr="00DC6B34">
        <w:trPr>
          <w:trHeight w:val="288"/>
          <w:jc w:val="center"/>
        </w:trPr>
        <w:tc>
          <w:tcPr>
            <w:tcW w:w="2392" w:type="dxa"/>
            <w:tcBorders>
              <w:top w:val="nil"/>
              <w:left w:val="nil"/>
              <w:bottom w:val="nil"/>
              <w:right w:val="nil"/>
            </w:tcBorders>
            <w:shd w:val="clear" w:color="000000" w:fill="FFFFFF"/>
            <w:noWrap/>
            <w:vAlign w:val="bottom"/>
            <w:hideMark/>
          </w:tcPr>
          <w:p w14:paraId="74F7B011" w14:textId="77777777" w:rsidR="00115B7C" w:rsidRPr="003323E0" w:rsidRDefault="00115B7C" w:rsidP="00115B7C">
            <w:pPr>
              <w:jc w:val="center"/>
              <w:rPr>
                <w:rFonts w:ascii="Calibri" w:eastAsia="Times New Roman" w:hAnsi="Calibri" w:cs="Calibri"/>
                <w:color w:val="0D0D0D"/>
              </w:rPr>
            </w:pPr>
            <w:r w:rsidRPr="003323E0">
              <w:rPr>
                <w:rFonts w:ascii="Calibri" w:eastAsia="Times New Roman" w:hAnsi="Calibri" w:cs="Calibri"/>
                <w:color w:val="0D0D0D"/>
              </w:rPr>
              <w:t>203</w:t>
            </w:r>
            <w:r>
              <w:rPr>
                <w:rFonts w:ascii="Calibri" w:eastAsia="Times New Roman" w:hAnsi="Calibri" w:cs="Calibri"/>
                <w:color w:val="0D0D0D"/>
              </w:rPr>
              <w:t>3</w:t>
            </w:r>
            <w:r w:rsidRPr="003323E0">
              <w:rPr>
                <w:rFonts w:ascii="Calibri" w:eastAsia="Times New Roman" w:hAnsi="Calibri" w:cs="Calibri"/>
                <w:color w:val="0D0D0D"/>
              </w:rPr>
              <w:t>-203</w:t>
            </w:r>
            <w:r>
              <w:rPr>
                <w:rFonts w:ascii="Calibri" w:eastAsia="Times New Roman" w:hAnsi="Calibri" w:cs="Calibri"/>
                <w:color w:val="0D0D0D"/>
              </w:rPr>
              <w:t>7</w:t>
            </w:r>
          </w:p>
        </w:tc>
        <w:tc>
          <w:tcPr>
            <w:tcW w:w="1337" w:type="dxa"/>
            <w:tcBorders>
              <w:top w:val="nil"/>
              <w:left w:val="nil"/>
              <w:bottom w:val="nil"/>
              <w:right w:val="nil"/>
            </w:tcBorders>
            <w:shd w:val="clear" w:color="000000" w:fill="FFFFFF"/>
            <w:noWrap/>
            <w:vAlign w:val="bottom"/>
            <w:hideMark/>
          </w:tcPr>
          <w:p w14:paraId="5D2A6380" w14:textId="061A488F" w:rsidR="00115B7C" w:rsidRPr="00703045" w:rsidRDefault="00115B7C" w:rsidP="00115B7C">
            <w:pPr>
              <w:jc w:val="right"/>
              <w:rPr>
                <w:rFonts w:ascii="Calibri" w:eastAsia="Times New Roman" w:hAnsi="Calibri" w:cs="Calibri"/>
                <w:color w:val="FF0000"/>
              </w:rPr>
            </w:pPr>
            <w:r>
              <w:rPr>
                <w:rFonts w:ascii="Calibri" w:hAnsi="Calibri"/>
                <w:color w:val="000000"/>
              </w:rPr>
              <w:t>631</w:t>
            </w:r>
          </w:p>
        </w:tc>
        <w:tc>
          <w:tcPr>
            <w:tcW w:w="1337" w:type="dxa"/>
            <w:tcBorders>
              <w:top w:val="nil"/>
              <w:left w:val="nil"/>
              <w:bottom w:val="nil"/>
              <w:right w:val="nil"/>
            </w:tcBorders>
            <w:shd w:val="clear" w:color="auto" w:fill="auto"/>
            <w:noWrap/>
            <w:vAlign w:val="bottom"/>
            <w:hideMark/>
          </w:tcPr>
          <w:p w14:paraId="3E3811EC" w14:textId="02499365" w:rsidR="00115B7C" w:rsidRPr="00703045" w:rsidRDefault="00C8134D" w:rsidP="00115B7C">
            <w:pPr>
              <w:jc w:val="right"/>
              <w:rPr>
                <w:rFonts w:ascii="Calibri" w:eastAsia="Times New Roman" w:hAnsi="Calibri" w:cs="Calibri"/>
                <w:color w:val="FF0000"/>
              </w:rPr>
            </w:pPr>
            <w:r>
              <w:rPr>
                <w:rFonts w:ascii="Calibri" w:hAnsi="Calibri"/>
                <w:color w:val="000000"/>
              </w:rPr>
              <w:t>73</w:t>
            </w:r>
          </w:p>
        </w:tc>
      </w:tr>
      <w:tr w:rsidR="00115B7C" w:rsidRPr="003323E0" w14:paraId="5DEA0D58" w14:textId="77777777" w:rsidTr="00DC6B34">
        <w:trPr>
          <w:trHeight w:val="288"/>
          <w:jc w:val="center"/>
        </w:trPr>
        <w:tc>
          <w:tcPr>
            <w:tcW w:w="2392" w:type="dxa"/>
            <w:tcBorders>
              <w:top w:val="nil"/>
              <w:left w:val="nil"/>
              <w:bottom w:val="nil"/>
              <w:right w:val="nil"/>
            </w:tcBorders>
            <w:shd w:val="clear" w:color="000000" w:fill="FFFFFF"/>
            <w:noWrap/>
            <w:vAlign w:val="bottom"/>
          </w:tcPr>
          <w:p w14:paraId="106ED812" w14:textId="7952D121" w:rsidR="00115B7C" w:rsidRPr="003323E0" w:rsidRDefault="00115B7C" w:rsidP="00115B7C">
            <w:pPr>
              <w:jc w:val="center"/>
              <w:rPr>
                <w:rFonts w:ascii="Calibri" w:eastAsia="Times New Roman" w:hAnsi="Calibri" w:cs="Calibri"/>
                <w:color w:val="0D0D0D"/>
              </w:rPr>
            </w:pPr>
            <w:r>
              <w:rPr>
                <w:rFonts w:ascii="Calibri" w:eastAsia="Times New Roman" w:hAnsi="Calibri" w:cs="Calibri"/>
                <w:color w:val="0D0D0D"/>
              </w:rPr>
              <w:t>2038-204</w:t>
            </w:r>
            <w:r w:rsidR="002A33E5">
              <w:rPr>
                <w:rFonts w:ascii="Calibri" w:eastAsia="Times New Roman" w:hAnsi="Calibri" w:cs="Calibri"/>
                <w:color w:val="0D0D0D"/>
              </w:rPr>
              <w:t>2</w:t>
            </w:r>
          </w:p>
        </w:tc>
        <w:tc>
          <w:tcPr>
            <w:tcW w:w="1337" w:type="dxa"/>
            <w:tcBorders>
              <w:top w:val="nil"/>
              <w:left w:val="nil"/>
              <w:bottom w:val="nil"/>
              <w:right w:val="nil"/>
            </w:tcBorders>
            <w:shd w:val="clear" w:color="000000" w:fill="FFFFFF"/>
            <w:noWrap/>
            <w:vAlign w:val="bottom"/>
          </w:tcPr>
          <w:p w14:paraId="0763E297" w14:textId="708A13E6" w:rsidR="00115B7C" w:rsidRDefault="00115B7C" w:rsidP="00115B7C">
            <w:pPr>
              <w:jc w:val="right"/>
              <w:rPr>
                <w:rFonts w:ascii="Calibri" w:hAnsi="Calibri" w:cs="Calibri"/>
                <w:color w:val="000000"/>
              </w:rPr>
            </w:pPr>
            <w:r>
              <w:rPr>
                <w:rFonts w:ascii="Calibri" w:hAnsi="Calibri"/>
                <w:color w:val="000000"/>
              </w:rPr>
              <w:t>560</w:t>
            </w:r>
          </w:p>
        </w:tc>
        <w:tc>
          <w:tcPr>
            <w:tcW w:w="1337" w:type="dxa"/>
            <w:tcBorders>
              <w:top w:val="nil"/>
              <w:left w:val="nil"/>
              <w:bottom w:val="nil"/>
              <w:right w:val="nil"/>
            </w:tcBorders>
            <w:shd w:val="clear" w:color="auto" w:fill="auto"/>
            <w:noWrap/>
            <w:vAlign w:val="bottom"/>
          </w:tcPr>
          <w:p w14:paraId="1DF8693D" w14:textId="6D4A2669" w:rsidR="00115B7C" w:rsidRDefault="00C8134D" w:rsidP="00115B7C">
            <w:pPr>
              <w:jc w:val="right"/>
              <w:rPr>
                <w:rFonts w:ascii="Calibri" w:hAnsi="Calibri" w:cs="Calibri"/>
                <w:color w:val="000000"/>
              </w:rPr>
            </w:pPr>
            <w:r>
              <w:rPr>
                <w:rFonts w:ascii="Calibri" w:hAnsi="Calibri"/>
                <w:color w:val="000000"/>
              </w:rPr>
              <w:t>29</w:t>
            </w:r>
          </w:p>
        </w:tc>
      </w:tr>
      <w:tr w:rsidR="00115B7C" w:rsidRPr="003323E0" w14:paraId="2F3D32C2" w14:textId="77777777" w:rsidTr="00DC6B34">
        <w:trPr>
          <w:trHeight w:val="288"/>
          <w:jc w:val="center"/>
        </w:trPr>
        <w:tc>
          <w:tcPr>
            <w:tcW w:w="2392" w:type="dxa"/>
            <w:tcBorders>
              <w:top w:val="nil"/>
              <w:left w:val="nil"/>
              <w:bottom w:val="nil"/>
              <w:right w:val="nil"/>
            </w:tcBorders>
            <w:shd w:val="clear" w:color="000000" w:fill="FFFFFF"/>
            <w:noWrap/>
            <w:vAlign w:val="bottom"/>
          </w:tcPr>
          <w:p w14:paraId="3E2450BC" w14:textId="66BE3221" w:rsidR="00115B7C" w:rsidRDefault="00115B7C">
            <w:pPr>
              <w:jc w:val="center"/>
              <w:rPr>
                <w:rFonts w:ascii="Calibri" w:eastAsia="Times New Roman" w:hAnsi="Calibri" w:cs="Calibri"/>
                <w:color w:val="0D0D0D"/>
              </w:rPr>
            </w:pPr>
            <w:r>
              <w:rPr>
                <w:rFonts w:ascii="Calibri" w:eastAsia="Times New Roman" w:hAnsi="Calibri" w:cs="Calibri"/>
                <w:color w:val="0D0D0D"/>
              </w:rPr>
              <w:t>204</w:t>
            </w:r>
            <w:r w:rsidR="002A33E5">
              <w:rPr>
                <w:rFonts w:ascii="Calibri" w:eastAsia="Times New Roman" w:hAnsi="Calibri" w:cs="Calibri"/>
                <w:color w:val="0D0D0D"/>
              </w:rPr>
              <w:t>3</w:t>
            </w:r>
            <w:r>
              <w:rPr>
                <w:rFonts w:ascii="Calibri" w:eastAsia="Times New Roman" w:hAnsi="Calibri" w:cs="Calibri"/>
                <w:color w:val="0D0D0D"/>
              </w:rPr>
              <w:t>-2047</w:t>
            </w:r>
          </w:p>
        </w:tc>
        <w:tc>
          <w:tcPr>
            <w:tcW w:w="1337" w:type="dxa"/>
            <w:tcBorders>
              <w:top w:val="nil"/>
              <w:left w:val="nil"/>
              <w:bottom w:val="nil"/>
              <w:right w:val="nil"/>
            </w:tcBorders>
            <w:shd w:val="clear" w:color="000000" w:fill="FFFFFF"/>
            <w:noWrap/>
            <w:vAlign w:val="bottom"/>
          </w:tcPr>
          <w:p w14:paraId="123A0FB2" w14:textId="0E882D7C" w:rsidR="00115B7C" w:rsidRDefault="00115B7C">
            <w:pPr>
              <w:jc w:val="right"/>
              <w:rPr>
                <w:rFonts w:ascii="Calibri" w:hAnsi="Calibri" w:cs="Calibri"/>
                <w:color w:val="000000"/>
              </w:rPr>
            </w:pPr>
            <w:r>
              <w:rPr>
                <w:rFonts w:ascii="Calibri" w:hAnsi="Calibri"/>
                <w:color w:val="000000"/>
              </w:rPr>
              <w:t>21</w:t>
            </w:r>
            <w:r w:rsidR="0042433C">
              <w:rPr>
                <w:rFonts w:ascii="Calibri" w:hAnsi="Calibri"/>
                <w:color w:val="000000"/>
              </w:rPr>
              <w:t>4</w:t>
            </w:r>
          </w:p>
        </w:tc>
        <w:tc>
          <w:tcPr>
            <w:tcW w:w="1337" w:type="dxa"/>
            <w:tcBorders>
              <w:top w:val="nil"/>
              <w:left w:val="nil"/>
              <w:bottom w:val="nil"/>
              <w:right w:val="nil"/>
            </w:tcBorders>
            <w:shd w:val="clear" w:color="auto" w:fill="auto"/>
            <w:noWrap/>
            <w:vAlign w:val="bottom"/>
          </w:tcPr>
          <w:p w14:paraId="5878D982" w14:textId="6136D48E" w:rsidR="00115B7C" w:rsidRDefault="00C8134D" w:rsidP="00115B7C">
            <w:pPr>
              <w:jc w:val="right"/>
              <w:rPr>
                <w:rFonts w:ascii="Calibri" w:hAnsi="Calibri" w:cs="Calibri"/>
                <w:color w:val="000000"/>
              </w:rPr>
            </w:pPr>
            <w:r>
              <w:rPr>
                <w:rFonts w:ascii="Calibri" w:hAnsi="Calibri"/>
                <w:color w:val="000000"/>
              </w:rPr>
              <w:t>5</w:t>
            </w:r>
          </w:p>
        </w:tc>
      </w:tr>
      <w:tr w:rsidR="00115B7C" w:rsidRPr="00F651F5" w14:paraId="64FCC00E" w14:textId="77777777" w:rsidTr="00DC6B34">
        <w:trPr>
          <w:trHeight w:val="300"/>
          <w:jc w:val="center"/>
        </w:trPr>
        <w:tc>
          <w:tcPr>
            <w:tcW w:w="2392" w:type="dxa"/>
            <w:tcBorders>
              <w:top w:val="single" w:sz="4" w:space="0" w:color="00688D"/>
              <w:left w:val="nil"/>
              <w:bottom w:val="double" w:sz="6" w:space="0" w:color="00688D"/>
              <w:right w:val="nil"/>
            </w:tcBorders>
            <w:shd w:val="clear" w:color="000000" w:fill="FFFFFF"/>
            <w:noWrap/>
            <w:vAlign w:val="bottom"/>
            <w:hideMark/>
          </w:tcPr>
          <w:p w14:paraId="770ECE0B" w14:textId="77777777" w:rsidR="00115B7C" w:rsidRPr="003323E0" w:rsidRDefault="00115B7C" w:rsidP="00115B7C">
            <w:pPr>
              <w:rPr>
                <w:rFonts w:ascii="Calibri" w:eastAsia="Times New Roman" w:hAnsi="Calibri" w:cs="Calibri"/>
                <w:b/>
                <w:bCs/>
                <w:color w:val="0D0D0D"/>
              </w:rPr>
            </w:pPr>
            <w:r w:rsidRPr="003323E0">
              <w:rPr>
                <w:rFonts w:ascii="Calibri" w:eastAsia="Times New Roman" w:hAnsi="Calibri" w:cs="Calibri"/>
                <w:b/>
                <w:bCs/>
                <w:color w:val="0D0D0D"/>
              </w:rPr>
              <w:t xml:space="preserve">Total </w:t>
            </w:r>
            <w:r>
              <w:rPr>
                <w:rFonts w:ascii="Calibri" w:eastAsia="Times New Roman" w:hAnsi="Calibri" w:cs="Calibri"/>
                <w:b/>
                <w:bCs/>
                <w:color w:val="0D0D0D"/>
              </w:rPr>
              <w:t>P</w:t>
            </w:r>
            <w:r w:rsidRPr="003323E0">
              <w:rPr>
                <w:rFonts w:ascii="Calibri" w:eastAsia="Times New Roman" w:hAnsi="Calibri" w:cs="Calibri"/>
                <w:b/>
                <w:bCs/>
                <w:color w:val="0D0D0D"/>
              </w:rPr>
              <w:t>ayments</w:t>
            </w:r>
          </w:p>
        </w:tc>
        <w:tc>
          <w:tcPr>
            <w:tcW w:w="1337" w:type="dxa"/>
            <w:tcBorders>
              <w:top w:val="single" w:sz="4" w:space="0" w:color="00688D"/>
              <w:left w:val="nil"/>
              <w:bottom w:val="double" w:sz="6" w:space="0" w:color="00688D"/>
              <w:right w:val="nil"/>
            </w:tcBorders>
            <w:shd w:val="clear" w:color="000000" w:fill="FFFFFF"/>
            <w:noWrap/>
            <w:vAlign w:val="bottom"/>
            <w:hideMark/>
          </w:tcPr>
          <w:p w14:paraId="0E037D7A" w14:textId="336F961D" w:rsidR="00115B7C" w:rsidRPr="00703045" w:rsidRDefault="00115B7C">
            <w:pPr>
              <w:jc w:val="right"/>
              <w:rPr>
                <w:rFonts w:ascii="Calibri" w:eastAsia="Times New Roman" w:hAnsi="Calibri" w:cs="Calibri"/>
                <w:color w:val="FF0000"/>
              </w:rPr>
            </w:pPr>
            <w:r>
              <w:rPr>
                <w:rFonts w:ascii="Calibri" w:hAnsi="Calibri" w:cs="Calibri"/>
              </w:rPr>
              <w:t xml:space="preserve"> $ </w:t>
            </w:r>
            <w:r w:rsidR="00EA3805">
              <w:rPr>
                <w:rFonts w:ascii="Calibri" w:hAnsi="Calibri" w:cs="Calibri"/>
              </w:rPr>
              <w:t>3,75</w:t>
            </w:r>
            <w:r w:rsidR="0042433C">
              <w:rPr>
                <w:rFonts w:ascii="Calibri" w:hAnsi="Calibri" w:cs="Calibri"/>
              </w:rPr>
              <w:t>9</w:t>
            </w:r>
            <w:r>
              <w:rPr>
                <w:rFonts w:ascii="Calibri" w:hAnsi="Calibri" w:cs="Calibri"/>
              </w:rPr>
              <w:t xml:space="preserve"> </w:t>
            </w:r>
          </w:p>
        </w:tc>
        <w:tc>
          <w:tcPr>
            <w:tcW w:w="1337" w:type="dxa"/>
            <w:tcBorders>
              <w:top w:val="single" w:sz="4" w:space="0" w:color="00688D"/>
              <w:left w:val="nil"/>
              <w:bottom w:val="double" w:sz="6" w:space="0" w:color="00688D"/>
              <w:right w:val="nil"/>
            </w:tcBorders>
            <w:shd w:val="clear" w:color="auto" w:fill="auto"/>
            <w:noWrap/>
            <w:vAlign w:val="bottom"/>
            <w:hideMark/>
          </w:tcPr>
          <w:p w14:paraId="36F16000" w14:textId="25155A85" w:rsidR="00115B7C" w:rsidRPr="00703045" w:rsidRDefault="00115B7C" w:rsidP="009B795B">
            <w:pPr>
              <w:jc w:val="right"/>
              <w:rPr>
                <w:rFonts w:ascii="Calibri" w:eastAsia="Times New Roman" w:hAnsi="Calibri" w:cs="Calibri"/>
                <w:color w:val="FF0000"/>
              </w:rPr>
            </w:pPr>
            <w:r>
              <w:rPr>
                <w:rFonts w:ascii="Calibri" w:hAnsi="Calibri" w:cs="Calibri"/>
              </w:rPr>
              <w:t xml:space="preserve"> $  </w:t>
            </w:r>
            <w:r w:rsidR="00C8134D">
              <w:rPr>
                <w:rFonts w:ascii="Calibri" w:hAnsi="Calibri" w:cs="Calibri"/>
              </w:rPr>
              <w:t xml:space="preserve">394 </w:t>
            </w:r>
          </w:p>
        </w:tc>
      </w:tr>
    </w:tbl>
    <w:p w14:paraId="349DABAF" w14:textId="77777777" w:rsidR="00373110" w:rsidRDefault="00373110">
      <w:pPr>
        <w:spacing w:after="160" w:line="259" w:lineRule="auto"/>
        <w:rPr>
          <w:rFonts w:eastAsiaTheme="majorEastAsia" w:cstheme="minorHAnsi"/>
          <w:b/>
          <w:i/>
          <w:iCs/>
          <w:smallCaps/>
          <w:noProof/>
          <w:color w:val="000000" w:themeColor="text1"/>
          <w:sz w:val="26"/>
          <w:szCs w:val="26"/>
          <w:u w:color="5B9BD5"/>
        </w:rPr>
      </w:pPr>
      <w:r>
        <w:rPr>
          <w:rFonts w:cstheme="minorHAnsi"/>
          <w:sz w:val="26"/>
          <w:szCs w:val="26"/>
        </w:rPr>
        <w:br w:type="page"/>
      </w:r>
    </w:p>
    <w:p w14:paraId="4B8A0D97" w14:textId="794A5B4E" w:rsidR="00721CFD" w:rsidRPr="00F54559" w:rsidRDefault="00721CFD" w:rsidP="00721CFD">
      <w:pPr>
        <w:pStyle w:val="AFR2"/>
        <w:rPr>
          <w:rFonts w:cstheme="minorHAnsi"/>
          <w:sz w:val="26"/>
          <w:szCs w:val="26"/>
        </w:rPr>
      </w:pPr>
      <w:r w:rsidRPr="00F54559">
        <w:rPr>
          <w:rFonts w:cstheme="minorHAnsi"/>
          <w:sz w:val="26"/>
          <w:szCs w:val="26"/>
        </w:rPr>
        <w:lastRenderedPageBreak/>
        <w:t>6. CAPITAL ASSETS</w:t>
      </w:r>
    </w:p>
    <w:p w14:paraId="0A383965" w14:textId="77777777" w:rsidR="00721CFD" w:rsidRDefault="00721CFD" w:rsidP="00721CFD">
      <w:pPr>
        <w:tabs>
          <w:tab w:val="left" w:pos="720"/>
          <w:tab w:val="left" w:pos="1440"/>
          <w:tab w:val="right" w:pos="4262"/>
          <w:tab w:val="right" w:pos="5220"/>
          <w:tab w:val="right" w:pos="6691"/>
          <w:tab w:val="right" w:pos="7621"/>
          <w:tab w:val="right" w:pos="9187"/>
        </w:tabs>
        <w:suppressAutoHyphens/>
        <w:spacing w:after="120"/>
        <w:rPr>
          <w:rFonts w:cstheme="minorHAnsi"/>
          <w:bCs/>
          <w:spacing w:val="-3"/>
          <w:sz w:val="24"/>
        </w:rPr>
      </w:pPr>
      <w:r w:rsidRPr="00F54559">
        <w:rPr>
          <w:rFonts w:cstheme="minorHAnsi"/>
          <w:bCs/>
          <w:spacing w:val="-3"/>
          <w:sz w:val="24"/>
        </w:rPr>
        <w:t>Capital asset activity for the year ended June 30</w:t>
      </w:r>
      <w:r>
        <w:rPr>
          <w:rFonts w:cstheme="minorHAnsi"/>
          <w:bCs/>
          <w:spacing w:val="-3"/>
          <w:sz w:val="24"/>
        </w:rPr>
        <w:t xml:space="preserve"> </w:t>
      </w:r>
      <w:r w:rsidRPr="00F54559">
        <w:rPr>
          <w:rFonts w:cstheme="minorHAnsi"/>
          <w:bCs/>
          <w:spacing w:val="-3"/>
          <w:sz w:val="24"/>
        </w:rPr>
        <w:t>is as follows:</w:t>
      </w:r>
    </w:p>
    <w:p w14:paraId="29FE7B82" w14:textId="204884F6" w:rsidR="00721CFD" w:rsidRPr="00F54559" w:rsidRDefault="005E4912" w:rsidP="00721CFD">
      <w:pPr>
        <w:tabs>
          <w:tab w:val="left" w:pos="720"/>
          <w:tab w:val="left" w:pos="1440"/>
          <w:tab w:val="right" w:pos="4262"/>
          <w:tab w:val="right" w:pos="5220"/>
          <w:tab w:val="right" w:pos="6691"/>
          <w:tab w:val="right" w:pos="7621"/>
          <w:tab w:val="right" w:pos="9187"/>
        </w:tabs>
        <w:suppressAutoHyphens/>
        <w:spacing w:after="120"/>
        <w:rPr>
          <w:rFonts w:cstheme="minorHAnsi"/>
          <w:bCs/>
          <w:spacing w:val="-3"/>
          <w:sz w:val="24"/>
        </w:rPr>
      </w:pPr>
      <w:r w:rsidRPr="005E4912">
        <w:rPr>
          <w:noProof/>
        </w:rPr>
        <w:drawing>
          <wp:inline distT="0" distB="0" distL="0" distR="0" wp14:anchorId="7E949595" wp14:editId="0C158E89">
            <wp:extent cx="5943600" cy="4037902"/>
            <wp:effectExtent l="0" t="0" r="0" b="1270"/>
            <wp:docPr id="27" name="Picture 27" descr="2022     &#10; &quot;Beginning&#10;Balance Restated&quot; Additions Reclassifications Retirements &quot;Ending&#10;Balance&quot;&#10;Land  $18,376   $-   $-   $-   $18,376 &#10;Library materials  25,687   -   -   -   25,687 &#10;Construction in progress  50,455   114,051   (17,294)  -   147,212 &#10;Total nondepreciable assets  94,518   114,051   (17,294)  -   191,275 &#10;Land improvements  63,597   -   3,498   (306)  66,789 &#10;Buildings &amp; improvements  961,281   -   12,235   (1,199)  972,317 &#10;Equipment  167,685   4,606   1,561   (2,442)  171,410 &#10;Software  35,696   6   -   (101)  35,601 &#10;Right of use assets, buildings (Note 7)  16,490   22,587   -   -   39,077 &#10;Total depreciable assets  1,244,749   27,199   17,294   (4,048)  1,285,194 &#10;Less accumulated depreciation:     &#10;Land improvements  44,688   2,325   -   (297)  46,716 &#10;Buildings &amp; improvements  438,259   27,421   -   (752)  464,928 &#10;Equipment  122,998   10,490   -   (2,295)  131,193 &#10;Software  30,300   1,566   -   (101)  31,765 &#10;Right of use assets, buildings (Note 7)  1,624   2,432   -   -   4,056 &#10;Total accumulated depreciation  637,869   44,234   -   (3,445)  678,658 &#10;Net depreciable assets  606,880   (17,035)  17,294   (603)  606,536 &#10;Total capital assets, net  $701,398   $97,016   $-   $(603)  $79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2022     &#10; &quot;Beginning&#10;Balance Restated&quot; Additions Reclassifications Retirements &quot;Ending&#10;Balance&quot;&#10;Land  $18,376   $-   $-   $-   $18,376 &#10;Library materials  25,687   -   -   -   25,687 &#10;Construction in progress  50,455   114,051   (17,294)  -   147,212 &#10;Total nondepreciable assets  94,518   114,051   (17,294)  -   191,275 &#10;Land improvements  63,597   -   3,498   (306)  66,789 &#10;Buildings &amp; improvements  961,281   -   12,235   (1,199)  972,317 &#10;Equipment  167,685   4,606   1,561   (2,442)  171,410 &#10;Software  35,696   6   -   (101)  35,601 &#10;Right of use assets, buildings (Note 7)  16,490   22,587   -   -   39,077 &#10;Total depreciable assets  1,244,749   27,199   17,294   (4,048)  1,285,194 &#10;Less accumulated depreciation:     &#10;Land improvements  44,688   2,325   -   (297)  46,716 &#10;Buildings &amp; improvements  438,259   27,421   -   (752)  464,928 &#10;Equipment  122,998   10,490   -   (2,295)  131,193 &#10;Software  30,300   1,566   -   (101)  31,765 &#10;Right of use assets, buildings (Note 7)  1,624   2,432   -   -   4,056 &#10;Total accumulated depreciation  637,869   44,234   -   (3,445)  678,658 &#10;Net depreciable assets  606,880   (17,035)  17,294   (603)  606,536 &#10;Total capital assets, net  $701,398   $97,016   $-   $(603)  $797,8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037902"/>
                    </a:xfrm>
                    <a:prstGeom prst="rect">
                      <a:avLst/>
                    </a:prstGeom>
                    <a:noFill/>
                    <a:ln>
                      <a:noFill/>
                    </a:ln>
                  </pic:spPr>
                </pic:pic>
              </a:graphicData>
            </a:graphic>
          </wp:inline>
        </w:drawing>
      </w:r>
      <w:r w:rsidR="00721CFD">
        <w:rPr>
          <w:rFonts w:cstheme="minorHAnsi"/>
          <w:bCs/>
          <w:spacing w:val="-3"/>
          <w:sz w:val="24"/>
        </w:rPr>
        <w:fldChar w:fldCharType="begin"/>
      </w:r>
      <w:r w:rsidR="00721CFD">
        <w:rPr>
          <w:rFonts w:cstheme="minorHAnsi"/>
          <w:bCs/>
          <w:spacing w:val="-3"/>
          <w:sz w:val="24"/>
        </w:rPr>
        <w:fldChar w:fldCharType="end"/>
      </w:r>
    </w:p>
    <w:p w14:paraId="3F3439AF" w14:textId="32D4AA5F" w:rsidR="005B6CCB" w:rsidRDefault="005B6CCB">
      <w:pPr>
        <w:spacing w:after="160" w:line="259" w:lineRule="auto"/>
        <w:rPr>
          <w:rFonts w:cstheme="minorHAnsi"/>
          <w:bCs/>
          <w:spacing w:val="-3"/>
          <w:sz w:val="24"/>
        </w:rPr>
      </w:pPr>
      <w:r>
        <w:rPr>
          <w:rFonts w:cstheme="minorHAnsi"/>
          <w:bCs/>
          <w:spacing w:val="-3"/>
          <w:sz w:val="24"/>
        </w:rPr>
        <w:br w:type="page"/>
      </w:r>
    </w:p>
    <w:p w14:paraId="007B3850" w14:textId="09124492" w:rsidR="00777751" w:rsidRDefault="00777751" w:rsidP="002162A8">
      <w:pPr>
        <w:tabs>
          <w:tab w:val="left" w:pos="720"/>
          <w:tab w:val="left" w:pos="1022"/>
          <w:tab w:val="left" w:pos="1440"/>
          <w:tab w:val="decimal" w:pos="6890"/>
          <w:tab w:val="decimal" w:pos="9454"/>
          <w:tab w:val="left" w:pos="10440"/>
        </w:tabs>
        <w:suppressAutoHyphens/>
        <w:spacing w:after="240"/>
        <w:rPr>
          <w:rFonts w:eastAsiaTheme="majorEastAsia" w:cstheme="minorHAnsi"/>
          <w:b/>
          <w:i/>
          <w:iCs/>
          <w:smallCaps/>
          <w:noProof/>
          <w:color w:val="000000" w:themeColor="text1"/>
          <w:sz w:val="26"/>
          <w:szCs w:val="26"/>
          <w:u w:color="5B9BD5"/>
        </w:rPr>
      </w:pPr>
      <w:r w:rsidRPr="00F54559">
        <w:rPr>
          <w:rFonts w:eastAsiaTheme="majorEastAsia" w:cstheme="minorHAnsi"/>
          <w:b/>
          <w:i/>
          <w:iCs/>
          <w:smallCaps/>
          <w:noProof/>
          <w:color w:val="000000" w:themeColor="text1"/>
          <w:sz w:val="26"/>
          <w:szCs w:val="26"/>
          <w:u w:color="5B9BD5"/>
        </w:rPr>
        <w:lastRenderedPageBreak/>
        <w:t>6. CAPITAL ASSETS - CONTINUED</w:t>
      </w:r>
    </w:p>
    <w:p w14:paraId="76552647" w14:textId="400FF4EF" w:rsidR="00721CFD" w:rsidRDefault="00721CFD" w:rsidP="00721CFD">
      <w:pPr>
        <w:tabs>
          <w:tab w:val="left" w:pos="720"/>
          <w:tab w:val="left" w:pos="1440"/>
          <w:tab w:val="right" w:pos="4262"/>
          <w:tab w:val="right" w:pos="5220"/>
          <w:tab w:val="right" w:pos="6691"/>
          <w:tab w:val="right" w:pos="7621"/>
          <w:tab w:val="right" w:pos="9187"/>
        </w:tabs>
        <w:suppressAutoHyphens/>
        <w:spacing w:after="120"/>
        <w:rPr>
          <w:rFonts w:cstheme="minorHAnsi"/>
          <w:bCs/>
          <w:spacing w:val="-3"/>
          <w:sz w:val="24"/>
        </w:rPr>
      </w:pPr>
      <w:r w:rsidRPr="00F54559">
        <w:rPr>
          <w:rFonts w:cstheme="minorHAnsi"/>
          <w:bCs/>
          <w:spacing w:val="-3"/>
          <w:sz w:val="24"/>
        </w:rPr>
        <w:t>Capital asset activity for the year ended June 30</w:t>
      </w:r>
      <w:r>
        <w:rPr>
          <w:rFonts w:cstheme="minorHAnsi"/>
          <w:bCs/>
          <w:spacing w:val="-3"/>
          <w:sz w:val="24"/>
        </w:rPr>
        <w:t xml:space="preserve"> </w:t>
      </w:r>
      <w:r w:rsidRPr="00F54559">
        <w:rPr>
          <w:rFonts w:cstheme="minorHAnsi"/>
          <w:bCs/>
          <w:spacing w:val="-3"/>
          <w:sz w:val="24"/>
        </w:rPr>
        <w:t>is as follows:</w:t>
      </w:r>
      <w:r>
        <w:rPr>
          <w:rFonts w:cstheme="minorHAnsi"/>
          <w:bCs/>
          <w:spacing w:val="-3"/>
          <w:sz w:val="24"/>
        </w:rPr>
        <w:t xml:space="preserve"> </w:t>
      </w:r>
    </w:p>
    <w:p w14:paraId="442A2EE3" w14:textId="79D7ADB3" w:rsidR="00F10230" w:rsidRDefault="005E4912" w:rsidP="00562515">
      <w:pPr>
        <w:tabs>
          <w:tab w:val="left" w:pos="720"/>
          <w:tab w:val="left" w:pos="1440"/>
          <w:tab w:val="right" w:pos="4262"/>
          <w:tab w:val="right" w:pos="5220"/>
          <w:tab w:val="right" w:pos="6691"/>
          <w:tab w:val="right" w:pos="7621"/>
          <w:tab w:val="right" w:pos="9187"/>
        </w:tabs>
        <w:suppressAutoHyphens/>
        <w:spacing w:after="160"/>
        <w:rPr>
          <w:rFonts w:cstheme="minorHAnsi"/>
          <w:bCs/>
          <w:spacing w:val="-3"/>
          <w:sz w:val="24"/>
        </w:rPr>
      </w:pPr>
      <w:r w:rsidRPr="005E4912">
        <w:rPr>
          <w:noProof/>
        </w:rPr>
        <w:drawing>
          <wp:inline distT="0" distB="0" distL="0" distR="0" wp14:anchorId="38A69BEB" wp14:editId="505481D7">
            <wp:extent cx="5943600" cy="3891580"/>
            <wp:effectExtent l="0" t="0" r="0" b="0"/>
            <wp:docPr id="28" name="Picture 28" descr="2021 Restated     &#10; &quot;Beginning&#10;Balance&quot; Additions Reclassifications Retirements &quot;Ending&#10;Balance&quot;&#10;Land  $18,376   $-   $-   $-   $18,376 &#10;Library materials  25,687   -   -   -   25,687 &#10;Construction in progress  23,582   45,985   (19,112)  -   50,455 &#10;Total nondepreciable assets  67,645   45,985   (19,112)  -   94,518 &#10;Land improvements  62,885   -   874   (162)  63,597 &#10;Buildings &amp; improvements  951,171   -   14,674   (4,564)  961,281 &#10;Equipment  164,266   3,978   3,564   (4,123)  167,685 &#10;Software  35,793   -   -   (97)  35,696 &#10;Right of use assets, buildings (Note 7)  10,818   5,672   -   -   16,490 &#10;Total depreciable assets  1,224,933   9,650   19,112   (8,946)  1,244,749 &#10;Less accumulated depreciation:     &#10;Land improvements  42,545   2,304   -   (161)  44,688 &#10;Buildings &amp; improvements  414,066   27,015   -   (2,822)  438,259 &#10;Equipment  115,959   10,674   -   (3,635)  122,998 &#10;Software  28,359   2,005   -   (64)  30,300 &#10;Right of use assets, buildings (Note 7)  -   1,624   -   -   1,624 &#10;Total accumulated depreciation  600,929   43,622   -   (6,682)  637,869 &#10;Net depreciable assets  624,004   (33,972)  19,112   (2,264)  606,880 &#10;Total capital assets, net   $691,649   $12,013   $-   $(2,264)  $70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021 Restated     &#10; &quot;Beginning&#10;Balance&quot; Additions Reclassifications Retirements &quot;Ending&#10;Balance&quot;&#10;Land  $18,376   $-   $-   $-   $18,376 &#10;Library materials  25,687   -   -   -   25,687 &#10;Construction in progress  23,582   45,985   (19,112)  -   50,455 &#10;Total nondepreciable assets  67,645   45,985   (19,112)  -   94,518 &#10;Land improvements  62,885   -   874   (162)  63,597 &#10;Buildings &amp; improvements  951,171   -   14,674   (4,564)  961,281 &#10;Equipment  164,266   3,978   3,564   (4,123)  167,685 &#10;Software  35,793   -   -   (97)  35,696 &#10;Right of use assets, buildings (Note 7)  10,818   5,672   -   -   16,490 &#10;Total depreciable assets  1,224,933   9,650   19,112   (8,946)  1,244,749 &#10;Less accumulated depreciation:     &#10;Land improvements  42,545   2,304   -   (161)  44,688 &#10;Buildings &amp; improvements  414,066   27,015   -   (2,822)  438,259 &#10;Equipment  115,959   10,674   -   (3,635)  122,998 &#10;Software  28,359   2,005   -   (64)  30,300 &#10;Right of use assets, buildings (Note 7)  -   1,624   -   -   1,624 &#10;Total accumulated depreciation  600,929   43,622   -   (6,682)  637,869 &#10;Net depreciable assets  624,004   (33,972)  19,112   (2,264)  606,880 &#10;Total capital assets, net   $691,649   $12,013   $-   $(2,264)  $701,3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891580"/>
                    </a:xfrm>
                    <a:prstGeom prst="rect">
                      <a:avLst/>
                    </a:prstGeom>
                    <a:noFill/>
                    <a:ln>
                      <a:noFill/>
                    </a:ln>
                  </pic:spPr>
                </pic:pic>
              </a:graphicData>
            </a:graphic>
          </wp:inline>
        </w:drawing>
      </w:r>
    </w:p>
    <w:p w14:paraId="2CDAD358" w14:textId="28FE6175" w:rsidR="00721CFD" w:rsidRPr="00F54559" w:rsidRDefault="00721CFD" w:rsidP="00721CFD">
      <w:pPr>
        <w:tabs>
          <w:tab w:val="left" w:pos="720"/>
          <w:tab w:val="left" w:pos="1022"/>
          <w:tab w:val="left" w:pos="1440"/>
          <w:tab w:val="decimal" w:pos="6890"/>
          <w:tab w:val="decimal" w:pos="9454"/>
          <w:tab w:val="left" w:pos="10440"/>
        </w:tabs>
        <w:suppressAutoHyphens/>
        <w:rPr>
          <w:rFonts w:cstheme="minorHAnsi"/>
          <w:spacing w:val="-3"/>
          <w:sz w:val="24"/>
          <w:highlight w:val="yellow"/>
        </w:rPr>
      </w:pPr>
      <w:r>
        <w:rPr>
          <w:rFonts w:cstheme="minorHAnsi"/>
          <w:bCs/>
          <w:spacing w:val="-3"/>
          <w:sz w:val="24"/>
        </w:rPr>
        <w:fldChar w:fldCharType="begin"/>
      </w:r>
      <w:r>
        <w:rPr>
          <w:rFonts w:cstheme="minorHAnsi"/>
          <w:bCs/>
          <w:spacing w:val="-3"/>
          <w:sz w:val="24"/>
        </w:rPr>
        <w:fldChar w:fldCharType="end"/>
      </w:r>
      <w:r w:rsidRPr="00F54559">
        <w:rPr>
          <w:rFonts w:cstheme="minorHAnsi"/>
          <w:spacing w:val="-3"/>
          <w:sz w:val="24"/>
        </w:rPr>
        <w:t>As of June 30, 20</w:t>
      </w:r>
      <w:r>
        <w:rPr>
          <w:rFonts w:cstheme="minorHAnsi"/>
          <w:spacing w:val="-3"/>
          <w:sz w:val="24"/>
        </w:rPr>
        <w:t>22</w:t>
      </w:r>
      <w:r w:rsidRPr="00F54559">
        <w:rPr>
          <w:rFonts w:cstheme="minorHAnsi"/>
          <w:spacing w:val="-3"/>
          <w:sz w:val="24"/>
        </w:rPr>
        <w:t xml:space="preserve"> and 20</w:t>
      </w:r>
      <w:r>
        <w:rPr>
          <w:rFonts w:cstheme="minorHAnsi"/>
          <w:spacing w:val="-3"/>
          <w:sz w:val="24"/>
        </w:rPr>
        <w:t>21</w:t>
      </w:r>
      <w:r w:rsidRPr="00F54559">
        <w:rPr>
          <w:rFonts w:cstheme="minorHAnsi"/>
          <w:spacing w:val="-3"/>
          <w:sz w:val="24"/>
        </w:rPr>
        <w:t>, $</w:t>
      </w:r>
      <w:r w:rsidRPr="00BB297B">
        <w:rPr>
          <w:rFonts w:cstheme="minorHAnsi"/>
          <w:spacing w:val="-3"/>
          <w:sz w:val="24"/>
        </w:rPr>
        <w:t>3,636</w:t>
      </w:r>
      <w:r w:rsidRPr="00BB297B">
        <w:rPr>
          <w:rFonts w:cstheme="minorHAnsi"/>
          <w:color w:val="FF0000"/>
          <w:spacing w:val="-3"/>
          <w:sz w:val="24"/>
        </w:rPr>
        <w:t xml:space="preserve"> </w:t>
      </w:r>
      <w:r w:rsidRPr="00F54559">
        <w:rPr>
          <w:rFonts w:cstheme="minorHAnsi"/>
          <w:spacing w:val="-3"/>
          <w:sz w:val="24"/>
        </w:rPr>
        <w:t>and $</w:t>
      </w:r>
      <w:r>
        <w:rPr>
          <w:rFonts w:cstheme="minorHAnsi"/>
          <w:spacing w:val="-3"/>
          <w:sz w:val="24"/>
        </w:rPr>
        <w:t>34,179</w:t>
      </w:r>
      <w:r w:rsidRPr="00F54559">
        <w:rPr>
          <w:rFonts w:cstheme="minorHAnsi"/>
          <w:spacing w:val="-3"/>
          <w:sz w:val="24"/>
        </w:rPr>
        <w:t xml:space="preserve">, respectively, in proceeds from </w:t>
      </w:r>
      <w:r>
        <w:rPr>
          <w:rFonts w:cstheme="minorHAnsi"/>
          <w:spacing w:val="-3"/>
          <w:sz w:val="24"/>
        </w:rPr>
        <w:t>debt</w:t>
      </w:r>
      <w:r w:rsidRPr="00F54559">
        <w:rPr>
          <w:rFonts w:cstheme="minorHAnsi"/>
          <w:spacing w:val="-3"/>
          <w:sz w:val="24"/>
        </w:rPr>
        <w:t xml:space="preserve"> issuances remain unspent.  These amounts are included in the accompanying Statements of Net Position as part of deposits with bond trustees</w:t>
      </w:r>
      <w:r>
        <w:rPr>
          <w:rFonts w:cstheme="minorHAnsi"/>
          <w:spacing w:val="-3"/>
          <w:sz w:val="24"/>
        </w:rPr>
        <w:t xml:space="preserve"> along with amounts restricted for debt service</w:t>
      </w:r>
      <w:r w:rsidRPr="00F54559">
        <w:rPr>
          <w:rFonts w:cstheme="minorHAnsi"/>
          <w:spacing w:val="-3"/>
          <w:sz w:val="24"/>
        </w:rPr>
        <w:t>.</w:t>
      </w:r>
    </w:p>
    <w:p w14:paraId="61EA9D1A" w14:textId="77777777" w:rsidR="00721CFD" w:rsidRPr="00F54559" w:rsidRDefault="00721CFD" w:rsidP="00721CFD">
      <w:pPr>
        <w:tabs>
          <w:tab w:val="left" w:pos="720"/>
          <w:tab w:val="left" w:pos="1022"/>
          <w:tab w:val="left" w:pos="1440"/>
          <w:tab w:val="decimal" w:pos="6890"/>
          <w:tab w:val="decimal" w:pos="9454"/>
          <w:tab w:val="left" w:pos="10440"/>
        </w:tabs>
        <w:suppressAutoHyphens/>
        <w:rPr>
          <w:rFonts w:cstheme="minorHAnsi"/>
          <w:spacing w:val="-3"/>
          <w:sz w:val="24"/>
        </w:rPr>
      </w:pPr>
    </w:p>
    <w:p w14:paraId="0099C8E3" w14:textId="77777777" w:rsidR="00721CFD" w:rsidRPr="00E9152E" w:rsidRDefault="00721CFD" w:rsidP="00721CFD">
      <w:pPr>
        <w:tabs>
          <w:tab w:val="left" w:pos="720"/>
          <w:tab w:val="left" w:pos="1022"/>
          <w:tab w:val="left" w:pos="1440"/>
          <w:tab w:val="decimal" w:pos="6890"/>
          <w:tab w:val="decimal" w:pos="9454"/>
          <w:tab w:val="left" w:pos="10440"/>
        </w:tabs>
        <w:suppressAutoHyphens/>
        <w:rPr>
          <w:rFonts w:cstheme="minorHAnsi"/>
          <w:spacing w:val="-3"/>
          <w:sz w:val="24"/>
        </w:rPr>
      </w:pPr>
      <w:r w:rsidRPr="00F54559">
        <w:rPr>
          <w:rFonts w:cstheme="minorHAnsi"/>
          <w:spacing w:val="-3"/>
          <w:sz w:val="24"/>
        </w:rPr>
        <w:t>Also remaining unspent as of June 30, 20</w:t>
      </w:r>
      <w:r>
        <w:rPr>
          <w:rFonts w:cstheme="minorHAnsi"/>
          <w:spacing w:val="-3"/>
          <w:sz w:val="24"/>
        </w:rPr>
        <w:t>22</w:t>
      </w:r>
      <w:r w:rsidRPr="00F54559">
        <w:rPr>
          <w:rFonts w:cstheme="minorHAnsi"/>
          <w:spacing w:val="-3"/>
          <w:sz w:val="24"/>
        </w:rPr>
        <w:t xml:space="preserve"> and 20</w:t>
      </w:r>
      <w:r>
        <w:rPr>
          <w:rFonts w:cstheme="minorHAnsi"/>
          <w:spacing w:val="-3"/>
          <w:sz w:val="24"/>
        </w:rPr>
        <w:t>21</w:t>
      </w:r>
      <w:r w:rsidRPr="00F54559">
        <w:rPr>
          <w:rFonts w:cstheme="minorHAnsi"/>
          <w:spacing w:val="-3"/>
          <w:sz w:val="24"/>
        </w:rPr>
        <w:t xml:space="preserve"> is $</w:t>
      </w:r>
      <w:r w:rsidRPr="00BB297B">
        <w:rPr>
          <w:rFonts w:cstheme="minorHAnsi"/>
          <w:spacing w:val="-3"/>
          <w:sz w:val="24"/>
        </w:rPr>
        <w:t>15,756</w:t>
      </w:r>
      <w:r w:rsidRPr="00133F92">
        <w:rPr>
          <w:rFonts w:cstheme="minorHAnsi"/>
          <w:spacing w:val="-3"/>
          <w:sz w:val="24"/>
        </w:rPr>
        <w:t xml:space="preserve"> </w:t>
      </w:r>
      <w:r w:rsidRPr="00F54559">
        <w:rPr>
          <w:rFonts w:cstheme="minorHAnsi"/>
          <w:spacing w:val="-3"/>
          <w:sz w:val="24"/>
        </w:rPr>
        <w:t>and $</w:t>
      </w:r>
      <w:r>
        <w:rPr>
          <w:rFonts w:cstheme="minorHAnsi"/>
          <w:spacing w:val="-3"/>
          <w:sz w:val="24"/>
        </w:rPr>
        <w:t>33,401</w:t>
      </w:r>
      <w:r w:rsidRPr="00F54559">
        <w:rPr>
          <w:rFonts w:cstheme="minorHAnsi"/>
          <w:spacing w:val="-3"/>
          <w:sz w:val="24"/>
        </w:rPr>
        <w:t>, respectively, in capital appropriations awarded by the State of Maine.  These amounts are not included in the accompanying financial statements because the System has not met all eligibility requirements (e.g., incurred costs).</w:t>
      </w:r>
    </w:p>
    <w:p w14:paraId="26BC6929" w14:textId="77777777" w:rsidR="00721CFD" w:rsidRPr="00F54559" w:rsidRDefault="00721CFD" w:rsidP="00721CFD">
      <w:pPr>
        <w:tabs>
          <w:tab w:val="left" w:pos="720"/>
          <w:tab w:val="left" w:pos="1022"/>
          <w:tab w:val="left" w:pos="1440"/>
          <w:tab w:val="decimal" w:pos="6890"/>
          <w:tab w:val="decimal" w:pos="9454"/>
          <w:tab w:val="left" w:pos="10440"/>
        </w:tabs>
        <w:suppressAutoHyphens/>
        <w:rPr>
          <w:rFonts w:cstheme="minorHAnsi"/>
          <w:spacing w:val="-3"/>
          <w:sz w:val="24"/>
        </w:rPr>
      </w:pPr>
    </w:p>
    <w:p w14:paraId="251B0252" w14:textId="77777777" w:rsidR="00721CFD" w:rsidRPr="00F54559" w:rsidRDefault="00721CFD" w:rsidP="00721CFD">
      <w:pPr>
        <w:tabs>
          <w:tab w:val="left" w:pos="720"/>
          <w:tab w:val="left" w:pos="1022"/>
          <w:tab w:val="left" w:pos="1440"/>
          <w:tab w:val="decimal" w:pos="6890"/>
          <w:tab w:val="decimal" w:pos="9454"/>
          <w:tab w:val="left" w:pos="10440"/>
        </w:tabs>
        <w:suppressAutoHyphens/>
        <w:rPr>
          <w:rFonts w:cstheme="minorHAnsi"/>
          <w:spacing w:val="-3"/>
          <w:sz w:val="24"/>
        </w:rPr>
      </w:pPr>
      <w:r w:rsidRPr="00F54559">
        <w:rPr>
          <w:rFonts w:cstheme="minorHAnsi"/>
          <w:spacing w:val="-3"/>
          <w:sz w:val="24"/>
        </w:rPr>
        <w:t xml:space="preserve">Both the </w:t>
      </w:r>
      <w:r>
        <w:rPr>
          <w:rFonts w:cstheme="minorHAnsi"/>
          <w:spacing w:val="-3"/>
          <w:sz w:val="24"/>
        </w:rPr>
        <w:t>debt proceeds</w:t>
      </w:r>
      <w:r w:rsidRPr="00F54559">
        <w:rPr>
          <w:rFonts w:cstheme="minorHAnsi"/>
          <w:spacing w:val="-3"/>
          <w:sz w:val="24"/>
        </w:rPr>
        <w:t xml:space="preserve"> and capital appropriation monies are earmarked for specific projects, most of which are capital construction projects.  As monies are spent on these projects, the costs are included in capital assets in the accompanying Statements of Net Position.</w:t>
      </w:r>
    </w:p>
    <w:p w14:paraId="1834BA27" w14:textId="77777777" w:rsidR="00721CFD" w:rsidRPr="00F54559" w:rsidRDefault="00721CFD" w:rsidP="00721CFD">
      <w:pPr>
        <w:tabs>
          <w:tab w:val="left" w:pos="720"/>
          <w:tab w:val="left" w:pos="1022"/>
          <w:tab w:val="left" w:pos="1440"/>
          <w:tab w:val="decimal" w:pos="6890"/>
          <w:tab w:val="decimal" w:pos="9454"/>
          <w:tab w:val="left" w:pos="10440"/>
        </w:tabs>
        <w:suppressAutoHyphens/>
        <w:rPr>
          <w:rFonts w:cstheme="minorHAnsi"/>
          <w:spacing w:val="-3"/>
          <w:sz w:val="24"/>
        </w:rPr>
      </w:pPr>
    </w:p>
    <w:p w14:paraId="39D62866" w14:textId="77777777" w:rsidR="00721CFD" w:rsidRDefault="00721CFD" w:rsidP="00721CFD">
      <w:pPr>
        <w:tabs>
          <w:tab w:val="left" w:pos="720"/>
          <w:tab w:val="left" w:pos="1022"/>
          <w:tab w:val="left" w:pos="1440"/>
          <w:tab w:val="decimal" w:pos="6890"/>
          <w:tab w:val="decimal" w:pos="9454"/>
          <w:tab w:val="left" w:pos="10440"/>
        </w:tabs>
        <w:suppressAutoHyphens/>
        <w:rPr>
          <w:rFonts w:cstheme="minorHAnsi"/>
          <w:spacing w:val="-3"/>
          <w:sz w:val="24"/>
        </w:rPr>
      </w:pPr>
      <w:r w:rsidRPr="00F54559">
        <w:rPr>
          <w:rFonts w:cstheme="minorHAnsi"/>
          <w:spacing w:val="-3"/>
          <w:sz w:val="24"/>
        </w:rPr>
        <w:t>Outstanding commitments on uncompleted construction contracts totaled $</w:t>
      </w:r>
      <w:r w:rsidRPr="00BB297B">
        <w:rPr>
          <w:rFonts w:cstheme="minorHAnsi"/>
          <w:spacing w:val="-3"/>
          <w:sz w:val="24"/>
        </w:rPr>
        <w:t>69,160</w:t>
      </w:r>
      <w:r w:rsidRPr="00534C17">
        <w:rPr>
          <w:rFonts w:cstheme="minorHAnsi"/>
          <w:spacing w:val="-3"/>
          <w:sz w:val="24"/>
        </w:rPr>
        <w:t xml:space="preserve"> </w:t>
      </w:r>
      <w:r w:rsidRPr="00F54559">
        <w:rPr>
          <w:rFonts w:cstheme="minorHAnsi"/>
          <w:spacing w:val="-3"/>
          <w:sz w:val="24"/>
        </w:rPr>
        <w:t>and $</w:t>
      </w:r>
      <w:r w:rsidRPr="004D725A">
        <w:rPr>
          <w:rFonts w:cstheme="minorHAnsi"/>
          <w:spacing w:val="-3"/>
          <w:sz w:val="24"/>
        </w:rPr>
        <w:t xml:space="preserve">52,403 </w:t>
      </w:r>
      <w:r w:rsidRPr="00F54559">
        <w:rPr>
          <w:rFonts w:cstheme="minorHAnsi"/>
          <w:spacing w:val="-3"/>
          <w:sz w:val="24"/>
        </w:rPr>
        <w:t>at June 30, 20</w:t>
      </w:r>
      <w:r>
        <w:rPr>
          <w:rFonts w:cstheme="minorHAnsi"/>
          <w:spacing w:val="-3"/>
          <w:sz w:val="24"/>
        </w:rPr>
        <w:t>22</w:t>
      </w:r>
      <w:r w:rsidRPr="00F54559">
        <w:rPr>
          <w:rFonts w:cstheme="minorHAnsi"/>
          <w:spacing w:val="-3"/>
          <w:sz w:val="24"/>
        </w:rPr>
        <w:t xml:space="preserve"> and 20</w:t>
      </w:r>
      <w:r>
        <w:rPr>
          <w:rFonts w:cstheme="minorHAnsi"/>
          <w:spacing w:val="-3"/>
          <w:sz w:val="24"/>
        </w:rPr>
        <w:t>21</w:t>
      </w:r>
      <w:r w:rsidRPr="00F54559">
        <w:rPr>
          <w:rFonts w:cstheme="minorHAnsi"/>
          <w:spacing w:val="-3"/>
          <w:sz w:val="24"/>
        </w:rPr>
        <w:t>, respectively.</w:t>
      </w:r>
    </w:p>
    <w:p w14:paraId="70022A8C" w14:textId="77777777" w:rsidR="00373110" w:rsidRDefault="00373110" w:rsidP="00721CFD">
      <w:pPr>
        <w:pStyle w:val="AFR2"/>
        <w:rPr>
          <w:rFonts w:cstheme="minorHAnsi"/>
          <w:sz w:val="26"/>
          <w:szCs w:val="26"/>
        </w:rPr>
      </w:pPr>
      <w:r>
        <w:rPr>
          <w:rFonts w:cstheme="minorHAnsi"/>
          <w:sz w:val="26"/>
          <w:szCs w:val="26"/>
        </w:rPr>
        <w:br w:type="page"/>
      </w:r>
    </w:p>
    <w:p w14:paraId="67D8920E" w14:textId="48513F9C" w:rsidR="00721CFD" w:rsidRPr="00243894" w:rsidRDefault="00721CFD" w:rsidP="00721CFD">
      <w:pPr>
        <w:pStyle w:val="AFR2"/>
        <w:rPr>
          <w:rFonts w:cstheme="minorHAnsi"/>
          <w:sz w:val="26"/>
          <w:szCs w:val="26"/>
        </w:rPr>
      </w:pPr>
      <w:r w:rsidRPr="00243894">
        <w:rPr>
          <w:rFonts w:cstheme="minorHAnsi"/>
          <w:sz w:val="26"/>
          <w:szCs w:val="26"/>
        </w:rPr>
        <w:lastRenderedPageBreak/>
        <w:t>7. ACCRUED LIABILITIES</w:t>
      </w:r>
      <w:r w:rsidR="00B742D5">
        <w:rPr>
          <w:rFonts w:cstheme="minorHAnsi"/>
          <w:sz w:val="26"/>
          <w:szCs w:val="26"/>
        </w:rPr>
        <w:t>, LEASE LIABILITIES</w:t>
      </w:r>
      <w:r w:rsidRPr="00243894">
        <w:rPr>
          <w:rFonts w:cstheme="minorHAnsi"/>
          <w:sz w:val="26"/>
          <w:szCs w:val="26"/>
        </w:rPr>
        <w:t xml:space="preserve"> AND LONG-TERM DEBT</w:t>
      </w:r>
    </w:p>
    <w:p w14:paraId="7A67FFB2" w14:textId="2B0423D1" w:rsidR="00721CFD" w:rsidRPr="003D5BDA" w:rsidRDefault="00721CFD" w:rsidP="00721CFD">
      <w:pPr>
        <w:tabs>
          <w:tab w:val="left" w:pos="720"/>
          <w:tab w:val="left" w:pos="1022"/>
          <w:tab w:val="left" w:pos="1440"/>
          <w:tab w:val="decimal" w:pos="6890"/>
          <w:tab w:val="decimal" w:pos="9454"/>
        </w:tabs>
        <w:suppressAutoHyphens/>
        <w:rPr>
          <w:rFonts w:cstheme="minorHAnsi"/>
          <w:bCs/>
          <w:color w:val="FF0000"/>
          <w:spacing w:val="-3"/>
          <w:sz w:val="24"/>
        </w:rPr>
      </w:pPr>
      <w:r w:rsidRPr="00F54559">
        <w:rPr>
          <w:rFonts w:cstheme="minorHAnsi"/>
          <w:bCs/>
          <w:spacing w:val="-3"/>
          <w:sz w:val="24"/>
        </w:rPr>
        <w:t>Changes in accrued liabilities</w:t>
      </w:r>
      <w:r w:rsidR="00B742D5">
        <w:rPr>
          <w:rFonts w:cstheme="minorHAnsi"/>
          <w:bCs/>
          <w:spacing w:val="-3"/>
          <w:sz w:val="24"/>
        </w:rPr>
        <w:t>, lease liabilities</w:t>
      </w:r>
      <w:r w:rsidRPr="00F54559">
        <w:rPr>
          <w:rFonts w:cstheme="minorHAnsi"/>
          <w:bCs/>
          <w:spacing w:val="-3"/>
          <w:sz w:val="24"/>
        </w:rPr>
        <w:t xml:space="preserve"> and long-term debt during the year ended June 30</w:t>
      </w:r>
      <w:r>
        <w:rPr>
          <w:rFonts w:cstheme="minorHAnsi"/>
          <w:bCs/>
          <w:spacing w:val="-3"/>
          <w:sz w:val="24"/>
        </w:rPr>
        <w:t xml:space="preserve"> </w:t>
      </w:r>
      <w:r w:rsidRPr="00F54559">
        <w:rPr>
          <w:rFonts w:cstheme="minorHAnsi"/>
          <w:bCs/>
          <w:spacing w:val="-3"/>
          <w:sz w:val="24"/>
        </w:rPr>
        <w:t>include the following:</w:t>
      </w:r>
    </w:p>
    <w:p w14:paraId="02C93CFD" w14:textId="77777777" w:rsidR="00721CFD" w:rsidRDefault="00721CFD" w:rsidP="00721CFD">
      <w:pPr>
        <w:tabs>
          <w:tab w:val="left" w:pos="720"/>
          <w:tab w:val="left" w:pos="1022"/>
          <w:tab w:val="left" w:pos="1440"/>
          <w:tab w:val="decimal" w:pos="6890"/>
          <w:tab w:val="decimal" w:pos="9454"/>
        </w:tabs>
        <w:suppressAutoHyphens/>
        <w:spacing w:before="160" w:after="120"/>
      </w:pPr>
      <w:r w:rsidRPr="00DF2789">
        <w:rPr>
          <w:noProof/>
        </w:rPr>
        <w:drawing>
          <wp:inline distT="0" distB="0" distL="0" distR="0" wp14:anchorId="091E2C24" wp14:editId="186DF684">
            <wp:extent cx="5943600" cy="3378063"/>
            <wp:effectExtent l="0" t="0" r="0" b="0"/>
            <wp:docPr id="8" name="Picture 8" descr="2022     &#10; &quot;Beginning&#10;Balance Restated&quot; Additions Reductions &quot;Ending&#10;Balance&quot; &quot;Current&#10;Portion&quot;&#10;Accrued liabilities:     &#10;Workers' compensation (Note 11)  $2,201   $249   $(524)  $1,926   $533 &#10;Health insurance (Note 11)  6,287   85,666   (85,571)  6,382   6,382 &#10;Postemployment health plan (Note 14)  -   29,255   (11,473)  17,782   - &#10;Other employee benefit programs (Note 13)  55,538   73,213   (70,950)  57,801   6,896 &#10;Other  34,092   33,722   (31,290)  36,524   34,262 &#10;Total accrued liabilities  $98,118   $222,105   $(199,808)  $120,415   $48,073 &#10;     &#10;Lease liabilities (a)  $15,043   $22,587   $(2,311)  $35,319   $2,311 &#10;Long-term debt:     &#10;Bonds payable (b)  117,502   -   (12,275)  105,227   11,473 &#10;Direct borrowings (b)  47,870   104   (1,308)  46,666   44,282 &#10;Total long-term debt  $165,372   $104   $(13,583)  $151,893   $5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022     &#10; &quot;Beginning&#10;Balance Restated&quot; Additions Reductions &quot;Ending&#10;Balance&quot; &quot;Current&#10;Portion&quot;&#10;Accrued liabilities:     &#10;Workers' compensation (Note 11)  $2,201   $249   $(524)  $1,926   $533 &#10;Health insurance (Note 11)  6,287   85,666   (85,571)  6,382   6,382 &#10;Postemployment health plan (Note 14)  -   29,255   (11,473)  17,782   - &#10;Other employee benefit programs (Note 13)  55,538   73,213   (70,950)  57,801   6,896 &#10;Other  34,092   33,722   (31,290)  36,524   34,262 &#10;Total accrued liabilities  $98,118   $222,105   $(199,808)  $120,415   $48,073 &#10;     &#10;Lease liabilities (a)  $15,043   $22,587   $(2,311)  $35,319   $2,311 &#10;Long-term debt:     &#10;Bonds payable (b)  117,502   -   (12,275)  105,227   11,473 &#10;Direct borrowings (b)  47,870   104   (1,308)  46,666   44,282 &#10;Total long-term debt  $165,372   $104   $(13,583)  $151,893   $55,7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378063"/>
                    </a:xfrm>
                    <a:prstGeom prst="rect">
                      <a:avLst/>
                    </a:prstGeom>
                    <a:noFill/>
                    <a:ln>
                      <a:noFill/>
                    </a:ln>
                  </pic:spPr>
                </pic:pic>
              </a:graphicData>
            </a:graphic>
          </wp:inline>
        </w:drawing>
      </w:r>
      <w:r w:rsidRPr="009560F5" w:rsidDel="00534C85">
        <w:t xml:space="preserve"> </w:t>
      </w:r>
    </w:p>
    <w:p w14:paraId="7D3569FB" w14:textId="5473166A" w:rsidR="00721CFD" w:rsidRDefault="00721CFD" w:rsidP="00721CFD">
      <w:pPr>
        <w:tabs>
          <w:tab w:val="left" w:pos="720"/>
          <w:tab w:val="left" w:pos="1022"/>
          <w:tab w:val="left" w:pos="1440"/>
          <w:tab w:val="decimal" w:pos="6890"/>
          <w:tab w:val="decimal" w:pos="9454"/>
        </w:tabs>
        <w:suppressAutoHyphens/>
        <w:rPr>
          <w:rFonts w:cstheme="minorHAnsi"/>
          <w:bCs/>
          <w:spacing w:val="-3"/>
          <w:sz w:val="24"/>
        </w:rPr>
      </w:pPr>
      <w:r w:rsidRPr="00F54559">
        <w:rPr>
          <w:rFonts w:cstheme="minorHAnsi"/>
          <w:bCs/>
          <w:spacing w:val="-3"/>
          <w:sz w:val="24"/>
        </w:rPr>
        <w:t>Changes in accrued liabilities</w:t>
      </w:r>
      <w:r w:rsidR="00B742D5">
        <w:rPr>
          <w:rFonts w:cstheme="minorHAnsi"/>
          <w:bCs/>
          <w:spacing w:val="-3"/>
          <w:sz w:val="24"/>
        </w:rPr>
        <w:t>, lease liabilities</w:t>
      </w:r>
      <w:r w:rsidRPr="00F54559">
        <w:rPr>
          <w:rFonts w:cstheme="minorHAnsi"/>
          <w:bCs/>
          <w:spacing w:val="-3"/>
          <w:sz w:val="24"/>
        </w:rPr>
        <w:t xml:space="preserve"> and long-term debt during the year ended June 30</w:t>
      </w:r>
      <w:r>
        <w:rPr>
          <w:rFonts w:cstheme="minorHAnsi"/>
          <w:bCs/>
          <w:spacing w:val="-3"/>
          <w:sz w:val="24"/>
        </w:rPr>
        <w:t xml:space="preserve"> </w:t>
      </w:r>
      <w:r w:rsidRPr="00F54559">
        <w:rPr>
          <w:rFonts w:cstheme="minorHAnsi"/>
          <w:bCs/>
          <w:spacing w:val="-3"/>
          <w:sz w:val="24"/>
        </w:rPr>
        <w:t>include the following:</w:t>
      </w:r>
    </w:p>
    <w:p w14:paraId="052FCB9C" w14:textId="77777777" w:rsidR="00721CFD" w:rsidRDefault="00721CFD" w:rsidP="00721CFD">
      <w:pPr>
        <w:tabs>
          <w:tab w:val="left" w:pos="720"/>
          <w:tab w:val="left" w:pos="1022"/>
          <w:tab w:val="left" w:pos="1440"/>
          <w:tab w:val="decimal" w:pos="6890"/>
          <w:tab w:val="decimal" w:pos="9454"/>
        </w:tabs>
        <w:suppressAutoHyphens/>
        <w:spacing w:before="160" w:after="120"/>
        <w:rPr>
          <w:rFonts w:eastAsiaTheme="majorEastAsia" w:cstheme="minorHAnsi"/>
          <w:b/>
          <w:i/>
          <w:iCs/>
          <w:smallCaps/>
          <w:noProof/>
          <w:color w:val="000000" w:themeColor="text1"/>
          <w:sz w:val="26"/>
          <w:szCs w:val="26"/>
          <w:u w:color="5B9BD5"/>
        </w:rPr>
      </w:pPr>
      <w:r w:rsidRPr="00DF2789">
        <w:rPr>
          <w:noProof/>
        </w:rPr>
        <w:drawing>
          <wp:inline distT="0" distB="0" distL="0" distR="0" wp14:anchorId="6112D88B" wp14:editId="2B137E40">
            <wp:extent cx="5943600" cy="3146466"/>
            <wp:effectExtent l="0" t="0" r="0" b="0"/>
            <wp:docPr id="55" name="Picture 55" descr="2021 Restated     &#10; &quot;Beginning&#10;Balance&quot; Additions Reductions &quot;Ending&#10;Balance&quot; &quot;Current&#10;Portion&quot;&#10;Accrued liabilities:     &#10;Workers' compensation (Note 11)  $2,200   $160   $(159)  $2,201   $553 &#10;Health insurance (Note 11)  6,982   84,540   (85,235)  6,287   6,287 &#10;Postemployment health plan (Note 14)  76,031   29,681   (105,712)  -   - &#10;Other employee benefit programs (Note 13)  56,307   68,622   (69,391)  55,538   6,039 &#10;Other  21,304   28,727   (15,939)  34,092   31,225 &#10;Total accrued liabilities  $162,824   $211,730   $(276,436)  $98,118   $44,104 &#10;     &#10;Lease liabilities (a)  $10,818   $5,672   $(1,447)  $15,043   $1,591 &#10;Long-term debt:     &#10;Bonds payable (b)  129,582   -   (12,080)  117,502   12,275 &#10;Direct borrowings (b)  5,997   43,106   (1,233)  47,870   1,299 &#10;Total long-term debt  $135,579   $43,106   $(13,313)  $165,372   $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2021 Restated     &#10; &quot;Beginning&#10;Balance&quot; Additions Reductions &quot;Ending&#10;Balance&quot; &quot;Current&#10;Portion&quot;&#10;Accrued liabilities:     &#10;Workers' compensation (Note 11)  $2,200   $160   $(159)  $2,201   $553 &#10;Health insurance (Note 11)  6,982   84,540   (85,235)  6,287   6,287 &#10;Postemployment health plan (Note 14)  76,031   29,681   (105,712)  -   - &#10;Other employee benefit programs (Note 13)  56,307   68,622   (69,391)  55,538   6,039 &#10;Other  21,304   28,727   (15,939)  34,092   31,225 &#10;Total accrued liabilities  $162,824   $211,730   $(276,436)  $98,118   $44,104 &#10;     &#10;Lease liabilities (a)  $10,818   $5,672   $(1,447)  $15,043   $1,591 &#10;Long-term debt:     &#10;Bonds payable (b)  129,582   -   (12,080)  117,502   12,275 &#10;Direct borrowings (b)  5,997   43,106   (1,233)  47,870   1,299 &#10;Total long-term debt  $135,579   $43,106   $(13,313)  $165,372   $13,5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146466"/>
                    </a:xfrm>
                    <a:prstGeom prst="rect">
                      <a:avLst/>
                    </a:prstGeom>
                    <a:noFill/>
                    <a:ln>
                      <a:noFill/>
                    </a:ln>
                  </pic:spPr>
                </pic:pic>
              </a:graphicData>
            </a:graphic>
          </wp:inline>
        </w:drawing>
      </w:r>
      <w:r>
        <w:rPr>
          <w:rFonts w:eastAsiaTheme="majorEastAsia" w:cstheme="minorHAnsi"/>
          <w:b/>
          <w:i/>
          <w:iCs/>
          <w:smallCaps/>
          <w:noProof/>
          <w:color w:val="000000" w:themeColor="text1"/>
          <w:sz w:val="26"/>
          <w:szCs w:val="26"/>
          <w:u w:color="5B9BD5"/>
        </w:rPr>
        <w:fldChar w:fldCharType="begin"/>
      </w:r>
      <w:r>
        <w:rPr>
          <w:rFonts w:eastAsiaTheme="majorEastAsia" w:cstheme="minorHAnsi"/>
          <w:b/>
          <w:i/>
          <w:iCs/>
          <w:smallCaps/>
          <w:noProof/>
          <w:color w:val="000000" w:themeColor="text1"/>
          <w:sz w:val="26"/>
          <w:szCs w:val="26"/>
          <w:u w:color="5B9BD5"/>
        </w:rPr>
        <w:fldChar w:fldCharType="end"/>
      </w:r>
      <w:r>
        <w:rPr>
          <w:rFonts w:eastAsiaTheme="majorEastAsia" w:cstheme="minorHAnsi"/>
          <w:b/>
          <w:i/>
          <w:iCs/>
          <w:smallCaps/>
          <w:noProof/>
          <w:color w:val="000000" w:themeColor="text1"/>
          <w:sz w:val="26"/>
          <w:szCs w:val="26"/>
          <w:u w:color="5B9BD5"/>
        </w:rPr>
        <w:br w:type="page"/>
      </w:r>
    </w:p>
    <w:p w14:paraId="15A2C8CF" w14:textId="54C6F3BC" w:rsidR="00721CFD" w:rsidRPr="00F54559" w:rsidRDefault="00721CFD" w:rsidP="00721CFD">
      <w:pPr>
        <w:tabs>
          <w:tab w:val="left" w:pos="720"/>
          <w:tab w:val="left" w:pos="1022"/>
          <w:tab w:val="left" w:pos="1440"/>
          <w:tab w:val="decimal" w:pos="6890"/>
          <w:tab w:val="decimal" w:pos="9454"/>
        </w:tabs>
        <w:suppressAutoHyphens/>
        <w:spacing w:before="120" w:after="120"/>
        <w:rPr>
          <w:rFonts w:cstheme="minorHAnsi"/>
          <w:bCs/>
          <w:spacing w:val="-3"/>
          <w:sz w:val="24"/>
        </w:rPr>
      </w:pPr>
      <w:r w:rsidRPr="00F54559">
        <w:rPr>
          <w:rFonts w:eastAsiaTheme="majorEastAsia" w:cstheme="minorHAnsi"/>
          <w:b/>
          <w:i/>
          <w:iCs/>
          <w:smallCaps/>
          <w:noProof/>
          <w:color w:val="000000" w:themeColor="text1"/>
          <w:sz w:val="26"/>
          <w:szCs w:val="26"/>
          <w:u w:color="5B9BD5"/>
        </w:rPr>
        <w:lastRenderedPageBreak/>
        <w:t>7. ACCRUED LIABILITIES</w:t>
      </w:r>
      <w:r w:rsidR="00C424F1">
        <w:rPr>
          <w:rFonts w:eastAsiaTheme="majorEastAsia" w:cstheme="minorHAnsi"/>
          <w:b/>
          <w:i/>
          <w:iCs/>
          <w:smallCaps/>
          <w:noProof/>
          <w:color w:val="000000" w:themeColor="text1"/>
          <w:sz w:val="26"/>
          <w:szCs w:val="26"/>
          <w:u w:color="5B9BD5"/>
        </w:rPr>
        <w:t>,</w:t>
      </w:r>
      <w:r w:rsidRPr="00F54559">
        <w:rPr>
          <w:rFonts w:eastAsiaTheme="majorEastAsia" w:cstheme="minorHAnsi"/>
          <w:b/>
          <w:i/>
          <w:iCs/>
          <w:smallCaps/>
          <w:noProof/>
          <w:color w:val="000000" w:themeColor="text1"/>
          <w:sz w:val="26"/>
          <w:szCs w:val="26"/>
          <w:u w:color="5B9BD5"/>
        </w:rPr>
        <w:t xml:space="preserve"> </w:t>
      </w:r>
      <w:r w:rsidR="004C5B29" w:rsidRPr="00121C9D">
        <w:rPr>
          <w:rFonts w:cstheme="minorHAnsi"/>
          <w:b/>
          <w:i/>
          <w:sz w:val="26"/>
          <w:szCs w:val="26"/>
        </w:rPr>
        <w:t>LEASE LIABILITIES</w:t>
      </w:r>
      <w:r w:rsidR="004C5B29" w:rsidRPr="00243894">
        <w:rPr>
          <w:rFonts w:cstheme="minorHAnsi"/>
          <w:sz w:val="26"/>
          <w:szCs w:val="26"/>
        </w:rPr>
        <w:t xml:space="preserve"> </w:t>
      </w:r>
      <w:r w:rsidRPr="00F54559">
        <w:rPr>
          <w:rFonts w:eastAsiaTheme="majorEastAsia" w:cstheme="minorHAnsi"/>
          <w:b/>
          <w:i/>
          <w:iCs/>
          <w:smallCaps/>
          <w:noProof/>
          <w:color w:val="000000" w:themeColor="text1"/>
          <w:sz w:val="26"/>
          <w:szCs w:val="26"/>
          <w:u w:color="5B9BD5"/>
        </w:rPr>
        <w:t>AND LONG-TERM DEBT  - CONTINUED</w:t>
      </w:r>
      <w:r>
        <w:rPr>
          <w:rFonts w:cstheme="minorHAnsi"/>
          <w:bCs/>
          <w:spacing w:val="-3"/>
          <w:sz w:val="24"/>
        </w:rPr>
        <w:fldChar w:fldCharType="begin"/>
      </w:r>
      <w:r>
        <w:rPr>
          <w:rFonts w:cstheme="minorHAnsi"/>
          <w:bCs/>
          <w:spacing w:val="-3"/>
          <w:sz w:val="24"/>
        </w:rPr>
        <w:fldChar w:fldCharType="end"/>
      </w:r>
    </w:p>
    <w:p w14:paraId="20FE7C53" w14:textId="4870DDE6" w:rsidR="00721CFD" w:rsidRPr="00F54559" w:rsidRDefault="00721CFD" w:rsidP="00721CFD">
      <w:pPr>
        <w:pStyle w:val="AFR3"/>
        <w:rPr>
          <w:rFonts w:cstheme="minorHAnsi"/>
        </w:rPr>
      </w:pPr>
      <w:r w:rsidRPr="00F54559">
        <w:rPr>
          <w:rFonts w:cstheme="minorHAnsi"/>
        </w:rPr>
        <w:t xml:space="preserve">a. Lease </w:t>
      </w:r>
      <w:r w:rsidR="00B80482">
        <w:rPr>
          <w:rFonts w:cstheme="minorHAnsi"/>
        </w:rPr>
        <w:t>Liabilities</w:t>
      </w:r>
    </w:p>
    <w:p w14:paraId="60E880B4" w14:textId="46D36A6C" w:rsidR="004C689A" w:rsidRDefault="00600223" w:rsidP="00121C9D">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 xml:space="preserve">The System leases building space for various terms under long-term non-cancelable lease agreements. The </w:t>
      </w:r>
      <w:r w:rsidR="00BF6DBA">
        <w:rPr>
          <w:rFonts w:eastAsia="Times New Roman" w:cstheme="minorHAnsi"/>
          <w:bCs/>
          <w:spacing w:val="-3"/>
          <w:sz w:val="24"/>
          <w:szCs w:val="24"/>
        </w:rPr>
        <w:t xml:space="preserve">original lease terms </w:t>
      </w:r>
      <w:r>
        <w:rPr>
          <w:rFonts w:eastAsia="Times New Roman" w:cstheme="minorHAnsi"/>
          <w:bCs/>
          <w:spacing w:val="-3"/>
          <w:sz w:val="24"/>
          <w:szCs w:val="24"/>
        </w:rPr>
        <w:t xml:space="preserve">expire at various dates through </w:t>
      </w:r>
      <w:r w:rsidR="00DB5E4B">
        <w:rPr>
          <w:rFonts w:eastAsia="Times New Roman" w:cstheme="minorHAnsi"/>
          <w:bCs/>
          <w:spacing w:val="-3"/>
          <w:sz w:val="24"/>
          <w:szCs w:val="24"/>
        </w:rPr>
        <w:t>2036</w:t>
      </w:r>
      <w:r w:rsidR="00BF6DBA">
        <w:rPr>
          <w:rFonts w:eastAsia="Times New Roman" w:cstheme="minorHAnsi"/>
          <w:bCs/>
          <w:spacing w:val="-3"/>
          <w:sz w:val="24"/>
          <w:szCs w:val="24"/>
        </w:rPr>
        <w:t xml:space="preserve"> </w:t>
      </w:r>
      <w:r>
        <w:rPr>
          <w:rFonts w:eastAsia="Times New Roman" w:cstheme="minorHAnsi"/>
          <w:bCs/>
          <w:spacing w:val="-3"/>
          <w:sz w:val="24"/>
          <w:szCs w:val="24"/>
        </w:rPr>
        <w:t>and provide for renewal options</w:t>
      </w:r>
      <w:r w:rsidR="00BF6DBA">
        <w:rPr>
          <w:rFonts w:eastAsia="Times New Roman" w:cstheme="minorHAnsi"/>
          <w:bCs/>
          <w:spacing w:val="-3"/>
          <w:sz w:val="24"/>
          <w:szCs w:val="24"/>
        </w:rPr>
        <w:t xml:space="preserve"> (ranging from 1-15 years) which e</w:t>
      </w:r>
      <w:r w:rsidR="00A87B23">
        <w:rPr>
          <w:rFonts w:eastAsia="Times New Roman" w:cstheme="minorHAnsi"/>
          <w:bCs/>
          <w:spacing w:val="-3"/>
          <w:sz w:val="24"/>
          <w:szCs w:val="24"/>
        </w:rPr>
        <w:t>xtend</w:t>
      </w:r>
      <w:r w:rsidR="00BF6DBA">
        <w:rPr>
          <w:rFonts w:eastAsia="Times New Roman" w:cstheme="minorHAnsi"/>
          <w:bCs/>
          <w:spacing w:val="-3"/>
          <w:sz w:val="24"/>
          <w:szCs w:val="24"/>
        </w:rPr>
        <w:t xml:space="preserve"> them</w:t>
      </w:r>
      <w:r w:rsidR="00DB5E4B">
        <w:rPr>
          <w:rFonts w:eastAsia="Times New Roman" w:cstheme="minorHAnsi"/>
          <w:bCs/>
          <w:spacing w:val="-3"/>
          <w:sz w:val="24"/>
          <w:szCs w:val="24"/>
        </w:rPr>
        <w:t xml:space="preserve"> </w:t>
      </w:r>
      <w:r w:rsidR="00BF6DBA">
        <w:rPr>
          <w:rFonts w:eastAsia="Times New Roman" w:cstheme="minorHAnsi"/>
          <w:bCs/>
          <w:spacing w:val="-3"/>
          <w:sz w:val="24"/>
          <w:szCs w:val="24"/>
        </w:rPr>
        <w:t xml:space="preserve">to </w:t>
      </w:r>
      <w:r w:rsidR="00DB5E4B">
        <w:rPr>
          <w:rFonts w:eastAsia="Times New Roman" w:cstheme="minorHAnsi"/>
          <w:bCs/>
          <w:spacing w:val="-3"/>
          <w:sz w:val="24"/>
          <w:szCs w:val="24"/>
        </w:rPr>
        <w:t>2041</w:t>
      </w:r>
      <w:r w:rsidR="00BF6DBA">
        <w:rPr>
          <w:rFonts w:eastAsia="Times New Roman" w:cstheme="minorHAnsi"/>
          <w:bCs/>
          <w:spacing w:val="-3"/>
          <w:sz w:val="24"/>
          <w:szCs w:val="24"/>
        </w:rPr>
        <w:t>.</w:t>
      </w:r>
      <w:r w:rsidR="00DB5E4B">
        <w:rPr>
          <w:rFonts w:eastAsia="Times New Roman" w:cstheme="minorHAnsi"/>
          <w:bCs/>
          <w:spacing w:val="-3"/>
          <w:sz w:val="24"/>
          <w:szCs w:val="24"/>
        </w:rPr>
        <w:t xml:space="preserve"> </w:t>
      </w:r>
    </w:p>
    <w:p w14:paraId="0327F5B8" w14:textId="77777777" w:rsidR="004C689A" w:rsidRDefault="004C689A" w:rsidP="00121C9D">
      <w:pPr>
        <w:tabs>
          <w:tab w:val="left" w:pos="720"/>
          <w:tab w:val="left" w:pos="1440"/>
        </w:tabs>
        <w:suppressAutoHyphens/>
        <w:ind w:right="360"/>
        <w:rPr>
          <w:rFonts w:eastAsia="Times New Roman" w:cstheme="minorHAnsi"/>
          <w:bCs/>
          <w:spacing w:val="-3"/>
          <w:sz w:val="24"/>
          <w:szCs w:val="24"/>
        </w:rPr>
      </w:pPr>
    </w:p>
    <w:p w14:paraId="67B199E4" w14:textId="69FB9309" w:rsidR="00600223" w:rsidRDefault="009006C6" w:rsidP="00121C9D">
      <w:pPr>
        <w:tabs>
          <w:tab w:val="left" w:pos="720"/>
          <w:tab w:val="left" w:pos="1440"/>
        </w:tabs>
        <w:suppressAutoHyphens/>
        <w:ind w:right="360"/>
        <w:rPr>
          <w:rFonts w:eastAsia="Times New Roman" w:cstheme="minorHAnsi"/>
          <w:bCs/>
          <w:spacing w:val="-3"/>
          <w:sz w:val="24"/>
          <w:szCs w:val="24"/>
        </w:rPr>
      </w:pPr>
      <w:r>
        <w:rPr>
          <w:rFonts w:eastAsia="Times New Roman" w:cstheme="minorHAnsi"/>
          <w:bCs/>
          <w:spacing w:val="-3"/>
          <w:sz w:val="24"/>
          <w:szCs w:val="24"/>
        </w:rPr>
        <w:t>Lease liabilities</w:t>
      </w:r>
      <w:r w:rsidR="00D44223">
        <w:rPr>
          <w:rFonts w:eastAsia="Times New Roman" w:cstheme="minorHAnsi"/>
          <w:bCs/>
          <w:spacing w:val="-3"/>
          <w:sz w:val="24"/>
          <w:szCs w:val="24"/>
        </w:rPr>
        <w:t xml:space="preserve"> include one lease</w:t>
      </w:r>
      <w:r w:rsidR="007150B2">
        <w:rPr>
          <w:rFonts w:eastAsia="Times New Roman" w:cstheme="minorHAnsi"/>
          <w:bCs/>
          <w:spacing w:val="-3"/>
          <w:sz w:val="24"/>
          <w:szCs w:val="24"/>
        </w:rPr>
        <w:t xml:space="preserve"> with an option to purchase</w:t>
      </w:r>
      <w:r w:rsidR="00D44223">
        <w:rPr>
          <w:rFonts w:eastAsia="Times New Roman" w:cstheme="minorHAnsi"/>
          <w:bCs/>
          <w:spacing w:val="-3"/>
          <w:sz w:val="24"/>
          <w:szCs w:val="24"/>
        </w:rPr>
        <w:t xml:space="preserve"> after five years. </w:t>
      </w:r>
      <w:r w:rsidR="006E1EB2">
        <w:rPr>
          <w:rFonts w:eastAsia="Times New Roman" w:cstheme="minorHAnsi"/>
          <w:bCs/>
          <w:spacing w:val="-3"/>
          <w:sz w:val="24"/>
          <w:szCs w:val="24"/>
        </w:rPr>
        <w:t>Monthly</w:t>
      </w:r>
      <w:r w:rsidR="00D44223">
        <w:rPr>
          <w:rFonts w:eastAsia="Times New Roman" w:cstheme="minorHAnsi"/>
          <w:bCs/>
          <w:spacing w:val="-3"/>
          <w:sz w:val="24"/>
          <w:szCs w:val="24"/>
        </w:rPr>
        <w:t xml:space="preserve"> installments </w:t>
      </w:r>
      <w:r w:rsidR="006E1EB2">
        <w:rPr>
          <w:rFonts w:eastAsia="Times New Roman" w:cstheme="minorHAnsi"/>
          <w:bCs/>
          <w:spacing w:val="-3"/>
          <w:sz w:val="24"/>
          <w:szCs w:val="24"/>
        </w:rPr>
        <w:t xml:space="preserve">for FY22 </w:t>
      </w:r>
      <w:r w:rsidR="00D44223">
        <w:rPr>
          <w:rFonts w:eastAsia="Times New Roman" w:cstheme="minorHAnsi"/>
          <w:bCs/>
          <w:spacing w:val="-3"/>
          <w:sz w:val="24"/>
          <w:szCs w:val="24"/>
        </w:rPr>
        <w:t>total $</w:t>
      </w:r>
      <w:r w:rsidR="006E1EB2">
        <w:rPr>
          <w:rFonts w:eastAsia="Times New Roman" w:cstheme="minorHAnsi"/>
          <w:bCs/>
          <w:spacing w:val="-3"/>
          <w:sz w:val="24"/>
          <w:szCs w:val="24"/>
        </w:rPr>
        <w:t>4,788</w:t>
      </w:r>
      <w:r w:rsidR="00D44223">
        <w:rPr>
          <w:rFonts w:eastAsia="Times New Roman" w:cstheme="minorHAnsi"/>
          <w:bCs/>
          <w:spacing w:val="-3"/>
          <w:sz w:val="24"/>
          <w:szCs w:val="24"/>
        </w:rPr>
        <w:t xml:space="preserve"> including interest at a rate of 1.02%.</w:t>
      </w:r>
    </w:p>
    <w:p w14:paraId="2369A9C7" w14:textId="77777777" w:rsidR="00600223" w:rsidRPr="00EE0949" w:rsidRDefault="00600223" w:rsidP="00600223">
      <w:pPr>
        <w:tabs>
          <w:tab w:val="left" w:pos="720"/>
          <w:tab w:val="left" w:pos="1440"/>
        </w:tabs>
        <w:suppressAutoHyphens/>
        <w:ind w:right="360"/>
        <w:rPr>
          <w:rFonts w:eastAsia="Times New Roman" w:cstheme="minorHAnsi"/>
          <w:bCs/>
          <w:spacing w:val="-3"/>
          <w:sz w:val="20"/>
          <w:szCs w:val="20"/>
        </w:rPr>
      </w:pPr>
    </w:p>
    <w:p w14:paraId="75A7B1D7" w14:textId="653963DD" w:rsidR="00DC6B34" w:rsidRDefault="00600223" w:rsidP="00121C9D">
      <w:pPr>
        <w:tabs>
          <w:tab w:val="left" w:pos="720"/>
          <w:tab w:val="left" w:pos="1440"/>
        </w:tabs>
        <w:suppressAutoHyphens/>
        <w:ind w:right="360"/>
        <w:rPr>
          <w:rFonts w:eastAsia="Times New Roman" w:cstheme="minorHAnsi"/>
          <w:bCs/>
          <w:spacing w:val="-3"/>
          <w:sz w:val="24"/>
          <w:szCs w:val="24"/>
        </w:rPr>
      </w:pPr>
      <w:r w:rsidRPr="00E94785">
        <w:rPr>
          <w:rFonts w:eastAsia="Times New Roman" w:cstheme="minorHAnsi"/>
          <w:bCs/>
          <w:spacing w:val="-3"/>
          <w:sz w:val="24"/>
          <w:szCs w:val="24"/>
        </w:rPr>
        <w:t>Certain leases provide for increases in future minim</w:t>
      </w:r>
      <w:r>
        <w:rPr>
          <w:rFonts w:eastAsia="Times New Roman" w:cstheme="minorHAnsi"/>
          <w:bCs/>
          <w:spacing w:val="-3"/>
          <w:sz w:val="24"/>
          <w:szCs w:val="24"/>
        </w:rPr>
        <w:t xml:space="preserve">um annual rental payments based </w:t>
      </w:r>
      <w:r w:rsidRPr="00E94785">
        <w:rPr>
          <w:rFonts w:eastAsia="Times New Roman" w:cstheme="minorHAnsi"/>
          <w:bCs/>
          <w:spacing w:val="-3"/>
          <w:sz w:val="24"/>
          <w:szCs w:val="24"/>
        </w:rPr>
        <w:t>on defined increases in the Consumer Price Index, subject t</w:t>
      </w:r>
      <w:r>
        <w:rPr>
          <w:rFonts w:eastAsia="Times New Roman" w:cstheme="minorHAnsi"/>
          <w:bCs/>
          <w:spacing w:val="-3"/>
          <w:sz w:val="24"/>
          <w:szCs w:val="24"/>
        </w:rPr>
        <w:t xml:space="preserve">o certain minimum </w:t>
      </w:r>
      <w:r w:rsidRPr="00E94785">
        <w:rPr>
          <w:rFonts w:eastAsia="Times New Roman" w:cstheme="minorHAnsi"/>
          <w:bCs/>
          <w:spacing w:val="-3"/>
          <w:sz w:val="24"/>
          <w:szCs w:val="24"/>
        </w:rPr>
        <w:t>increases.</w:t>
      </w:r>
    </w:p>
    <w:p w14:paraId="65B913FD" w14:textId="77777777" w:rsidR="003B7305" w:rsidRPr="00121C9D" w:rsidRDefault="003B7305" w:rsidP="00121C9D">
      <w:pPr>
        <w:tabs>
          <w:tab w:val="left" w:pos="720"/>
          <w:tab w:val="left" w:pos="1440"/>
        </w:tabs>
        <w:suppressAutoHyphens/>
        <w:ind w:right="360"/>
        <w:rPr>
          <w:rFonts w:eastAsia="Times New Roman" w:cstheme="minorHAnsi"/>
          <w:bCs/>
          <w:spacing w:val="-3"/>
          <w:sz w:val="24"/>
          <w:szCs w:val="24"/>
        </w:rPr>
      </w:pPr>
    </w:p>
    <w:p w14:paraId="5DF44ECC" w14:textId="5DAD0512" w:rsidR="00721CFD" w:rsidRDefault="00600223" w:rsidP="00721CFD">
      <w:pPr>
        <w:tabs>
          <w:tab w:val="left" w:pos="630"/>
          <w:tab w:val="left" w:pos="1022"/>
          <w:tab w:val="left" w:pos="1440"/>
          <w:tab w:val="decimal" w:pos="6890"/>
          <w:tab w:val="decimal" w:pos="9454"/>
        </w:tabs>
        <w:suppressAutoHyphens/>
        <w:spacing w:after="240"/>
        <w:rPr>
          <w:rFonts w:cstheme="minorHAnsi"/>
          <w:bCs/>
          <w:spacing w:val="-3"/>
          <w:sz w:val="24"/>
        </w:rPr>
      </w:pPr>
      <w:r>
        <w:rPr>
          <w:rFonts w:cstheme="minorHAnsi"/>
          <w:spacing w:val="-3"/>
          <w:sz w:val="24"/>
        </w:rPr>
        <w:t xml:space="preserve">Total </w:t>
      </w:r>
      <w:r>
        <w:rPr>
          <w:rFonts w:cstheme="minorHAnsi"/>
          <w:bCs/>
          <w:spacing w:val="-3"/>
          <w:sz w:val="24"/>
        </w:rPr>
        <w:t>f</w:t>
      </w:r>
      <w:r w:rsidR="00721CFD" w:rsidRPr="00F54559">
        <w:rPr>
          <w:rFonts w:cstheme="minorHAnsi"/>
          <w:bCs/>
          <w:spacing w:val="-3"/>
          <w:sz w:val="24"/>
        </w:rPr>
        <w:t xml:space="preserve">uture minimum lease payments as of June 30, </w:t>
      </w:r>
      <w:r w:rsidR="00721CFD">
        <w:rPr>
          <w:rFonts w:cstheme="minorHAnsi"/>
          <w:bCs/>
          <w:spacing w:val="-3"/>
          <w:sz w:val="24"/>
        </w:rPr>
        <w:t>2022</w:t>
      </w:r>
      <w:r w:rsidR="00721CFD" w:rsidRPr="00F54559">
        <w:rPr>
          <w:rFonts w:cstheme="minorHAnsi"/>
          <w:bCs/>
          <w:spacing w:val="-3"/>
          <w:sz w:val="24"/>
        </w:rPr>
        <w:t xml:space="preserve"> are as follows:</w:t>
      </w:r>
    </w:p>
    <w:tbl>
      <w:tblPr>
        <w:tblW w:w="5066" w:type="dxa"/>
        <w:jc w:val="center"/>
        <w:tblLayout w:type="fixed"/>
        <w:tblLook w:val="04A0" w:firstRow="1" w:lastRow="0" w:firstColumn="1" w:lastColumn="0" w:noHBand="0" w:noVBand="1"/>
      </w:tblPr>
      <w:tblGrid>
        <w:gridCol w:w="2392"/>
        <w:gridCol w:w="1337"/>
        <w:gridCol w:w="1337"/>
      </w:tblGrid>
      <w:tr w:rsidR="00721CFD" w:rsidRPr="003323E0" w14:paraId="753FB3A5" w14:textId="77777777" w:rsidTr="007B5BB3">
        <w:trPr>
          <w:trHeight w:val="588"/>
          <w:tblHeader/>
          <w:jc w:val="center"/>
        </w:trPr>
        <w:tc>
          <w:tcPr>
            <w:tcW w:w="2392" w:type="dxa"/>
            <w:tcBorders>
              <w:top w:val="nil"/>
              <w:left w:val="nil"/>
              <w:bottom w:val="nil"/>
              <w:right w:val="nil"/>
            </w:tcBorders>
            <w:shd w:val="clear" w:color="000000" w:fill="FFFFFF"/>
            <w:vAlign w:val="bottom"/>
            <w:hideMark/>
          </w:tcPr>
          <w:p w14:paraId="35D6FD1B" w14:textId="77777777" w:rsidR="00721CFD" w:rsidRPr="003323E0" w:rsidRDefault="00721CFD" w:rsidP="007B5BB3">
            <w:pPr>
              <w:rPr>
                <w:rFonts w:ascii="Calibri" w:eastAsia="Times New Roman" w:hAnsi="Calibri" w:cs="Calibri"/>
                <w:b/>
                <w:bCs/>
                <w:color w:val="0D0D0D"/>
              </w:rPr>
            </w:pPr>
            <w:r w:rsidRPr="003323E0">
              <w:rPr>
                <w:rFonts w:ascii="Calibri" w:eastAsia="Times New Roman" w:hAnsi="Calibri" w:cs="Calibri"/>
                <w:b/>
                <w:bCs/>
                <w:color w:val="0D0D0D"/>
              </w:rPr>
              <w:t>Year Ending</w:t>
            </w:r>
            <w:r>
              <w:rPr>
                <w:rFonts w:ascii="Calibri" w:eastAsia="Times New Roman" w:hAnsi="Calibri" w:cs="Calibri"/>
                <w:b/>
                <w:bCs/>
                <w:color w:val="0D0D0D"/>
              </w:rPr>
              <w:t xml:space="preserve"> </w:t>
            </w:r>
            <w:r w:rsidRPr="003323E0">
              <w:rPr>
                <w:rFonts w:ascii="Calibri" w:eastAsia="Times New Roman" w:hAnsi="Calibri" w:cs="Calibri"/>
                <w:b/>
                <w:bCs/>
                <w:color w:val="0D0D0D"/>
              </w:rPr>
              <w:t>June 30:</w:t>
            </w:r>
          </w:p>
        </w:tc>
        <w:tc>
          <w:tcPr>
            <w:tcW w:w="1337" w:type="dxa"/>
            <w:tcBorders>
              <w:top w:val="nil"/>
              <w:left w:val="nil"/>
              <w:bottom w:val="single" w:sz="12" w:space="0" w:color="00688D"/>
              <w:right w:val="nil"/>
            </w:tcBorders>
            <w:shd w:val="clear" w:color="000000" w:fill="FFFFFF"/>
            <w:noWrap/>
            <w:vAlign w:val="bottom"/>
            <w:hideMark/>
          </w:tcPr>
          <w:p w14:paraId="13B8CE5A" w14:textId="77777777" w:rsidR="00721CFD" w:rsidRPr="003323E0" w:rsidRDefault="00721CFD" w:rsidP="007B5BB3">
            <w:pPr>
              <w:jc w:val="center"/>
              <w:rPr>
                <w:rFonts w:ascii="Calibri" w:eastAsia="Times New Roman" w:hAnsi="Calibri" w:cs="Calibri"/>
                <w:b/>
                <w:bCs/>
                <w:color w:val="0D0D0D"/>
              </w:rPr>
            </w:pPr>
            <w:r w:rsidRPr="003323E0">
              <w:rPr>
                <w:rFonts w:ascii="Calibri" w:eastAsia="Times New Roman" w:hAnsi="Calibri" w:cs="Calibri"/>
                <w:b/>
                <w:bCs/>
                <w:color w:val="0D0D0D"/>
              </w:rPr>
              <w:t>Principal</w:t>
            </w:r>
          </w:p>
        </w:tc>
        <w:tc>
          <w:tcPr>
            <w:tcW w:w="1337" w:type="dxa"/>
            <w:tcBorders>
              <w:top w:val="nil"/>
              <w:left w:val="nil"/>
              <w:bottom w:val="single" w:sz="12" w:space="0" w:color="00688D"/>
              <w:right w:val="nil"/>
            </w:tcBorders>
            <w:shd w:val="clear" w:color="auto" w:fill="auto"/>
            <w:noWrap/>
            <w:vAlign w:val="bottom"/>
            <w:hideMark/>
          </w:tcPr>
          <w:p w14:paraId="33D1087F" w14:textId="77777777" w:rsidR="00721CFD" w:rsidRPr="003323E0" w:rsidRDefault="00721CFD" w:rsidP="007B5BB3">
            <w:pPr>
              <w:jc w:val="center"/>
              <w:rPr>
                <w:rFonts w:ascii="Calibri" w:eastAsia="Times New Roman" w:hAnsi="Calibri" w:cs="Calibri"/>
                <w:b/>
                <w:bCs/>
                <w:color w:val="0D0D0D"/>
              </w:rPr>
            </w:pPr>
            <w:r w:rsidRPr="003323E0">
              <w:rPr>
                <w:rFonts w:ascii="Calibri" w:eastAsia="Times New Roman" w:hAnsi="Calibri" w:cs="Calibri"/>
                <w:b/>
                <w:bCs/>
                <w:color w:val="0D0D0D"/>
              </w:rPr>
              <w:t>Interest</w:t>
            </w:r>
          </w:p>
        </w:tc>
      </w:tr>
      <w:tr w:rsidR="00721CFD" w:rsidRPr="003323E0" w14:paraId="78B115D6" w14:textId="77777777" w:rsidTr="007B5BB3">
        <w:trPr>
          <w:trHeight w:val="300"/>
          <w:jc w:val="center"/>
        </w:trPr>
        <w:tc>
          <w:tcPr>
            <w:tcW w:w="2392" w:type="dxa"/>
            <w:tcBorders>
              <w:top w:val="nil"/>
              <w:left w:val="nil"/>
              <w:bottom w:val="nil"/>
              <w:right w:val="nil"/>
            </w:tcBorders>
            <w:shd w:val="clear" w:color="000000" w:fill="FFFFFF"/>
            <w:noWrap/>
            <w:vAlign w:val="bottom"/>
            <w:hideMark/>
          </w:tcPr>
          <w:p w14:paraId="27DBB408"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3</w:t>
            </w:r>
          </w:p>
        </w:tc>
        <w:tc>
          <w:tcPr>
            <w:tcW w:w="1337" w:type="dxa"/>
            <w:tcBorders>
              <w:top w:val="nil"/>
              <w:left w:val="nil"/>
              <w:bottom w:val="nil"/>
              <w:right w:val="nil"/>
            </w:tcBorders>
            <w:shd w:val="clear" w:color="000000" w:fill="FFFFFF"/>
            <w:noWrap/>
            <w:vAlign w:val="bottom"/>
            <w:hideMark/>
          </w:tcPr>
          <w:p w14:paraId="329670BF" w14:textId="49DF8E0B" w:rsidR="00721CFD" w:rsidRPr="00703045" w:rsidRDefault="00357FCC" w:rsidP="007B5BB3">
            <w:pPr>
              <w:jc w:val="right"/>
              <w:rPr>
                <w:rFonts w:ascii="Calibri" w:eastAsia="Times New Roman" w:hAnsi="Calibri" w:cs="Calibri"/>
                <w:color w:val="FF0000"/>
              </w:rPr>
            </w:pPr>
            <w:r>
              <w:rPr>
                <w:rFonts w:ascii="Calibri" w:hAnsi="Calibri" w:cs="Calibri"/>
                <w:color w:val="000000"/>
              </w:rPr>
              <w:t>$</w:t>
            </w:r>
            <w:r w:rsidR="00F54C22">
              <w:rPr>
                <w:rFonts w:ascii="Calibri" w:hAnsi="Calibri" w:cs="Calibri"/>
                <w:color w:val="000000"/>
              </w:rPr>
              <w:t xml:space="preserve">  </w:t>
            </w:r>
            <w:r w:rsidR="00721CFD">
              <w:rPr>
                <w:rFonts w:ascii="Calibri" w:hAnsi="Calibri" w:cs="Calibri"/>
                <w:color w:val="000000"/>
              </w:rPr>
              <w:t>2,311</w:t>
            </w:r>
          </w:p>
        </w:tc>
        <w:tc>
          <w:tcPr>
            <w:tcW w:w="1337" w:type="dxa"/>
            <w:tcBorders>
              <w:top w:val="nil"/>
              <w:left w:val="nil"/>
              <w:bottom w:val="nil"/>
              <w:right w:val="nil"/>
            </w:tcBorders>
            <w:shd w:val="clear" w:color="auto" w:fill="auto"/>
            <w:noWrap/>
            <w:vAlign w:val="bottom"/>
            <w:hideMark/>
          </w:tcPr>
          <w:p w14:paraId="5070210F" w14:textId="23EFE8A3" w:rsidR="00721CFD" w:rsidRPr="00703045" w:rsidRDefault="00357FCC" w:rsidP="007B5BB3">
            <w:pPr>
              <w:jc w:val="right"/>
              <w:rPr>
                <w:rFonts w:ascii="Calibri" w:eastAsia="Times New Roman" w:hAnsi="Calibri" w:cs="Calibri"/>
                <w:color w:val="FF0000"/>
              </w:rPr>
            </w:pPr>
            <w:r>
              <w:rPr>
                <w:rFonts w:ascii="Calibri" w:hAnsi="Calibri" w:cs="Calibri"/>
                <w:color w:val="000000"/>
              </w:rPr>
              <w:t>$</w:t>
            </w:r>
            <w:r w:rsidR="00F54C22">
              <w:rPr>
                <w:rFonts w:ascii="Calibri" w:hAnsi="Calibri" w:cs="Calibri"/>
                <w:color w:val="000000"/>
              </w:rPr>
              <w:t xml:space="preserve">    </w:t>
            </w:r>
            <w:r w:rsidR="00721CFD">
              <w:rPr>
                <w:rFonts w:ascii="Calibri" w:hAnsi="Calibri" w:cs="Calibri"/>
                <w:color w:val="000000"/>
              </w:rPr>
              <w:t>363</w:t>
            </w:r>
          </w:p>
        </w:tc>
      </w:tr>
      <w:tr w:rsidR="00721CFD" w:rsidRPr="003323E0" w14:paraId="1F5A3AE6" w14:textId="77777777" w:rsidTr="007B5BB3">
        <w:trPr>
          <w:trHeight w:val="288"/>
          <w:jc w:val="center"/>
        </w:trPr>
        <w:tc>
          <w:tcPr>
            <w:tcW w:w="2392" w:type="dxa"/>
            <w:tcBorders>
              <w:top w:val="nil"/>
              <w:left w:val="nil"/>
              <w:bottom w:val="nil"/>
              <w:right w:val="nil"/>
            </w:tcBorders>
            <w:shd w:val="clear" w:color="000000" w:fill="FFFFFF"/>
            <w:noWrap/>
            <w:vAlign w:val="bottom"/>
            <w:hideMark/>
          </w:tcPr>
          <w:p w14:paraId="3C9FA755"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4</w:t>
            </w:r>
          </w:p>
        </w:tc>
        <w:tc>
          <w:tcPr>
            <w:tcW w:w="1337" w:type="dxa"/>
            <w:tcBorders>
              <w:top w:val="nil"/>
              <w:left w:val="nil"/>
              <w:bottom w:val="nil"/>
              <w:right w:val="nil"/>
            </w:tcBorders>
            <w:shd w:val="clear" w:color="000000" w:fill="FFFFFF"/>
            <w:noWrap/>
            <w:vAlign w:val="bottom"/>
            <w:hideMark/>
          </w:tcPr>
          <w:p w14:paraId="53E333A1"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2,144</w:t>
            </w:r>
          </w:p>
        </w:tc>
        <w:tc>
          <w:tcPr>
            <w:tcW w:w="1337" w:type="dxa"/>
            <w:tcBorders>
              <w:top w:val="nil"/>
              <w:left w:val="nil"/>
              <w:bottom w:val="nil"/>
              <w:right w:val="nil"/>
            </w:tcBorders>
            <w:shd w:val="clear" w:color="auto" w:fill="auto"/>
            <w:noWrap/>
            <w:vAlign w:val="bottom"/>
            <w:hideMark/>
          </w:tcPr>
          <w:p w14:paraId="4E4099D4"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342</w:t>
            </w:r>
          </w:p>
        </w:tc>
      </w:tr>
      <w:tr w:rsidR="00721CFD" w:rsidRPr="003323E0" w14:paraId="63C4D62D" w14:textId="77777777" w:rsidTr="007B5BB3">
        <w:trPr>
          <w:trHeight w:val="288"/>
          <w:jc w:val="center"/>
        </w:trPr>
        <w:tc>
          <w:tcPr>
            <w:tcW w:w="2392" w:type="dxa"/>
            <w:tcBorders>
              <w:top w:val="nil"/>
              <w:left w:val="nil"/>
              <w:bottom w:val="nil"/>
              <w:right w:val="nil"/>
            </w:tcBorders>
            <w:shd w:val="clear" w:color="000000" w:fill="FFFFFF"/>
            <w:noWrap/>
            <w:vAlign w:val="bottom"/>
            <w:hideMark/>
          </w:tcPr>
          <w:p w14:paraId="63925E12"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5</w:t>
            </w:r>
          </w:p>
        </w:tc>
        <w:tc>
          <w:tcPr>
            <w:tcW w:w="1337" w:type="dxa"/>
            <w:tcBorders>
              <w:top w:val="nil"/>
              <w:left w:val="nil"/>
              <w:bottom w:val="nil"/>
              <w:right w:val="nil"/>
            </w:tcBorders>
            <w:shd w:val="clear" w:color="000000" w:fill="FFFFFF"/>
            <w:noWrap/>
            <w:vAlign w:val="bottom"/>
            <w:hideMark/>
          </w:tcPr>
          <w:p w14:paraId="012FD48D"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1,989</w:t>
            </w:r>
          </w:p>
        </w:tc>
        <w:tc>
          <w:tcPr>
            <w:tcW w:w="1337" w:type="dxa"/>
            <w:tcBorders>
              <w:top w:val="nil"/>
              <w:left w:val="nil"/>
              <w:bottom w:val="nil"/>
              <w:right w:val="nil"/>
            </w:tcBorders>
            <w:shd w:val="clear" w:color="auto" w:fill="auto"/>
            <w:noWrap/>
            <w:vAlign w:val="bottom"/>
            <w:hideMark/>
          </w:tcPr>
          <w:p w14:paraId="22F9C9F1"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322</w:t>
            </w:r>
          </w:p>
        </w:tc>
      </w:tr>
      <w:tr w:rsidR="00721CFD" w:rsidRPr="003323E0" w14:paraId="42E46C55" w14:textId="77777777" w:rsidTr="007B5BB3">
        <w:trPr>
          <w:trHeight w:val="288"/>
          <w:jc w:val="center"/>
        </w:trPr>
        <w:tc>
          <w:tcPr>
            <w:tcW w:w="2392" w:type="dxa"/>
            <w:tcBorders>
              <w:top w:val="nil"/>
              <w:left w:val="nil"/>
              <w:bottom w:val="nil"/>
              <w:right w:val="nil"/>
            </w:tcBorders>
            <w:shd w:val="clear" w:color="000000" w:fill="FFFFFF"/>
            <w:noWrap/>
            <w:vAlign w:val="bottom"/>
            <w:hideMark/>
          </w:tcPr>
          <w:p w14:paraId="11596776"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6</w:t>
            </w:r>
          </w:p>
        </w:tc>
        <w:tc>
          <w:tcPr>
            <w:tcW w:w="1337" w:type="dxa"/>
            <w:tcBorders>
              <w:top w:val="nil"/>
              <w:left w:val="nil"/>
              <w:bottom w:val="nil"/>
              <w:right w:val="nil"/>
            </w:tcBorders>
            <w:shd w:val="clear" w:color="000000" w:fill="FFFFFF"/>
            <w:noWrap/>
            <w:vAlign w:val="bottom"/>
            <w:hideMark/>
          </w:tcPr>
          <w:p w14:paraId="2DE2D344"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2,048</w:t>
            </w:r>
          </w:p>
        </w:tc>
        <w:tc>
          <w:tcPr>
            <w:tcW w:w="1337" w:type="dxa"/>
            <w:tcBorders>
              <w:top w:val="nil"/>
              <w:left w:val="nil"/>
              <w:bottom w:val="nil"/>
              <w:right w:val="nil"/>
            </w:tcBorders>
            <w:shd w:val="clear" w:color="auto" w:fill="auto"/>
            <w:noWrap/>
            <w:vAlign w:val="bottom"/>
            <w:hideMark/>
          </w:tcPr>
          <w:p w14:paraId="71CF906C"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301</w:t>
            </w:r>
          </w:p>
        </w:tc>
      </w:tr>
      <w:tr w:rsidR="00721CFD" w:rsidRPr="003323E0" w14:paraId="37EFE21E" w14:textId="77777777" w:rsidTr="007B5BB3">
        <w:trPr>
          <w:trHeight w:val="288"/>
          <w:jc w:val="center"/>
        </w:trPr>
        <w:tc>
          <w:tcPr>
            <w:tcW w:w="2392" w:type="dxa"/>
            <w:tcBorders>
              <w:top w:val="nil"/>
              <w:left w:val="nil"/>
              <w:bottom w:val="nil"/>
              <w:right w:val="nil"/>
            </w:tcBorders>
            <w:shd w:val="clear" w:color="000000" w:fill="FFFFFF"/>
            <w:noWrap/>
            <w:vAlign w:val="bottom"/>
            <w:hideMark/>
          </w:tcPr>
          <w:p w14:paraId="501CBE56"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7</w:t>
            </w:r>
          </w:p>
        </w:tc>
        <w:tc>
          <w:tcPr>
            <w:tcW w:w="1337" w:type="dxa"/>
            <w:tcBorders>
              <w:top w:val="nil"/>
              <w:left w:val="nil"/>
              <w:bottom w:val="nil"/>
              <w:right w:val="nil"/>
            </w:tcBorders>
            <w:shd w:val="clear" w:color="000000" w:fill="FFFFFF"/>
            <w:noWrap/>
            <w:vAlign w:val="bottom"/>
            <w:hideMark/>
          </w:tcPr>
          <w:p w14:paraId="79BED1B0"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18,423</w:t>
            </w:r>
          </w:p>
        </w:tc>
        <w:tc>
          <w:tcPr>
            <w:tcW w:w="1337" w:type="dxa"/>
            <w:tcBorders>
              <w:top w:val="nil"/>
              <w:left w:val="nil"/>
              <w:bottom w:val="nil"/>
              <w:right w:val="nil"/>
            </w:tcBorders>
            <w:shd w:val="clear" w:color="auto" w:fill="auto"/>
            <w:noWrap/>
            <w:vAlign w:val="bottom"/>
            <w:hideMark/>
          </w:tcPr>
          <w:p w14:paraId="287F5515"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149</w:t>
            </w:r>
          </w:p>
        </w:tc>
      </w:tr>
      <w:tr w:rsidR="00721CFD" w:rsidRPr="003323E0" w14:paraId="6B4D5AC8" w14:textId="77777777" w:rsidTr="007B5BB3">
        <w:trPr>
          <w:trHeight w:val="288"/>
          <w:jc w:val="center"/>
        </w:trPr>
        <w:tc>
          <w:tcPr>
            <w:tcW w:w="2392" w:type="dxa"/>
            <w:tcBorders>
              <w:top w:val="nil"/>
              <w:left w:val="nil"/>
              <w:bottom w:val="nil"/>
              <w:right w:val="nil"/>
            </w:tcBorders>
            <w:shd w:val="clear" w:color="000000" w:fill="FFFFFF"/>
            <w:noWrap/>
            <w:vAlign w:val="bottom"/>
            <w:hideMark/>
          </w:tcPr>
          <w:p w14:paraId="08C26A6D"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8</w:t>
            </w:r>
            <w:r w:rsidRPr="003323E0">
              <w:rPr>
                <w:rFonts w:ascii="Calibri" w:eastAsia="Times New Roman" w:hAnsi="Calibri" w:cs="Calibri"/>
                <w:color w:val="0D0D0D"/>
              </w:rPr>
              <w:t>-203</w:t>
            </w:r>
            <w:r>
              <w:rPr>
                <w:rFonts w:ascii="Calibri" w:eastAsia="Times New Roman" w:hAnsi="Calibri" w:cs="Calibri"/>
                <w:color w:val="0D0D0D"/>
              </w:rPr>
              <w:t>2</w:t>
            </w:r>
          </w:p>
        </w:tc>
        <w:tc>
          <w:tcPr>
            <w:tcW w:w="1337" w:type="dxa"/>
            <w:tcBorders>
              <w:top w:val="nil"/>
              <w:left w:val="nil"/>
              <w:bottom w:val="nil"/>
              <w:right w:val="nil"/>
            </w:tcBorders>
            <w:shd w:val="clear" w:color="000000" w:fill="FFFFFF"/>
            <w:noWrap/>
            <w:vAlign w:val="bottom"/>
            <w:hideMark/>
          </w:tcPr>
          <w:p w14:paraId="25797CB0"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5,795</w:t>
            </w:r>
          </w:p>
        </w:tc>
        <w:tc>
          <w:tcPr>
            <w:tcW w:w="1337" w:type="dxa"/>
            <w:tcBorders>
              <w:top w:val="nil"/>
              <w:left w:val="nil"/>
              <w:bottom w:val="nil"/>
              <w:right w:val="nil"/>
            </w:tcBorders>
            <w:shd w:val="clear" w:color="auto" w:fill="auto"/>
            <w:noWrap/>
            <w:vAlign w:val="bottom"/>
            <w:hideMark/>
          </w:tcPr>
          <w:p w14:paraId="40B14268"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354</w:t>
            </w:r>
          </w:p>
        </w:tc>
      </w:tr>
      <w:tr w:rsidR="00721CFD" w:rsidRPr="003323E0" w14:paraId="2AFFEF72" w14:textId="77777777" w:rsidTr="007B5BB3">
        <w:trPr>
          <w:trHeight w:val="288"/>
          <w:jc w:val="center"/>
        </w:trPr>
        <w:tc>
          <w:tcPr>
            <w:tcW w:w="2392" w:type="dxa"/>
            <w:tcBorders>
              <w:top w:val="nil"/>
              <w:left w:val="nil"/>
              <w:bottom w:val="nil"/>
              <w:right w:val="nil"/>
            </w:tcBorders>
            <w:shd w:val="clear" w:color="000000" w:fill="FFFFFF"/>
            <w:noWrap/>
            <w:vAlign w:val="bottom"/>
            <w:hideMark/>
          </w:tcPr>
          <w:p w14:paraId="11A0A40B"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203</w:t>
            </w:r>
            <w:r>
              <w:rPr>
                <w:rFonts w:ascii="Calibri" w:eastAsia="Times New Roman" w:hAnsi="Calibri" w:cs="Calibri"/>
                <w:color w:val="0D0D0D"/>
              </w:rPr>
              <w:t>3</w:t>
            </w:r>
            <w:r w:rsidRPr="003323E0">
              <w:rPr>
                <w:rFonts w:ascii="Calibri" w:eastAsia="Times New Roman" w:hAnsi="Calibri" w:cs="Calibri"/>
                <w:color w:val="0D0D0D"/>
              </w:rPr>
              <w:t>-203</w:t>
            </w:r>
            <w:r>
              <w:rPr>
                <w:rFonts w:ascii="Calibri" w:eastAsia="Times New Roman" w:hAnsi="Calibri" w:cs="Calibri"/>
                <w:color w:val="0D0D0D"/>
              </w:rPr>
              <w:t>7</w:t>
            </w:r>
          </w:p>
        </w:tc>
        <w:tc>
          <w:tcPr>
            <w:tcW w:w="1337" w:type="dxa"/>
            <w:tcBorders>
              <w:top w:val="nil"/>
              <w:left w:val="nil"/>
              <w:bottom w:val="nil"/>
              <w:right w:val="nil"/>
            </w:tcBorders>
            <w:shd w:val="clear" w:color="000000" w:fill="FFFFFF"/>
            <w:noWrap/>
            <w:vAlign w:val="bottom"/>
            <w:hideMark/>
          </w:tcPr>
          <w:p w14:paraId="5AC1F75C"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2,003</w:t>
            </w:r>
          </w:p>
        </w:tc>
        <w:tc>
          <w:tcPr>
            <w:tcW w:w="1337" w:type="dxa"/>
            <w:tcBorders>
              <w:top w:val="nil"/>
              <w:left w:val="nil"/>
              <w:bottom w:val="nil"/>
              <w:right w:val="nil"/>
            </w:tcBorders>
            <w:shd w:val="clear" w:color="auto" w:fill="auto"/>
            <w:noWrap/>
            <w:vAlign w:val="bottom"/>
            <w:hideMark/>
          </w:tcPr>
          <w:p w14:paraId="5E3B7B8E" w14:textId="77777777" w:rsidR="00721CFD" w:rsidRPr="00703045" w:rsidRDefault="00721CFD" w:rsidP="007B5BB3">
            <w:pPr>
              <w:jc w:val="right"/>
              <w:rPr>
                <w:rFonts w:ascii="Calibri" w:eastAsia="Times New Roman" w:hAnsi="Calibri" w:cs="Calibri"/>
                <w:color w:val="FF0000"/>
              </w:rPr>
            </w:pPr>
            <w:r>
              <w:rPr>
                <w:rFonts w:ascii="Calibri" w:hAnsi="Calibri" w:cs="Calibri"/>
                <w:color w:val="000000"/>
              </w:rPr>
              <w:t>105</w:t>
            </w:r>
          </w:p>
        </w:tc>
      </w:tr>
      <w:tr w:rsidR="00F54C22" w:rsidRPr="003323E0" w14:paraId="6D644062" w14:textId="77777777" w:rsidTr="007B5BB3">
        <w:trPr>
          <w:trHeight w:val="288"/>
          <w:jc w:val="center"/>
        </w:trPr>
        <w:tc>
          <w:tcPr>
            <w:tcW w:w="2392" w:type="dxa"/>
            <w:tcBorders>
              <w:top w:val="nil"/>
              <w:left w:val="nil"/>
              <w:bottom w:val="nil"/>
              <w:right w:val="nil"/>
            </w:tcBorders>
            <w:shd w:val="clear" w:color="000000" w:fill="FFFFFF"/>
            <w:noWrap/>
            <w:vAlign w:val="bottom"/>
          </w:tcPr>
          <w:p w14:paraId="6CF9B829" w14:textId="74B41AFF" w:rsidR="00F54C22" w:rsidRPr="003323E0" w:rsidRDefault="00F54C22" w:rsidP="007B5BB3">
            <w:pPr>
              <w:jc w:val="center"/>
              <w:rPr>
                <w:rFonts w:ascii="Calibri" w:eastAsia="Times New Roman" w:hAnsi="Calibri" w:cs="Calibri"/>
                <w:color w:val="0D0D0D"/>
              </w:rPr>
            </w:pPr>
            <w:r>
              <w:rPr>
                <w:rFonts w:ascii="Calibri" w:eastAsia="Times New Roman" w:hAnsi="Calibri" w:cs="Calibri"/>
                <w:color w:val="0D0D0D"/>
              </w:rPr>
              <w:t>2038-2041</w:t>
            </w:r>
          </w:p>
        </w:tc>
        <w:tc>
          <w:tcPr>
            <w:tcW w:w="1337" w:type="dxa"/>
            <w:tcBorders>
              <w:top w:val="nil"/>
              <w:left w:val="nil"/>
              <w:bottom w:val="nil"/>
              <w:right w:val="nil"/>
            </w:tcBorders>
            <w:shd w:val="clear" w:color="000000" w:fill="FFFFFF"/>
            <w:noWrap/>
            <w:vAlign w:val="bottom"/>
          </w:tcPr>
          <w:p w14:paraId="431AE9FE" w14:textId="3F0A9315" w:rsidR="00F54C22" w:rsidRDefault="00F54C22" w:rsidP="007B5BB3">
            <w:pPr>
              <w:jc w:val="right"/>
              <w:rPr>
                <w:rFonts w:ascii="Calibri" w:hAnsi="Calibri" w:cs="Calibri"/>
                <w:color w:val="000000"/>
              </w:rPr>
            </w:pPr>
            <w:r>
              <w:rPr>
                <w:rFonts w:ascii="Calibri" w:hAnsi="Calibri" w:cs="Calibri"/>
                <w:color w:val="000000"/>
              </w:rPr>
              <w:t>606</w:t>
            </w:r>
          </w:p>
        </w:tc>
        <w:tc>
          <w:tcPr>
            <w:tcW w:w="1337" w:type="dxa"/>
            <w:tcBorders>
              <w:top w:val="nil"/>
              <w:left w:val="nil"/>
              <w:bottom w:val="nil"/>
              <w:right w:val="nil"/>
            </w:tcBorders>
            <w:shd w:val="clear" w:color="auto" w:fill="auto"/>
            <w:noWrap/>
            <w:vAlign w:val="bottom"/>
          </w:tcPr>
          <w:p w14:paraId="7A8F7ABB" w14:textId="3164292C" w:rsidR="00F54C22" w:rsidRDefault="00F54C22" w:rsidP="007B5BB3">
            <w:pPr>
              <w:jc w:val="right"/>
              <w:rPr>
                <w:rFonts w:ascii="Calibri" w:hAnsi="Calibri" w:cs="Calibri"/>
                <w:color w:val="000000"/>
              </w:rPr>
            </w:pPr>
            <w:r>
              <w:rPr>
                <w:rFonts w:ascii="Calibri" w:hAnsi="Calibri" w:cs="Calibri"/>
                <w:color w:val="000000"/>
              </w:rPr>
              <w:t>25</w:t>
            </w:r>
          </w:p>
        </w:tc>
      </w:tr>
      <w:tr w:rsidR="00721CFD" w:rsidRPr="00F651F5" w14:paraId="5C459D99" w14:textId="77777777" w:rsidTr="007B5BB3">
        <w:trPr>
          <w:trHeight w:val="300"/>
          <w:jc w:val="center"/>
        </w:trPr>
        <w:tc>
          <w:tcPr>
            <w:tcW w:w="2392" w:type="dxa"/>
            <w:tcBorders>
              <w:top w:val="single" w:sz="4" w:space="0" w:color="00688D"/>
              <w:left w:val="nil"/>
              <w:bottom w:val="double" w:sz="6" w:space="0" w:color="00688D"/>
              <w:right w:val="nil"/>
            </w:tcBorders>
            <w:shd w:val="clear" w:color="000000" w:fill="FFFFFF"/>
            <w:noWrap/>
            <w:vAlign w:val="bottom"/>
            <w:hideMark/>
          </w:tcPr>
          <w:p w14:paraId="3791C1BB" w14:textId="77777777" w:rsidR="00721CFD" w:rsidRPr="003323E0" w:rsidRDefault="00721CFD" w:rsidP="007B5BB3">
            <w:pPr>
              <w:rPr>
                <w:rFonts w:ascii="Calibri" w:eastAsia="Times New Roman" w:hAnsi="Calibri" w:cs="Calibri"/>
                <w:b/>
                <w:bCs/>
                <w:color w:val="0D0D0D"/>
              </w:rPr>
            </w:pPr>
            <w:r w:rsidRPr="003323E0">
              <w:rPr>
                <w:rFonts w:ascii="Calibri" w:eastAsia="Times New Roman" w:hAnsi="Calibri" w:cs="Calibri"/>
                <w:b/>
                <w:bCs/>
                <w:color w:val="0D0D0D"/>
              </w:rPr>
              <w:t xml:space="preserve">Total </w:t>
            </w:r>
            <w:r>
              <w:rPr>
                <w:rFonts w:ascii="Calibri" w:eastAsia="Times New Roman" w:hAnsi="Calibri" w:cs="Calibri"/>
                <w:b/>
                <w:bCs/>
                <w:color w:val="0D0D0D"/>
              </w:rPr>
              <w:t>P</w:t>
            </w:r>
            <w:r w:rsidRPr="003323E0">
              <w:rPr>
                <w:rFonts w:ascii="Calibri" w:eastAsia="Times New Roman" w:hAnsi="Calibri" w:cs="Calibri"/>
                <w:b/>
                <w:bCs/>
                <w:color w:val="0D0D0D"/>
              </w:rPr>
              <w:t>ayments</w:t>
            </w:r>
          </w:p>
        </w:tc>
        <w:tc>
          <w:tcPr>
            <w:tcW w:w="1337" w:type="dxa"/>
            <w:tcBorders>
              <w:top w:val="single" w:sz="4" w:space="0" w:color="00688D"/>
              <w:left w:val="nil"/>
              <w:bottom w:val="double" w:sz="6" w:space="0" w:color="00688D"/>
              <w:right w:val="nil"/>
            </w:tcBorders>
            <w:shd w:val="clear" w:color="000000" w:fill="FFFFFF"/>
            <w:noWrap/>
            <w:vAlign w:val="bottom"/>
            <w:hideMark/>
          </w:tcPr>
          <w:p w14:paraId="6DC1EA30" w14:textId="77777777" w:rsidR="00721CFD" w:rsidRPr="00703045" w:rsidRDefault="00721CFD" w:rsidP="007B5BB3">
            <w:pPr>
              <w:jc w:val="right"/>
              <w:rPr>
                <w:rFonts w:ascii="Calibri" w:eastAsia="Times New Roman" w:hAnsi="Calibri" w:cs="Calibri"/>
                <w:color w:val="FF0000"/>
              </w:rPr>
            </w:pPr>
            <w:r>
              <w:rPr>
                <w:rFonts w:ascii="Calibri" w:hAnsi="Calibri" w:cs="Calibri"/>
              </w:rPr>
              <w:t xml:space="preserve"> $ 35,319 </w:t>
            </w:r>
          </w:p>
        </w:tc>
        <w:tc>
          <w:tcPr>
            <w:tcW w:w="1337" w:type="dxa"/>
            <w:tcBorders>
              <w:top w:val="single" w:sz="4" w:space="0" w:color="00688D"/>
              <w:left w:val="nil"/>
              <w:bottom w:val="double" w:sz="6" w:space="0" w:color="00688D"/>
              <w:right w:val="nil"/>
            </w:tcBorders>
            <w:shd w:val="clear" w:color="auto" w:fill="auto"/>
            <w:noWrap/>
            <w:vAlign w:val="bottom"/>
            <w:hideMark/>
          </w:tcPr>
          <w:p w14:paraId="434229AD" w14:textId="77777777" w:rsidR="00721CFD" w:rsidRPr="00703045" w:rsidRDefault="00721CFD" w:rsidP="007B5BB3">
            <w:pPr>
              <w:jc w:val="right"/>
              <w:rPr>
                <w:rFonts w:ascii="Calibri" w:eastAsia="Times New Roman" w:hAnsi="Calibri" w:cs="Calibri"/>
                <w:color w:val="FF0000"/>
              </w:rPr>
            </w:pPr>
            <w:r>
              <w:rPr>
                <w:rFonts w:ascii="Calibri" w:hAnsi="Calibri" w:cs="Calibri"/>
              </w:rPr>
              <w:t xml:space="preserve"> $  1,961 </w:t>
            </w:r>
          </w:p>
        </w:tc>
      </w:tr>
    </w:tbl>
    <w:p w14:paraId="67B02FFE" w14:textId="526DD3E9" w:rsidR="00721CFD" w:rsidRDefault="00940116" w:rsidP="00721CFD">
      <w:pPr>
        <w:spacing w:before="100" w:beforeAutospacing="1" w:after="160" w:line="259" w:lineRule="auto"/>
        <w:rPr>
          <w:rFonts w:cstheme="minorHAnsi"/>
          <w:noProof/>
          <w:spacing w:val="-2"/>
          <w:sz w:val="24"/>
          <w:szCs w:val="24"/>
        </w:rPr>
      </w:pPr>
      <w:r>
        <w:rPr>
          <w:rFonts w:cstheme="minorHAnsi"/>
          <w:noProof/>
          <w:spacing w:val="-2"/>
          <w:sz w:val="24"/>
          <w:szCs w:val="24"/>
        </w:rPr>
        <w:t>As of June 30, 2022 and 2021, r</w:t>
      </w:r>
      <w:r w:rsidR="007150B2">
        <w:rPr>
          <w:rFonts w:cstheme="minorHAnsi"/>
          <w:noProof/>
          <w:spacing w:val="-2"/>
          <w:sz w:val="24"/>
          <w:szCs w:val="24"/>
        </w:rPr>
        <w:t>ight</w:t>
      </w:r>
      <w:r w:rsidR="007153DB">
        <w:rPr>
          <w:rFonts w:cstheme="minorHAnsi"/>
          <w:noProof/>
          <w:spacing w:val="-2"/>
          <w:sz w:val="24"/>
          <w:szCs w:val="24"/>
        </w:rPr>
        <w:t xml:space="preserve"> of</w:t>
      </w:r>
      <w:r w:rsidR="007153DB" w:rsidDel="007153DB">
        <w:rPr>
          <w:rFonts w:cstheme="minorHAnsi"/>
          <w:noProof/>
          <w:spacing w:val="-2"/>
          <w:sz w:val="24"/>
          <w:szCs w:val="24"/>
        </w:rPr>
        <w:t xml:space="preserve"> </w:t>
      </w:r>
      <w:r w:rsidR="007150B2">
        <w:rPr>
          <w:rFonts w:cstheme="minorHAnsi"/>
          <w:noProof/>
          <w:spacing w:val="-2"/>
          <w:sz w:val="24"/>
          <w:szCs w:val="24"/>
        </w:rPr>
        <w:t>use lease assets acquired through outstanding leases consist</w:t>
      </w:r>
      <w:r>
        <w:rPr>
          <w:rFonts w:cstheme="minorHAnsi"/>
          <w:noProof/>
          <w:spacing w:val="-2"/>
          <w:sz w:val="24"/>
          <w:szCs w:val="24"/>
        </w:rPr>
        <w:t>ing</w:t>
      </w:r>
      <w:r w:rsidR="007150B2">
        <w:rPr>
          <w:rFonts w:cstheme="minorHAnsi"/>
          <w:noProof/>
          <w:spacing w:val="-2"/>
          <w:sz w:val="24"/>
          <w:szCs w:val="24"/>
        </w:rPr>
        <w:t xml:space="preserve"> of building and office space total</w:t>
      </w:r>
      <w:r>
        <w:rPr>
          <w:rFonts w:cstheme="minorHAnsi"/>
          <w:noProof/>
          <w:spacing w:val="-2"/>
          <w:sz w:val="24"/>
          <w:szCs w:val="24"/>
        </w:rPr>
        <w:t>led $35,02</w:t>
      </w:r>
      <w:r w:rsidR="00F47C7E">
        <w:rPr>
          <w:rFonts w:cstheme="minorHAnsi"/>
          <w:noProof/>
          <w:spacing w:val="-2"/>
          <w:sz w:val="24"/>
          <w:szCs w:val="24"/>
        </w:rPr>
        <w:t>1</w:t>
      </w:r>
      <w:r>
        <w:rPr>
          <w:rFonts w:cstheme="minorHAnsi"/>
          <w:noProof/>
          <w:spacing w:val="-2"/>
          <w:sz w:val="24"/>
          <w:szCs w:val="24"/>
        </w:rPr>
        <w:t xml:space="preserve"> (net of $4,05</w:t>
      </w:r>
      <w:r w:rsidR="0002159C">
        <w:rPr>
          <w:rFonts w:cstheme="minorHAnsi"/>
          <w:noProof/>
          <w:spacing w:val="-2"/>
          <w:sz w:val="24"/>
          <w:szCs w:val="24"/>
        </w:rPr>
        <w:t xml:space="preserve">6 </w:t>
      </w:r>
      <w:r>
        <w:rPr>
          <w:rFonts w:cstheme="minorHAnsi"/>
          <w:noProof/>
          <w:spacing w:val="-2"/>
          <w:sz w:val="24"/>
          <w:szCs w:val="24"/>
        </w:rPr>
        <w:t>accumulated amortization) and $14,866 (net of $1,624 accumulated amortization), re</w:t>
      </w:r>
      <w:r w:rsidR="00FA1924">
        <w:rPr>
          <w:rFonts w:cstheme="minorHAnsi"/>
          <w:noProof/>
          <w:spacing w:val="-2"/>
          <w:sz w:val="24"/>
          <w:szCs w:val="24"/>
        </w:rPr>
        <w:t>s</w:t>
      </w:r>
      <w:r>
        <w:rPr>
          <w:rFonts w:cstheme="minorHAnsi"/>
          <w:noProof/>
          <w:spacing w:val="-2"/>
          <w:sz w:val="24"/>
          <w:szCs w:val="24"/>
        </w:rPr>
        <w:t>pectively</w:t>
      </w:r>
      <w:r w:rsidR="004B537E">
        <w:rPr>
          <w:rFonts w:cstheme="minorHAnsi"/>
          <w:noProof/>
          <w:spacing w:val="-2"/>
          <w:sz w:val="24"/>
          <w:szCs w:val="24"/>
        </w:rPr>
        <w:t xml:space="preserve"> </w:t>
      </w:r>
      <w:r w:rsidR="004B537E" w:rsidRPr="00EE0949">
        <w:rPr>
          <w:rFonts w:cstheme="minorHAnsi"/>
          <w:i/>
          <w:noProof/>
          <w:spacing w:val="-2"/>
          <w:sz w:val="24"/>
          <w:szCs w:val="24"/>
        </w:rPr>
        <w:t>(Note 6)</w:t>
      </w:r>
      <w:r w:rsidR="004B537E">
        <w:rPr>
          <w:rFonts w:cstheme="minorHAnsi"/>
          <w:noProof/>
          <w:spacing w:val="-2"/>
          <w:sz w:val="24"/>
          <w:szCs w:val="24"/>
        </w:rPr>
        <w:t>.</w:t>
      </w:r>
      <w:r>
        <w:rPr>
          <w:rFonts w:cstheme="minorHAnsi"/>
          <w:noProof/>
          <w:spacing w:val="-2"/>
          <w:sz w:val="24"/>
          <w:szCs w:val="24"/>
        </w:rPr>
        <w:t xml:space="preserve"> </w:t>
      </w:r>
      <w:r w:rsidR="00721CFD" w:rsidRPr="00F54559">
        <w:rPr>
          <w:rFonts w:cstheme="minorHAnsi"/>
          <w:noProof/>
          <w:spacing w:val="-2"/>
          <w:sz w:val="24"/>
          <w:szCs w:val="24"/>
        </w:rPr>
        <w:br w:type="page"/>
      </w:r>
    </w:p>
    <w:p w14:paraId="24550A39" w14:textId="77777777" w:rsidR="00373110" w:rsidRPr="00F54559" w:rsidRDefault="00373110" w:rsidP="00373110">
      <w:pPr>
        <w:tabs>
          <w:tab w:val="left" w:pos="720"/>
          <w:tab w:val="left" w:pos="1022"/>
          <w:tab w:val="left" w:pos="1440"/>
          <w:tab w:val="decimal" w:pos="6890"/>
          <w:tab w:val="decimal" w:pos="9454"/>
        </w:tabs>
        <w:suppressAutoHyphens/>
        <w:spacing w:before="120" w:after="120"/>
        <w:rPr>
          <w:rFonts w:cstheme="minorHAnsi"/>
          <w:bCs/>
          <w:spacing w:val="-3"/>
          <w:sz w:val="24"/>
        </w:rPr>
      </w:pPr>
      <w:r w:rsidRPr="00F54559">
        <w:rPr>
          <w:rFonts w:eastAsiaTheme="majorEastAsia" w:cstheme="minorHAnsi"/>
          <w:b/>
          <w:i/>
          <w:iCs/>
          <w:smallCaps/>
          <w:noProof/>
          <w:color w:val="000000" w:themeColor="text1"/>
          <w:sz w:val="26"/>
          <w:szCs w:val="26"/>
          <w:u w:color="5B9BD5"/>
        </w:rPr>
        <w:lastRenderedPageBreak/>
        <w:t>7. ACCRUED LIABILITIES</w:t>
      </w:r>
      <w:r>
        <w:rPr>
          <w:rFonts w:eastAsiaTheme="majorEastAsia" w:cstheme="minorHAnsi"/>
          <w:b/>
          <w:i/>
          <w:iCs/>
          <w:smallCaps/>
          <w:noProof/>
          <w:color w:val="000000" w:themeColor="text1"/>
          <w:sz w:val="26"/>
          <w:szCs w:val="26"/>
          <w:u w:color="5B9BD5"/>
        </w:rPr>
        <w:t>,</w:t>
      </w:r>
      <w:r w:rsidRPr="00F54559">
        <w:rPr>
          <w:rFonts w:eastAsiaTheme="majorEastAsia" w:cstheme="minorHAnsi"/>
          <w:b/>
          <w:i/>
          <w:iCs/>
          <w:smallCaps/>
          <w:noProof/>
          <w:color w:val="000000" w:themeColor="text1"/>
          <w:sz w:val="26"/>
          <w:szCs w:val="26"/>
          <w:u w:color="5B9BD5"/>
        </w:rPr>
        <w:t xml:space="preserve"> </w:t>
      </w:r>
      <w:r w:rsidRPr="00122B1D">
        <w:rPr>
          <w:rFonts w:cstheme="minorHAnsi"/>
          <w:b/>
          <w:i/>
          <w:sz w:val="26"/>
          <w:szCs w:val="26"/>
        </w:rPr>
        <w:t>LEASE LIABILITIES</w:t>
      </w:r>
      <w:r w:rsidRPr="00243894">
        <w:rPr>
          <w:rFonts w:cstheme="minorHAnsi"/>
          <w:sz w:val="26"/>
          <w:szCs w:val="26"/>
        </w:rPr>
        <w:t xml:space="preserve"> </w:t>
      </w:r>
      <w:r w:rsidRPr="00F54559">
        <w:rPr>
          <w:rFonts w:eastAsiaTheme="majorEastAsia" w:cstheme="minorHAnsi"/>
          <w:b/>
          <w:i/>
          <w:iCs/>
          <w:smallCaps/>
          <w:noProof/>
          <w:color w:val="000000" w:themeColor="text1"/>
          <w:sz w:val="26"/>
          <w:szCs w:val="26"/>
          <w:u w:color="5B9BD5"/>
        </w:rPr>
        <w:t>AND LONG-TERM DEBT  - CONTINUED</w:t>
      </w:r>
      <w:r>
        <w:rPr>
          <w:rFonts w:cstheme="minorHAnsi"/>
          <w:bCs/>
          <w:spacing w:val="-3"/>
          <w:sz w:val="24"/>
        </w:rPr>
        <w:fldChar w:fldCharType="begin"/>
      </w:r>
      <w:r>
        <w:rPr>
          <w:rFonts w:cstheme="minorHAnsi"/>
          <w:bCs/>
          <w:spacing w:val="-3"/>
          <w:sz w:val="24"/>
        </w:rPr>
        <w:fldChar w:fldCharType="end"/>
      </w:r>
    </w:p>
    <w:p w14:paraId="6D2DFFE2" w14:textId="77777777" w:rsidR="00721CFD" w:rsidRPr="00F54559" w:rsidRDefault="00721CFD" w:rsidP="00721CFD">
      <w:pPr>
        <w:pStyle w:val="AFR3"/>
        <w:rPr>
          <w:rFonts w:cstheme="minorHAnsi"/>
        </w:rPr>
      </w:pPr>
      <w:r w:rsidRPr="00F54559">
        <w:rPr>
          <w:rFonts w:cstheme="minorHAnsi"/>
          <w:noProof/>
          <w:spacing w:val="-2"/>
        </w:rPr>
        <w:t>b</w:t>
      </w:r>
      <w:r w:rsidRPr="00F453D3">
        <w:rPr>
          <w:rFonts w:cstheme="minorHAnsi"/>
          <w:noProof/>
          <w:spacing w:val="-2"/>
        </w:rPr>
        <w:t xml:space="preserve">. </w:t>
      </w:r>
      <w:r w:rsidRPr="00F453D3">
        <w:rPr>
          <w:rFonts w:cstheme="minorHAnsi"/>
        </w:rPr>
        <w:t>Bonds</w:t>
      </w:r>
      <w:r>
        <w:rPr>
          <w:rFonts w:cstheme="minorHAnsi"/>
        </w:rPr>
        <w:t xml:space="preserve"> Payable and Direct Borrowings</w:t>
      </w:r>
    </w:p>
    <w:p w14:paraId="18BE6E6D" w14:textId="77777777" w:rsidR="00721CFD" w:rsidRPr="00F54559" w:rsidRDefault="00721CFD" w:rsidP="00721CFD">
      <w:pPr>
        <w:tabs>
          <w:tab w:val="left" w:pos="720"/>
          <w:tab w:val="left" w:pos="1260"/>
          <w:tab w:val="left" w:pos="1440"/>
        </w:tabs>
        <w:suppressAutoHyphens/>
        <w:spacing w:after="120"/>
        <w:rPr>
          <w:rFonts w:eastAsia="Times New Roman" w:cstheme="minorHAnsi"/>
          <w:spacing w:val="-3"/>
          <w:sz w:val="2"/>
          <w:szCs w:val="2"/>
        </w:rPr>
      </w:pPr>
      <w:r w:rsidRPr="00F54559">
        <w:rPr>
          <w:rFonts w:eastAsia="Times New Roman" w:cstheme="minorHAnsi"/>
          <w:spacing w:val="-3"/>
          <w:sz w:val="24"/>
          <w:szCs w:val="20"/>
        </w:rPr>
        <w:t>Bonds</w:t>
      </w:r>
      <w:r>
        <w:rPr>
          <w:rFonts w:eastAsia="Times New Roman" w:cstheme="minorHAnsi"/>
          <w:spacing w:val="-3"/>
          <w:sz w:val="24"/>
          <w:szCs w:val="20"/>
        </w:rPr>
        <w:t xml:space="preserve"> </w:t>
      </w:r>
      <w:r w:rsidRPr="00F54559">
        <w:rPr>
          <w:rFonts w:eastAsia="Times New Roman" w:cstheme="minorHAnsi"/>
          <w:spacing w:val="-3"/>
          <w:sz w:val="24"/>
          <w:szCs w:val="20"/>
        </w:rPr>
        <w:t xml:space="preserve">payable and </w:t>
      </w:r>
      <w:r>
        <w:rPr>
          <w:rFonts w:eastAsia="Times New Roman" w:cstheme="minorHAnsi"/>
          <w:spacing w:val="-3"/>
          <w:sz w:val="24"/>
          <w:szCs w:val="20"/>
        </w:rPr>
        <w:t>direct borrowings</w:t>
      </w:r>
      <w:r w:rsidRPr="00F54559">
        <w:rPr>
          <w:rFonts w:eastAsia="Times New Roman" w:cstheme="minorHAnsi"/>
          <w:spacing w:val="-3"/>
          <w:sz w:val="24"/>
          <w:szCs w:val="20"/>
        </w:rPr>
        <w:t xml:space="preserve"> consist of the following at June 30:</w:t>
      </w:r>
      <w:r>
        <w:rPr>
          <w:rFonts w:eastAsia="Times New Roman" w:cstheme="minorHAnsi"/>
          <w:spacing w:val="-3"/>
          <w:sz w:val="2"/>
          <w:szCs w:val="2"/>
        </w:rPr>
        <w:fldChar w:fldCharType="begin"/>
      </w:r>
      <w:r>
        <w:rPr>
          <w:rFonts w:eastAsia="Times New Roman" w:cstheme="minorHAnsi"/>
          <w:spacing w:val="-3"/>
          <w:sz w:val="2"/>
          <w:szCs w:val="2"/>
        </w:rPr>
        <w:fldChar w:fldCharType="end"/>
      </w:r>
    </w:p>
    <w:tbl>
      <w:tblPr>
        <w:tblW w:w="9360" w:type="dxa"/>
        <w:tblLook w:val="04A0" w:firstRow="1" w:lastRow="0" w:firstColumn="1" w:lastColumn="0" w:noHBand="0" w:noVBand="1"/>
      </w:tblPr>
      <w:tblGrid>
        <w:gridCol w:w="6258"/>
        <w:gridCol w:w="1502"/>
        <w:gridCol w:w="1600"/>
      </w:tblGrid>
      <w:tr w:rsidR="00721CFD" w:rsidRPr="00C317EF" w14:paraId="179A9099" w14:textId="77777777" w:rsidTr="007B5BB3">
        <w:trPr>
          <w:trHeight w:val="300"/>
          <w:tblHeader/>
        </w:trPr>
        <w:tc>
          <w:tcPr>
            <w:tcW w:w="6258" w:type="dxa"/>
            <w:tcBorders>
              <w:top w:val="nil"/>
              <w:left w:val="nil"/>
              <w:bottom w:val="single" w:sz="12" w:space="0" w:color="00688D"/>
              <w:right w:val="nil"/>
            </w:tcBorders>
            <w:shd w:val="clear" w:color="000000" w:fill="FFFFFF"/>
            <w:noWrap/>
            <w:vAlign w:val="bottom"/>
            <w:hideMark/>
          </w:tcPr>
          <w:p w14:paraId="5C9EFFAC" w14:textId="77777777" w:rsidR="00721CFD" w:rsidRPr="00C317EF" w:rsidRDefault="00721CFD" w:rsidP="007B5BB3">
            <w:pPr>
              <w:rPr>
                <w:rFonts w:ascii="Calibri" w:eastAsia="Times New Roman" w:hAnsi="Calibri" w:cs="Calibri"/>
                <w:b/>
                <w:bCs/>
                <w:color w:val="0D0D0D"/>
              </w:rPr>
            </w:pPr>
            <w:r w:rsidRPr="00C317EF">
              <w:rPr>
                <w:rFonts w:ascii="Calibri" w:eastAsia="Times New Roman" w:hAnsi="Calibri" w:cs="Calibri"/>
                <w:b/>
                <w:bCs/>
                <w:color w:val="0D0D0D"/>
              </w:rPr>
              <w:t> </w:t>
            </w:r>
          </w:p>
        </w:tc>
        <w:tc>
          <w:tcPr>
            <w:tcW w:w="1502" w:type="dxa"/>
            <w:tcBorders>
              <w:top w:val="nil"/>
              <w:left w:val="nil"/>
              <w:bottom w:val="single" w:sz="12" w:space="0" w:color="00688D"/>
              <w:right w:val="nil"/>
            </w:tcBorders>
            <w:shd w:val="clear" w:color="000000" w:fill="FFFFFF"/>
            <w:noWrap/>
            <w:vAlign w:val="bottom"/>
            <w:hideMark/>
          </w:tcPr>
          <w:p w14:paraId="5AC34C8A" w14:textId="77777777" w:rsidR="00721CFD" w:rsidRPr="00C317EF" w:rsidRDefault="00721CFD" w:rsidP="007B5BB3">
            <w:pPr>
              <w:jc w:val="center"/>
              <w:rPr>
                <w:rFonts w:ascii="Calibri" w:eastAsia="Times New Roman" w:hAnsi="Calibri" w:cs="Calibri"/>
                <w:b/>
                <w:bCs/>
                <w:color w:val="0D0D0D"/>
              </w:rPr>
            </w:pPr>
            <w:r w:rsidRPr="00C317EF">
              <w:rPr>
                <w:rFonts w:ascii="Calibri" w:eastAsia="Times New Roman" w:hAnsi="Calibri" w:cs="Calibri"/>
                <w:b/>
                <w:bCs/>
                <w:color w:val="0D0D0D"/>
              </w:rPr>
              <w:t>202</w:t>
            </w:r>
            <w:r>
              <w:rPr>
                <w:rFonts w:ascii="Calibri" w:eastAsia="Times New Roman" w:hAnsi="Calibri" w:cs="Calibri"/>
                <w:b/>
                <w:bCs/>
                <w:color w:val="0D0D0D"/>
              </w:rPr>
              <w:t>2</w:t>
            </w:r>
          </w:p>
        </w:tc>
        <w:tc>
          <w:tcPr>
            <w:tcW w:w="1600" w:type="dxa"/>
            <w:tcBorders>
              <w:top w:val="nil"/>
              <w:left w:val="nil"/>
              <w:bottom w:val="single" w:sz="12" w:space="0" w:color="00688D"/>
              <w:right w:val="nil"/>
            </w:tcBorders>
            <w:shd w:val="clear" w:color="auto" w:fill="D9D9D9" w:themeFill="background1" w:themeFillShade="D9"/>
            <w:noWrap/>
            <w:vAlign w:val="bottom"/>
            <w:hideMark/>
          </w:tcPr>
          <w:p w14:paraId="115C28EC" w14:textId="77777777" w:rsidR="00721CFD" w:rsidRPr="00C317EF" w:rsidRDefault="00721CFD" w:rsidP="007B5BB3">
            <w:pPr>
              <w:jc w:val="center"/>
              <w:rPr>
                <w:rFonts w:ascii="Calibri" w:eastAsia="Times New Roman" w:hAnsi="Calibri" w:cs="Calibri"/>
                <w:b/>
                <w:bCs/>
                <w:color w:val="0D0D0D"/>
              </w:rPr>
            </w:pPr>
            <w:r w:rsidRPr="00C317EF">
              <w:rPr>
                <w:rFonts w:ascii="Calibri" w:eastAsia="Times New Roman" w:hAnsi="Calibri" w:cs="Calibri"/>
                <w:b/>
                <w:bCs/>
                <w:color w:val="0D0D0D"/>
              </w:rPr>
              <w:t>20</w:t>
            </w:r>
            <w:r>
              <w:rPr>
                <w:rFonts w:ascii="Calibri" w:eastAsia="Times New Roman" w:hAnsi="Calibri" w:cs="Calibri"/>
                <w:b/>
                <w:bCs/>
                <w:color w:val="0D0D0D"/>
              </w:rPr>
              <w:t>21</w:t>
            </w:r>
          </w:p>
        </w:tc>
      </w:tr>
      <w:tr w:rsidR="00721CFD" w:rsidRPr="00C317EF" w14:paraId="70AF5E59" w14:textId="77777777" w:rsidTr="007B5BB3">
        <w:trPr>
          <w:trHeight w:val="300"/>
        </w:trPr>
        <w:tc>
          <w:tcPr>
            <w:tcW w:w="6258" w:type="dxa"/>
            <w:tcBorders>
              <w:top w:val="nil"/>
              <w:left w:val="nil"/>
              <w:bottom w:val="nil"/>
              <w:right w:val="nil"/>
            </w:tcBorders>
            <w:shd w:val="clear" w:color="auto" w:fill="auto"/>
            <w:noWrap/>
            <w:vAlign w:val="bottom"/>
          </w:tcPr>
          <w:p w14:paraId="1FA9ED2A" w14:textId="77777777" w:rsidR="00721CFD" w:rsidRPr="0045079E" w:rsidRDefault="00721CFD" w:rsidP="007B5BB3">
            <w:pPr>
              <w:rPr>
                <w:rFonts w:ascii="Calibri" w:eastAsia="Times New Roman" w:hAnsi="Calibri" w:cs="Calibri"/>
                <w:b/>
                <w:color w:val="0D0D0D"/>
              </w:rPr>
            </w:pPr>
            <w:r w:rsidRPr="0045079E">
              <w:rPr>
                <w:rFonts w:ascii="Calibri" w:eastAsia="Times New Roman" w:hAnsi="Calibri" w:cs="Calibri"/>
                <w:b/>
                <w:color w:val="0D0D0D"/>
              </w:rPr>
              <w:t>Bonds Payable:</w:t>
            </w:r>
          </w:p>
        </w:tc>
        <w:tc>
          <w:tcPr>
            <w:tcW w:w="1502" w:type="dxa"/>
            <w:tcBorders>
              <w:top w:val="nil"/>
              <w:left w:val="nil"/>
              <w:bottom w:val="nil"/>
              <w:right w:val="nil"/>
            </w:tcBorders>
            <w:shd w:val="clear" w:color="000000" w:fill="FFFFFF"/>
            <w:noWrap/>
            <w:vAlign w:val="bottom"/>
          </w:tcPr>
          <w:p w14:paraId="54FC24D8" w14:textId="77777777" w:rsidR="00721CFD" w:rsidRPr="00C317EF" w:rsidRDefault="00721CFD" w:rsidP="007B5BB3">
            <w:pPr>
              <w:jc w:val="center"/>
              <w:rPr>
                <w:rFonts w:ascii="Calibri" w:eastAsia="Times New Roman" w:hAnsi="Calibri" w:cs="Calibri"/>
                <w:color w:val="0D0D0D"/>
                <w:u w:val="single"/>
              </w:rPr>
            </w:pPr>
          </w:p>
        </w:tc>
        <w:tc>
          <w:tcPr>
            <w:tcW w:w="1600" w:type="dxa"/>
            <w:tcBorders>
              <w:top w:val="nil"/>
              <w:left w:val="nil"/>
              <w:bottom w:val="nil"/>
              <w:right w:val="nil"/>
            </w:tcBorders>
            <w:shd w:val="clear" w:color="auto" w:fill="D9D9D9" w:themeFill="background1" w:themeFillShade="D9"/>
            <w:noWrap/>
            <w:vAlign w:val="bottom"/>
          </w:tcPr>
          <w:p w14:paraId="681E6256" w14:textId="77777777" w:rsidR="00721CFD" w:rsidRPr="00C317EF" w:rsidRDefault="00721CFD" w:rsidP="007B5BB3">
            <w:pPr>
              <w:jc w:val="center"/>
              <w:rPr>
                <w:rFonts w:ascii="Calibri" w:eastAsia="Times New Roman" w:hAnsi="Calibri" w:cs="Calibri"/>
                <w:color w:val="0D0D0D"/>
                <w:u w:val="single"/>
              </w:rPr>
            </w:pPr>
          </w:p>
        </w:tc>
      </w:tr>
      <w:tr w:rsidR="00721CFD" w:rsidRPr="00C317EF" w14:paraId="01DBDEAE" w14:textId="77777777" w:rsidTr="007B5BB3">
        <w:trPr>
          <w:trHeight w:val="1251"/>
        </w:trPr>
        <w:tc>
          <w:tcPr>
            <w:tcW w:w="6258" w:type="dxa"/>
            <w:tcBorders>
              <w:top w:val="nil"/>
              <w:left w:val="nil"/>
              <w:bottom w:val="nil"/>
              <w:right w:val="nil"/>
            </w:tcBorders>
            <w:shd w:val="clear" w:color="auto" w:fill="auto"/>
            <w:vAlign w:val="bottom"/>
            <w:hideMark/>
          </w:tcPr>
          <w:p w14:paraId="12C365C2" w14:textId="591BCFF8" w:rsidR="00721CFD" w:rsidRPr="0002159C" w:rsidRDefault="00721CFD">
            <w:pPr>
              <w:spacing w:before="120"/>
              <w:ind w:leftChars="106" w:left="248" w:hangingChars="7" w:hanging="15"/>
              <w:rPr>
                <w:rFonts w:ascii="Calibri" w:eastAsia="Times New Roman" w:hAnsi="Calibri" w:cs="Calibri"/>
                <w:color w:val="0D0D0D"/>
                <w:sz w:val="21"/>
                <w:szCs w:val="21"/>
              </w:rPr>
            </w:pPr>
            <w:r w:rsidRPr="0002159C">
              <w:rPr>
                <w:rFonts w:ascii="Calibri" w:eastAsia="Times New Roman" w:hAnsi="Calibri" w:cs="Calibri"/>
                <w:color w:val="0D0D0D"/>
                <w:sz w:val="21"/>
                <w:szCs w:val="21"/>
              </w:rPr>
              <w:t>2017 Series A Revenue Bonds (original principal of $30,340) Serial bonds, maturing from 2018 to 2026, with annual principal payments from $2,285 to $4,460 and coupon interest rates from 4.0% to 5.0%.  Issued to refund 2007A Series Revenue bonds and to provide funding for capital projects.  Includes premiums of $637 and $1,</w:t>
            </w:r>
            <w:r w:rsidR="00274965" w:rsidRPr="0002159C">
              <w:rPr>
                <w:rFonts w:ascii="Calibri" w:eastAsia="Times New Roman" w:hAnsi="Calibri" w:cs="Calibri"/>
                <w:color w:val="0D0D0D"/>
                <w:sz w:val="21"/>
                <w:szCs w:val="21"/>
              </w:rPr>
              <w:t>073</w:t>
            </w:r>
            <w:r w:rsidRPr="0002159C">
              <w:rPr>
                <w:rFonts w:ascii="Calibri" w:eastAsia="Times New Roman" w:hAnsi="Calibri" w:cs="Calibri"/>
                <w:color w:val="0D0D0D"/>
                <w:sz w:val="21"/>
                <w:szCs w:val="21"/>
              </w:rPr>
              <w:t>, respectively.</w:t>
            </w:r>
          </w:p>
        </w:tc>
        <w:tc>
          <w:tcPr>
            <w:tcW w:w="1502" w:type="dxa"/>
            <w:tcBorders>
              <w:top w:val="nil"/>
              <w:left w:val="nil"/>
              <w:bottom w:val="nil"/>
              <w:right w:val="nil"/>
            </w:tcBorders>
            <w:shd w:val="clear" w:color="000000" w:fill="FFFFFF"/>
            <w:noWrap/>
            <w:vAlign w:val="bottom"/>
            <w:hideMark/>
          </w:tcPr>
          <w:p w14:paraId="6D238CD4" w14:textId="77777777" w:rsidR="00721CFD" w:rsidRPr="0002159C" w:rsidRDefault="00721CFD" w:rsidP="007B5BB3">
            <w:pPr>
              <w:jc w:val="right"/>
              <w:rPr>
                <w:rFonts w:ascii="Calibri" w:eastAsia="Times New Roman" w:hAnsi="Calibri" w:cs="Calibri"/>
                <w:sz w:val="21"/>
                <w:szCs w:val="21"/>
              </w:rPr>
            </w:pPr>
            <w:r w:rsidRPr="0002159C">
              <w:rPr>
                <w:rFonts w:ascii="Calibri" w:eastAsia="Times New Roman" w:hAnsi="Calibri" w:cs="Calibri"/>
                <w:sz w:val="21"/>
                <w:szCs w:val="21"/>
              </w:rPr>
              <w:t>$      13,032</w:t>
            </w:r>
          </w:p>
        </w:tc>
        <w:tc>
          <w:tcPr>
            <w:tcW w:w="1600" w:type="dxa"/>
            <w:tcBorders>
              <w:top w:val="nil"/>
              <w:left w:val="nil"/>
              <w:bottom w:val="nil"/>
              <w:right w:val="nil"/>
            </w:tcBorders>
            <w:shd w:val="clear" w:color="auto" w:fill="D9D9D9" w:themeFill="background1" w:themeFillShade="D9"/>
            <w:noWrap/>
            <w:vAlign w:val="bottom"/>
            <w:hideMark/>
          </w:tcPr>
          <w:p w14:paraId="07DE9A8E" w14:textId="77777777" w:rsidR="00721CFD" w:rsidRPr="0002159C" w:rsidRDefault="00721CFD" w:rsidP="007B5BB3">
            <w:pPr>
              <w:jc w:val="right"/>
              <w:rPr>
                <w:rFonts w:ascii="Calibri" w:eastAsia="Times New Roman" w:hAnsi="Calibri" w:cs="Calibri"/>
                <w:color w:val="0D0D0D"/>
                <w:sz w:val="21"/>
                <w:szCs w:val="21"/>
              </w:rPr>
            </w:pPr>
            <w:r w:rsidRPr="0002159C">
              <w:rPr>
                <w:rFonts w:ascii="Calibri" w:eastAsia="Times New Roman" w:hAnsi="Calibri" w:cs="Calibri"/>
                <w:color w:val="0D0D0D"/>
                <w:sz w:val="21"/>
                <w:szCs w:val="21"/>
              </w:rPr>
              <w:t>$      17,048</w:t>
            </w:r>
          </w:p>
        </w:tc>
      </w:tr>
      <w:tr w:rsidR="00721CFD" w:rsidRPr="00C317EF" w14:paraId="56133A36" w14:textId="77777777" w:rsidTr="007B5BB3">
        <w:trPr>
          <w:trHeight w:val="1368"/>
        </w:trPr>
        <w:tc>
          <w:tcPr>
            <w:tcW w:w="6258" w:type="dxa"/>
            <w:tcBorders>
              <w:top w:val="nil"/>
              <w:left w:val="nil"/>
              <w:bottom w:val="nil"/>
              <w:right w:val="nil"/>
            </w:tcBorders>
            <w:shd w:val="clear" w:color="000000" w:fill="FFFFFF"/>
            <w:vAlign w:val="bottom"/>
            <w:hideMark/>
          </w:tcPr>
          <w:p w14:paraId="6AFA6950" w14:textId="77777777" w:rsidR="00721CFD" w:rsidRPr="0002159C" w:rsidRDefault="00721CFD" w:rsidP="007B5BB3">
            <w:pPr>
              <w:spacing w:before="160"/>
              <w:ind w:leftChars="106" w:left="250" w:hangingChars="8" w:hanging="17"/>
              <w:rPr>
                <w:rFonts w:ascii="Calibri" w:eastAsia="Times New Roman" w:hAnsi="Calibri" w:cs="Calibri"/>
                <w:sz w:val="21"/>
                <w:szCs w:val="21"/>
              </w:rPr>
            </w:pPr>
            <w:r w:rsidRPr="0002159C">
              <w:rPr>
                <w:rFonts w:ascii="Calibri" w:eastAsia="Times New Roman" w:hAnsi="Calibri" w:cs="Calibri"/>
                <w:sz w:val="21"/>
                <w:szCs w:val="21"/>
              </w:rPr>
              <w:t>2015 Series A Revenue Bonds (original principal of $48,450) Serial bonds, maturing from 2016 to 2037, with annual principal payments from $405 to $3,760 and coupon interest rates from 3.0% to 5.0%.  Issued to refund 2004A, 2005A, and 2007A Series Revenue bonds and to provide funding for capital projects.  Includes premiums of $1,099 and $1,467, respectively.</w:t>
            </w:r>
          </w:p>
        </w:tc>
        <w:tc>
          <w:tcPr>
            <w:tcW w:w="1502" w:type="dxa"/>
            <w:tcBorders>
              <w:top w:val="nil"/>
              <w:left w:val="nil"/>
              <w:bottom w:val="nil"/>
              <w:right w:val="nil"/>
            </w:tcBorders>
            <w:shd w:val="clear" w:color="000000" w:fill="FFFFFF"/>
            <w:noWrap/>
            <w:vAlign w:val="bottom"/>
            <w:hideMark/>
          </w:tcPr>
          <w:p w14:paraId="23A7136F" w14:textId="77777777" w:rsidR="00721CFD" w:rsidRPr="0002159C" w:rsidRDefault="00721CFD" w:rsidP="007B5BB3">
            <w:pPr>
              <w:jc w:val="right"/>
              <w:rPr>
                <w:rFonts w:ascii="Calibri" w:eastAsia="Times New Roman" w:hAnsi="Calibri" w:cs="Calibri"/>
                <w:sz w:val="21"/>
                <w:szCs w:val="21"/>
              </w:rPr>
            </w:pPr>
            <w:r w:rsidRPr="0002159C">
              <w:rPr>
                <w:rFonts w:ascii="Calibri" w:eastAsia="Times New Roman" w:hAnsi="Calibri" w:cs="Calibri"/>
                <w:sz w:val="21"/>
                <w:szCs w:val="21"/>
              </w:rPr>
              <w:t>35,754</w:t>
            </w:r>
          </w:p>
        </w:tc>
        <w:tc>
          <w:tcPr>
            <w:tcW w:w="1600" w:type="dxa"/>
            <w:tcBorders>
              <w:top w:val="nil"/>
              <w:left w:val="nil"/>
              <w:bottom w:val="nil"/>
              <w:right w:val="nil"/>
            </w:tcBorders>
            <w:shd w:val="clear" w:color="auto" w:fill="D9D9D9" w:themeFill="background1" w:themeFillShade="D9"/>
            <w:noWrap/>
            <w:vAlign w:val="bottom"/>
            <w:hideMark/>
          </w:tcPr>
          <w:p w14:paraId="5BA14CFC" w14:textId="77777777" w:rsidR="00721CFD" w:rsidRPr="0002159C" w:rsidRDefault="00721CFD" w:rsidP="007B5BB3">
            <w:pPr>
              <w:jc w:val="right"/>
              <w:rPr>
                <w:rFonts w:ascii="Calibri" w:eastAsia="Times New Roman" w:hAnsi="Calibri" w:cs="Calibri"/>
                <w:sz w:val="21"/>
                <w:szCs w:val="21"/>
              </w:rPr>
            </w:pPr>
            <w:r w:rsidRPr="0002159C">
              <w:rPr>
                <w:rFonts w:ascii="Calibri" w:eastAsia="Times New Roman" w:hAnsi="Calibri" w:cs="Calibri"/>
                <w:sz w:val="21"/>
                <w:szCs w:val="21"/>
              </w:rPr>
              <w:t>38,507</w:t>
            </w:r>
          </w:p>
        </w:tc>
      </w:tr>
      <w:tr w:rsidR="00721CFD" w:rsidRPr="00C317EF" w14:paraId="10E63E96" w14:textId="77777777" w:rsidTr="007B5BB3">
        <w:trPr>
          <w:trHeight w:val="1305"/>
        </w:trPr>
        <w:tc>
          <w:tcPr>
            <w:tcW w:w="6258" w:type="dxa"/>
            <w:tcBorders>
              <w:top w:val="nil"/>
              <w:left w:val="nil"/>
              <w:bottom w:val="nil"/>
              <w:right w:val="nil"/>
            </w:tcBorders>
            <w:shd w:val="clear" w:color="000000" w:fill="FFFFFF"/>
            <w:vAlign w:val="bottom"/>
            <w:hideMark/>
          </w:tcPr>
          <w:p w14:paraId="3AACFB37" w14:textId="77777777" w:rsidR="00721CFD" w:rsidRPr="0002159C" w:rsidRDefault="00721CFD" w:rsidP="007B5BB3">
            <w:pPr>
              <w:spacing w:before="160"/>
              <w:ind w:leftChars="106" w:left="250" w:hangingChars="8" w:hanging="17"/>
              <w:rPr>
                <w:rFonts w:ascii="Calibri" w:eastAsia="Times New Roman" w:hAnsi="Calibri" w:cs="Calibri"/>
                <w:color w:val="0D0D0D"/>
                <w:sz w:val="21"/>
                <w:szCs w:val="21"/>
              </w:rPr>
            </w:pPr>
            <w:r w:rsidRPr="0002159C">
              <w:rPr>
                <w:rFonts w:ascii="Calibri" w:eastAsia="Times New Roman" w:hAnsi="Calibri" w:cs="Calibri"/>
                <w:color w:val="0D0D0D"/>
                <w:sz w:val="21"/>
                <w:szCs w:val="21"/>
              </w:rPr>
              <w:t>2013 Series A Revenue Bonds (original principal of $65,255) Serial and Term bonds, maturing from 2014 to 2035, with annual principal payments from $1,275 to $4,425 and coupon interest rates from 2.0% to 5.0%.  Issued to refund 2000A, 2003A, 2004A, and 2005A Series Revenue bonds.  Includes premiums of $1,568 and $2,063.</w:t>
            </w:r>
          </w:p>
        </w:tc>
        <w:tc>
          <w:tcPr>
            <w:tcW w:w="1502" w:type="dxa"/>
            <w:tcBorders>
              <w:top w:val="nil"/>
              <w:left w:val="nil"/>
              <w:bottom w:val="nil"/>
              <w:right w:val="nil"/>
            </w:tcBorders>
            <w:shd w:val="clear" w:color="000000" w:fill="FFFFFF"/>
            <w:noWrap/>
            <w:vAlign w:val="bottom"/>
            <w:hideMark/>
          </w:tcPr>
          <w:p w14:paraId="192E3F67" w14:textId="77777777" w:rsidR="00721CFD" w:rsidRPr="0002159C" w:rsidRDefault="00721CFD" w:rsidP="007B5BB3">
            <w:pPr>
              <w:jc w:val="right"/>
              <w:rPr>
                <w:rFonts w:ascii="Calibri" w:eastAsia="Times New Roman" w:hAnsi="Calibri" w:cs="Calibri"/>
                <w:sz w:val="21"/>
                <w:szCs w:val="21"/>
              </w:rPr>
            </w:pPr>
            <w:r w:rsidRPr="0002159C">
              <w:rPr>
                <w:rFonts w:ascii="Calibri" w:eastAsia="Times New Roman" w:hAnsi="Calibri" w:cs="Calibri"/>
                <w:sz w:val="21"/>
                <w:szCs w:val="21"/>
              </w:rPr>
              <w:t>42,818</w:t>
            </w:r>
          </w:p>
        </w:tc>
        <w:tc>
          <w:tcPr>
            <w:tcW w:w="1600" w:type="dxa"/>
            <w:tcBorders>
              <w:top w:val="nil"/>
              <w:left w:val="nil"/>
              <w:bottom w:val="nil"/>
              <w:right w:val="nil"/>
            </w:tcBorders>
            <w:shd w:val="clear" w:color="auto" w:fill="D9D9D9" w:themeFill="background1" w:themeFillShade="D9"/>
            <w:noWrap/>
            <w:vAlign w:val="bottom"/>
            <w:hideMark/>
          </w:tcPr>
          <w:p w14:paraId="1E4324C4" w14:textId="77777777" w:rsidR="00721CFD" w:rsidRPr="0002159C" w:rsidRDefault="00721CFD" w:rsidP="007B5BB3">
            <w:pPr>
              <w:jc w:val="right"/>
              <w:rPr>
                <w:rFonts w:ascii="Calibri" w:eastAsia="Times New Roman" w:hAnsi="Calibri" w:cs="Calibri"/>
                <w:color w:val="0D0D0D"/>
                <w:sz w:val="21"/>
                <w:szCs w:val="21"/>
              </w:rPr>
            </w:pPr>
            <w:r w:rsidRPr="0002159C">
              <w:rPr>
                <w:rFonts w:ascii="Calibri" w:eastAsia="Times New Roman" w:hAnsi="Calibri" w:cs="Calibri"/>
                <w:color w:val="0D0D0D"/>
                <w:sz w:val="21"/>
                <w:szCs w:val="21"/>
              </w:rPr>
              <w:t>46,233</w:t>
            </w:r>
          </w:p>
        </w:tc>
      </w:tr>
      <w:tr w:rsidR="00721CFD" w:rsidRPr="00C317EF" w14:paraId="44F64376" w14:textId="77777777" w:rsidTr="007B5BB3">
        <w:trPr>
          <w:trHeight w:val="1341"/>
        </w:trPr>
        <w:tc>
          <w:tcPr>
            <w:tcW w:w="6258" w:type="dxa"/>
            <w:tcBorders>
              <w:top w:val="nil"/>
              <w:left w:val="nil"/>
              <w:bottom w:val="single" w:sz="4" w:space="0" w:color="auto"/>
              <w:right w:val="nil"/>
            </w:tcBorders>
            <w:shd w:val="clear" w:color="000000" w:fill="FFFFFF"/>
            <w:vAlign w:val="bottom"/>
            <w:hideMark/>
          </w:tcPr>
          <w:p w14:paraId="6BFBA9A0" w14:textId="77777777" w:rsidR="00721CFD" w:rsidRPr="0002159C" w:rsidRDefault="00721CFD" w:rsidP="007B5BB3">
            <w:pPr>
              <w:spacing w:before="160"/>
              <w:ind w:leftChars="106" w:left="250" w:hangingChars="8" w:hanging="17"/>
              <w:rPr>
                <w:rFonts w:ascii="Calibri" w:eastAsia="Times New Roman" w:hAnsi="Calibri" w:cs="Calibri"/>
                <w:color w:val="0D0D0D"/>
                <w:sz w:val="21"/>
                <w:szCs w:val="21"/>
              </w:rPr>
            </w:pPr>
            <w:r w:rsidRPr="0002159C">
              <w:rPr>
                <w:rFonts w:ascii="Calibri" w:eastAsia="Times New Roman" w:hAnsi="Calibri" w:cs="Calibri"/>
                <w:color w:val="0D0D0D"/>
                <w:sz w:val="21"/>
                <w:szCs w:val="21"/>
              </w:rPr>
              <w:t>2012 Series A Revenue Bonds (original principal of $34,975) Serial and Term bonds, maturing from 2013 to 2033, with annual principal payments from $1,070 to $2,620 and coupon interest rates from 2.0% to 4.0%.  Issued to refund balloon on the 2002A Series Revenue bonds and to provide funding for a capital project.  Includes premiums of $308 and $374, respectively.</w:t>
            </w:r>
          </w:p>
        </w:tc>
        <w:tc>
          <w:tcPr>
            <w:tcW w:w="1502" w:type="dxa"/>
            <w:tcBorders>
              <w:top w:val="nil"/>
              <w:left w:val="nil"/>
              <w:bottom w:val="single" w:sz="4" w:space="0" w:color="auto"/>
              <w:right w:val="nil"/>
            </w:tcBorders>
            <w:shd w:val="clear" w:color="000000" w:fill="FFFFFF"/>
            <w:noWrap/>
            <w:vAlign w:val="bottom"/>
            <w:hideMark/>
          </w:tcPr>
          <w:p w14:paraId="30A7549D" w14:textId="77777777" w:rsidR="00721CFD" w:rsidRPr="0002159C" w:rsidRDefault="00721CFD" w:rsidP="007B5BB3">
            <w:pPr>
              <w:jc w:val="right"/>
              <w:rPr>
                <w:rFonts w:ascii="Calibri" w:eastAsia="Times New Roman" w:hAnsi="Calibri" w:cs="Calibri"/>
                <w:sz w:val="21"/>
                <w:szCs w:val="21"/>
              </w:rPr>
            </w:pPr>
            <w:r w:rsidRPr="0002159C">
              <w:rPr>
                <w:rFonts w:ascii="Calibri" w:eastAsia="Times New Roman" w:hAnsi="Calibri" w:cs="Calibri"/>
                <w:sz w:val="21"/>
                <w:szCs w:val="21"/>
              </w:rPr>
              <w:t>13,623</w:t>
            </w:r>
          </w:p>
        </w:tc>
        <w:tc>
          <w:tcPr>
            <w:tcW w:w="1600" w:type="dxa"/>
            <w:tcBorders>
              <w:top w:val="nil"/>
              <w:left w:val="nil"/>
              <w:bottom w:val="single" w:sz="4" w:space="0" w:color="auto"/>
              <w:right w:val="nil"/>
            </w:tcBorders>
            <w:shd w:val="clear" w:color="auto" w:fill="D9D9D9" w:themeFill="background1" w:themeFillShade="D9"/>
            <w:noWrap/>
            <w:vAlign w:val="bottom"/>
            <w:hideMark/>
          </w:tcPr>
          <w:p w14:paraId="1E65DDAF" w14:textId="77777777" w:rsidR="00721CFD" w:rsidRPr="0002159C" w:rsidRDefault="00721CFD" w:rsidP="007B5BB3">
            <w:pPr>
              <w:jc w:val="right"/>
              <w:rPr>
                <w:rFonts w:ascii="Calibri" w:eastAsia="Times New Roman" w:hAnsi="Calibri" w:cs="Calibri"/>
                <w:color w:val="0D0D0D"/>
                <w:sz w:val="21"/>
                <w:szCs w:val="21"/>
              </w:rPr>
            </w:pPr>
            <w:r w:rsidRPr="0002159C">
              <w:rPr>
                <w:rFonts w:ascii="Calibri" w:eastAsia="Times New Roman" w:hAnsi="Calibri" w:cs="Calibri"/>
                <w:color w:val="0D0D0D"/>
                <w:sz w:val="21"/>
                <w:szCs w:val="21"/>
              </w:rPr>
              <w:t>15,714</w:t>
            </w:r>
          </w:p>
        </w:tc>
      </w:tr>
      <w:tr w:rsidR="00721CFD" w:rsidRPr="00C317EF" w14:paraId="1FAC4170" w14:textId="77777777" w:rsidTr="007B5BB3">
        <w:trPr>
          <w:trHeight w:val="368"/>
        </w:trPr>
        <w:tc>
          <w:tcPr>
            <w:tcW w:w="6258" w:type="dxa"/>
            <w:tcBorders>
              <w:top w:val="single" w:sz="4" w:space="0" w:color="auto"/>
              <w:left w:val="nil"/>
              <w:bottom w:val="single" w:sz="4" w:space="0" w:color="auto"/>
              <w:right w:val="nil"/>
            </w:tcBorders>
            <w:shd w:val="clear" w:color="000000" w:fill="FFFFFF"/>
            <w:noWrap/>
            <w:vAlign w:val="bottom"/>
          </w:tcPr>
          <w:p w14:paraId="3686EB3F" w14:textId="77777777" w:rsidR="00721CFD" w:rsidRPr="0002159C" w:rsidRDefault="00721CFD" w:rsidP="007B5BB3">
            <w:pPr>
              <w:ind w:left="250"/>
              <w:rPr>
                <w:rFonts w:ascii="Calibri" w:eastAsia="Times New Roman" w:hAnsi="Calibri" w:cs="Calibri"/>
                <w:sz w:val="21"/>
                <w:szCs w:val="21"/>
              </w:rPr>
            </w:pPr>
            <w:r w:rsidRPr="0002159C">
              <w:rPr>
                <w:rFonts w:ascii="Calibri" w:eastAsia="Times New Roman" w:hAnsi="Calibri" w:cs="Calibri"/>
                <w:sz w:val="21"/>
                <w:szCs w:val="21"/>
              </w:rPr>
              <w:t>Total bonds payable, net</w:t>
            </w:r>
          </w:p>
        </w:tc>
        <w:tc>
          <w:tcPr>
            <w:tcW w:w="1502" w:type="dxa"/>
            <w:tcBorders>
              <w:top w:val="single" w:sz="4" w:space="0" w:color="auto"/>
              <w:left w:val="nil"/>
              <w:bottom w:val="single" w:sz="4" w:space="0" w:color="auto"/>
              <w:right w:val="nil"/>
            </w:tcBorders>
            <w:shd w:val="clear" w:color="000000" w:fill="FFFFFF"/>
            <w:noWrap/>
            <w:vAlign w:val="bottom"/>
          </w:tcPr>
          <w:p w14:paraId="70FBA082" w14:textId="77777777" w:rsidR="00721CFD" w:rsidRPr="0002159C" w:rsidRDefault="00721CFD" w:rsidP="007B5BB3">
            <w:pPr>
              <w:jc w:val="right"/>
              <w:rPr>
                <w:rFonts w:ascii="Calibri" w:eastAsia="Times New Roman" w:hAnsi="Calibri" w:cs="Calibri"/>
                <w:sz w:val="21"/>
                <w:szCs w:val="21"/>
              </w:rPr>
            </w:pPr>
            <w:r w:rsidRPr="0002159C">
              <w:rPr>
                <w:rFonts w:ascii="Calibri" w:eastAsia="Times New Roman" w:hAnsi="Calibri" w:cs="Calibri"/>
                <w:sz w:val="21"/>
                <w:szCs w:val="21"/>
              </w:rPr>
              <w:t>105,227</w:t>
            </w:r>
          </w:p>
        </w:tc>
        <w:tc>
          <w:tcPr>
            <w:tcW w:w="1600" w:type="dxa"/>
            <w:tcBorders>
              <w:top w:val="single" w:sz="4" w:space="0" w:color="auto"/>
              <w:left w:val="nil"/>
              <w:bottom w:val="single" w:sz="4" w:space="0" w:color="auto"/>
              <w:right w:val="nil"/>
            </w:tcBorders>
            <w:shd w:val="clear" w:color="auto" w:fill="D9D9D9" w:themeFill="background1" w:themeFillShade="D9"/>
            <w:noWrap/>
            <w:vAlign w:val="bottom"/>
          </w:tcPr>
          <w:p w14:paraId="00498627" w14:textId="77777777" w:rsidR="00721CFD" w:rsidRPr="0002159C" w:rsidRDefault="00721CFD" w:rsidP="007B5BB3">
            <w:pPr>
              <w:jc w:val="right"/>
              <w:rPr>
                <w:rFonts w:ascii="Calibri" w:eastAsia="Times New Roman" w:hAnsi="Calibri" w:cs="Calibri"/>
                <w:color w:val="0D0D0D"/>
                <w:sz w:val="21"/>
                <w:szCs w:val="21"/>
              </w:rPr>
            </w:pPr>
            <w:r w:rsidRPr="0002159C">
              <w:rPr>
                <w:rFonts w:ascii="Calibri" w:eastAsia="Times New Roman" w:hAnsi="Calibri" w:cs="Calibri"/>
                <w:color w:val="0D0D0D"/>
                <w:sz w:val="21"/>
                <w:szCs w:val="21"/>
              </w:rPr>
              <w:t>117,502</w:t>
            </w:r>
          </w:p>
        </w:tc>
      </w:tr>
      <w:tr w:rsidR="00721CFD" w:rsidRPr="00C317EF" w14:paraId="2C67AACA" w14:textId="77777777" w:rsidTr="007B5BB3">
        <w:trPr>
          <w:trHeight w:val="420"/>
        </w:trPr>
        <w:tc>
          <w:tcPr>
            <w:tcW w:w="6258" w:type="dxa"/>
            <w:tcBorders>
              <w:top w:val="single" w:sz="4" w:space="0" w:color="auto"/>
              <w:left w:val="nil"/>
              <w:bottom w:val="nil"/>
              <w:right w:val="nil"/>
            </w:tcBorders>
            <w:shd w:val="clear" w:color="000000" w:fill="FFFFFF"/>
            <w:noWrap/>
            <w:vAlign w:val="bottom"/>
          </w:tcPr>
          <w:p w14:paraId="2E57332B" w14:textId="77777777" w:rsidR="00721CFD" w:rsidRPr="0045079E" w:rsidRDefault="00721CFD" w:rsidP="007B5BB3">
            <w:pPr>
              <w:rPr>
                <w:rFonts w:ascii="Calibri" w:eastAsia="Times New Roman" w:hAnsi="Calibri" w:cs="Calibri"/>
                <w:b/>
              </w:rPr>
            </w:pPr>
            <w:r w:rsidRPr="0045079E">
              <w:rPr>
                <w:rFonts w:ascii="Calibri" w:eastAsia="Times New Roman" w:hAnsi="Calibri" w:cs="Calibri"/>
                <w:b/>
              </w:rPr>
              <w:t>Direct Borrowings:</w:t>
            </w:r>
          </w:p>
        </w:tc>
        <w:tc>
          <w:tcPr>
            <w:tcW w:w="1502" w:type="dxa"/>
            <w:tcBorders>
              <w:top w:val="single" w:sz="4" w:space="0" w:color="auto"/>
              <w:left w:val="nil"/>
              <w:bottom w:val="nil"/>
              <w:right w:val="nil"/>
            </w:tcBorders>
            <w:shd w:val="clear" w:color="000000" w:fill="FFFFFF"/>
            <w:noWrap/>
            <w:vAlign w:val="bottom"/>
          </w:tcPr>
          <w:p w14:paraId="6252B370" w14:textId="77777777" w:rsidR="00721CFD" w:rsidRPr="00C317EF" w:rsidRDefault="00721CFD" w:rsidP="007B5BB3">
            <w:pPr>
              <w:jc w:val="right"/>
              <w:rPr>
                <w:rFonts w:ascii="Calibri" w:eastAsia="Times New Roman" w:hAnsi="Calibri" w:cs="Calibri"/>
                <w:color w:val="0D0D0D"/>
              </w:rPr>
            </w:pPr>
          </w:p>
        </w:tc>
        <w:tc>
          <w:tcPr>
            <w:tcW w:w="1600" w:type="dxa"/>
            <w:tcBorders>
              <w:top w:val="single" w:sz="4" w:space="0" w:color="auto"/>
              <w:left w:val="nil"/>
              <w:bottom w:val="nil"/>
              <w:right w:val="nil"/>
            </w:tcBorders>
            <w:shd w:val="clear" w:color="auto" w:fill="D9D9D9" w:themeFill="background1" w:themeFillShade="D9"/>
            <w:noWrap/>
            <w:vAlign w:val="bottom"/>
          </w:tcPr>
          <w:p w14:paraId="19BAC015" w14:textId="77777777" w:rsidR="00721CFD" w:rsidRPr="00C317EF" w:rsidRDefault="00721CFD" w:rsidP="007B5BB3">
            <w:pPr>
              <w:jc w:val="right"/>
              <w:rPr>
                <w:rFonts w:ascii="Calibri" w:eastAsia="Times New Roman" w:hAnsi="Calibri" w:cs="Calibri"/>
                <w:color w:val="0D0D0D"/>
              </w:rPr>
            </w:pPr>
          </w:p>
        </w:tc>
      </w:tr>
      <w:tr w:rsidR="00721CFD" w:rsidRPr="00C317EF" w14:paraId="375434EC" w14:textId="77777777" w:rsidTr="007B5BB3">
        <w:trPr>
          <w:trHeight w:val="420"/>
        </w:trPr>
        <w:tc>
          <w:tcPr>
            <w:tcW w:w="6258" w:type="dxa"/>
            <w:tcBorders>
              <w:top w:val="nil"/>
              <w:left w:val="nil"/>
              <w:bottom w:val="nil"/>
              <w:right w:val="nil"/>
            </w:tcBorders>
            <w:shd w:val="clear" w:color="000000" w:fill="FFFFFF"/>
            <w:noWrap/>
            <w:vAlign w:val="bottom"/>
          </w:tcPr>
          <w:p w14:paraId="200FD3F6" w14:textId="77777777" w:rsidR="00721CFD" w:rsidRPr="0002159C" w:rsidRDefault="00721CFD" w:rsidP="007B5BB3">
            <w:pPr>
              <w:spacing w:before="160"/>
              <w:ind w:left="250"/>
              <w:rPr>
                <w:rFonts w:ascii="Calibri" w:eastAsia="Times New Roman" w:hAnsi="Calibri" w:cs="Calibri"/>
                <w:sz w:val="21"/>
                <w:szCs w:val="21"/>
              </w:rPr>
            </w:pPr>
            <w:r w:rsidRPr="0002159C">
              <w:rPr>
                <w:rFonts w:ascii="Calibri" w:eastAsia="Times New Roman" w:hAnsi="Calibri" w:cs="Calibri"/>
                <w:sz w:val="21"/>
                <w:szCs w:val="21"/>
                <w:u w:val="single"/>
              </w:rPr>
              <w:t>TD Bank, N.A.:</w:t>
            </w:r>
            <w:r w:rsidRPr="0002159C">
              <w:rPr>
                <w:rFonts w:ascii="Calibri" w:eastAsia="Times New Roman" w:hAnsi="Calibri" w:cs="Calibri"/>
                <w:sz w:val="21"/>
                <w:szCs w:val="21"/>
              </w:rPr>
              <w:t xml:space="preserve">  $43,000 bond anticipation note, Series 2021, monthly interest only payments at .31%, matures July 2022.</w:t>
            </w:r>
          </w:p>
          <w:p w14:paraId="1A435046" w14:textId="77777777" w:rsidR="00721CFD" w:rsidRPr="0002159C" w:rsidRDefault="00721CFD" w:rsidP="007B5BB3">
            <w:pPr>
              <w:ind w:left="250"/>
              <w:rPr>
                <w:rFonts w:ascii="Calibri" w:eastAsia="Times New Roman" w:hAnsi="Calibri" w:cs="Calibri"/>
                <w:sz w:val="21"/>
                <w:szCs w:val="21"/>
              </w:rPr>
            </w:pPr>
            <w:r w:rsidRPr="0002159C">
              <w:rPr>
                <w:rFonts w:ascii="Calibri" w:eastAsia="Times New Roman" w:hAnsi="Calibri" w:cs="Calibri"/>
                <w:sz w:val="21"/>
                <w:szCs w:val="21"/>
              </w:rPr>
              <w:t>The note agreement contains a provision that in an event of default, the Purchaser may declare principal of and interest on the note to be immediately due and payable. In the event of a default, the unpaid principal of the note shall, at the option of the Purchaser, bear interest at the lesser of a rate which is four percentage points per annum greater than that which would otherwise be applicable or the maximum interest rate permitted by applicable law. Late payments will be assessed a 6% late fee.</w:t>
            </w:r>
          </w:p>
        </w:tc>
        <w:tc>
          <w:tcPr>
            <w:tcW w:w="1502" w:type="dxa"/>
            <w:tcBorders>
              <w:top w:val="nil"/>
              <w:left w:val="nil"/>
              <w:bottom w:val="nil"/>
              <w:right w:val="nil"/>
            </w:tcBorders>
            <w:shd w:val="clear" w:color="000000" w:fill="FFFFFF"/>
            <w:noWrap/>
            <w:vAlign w:val="bottom"/>
          </w:tcPr>
          <w:p w14:paraId="236B40FC" w14:textId="77777777" w:rsidR="00721CFD" w:rsidRPr="0002159C" w:rsidRDefault="00721CFD" w:rsidP="007B5BB3">
            <w:pPr>
              <w:jc w:val="right"/>
              <w:rPr>
                <w:rFonts w:ascii="Calibri" w:eastAsia="Times New Roman" w:hAnsi="Calibri" w:cs="Calibri"/>
                <w:color w:val="0D0D0D"/>
                <w:sz w:val="21"/>
                <w:szCs w:val="21"/>
              </w:rPr>
            </w:pPr>
            <w:r w:rsidRPr="0002159C">
              <w:rPr>
                <w:rFonts w:ascii="Calibri" w:eastAsia="Times New Roman" w:hAnsi="Calibri" w:cs="Calibri"/>
                <w:sz w:val="21"/>
                <w:szCs w:val="21"/>
              </w:rPr>
              <w:t>43,000</w:t>
            </w:r>
          </w:p>
        </w:tc>
        <w:tc>
          <w:tcPr>
            <w:tcW w:w="1600" w:type="dxa"/>
            <w:tcBorders>
              <w:top w:val="nil"/>
              <w:left w:val="nil"/>
              <w:bottom w:val="nil"/>
              <w:right w:val="nil"/>
            </w:tcBorders>
            <w:shd w:val="clear" w:color="auto" w:fill="D9D9D9" w:themeFill="background1" w:themeFillShade="D9"/>
            <w:noWrap/>
            <w:vAlign w:val="bottom"/>
          </w:tcPr>
          <w:p w14:paraId="64A8B5D2" w14:textId="77777777" w:rsidR="00721CFD" w:rsidRPr="0002159C" w:rsidRDefault="00721CFD" w:rsidP="007B5BB3">
            <w:pPr>
              <w:jc w:val="right"/>
              <w:rPr>
                <w:rFonts w:ascii="Calibri" w:eastAsia="Times New Roman" w:hAnsi="Calibri" w:cs="Calibri"/>
                <w:color w:val="0D0D0D"/>
                <w:sz w:val="21"/>
                <w:szCs w:val="21"/>
              </w:rPr>
            </w:pPr>
            <w:r w:rsidRPr="0002159C">
              <w:rPr>
                <w:rFonts w:ascii="Calibri" w:eastAsia="Times New Roman" w:hAnsi="Calibri" w:cs="Calibri"/>
                <w:color w:val="0D0D0D"/>
                <w:sz w:val="21"/>
                <w:szCs w:val="21"/>
              </w:rPr>
              <w:t>43,000</w:t>
            </w:r>
          </w:p>
        </w:tc>
      </w:tr>
    </w:tbl>
    <w:p w14:paraId="347F1056" w14:textId="77777777" w:rsidR="00721CFD" w:rsidRPr="00F54559" w:rsidRDefault="00721CFD" w:rsidP="00721CFD">
      <w:pPr>
        <w:tabs>
          <w:tab w:val="left" w:pos="720"/>
          <w:tab w:val="left" w:pos="1260"/>
          <w:tab w:val="left" w:pos="1440"/>
        </w:tabs>
        <w:suppressAutoHyphens/>
        <w:spacing w:after="120"/>
        <w:rPr>
          <w:rFonts w:eastAsia="Times New Roman" w:cstheme="minorHAnsi"/>
          <w:spacing w:val="-3"/>
          <w:sz w:val="2"/>
          <w:szCs w:val="2"/>
        </w:rPr>
      </w:pPr>
    </w:p>
    <w:p w14:paraId="08764A4A" w14:textId="77777777" w:rsidR="00373110" w:rsidRDefault="00373110">
      <w:pPr>
        <w:spacing w:after="160" w:line="259" w:lineRule="auto"/>
        <w:rPr>
          <w:rFonts w:cstheme="minorHAnsi"/>
          <w:b/>
          <w:i/>
          <w:noProof/>
          <w:spacing w:val="-2"/>
          <w:sz w:val="26"/>
          <w:u w:val="single" w:color="000000" w:themeColor="text1"/>
        </w:rPr>
      </w:pPr>
      <w:r>
        <w:rPr>
          <w:rFonts w:cstheme="minorHAnsi"/>
          <w:noProof/>
          <w:spacing w:val="-2"/>
        </w:rPr>
        <w:br w:type="page"/>
      </w:r>
    </w:p>
    <w:p w14:paraId="09A27B7A" w14:textId="4688C83B" w:rsidR="00721CFD" w:rsidRPr="00F54559" w:rsidRDefault="00721CFD" w:rsidP="00721CFD">
      <w:pPr>
        <w:pStyle w:val="AFR3"/>
        <w:spacing w:after="240"/>
        <w:rPr>
          <w:rFonts w:cstheme="minorHAnsi"/>
        </w:rPr>
      </w:pPr>
      <w:r w:rsidRPr="00F54559">
        <w:rPr>
          <w:rFonts w:cstheme="minorHAnsi"/>
          <w:noProof/>
          <w:spacing w:val="-2"/>
        </w:rPr>
        <w:lastRenderedPageBreak/>
        <w:t>b</w:t>
      </w:r>
      <w:r w:rsidRPr="00B44EB6">
        <w:rPr>
          <w:rFonts w:cstheme="minorHAnsi"/>
          <w:noProof/>
          <w:spacing w:val="-2"/>
        </w:rPr>
        <w:t xml:space="preserve">. </w:t>
      </w:r>
      <w:r w:rsidRPr="00B44EB6">
        <w:rPr>
          <w:rFonts w:cstheme="minorHAnsi"/>
        </w:rPr>
        <w:t xml:space="preserve">Bonds Payable and </w:t>
      </w:r>
      <w:r>
        <w:rPr>
          <w:rFonts w:cstheme="minorHAnsi"/>
        </w:rPr>
        <w:t>Direct Borrowings - continued</w:t>
      </w:r>
    </w:p>
    <w:tbl>
      <w:tblPr>
        <w:tblW w:w="9360" w:type="dxa"/>
        <w:tblLook w:val="04A0" w:firstRow="1" w:lastRow="0" w:firstColumn="1" w:lastColumn="0" w:noHBand="0" w:noVBand="1"/>
      </w:tblPr>
      <w:tblGrid>
        <w:gridCol w:w="6300"/>
        <w:gridCol w:w="1440"/>
        <w:gridCol w:w="1620"/>
      </w:tblGrid>
      <w:tr w:rsidR="00721CFD" w:rsidRPr="003323E0" w14:paraId="74473C20" w14:textId="77777777" w:rsidTr="007B5BB3">
        <w:trPr>
          <w:trHeight w:val="300"/>
          <w:tblHeader/>
        </w:trPr>
        <w:tc>
          <w:tcPr>
            <w:tcW w:w="6300" w:type="dxa"/>
            <w:tcBorders>
              <w:top w:val="nil"/>
              <w:left w:val="nil"/>
              <w:bottom w:val="single" w:sz="12" w:space="0" w:color="00688D"/>
              <w:right w:val="nil"/>
            </w:tcBorders>
            <w:shd w:val="clear" w:color="000000" w:fill="FFFFFF"/>
            <w:noWrap/>
            <w:vAlign w:val="bottom"/>
            <w:hideMark/>
          </w:tcPr>
          <w:p w14:paraId="3967AEB1" w14:textId="77777777" w:rsidR="00721CFD" w:rsidRPr="003323E0" w:rsidRDefault="00721CFD" w:rsidP="007B5BB3">
            <w:pPr>
              <w:rPr>
                <w:rFonts w:ascii="Calibri" w:eastAsia="Times New Roman" w:hAnsi="Calibri" w:cs="Calibri"/>
                <w:b/>
                <w:bCs/>
                <w:color w:val="0D0D0D"/>
              </w:rPr>
            </w:pPr>
            <w:r w:rsidRPr="003323E0">
              <w:rPr>
                <w:rFonts w:ascii="Calibri" w:eastAsia="Times New Roman" w:hAnsi="Calibri" w:cs="Calibri"/>
                <w:b/>
                <w:bCs/>
                <w:color w:val="0D0D0D"/>
              </w:rPr>
              <w:t> </w:t>
            </w:r>
          </w:p>
        </w:tc>
        <w:tc>
          <w:tcPr>
            <w:tcW w:w="1440" w:type="dxa"/>
            <w:tcBorders>
              <w:top w:val="nil"/>
              <w:left w:val="nil"/>
              <w:bottom w:val="single" w:sz="12" w:space="0" w:color="00688D"/>
              <w:right w:val="nil"/>
            </w:tcBorders>
            <w:shd w:val="clear" w:color="000000" w:fill="FFFFFF"/>
            <w:noWrap/>
            <w:vAlign w:val="bottom"/>
            <w:hideMark/>
          </w:tcPr>
          <w:p w14:paraId="59A59F0E" w14:textId="77777777" w:rsidR="00721CFD" w:rsidRPr="003323E0" w:rsidRDefault="00721CFD" w:rsidP="007B5BB3">
            <w:pPr>
              <w:jc w:val="center"/>
              <w:rPr>
                <w:rFonts w:ascii="Calibri" w:eastAsia="Times New Roman" w:hAnsi="Calibri" w:cs="Calibri"/>
                <w:b/>
                <w:bCs/>
                <w:color w:val="0D0D0D"/>
              </w:rPr>
            </w:pPr>
            <w:r w:rsidRPr="003323E0">
              <w:rPr>
                <w:rFonts w:ascii="Calibri" w:eastAsia="Times New Roman" w:hAnsi="Calibri" w:cs="Calibri"/>
                <w:b/>
                <w:bCs/>
                <w:color w:val="0D0D0D"/>
              </w:rPr>
              <w:t>202</w:t>
            </w:r>
            <w:r>
              <w:rPr>
                <w:rFonts w:ascii="Calibri" w:eastAsia="Times New Roman" w:hAnsi="Calibri" w:cs="Calibri"/>
                <w:b/>
                <w:bCs/>
                <w:color w:val="0D0D0D"/>
              </w:rPr>
              <w:t>2</w:t>
            </w:r>
          </w:p>
        </w:tc>
        <w:tc>
          <w:tcPr>
            <w:tcW w:w="1620" w:type="dxa"/>
            <w:tcBorders>
              <w:top w:val="nil"/>
              <w:left w:val="nil"/>
              <w:bottom w:val="single" w:sz="12" w:space="0" w:color="00688D"/>
              <w:right w:val="nil"/>
            </w:tcBorders>
            <w:shd w:val="clear" w:color="auto" w:fill="D9D9D9" w:themeFill="background1" w:themeFillShade="D9"/>
            <w:noWrap/>
            <w:vAlign w:val="bottom"/>
            <w:hideMark/>
          </w:tcPr>
          <w:p w14:paraId="41D3C55C" w14:textId="77777777" w:rsidR="00721CFD" w:rsidRPr="003323E0" w:rsidRDefault="00721CFD" w:rsidP="007B5BB3">
            <w:pPr>
              <w:jc w:val="center"/>
              <w:rPr>
                <w:rFonts w:ascii="Calibri" w:eastAsia="Times New Roman" w:hAnsi="Calibri" w:cs="Calibri"/>
                <w:b/>
                <w:bCs/>
                <w:color w:val="0D0D0D"/>
              </w:rPr>
            </w:pPr>
            <w:r w:rsidRPr="003323E0">
              <w:rPr>
                <w:rFonts w:ascii="Calibri" w:eastAsia="Times New Roman" w:hAnsi="Calibri" w:cs="Calibri"/>
                <w:b/>
                <w:bCs/>
                <w:color w:val="0D0D0D"/>
              </w:rPr>
              <w:t>20</w:t>
            </w:r>
            <w:r>
              <w:rPr>
                <w:rFonts w:ascii="Calibri" w:eastAsia="Times New Roman" w:hAnsi="Calibri" w:cs="Calibri"/>
                <w:b/>
                <w:bCs/>
                <w:color w:val="0D0D0D"/>
              </w:rPr>
              <w:t>21</w:t>
            </w:r>
          </w:p>
        </w:tc>
      </w:tr>
      <w:tr w:rsidR="00721CFD" w:rsidRPr="003323E0" w14:paraId="4C9E8DE7" w14:textId="77777777" w:rsidTr="007B5BB3">
        <w:trPr>
          <w:trHeight w:val="300"/>
        </w:trPr>
        <w:tc>
          <w:tcPr>
            <w:tcW w:w="6300" w:type="dxa"/>
            <w:tcBorders>
              <w:top w:val="nil"/>
              <w:left w:val="nil"/>
              <w:bottom w:val="nil"/>
              <w:right w:val="nil"/>
            </w:tcBorders>
            <w:shd w:val="clear" w:color="000000" w:fill="FFFFFF"/>
            <w:noWrap/>
            <w:vAlign w:val="bottom"/>
          </w:tcPr>
          <w:p w14:paraId="6BDA926E" w14:textId="77777777" w:rsidR="00721CFD" w:rsidRPr="00C317EF" w:rsidRDefault="00721CFD" w:rsidP="007B5BB3">
            <w:pPr>
              <w:spacing w:before="120"/>
              <w:ind w:leftChars="106" w:left="251" w:hangingChars="8" w:hanging="18"/>
              <w:rPr>
                <w:rFonts w:ascii="Calibri" w:eastAsia="Times New Roman" w:hAnsi="Calibri" w:cs="Calibri"/>
                <w:color w:val="0D0D0D"/>
              </w:rPr>
            </w:pPr>
            <w:r w:rsidRPr="0097659C">
              <w:rPr>
                <w:rFonts w:ascii="Calibri" w:eastAsia="Times New Roman" w:hAnsi="Calibri" w:cs="Calibri"/>
                <w:color w:val="0D0D0D"/>
                <w:u w:val="single"/>
              </w:rPr>
              <w:t>University of Maine Foundation</w:t>
            </w:r>
            <w:r>
              <w:rPr>
                <w:rFonts w:ascii="Calibri" w:eastAsia="Times New Roman" w:hAnsi="Calibri" w:cs="Calibri"/>
                <w:color w:val="0D0D0D"/>
                <w:u w:val="single"/>
              </w:rPr>
              <w:t>:</w:t>
            </w:r>
            <w:r>
              <w:rPr>
                <w:rFonts w:ascii="Calibri" w:eastAsia="Times New Roman" w:hAnsi="Calibri" w:cs="Calibri"/>
                <w:color w:val="0D0D0D"/>
              </w:rPr>
              <w:t xml:space="preserve"> </w:t>
            </w:r>
            <w:r w:rsidRPr="00C317EF">
              <w:rPr>
                <w:rFonts w:ascii="Calibri" w:eastAsia="Times New Roman" w:hAnsi="Calibri" w:cs="Calibri"/>
                <w:color w:val="0D0D0D"/>
              </w:rPr>
              <w:t>Note payable, secured by equipment, with annual payments of $15, including interest at 4.25%, mature</w:t>
            </w:r>
            <w:r>
              <w:rPr>
                <w:rFonts w:ascii="Calibri" w:eastAsia="Times New Roman" w:hAnsi="Calibri" w:cs="Calibri"/>
                <w:color w:val="0D0D0D"/>
              </w:rPr>
              <w:t>d</w:t>
            </w:r>
            <w:r w:rsidRPr="00C317EF">
              <w:rPr>
                <w:rFonts w:ascii="Calibri" w:eastAsia="Times New Roman" w:hAnsi="Calibri" w:cs="Calibri"/>
                <w:color w:val="0D0D0D"/>
              </w:rPr>
              <w:t xml:space="preserve"> 202</w:t>
            </w:r>
            <w:r>
              <w:rPr>
                <w:rFonts w:ascii="Calibri" w:eastAsia="Times New Roman" w:hAnsi="Calibri" w:cs="Calibri"/>
                <w:color w:val="0D0D0D"/>
              </w:rPr>
              <w:t>2. The promissory note contains a provision that in the event of default of payment, the unpaid balance of the principal shall, at the option of the holder, become immediately due and payable. Any amount due at the time of default, shall accrue interest until payment at the rate of 5% per year.</w:t>
            </w:r>
          </w:p>
        </w:tc>
        <w:tc>
          <w:tcPr>
            <w:tcW w:w="1440" w:type="dxa"/>
            <w:tcBorders>
              <w:top w:val="nil"/>
              <w:left w:val="nil"/>
              <w:bottom w:val="nil"/>
              <w:right w:val="nil"/>
            </w:tcBorders>
            <w:shd w:val="clear" w:color="000000" w:fill="FFFFFF"/>
            <w:noWrap/>
            <w:vAlign w:val="bottom"/>
          </w:tcPr>
          <w:p w14:paraId="3B307B13" w14:textId="77777777" w:rsidR="00721CFD" w:rsidRPr="00E13594" w:rsidRDefault="00721CFD" w:rsidP="007B5BB3">
            <w:pPr>
              <w:jc w:val="right"/>
              <w:rPr>
                <w:rFonts w:ascii="Calibri" w:eastAsia="Times New Roman" w:hAnsi="Calibri" w:cs="Calibri"/>
                <w:color w:val="FF0000"/>
              </w:rPr>
            </w:pPr>
            <w:r w:rsidRPr="00E13594">
              <w:rPr>
                <w:rFonts w:ascii="Calibri" w:eastAsia="Times New Roman" w:hAnsi="Calibri" w:cs="Calibri"/>
              </w:rPr>
              <w:t>-</w:t>
            </w:r>
          </w:p>
        </w:tc>
        <w:tc>
          <w:tcPr>
            <w:tcW w:w="1620" w:type="dxa"/>
            <w:tcBorders>
              <w:top w:val="nil"/>
              <w:left w:val="nil"/>
              <w:bottom w:val="nil"/>
              <w:right w:val="nil"/>
            </w:tcBorders>
            <w:shd w:val="clear" w:color="auto" w:fill="D9D9D9" w:themeFill="background1" w:themeFillShade="D9"/>
            <w:noWrap/>
            <w:vAlign w:val="bottom"/>
          </w:tcPr>
          <w:p w14:paraId="4DEE5E25" w14:textId="77777777" w:rsidR="00721CFD" w:rsidRPr="003323E0" w:rsidRDefault="00721CFD" w:rsidP="007B5BB3">
            <w:pPr>
              <w:jc w:val="right"/>
              <w:rPr>
                <w:rFonts w:ascii="Calibri" w:eastAsia="Times New Roman" w:hAnsi="Calibri" w:cs="Calibri"/>
                <w:color w:val="0D0D0D"/>
              </w:rPr>
            </w:pPr>
            <w:r>
              <w:rPr>
                <w:rFonts w:ascii="Calibri" w:eastAsia="Times New Roman" w:hAnsi="Calibri" w:cs="Calibri"/>
                <w:color w:val="0D0D0D"/>
              </w:rPr>
              <w:t>21</w:t>
            </w:r>
          </w:p>
        </w:tc>
      </w:tr>
      <w:tr w:rsidR="00721CFD" w:rsidRPr="003323E0" w14:paraId="2CCB6E78" w14:textId="77777777" w:rsidTr="007B5BB3">
        <w:trPr>
          <w:trHeight w:val="300"/>
        </w:trPr>
        <w:tc>
          <w:tcPr>
            <w:tcW w:w="6300" w:type="dxa"/>
            <w:tcBorders>
              <w:top w:val="nil"/>
              <w:left w:val="nil"/>
              <w:bottom w:val="nil"/>
              <w:right w:val="nil"/>
            </w:tcBorders>
            <w:shd w:val="clear" w:color="000000" w:fill="FFFFFF"/>
            <w:noWrap/>
            <w:vAlign w:val="bottom"/>
          </w:tcPr>
          <w:p w14:paraId="79B6B64C" w14:textId="77777777" w:rsidR="00721CFD" w:rsidRPr="003323E0" w:rsidRDefault="00721CFD" w:rsidP="007B5BB3">
            <w:pPr>
              <w:spacing w:before="160"/>
              <w:ind w:leftChars="106" w:left="251" w:hangingChars="8" w:hanging="18"/>
              <w:rPr>
                <w:rFonts w:ascii="Calibri" w:eastAsia="Times New Roman" w:hAnsi="Calibri" w:cs="Calibri"/>
                <w:color w:val="0D0D0D"/>
              </w:rPr>
            </w:pPr>
            <w:r w:rsidRPr="0097659C">
              <w:rPr>
                <w:rFonts w:ascii="Calibri" w:eastAsia="Times New Roman" w:hAnsi="Calibri" w:cs="Calibri"/>
                <w:color w:val="0D0D0D"/>
                <w:u w:val="single"/>
              </w:rPr>
              <w:t>Key Government Finance Inc. (KGF):</w:t>
            </w:r>
            <w:r>
              <w:rPr>
                <w:rFonts w:ascii="Calibri" w:eastAsia="Times New Roman" w:hAnsi="Calibri" w:cs="Calibri"/>
                <w:color w:val="0D0D0D"/>
              </w:rPr>
              <w:t xml:space="preserve"> </w:t>
            </w:r>
            <w:r w:rsidRPr="00C317EF">
              <w:rPr>
                <w:rFonts w:ascii="Calibri" w:eastAsia="Times New Roman" w:hAnsi="Calibri" w:cs="Calibri"/>
                <w:color w:val="0D0D0D"/>
              </w:rPr>
              <w:t>$832 loan secured by five-year software license agreement, annual payments of $182, including interest at 3.78%, matures July 2023</w:t>
            </w:r>
            <w:r>
              <w:rPr>
                <w:rFonts w:ascii="Calibri" w:eastAsia="Times New Roman" w:hAnsi="Calibri" w:cs="Calibri"/>
                <w:color w:val="0D0D0D"/>
              </w:rPr>
              <w:t>. The loan agreement contains a provision that in the event of default, KGF may exercise one or more of the following remedies in its sole discretion: a) terminate the agreement and all of the UMS’ rights to the software license agreement, b) seek court action to enforce payment, c) cause the Licensor to terminate the license with the UMS, d) declare all unpaid installment payments to be immediately due and payable. L</w:t>
            </w:r>
            <w:r>
              <w:rPr>
                <w:rFonts w:ascii="Calibri" w:eastAsia="Times New Roman" w:hAnsi="Calibri" w:cs="Calibri"/>
              </w:rPr>
              <w:t xml:space="preserve">ate charges will be assessed on any delinquent payments from the due date of the payment until paid at the rate of 5% per annum or the highest rate permitted by law, whichever is less. </w:t>
            </w:r>
          </w:p>
        </w:tc>
        <w:tc>
          <w:tcPr>
            <w:tcW w:w="1440" w:type="dxa"/>
            <w:tcBorders>
              <w:top w:val="nil"/>
              <w:left w:val="nil"/>
              <w:bottom w:val="nil"/>
              <w:right w:val="nil"/>
            </w:tcBorders>
            <w:shd w:val="clear" w:color="000000" w:fill="FFFFFF"/>
            <w:noWrap/>
            <w:vAlign w:val="bottom"/>
          </w:tcPr>
          <w:p w14:paraId="717C8A93" w14:textId="77777777" w:rsidR="00721CFD" w:rsidRPr="00E13594" w:rsidRDefault="00721CFD" w:rsidP="007B5BB3">
            <w:pPr>
              <w:jc w:val="right"/>
              <w:rPr>
                <w:rFonts w:ascii="Calibri" w:eastAsia="Times New Roman" w:hAnsi="Calibri" w:cs="Calibri"/>
                <w:color w:val="FF0000"/>
              </w:rPr>
            </w:pPr>
            <w:r w:rsidRPr="00E13594">
              <w:rPr>
                <w:rFonts w:ascii="Calibri" w:eastAsia="Times New Roman" w:hAnsi="Calibri" w:cs="Calibri"/>
              </w:rPr>
              <w:t>346</w:t>
            </w:r>
          </w:p>
        </w:tc>
        <w:tc>
          <w:tcPr>
            <w:tcW w:w="1620" w:type="dxa"/>
            <w:tcBorders>
              <w:top w:val="nil"/>
              <w:left w:val="nil"/>
              <w:bottom w:val="nil"/>
              <w:right w:val="nil"/>
            </w:tcBorders>
            <w:shd w:val="clear" w:color="auto" w:fill="D9D9D9" w:themeFill="background1" w:themeFillShade="D9"/>
            <w:noWrap/>
            <w:vAlign w:val="bottom"/>
          </w:tcPr>
          <w:p w14:paraId="51DD2B1A" w14:textId="77777777" w:rsidR="00721CFD" w:rsidRPr="003323E0" w:rsidRDefault="00721CFD" w:rsidP="007B5BB3">
            <w:pPr>
              <w:jc w:val="right"/>
              <w:rPr>
                <w:rFonts w:ascii="Calibri" w:eastAsia="Times New Roman" w:hAnsi="Calibri" w:cs="Calibri"/>
                <w:color w:val="0D0D0D"/>
              </w:rPr>
            </w:pPr>
            <w:r>
              <w:rPr>
                <w:rFonts w:ascii="Calibri" w:eastAsia="Times New Roman" w:hAnsi="Calibri" w:cs="Calibri"/>
                <w:color w:val="0D0D0D"/>
              </w:rPr>
              <w:t>510</w:t>
            </w:r>
          </w:p>
        </w:tc>
      </w:tr>
      <w:tr w:rsidR="00721CFD" w:rsidRPr="003323E0" w14:paraId="63C64E61" w14:textId="77777777" w:rsidTr="007B5BB3">
        <w:trPr>
          <w:trHeight w:val="300"/>
        </w:trPr>
        <w:tc>
          <w:tcPr>
            <w:tcW w:w="6300" w:type="dxa"/>
            <w:tcBorders>
              <w:top w:val="nil"/>
              <w:left w:val="nil"/>
              <w:bottom w:val="nil"/>
              <w:right w:val="nil"/>
            </w:tcBorders>
            <w:shd w:val="clear" w:color="000000" w:fill="FFFFFF"/>
            <w:noWrap/>
            <w:vAlign w:val="bottom"/>
          </w:tcPr>
          <w:p w14:paraId="1359CC43" w14:textId="77777777" w:rsidR="00721CFD" w:rsidRDefault="00721CFD" w:rsidP="007B5BB3">
            <w:pPr>
              <w:spacing w:before="160"/>
              <w:ind w:leftChars="106" w:left="251" w:hangingChars="8" w:hanging="18"/>
              <w:rPr>
                <w:rFonts w:ascii="Calibri" w:eastAsia="Times New Roman" w:hAnsi="Calibri" w:cs="Calibri"/>
                <w:color w:val="0D0D0D"/>
              </w:rPr>
            </w:pPr>
            <w:r w:rsidRPr="0097659C">
              <w:rPr>
                <w:rFonts w:ascii="Calibri" w:eastAsia="Times New Roman" w:hAnsi="Calibri" w:cs="Calibri"/>
                <w:color w:val="0D0D0D"/>
                <w:u w:val="single"/>
              </w:rPr>
              <w:t>Efficiency Maine Trust:</w:t>
            </w:r>
            <w:r>
              <w:rPr>
                <w:rFonts w:ascii="Calibri" w:eastAsia="Times New Roman" w:hAnsi="Calibri" w:cs="Calibri"/>
                <w:color w:val="0D0D0D"/>
              </w:rPr>
              <w:t xml:space="preserve"> </w:t>
            </w:r>
            <w:r w:rsidRPr="00C317EF">
              <w:rPr>
                <w:rFonts w:ascii="Calibri" w:eastAsia="Times New Roman" w:hAnsi="Calibri" w:cs="Calibri"/>
                <w:color w:val="0D0D0D"/>
              </w:rPr>
              <w:t>$2,595 loan for biomass energy project, quarterly principal payments of $65 plus interest at 1.5% beginning in June 2016 and continuing through March 2026.</w:t>
            </w:r>
          </w:p>
          <w:p w14:paraId="76FDD192" w14:textId="77777777" w:rsidR="00721CFD" w:rsidRPr="003323E0" w:rsidRDefault="00721CFD" w:rsidP="007B5BB3">
            <w:pPr>
              <w:ind w:left="250"/>
              <w:rPr>
                <w:rFonts w:ascii="Calibri" w:eastAsia="Times New Roman" w:hAnsi="Calibri" w:cs="Calibri"/>
                <w:color w:val="0D0D0D"/>
              </w:rPr>
            </w:pPr>
            <w:r>
              <w:rPr>
                <w:rFonts w:ascii="Calibri" w:eastAsia="Times New Roman" w:hAnsi="Calibri" w:cs="Calibri"/>
                <w:color w:val="0D0D0D"/>
              </w:rPr>
              <w:t>The promissory note contains a provision that in the event of default, all outstanding principal shall be immediately due and payable, and interest on the unpaid principal balance shall thereafter accrue at an interest rate equal to 12%.</w:t>
            </w:r>
          </w:p>
        </w:tc>
        <w:tc>
          <w:tcPr>
            <w:tcW w:w="1440" w:type="dxa"/>
            <w:tcBorders>
              <w:top w:val="nil"/>
              <w:left w:val="nil"/>
              <w:bottom w:val="nil"/>
              <w:right w:val="nil"/>
            </w:tcBorders>
            <w:shd w:val="clear" w:color="000000" w:fill="FFFFFF"/>
            <w:noWrap/>
            <w:vAlign w:val="bottom"/>
          </w:tcPr>
          <w:p w14:paraId="025DC6D4" w14:textId="77777777" w:rsidR="00721CFD" w:rsidRPr="00E13594" w:rsidRDefault="00721CFD" w:rsidP="007B5BB3">
            <w:pPr>
              <w:jc w:val="right"/>
              <w:rPr>
                <w:rFonts w:ascii="Calibri" w:eastAsia="Times New Roman" w:hAnsi="Calibri" w:cs="Calibri"/>
                <w:color w:val="FF0000"/>
              </w:rPr>
            </w:pPr>
            <w:r w:rsidRPr="00E13594">
              <w:rPr>
                <w:rFonts w:ascii="Calibri" w:eastAsia="Times New Roman" w:hAnsi="Calibri" w:cs="Calibri"/>
              </w:rPr>
              <w:t>973</w:t>
            </w:r>
          </w:p>
        </w:tc>
        <w:tc>
          <w:tcPr>
            <w:tcW w:w="1620" w:type="dxa"/>
            <w:tcBorders>
              <w:top w:val="nil"/>
              <w:left w:val="nil"/>
              <w:bottom w:val="nil"/>
              <w:right w:val="nil"/>
            </w:tcBorders>
            <w:shd w:val="clear" w:color="auto" w:fill="D9D9D9" w:themeFill="background1" w:themeFillShade="D9"/>
            <w:noWrap/>
            <w:vAlign w:val="bottom"/>
          </w:tcPr>
          <w:p w14:paraId="62A15EFF" w14:textId="77777777" w:rsidR="00721CFD" w:rsidRPr="003323E0" w:rsidRDefault="00721CFD" w:rsidP="007B5BB3">
            <w:pPr>
              <w:jc w:val="right"/>
              <w:rPr>
                <w:rFonts w:ascii="Calibri" w:eastAsia="Times New Roman" w:hAnsi="Calibri" w:cs="Calibri"/>
                <w:color w:val="0D0D0D"/>
              </w:rPr>
            </w:pPr>
            <w:r>
              <w:rPr>
                <w:rFonts w:ascii="Calibri" w:eastAsia="Times New Roman" w:hAnsi="Calibri" w:cs="Calibri"/>
                <w:color w:val="0D0D0D"/>
              </w:rPr>
              <w:t>1,233</w:t>
            </w:r>
          </w:p>
        </w:tc>
      </w:tr>
      <w:tr w:rsidR="00721CFD" w:rsidRPr="003323E0" w14:paraId="08426B69" w14:textId="77777777" w:rsidTr="007B5BB3">
        <w:trPr>
          <w:trHeight w:val="864"/>
        </w:trPr>
        <w:tc>
          <w:tcPr>
            <w:tcW w:w="6300" w:type="dxa"/>
            <w:tcBorders>
              <w:top w:val="nil"/>
              <w:left w:val="nil"/>
              <w:bottom w:val="single" w:sz="4" w:space="0" w:color="00688D"/>
              <w:right w:val="nil"/>
            </w:tcBorders>
            <w:shd w:val="clear" w:color="000000" w:fill="FFFFFF"/>
            <w:vAlign w:val="bottom"/>
            <w:hideMark/>
          </w:tcPr>
          <w:p w14:paraId="49B9C5BD" w14:textId="77777777" w:rsidR="00721CFD" w:rsidRPr="003323E0" w:rsidRDefault="00721CFD" w:rsidP="007B5BB3">
            <w:pPr>
              <w:spacing w:before="160"/>
              <w:ind w:left="250"/>
              <w:rPr>
                <w:rFonts w:ascii="Calibri" w:eastAsia="Times New Roman" w:hAnsi="Calibri" w:cs="Calibri"/>
                <w:color w:val="0D0D0D"/>
              </w:rPr>
            </w:pPr>
            <w:r w:rsidRPr="0097659C">
              <w:rPr>
                <w:rFonts w:ascii="Calibri" w:eastAsia="Times New Roman" w:hAnsi="Calibri" w:cs="Calibri"/>
                <w:color w:val="0D0D0D"/>
                <w:u w:val="single"/>
              </w:rPr>
              <w:t>Banc of America Public Capital Corp. (BOAPCC):</w:t>
            </w:r>
            <w:r>
              <w:rPr>
                <w:rFonts w:ascii="Calibri" w:eastAsia="Times New Roman" w:hAnsi="Calibri" w:cs="Calibri"/>
                <w:color w:val="0D0D0D"/>
              </w:rPr>
              <w:t xml:space="preserve"> </w:t>
            </w:r>
            <w:r w:rsidRPr="003323E0">
              <w:rPr>
                <w:rFonts w:ascii="Calibri" w:eastAsia="Times New Roman" w:hAnsi="Calibri" w:cs="Calibri"/>
                <w:color w:val="0D0D0D"/>
              </w:rPr>
              <w:t>Master lease purchase agreement, secured by equipment and vehicles, quarterly or semi-annual payments including interest at 1.</w:t>
            </w:r>
            <w:r>
              <w:rPr>
                <w:rFonts w:ascii="Calibri" w:eastAsia="Times New Roman" w:hAnsi="Calibri" w:cs="Calibri"/>
                <w:color w:val="0D0D0D"/>
              </w:rPr>
              <w:t>19</w:t>
            </w:r>
            <w:r w:rsidRPr="003323E0">
              <w:rPr>
                <w:rFonts w:ascii="Calibri" w:eastAsia="Times New Roman" w:hAnsi="Calibri" w:cs="Calibri"/>
                <w:color w:val="0D0D0D"/>
              </w:rPr>
              <w:t xml:space="preserve">% to 4.14%, maturing from October 2022 to </w:t>
            </w:r>
            <w:r>
              <w:rPr>
                <w:rFonts w:ascii="Calibri" w:eastAsia="Times New Roman" w:hAnsi="Calibri" w:cs="Calibri"/>
                <w:color w:val="0D0D0D"/>
              </w:rPr>
              <w:t>May 2037. The master lease purchase agreement contains a provision that in the event of default, BOAPCC has the right, at its sole option, to take one or any combination of the following steps: a) declare all remaining payments due and payable, b) repossess the financed property, c) whatever action at law or in equity may appear necessary or desirable to enforce its rights under the agreement.</w:t>
            </w:r>
          </w:p>
        </w:tc>
        <w:tc>
          <w:tcPr>
            <w:tcW w:w="1440" w:type="dxa"/>
            <w:tcBorders>
              <w:top w:val="nil"/>
              <w:left w:val="nil"/>
              <w:bottom w:val="single" w:sz="4" w:space="0" w:color="00688D"/>
              <w:right w:val="nil"/>
            </w:tcBorders>
            <w:shd w:val="clear" w:color="000000" w:fill="FFFFFF"/>
            <w:noWrap/>
            <w:vAlign w:val="bottom"/>
            <w:hideMark/>
          </w:tcPr>
          <w:p w14:paraId="76E3D014" w14:textId="77777777" w:rsidR="00721CFD" w:rsidRPr="00E13594" w:rsidRDefault="00721CFD" w:rsidP="007B5BB3">
            <w:pPr>
              <w:jc w:val="right"/>
              <w:rPr>
                <w:rFonts w:ascii="Calibri" w:eastAsia="Times New Roman" w:hAnsi="Calibri" w:cs="Calibri"/>
              </w:rPr>
            </w:pPr>
            <w:r w:rsidRPr="00E13594">
              <w:rPr>
                <w:rFonts w:ascii="Calibri" w:eastAsia="Times New Roman" w:hAnsi="Calibri" w:cs="Calibri"/>
              </w:rPr>
              <w:t>2,347</w:t>
            </w:r>
          </w:p>
        </w:tc>
        <w:tc>
          <w:tcPr>
            <w:tcW w:w="1620" w:type="dxa"/>
            <w:tcBorders>
              <w:top w:val="nil"/>
              <w:left w:val="nil"/>
              <w:bottom w:val="single" w:sz="4" w:space="0" w:color="00688D"/>
              <w:right w:val="nil"/>
            </w:tcBorders>
            <w:shd w:val="clear" w:color="auto" w:fill="D9D9D9" w:themeFill="background1" w:themeFillShade="D9"/>
            <w:noWrap/>
            <w:vAlign w:val="bottom"/>
            <w:hideMark/>
          </w:tcPr>
          <w:p w14:paraId="1CB2891A" w14:textId="77777777" w:rsidR="00721CFD" w:rsidRPr="003323E0" w:rsidRDefault="00721CFD" w:rsidP="007B5BB3">
            <w:pPr>
              <w:jc w:val="right"/>
              <w:rPr>
                <w:rFonts w:ascii="Calibri" w:eastAsia="Times New Roman" w:hAnsi="Calibri" w:cs="Calibri"/>
                <w:color w:val="0D0D0D"/>
              </w:rPr>
            </w:pPr>
            <w:r>
              <w:rPr>
                <w:rFonts w:ascii="Calibri" w:eastAsia="Times New Roman" w:hAnsi="Calibri" w:cs="Calibri"/>
                <w:color w:val="0D0D0D"/>
              </w:rPr>
              <w:t>3,106</w:t>
            </w:r>
          </w:p>
        </w:tc>
      </w:tr>
      <w:tr w:rsidR="00721CFD" w:rsidRPr="003323E0" w14:paraId="0EE73EAA" w14:textId="77777777" w:rsidTr="007B5BB3">
        <w:trPr>
          <w:trHeight w:val="300"/>
        </w:trPr>
        <w:tc>
          <w:tcPr>
            <w:tcW w:w="6300" w:type="dxa"/>
            <w:tcBorders>
              <w:top w:val="single" w:sz="4" w:space="0" w:color="00688D"/>
              <w:left w:val="nil"/>
              <w:bottom w:val="single" w:sz="4" w:space="0" w:color="00688D"/>
              <w:right w:val="nil"/>
            </w:tcBorders>
            <w:shd w:val="clear" w:color="000000" w:fill="FFFFFF"/>
            <w:noWrap/>
            <w:vAlign w:val="bottom"/>
            <w:hideMark/>
          </w:tcPr>
          <w:p w14:paraId="771F6120" w14:textId="77777777" w:rsidR="00721CFD" w:rsidRPr="00061285" w:rsidRDefault="00721CFD" w:rsidP="007B5BB3">
            <w:pPr>
              <w:ind w:left="250"/>
              <w:rPr>
                <w:rFonts w:ascii="Calibri" w:eastAsia="Times New Roman" w:hAnsi="Calibri" w:cs="Calibri"/>
              </w:rPr>
            </w:pPr>
            <w:r w:rsidRPr="00061285">
              <w:rPr>
                <w:rFonts w:ascii="Calibri" w:eastAsia="Times New Roman" w:hAnsi="Calibri" w:cs="Calibri"/>
              </w:rPr>
              <w:t>Total direct borrowings</w:t>
            </w:r>
          </w:p>
        </w:tc>
        <w:tc>
          <w:tcPr>
            <w:tcW w:w="1440" w:type="dxa"/>
            <w:tcBorders>
              <w:top w:val="single" w:sz="4" w:space="0" w:color="00688D"/>
              <w:left w:val="nil"/>
              <w:bottom w:val="single" w:sz="4" w:space="0" w:color="00688D"/>
              <w:right w:val="nil"/>
            </w:tcBorders>
            <w:shd w:val="clear" w:color="000000" w:fill="FFFFFF"/>
            <w:noWrap/>
            <w:vAlign w:val="bottom"/>
            <w:hideMark/>
          </w:tcPr>
          <w:p w14:paraId="09DDFB7E" w14:textId="77777777" w:rsidR="00721CFD" w:rsidRPr="00D00A57" w:rsidRDefault="00721CFD" w:rsidP="007B5BB3">
            <w:pPr>
              <w:ind w:left="250"/>
              <w:jc w:val="right"/>
              <w:rPr>
                <w:rFonts w:ascii="Calibri" w:eastAsia="Times New Roman" w:hAnsi="Calibri" w:cs="Calibri"/>
              </w:rPr>
            </w:pPr>
            <w:r w:rsidRPr="00D00A57">
              <w:rPr>
                <w:rFonts w:ascii="Calibri" w:eastAsia="Times New Roman" w:hAnsi="Calibri" w:cs="Calibri"/>
              </w:rPr>
              <w:t xml:space="preserve">  </w:t>
            </w:r>
            <w:r w:rsidRPr="00E13594">
              <w:rPr>
                <w:rFonts w:ascii="Calibri" w:eastAsia="Times New Roman" w:hAnsi="Calibri" w:cs="Calibri"/>
              </w:rPr>
              <w:t>46,666</w:t>
            </w:r>
          </w:p>
        </w:tc>
        <w:tc>
          <w:tcPr>
            <w:tcW w:w="1620" w:type="dxa"/>
            <w:tcBorders>
              <w:top w:val="single" w:sz="4" w:space="0" w:color="00688D"/>
              <w:left w:val="nil"/>
              <w:bottom w:val="single" w:sz="4" w:space="0" w:color="00688D"/>
              <w:right w:val="nil"/>
            </w:tcBorders>
            <w:shd w:val="clear" w:color="auto" w:fill="D9D9D9" w:themeFill="background1" w:themeFillShade="D9"/>
            <w:noWrap/>
            <w:vAlign w:val="bottom"/>
            <w:hideMark/>
          </w:tcPr>
          <w:p w14:paraId="2405D5C9" w14:textId="77777777" w:rsidR="00721CFD" w:rsidRPr="00061285" w:rsidRDefault="00721CFD" w:rsidP="007B5BB3">
            <w:pPr>
              <w:ind w:left="250"/>
              <w:jc w:val="right"/>
              <w:rPr>
                <w:rFonts w:ascii="Calibri" w:eastAsia="Times New Roman" w:hAnsi="Calibri" w:cs="Calibri"/>
              </w:rPr>
            </w:pPr>
            <w:r w:rsidRPr="00061285">
              <w:rPr>
                <w:rFonts w:ascii="Calibri" w:eastAsia="Times New Roman" w:hAnsi="Calibri" w:cs="Calibri"/>
              </w:rPr>
              <w:t xml:space="preserve">  47,870</w:t>
            </w:r>
          </w:p>
        </w:tc>
      </w:tr>
      <w:tr w:rsidR="00721CFD" w:rsidRPr="003323E0" w14:paraId="43CACC5D" w14:textId="77777777" w:rsidTr="007B5BB3">
        <w:trPr>
          <w:trHeight w:val="300"/>
        </w:trPr>
        <w:tc>
          <w:tcPr>
            <w:tcW w:w="6300" w:type="dxa"/>
            <w:tcBorders>
              <w:top w:val="single" w:sz="4" w:space="0" w:color="00688D"/>
              <w:left w:val="nil"/>
              <w:bottom w:val="double" w:sz="4" w:space="0" w:color="00688D"/>
              <w:right w:val="nil"/>
            </w:tcBorders>
            <w:shd w:val="clear" w:color="000000" w:fill="FFFFFF"/>
            <w:noWrap/>
            <w:vAlign w:val="bottom"/>
          </w:tcPr>
          <w:p w14:paraId="585BAD8A" w14:textId="77777777" w:rsidR="00721CFD" w:rsidRDefault="00721CFD" w:rsidP="007B5BB3">
            <w:pPr>
              <w:rPr>
                <w:rFonts w:ascii="Calibri" w:eastAsia="Times New Roman" w:hAnsi="Calibri" w:cs="Calibri"/>
                <w:color w:val="0D0D0D"/>
              </w:rPr>
            </w:pPr>
            <w:r>
              <w:rPr>
                <w:rFonts w:ascii="Calibri" w:eastAsia="Times New Roman" w:hAnsi="Calibri" w:cs="Calibri"/>
                <w:color w:val="0D0D0D"/>
              </w:rPr>
              <w:t>Total bonds payable and direct borrowings</w:t>
            </w:r>
          </w:p>
        </w:tc>
        <w:tc>
          <w:tcPr>
            <w:tcW w:w="1440" w:type="dxa"/>
            <w:tcBorders>
              <w:top w:val="single" w:sz="4" w:space="0" w:color="00688D"/>
              <w:left w:val="nil"/>
              <w:bottom w:val="double" w:sz="4" w:space="0" w:color="00688D"/>
              <w:right w:val="nil"/>
            </w:tcBorders>
            <w:shd w:val="clear" w:color="000000" w:fill="FFFFFF"/>
            <w:noWrap/>
            <w:vAlign w:val="bottom"/>
          </w:tcPr>
          <w:p w14:paraId="501D604C" w14:textId="77777777" w:rsidR="00721CFD" w:rsidRPr="00E13594" w:rsidRDefault="00721CFD" w:rsidP="007B5BB3">
            <w:pPr>
              <w:jc w:val="right"/>
              <w:rPr>
                <w:rFonts w:ascii="Calibri" w:eastAsia="Times New Roman" w:hAnsi="Calibri" w:cs="Calibri"/>
              </w:rPr>
            </w:pPr>
            <w:r w:rsidRPr="00E13594">
              <w:rPr>
                <w:rFonts w:ascii="Calibri" w:eastAsia="Times New Roman" w:hAnsi="Calibri" w:cs="Calibri"/>
              </w:rPr>
              <w:t>$151,893</w:t>
            </w:r>
          </w:p>
        </w:tc>
        <w:tc>
          <w:tcPr>
            <w:tcW w:w="1620" w:type="dxa"/>
            <w:tcBorders>
              <w:top w:val="single" w:sz="4" w:space="0" w:color="00688D"/>
              <w:left w:val="nil"/>
              <w:bottom w:val="double" w:sz="4" w:space="0" w:color="00688D"/>
              <w:right w:val="nil"/>
            </w:tcBorders>
            <w:shd w:val="clear" w:color="auto" w:fill="D9D9D9" w:themeFill="background1" w:themeFillShade="D9"/>
            <w:noWrap/>
            <w:vAlign w:val="bottom"/>
          </w:tcPr>
          <w:p w14:paraId="1204234C" w14:textId="77777777" w:rsidR="00721CFD" w:rsidRPr="003323E0" w:rsidRDefault="00721CFD" w:rsidP="007B5BB3">
            <w:pPr>
              <w:jc w:val="right"/>
              <w:rPr>
                <w:rFonts w:ascii="Calibri" w:eastAsia="Times New Roman" w:hAnsi="Calibri" w:cs="Calibri"/>
                <w:color w:val="0D0D0D"/>
              </w:rPr>
            </w:pPr>
            <w:r>
              <w:rPr>
                <w:rFonts w:ascii="Calibri" w:eastAsia="Times New Roman" w:hAnsi="Calibri" w:cs="Calibri"/>
                <w:color w:val="0D0D0D"/>
              </w:rPr>
              <w:t>$165,372</w:t>
            </w:r>
          </w:p>
        </w:tc>
      </w:tr>
    </w:tbl>
    <w:p w14:paraId="64F9FAA3" w14:textId="2FA1856E" w:rsidR="005B6CCB" w:rsidRDefault="005B6CCB">
      <w:pPr>
        <w:spacing w:after="160" w:line="259" w:lineRule="auto"/>
        <w:rPr>
          <w:rFonts w:cstheme="minorHAnsi"/>
          <w:b/>
          <w:i/>
          <w:noProof/>
          <w:spacing w:val="-2"/>
          <w:sz w:val="26"/>
          <w:u w:val="single" w:color="000000" w:themeColor="text1"/>
        </w:rPr>
      </w:pPr>
      <w:r>
        <w:rPr>
          <w:rFonts w:cstheme="minorHAnsi"/>
          <w:noProof/>
          <w:spacing w:val="-2"/>
        </w:rPr>
        <w:br w:type="page"/>
      </w:r>
    </w:p>
    <w:p w14:paraId="560ED6A3" w14:textId="1904B755" w:rsidR="00721CFD" w:rsidRPr="00061285" w:rsidRDefault="00721CFD" w:rsidP="00721CFD">
      <w:pPr>
        <w:pStyle w:val="AFR3"/>
        <w:spacing w:after="240"/>
        <w:rPr>
          <w:rFonts w:cstheme="minorHAnsi"/>
          <w:noProof/>
          <w:spacing w:val="-2"/>
        </w:rPr>
      </w:pPr>
      <w:r w:rsidRPr="00F54559">
        <w:rPr>
          <w:rFonts w:cstheme="minorHAnsi"/>
          <w:noProof/>
          <w:spacing w:val="-2"/>
        </w:rPr>
        <w:lastRenderedPageBreak/>
        <w:t>b</w:t>
      </w:r>
      <w:r w:rsidRPr="00B44EB6">
        <w:rPr>
          <w:rFonts w:cstheme="minorHAnsi"/>
          <w:noProof/>
          <w:spacing w:val="-2"/>
        </w:rPr>
        <w:t xml:space="preserve">. </w:t>
      </w:r>
      <w:r w:rsidRPr="00B44EB6">
        <w:rPr>
          <w:rFonts w:cstheme="minorHAnsi"/>
        </w:rPr>
        <w:t xml:space="preserve">Bonds Payable and </w:t>
      </w:r>
      <w:r>
        <w:rPr>
          <w:rFonts w:cstheme="minorHAnsi"/>
        </w:rPr>
        <w:t>Direct Borrowings - continued</w:t>
      </w:r>
      <w:r w:rsidRPr="00061285">
        <w:rPr>
          <w:rFonts w:cstheme="minorHAnsi"/>
          <w:noProof/>
          <w:spacing w:val="-2"/>
        </w:rPr>
        <w:t xml:space="preserve"> </w:t>
      </w:r>
      <w:r w:rsidRPr="00061285">
        <w:rPr>
          <w:rFonts w:cstheme="minorHAnsi"/>
          <w:noProof/>
          <w:spacing w:val="-2"/>
        </w:rPr>
        <w:fldChar w:fldCharType="begin"/>
      </w:r>
      <w:r w:rsidRPr="00061285">
        <w:rPr>
          <w:rFonts w:cstheme="minorHAnsi"/>
          <w:noProof/>
          <w:spacing w:val="-2"/>
        </w:rPr>
        <w:fldChar w:fldCharType="end"/>
      </w:r>
    </w:p>
    <w:p w14:paraId="124D16AA" w14:textId="77777777" w:rsidR="00721CFD" w:rsidRPr="00F54559" w:rsidRDefault="00721CFD" w:rsidP="00721CFD">
      <w:pPr>
        <w:tabs>
          <w:tab w:val="left" w:pos="0"/>
          <w:tab w:val="left" w:pos="1260"/>
          <w:tab w:val="left" w:pos="1440"/>
        </w:tabs>
        <w:suppressAutoHyphens/>
        <w:rPr>
          <w:rFonts w:eastAsia="Times New Roman" w:cstheme="minorHAnsi"/>
          <w:spacing w:val="-3"/>
          <w:sz w:val="24"/>
          <w:szCs w:val="20"/>
        </w:rPr>
      </w:pPr>
      <w:r w:rsidRPr="00F54559">
        <w:rPr>
          <w:rFonts w:eastAsia="Times New Roman" w:cstheme="minorHAnsi"/>
          <w:spacing w:val="-3"/>
          <w:sz w:val="24"/>
          <w:szCs w:val="20"/>
        </w:rPr>
        <w:t>Costs associated with the issuance of revenue bonds have been expensed as incurred and included in the accompanying Statements of Revenues, Expenses and Changes in Net Position.  Premiums, discounts, and deferred amounts on refunding are being amortized over the life of the respective bond issuances as part of interest expense using the effective interest method.</w:t>
      </w:r>
    </w:p>
    <w:p w14:paraId="326B3D5E" w14:textId="77777777" w:rsidR="00721CFD" w:rsidRPr="00F54559" w:rsidRDefault="00721CFD" w:rsidP="00721CFD">
      <w:pPr>
        <w:rPr>
          <w:rFonts w:cstheme="minorHAnsi"/>
          <w:sz w:val="24"/>
          <w:szCs w:val="20"/>
        </w:rPr>
      </w:pPr>
    </w:p>
    <w:p w14:paraId="571E0F2C" w14:textId="77777777" w:rsidR="00721CFD" w:rsidRDefault="00721CFD" w:rsidP="00721CFD">
      <w:pPr>
        <w:tabs>
          <w:tab w:val="left" w:pos="540"/>
          <w:tab w:val="left" w:pos="630"/>
          <w:tab w:val="left" w:pos="1440"/>
          <w:tab w:val="decimal" w:pos="7020"/>
          <w:tab w:val="decimal" w:pos="9454"/>
        </w:tabs>
        <w:suppressAutoHyphens/>
        <w:spacing w:after="240"/>
        <w:rPr>
          <w:rFonts w:cstheme="minorHAnsi"/>
          <w:bCs/>
          <w:spacing w:val="-2"/>
          <w:sz w:val="24"/>
        </w:rPr>
      </w:pPr>
      <w:r w:rsidRPr="00F54559">
        <w:rPr>
          <w:rFonts w:cstheme="minorHAnsi"/>
          <w:bCs/>
          <w:spacing w:val="-2"/>
          <w:sz w:val="24"/>
        </w:rPr>
        <w:t>Principal and interest payments on bonds</w:t>
      </w:r>
      <w:r>
        <w:rPr>
          <w:rFonts w:cstheme="minorHAnsi"/>
          <w:bCs/>
          <w:spacing w:val="-2"/>
          <w:sz w:val="24"/>
        </w:rPr>
        <w:t xml:space="preserve"> </w:t>
      </w:r>
      <w:r w:rsidRPr="00F54559">
        <w:rPr>
          <w:rFonts w:cstheme="minorHAnsi"/>
          <w:bCs/>
          <w:spacing w:val="-2"/>
          <w:sz w:val="24"/>
        </w:rPr>
        <w:t xml:space="preserve">payable and </w:t>
      </w:r>
      <w:r>
        <w:rPr>
          <w:rFonts w:cstheme="minorHAnsi"/>
          <w:bCs/>
          <w:spacing w:val="-2"/>
          <w:sz w:val="24"/>
        </w:rPr>
        <w:t>direct borrowings</w:t>
      </w:r>
      <w:r w:rsidRPr="00F54559">
        <w:rPr>
          <w:rFonts w:cstheme="minorHAnsi"/>
          <w:bCs/>
          <w:spacing w:val="-2"/>
          <w:sz w:val="24"/>
        </w:rPr>
        <w:t xml:space="preserve"> for the next five years and in subsequent five-year periods are as follows at June 30</w:t>
      </w:r>
      <w:r>
        <w:rPr>
          <w:rFonts w:cstheme="minorHAnsi"/>
          <w:bCs/>
          <w:spacing w:val="-2"/>
          <w:sz w:val="24"/>
        </w:rPr>
        <w:t>, 2022</w:t>
      </w:r>
      <w:r w:rsidRPr="00F54559">
        <w:rPr>
          <w:rFonts w:cstheme="minorHAnsi"/>
          <w:bCs/>
          <w:spacing w:val="-2"/>
          <w:sz w:val="24"/>
        </w:rPr>
        <w:t>:</w:t>
      </w:r>
      <w:r>
        <w:rPr>
          <w:rFonts w:cstheme="minorHAnsi"/>
          <w:bCs/>
          <w:spacing w:val="-2"/>
          <w:sz w:val="24"/>
        </w:rPr>
        <w:fldChar w:fldCharType="begin"/>
      </w:r>
      <w:r>
        <w:rPr>
          <w:rFonts w:cstheme="minorHAnsi"/>
          <w:bCs/>
          <w:spacing w:val="-2"/>
          <w:sz w:val="24"/>
        </w:rPr>
        <w:fldChar w:fldCharType="end"/>
      </w:r>
    </w:p>
    <w:tbl>
      <w:tblPr>
        <w:tblW w:w="7740" w:type="dxa"/>
        <w:jc w:val="center"/>
        <w:tblLayout w:type="fixed"/>
        <w:tblCellMar>
          <w:left w:w="29" w:type="dxa"/>
          <w:right w:w="29" w:type="dxa"/>
        </w:tblCellMar>
        <w:tblLook w:val="04A0" w:firstRow="1" w:lastRow="0" w:firstColumn="1" w:lastColumn="0" w:noHBand="0" w:noVBand="1"/>
      </w:tblPr>
      <w:tblGrid>
        <w:gridCol w:w="2392"/>
        <w:gridCol w:w="1337"/>
        <w:gridCol w:w="1337"/>
        <w:gridCol w:w="1337"/>
        <w:gridCol w:w="1337"/>
      </w:tblGrid>
      <w:tr w:rsidR="000D58D0" w:rsidRPr="003323E0" w14:paraId="4DC64AE9" w14:textId="77777777" w:rsidTr="009044F3">
        <w:trPr>
          <w:trHeight w:val="588"/>
          <w:tblHeader/>
          <w:jc w:val="center"/>
        </w:trPr>
        <w:tc>
          <w:tcPr>
            <w:tcW w:w="2392" w:type="dxa"/>
            <w:tcBorders>
              <w:top w:val="nil"/>
              <w:left w:val="nil"/>
              <w:bottom w:val="nil"/>
              <w:right w:val="nil"/>
            </w:tcBorders>
            <w:shd w:val="clear" w:color="000000" w:fill="FFFFFF"/>
            <w:vAlign w:val="bottom"/>
          </w:tcPr>
          <w:p w14:paraId="3738E486" w14:textId="77777777" w:rsidR="000D58D0" w:rsidRPr="003323E0" w:rsidRDefault="000D58D0" w:rsidP="007B5BB3">
            <w:pPr>
              <w:rPr>
                <w:rFonts w:ascii="Calibri" w:eastAsia="Times New Roman" w:hAnsi="Calibri" w:cs="Calibri"/>
                <w:b/>
                <w:bCs/>
                <w:color w:val="0D0D0D"/>
              </w:rPr>
            </w:pPr>
          </w:p>
        </w:tc>
        <w:tc>
          <w:tcPr>
            <w:tcW w:w="1337" w:type="dxa"/>
            <w:tcBorders>
              <w:top w:val="nil"/>
              <w:left w:val="nil"/>
              <w:bottom w:val="single" w:sz="12" w:space="0" w:color="00688D"/>
              <w:right w:val="nil"/>
            </w:tcBorders>
            <w:shd w:val="clear" w:color="000000" w:fill="FFFFFF"/>
            <w:noWrap/>
            <w:vAlign w:val="bottom"/>
          </w:tcPr>
          <w:p w14:paraId="2AD7D1AE" w14:textId="44E6E212" w:rsidR="000D58D0" w:rsidRPr="009044F3" w:rsidRDefault="000D58D0" w:rsidP="000D58D0">
            <w:pPr>
              <w:jc w:val="right"/>
              <w:rPr>
                <w:rFonts w:ascii="Calibri" w:eastAsia="Times New Roman" w:hAnsi="Calibri" w:cs="Calibri"/>
                <w:color w:val="0D0D0D"/>
              </w:rPr>
            </w:pPr>
            <w:r>
              <w:rPr>
                <w:rFonts w:ascii="Calibri" w:eastAsia="Times New Roman" w:hAnsi="Calibri" w:cs="Calibri"/>
                <w:b/>
                <w:bCs/>
                <w:color w:val="0D0D0D"/>
              </w:rPr>
              <w:t>Bonds</w:t>
            </w:r>
          </w:p>
        </w:tc>
        <w:tc>
          <w:tcPr>
            <w:tcW w:w="1337" w:type="dxa"/>
            <w:tcBorders>
              <w:top w:val="nil"/>
              <w:left w:val="nil"/>
              <w:bottom w:val="single" w:sz="12" w:space="0" w:color="00688D"/>
              <w:right w:val="nil"/>
            </w:tcBorders>
            <w:shd w:val="clear" w:color="000000" w:fill="FFFFFF"/>
            <w:vAlign w:val="bottom"/>
          </w:tcPr>
          <w:p w14:paraId="1CA3C4D8" w14:textId="1C2C7360" w:rsidR="000D58D0" w:rsidRPr="003323E0" w:rsidRDefault="000D58D0" w:rsidP="009044F3">
            <w:pPr>
              <w:rPr>
                <w:rFonts w:ascii="Calibri" w:eastAsia="Times New Roman" w:hAnsi="Calibri" w:cs="Calibri"/>
                <w:b/>
                <w:bCs/>
                <w:color w:val="0D0D0D"/>
              </w:rPr>
            </w:pPr>
            <w:r>
              <w:rPr>
                <w:rFonts w:ascii="Calibri" w:eastAsia="Times New Roman" w:hAnsi="Calibri" w:cs="Calibri"/>
                <w:b/>
                <w:bCs/>
                <w:color w:val="0D0D0D"/>
              </w:rPr>
              <w:t>Payable</w:t>
            </w:r>
          </w:p>
        </w:tc>
        <w:tc>
          <w:tcPr>
            <w:tcW w:w="1337" w:type="dxa"/>
            <w:tcBorders>
              <w:top w:val="nil"/>
              <w:left w:val="nil"/>
              <w:bottom w:val="single" w:sz="12" w:space="0" w:color="00688D"/>
              <w:right w:val="nil"/>
            </w:tcBorders>
            <w:shd w:val="clear" w:color="000000" w:fill="FFFFFF"/>
            <w:noWrap/>
            <w:vAlign w:val="bottom"/>
          </w:tcPr>
          <w:p w14:paraId="13E0224D" w14:textId="6DBC2586" w:rsidR="000D58D0" w:rsidRPr="009044F3" w:rsidRDefault="000D58D0" w:rsidP="000D58D0">
            <w:pPr>
              <w:jc w:val="right"/>
              <w:rPr>
                <w:rFonts w:ascii="Calibri" w:eastAsia="Times New Roman" w:hAnsi="Calibri" w:cs="Calibri"/>
                <w:color w:val="0D0D0D"/>
              </w:rPr>
            </w:pPr>
            <w:r>
              <w:rPr>
                <w:rFonts w:ascii="Calibri" w:eastAsia="Times New Roman" w:hAnsi="Calibri" w:cs="Calibri"/>
                <w:b/>
                <w:bCs/>
                <w:color w:val="0D0D0D"/>
              </w:rPr>
              <w:t>Direct</w:t>
            </w:r>
          </w:p>
        </w:tc>
        <w:tc>
          <w:tcPr>
            <w:tcW w:w="1337" w:type="dxa"/>
            <w:tcBorders>
              <w:top w:val="nil"/>
              <w:left w:val="nil"/>
              <w:bottom w:val="single" w:sz="12" w:space="0" w:color="00688D"/>
              <w:right w:val="nil"/>
            </w:tcBorders>
            <w:shd w:val="clear" w:color="000000" w:fill="FFFFFF"/>
            <w:vAlign w:val="bottom"/>
          </w:tcPr>
          <w:p w14:paraId="51C355FA" w14:textId="673DB21D" w:rsidR="000D58D0" w:rsidRPr="003323E0" w:rsidRDefault="000D58D0" w:rsidP="009044F3">
            <w:pPr>
              <w:rPr>
                <w:rFonts w:ascii="Calibri" w:eastAsia="Times New Roman" w:hAnsi="Calibri" w:cs="Calibri"/>
                <w:b/>
                <w:bCs/>
                <w:color w:val="0D0D0D"/>
              </w:rPr>
            </w:pPr>
            <w:r>
              <w:rPr>
                <w:rFonts w:ascii="Calibri" w:eastAsia="Times New Roman" w:hAnsi="Calibri" w:cs="Calibri"/>
                <w:b/>
                <w:bCs/>
                <w:color w:val="0D0D0D"/>
              </w:rPr>
              <w:t>Borrowings</w:t>
            </w:r>
          </w:p>
        </w:tc>
      </w:tr>
      <w:tr w:rsidR="00721CFD" w:rsidRPr="003323E0" w14:paraId="4BA525E0" w14:textId="77777777" w:rsidTr="009044F3">
        <w:trPr>
          <w:trHeight w:val="588"/>
          <w:tblHeader/>
          <w:jc w:val="center"/>
        </w:trPr>
        <w:tc>
          <w:tcPr>
            <w:tcW w:w="2392" w:type="dxa"/>
            <w:tcBorders>
              <w:top w:val="nil"/>
              <w:left w:val="nil"/>
              <w:bottom w:val="nil"/>
              <w:right w:val="nil"/>
            </w:tcBorders>
            <w:shd w:val="clear" w:color="000000" w:fill="FFFFFF"/>
            <w:vAlign w:val="bottom"/>
            <w:hideMark/>
          </w:tcPr>
          <w:p w14:paraId="4B34A67C" w14:textId="77777777" w:rsidR="00721CFD" w:rsidRPr="003323E0" w:rsidRDefault="00721CFD" w:rsidP="007B5BB3">
            <w:pPr>
              <w:rPr>
                <w:rFonts w:ascii="Calibri" w:eastAsia="Times New Roman" w:hAnsi="Calibri" w:cs="Calibri"/>
                <w:b/>
                <w:bCs/>
                <w:color w:val="0D0D0D"/>
              </w:rPr>
            </w:pPr>
            <w:r w:rsidRPr="003323E0">
              <w:rPr>
                <w:rFonts w:ascii="Calibri" w:eastAsia="Times New Roman" w:hAnsi="Calibri" w:cs="Calibri"/>
                <w:b/>
                <w:bCs/>
                <w:color w:val="0D0D0D"/>
              </w:rPr>
              <w:t>Year Ending</w:t>
            </w:r>
            <w:r>
              <w:rPr>
                <w:rFonts w:ascii="Calibri" w:eastAsia="Times New Roman" w:hAnsi="Calibri" w:cs="Calibri"/>
                <w:b/>
                <w:bCs/>
                <w:color w:val="0D0D0D"/>
              </w:rPr>
              <w:t xml:space="preserve"> </w:t>
            </w:r>
            <w:r w:rsidRPr="003323E0">
              <w:rPr>
                <w:rFonts w:ascii="Calibri" w:eastAsia="Times New Roman" w:hAnsi="Calibri" w:cs="Calibri"/>
                <w:b/>
                <w:bCs/>
                <w:color w:val="0D0D0D"/>
              </w:rPr>
              <w:t>June 30:</w:t>
            </w:r>
          </w:p>
        </w:tc>
        <w:tc>
          <w:tcPr>
            <w:tcW w:w="1337" w:type="dxa"/>
            <w:tcBorders>
              <w:top w:val="nil"/>
              <w:left w:val="nil"/>
              <w:bottom w:val="single" w:sz="12" w:space="0" w:color="00688D"/>
              <w:right w:val="nil"/>
            </w:tcBorders>
            <w:shd w:val="clear" w:color="000000" w:fill="FFFFFF"/>
            <w:noWrap/>
            <w:vAlign w:val="bottom"/>
            <w:hideMark/>
          </w:tcPr>
          <w:p w14:paraId="3DE3B4B8" w14:textId="77777777" w:rsidR="00721CFD" w:rsidRPr="003323E0" w:rsidRDefault="00721CFD" w:rsidP="007B5BB3">
            <w:pPr>
              <w:jc w:val="center"/>
              <w:rPr>
                <w:rFonts w:ascii="Calibri" w:eastAsia="Times New Roman" w:hAnsi="Calibri" w:cs="Calibri"/>
                <w:b/>
                <w:bCs/>
                <w:color w:val="0D0D0D"/>
              </w:rPr>
            </w:pPr>
            <w:r w:rsidRPr="003323E0">
              <w:rPr>
                <w:rFonts w:ascii="Calibri" w:eastAsia="Times New Roman" w:hAnsi="Calibri" w:cs="Calibri"/>
                <w:b/>
                <w:bCs/>
                <w:color w:val="0D0D0D"/>
              </w:rPr>
              <w:t>Principal</w:t>
            </w:r>
          </w:p>
        </w:tc>
        <w:tc>
          <w:tcPr>
            <w:tcW w:w="1337" w:type="dxa"/>
            <w:tcBorders>
              <w:top w:val="nil"/>
              <w:left w:val="nil"/>
              <w:bottom w:val="single" w:sz="12" w:space="0" w:color="00688D"/>
              <w:right w:val="nil"/>
            </w:tcBorders>
            <w:shd w:val="clear" w:color="auto" w:fill="auto"/>
            <w:noWrap/>
            <w:vAlign w:val="bottom"/>
            <w:hideMark/>
          </w:tcPr>
          <w:p w14:paraId="6398D03B" w14:textId="77777777" w:rsidR="00721CFD" w:rsidRPr="003323E0" w:rsidRDefault="00721CFD" w:rsidP="007B5BB3">
            <w:pPr>
              <w:jc w:val="center"/>
              <w:rPr>
                <w:rFonts w:ascii="Calibri" w:eastAsia="Times New Roman" w:hAnsi="Calibri" w:cs="Calibri"/>
                <w:b/>
                <w:bCs/>
                <w:color w:val="0D0D0D"/>
              </w:rPr>
            </w:pPr>
            <w:r w:rsidRPr="003323E0">
              <w:rPr>
                <w:rFonts w:ascii="Calibri" w:eastAsia="Times New Roman" w:hAnsi="Calibri" w:cs="Calibri"/>
                <w:b/>
                <w:bCs/>
                <w:color w:val="0D0D0D"/>
              </w:rPr>
              <w:t>Interest</w:t>
            </w:r>
          </w:p>
        </w:tc>
        <w:tc>
          <w:tcPr>
            <w:tcW w:w="1337" w:type="dxa"/>
            <w:tcBorders>
              <w:top w:val="nil"/>
              <w:left w:val="nil"/>
              <w:bottom w:val="single" w:sz="12" w:space="0" w:color="00688D"/>
              <w:right w:val="nil"/>
            </w:tcBorders>
            <w:shd w:val="clear" w:color="000000" w:fill="FFFFFF"/>
            <w:noWrap/>
            <w:vAlign w:val="bottom"/>
            <w:hideMark/>
          </w:tcPr>
          <w:p w14:paraId="78795C05" w14:textId="77777777" w:rsidR="00721CFD" w:rsidRPr="003323E0" w:rsidRDefault="00721CFD" w:rsidP="007B5BB3">
            <w:pPr>
              <w:jc w:val="center"/>
              <w:rPr>
                <w:rFonts w:ascii="Calibri" w:eastAsia="Times New Roman" w:hAnsi="Calibri" w:cs="Calibri"/>
                <w:b/>
                <w:bCs/>
                <w:color w:val="0D0D0D"/>
              </w:rPr>
            </w:pPr>
            <w:r>
              <w:rPr>
                <w:rFonts w:ascii="Calibri" w:eastAsia="Times New Roman" w:hAnsi="Calibri" w:cs="Calibri"/>
                <w:b/>
                <w:bCs/>
                <w:color w:val="0D0D0D"/>
              </w:rPr>
              <w:t>Principal</w:t>
            </w:r>
          </w:p>
        </w:tc>
        <w:tc>
          <w:tcPr>
            <w:tcW w:w="1337" w:type="dxa"/>
            <w:tcBorders>
              <w:top w:val="nil"/>
              <w:left w:val="nil"/>
              <w:bottom w:val="single" w:sz="12" w:space="0" w:color="00688D"/>
              <w:right w:val="nil"/>
            </w:tcBorders>
            <w:shd w:val="clear" w:color="000000" w:fill="FFFFFF"/>
            <w:vAlign w:val="bottom"/>
          </w:tcPr>
          <w:p w14:paraId="62CC1DEE" w14:textId="77777777" w:rsidR="00721CFD" w:rsidRPr="003323E0" w:rsidRDefault="00721CFD" w:rsidP="007B5BB3">
            <w:pPr>
              <w:jc w:val="center"/>
              <w:rPr>
                <w:rFonts w:ascii="Calibri" w:eastAsia="Times New Roman" w:hAnsi="Calibri" w:cs="Calibri"/>
                <w:b/>
                <w:bCs/>
                <w:color w:val="0D0D0D"/>
              </w:rPr>
            </w:pPr>
            <w:r>
              <w:rPr>
                <w:rFonts w:ascii="Calibri" w:eastAsia="Times New Roman" w:hAnsi="Calibri" w:cs="Calibri"/>
                <w:b/>
                <w:bCs/>
                <w:color w:val="0D0D0D"/>
              </w:rPr>
              <w:t>Interest</w:t>
            </w:r>
          </w:p>
        </w:tc>
      </w:tr>
      <w:tr w:rsidR="00721CFD" w:rsidRPr="003323E0" w14:paraId="2157176E" w14:textId="77777777" w:rsidTr="009044F3">
        <w:trPr>
          <w:trHeight w:val="300"/>
          <w:jc w:val="center"/>
        </w:trPr>
        <w:tc>
          <w:tcPr>
            <w:tcW w:w="2392" w:type="dxa"/>
            <w:tcBorders>
              <w:top w:val="nil"/>
              <w:left w:val="nil"/>
              <w:bottom w:val="nil"/>
              <w:right w:val="nil"/>
            </w:tcBorders>
            <w:shd w:val="clear" w:color="000000" w:fill="FFFFFF"/>
            <w:noWrap/>
            <w:vAlign w:val="bottom"/>
            <w:hideMark/>
          </w:tcPr>
          <w:p w14:paraId="19AAEA3A"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3</w:t>
            </w:r>
          </w:p>
        </w:tc>
        <w:tc>
          <w:tcPr>
            <w:tcW w:w="1337" w:type="dxa"/>
            <w:tcBorders>
              <w:top w:val="nil"/>
              <w:left w:val="nil"/>
              <w:bottom w:val="nil"/>
              <w:right w:val="nil"/>
            </w:tcBorders>
            <w:shd w:val="clear" w:color="000000" w:fill="FFFFFF"/>
            <w:noWrap/>
            <w:vAlign w:val="bottom"/>
            <w:hideMark/>
          </w:tcPr>
          <w:p w14:paraId="4CE88378" w14:textId="77777777" w:rsidR="00721CFD" w:rsidRPr="00E13594" w:rsidRDefault="00721CFD" w:rsidP="007B5BB3">
            <w:pPr>
              <w:jc w:val="right"/>
              <w:rPr>
                <w:rFonts w:ascii="Calibri" w:eastAsia="Times New Roman" w:hAnsi="Calibri" w:cs="Calibri"/>
                <w:color w:val="FF0000"/>
              </w:rPr>
            </w:pPr>
            <w:r>
              <w:rPr>
                <w:rFonts w:ascii="Calibri" w:hAnsi="Calibri" w:cs="Calibri"/>
              </w:rPr>
              <w:t xml:space="preserve"> $   10,395 </w:t>
            </w:r>
          </w:p>
        </w:tc>
        <w:tc>
          <w:tcPr>
            <w:tcW w:w="1337" w:type="dxa"/>
            <w:tcBorders>
              <w:top w:val="nil"/>
              <w:left w:val="nil"/>
              <w:bottom w:val="nil"/>
              <w:right w:val="nil"/>
            </w:tcBorders>
            <w:shd w:val="clear" w:color="auto" w:fill="auto"/>
            <w:noWrap/>
            <w:vAlign w:val="bottom"/>
            <w:hideMark/>
          </w:tcPr>
          <w:p w14:paraId="0F08689D" w14:textId="77777777" w:rsidR="00721CFD" w:rsidRPr="00E13594" w:rsidRDefault="00721CFD" w:rsidP="007B5BB3">
            <w:pPr>
              <w:jc w:val="right"/>
              <w:rPr>
                <w:rFonts w:ascii="Calibri" w:eastAsia="Times New Roman" w:hAnsi="Calibri" w:cs="Calibri"/>
                <w:color w:val="FF0000"/>
              </w:rPr>
            </w:pPr>
            <w:r>
              <w:rPr>
                <w:rFonts w:ascii="Calibri" w:hAnsi="Calibri" w:cs="Calibri"/>
              </w:rPr>
              <w:t xml:space="preserve"> $    4,145 </w:t>
            </w:r>
          </w:p>
        </w:tc>
        <w:tc>
          <w:tcPr>
            <w:tcW w:w="1337" w:type="dxa"/>
            <w:tcBorders>
              <w:top w:val="nil"/>
              <w:left w:val="nil"/>
              <w:bottom w:val="nil"/>
              <w:right w:val="nil"/>
            </w:tcBorders>
            <w:shd w:val="clear" w:color="000000" w:fill="FFFFFF"/>
            <w:noWrap/>
            <w:vAlign w:val="bottom"/>
            <w:hideMark/>
          </w:tcPr>
          <w:p w14:paraId="50A21697" w14:textId="77777777" w:rsidR="00721CFD" w:rsidRPr="00E13594" w:rsidRDefault="00721CFD" w:rsidP="007B5BB3">
            <w:pPr>
              <w:jc w:val="right"/>
              <w:rPr>
                <w:rFonts w:ascii="Calibri" w:eastAsia="Times New Roman" w:hAnsi="Calibri" w:cs="Calibri"/>
                <w:color w:val="FF0000"/>
              </w:rPr>
            </w:pPr>
            <w:r>
              <w:rPr>
                <w:rFonts w:ascii="Calibri" w:hAnsi="Calibri" w:cs="Calibri"/>
              </w:rPr>
              <w:t xml:space="preserve"> $   44,282 </w:t>
            </w:r>
          </w:p>
        </w:tc>
        <w:tc>
          <w:tcPr>
            <w:tcW w:w="1337" w:type="dxa"/>
            <w:tcBorders>
              <w:top w:val="nil"/>
              <w:left w:val="nil"/>
              <w:bottom w:val="nil"/>
              <w:right w:val="nil"/>
            </w:tcBorders>
            <w:shd w:val="clear" w:color="000000" w:fill="FFFFFF"/>
            <w:vAlign w:val="bottom"/>
          </w:tcPr>
          <w:p w14:paraId="75498A99" w14:textId="77777777" w:rsidR="00721CFD" w:rsidRPr="00E13594" w:rsidRDefault="00721CFD" w:rsidP="007B5BB3">
            <w:pPr>
              <w:jc w:val="right"/>
              <w:rPr>
                <w:rFonts w:ascii="Calibri" w:eastAsia="Times New Roman" w:hAnsi="Calibri" w:cs="Calibri"/>
                <w:color w:val="FF0000"/>
              </w:rPr>
            </w:pPr>
            <w:r>
              <w:rPr>
                <w:rFonts w:ascii="Calibri" w:hAnsi="Calibri" w:cs="Calibri"/>
              </w:rPr>
              <w:t xml:space="preserve"> $          86 </w:t>
            </w:r>
          </w:p>
        </w:tc>
      </w:tr>
      <w:tr w:rsidR="00721CFD" w:rsidRPr="003323E0" w14:paraId="4A851F6D" w14:textId="77777777" w:rsidTr="009044F3">
        <w:trPr>
          <w:trHeight w:val="288"/>
          <w:jc w:val="center"/>
        </w:trPr>
        <w:tc>
          <w:tcPr>
            <w:tcW w:w="2392" w:type="dxa"/>
            <w:tcBorders>
              <w:top w:val="nil"/>
              <w:left w:val="nil"/>
              <w:bottom w:val="nil"/>
              <w:right w:val="nil"/>
            </w:tcBorders>
            <w:shd w:val="clear" w:color="000000" w:fill="FFFFFF"/>
            <w:noWrap/>
            <w:vAlign w:val="bottom"/>
            <w:hideMark/>
          </w:tcPr>
          <w:p w14:paraId="252A9694"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4</w:t>
            </w:r>
          </w:p>
        </w:tc>
        <w:tc>
          <w:tcPr>
            <w:tcW w:w="1337" w:type="dxa"/>
            <w:tcBorders>
              <w:top w:val="nil"/>
              <w:left w:val="nil"/>
              <w:bottom w:val="nil"/>
              <w:right w:val="nil"/>
            </w:tcBorders>
            <w:shd w:val="clear" w:color="000000" w:fill="FFFFFF"/>
            <w:noWrap/>
            <w:vAlign w:val="bottom"/>
            <w:hideMark/>
          </w:tcPr>
          <w:p w14:paraId="6DDF6768" w14:textId="67F98D8F" w:rsidR="00721CFD" w:rsidRPr="00E13594" w:rsidRDefault="00721CFD" w:rsidP="007B5BB3">
            <w:pPr>
              <w:jc w:val="right"/>
              <w:rPr>
                <w:rFonts w:ascii="Calibri" w:eastAsia="Times New Roman" w:hAnsi="Calibri" w:cs="Calibri"/>
                <w:color w:val="FF0000"/>
              </w:rPr>
            </w:pPr>
            <w:r>
              <w:rPr>
                <w:rFonts w:ascii="Calibri" w:hAnsi="Calibri" w:cs="Calibri"/>
              </w:rPr>
              <w:t xml:space="preserve">10,880 </w:t>
            </w:r>
          </w:p>
        </w:tc>
        <w:tc>
          <w:tcPr>
            <w:tcW w:w="1337" w:type="dxa"/>
            <w:tcBorders>
              <w:top w:val="nil"/>
              <w:left w:val="nil"/>
              <w:bottom w:val="nil"/>
              <w:right w:val="nil"/>
            </w:tcBorders>
            <w:shd w:val="clear" w:color="auto" w:fill="auto"/>
            <w:noWrap/>
            <w:vAlign w:val="bottom"/>
            <w:hideMark/>
          </w:tcPr>
          <w:p w14:paraId="2E8EF11A" w14:textId="19A09867" w:rsidR="00721CFD" w:rsidRPr="00E13594" w:rsidRDefault="00721CFD" w:rsidP="007B5BB3">
            <w:pPr>
              <w:jc w:val="right"/>
              <w:rPr>
                <w:rFonts w:ascii="Calibri" w:eastAsia="Times New Roman" w:hAnsi="Calibri" w:cs="Calibri"/>
                <w:color w:val="FF0000"/>
              </w:rPr>
            </w:pPr>
            <w:r>
              <w:rPr>
                <w:rFonts w:ascii="Calibri" w:hAnsi="Calibri" w:cs="Calibri"/>
              </w:rPr>
              <w:t xml:space="preserve">3,647 </w:t>
            </w:r>
          </w:p>
        </w:tc>
        <w:tc>
          <w:tcPr>
            <w:tcW w:w="1337" w:type="dxa"/>
            <w:tcBorders>
              <w:top w:val="nil"/>
              <w:left w:val="nil"/>
              <w:bottom w:val="nil"/>
              <w:right w:val="nil"/>
            </w:tcBorders>
            <w:shd w:val="clear" w:color="000000" w:fill="FFFFFF"/>
            <w:noWrap/>
            <w:vAlign w:val="bottom"/>
            <w:hideMark/>
          </w:tcPr>
          <w:p w14:paraId="3CC430B6" w14:textId="170A0017" w:rsidR="00721CFD" w:rsidRPr="00E13594" w:rsidRDefault="00721CFD" w:rsidP="007B5BB3">
            <w:pPr>
              <w:jc w:val="right"/>
              <w:rPr>
                <w:rFonts w:ascii="Calibri" w:eastAsia="Times New Roman" w:hAnsi="Calibri" w:cs="Calibri"/>
                <w:color w:val="FF0000"/>
              </w:rPr>
            </w:pPr>
            <w:r>
              <w:rPr>
                <w:rFonts w:ascii="Calibri" w:hAnsi="Calibri" w:cs="Calibri"/>
              </w:rPr>
              <w:t xml:space="preserve">1,020 </w:t>
            </w:r>
          </w:p>
        </w:tc>
        <w:tc>
          <w:tcPr>
            <w:tcW w:w="1337" w:type="dxa"/>
            <w:tcBorders>
              <w:top w:val="nil"/>
              <w:left w:val="nil"/>
              <w:bottom w:val="nil"/>
              <w:right w:val="nil"/>
            </w:tcBorders>
            <w:shd w:val="clear" w:color="000000" w:fill="FFFFFF"/>
            <w:vAlign w:val="bottom"/>
          </w:tcPr>
          <w:p w14:paraId="4D8D8DC8" w14:textId="6B357147" w:rsidR="00721CFD" w:rsidRPr="00E13594" w:rsidRDefault="00721CFD" w:rsidP="007B5BB3">
            <w:pPr>
              <w:jc w:val="right"/>
              <w:rPr>
                <w:color w:val="FF0000"/>
              </w:rPr>
            </w:pPr>
            <w:r>
              <w:rPr>
                <w:rFonts w:ascii="Calibri" w:hAnsi="Calibri" w:cs="Calibri"/>
              </w:rPr>
              <w:t xml:space="preserve">40 </w:t>
            </w:r>
          </w:p>
        </w:tc>
      </w:tr>
      <w:tr w:rsidR="00721CFD" w:rsidRPr="003323E0" w14:paraId="1FFF5103" w14:textId="77777777" w:rsidTr="009044F3">
        <w:trPr>
          <w:trHeight w:val="288"/>
          <w:jc w:val="center"/>
        </w:trPr>
        <w:tc>
          <w:tcPr>
            <w:tcW w:w="2392" w:type="dxa"/>
            <w:tcBorders>
              <w:top w:val="nil"/>
              <w:left w:val="nil"/>
              <w:bottom w:val="nil"/>
              <w:right w:val="nil"/>
            </w:tcBorders>
            <w:shd w:val="clear" w:color="000000" w:fill="FFFFFF"/>
            <w:noWrap/>
            <w:vAlign w:val="bottom"/>
            <w:hideMark/>
          </w:tcPr>
          <w:p w14:paraId="70137668"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5</w:t>
            </w:r>
          </w:p>
        </w:tc>
        <w:tc>
          <w:tcPr>
            <w:tcW w:w="1337" w:type="dxa"/>
            <w:tcBorders>
              <w:top w:val="nil"/>
              <w:left w:val="nil"/>
              <w:bottom w:val="nil"/>
              <w:right w:val="nil"/>
            </w:tcBorders>
            <w:shd w:val="clear" w:color="000000" w:fill="FFFFFF"/>
            <w:noWrap/>
            <w:vAlign w:val="bottom"/>
            <w:hideMark/>
          </w:tcPr>
          <w:p w14:paraId="35B25D82" w14:textId="6BB89EE8" w:rsidR="00721CFD" w:rsidRPr="00E13594" w:rsidRDefault="00721CFD" w:rsidP="007B5BB3">
            <w:pPr>
              <w:jc w:val="right"/>
              <w:rPr>
                <w:rFonts w:ascii="Calibri" w:eastAsia="Times New Roman" w:hAnsi="Calibri" w:cs="Calibri"/>
                <w:color w:val="FF0000"/>
              </w:rPr>
            </w:pPr>
            <w:r>
              <w:rPr>
                <w:rFonts w:ascii="Calibri" w:hAnsi="Calibri" w:cs="Calibri"/>
              </w:rPr>
              <w:t xml:space="preserve">9,560 </w:t>
            </w:r>
          </w:p>
        </w:tc>
        <w:tc>
          <w:tcPr>
            <w:tcW w:w="1337" w:type="dxa"/>
            <w:tcBorders>
              <w:top w:val="nil"/>
              <w:left w:val="nil"/>
              <w:bottom w:val="nil"/>
              <w:right w:val="nil"/>
            </w:tcBorders>
            <w:shd w:val="clear" w:color="auto" w:fill="auto"/>
            <w:noWrap/>
            <w:vAlign w:val="bottom"/>
            <w:hideMark/>
          </w:tcPr>
          <w:p w14:paraId="16BA0318" w14:textId="41037A10" w:rsidR="00721CFD" w:rsidRPr="00E13594" w:rsidRDefault="00721CFD" w:rsidP="007B5BB3">
            <w:pPr>
              <w:jc w:val="right"/>
              <w:rPr>
                <w:rFonts w:ascii="Calibri" w:eastAsia="Times New Roman" w:hAnsi="Calibri" w:cs="Calibri"/>
                <w:color w:val="FF0000"/>
              </w:rPr>
            </w:pPr>
            <w:r>
              <w:rPr>
                <w:rFonts w:ascii="Calibri" w:hAnsi="Calibri" w:cs="Calibri"/>
              </w:rPr>
              <w:t xml:space="preserve">3,134 </w:t>
            </w:r>
          </w:p>
        </w:tc>
        <w:tc>
          <w:tcPr>
            <w:tcW w:w="1337" w:type="dxa"/>
            <w:tcBorders>
              <w:top w:val="nil"/>
              <w:left w:val="nil"/>
              <w:bottom w:val="nil"/>
              <w:right w:val="nil"/>
            </w:tcBorders>
            <w:shd w:val="clear" w:color="000000" w:fill="FFFFFF"/>
            <w:noWrap/>
            <w:vAlign w:val="bottom"/>
            <w:hideMark/>
          </w:tcPr>
          <w:p w14:paraId="79157267" w14:textId="75B238DC" w:rsidR="00721CFD" w:rsidRPr="00E13594" w:rsidRDefault="00721CFD" w:rsidP="007B5BB3">
            <w:pPr>
              <w:jc w:val="right"/>
              <w:rPr>
                <w:rFonts w:ascii="Calibri" w:eastAsia="Times New Roman" w:hAnsi="Calibri" w:cs="Calibri"/>
                <w:color w:val="FF0000"/>
              </w:rPr>
            </w:pPr>
            <w:r>
              <w:rPr>
                <w:rFonts w:ascii="Calibri" w:hAnsi="Calibri" w:cs="Calibri"/>
              </w:rPr>
              <w:t xml:space="preserve">454 </w:t>
            </w:r>
          </w:p>
        </w:tc>
        <w:tc>
          <w:tcPr>
            <w:tcW w:w="1337" w:type="dxa"/>
            <w:tcBorders>
              <w:top w:val="nil"/>
              <w:left w:val="nil"/>
              <w:bottom w:val="nil"/>
              <w:right w:val="nil"/>
            </w:tcBorders>
            <w:shd w:val="clear" w:color="000000" w:fill="FFFFFF"/>
            <w:vAlign w:val="bottom"/>
          </w:tcPr>
          <w:p w14:paraId="46D2CC95" w14:textId="7C479558" w:rsidR="00721CFD" w:rsidRPr="00E13594" w:rsidRDefault="00721CFD" w:rsidP="007B5BB3">
            <w:pPr>
              <w:jc w:val="right"/>
              <w:rPr>
                <w:color w:val="FF0000"/>
              </w:rPr>
            </w:pPr>
            <w:r>
              <w:rPr>
                <w:rFonts w:ascii="Calibri" w:hAnsi="Calibri" w:cs="Calibri"/>
              </w:rPr>
              <w:t xml:space="preserve">20 </w:t>
            </w:r>
          </w:p>
        </w:tc>
      </w:tr>
      <w:tr w:rsidR="00721CFD" w:rsidRPr="003323E0" w14:paraId="53DE23C4" w14:textId="77777777" w:rsidTr="009044F3">
        <w:trPr>
          <w:trHeight w:val="288"/>
          <w:jc w:val="center"/>
        </w:trPr>
        <w:tc>
          <w:tcPr>
            <w:tcW w:w="2392" w:type="dxa"/>
            <w:tcBorders>
              <w:top w:val="nil"/>
              <w:left w:val="nil"/>
              <w:bottom w:val="nil"/>
              <w:right w:val="nil"/>
            </w:tcBorders>
            <w:shd w:val="clear" w:color="000000" w:fill="FFFFFF"/>
            <w:noWrap/>
            <w:vAlign w:val="bottom"/>
            <w:hideMark/>
          </w:tcPr>
          <w:p w14:paraId="20D3B49C"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6</w:t>
            </w:r>
          </w:p>
        </w:tc>
        <w:tc>
          <w:tcPr>
            <w:tcW w:w="1337" w:type="dxa"/>
            <w:tcBorders>
              <w:top w:val="nil"/>
              <w:left w:val="nil"/>
              <w:bottom w:val="nil"/>
              <w:right w:val="nil"/>
            </w:tcBorders>
            <w:shd w:val="clear" w:color="000000" w:fill="FFFFFF"/>
            <w:noWrap/>
            <w:vAlign w:val="bottom"/>
            <w:hideMark/>
          </w:tcPr>
          <w:p w14:paraId="74C49A50" w14:textId="24B52311" w:rsidR="00721CFD" w:rsidRPr="00E13594" w:rsidRDefault="00721CFD" w:rsidP="007B5BB3">
            <w:pPr>
              <w:jc w:val="right"/>
              <w:rPr>
                <w:rFonts w:ascii="Calibri" w:eastAsia="Times New Roman" w:hAnsi="Calibri" w:cs="Calibri"/>
                <w:color w:val="FF0000"/>
              </w:rPr>
            </w:pPr>
            <w:r>
              <w:rPr>
                <w:rFonts w:ascii="Calibri" w:hAnsi="Calibri" w:cs="Calibri"/>
              </w:rPr>
              <w:t xml:space="preserve">10,015 </w:t>
            </w:r>
          </w:p>
        </w:tc>
        <w:tc>
          <w:tcPr>
            <w:tcW w:w="1337" w:type="dxa"/>
            <w:tcBorders>
              <w:top w:val="nil"/>
              <w:left w:val="nil"/>
              <w:bottom w:val="nil"/>
              <w:right w:val="nil"/>
            </w:tcBorders>
            <w:shd w:val="clear" w:color="auto" w:fill="auto"/>
            <w:noWrap/>
            <w:vAlign w:val="bottom"/>
            <w:hideMark/>
          </w:tcPr>
          <w:p w14:paraId="3560E081" w14:textId="3D6E9F10" w:rsidR="00721CFD" w:rsidRPr="00E13594" w:rsidRDefault="00721CFD" w:rsidP="007B5BB3">
            <w:pPr>
              <w:jc w:val="right"/>
              <w:rPr>
                <w:rFonts w:ascii="Calibri" w:eastAsia="Times New Roman" w:hAnsi="Calibri" w:cs="Calibri"/>
                <w:color w:val="FF0000"/>
              </w:rPr>
            </w:pPr>
            <w:r>
              <w:rPr>
                <w:rFonts w:ascii="Calibri" w:hAnsi="Calibri" w:cs="Calibri"/>
              </w:rPr>
              <w:t xml:space="preserve">2,687 </w:t>
            </w:r>
          </w:p>
        </w:tc>
        <w:tc>
          <w:tcPr>
            <w:tcW w:w="1337" w:type="dxa"/>
            <w:tcBorders>
              <w:top w:val="nil"/>
              <w:left w:val="nil"/>
              <w:bottom w:val="nil"/>
              <w:right w:val="nil"/>
            </w:tcBorders>
            <w:shd w:val="clear" w:color="000000" w:fill="FFFFFF"/>
            <w:noWrap/>
            <w:vAlign w:val="bottom"/>
            <w:hideMark/>
          </w:tcPr>
          <w:p w14:paraId="60918F00" w14:textId="513C4D34" w:rsidR="00721CFD" w:rsidRPr="00E13594" w:rsidRDefault="00721CFD" w:rsidP="007B5BB3">
            <w:pPr>
              <w:jc w:val="right"/>
              <w:rPr>
                <w:rFonts w:ascii="Calibri" w:eastAsia="Times New Roman" w:hAnsi="Calibri" w:cs="Calibri"/>
                <w:color w:val="FF0000"/>
              </w:rPr>
            </w:pPr>
            <w:r>
              <w:rPr>
                <w:rFonts w:ascii="Calibri" w:hAnsi="Calibri" w:cs="Calibri"/>
              </w:rPr>
              <w:t xml:space="preserve">276 </w:t>
            </w:r>
          </w:p>
        </w:tc>
        <w:tc>
          <w:tcPr>
            <w:tcW w:w="1337" w:type="dxa"/>
            <w:tcBorders>
              <w:top w:val="nil"/>
              <w:left w:val="nil"/>
              <w:bottom w:val="nil"/>
              <w:right w:val="nil"/>
            </w:tcBorders>
            <w:shd w:val="clear" w:color="000000" w:fill="FFFFFF"/>
            <w:vAlign w:val="bottom"/>
          </w:tcPr>
          <w:p w14:paraId="4B27E08B" w14:textId="6139482E" w:rsidR="00721CFD" w:rsidRPr="00E13594" w:rsidRDefault="00721CFD" w:rsidP="007B5BB3">
            <w:pPr>
              <w:jc w:val="right"/>
              <w:rPr>
                <w:color w:val="FF0000"/>
              </w:rPr>
            </w:pPr>
            <w:r>
              <w:rPr>
                <w:rFonts w:ascii="Calibri" w:hAnsi="Calibri" w:cs="Calibri"/>
              </w:rPr>
              <w:t xml:space="preserve">13 </w:t>
            </w:r>
          </w:p>
        </w:tc>
      </w:tr>
      <w:tr w:rsidR="00721CFD" w:rsidRPr="003323E0" w14:paraId="4407DAB1" w14:textId="77777777" w:rsidTr="009044F3">
        <w:trPr>
          <w:trHeight w:val="288"/>
          <w:jc w:val="center"/>
        </w:trPr>
        <w:tc>
          <w:tcPr>
            <w:tcW w:w="2392" w:type="dxa"/>
            <w:tcBorders>
              <w:top w:val="nil"/>
              <w:left w:val="nil"/>
              <w:bottom w:val="nil"/>
              <w:right w:val="nil"/>
            </w:tcBorders>
            <w:shd w:val="clear" w:color="000000" w:fill="FFFFFF"/>
            <w:noWrap/>
            <w:vAlign w:val="bottom"/>
            <w:hideMark/>
          </w:tcPr>
          <w:p w14:paraId="0C0EE5EE"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7</w:t>
            </w:r>
          </w:p>
        </w:tc>
        <w:tc>
          <w:tcPr>
            <w:tcW w:w="1337" w:type="dxa"/>
            <w:tcBorders>
              <w:top w:val="nil"/>
              <w:left w:val="nil"/>
              <w:bottom w:val="nil"/>
              <w:right w:val="nil"/>
            </w:tcBorders>
            <w:shd w:val="clear" w:color="000000" w:fill="FFFFFF"/>
            <w:noWrap/>
            <w:vAlign w:val="bottom"/>
            <w:hideMark/>
          </w:tcPr>
          <w:p w14:paraId="32979921" w14:textId="540F1585" w:rsidR="00721CFD" w:rsidRPr="00E13594" w:rsidRDefault="00721CFD" w:rsidP="007B5BB3">
            <w:pPr>
              <w:jc w:val="right"/>
              <w:rPr>
                <w:rFonts w:ascii="Calibri" w:eastAsia="Times New Roman" w:hAnsi="Calibri" w:cs="Calibri"/>
                <w:color w:val="FF0000"/>
              </w:rPr>
            </w:pPr>
            <w:r>
              <w:rPr>
                <w:rFonts w:ascii="Calibri" w:hAnsi="Calibri" w:cs="Calibri"/>
              </w:rPr>
              <w:t xml:space="preserve">7,980 </w:t>
            </w:r>
          </w:p>
        </w:tc>
        <w:tc>
          <w:tcPr>
            <w:tcW w:w="1337" w:type="dxa"/>
            <w:tcBorders>
              <w:top w:val="nil"/>
              <w:left w:val="nil"/>
              <w:bottom w:val="nil"/>
              <w:right w:val="nil"/>
            </w:tcBorders>
            <w:shd w:val="clear" w:color="auto" w:fill="auto"/>
            <w:noWrap/>
            <w:vAlign w:val="bottom"/>
            <w:hideMark/>
          </w:tcPr>
          <w:p w14:paraId="7CDA4D45" w14:textId="57D90E30" w:rsidR="00721CFD" w:rsidRPr="00E13594" w:rsidRDefault="00721CFD" w:rsidP="007B5BB3">
            <w:pPr>
              <w:jc w:val="right"/>
              <w:rPr>
                <w:rFonts w:ascii="Calibri" w:eastAsia="Times New Roman" w:hAnsi="Calibri" w:cs="Calibri"/>
                <w:color w:val="FF0000"/>
              </w:rPr>
            </w:pPr>
            <w:r>
              <w:rPr>
                <w:rFonts w:ascii="Calibri" w:hAnsi="Calibri" w:cs="Calibri"/>
              </w:rPr>
              <w:t xml:space="preserve">2,233 </w:t>
            </w:r>
          </w:p>
        </w:tc>
        <w:tc>
          <w:tcPr>
            <w:tcW w:w="1337" w:type="dxa"/>
            <w:tcBorders>
              <w:top w:val="nil"/>
              <w:left w:val="nil"/>
              <w:bottom w:val="nil"/>
              <w:right w:val="nil"/>
            </w:tcBorders>
            <w:shd w:val="clear" w:color="000000" w:fill="FFFFFF"/>
            <w:noWrap/>
            <w:vAlign w:val="bottom"/>
            <w:hideMark/>
          </w:tcPr>
          <w:p w14:paraId="5DD33871" w14:textId="116A9258" w:rsidR="00721CFD" w:rsidRPr="00E13594" w:rsidRDefault="00721CFD" w:rsidP="007B5BB3">
            <w:pPr>
              <w:jc w:val="right"/>
              <w:rPr>
                <w:rFonts w:ascii="Calibri" w:eastAsia="Times New Roman" w:hAnsi="Calibri" w:cs="Calibri"/>
                <w:color w:val="FF0000"/>
              </w:rPr>
            </w:pPr>
            <w:r>
              <w:rPr>
                <w:rFonts w:ascii="Calibri" w:hAnsi="Calibri" w:cs="Calibri"/>
              </w:rPr>
              <w:t xml:space="preserve">52 </w:t>
            </w:r>
          </w:p>
        </w:tc>
        <w:tc>
          <w:tcPr>
            <w:tcW w:w="1337" w:type="dxa"/>
            <w:tcBorders>
              <w:top w:val="nil"/>
              <w:left w:val="nil"/>
              <w:bottom w:val="nil"/>
              <w:right w:val="nil"/>
            </w:tcBorders>
            <w:shd w:val="clear" w:color="000000" w:fill="FFFFFF"/>
            <w:vAlign w:val="bottom"/>
          </w:tcPr>
          <w:p w14:paraId="0B2921F1" w14:textId="6D92E63F" w:rsidR="00721CFD" w:rsidRPr="00E13594" w:rsidRDefault="00721CFD" w:rsidP="007B5BB3">
            <w:pPr>
              <w:jc w:val="right"/>
              <w:rPr>
                <w:color w:val="FF0000"/>
              </w:rPr>
            </w:pPr>
            <w:r>
              <w:rPr>
                <w:rFonts w:ascii="Calibri" w:hAnsi="Calibri" w:cs="Calibri"/>
              </w:rPr>
              <w:t xml:space="preserve">10 </w:t>
            </w:r>
          </w:p>
        </w:tc>
      </w:tr>
      <w:tr w:rsidR="00721CFD" w:rsidRPr="003323E0" w14:paraId="0CEA5171" w14:textId="77777777" w:rsidTr="009044F3">
        <w:trPr>
          <w:trHeight w:val="288"/>
          <w:jc w:val="center"/>
        </w:trPr>
        <w:tc>
          <w:tcPr>
            <w:tcW w:w="2392" w:type="dxa"/>
            <w:tcBorders>
              <w:top w:val="nil"/>
              <w:left w:val="nil"/>
              <w:bottom w:val="nil"/>
              <w:right w:val="nil"/>
            </w:tcBorders>
            <w:shd w:val="clear" w:color="000000" w:fill="FFFFFF"/>
            <w:noWrap/>
            <w:vAlign w:val="bottom"/>
            <w:hideMark/>
          </w:tcPr>
          <w:p w14:paraId="7C5D7E5B"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202</w:t>
            </w:r>
            <w:r>
              <w:rPr>
                <w:rFonts w:ascii="Calibri" w:eastAsia="Times New Roman" w:hAnsi="Calibri" w:cs="Calibri"/>
                <w:color w:val="0D0D0D"/>
              </w:rPr>
              <w:t>8</w:t>
            </w:r>
            <w:r w:rsidRPr="003323E0">
              <w:rPr>
                <w:rFonts w:ascii="Calibri" w:eastAsia="Times New Roman" w:hAnsi="Calibri" w:cs="Calibri"/>
                <w:color w:val="0D0D0D"/>
              </w:rPr>
              <w:t>-203</w:t>
            </w:r>
            <w:r>
              <w:rPr>
                <w:rFonts w:ascii="Calibri" w:eastAsia="Times New Roman" w:hAnsi="Calibri" w:cs="Calibri"/>
                <w:color w:val="0D0D0D"/>
              </w:rPr>
              <w:t>2</w:t>
            </w:r>
          </w:p>
        </w:tc>
        <w:tc>
          <w:tcPr>
            <w:tcW w:w="1337" w:type="dxa"/>
            <w:tcBorders>
              <w:top w:val="nil"/>
              <w:left w:val="nil"/>
              <w:bottom w:val="nil"/>
              <w:right w:val="nil"/>
            </w:tcBorders>
            <w:shd w:val="clear" w:color="000000" w:fill="FFFFFF"/>
            <w:noWrap/>
            <w:vAlign w:val="bottom"/>
            <w:hideMark/>
          </w:tcPr>
          <w:p w14:paraId="29C562E5" w14:textId="61B9810E" w:rsidR="00721CFD" w:rsidRPr="00E13594" w:rsidRDefault="00721CFD" w:rsidP="007B5BB3">
            <w:pPr>
              <w:jc w:val="right"/>
              <w:rPr>
                <w:rFonts w:ascii="Calibri" w:eastAsia="Times New Roman" w:hAnsi="Calibri" w:cs="Calibri"/>
                <w:color w:val="FF0000"/>
              </w:rPr>
            </w:pPr>
            <w:r>
              <w:rPr>
                <w:rFonts w:ascii="Calibri" w:hAnsi="Calibri" w:cs="Calibri"/>
              </w:rPr>
              <w:t xml:space="preserve">39,430 </w:t>
            </w:r>
          </w:p>
        </w:tc>
        <w:tc>
          <w:tcPr>
            <w:tcW w:w="1337" w:type="dxa"/>
            <w:tcBorders>
              <w:top w:val="nil"/>
              <w:left w:val="nil"/>
              <w:bottom w:val="nil"/>
              <w:right w:val="nil"/>
            </w:tcBorders>
            <w:shd w:val="clear" w:color="auto" w:fill="auto"/>
            <w:noWrap/>
            <w:vAlign w:val="bottom"/>
            <w:hideMark/>
          </w:tcPr>
          <w:p w14:paraId="146FAC28" w14:textId="3D023E6D" w:rsidR="00721CFD" w:rsidRPr="00E13594" w:rsidRDefault="00721CFD" w:rsidP="007B5BB3">
            <w:pPr>
              <w:jc w:val="right"/>
              <w:rPr>
                <w:rFonts w:ascii="Calibri" w:eastAsia="Times New Roman" w:hAnsi="Calibri" w:cs="Calibri"/>
                <w:color w:val="FF0000"/>
              </w:rPr>
            </w:pPr>
            <w:r>
              <w:rPr>
                <w:rFonts w:ascii="Calibri" w:hAnsi="Calibri" w:cs="Calibri"/>
              </w:rPr>
              <w:t xml:space="preserve">6,602 </w:t>
            </w:r>
          </w:p>
        </w:tc>
        <w:tc>
          <w:tcPr>
            <w:tcW w:w="1337" w:type="dxa"/>
            <w:tcBorders>
              <w:top w:val="nil"/>
              <w:left w:val="nil"/>
              <w:bottom w:val="nil"/>
              <w:right w:val="nil"/>
            </w:tcBorders>
            <w:shd w:val="clear" w:color="000000" w:fill="FFFFFF"/>
            <w:noWrap/>
            <w:vAlign w:val="bottom"/>
            <w:hideMark/>
          </w:tcPr>
          <w:p w14:paraId="1B2C4084" w14:textId="14B39452" w:rsidR="00721CFD" w:rsidRPr="00E13594" w:rsidRDefault="00721CFD" w:rsidP="007B5BB3">
            <w:pPr>
              <w:jc w:val="right"/>
              <w:rPr>
                <w:rFonts w:ascii="Calibri" w:eastAsia="Times New Roman" w:hAnsi="Calibri" w:cs="Calibri"/>
                <w:color w:val="FF0000"/>
              </w:rPr>
            </w:pPr>
            <w:r>
              <w:rPr>
                <w:rFonts w:ascii="Calibri" w:hAnsi="Calibri" w:cs="Calibri"/>
              </w:rPr>
              <w:t xml:space="preserve">231 </w:t>
            </w:r>
          </w:p>
        </w:tc>
        <w:tc>
          <w:tcPr>
            <w:tcW w:w="1337" w:type="dxa"/>
            <w:tcBorders>
              <w:top w:val="nil"/>
              <w:left w:val="nil"/>
              <w:bottom w:val="nil"/>
              <w:right w:val="nil"/>
            </w:tcBorders>
            <w:shd w:val="clear" w:color="000000" w:fill="FFFFFF"/>
            <w:vAlign w:val="bottom"/>
          </w:tcPr>
          <w:p w14:paraId="0BB3D475" w14:textId="3798016A" w:rsidR="00721CFD" w:rsidRPr="00E13594" w:rsidRDefault="00721CFD" w:rsidP="007B5BB3">
            <w:pPr>
              <w:jc w:val="right"/>
              <w:rPr>
                <w:color w:val="FF0000"/>
              </w:rPr>
            </w:pPr>
            <w:r>
              <w:rPr>
                <w:rFonts w:ascii="Calibri" w:hAnsi="Calibri" w:cs="Calibri"/>
              </w:rPr>
              <w:t xml:space="preserve">40 </w:t>
            </w:r>
          </w:p>
        </w:tc>
      </w:tr>
      <w:tr w:rsidR="00721CFD" w:rsidRPr="003323E0" w14:paraId="783F85A2" w14:textId="77777777" w:rsidTr="009044F3">
        <w:trPr>
          <w:trHeight w:val="288"/>
          <w:jc w:val="center"/>
        </w:trPr>
        <w:tc>
          <w:tcPr>
            <w:tcW w:w="2392" w:type="dxa"/>
            <w:tcBorders>
              <w:top w:val="nil"/>
              <w:left w:val="nil"/>
              <w:bottom w:val="nil"/>
              <w:right w:val="nil"/>
            </w:tcBorders>
            <w:shd w:val="clear" w:color="000000" w:fill="FFFFFF"/>
            <w:noWrap/>
            <w:vAlign w:val="bottom"/>
            <w:hideMark/>
          </w:tcPr>
          <w:p w14:paraId="144313BA" w14:textId="77777777" w:rsidR="00721CFD" w:rsidRPr="003323E0" w:rsidRDefault="00721CFD" w:rsidP="007B5BB3">
            <w:pPr>
              <w:jc w:val="center"/>
              <w:rPr>
                <w:rFonts w:ascii="Calibri" w:eastAsia="Times New Roman" w:hAnsi="Calibri" w:cs="Calibri"/>
                <w:color w:val="0D0D0D"/>
              </w:rPr>
            </w:pPr>
            <w:r w:rsidRPr="003323E0">
              <w:rPr>
                <w:rFonts w:ascii="Calibri" w:eastAsia="Times New Roman" w:hAnsi="Calibri" w:cs="Calibri"/>
                <w:color w:val="0D0D0D"/>
              </w:rPr>
              <w:t>203</w:t>
            </w:r>
            <w:r>
              <w:rPr>
                <w:rFonts w:ascii="Calibri" w:eastAsia="Times New Roman" w:hAnsi="Calibri" w:cs="Calibri"/>
                <w:color w:val="0D0D0D"/>
              </w:rPr>
              <w:t>3</w:t>
            </w:r>
            <w:r w:rsidRPr="003323E0">
              <w:rPr>
                <w:rFonts w:ascii="Calibri" w:eastAsia="Times New Roman" w:hAnsi="Calibri" w:cs="Calibri"/>
                <w:color w:val="0D0D0D"/>
              </w:rPr>
              <w:t>-203</w:t>
            </w:r>
            <w:r>
              <w:rPr>
                <w:rFonts w:ascii="Calibri" w:eastAsia="Times New Roman" w:hAnsi="Calibri" w:cs="Calibri"/>
                <w:color w:val="0D0D0D"/>
              </w:rPr>
              <w:t>7</w:t>
            </w:r>
          </w:p>
        </w:tc>
        <w:tc>
          <w:tcPr>
            <w:tcW w:w="1337" w:type="dxa"/>
            <w:tcBorders>
              <w:top w:val="nil"/>
              <w:left w:val="nil"/>
              <w:bottom w:val="nil"/>
              <w:right w:val="nil"/>
            </w:tcBorders>
            <w:shd w:val="clear" w:color="000000" w:fill="FFFFFF"/>
            <w:noWrap/>
            <w:vAlign w:val="bottom"/>
            <w:hideMark/>
          </w:tcPr>
          <w:p w14:paraId="6C587878" w14:textId="2498EBF3" w:rsidR="00721CFD" w:rsidRPr="00E13594" w:rsidRDefault="00721CFD" w:rsidP="007B5BB3">
            <w:pPr>
              <w:jc w:val="right"/>
              <w:rPr>
                <w:rFonts w:ascii="Calibri" w:eastAsia="Times New Roman" w:hAnsi="Calibri" w:cs="Calibri"/>
                <w:color w:val="FF0000"/>
              </w:rPr>
            </w:pPr>
            <w:r>
              <w:rPr>
                <w:rFonts w:ascii="Calibri" w:hAnsi="Calibri" w:cs="Calibri"/>
              </w:rPr>
              <w:t xml:space="preserve">13,355 </w:t>
            </w:r>
          </w:p>
        </w:tc>
        <w:tc>
          <w:tcPr>
            <w:tcW w:w="1337" w:type="dxa"/>
            <w:tcBorders>
              <w:top w:val="nil"/>
              <w:left w:val="nil"/>
              <w:bottom w:val="nil"/>
              <w:right w:val="nil"/>
            </w:tcBorders>
            <w:shd w:val="clear" w:color="auto" w:fill="auto"/>
            <w:noWrap/>
            <w:vAlign w:val="bottom"/>
            <w:hideMark/>
          </w:tcPr>
          <w:p w14:paraId="191292C0" w14:textId="1A21A029" w:rsidR="00721CFD" w:rsidRPr="00E13594" w:rsidRDefault="00721CFD" w:rsidP="007B5BB3">
            <w:pPr>
              <w:jc w:val="right"/>
              <w:rPr>
                <w:rFonts w:ascii="Calibri" w:eastAsia="Times New Roman" w:hAnsi="Calibri" w:cs="Calibri"/>
                <w:color w:val="FF0000"/>
              </w:rPr>
            </w:pPr>
            <w:r>
              <w:rPr>
                <w:rFonts w:ascii="Calibri" w:hAnsi="Calibri" w:cs="Calibri"/>
              </w:rPr>
              <w:t xml:space="preserve">926 </w:t>
            </w:r>
          </w:p>
        </w:tc>
        <w:tc>
          <w:tcPr>
            <w:tcW w:w="1337" w:type="dxa"/>
            <w:tcBorders>
              <w:top w:val="nil"/>
              <w:left w:val="nil"/>
              <w:bottom w:val="nil"/>
              <w:right w:val="nil"/>
            </w:tcBorders>
            <w:shd w:val="clear" w:color="000000" w:fill="FFFFFF"/>
            <w:noWrap/>
            <w:vAlign w:val="bottom"/>
            <w:hideMark/>
          </w:tcPr>
          <w:p w14:paraId="78948CAA" w14:textId="484DC96F" w:rsidR="00721CFD" w:rsidRPr="00E13594" w:rsidRDefault="00721CFD" w:rsidP="007B5BB3">
            <w:pPr>
              <w:jc w:val="right"/>
              <w:rPr>
                <w:rFonts w:ascii="Calibri" w:eastAsia="Times New Roman" w:hAnsi="Calibri" w:cs="Calibri"/>
                <w:color w:val="FF0000"/>
              </w:rPr>
            </w:pPr>
            <w:r>
              <w:rPr>
                <w:rFonts w:ascii="Calibri" w:hAnsi="Calibri" w:cs="Calibri"/>
              </w:rPr>
              <w:t xml:space="preserve">351 </w:t>
            </w:r>
          </w:p>
        </w:tc>
        <w:tc>
          <w:tcPr>
            <w:tcW w:w="1337" w:type="dxa"/>
            <w:tcBorders>
              <w:top w:val="nil"/>
              <w:left w:val="nil"/>
              <w:bottom w:val="nil"/>
              <w:right w:val="nil"/>
            </w:tcBorders>
            <w:shd w:val="clear" w:color="000000" w:fill="FFFFFF"/>
            <w:vAlign w:val="bottom"/>
          </w:tcPr>
          <w:p w14:paraId="75E54972" w14:textId="5D7B032B" w:rsidR="00721CFD" w:rsidRPr="00E13594" w:rsidRDefault="00721CFD" w:rsidP="007B5BB3">
            <w:pPr>
              <w:jc w:val="right"/>
              <w:rPr>
                <w:color w:val="FF0000"/>
              </w:rPr>
            </w:pPr>
            <w:r>
              <w:rPr>
                <w:rFonts w:ascii="Calibri" w:hAnsi="Calibri" w:cs="Calibri"/>
              </w:rPr>
              <w:t xml:space="preserve">14 </w:t>
            </w:r>
          </w:p>
        </w:tc>
      </w:tr>
      <w:tr w:rsidR="00721CFD" w:rsidRPr="00F651F5" w14:paraId="041470B5" w14:textId="77777777" w:rsidTr="009044F3">
        <w:trPr>
          <w:trHeight w:val="300"/>
          <w:jc w:val="center"/>
        </w:trPr>
        <w:tc>
          <w:tcPr>
            <w:tcW w:w="2392" w:type="dxa"/>
            <w:tcBorders>
              <w:top w:val="single" w:sz="4" w:space="0" w:color="00688D"/>
              <w:left w:val="nil"/>
              <w:bottom w:val="double" w:sz="6" w:space="0" w:color="00688D"/>
              <w:right w:val="nil"/>
            </w:tcBorders>
            <w:shd w:val="clear" w:color="000000" w:fill="FFFFFF"/>
            <w:noWrap/>
            <w:vAlign w:val="bottom"/>
            <w:hideMark/>
          </w:tcPr>
          <w:p w14:paraId="37F6955B" w14:textId="77777777" w:rsidR="00721CFD" w:rsidRPr="003323E0" w:rsidRDefault="00721CFD" w:rsidP="007B5BB3">
            <w:pPr>
              <w:rPr>
                <w:rFonts w:ascii="Calibri" w:eastAsia="Times New Roman" w:hAnsi="Calibri" w:cs="Calibri"/>
                <w:b/>
                <w:bCs/>
                <w:color w:val="0D0D0D"/>
              </w:rPr>
            </w:pPr>
            <w:r w:rsidRPr="003323E0">
              <w:rPr>
                <w:rFonts w:ascii="Calibri" w:eastAsia="Times New Roman" w:hAnsi="Calibri" w:cs="Calibri"/>
                <w:b/>
                <w:bCs/>
                <w:color w:val="0D0D0D"/>
              </w:rPr>
              <w:t xml:space="preserve">Total </w:t>
            </w:r>
            <w:r>
              <w:rPr>
                <w:rFonts w:ascii="Calibri" w:eastAsia="Times New Roman" w:hAnsi="Calibri" w:cs="Calibri"/>
                <w:b/>
                <w:bCs/>
                <w:color w:val="0D0D0D"/>
              </w:rPr>
              <w:t>P</w:t>
            </w:r>
            <w:r w:rsidRPr="003323E0">
              <w:rPr>
                <w:rFonts w:ascii="Calibri" w:eastAsia="Times New Roman" w:hAnsi="Calibri" w:cs="Calibri"/>
                <w:b/>
                <w:bCs/>
                <w:color w:val="0D0D0D"/>
              </w:rPr>
              <w:t>ayments</w:t>
            </w:r>
          </w:p>
        </w:tc>
        <w:tc>
          <w:tcPr>
            <w:tcW w:w="1337" w:type="dxa"/>
            <w:tcBorders>
              <w:top w:val="single" w:sz="4" w:space="0" w:color="00688D"/>
              <w:left w:val="nil"/>
              <w:bottom w:val="double" w:sz="6" w:space="0" w:color="00688D"/>
              <w:right w:val="nil"/>
            </w:tcBorders>
            <w:shd w:val="clear" w:color="000000" w:fill="FFFFFF"/>
            <w:noWrap/>
            <w:vAlign w:val="bottom"/>
            <w:hideMark/>
          </w:tcPr>
          <w:p w14:paraId="09CCA77E" w14:textId="77777777" w:rsidR="00721CFD" w:rsidRPr="00E13594" w:rsidRDefault="00721CFD" w:rsidP="007B5BB3">
            <w:pPr>
              <w:jc w:val="right"/>
              <w:rPr>
                <w:rFonts w:ascii="Calibri" w:eastAsia="Times New Roman" w:hAnsi="Calibri" w:cs="Calibri"/>
                <w:color w:val="FF0000"/>
              </w:rPr>
            </w:pPr>
            <w:r>
              <w:rPr>
                <w:rFonts w:ascii="Calibri" w:hAnsi="Calibri" w:cs="Calibri"/>
              </w:rPr>
              <w:t xml:space="preserve"> $ 101,615 </w:t>
            </w:r>
          </w:p>
        </w:tc>
        <w:tc>
          <w:tcPr>
            <w:tcW w:w="1337" w:type="dxa"/>
            <w:tcBorders>
              <w:top w:val="single" w:sz="4" w:space="0" w:color="00688D"/>
              <w:left w:val="nil"/>
              <w:bottom w:val="double" w:sz="6" w:space="0" w:color="00688D"/>
              <w:right w:val="nil"/>
            </w:tcBorders>
            <w:shd w:val="clear" w:color="auto" w:fill="auto"/>
            <w:noWrap/>
            <w:vAlign w:val="bottom"/>
            <w:hideMark/>
          </w:tcPr>
          <w:p w14:paraId="0B4241AD" w14:textId="77777777" w:rsidR="00721CFD" w:rsidRPr="00E13594" w:rsidRDefault="00721CFD" w:rsidP="007B5BB3">
            <w:pPr>
              <w:jc w:val="right"/>
              <w:rPr>
                <w:rFonts w:ascii="Calibri" w:eastAsia="Times New Roman" w:hAnsi="Calibri" w:cs="Calibri"/>
                <w:color w:val="FF0000"/>
              </w:rPr>
            </w:pPr>
            <w:r>
              <w:rPr>
                <w:rFonts w:ascii="Calibri" w:hAnsi="Calibri" w:cs="Calibri"/>
              </w:rPr>
              <w:t xml:space="preserve"> $  23,374 </w:t>
            </w:r>
          </w:p>
        </w:tc>
        <w:tc>
          <w:tcPr>
            <w:tcW w:w="1337" w:type="dxa"/>
            <w:tcBorders>
              <w:top w:val="single" w:sz="4" w:space="0" w:color="00688D"/>
              <w:left w:val="nil"/>
              <w:bottom w:val="double" w:sz="6" w:space="0" w:color="00688D"/>
              <w:right w:val="nil"/>
            </w:tcBorders>
            <w:shd w:val="clear" w:color="000000" w:fill="FFFFFF"/>
            <w:noWrap/>
            <w:vAlign w:val="bottom"/>
            <w:hideMark/>
          </w:tcPr>
          <w:p w14:paraId="07DE4678" w14:textId="77777777" w:rsidR="00721CFD" w:rsidRPr="00E13594" w:rsidRDefault="00721CFD" w:rsidP="007B5BB3">
            <w:pPr>
              <w:jc w:val="right"/>
              <w:rPr>
                <w:rFonts w:ascii="Calibri" w:eastAsia="Times New Roman" w:hAnsi="Calibri" w:cs="Calibri"/>
                <w:color w:val="FF0000"/>
              </w:rPr>
            </w:pPr>
            <w:r>
              <w:rPr>
                <w:rFonts w:ascii="Calibri" w:hAnsi="Calibri" w:cs="Calibri"/>
              </w:rPr>
              <w:t xml:space="preserve"> $   46,666 </w:t>
            </w:r>
          </w:p>
        </w:tc>
        <w:tc>
          <w:tcPr>
            <w:tcW w:w="1337" w:type="dxa"/>
            <w:tcBorders>
              <w:top w:val="single" w:sz="4" w:space="0" w:color="00688D"/>
              <w:left w:val="nil"/>
              <w:bottom w:val="double" w:sz="6" w:space="0" w:color="00688D"/>
              <w:right w:val="nil"/>
            </w:tcBorders>
            <w:shd w:val="clear" w:color="000000" w:fill="FFFFFF"/>
            <w:vAlign w:val="bottom"/>
          </w:tcPr>
          <w:p w14:paraId="75421B0B" w14:textId="77777777" w:rsidR="00721CFD" w:rsidRPr="00E13594" w:rsidRDefault="00721CFD" w:rsidP="007B5BB3">
            <w:pPr>
              <w:jc w:val="right"/>
              <w:rPr>
                <w:rFonts w:ascii="Calibri" w:eastAsia="Times New Roman" w:hAnsi="Calibri" w:cs="Calibri"/>
                <w:color w:val="FF0000"/>
              </w:rPr>
            </w:pPr>
            <w:r>
              <w:rPr>
                <w:rFonts w:ascii="Calibri" w:hAnsi="Calibri" w:cs="Calibri"/>
              </w:rPr>
              <w:t xml:space="preserve"> $       223 </w:t>
            </w:r>
          </w:p>
        </w:tc>
      </w:tr>
    </w:tbl>
    <w:p w14:paraId="39443E5A" w14:textId="15B52E77" w:rsidR="008D4532" w:rsidRDefault="00721CFD" w:rsidP="00C00CBD">
      <w:pPr>
        <w:tabs>
          <w:tab w:val="left" w:pos="540"/>
          <w:tab w:val="left" w:pos="630"/>
          <w:tab w:val="left" w:pos="1440"/>
          <w:tab w:val="decimal" w:pos="7020"/>
          <w:tab w:val="decimal" w:pos="9454"/>
        </w:tabs>
        <w:suppressAutoHyphens/>
        <w:spacing w:before="100" w:beforeAutospacing="1"/>
        <w:rPr>
          <w:rFonts w:cstheme="minorHAnsi"/>
          <w:spacing w:val="-3"/>
          <w:sz w:val="24"/>
        </w:rPr>
      </w:pPr>
      <w:r w:rsidRPr="00F54559">
        <w:rPr>
          <w:rFonts w:cstheme="minorHAnsi"/>
          <w:spacing w:val="-3"/>
          <w:sz w:val="24"/>
        </w:rPr>
        <w:t>Interest costs related to the revenue bonds for FY</w:t>
      </w:r>
      <w:r>
        <w:rPr>
          <w:rFonts w:cstheme="minorHAnsi"/>
          <w:spacing w:val="-3"/>
          <w:sz w:val="24"/>
        </w:rPr>
        <w:t>22</w:t>
      </w:r>
      <w:r w:rsidRPr="00F54559">
        <w:rPr>
          <w:rFonts w:cstheme="minorHAnsi"/>
          <w:spacing w:val="-3"/>
          <w:sz w:val="24"/>
        </w:rPr>
        <w:t xml:space="preserve"> and FY</w:t>
      </w:r>
      <w:r>
        <w:rPr>
          <w:rFonts w:cstheme="minorHAnsi"/>
          <w:spacing w:val="-3"/>
          <w:sz w:val="24"/>
        </w:rPr>
        <w:t>21</w:t>
      </w:r>
      <w:r w:rsidRPr="00F54559">
        <w:rPr>
          <w:rFonts w:cstheme="minorHAnsi"/>
          <w:spacing w:val="-3"/>
          <w:sz w:val="24"/>
        </w:rPr>
        <w:t xml:space="preserve"> were </w:t>
      </w:r>
      <w:r w:rsidRPr="00142620">
        <w:rPr>
          <w:rFonts w:cstheme="minorHAnsi"/>
          <w:spacing w:val="-3"/>
          <w:sz w:val="24"/>
        </w:rPr>
        <w:t>$</w:t>
      </w:r>
      <w:r w:rsidRPr="00FB2070">
        <w:rPr>
          <w:rFonts w:cstheme="minorHAnsi"/>
          <w:spacing w:val="-3"/>
          <w:sz w:val="24"/>
        </w:rPr>
        <w:t>3</w:t>
      </w:r>
      <w:r>
        <w:rPr>
          <w:rFonts w:cstheme="minorHAnsi"/>
          <w:spacing w:val="-3"/>
          <w:sz w:val="24"/>
        </w:rPr>
        <w:t>,</w:t>
      </w:r>
      <w:r w:rsidRPr="00E13594">
        <w:rPr>
          <w:rFonts w:cstheme="minorHAnsi"/>
          <w:spacing w:val="-3"/>
          <w:sz w:val="24"/>
        </w:rPr>
        <w:t>408</w:t>
      </w:r>
      <w:r w:rsidRPr="00FB2070">
        <w:rPr>
          <w:rFonts w:cstheme="minorHAnsi"/>
          <w:spacing w:val="-3"/>
          <w:sz w:val="24"/>
        </w:rPr>
        <w:t xml:space="preserve"> </w:t>
      </w:r>
      <w:r>
        <w:rPr>
          <w:rFonts w:cstheme="minorHAnsi"/>
          <w:spacing w:val="-3"/>
          <w:sz w:val="24"/>
        </w:rPr>
        <w:t>and $</w:t>
      </w:r>
      <w:r w:rsidRPr="00142620">
        <w:rPr>
          <w:rFonts w:cstheme="minorHAnsi"/>
          <w:spacing w:val="-3"/>
          <w:sz w:val="24"/>
        </w:rPr>
        <w:t>3,620</w:t>
      </w:r>
      <w:r w:rsidRPr="00F54559">
        <w:rPr>
          <w:rFonts w:cstheme="minorHAnsi"/>
          <w:spacing w:val="-3"/>
          <w:sz w:val="24"/>
        </w:rPr>
        <w:t>, respectively.</w:t>
      </w:r>
    </w:p>
    <w:p w14:paraId="74EE7156" w14:textId="21DF46CD" w:rsidR="005273CC" w:rsidRDefault="009006C6" w:rsidP="00C00CBD">
      <w:pPr>
        <w:pStyle w:val="AFR2"/>
        <w:rPr>
          <w:rFonts w:cstheme="minorHAnsi"/>
          <w:bCs/>
          <w:spacing w:val="-3"/>
          <w:sz w:val="24"/>
        </w:rPr>
      </w:pPr>
      <w:r>
        <w:rPr>
          <w:rFonts w:cstheme="minorHAnsi"/>
          <w:sz w:val="26"/>
          <w:szCs w:val="26"/>
        </w:rPr>
        <w:t>8</w:t>
      </w:r>
      <w:r w:rsidRPr="00F54559">
        <w:rPr>
          <w:rFonts w:cstheme="minorHAnsi"/>
          <w:sz w:val="26"/>
          <w:szCs w:val="26"/>
        </w:rPr>
        <w:t xml:space="preserve">. </w:t>
      </w:r>
      <w:r>
        <w:rPr>
          <w:rFonts w:cstheme="minorHAnsi"/>
          <w:sz w:val="26"/>
          <w:szCs w:val="26"/>
        </w:rPr>
        <w:t>UNEARNED REVENUE AND DEPOSITS</w:t>
      </w:r>
    </w:p>
    <w:p w14:paraId="0B8FFB53" w14:textId="1A777C76" w:rsidR="00721CFD" w:rsidRPr="00F54559" w:rsidRDefault="00721CFD" w:rsidP="00721CFD">
      <w:pPr>
        <w:tabs>
          <w:tab w:val="left" w:pos="1440"/>
          <w:tab w:val="decimal" w:pos="6786"/>
          <w:tab w:val="decimal" w:pos="9187"/>
        </w:tabs>
        <w:suppressAutoHyphens/>
        <w:spacing w:before="120" w:after="240"/>
        <w:rPr>
          <w:rFonts w:cstheme="minorHAnsi"/>
        </w:rPr>
      </w:pPr>
      <w:r w:rsidRPr="00F54559">
        <w:rPr>
          <w:rFonts w:cstheme="minorHAnsi"/>
          <w:bCs/>
          <w:spacing w:val="-3"/>
          <w:sz w:val="24"/>
        </w:rPr>
        <w:t>Unearned revenue and deposits as of June 30 consist of the following:</w:t>
      </w:r>
      <w:r>
        <w:rPr>
          <w:rFonts w:cstheme="minorHAnsi"/>
        </w:rPr>
        <w:fldChar w:fldCharType="begin"/>
      </w:r>
      <w:r>
        <w:rPr>
          <w:rFonts w:cstheme="minorHAnsi"/>
        </w:rPr>
        <w:fldChar w:fldCharType="end"/>
      </w:r>
    </w:p>
    <w:tbl>
      <w:tblPr>
        <w:tblW w:w="6192" w:type="dxa"/>
        <w:jc w:val="center"/>
        <w:tblLook w:val="04A0" w:firstRow="1" w:lastRow="0" w:firstColumn="1" w:lastColumn="0" w:noHBand="0" w:noVBand="1"/>
      </w:tblPr>
      <w:tblGrid>
        <w:gridCol w:w="3704"/>
        <w:gridCol w:w="1244"/>
        <w:gridCol w:w="1244"/>
      </w:tblGrid>
      <w:tr w:rsidR="00721CFD" w:rsidRPr="005F7BC7" w14:paraId="27B0C05C" w14:textId="77777777" w:rsidTr="007B5BB3">
        <w:trPr>
          <w:trHeight w:val="300"/>
          <w:tblHeader/>
          <w:jc w:val="center"/>
        </w:trPr>
        <w:tc>
          <w:tcPr>
            <w:tcW w:w="3704" w:type="dxa"/>
            <w:tcBorders>
              <w:top w:val="nil"/>
              <w:left w:val="nil"/>
              <w:bottom w:val="single" w:sz="12" w:space="0" w:color="00688D"/>
              <w:right w:val="nil"/>
            </w:tcBorders>
            <w:shd w:val="clear" w:color="000000" w:fill="FFFFFF"/>
            <w:noWrap/>
            <w:vAlign w:val="bottom"/>
            <w:hideMark/>
          </w:tcPr>
          <w:p w14:paraId="2DA95866" w14:textId="77777777" w:rsidR="00721CFD" w:rsidRPr="005F7BC7" w:rsidRDefault="00721CFD" w:rsidP="007B5BB3">
            <w:pPr>
              <w:jc w:val="center"/>
              <w:rPr>
                <w:rFonts w:ascii="Calibri" w:eastAsia="Times New Roman" w:hAnsi="Calibri" w:cs="Calibri"/>
                <w:b/>
                <w:bCs/>
                <w:color w:val="0D0D0D"/>
              </w:rPr>
            </w:pPr>
            <w:r w:rsidRPr="005F7BC7">
              <w:rPr>
                <w:rFonts w:ascii="Calibri" w:eastAsia="Times New Roman" w:hAnsi="Calibri" w:cs="Calibri"/>
                <w:b/>
                <w:bCs/>
                <w:color w:val="0D0D0D"/>
              </w:rPr>
              <w:t> </w:t>
            </w:r>
          </w:p>
        </w:tc>
        <w:tc>
          <w:tcPr>
            <w:tcW w:w="1244" w:type="dxa"/>
            <w:tcBorders>
              <w:top w:val="nil"/>
              <w:left w:val="nil"/>
              <w:bottom w:val="single" w:sz="12" w:space="0" w:color="00688D"/>
              <w:right w:val="nil"/>
            </w:tcBorders>
            <w:shd w:val="clear" w:color="000000" w:fill="FFFFFF"/>
            <w:noWrap/>
            <w:vAlign w:val="bottom"/>
            <w:hideMark/>
          </w:tcPr>
          <w:p w14:paraId="54B11233" w14:textId="77777777" w:rsidR="00721CFD" w:rsidRPr="005F7BC7" w:rsidRDefault="00721CFD" w:rsidP="007B5BB3">
            <w:pPr>
              <w:jc w:val="center"/>
              <w:rPr>
                <w:rFonts w:ascii="Calibri" w:eastAsia="Times New Roman" w:hAnsi="Calibri" w:cs="Calibri"/>
                <w:b/>
                <w:bCs/>
                <w:color w:val="0D0D0D"/>
              </w:rPr>
            </w:pPr>
            <w:r w:rsidRPr="005F7BC7">
              <w:rPr>
                <w:rFonts w:ascii="Calibri" w:eastAsia="Times New Roman" w:hAnsi="Calibri" w:cs="Calibri"/>
                <w:b/>
                <w:bCs/>
                <w:color w:val="0D0D0D"/>
              </w:rPr>
              <w:t>202</w:t>
            </w:r>
            <w:r>
              <w:rPr>
                <w:rFonts w:ascii="Calibri" w:eastAsia="Times New Roman" w:hAnsi="Calibri" w:cs="Calibri"/>
                <w:b/>
                <w:bCs/>
                <w:color w:val="0D0D0D"/>
              </w:rPr>
              <w:t>2</w:t>
            </w:r>
          </w:p>
        </w:tc>
        <w:tc>
          <w:tcPr>
            <w:tcW w:w="1244" w:type="dxa"/>
            <w:tcBorders>
              <w:top w:val="nil"/>
              <w:left w:val="nil"/>
              <w:bottom w:val="single" w:sz="12" w:space="0" w:color="00688D"/>
              <w:right w:val="nil"/>
            </w:tcBorders>
            <w:shd w:val="clear" w:color="auto" w:fill="D9D9D9" w:themeFill="background1" w:themeFillShade="D9"/>
            <w:noWrap/>
            <w:hideMark/>
          </w:tcPr>
          <w:p w14:paraId="281423DE" w14:textId="77777777" w:rsidR="00721CFD" w:rsidRPr="008E645B" w:rsidRDefault="00721CFD" w:rsidP="007B5BB3">
            <w:pPr>
              <w:jc w:val="center"/>
              <w:rPr>
                <w:rFonts w:ascii="Calibri" w:eastAsia="Times New Roman" w:hAnsi="Calibri" w:cs="Calibri"/>
                <w:b/>
                <w:bCs/>
                <w:color w:val="0D0D0D"/>
              </w:rPr>
            </w:pPr>
            <w:r w:rsidRPr="008E645B">
              <w:rPr>
                <w:b/>
              </w:rPr>
              <w:t>202</w:t>
            </w:r>
            <w:r>
              <w:rPr>
                <w:b/>
              </w:rPr>
              <w:t>1 Restated</w:t>
            </w:r>
          </w:p>
        </w:tc>
      </w:tr>
      <w:tr w:rsidR="00721CFD" w:rsidRPr="005F7BC7" w14:paraId="068AA6B2" w14:textId="77777777" w:rsidTr="007B5BB3">
        <w:trPr>
          <w:trHeight w:val="300"/>
          <w:jc w:val="center"/>
        </w:trPr>
        <w:tc>
          <w:tcPr>
            <w:tcW w:w="3704" w:type="dxa"/>
            <w:tcBorders>
              <w:top w:val="nil"/>
              <w:left w:val="nil"/>
              <w:bottom w:val="nil"/>
              <w:right w:val="nil"/>
            </w:tcBorders>
            <w:shd w:val="clear" w:color="000000" w:fill="FFFFFF"/>
            <w:noWrap/>
            <w:vAlign w:val="bottom"/>
            <w:hideMark/>
          </w:tcPr>
          <w:p w14:paraId="42D0528D" w14:textId="77777777" w:rsidR="00721CFD" w:rsidRPr="005F7BC7" w:rsidRDefault="00721CFD" w:rsidP="007B5BB3">
            <w:pPr>
              <w:rPr>
                <w:rFonts w:ascii="Calibri" w:eastAsia="Times New Roman" w:hAnsi="Calibri" w:cs="Calibri"/>
                <w:color w:val="0D0D0D"/>
              </w:rPr>
            </w:pPr>
            <w:r w:rsidRPr="005F7BC7">
              <w:rPr>
                <w:rFonts w:ascii="Calibri" w:eastAsia="Times New Roman" w:hAnsi="Calibri" w:cs="Calibri"/>
                <w:color w:val="0D0D0D"/>
              </w:rPr>
              <w:t>Unearned grant advances</w:t>
            </w:r>
          </w:p>
        </w:tc>
        <w:tc>
          <w:tcPr>
            <w:tcW w:w="1244" w:type="dxa"/>
            <w:tcBorders>
              <w:top w:val="nil"/>
              <w:left w:val="nil"/>
              <w:bottom w:val="nil"/>
              <w:right w:val="nil"/>
            </w:tcBorders>
            <w:shd w:val="clear" w:color="000000" w:fill="FFFFFF"/>
            <w:noWrap/>
            <w:vAlign w:val="bottom"/>
            <w:hideMark/>
          </w:tcPr>
          <w:p w14:paraId="4CFBCFDA" w14:textId="77777777" w:rsidR="00721CFD" w:rsidRPr="00E13594" w:rsidRDefault="00721CFD" w:rsidP="007B5BB3">
            <w:pPr>
              <w:jc w:val="right"/>
              <w:rPr>
                <w:rFonts w:ascii="Calibri" w:eastAsia="Times New Roman" w:hAnsi="Calibri" w:cs="Calibri"/>
                <w:color w:val="FF0000"/>
              </w:rPr>
            </w:pPr>
            <w:r>
              <w:rPr>
                <w:rFonts w:ascii="Calibri" w:hAnsi="Calibri" w:cs="Calibri"/>
                <w:color w:val="000000"/>
              </w:rPr>
              <w:t>$   14,618</w:t>
            </w:r>
          </w:p>
        </w:tc>
        <w:tc>
          <w:tcPr>
            <w:tcW w:w="1244" w:type="dxa"/>
            <w:tcBorders>
              <w:top w:val="nil"/>
              <w:left w:val="nil"/>
              <w:bottom w:val="nil"/>
              <w:right w:val="nil"/>
            </w:tcBorders>
            <w:shd w:val="clear" w:color="auto" w:fill="D9D9D9" w:themeFill="background1" w:themeFillShade="D9"/>
            <w:noWrap/>
            <w:vAlign w:val="bottom"/>
            <w:hideMark/>
          </w:tcPr>
          <w:p w14:paraId="7361B5DC" w14:textId="77777777" w:rsidR="00721CFD" w:rsidRPr="005F7BC7" w:rsidRDefault="00721CFD" w:rsidP="007B5BB3">
            <w:pPr>
              <w:jc w:val="right"/>
              <w:rPr>
                <w:rFonts w:ascii="Calibri" w:eastAsia="Times New Roman" w:hAnsi="Calibri" w:cs="Calibri"/>
                <w:color w:val="0D0D0D"/>
              </w:rPr>
            </w:pPr>
            <w:r w:rsidRPr="00757763">
              <w:rPr>
                <w:rFonts w:ascii="Calibri" w:eastAsia="Times New Roman" w:hAnsi="Calibri" w:cs="Calibri"/>
              </w:rPr>
              <w:t>$        6,447</w:t>
            </w:r>
          </w:p>
        </w:tc>
      </w:tr>
      <w:tr w:rsidR="00721CFD" w:rsidRPr="005F7BC7" w14:paraId="20CEAD41" w14:textId="77777777" w:rsidTr="007B5BB3">
        <w:trPr>
          <w:trHeight w:val="288"/>
          <w:jc w:val="center"/>
        </w:trPr>
        <w:tc>
          <w:tcPr>
            <w:tcW w:w="3704" w:type="dxa"/>
            <w:tcBorders>
              <w:top w:val="nil"/>
              <w:left w:val="nil"/>
              <w:bottom w:val="nil"/>
              <w:right w:val="nil"/>
            </w:tcBorders>
            <w:shd w:val="clear" w:color="000000" w:fill="FFFFFF"/>
            <w:noWrap/>
            <w:vAlign w:val="bottom"/>
            <w:hideMark/>
          </w:tcPr>
          <w:p w14:paraId="1029B230" w14:textId="77777777" w:rsidR="00721CFD" w:rsidRPr="005F7BC7" w:rsidRDefault="00721CFD" w:rsidP="007B5BB3">
            <w:pPr>
              <w:rPr>
                <w:rFonts w:ascii="Calibri" w:eastAsia="Times New Roman" w:hAnsi="Calibri" w:cs="Calibri"/>
                <w:color w:val="0D0D0D"/>
              </w:rPr>
            </w:pPr>
            <w:r w:rsidRPr="005F7BC7">
              <w:rPr>
                <w:rFonts w:ascii="Calibri" w:eastAsia="Times New Roman" w:hAnsi="Calibri" w:cs="Calibri"/>
                <w:color w:val="0D0D0D"/>
              </w:rPr>
              <w:t>Unearned summer session revenue</w:t>
            </w:r>
          </w:p>
        </w:tc>
        <w:tc>
          <w:tcPr>
            <w:tcW w:w="1244" w:type="dxa"/>
            <w:tcBorders>
              <w:top w:val="nil"/>
              <w:left w:val="nil"/>
              <w:bottom w:val="nil"/>
              <w:right w:val="nil"/>
            </w:tcBorders>
            <w:shd w:val="clear" w:color="000000" w:fill="FFFFFF"/>
            <w:noWrap/>
            <w:vAlign w:val="bottom"/>
            <w:hideMark/>
          </w:tcPr>
          <w:p w14:paraId="2AA5A5C5" w14:textId="77777777" w:rsidR="00721CFD" w:rsidRPr="00E13594" w:rsidRDefault="00721CFD" w:rsidP="007B5BB3">
            <w:pPr>
              <w:jc w:val="right"/>
              <w:rPr>
                <w:rFonts w:ascii="Calibri" w:eastAsia="Times New Roman" w:hAnsi="Calibri" w:cs="Calibri"/>
                <w:color w:val="FF0000"/>
              </w:rPr>
            </w:pPr>
            <w:r>
              <w:rPr>
                <w:rFonts w:ascii="Calibri" w:hAnsi="Calibri" w:cs="Calibri"/>
                <w:color w:val="000000"/>
              </w:rPr>
              <w:t>7,730</w:t>
            </w:r>
          </w:p>
        </w:tc>
        <w:tc>
          <w:tcPr>
            <w:tcW w:w="1244" w:type="dxa"/>
            <w:tcBorders>
              <w:top w:val="nil"/>
              <w:left w:val="nil"/>
              <w:bottom w:val="nil"/>
              <w:right w:val="nil"/>
            </w:tcBorders>
            <w:shd w:val="clear" w:color="auto" w:fill="D9D9D9" w:themeFill="background1" w:themeFillShade="D9"/>
            <w:noWrap/>
            <w:vAlign w:val="bottom"/>
            <w:hideMark/>
          </w:tcPr>
          <w:p w14:paraId="2FD5313D" w14:textId="77777777" w:rsidR="00721CFD" w:rsidRPr="005F7BC7" w:rsidRDefault="00721CFD" w:rsidP="007B5BB3">
            <w:pPr>
              <w:jc w:val="right"/>
              <w:rPr>
                <w:rFonts w:ascii="Calibri" w:eastAsia="Times New Roman" w:hAnsi="Calibri" w:cs="Calibri"/>
                <w:color w:val="0D0D0D"/>
              </w:rPr>
            </w:pPr>
            <w:r w:rsidRPr="00757763">
              <w:rPr>
                <w:rFonts w:ascii="Calibri" w:eastAsia="Times New Roman" w:hAnsi="Calibri" w:cs="Calibri"/>
              </w:rPr>
              <w:t>8,014</w:t>
            </w:r>
          </w:p>
        </w:tc>
      </w:tr>
      <w:tr w:rsidR="00721CFD" w:rsidRPr="005F7BC7" w14:paraId="35670C35" w14:textId="77777777" w:rsidTr="007B5BB3">
        <w:trPr>
          <w:trHeight w:val="288"/>
          <w:jc w:val="center"/>
        </w:trPr>
        <w:tc>
          <w:tcPr>
            <w:tcW w:w="3704" w:type="dxa"/>
            <w:tcBorders>
              <w:top w:val="nil"/>
              <w:left w:val="nil"/>
              <w:bottom w:val="nil"/>
              <w:right w:val="nil"/>
            </w:tcBorders>
            <w:shd w:val="clear" w:color="000000" w:fill="FFFFFF"/>
            <w:noWrap/>
            <w:vAlign w:val="bottom"/>
            <w:hideMark/>
          </w:tcPr>
          <w:p w14:paraId="33D96404" w14:textId="77777777" w:rsidR="00721CFD" w:rsidRPr="005F7BC7" w:rsidRDefault="00721CFD" w:rsidP="007B5BB3">
            <w:pPr>
              <w:rPr>
                <w:rFonts w:ascii="Calibri" w:eastAsia="Times New Roman" w:hAnsi="Calibri" w:cs="Calibri"/>
                <w:color w:val="0D0D0D"/>
              </w:rPr>
            </w:pPr>
            <w:r w:rsidRPr="005F7BC7">
              <w:rPr>
                <w:rFonts w:ascii="Calibri" w:eastAsia="Times New Roman" w:hAnsi="Calibri" w:cs="Calibri"/>
                <w:color w:val="0D0D0D"/>
              </w:rPr>
              <w:t>Other unearned revenue and deposits</w:t>
            </w:r>
          </w:p>
        </w:tc>
        <w:tc>
          <w:tcPr>
            <w:tcW w:w="1244" w:type="dxa"/>
            <w:tcBorders>
              <w:top w:val="nil"/>
              <w:left w:val="nil"/>
              <w:bottom w:val="nil"/>
              <w:right w:val="nil"/>
            </w:tcBorders>
            <w:shd w:val="clear" w:color="000000" w:fill="FFFFFF"/>
            <w:noWrap/>
            <w:vAlign w:val="bottom"/>
            <w:hideMark/>
          </w:tcPr>
          <w:p w14:paraId="35DEB948" w14:textId="77777777" w:rsidR="00721CFD" w:rsidRPr="00E13594" w:rsidRDefault="00721CFD" w:rsidP="007B5BB3">
            <w:pPr>
              <w:jc w:val="right"/>
              <w:rPr>
                <w:rFonts w:ascii="Calibri" w:eastAsia="Times New Roman" w:hAnsi="Calibri" w:cs="Calibri"/>
                <w:color w:val="FF0000"/>
              </w:rPr>
            </w:pPr>
            <w:r>
              <w:rPr>
                <w:rFonts w:ascii="Calibri" w:hAnsi="Calibri" w:cs="Calibri"/>
                <w:color w:val="000000"/>
              </w:rPr>
              <w:t>4,546</w:t>
            </w:r>
          </w:p>
        </w:tc>
        <w:tc>
          <w:tcPr>
            <w:tcW w:w="1244" w:type="dxa"/>
            <w:tcBorders>
              <w:top w:val="nil"/>
              <w:left w:val="nil"/>
              <w:bottom w:val="nil"/>
              <w:right w:val="nil"/>
            </w:tcBorders>
            <w:shd w:val="clear" w:color="auto" w:fill="D9D9D9" w:themeFill="background1" w:themeFillShade="D9"/>
            <w:noWrap/>
            <w:vAlign w:val="bottom"/>
            <w:hideMark/>
          </w:tcPr>
          <w:p w14:paraId="3C76D21A" w14:textId="551AC32B" w:rsidR="00721CFD" w:rsidRPr="005F7BC7" w:rsidRDefault="00721CFD">
            <w:pPr>
              <w:jc w:val="right"/>
              <w:rPr>
                <w:rFonts w:ascii="Calibri" w:eastAsia="Times New Roman" w:hAnsi="Calibri" w:cs="Calibri"/>
                <w:color w:val="0D0D0D"/>
              </w:rPr>
            </w:pPr>
            <w:r w:rsidRPr="00757763">
              <w:rPr>
                <w:rFonts w:ascii="Calibri" w:eastAsia="Times New Roman" w:hAnsi="Calibri" w:cs="Calibri"/>
              </w:rPr>
              <w:t>4,</w:t>
            </w:r>
            <w:r w:rsidR="00FB20BE" w:rsidRPr="00757763">
              <w:rPr>
                <w:rFonts w:ascii="Calibri" w:eastAsia="Times New Roman" w:hAnsi="Calibri" w:cs="Calibri"/>
              </w:rPr>
              <w:t>6</w:t>
            </w:r>
            <w:r w:rsidR="00FB20BE">
              <w:rPr>
                <w:rFonts w:ascii="Calibri" w:eastAsia="Times New Roman" w:hAnsi="Calibri" w:cs="Calibri"/>
              </w:rPr>
              <w:t>0</w:t>
            </w:r>
            <w:r w:rsidR="00FB20BE" w:rsidRPr="00757763">
              <w:rPr>
                <w:rFonts w:ascii="Calibri" w:eastAsia="Times New Roman" w:hAnsi="Calibri" w:cs="Calibri"/>
              </w:rPr>
              <w:t>8</w:t>
            </w:r>
          </w:p>
        </w:tc>
      </w:tr>
      <w:tr w:rsidR="00721CFD" w:rsidRPr="005F7BC7" w14:paraId="565011C3" w14:textId="77777777" w:rsidTr="007B5BB3">
        <w:trPr>
          <w:trHeight w:val="300"/>
          <w:jc w:val="center"/>
        </w:trPr>
        <w:tc>
          <w:tcPr>
            <w:tcW w:w="3704" w:type="dxa"/>
            <w:tcBorders>
              <w:top w:val="single" w:sz="4" w:space="0" w:color="00688D"/>
              <w:left w:val="nil"/>
              <w:bottom w:val="double" w:sz="6" w:space="0" w:color="00688D"/>
              <w:right w:val="nil"/>
            </w:tcBorders>
            <w:shd w:val="clear" w:color="000000" w:fill="FFFFFF"/>
            <w:noWrap/>
            <w:vAlign w:val="bottom"/>
            <w:hideMark/>
          </w:tcPr>
          <w:p w14:paraId="4D4C2226" w14:textId="77777777" w:rsidR="00721CFD" w:rsidRPr="005F7BC7" w:rsidRDefault="00721CFD" w:rsidP="007B5BB3">
            <w:pPr>
              <w:rPr>
                <w:rFonts w:ascii="Calibri" w:eastAsia="Times New Roman" w:hAnsi="Calibri" w:cs="Calibri"/>
                <w:color w:val="0D0D0D"/>
              </w:rPr>
            </w:pPr>
            <w:r w:rsidRPr="005F7BC7">
              <w:rPr>
                <w:rFonts w:ascii="Calibri" w:eastAsia="Times New Roman" w:hAnsi="Calibri" w:cs="Calibri"/>
                <w:color w:val="0D0D0D"/>
              </w:rPr>
              <w:t>Total unearned revenue and deposits</w:t>
            </w:r>
          </w:p>
        </w:tc>
        <w:tc>
          <w:tcPr>
            <w:tcW w:w="1244" w:type="dxa"/>
            <w:tcBorders>
              <w:top w:val="single" w:sz="4" w:space="0" w:color="00688D"/>
              <w:left w:val="nil"/>
              <w:bottom w:val="double" w:sz="6" w:space="0" w:color="00688D"/>
              <w:right w:val="nil"/>
            </w:tcBorders>
            <w:shd w:val="clear" w:color="000000" w:fill="FFFFFF"/>
            <w:noWrap/>
            <w:vAlign w:val="bottom"/>
            <w:hideMark/>
          </w:tcPr>
          <w:p w14:paraId="7CC6DDEC" w14:textId="77777777" w:rsidR="00721CFD" w:rsidRPr="00E13594" w:rsidRDefault="00721CFD" w:rsidP="007B5BB3">
            <w:pPr>
              <w:jc w:val="right"/>
              <w:rPr>
                <w:rFonts w:ascii="Calibri" w:eastAsia="Times New Roman" w:hAnsi="Calibri" w:cs="Calibri"/>
                <w:color w:val="FF0000"/>
              </w:rPr>
            </w:pPr>
            <w:r w:rsidRPr="00363735">
              <w:rPr>
                <w:rFonts w:ascii="Calibri" w:eastAsia="Times New Roman" w:hAnsi="Calibri" w:cs="Calibri"/>
              </w:rPr>
              <w:t xml:space="preserve">$      </w:t>
            </w:r>
            <w:r w:rsidRPr="00E13594">
              <w:rPr>
                <w:rFonts w:ascii="Calibri" w:eastAsia="Times New Roman" w:hAnsi="Calibri" w:cs="Calibri"/>
              </w:rPr>
              <w:t>26,894</w:t>
            </w:r>
          </w:p>
        </w:tc>
        <w:tc>
          <w:tcPr>
            <w:tcW w:w="1244"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743CA9EE" w14:textId="2D7E4246" w:rsidR="00721CFD" w:rsidRPr="005F7BC7" w:rsidRDefault="00721CFD">
            <w:pPr>
              <w:jc w:val="right"/>
              <w:rPr>
                <w:rFonts w:ascii="Calibri" w:eastAsia="Times New Roman" w:hAnsi="Calibri" w:cs="Calibri"/>
                <w:color w:val="0D0D0D"/>
              </w:rPr>
            </w:pPr>
            <w:r w:rsidRPr="00757763">
              <w:rPr>
                <w:rFonts w:ascii="Calibri" w:eastAsia="Times New Roman" w:hAnsi="Calibri" w:cs="Calibri"/>
              </w:rPr>
              <w:t>$      19,</w:t>
            </w:r>
            <w:r w:rsidR="00FB20BE" w:rsidRPr="00757763">
              <w:rPr>
                <w:rFonts w:ascii="Calibri" w:eastAsia="Times New Roman" w:hAnsi="Calibri" w:cs="Calibri"/>
              </w:rPr>
              <w:t>0</w:t>
            </w:r>
            <w:r w:rsidR="00FB20BE">
              <w:rPr>
                <w:rFonts w:ascii="Calibri" w:eastAsia="Times New Roman" w:hAnsi="Calibri" w:cs="Calibri"/>
              </w:rPr>
              <w:t>6</w:t>
            </w:r>
            <w:r w:rsidR="00FB20BE" w:rsidRPr="00757763">
              <w:rPr>
                <w:rFonts w:ascii="Calibri" w:eastAsia="Times New Roman" w:hAnsi="Calibri" w:cs="Calibri"/>
              </w:rPr>
              <w:t>9</w:t>
            </w:r>
          </w:p>
        </w:tc>
      </w:tr>
    </w:tbl>
    <w:p w14:paraId="58C63AE2" w14:textId="453FBBF8" w:rsidR="00721CFD" w:rsidRDefault="00721CFD" w:rsidP="00721CFD">
      <w:pPr>
        <w:spacing w:before="240"/>
        <w:rPr>
          <w:rFonts w:cstheme="minorHAnsi"/>
          <w:sz w:val="24"/>
          <w:szCs w:val="24"/>
        </w:rPr>
      </w:pPr>
      <w:r w:rsidRPr="00F54559">
        <w:rPr>
          <w:rFonts w:cstheme="minorHAnsi"/>
          <w:sz w:val="24"/>
          <w:szCs w:val="24"/>
        </w:rPr>
        <w:t>The System recognizes grant and contract revenue to the extent that it has fulfilled the eligibility requirements (e.g., incurred allowable costs) of the grant or contract award.  Some awards pay the System in advance of the System fulfilling its obligations.  In such situations, the System reports the cash as an asset and the offset as unearned revenue and deposits, a current liability, in the Statements of Net Position (see unearned grant advances in the above table).</w:t>
      </w:r>
    </w:p>
    <w:p w14:paraId="391AE166" w14:textId="42E16351" w:rsidR="005273CC" w:rsidRDefault="005273CC" w:rsidP="00721CFD">
      <w:pPr>
        <w:spacing w:before="240"/>
        <w:rPr>
          <w:rFonts w:cstheme="minorHAnsi"/>
          <w:sz w:val="24"/>
          <w:szCs w:val="24"/>
        </w:rPr>
      </w:pPr>
    </w:p>
    <w:p w14:paraId="5BAC056C" w14:textId="52C93ED9" w:rsidR="005273CC" w:rsidRPr="009A7150" w:rsidRDefault="008D4532" w:rsidP="00C00CBD">
      <w:pPr>
        <w:spacing w:before="240" w:after="240"/>
        <w:rPr>
          <w:rFonts w:cstheme="minorHAnsi"/>
          <w:sz w:val="24"/>
          <w:szCs w:val="24"/>
        </w:rPr>
      </w:pPr>
      <w:r w:rsidRPr="009A7150">
        <w:rPr>
          <w:rFonts w:eastAsiaTheme="majorEastAsia" w:cstheme="minorHAnsi"/>
          <w:b/>
          <w:i/>
          <w:iCs/>
          <w:smallCaps/>
          <w:noProof/>
          <w:color w:val="000000" w:themeColor="text1"/>
          <w:sz w:val="26"/>
          <w:szCs w:val="26"/>
        </w:rPr>
        <w:lastRenderedPageBreak/>
        <w:t>8. UNEARNED REVENUE AND DEPOSITS - CONTINUED</w:t>
      </w:r>
    </w:p>
    <w:p w14:paraId="3DB7897D" w14:textId="77777777" w:rsidR="00721CFD" w:rsidRPr="00F54559" w:rsidRDefault="00721CFD" w:rsidP="00721CFD">
      <w:pPr>
        <w:rPr>
          <w:rFonts w:cstheme="minorHAnsi"/>
          <w:sz w:val="24"/>
          <w:szCs w:val="24"/>
        </w:rPr>
      </w:pPr>
      <w:r w:rsidRPr="00F54559">
        <w:rPr>
          <w:rFonts w:cstheme="minorHAnsi"/>
          <w:sz w:val="24"/>
          <w:szCs w:val="24"/>
        </w:rPr>
        <w:t>The vast majority of grant and contract awards made to the System pay the funds to the System on a reimbursement basis.  To the extent that the System has eligible, unreimbursed expenses, it recognizes a grant receivable in the Statements of Net Position.  The System excludes from its financial statements the portion of an award not currently reimbursable because the System has not yet met the eligibility requirements.  As of June 30, 20</w:t>
      </w:r>
      <w:r>
        <w:rPr>
          <w:rFonts w:cstheme="minorHAnsi"/>
          <w:sz w:val="24"/>
          <w:szCs w:val="24"/>
        </w:rPr>
        <w:t>22</w:t>
      </w:r>
      <w:r w:rsidRPr="00F54559">
        <w:rPr>
          <w:rFonts w:cstheme="minorHAnsi"/>
          <w:sz w:val="24"/>
          <w:szCs w:val="24"/>
        </w:rPr>
        <w:t xml:space="preserve"> and 20</w:t>
      </w:r>
      <w:r>
        <w:rPr>
          <w:rFonts w:cstheme="minorHAnsi"/>
          <w:sz w:val="24"/>
          <w:szCs w:val="24"/>
        </w:rPr>
        <w:t>21</w:t>
      </w:r>
      <w:r w:rsidRPr="00F54559">
        <w:rPr>
          <w:rFonts w:cstheme="minorHAnsi"/>
          <w:sz w:val="24"/>
          <w:szCs w:val="24"/>
        </w:rPr>
        <w:t>, the portion of outstanding awards excluded from the financial statements totaled $</w:t>
      </w:r>
      <w:r>
        <w:rPr>
          <w:rFonts w:cstheme="minorHAnsi"/>
          <w:sz w:val="24"/>
          <w:szCs w:val="24"/>
        </w:rPr>
        <w:t>71,848</w:t>
      </w:r>
      <w:r w:rsidRPr="00740B88">
        <w:rPr>
          <w:rFonts w:cstheme="minorHAnsi"/>
          <w:sz w:val="24"/>
          <w:szCs w:val="24"/>
        </w:rPr>
        <w:t xml:space="preserve"> </w:t>
      </w:r>
      <w:r w:rsidRPr="00F54559">
        <w:rPr>
          <w:rFonts w:cstheme="minorHAnsi"/>
          <w:sz w:val="24"/>
          <w:szCs w:val="24"/>
        </w:rPr>
        <w:t>and $</w:t>
      </w:r>
      <w:r>
        <w:rPr>
          <w:rFonts w:cstheme="minorHAnsi"/>
          <w:sz w:val="24"/>
          <w:szCs w:val="24"/>
        </w:rPr>
        <w:t>127,831</w:t>
      </w:r>
      <w:r w:rsidRPr="00F54559">
        <w:rPr>
          <w:rFonts w:cstheme="minorHAnsi"/>
          <w:sz w:val="24"/>
          <w:szCs w:val="24"/>
        </w:rPr>
        <w:t>, respectively.</w:t>
      </w:r>
    </w:p>
    <w:p w14:paraId="45225D06" w14:textId="77777777" w:rsidR="00721CFD" w:rsidRPr="00F54559" w:rsidRDefault="00721CFD" w:rsidP="00721CFD">
      <w:pPr>
        <w:pStyle w:val="AFR2"/>
        <w:rPr>
          <w:rFonts w:cstheme="minorHAnsi"/>
          <w:sz w:val="26"/>
          <w:szCs w:val="26"/>
        </w:rPr>
      </w:pPr>
      <w:r w:rsidRPr="00F54559">
        <w:rPr>
          <w:rFonts w:cstheme="minorHAnsi"/>
          <w:sz w:val="26"/>
          <w:szCs w:val="26"/>
        </w:rPr>
        <w:t>9. GOVERNMENT ADVANCES REFUNDABLE</w:t>
      </w:r>
    </w:p>
    <w:p w14:paraId="52577623" w14:textId="7EA7FB7A" w:rsidR="00721CFD" w:rsidRPr="00C95891" w:rsidRDefault="00721CFD" w:rsidP="00721CFD">
      <w:pPr>
        <w:tabs>
          <w:tab w:val="left" w:pos="720"/>
          <w:tab w:val="left" w:pos="1022"/>
          <w:tab w:val="left" w:pos="1440"/>
          <w:tab w:val="center" w:pos="3960"/>
          <w:tab w:val="right" w:pos="5220"/>
          <w:tab w:val="right" w:pos="6691"/>
          <w:tab w:val="right" w:pos="7621"/>
          <w:tab w:val="right" w:pos="9187"/>
        </w:tabs>
        <w:suppressAutoHyphens/>
        <w:rPr>
          <w:rFonts w:cstheme="minorHAnsi"/>
          <w:sz w:val="24"/>
          <w:szCs w:val="24"/>
        </w:rPr>
      </w:pPr>
      <w:r w:rsidRPr="00F54559">
        <w:rPr>
          <w:rFonts w:cstheme="minorHAnsi"/>
          <w:bCs/>
          <w:spacing w:val="-3"/>
          <w:sz w:val="24"/>
        </w:rPr>
        <w:t xml:space="preserve">The System participates in the Federal Perkins Loan and Nursing Loan Programs.  These programs are funded through a combination of </w:t>
      </w:r>
      <w:r>
        <w:rPr>
          <w:rFonts w:cstheme="minorHAnsi"/>
          <w:bCs/>
          <w:spacing w:val="-3"/>
          <w:sz w:val="24"/>
        </w:rPr>
        <w:t>f</w:t>
      </w:r>
      <w:r w:rsidRPr="00F54559">
        <w:rPr>
          <w:rFonts w:cstheme="minorHAnsi"/>
          <w:bCs/>
          <w:spacing w:val="-3"/>
          <w:sz w:val="24"/>
        </w:rPr>
        <w:t xml:space="preserve">ederal and </w:t>
      </w:r>
      <w:r>
        <w:rPr>
          <w:rFonts w:cstheme="minorHAnsi"/>
          <w:bCs/>
          <w:spacing w:val="-3"/>
          <w:sz w:val="24"/>
        </w:rPr>
        <w:t>i</w:t>
      </w:r>
      <w:r w:rsidRPr="00F54559">
        <w:rPr>
          <w:rFonts w:cstheme="minorHAnsi"/>
          <w:bCs/>
          <w:spacing w:val="-3"/>
          <w:sz w:val="24"/>
        </w:rPr>
        <w:t xml:space="preserve">nstitutional resources.  The portion of these programs that has been funded with </w:t>
      </w:r>
      <w:r>
        <w:rPr>
          <w:rFonts w:cstheme="minorHAnsi"/>
          <w:bCs/>
          <w:spacing w:val="-3"/>
          <w:sz w:val="24"/>
        </w:rPr>
        <w:t>f</w:t>
      </w:r>
      <w:r w:rsidRPr="00F54559">
        <w:rPr>
          <w:rFonts w:cstheme="minorHAnsi"/>
          <w:bCs/>
          <w:spacing w:val="-3"/>
          <w:sz w:val="24"/>
        </w:rPr>
        <w:t>ederal funds is ultimately refundable to the U.S. Government upon the termination of the System’s participation in the programs.  The portion that would be refundable if the programs were terminated as of June 30, 20</w:t>
      </w:r>
      <w:r>
        <w:rPr>
          <w:rFonts w:cstheme="minorHAnsi"/>
          <w:bCs/>
          <w:spacing w:val="-3"/>
          <w:sz w:val="24"/>
        </w:rPr>
        <w:t>22</w:t>
      </w:r>
      <w:r w:rsidRPr="00F54559">
        <w:rPr>
          <w:rFonts w:cstheme="minorHAnsi"/>
          <w:bCs/>
          <w:spacing w:val="-3"/>
          <w:sz w:val="24"/>
        </w:rPr>
        <w:t xml:space="preserve"> and 20</w:t>
      </w:r>
      <w:r>
        <w:rPr>
          <w:rFonts w:cstheme="minorHAnsi"/>
          <w:bCs/>
          <w:spacing w:val="-3"/>
          <w:sz w:val="24"/>
        </w:rPr>
        <w:t>21</w:t>
      </w:r>
      <w:r w:rsidRPr="00F54559">
        <w:rPr>
          <w:rFonts w:cstheme="minorHAnsi"/>
          <w:bCs/>
          <w:spacing w:val="-3"/>
          <w:sz w:val="24"/>
        </w:rPr>
        <w:t xml:space="preserve"> has been included in the accompanying Statements of Net Position as a noncurrent liability.</w:t>
      </w:r>
    </w:p>
    <w:p w14:paraId="166AD0EC" w14:textId="77777777" w:rsidR="005B6CCB" w:rsidRDefault="005B6CCB">
      <w:pPr>
        <w:spacing w:after="160" w:line="259" w:lineRule="auto"/>
        <w:rPr>
          <w:rFonts w:eastAsiaTheme="majorEastAsia" w:cstheme="minorHAnsi"/>
          <w:b/>
          <w:i/>
          <w:iCs/>
          <w:smallCaps/>
          <w:noProof/>
          <w:sz w:val="26"/>
          <w:szCs w:val="26"/>
          <w:u w:color="5B9BD5"/>
        </w:rPr>
      </w:pPr>
      <w:r>
        <w:rPr>
          <w:rFonts w:cstheme="minorHAnsi"/>
          <w:sz w:val="26"/>
          <w:szCs w:val="26"/>
        </w:rPr>
        <w:br w:type="page"/>
      </w:r>
    </w:p>
    <w:p w14:paraId="005BF715" w14:textId="415C8BC5" w:rsidR="00721CFD" w:rsidRPr="00994168" w:rsidRDefault="00721CFD" w:rsidP="00721CFD">
      <w:pPr>
        <w:pStyle w:val="AFR2"/>
        <w:rPr>
          <w:rFonts w:cstheme="minorHAnsi"/>
          <w:color w:val="auto"/>
          <w:sz w:val="26"/>
          <w:szCs w:val="26"/>
        </w:rPr>
      </w:pPr>
      <w:r w:rsidRPr="00994168">
        <w:rPr>
          <w:rFonts w:cstheme="minorHAnsi"/>
          <w:color w:val="auto"/>
          <w:sz w:val="26"/>
          <w:szCs w:val="26"/>
        </w:rPr>
        <w:lastRenderedPageBreak/>
        <w:t>10. NET POSITION</w:t>
      </w:r>
    </w:p>
    <w:p w14:paraId="6322965A" w14:textId="0D67617F" w:rsidR="00721CFD" w:rsidRPr="00F54559" w:rsidRDefault="00721CFD" w:rsidP="00721CFD">
      <w:pPr>
        <w:tabs>
          <w:tab w:val="left" w:pos="720"/>
          <w:tab w:val="left" w:pos="1022"/>
          <w:tab w:val="left" w:pos="1440"/>
          <w:tab w:val="center" w:pos="3960"/>
          <w:tab w:val="right" w:pos="5220"/>
          <w:tab w:val="right" w:pos="6691"/>
          <w:tab w:val="right" w:pos="7621"/>
          <w:tab w:val="right" w:pos="9187"/>
        </w:tabs>
        <w:suppressAutoHyphens/>
        <w:spacing w:after="240"/>
        <w:rPr>
          <w:rFonts w:eastAsia="Times New Roman" w:cstheme="minorHAnsi"/>
          <w:b/>
          <w:bCs/>
          <w:i/>
          <w:iCs/>
          <w:smallCaps/>
          <w:spacing w:val="-3"/>
          <w:sz w:val="24"/>
          <w:szCs w:val="24"/>
        </w:rPr>
      </w:pPr>
      <w:r w:rsidRPr="00F54559">
        <w:rPr>
          <w:rFonts w:eastAsia="Times New Roman" w:cstheme="minorHAnsi"/>
          <w:bCs/>
          <w:spacing w:val="-3"/>
          <w:sz w:val="24"/>
          <w:szCs w:val="24"/>
        </w:rPr>
        <w:t>The System’s net position is composed of the following as of June 30:</w:t>
      </w:r>
      <w:r>
        <w:rPr>
          <w:rFonts w:eastAsia="Times New Roman" w:cstheme="minorHAnsi"/>
          <w:b/>
          <w:bCs/>
          <w:i/>
          <w:iCs/>
          <w:smallCaps/>
          <w:spacing w:val="-3"/>
          <w:sz w:val="24"/>
          <w:szCs w:val="24"/>
        </w:rPr>
        <w:fldChar w:fldCharType="begin"/>
      </w:r>
      <w:r>
        <w:rPr>
          <w:rFonts w:eastAsia="Times New Roman" w:cstheme="minorHAnsi"/>
          <w:b/>
          <w:bCs/>
          <w:i/>
          <w:iCs/>
          <w:smallCaps/>
          <w:spacing w:val="-3"/>
          <w:sz w:val="24"/>
          <w:szCs w:val="24"/>
        </w:rPr>
        <w:fldChar w:fldCharType="end"/>
      </w:r>
    </w:p>
    <w:tbl>
      <w:tblPr>
        <w:tblW w:w="8820" w:type="dxa"/>
        <w:jc w:val="center"/>
        <w:tblLook w:val="04A0" w:firstRow="1" w:lastRow="0" w:firstColumn="1" w:lastColumn="0" w:noHBand="0" w:noVBand="1"/>
      </w:tblPr>
      <w:tblGrid>
        <w:gridCol w:w="6047"/>
        <w:gridCol w:w="1423"/>
        <w:gridCol w:w="1350"/>
      </w:tblGrid>
      <w:tr w:rsidR="00721CFD" w:rsidRPr="005F7BC7" w14:paraId="0DAEBDD2" w14:textId="77777777" w:rsidTr="007B5BB3">
        <w:trPr>
          <w:trHeight w:val="300"/>
          <w:tblHeader/>
          <w:jc w:val="center"/>
        </w:trPr>
        <w:tc>
          <w:tcPr>
            <w:tcW w:w="6047" w:type="dxa"/>
            <w:tcBorders>
              <w:top w:val="nil"/>
              <w:left w:val="nil"/>
              <w:bottom w:val="single" w:sz="12" w:space="0" w:color="00688D"/>
              <w:right w:val="nil"/>
            </w:tcBorders>
            <w:shd w:val="clear" w:color="000000" w:fill="FFFFFF"/>
            <w:noWrap/>
            <w:vAlign w:val="bottom"/>
            <w:hideMark/>
          </w:tcPr>
          <w:p w14:paraId="40EEDD9A" w14:textId="77777777" w:rsidR="00721CFD" w:rsidRPr="001A18A6" w:rsidRDefault="00721CFD" w:rsidP="007B5BB3">
            <w:pPr>
              <w:rPr>
                <w:rFonts w:eastAsia="Times New Roman" w:cstheme="minorHAnsi"/>
                <w:b/>
                <w:bCs/>
                <w:color w:val="0D0D0D"/>
                <w:szCs w:val="24"/>
              </w:rPr>
            </w:pPr>
            <w:r w:rsidRPr="001A18A6">
              <w:rPr>
                <w:rFonts w:eastAsia="Times New Roman" w:cstheme="minorHAnsi"/>
                <w:b/>
                <w:bCs/>
                <w:color w:val="0D0D0D"/>
                <w:szCs w:val="24"/>
              </w:rPr>
              <w:t> </w:t>
            </w:r>
          </w:p>
        </w:tc>
        <w:tc>
          <w:tcPr>
            <w:tcW w:w="1423" w:type="dxa"/>
            <w:tcBorders>
              <w:top w:val="nil"/>
              <w:left w:val="nil"/>
              <w:bottom w:val="single" w:sz="12" w:space="0" w:color="00688D"/>
              <w:right w:val="nil"/>
            </w:tcBorders>
            <w:shd w:val="clear" w:color="000000" w:fill="FFFFFF"/>
            <w:noWrap/>
            <w:vAlign w:val="bottom"/>
            <w:hideMark/>
          </w:tcPr>
          <w:p w14:paraId="26B83C2E" w14:textId="77777777" w:rsidR="00721CFD" w:rsidRPr="001A18A6" w:rsidRDefault="00721CFD" w:rsidP="007B5BB3">
            <w:pPr>
              <w:jc w:val="center"/>
              <w:rPr>
                <w:rFonts w:eastAsia="Times New Roman" w:cstheme="minorHAnsi"/>
                <w:b/>
                <w:bCs/>
                <w:color w:val="0D0D0D"/>
                <w:szCs w:val="24"/>
              </w:rPr>
            </w:pPr>
            <w:r w:rsidRPr="001A18A6">
              <w:rPr>
                <w:rFonts w:eastAsia="Times New Roman" w:cstheme="minorHAnsi"/>
                <w:b/>
                <w:bCs/>
                <w:color w:val="0D0D0D"/>
                <w:szCs w:val="24"/>
              </w:rPr>
              <w:t>202</w:t>
            </w:r>
            <w:r>
              <w:rPr>
                <w:rFonts w:eastAsia="Times New Roman" w:cstheme="minorHAnsi"/>
                <w:b/>
                <w:bCs/>
                <w:color w:val="0D0D0D"/>
                <w:szCs w:val="24"/>
              </w:rPr>
              <w:t>2</w:t>
            </w:r>
          </w:p>
        </w:tc>
        <w:tc>
          <w:tcPr>
            <w:tcW w:w="1350" w:type="dxa"/>
            <w:tcBorders>
              <w:top w:val="nil"/>
              <w:left w:val="nil"/>
              <w:bottom w:val="single" w:sz="12" w:space="0" w:color="00688D"/>
              <w:right w:val="nil"/>
            </w:tcBorders>
            <w:shd w:val="clear" w:color="auto" w:fill="D9D9D9" w:themeFill="background1" w:themeFillShade="D9"/>
            <w:noWrap/>
            <w:vAlign w:val="bottom"/>
            <w:hideMark/>
          </w:tcPr>
          <w:p w14:paraId="7BC99CE4" w14:textId="77777777" w:rsidR="00721CFD" w:rsidRDefault="00721CFD" w:rsidP="007B5BB3">
            <w:pPr>
              <w:jc w:val="center"/>
              <w:rPr>
                <w:rFonts w:eastAsia="Times New Roman" w:cstheme="minorHAnsi"/>
                <w:b/>
                <w:bCs/>
                <w:color w:val="0D0D0D"/>
                <w:szCs w:val="24"/>
              </w:rPr>
            </w:pPr>
            <w:r>
              <w:rPr>
                <w:rFonts w:eastAsia="Times New Roman" w:cstheme="minorHAnsi"/>
                <w:b/>
                <w:bCs/>
                <w:color w:val="0D0D0D"/>
                <w:szCs w:val="24"/>
              </w:rPr>
              <w:t>2021</w:t>
            </w:r>
          </w:p>
          <w:p w14:paraId="04E98562" w14:textId="3CA447F4" w:rsidR="003C6997" w:rsidRPr="001A18A6" w:rsidRDefault="003C6997" w:rsidP="007B5BB3">
            <w:pPr>
              <w:jc w:val="center"/>
              <w:rPr>
                <w:rFonts w:eastAsia="Times New Roman" w:cstheme="minorHAnsi"/>
                <w:b/>
                <w:bCs/>
                <w:color w:val="0D0D0D"/>
                <w:szCs w:val="24"/>
              </w:rPr>
            </w:pPr>
            <w:r>
              <w:rPr>
                <w:rFonts w:eastAsia="Times New Roman" w:cstheme="minorHAnsi"/>
                <w:b/>
                <w:bCs/>
                <w:color w:val="0D0D0D"/>
                <w:szCs w:val="24"/>
              </w:rPr>
              <w:t>Restated</w:t>
            </w:r>
          </w:p>
        </w:tc>
      </w:tr>
      <w:tr w:rsidR="00721CFD" w:rsidRPr="005F7BC7" w14:paraId="6096BCFE" w14:textId="77777777" w:rsidTr="007B5BB3">
        <w:trPr>
          <w:trHeight w:val="390"/>
          <w:jc w:val="center"/>
        </w:trPr>
        <w:tc>
          <w:tcPr>
            <w:tcW w:w="6047" w:type="dxa"/>
            <w:tcBorders>
              <w:top w:val="nil"/>
              <w:left w:val="nil"/>
              <w:bottom w:val="single" w:sz="4" w:space="0" w:color="00688D"/>
              <w:right w:val="nil"/>
            </w:tcBorders>
            <w:shd w:val="clear" w:color="000000" w:fill="FFFFFF"/>
            <w:noWrap/>
            <w:vAlign w:val="bottom"/>
            <w:hideMark/>
          </w:tcPr>
          <w:p w14:paraId="03B4E421" w14:textId="77777777" w:rsidR="00721CFD" w:rsidRPr="001A18A6" w:rsidRDefault="00721CFD" w:rsidP="007B5BB3">
            <w:pPr>
              <w:rPr>
                <w:rFonts w:eastAsia="Times New Roman" w:cstheme="minorHAnsi"/>
                <w:color w:val="0D0D0D"/>
                <w:szCs w:val="24"/>
              </w:rPr>
            </w:pPr>
            <w:r w:rsidRPr="001A18A6">
              <w:rPr>
                <w:rFonts w:eastAsia="Times New Roman" w:cstheme="minorHAnsi"/>
                <w:color w:val="0D0D0D"/>
                <w:szCs w:val="24"/>
              </w:rPr>
              <w:t>Net investment in capital assets</w:t>
            </w:r>
          </w:p>
        </w:tc>
        <w:tc>
          <w:tcPr>
            <w:tcW w:w="1423" w:type="dxa"/>
            <w:tcBorders>
              <w:top w:val="nil"/>
              <w:left w:val="nil"/>
              <w:bottom w:val="single" w:sz="4" w:space="0" w:color="00688D"/>
              <w:right w:val="nil"/>
            </w:tcBorders>
            <w:shd w:val="clear" w:color="000000" w:fill="FFFFFF"/>
            <w:noWrap/>
            <w:vAlign w:val="bottom"/>
            <w:hideMark/>
          </w:tcPr>
          <w:p w14:paraId="4DA07A5D" w14:textId="06751C82" w:rsidR="00721CFD" w:rsidRPr="00B861F2" w:rsidRDefault="00721CFD">
            <w:pPr>
              <w:jc w:val="right"/>
              <w:rPr>
                <w:rFonts w:eastAsia="Times New Roman" w:cstheme="minorHAnsi"/>
                <w:szCs w:val="24"/>
              </w:rPr>
            </w:pPr>
            <w:r w:rsidRPr="00B861F2">
              <w:rPr>
                <w:rFonts w:eastAsia="Times New Roman" w:cstheme="minorHAnsi"/>
                <w:szCs w:val="24"/>
              </w:rPr>
              <w:t xml:space="preserve">$   </w:t>
            </w:r>
            <w:r w:rsidR="002B144B">
              <w:rPr>
                <w:rFonts w:eastAsia="Times New Roman" w:cstheme="minorHAnsi"/>
                <w:szCs w:val="24"/>
              </w:rPr>
              <w:t>588,972</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20831A5A" w14:textId="55D35A2D" w:rsidR="00721CFD" w:rsidRPr="001A18A6" w:rsidRDefault="00721CFD" w:rsidP="00C424F1">
            <w:pPr>
              <w:jc w:val="right"/>
              <w:rPr>
                <w:rFonts w:eastAsia="Times New Roman" w:cstheme="minorHAnsi"/>
                <w:color w:val="0D0D0D"/>
                <w:szCs w:val="24"/>
              </w:rPr>
            </w:pPr>
            <w:r w:rsidRPr="001A18A6">
              <w:rPr>
                <w:rFonts w:eastAsia="Times New Roman" w:cstheme="minorHAnsi"/>
                <w:color w:val="0D0D0D"/>
                <w:szCs w:val="24"/>
              </w:rPr>
              <w:t xml:space="preserve">$   </w:t>
            </w:r>
            <w:r w:rsidR="00901112">
              <w:rPr>
                <w:rFonts w:eastAsia="Times New Roman" w:cstheme="minorHAnsi"/>
                <w:color w:val="0D0D0D"/>
                <w:szCs w:val="24"/>
              </w:rPr>
              <w:t>548,693</w:t>
            </w:r>
          </w:p>
        </w:tc>
      </w:tr>
      <w:tr w:rsidR="00721CFD" w:rsidRPr="005F7BC7" w14:paraId="56FB96DE"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11DD555C" w14:textId="77777777" w:rsidR="00721CFD" w:rsidRPr="001A18A6" w:rsidRDefault="00721CFD" w:rsidP="007B5BB3">
            <w:pPr>
              <w:rPr>
                <w:rFonts w:eastAsia="Times New Roman" w:cstheme="minorHAnsi"/>
                <w:color w:val="0D0D0D"/>
                <w:szCs w:val="24"/>
              </w:rPr>
            </w:pPr>
            <w:r w:rsidRPr="001A18A6">
              <w:rPr>
                <w:rFonts w:eastAsia="Times New Roman" w:cstheme="minorHAnsi"/>
                <w:color w:val="0D0D0D"/>
                <w:szCs w:val="24"/>
              </w:rPr>
              <w:t>Restricted - Nonexpendable:</w:t>
            </w:r>
          </w:p>
        </w:tc>
        <w:tc>
          <w:tcPr>
            <w:tcW w:w="1423" w:type="dxa"/>
            <w:tcBorders>
              <w:top w:val="nil"/>
              <w:left w:val="nil"/>
              <w:bottom w:val="nil"/>
              <w:right w:val="nil"/>
            </w:tcBorders>
            <w:shd w:val="clear" w:color="000000" w:fill="FFFFFF"/>
            <w:noWrap/>
            <w:vAlign w:val="bottom"/>
            <w:hideMark/>
          </w:tcPr>
          <w:p w14:paraId="73207246" w14:textId="77777777" w:rsidR="00721CFD" w:rsidRPr="00B861F2" w:rsidRDefault="00721CFD" w:rsidP="007B5BB3">
            <w:pPr>
              <w:jc w:val="right"/>
              <w:rPr>
                <w:rFonts w:eastAsia="Times New Roman" w:cstheme="minorHAnsi"/>
                <w:szCs w:val="24"/>
              </w:rPr>
            </w:pPr>
            <w:r w:rsidRPr="00B861F2">
              <w:rPr>
                <w:rFonts w:eastAsia="Times New Roman" w:cstheme="minorHAnsi"/>
                <w:szCs w:val="24"/>
              </w:rPr>
              <w:t> </w:t>
            </w:r>
          </w:p>
        </w:tc>
        <w:tc>
          <w:tcPr>
            <w:tcW w:w="1350" w:type="dxa"/>
            <w:tcBorders>
              <w:top w:val="nil"/>
              <w:left w:val="nil"/>
              <w:bottom w:val="nil"/>
              <w:right w:val="nil"/>
            </w:tcBorders>
            <w:shd w:val="clear" w:color="auto" w:fill="D9D9D9" w:themeFill="background1" w:themeFillShade="D9"/>
            <w:noWrap/>
            <w:vAlign w:val="bottom"/>
            <w:hideMark/>
          </w:tcPr>
          <w:p w14:paraId="3ECCEF0D" w14:textId="77777777" w:rsidR="00721CFD" w:rsidRPr="001A18A6" w:rsidRDefault="00721CFD" w:rsidP="007B5BB3">
            <w:pPr>
              <w:jc w:val="right"/>
              <w:rPr>
                <w:rFonts w:eastAsia="Times New Roman" w:cstheme="minorHAnsi"/>
                <w:color w:val="0D0D0D"/>
                <w:szCs w:val="24"/>
              </w:rPr>
            </w:pPr>
            <w:r w:rsidRPr="001A18A6">
              <w:rPr>
                <w:rFonts w:eastAsia="Times New Roman" w:cstheme="minorHAnsi"/>
                <w:color w:val="0D0D0D"/>
                <w:szCs w:val="24"/>
              </w:rPr>
              <w:t> </w:t>
            </w:r>
          </w:p>
        </w:tc>
      </w:tr>
      <w:tr w:rsidR="00721CFD" w:rsidRPr="005F7BC7" w14:paraId="1A12EC76" w14:textId="77777777" w:rsidTr="007B5BB3">
        <w:trPr>
          <w:trHeight w:val="288"/>
          <w:jc w:val="center"/>
        </w:trPr>
        <w:tc>
          <w:tcPr>
            <w:tcW w:w="6047" w:type="dxa"/>
            <w:tcBorders>
              <w:top w:val="nil"/>
              <w:left w:val="nil"/>
              <w:bottom w:val="single" w:sz="4" w:space="0" w:color="00688D"/>
              <w:right w:val="nil"/>
            </w:tcBorders>
            <w:shd w:val="clear" w:color="000000" w:fill="FFFFFF"/>
            <w:noWrap/>
            <w:vAlign w:val="bottom"/>
            <w:hideMark/>
          </w:tcPr>
          <w:p w14:paraId="0CD7B7FD"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Endowment funds</w:t>
            </w:r>
          </w:p>
        </w:tc>
        <w:tc>
          <w:tcPr>
            <w:tcW w:w="1423" w:type="dxa"/>
            <w:tcBorders>
              <w:top w:val="nil"/>
              <w:left w:val="nil"/>
              <w:bottom w:val="single" w:sz="4" w:space="0" w:color="00688D"/>
              <w:right w:val="nil"/>
            </w:tcBorders>
            <w:shd w:val="clear" w:color="000000" w:fill="FFFFFF"/>
            <w:noWrap/>
            <w:vAlign w:val="bottom"/>
            <w:hideMark/>
          </w:tcPr>
          <w:p w14:paraId="4ABA299E" w14:textId="77777777" w:rsidR="00721CFD" w:rsidRPr="00B861F2" w:rsidRDefault="00721CFD" w:rsidP="007B5BB3">
            <w:pPr>
              <w:jc w:val="right"/>
              <w:rPr>
                <w:rFonts w:eastAsia="Times New Roman" w:cstheme="minorHAnsi"/>
                <w:szCs w:val="24"/>
              </w:rPr>
            </w:pPr>
            <w:r w:rsidRPr="00B861F2">
              <w:rPr>
                <w:rFonts w:eastAsia="Times New Roman" w:cstheme="minorHAnsi"/>
                <w:szCs w:val="24"/>
              </w:rPr>
              <w:t>71,249</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62DB81E4" w14:textId="77777777" w:rsidR="00721CFD" w:rsidRPr="001A18A6" w:rsidRDefault="00721CFD" w:rsidP="007B5BB3">
            <w:pPr>
              <w:jc w:val="right"/>
              <w:rPr>
                <w:rFonts w:eastAsia="Times New Roman" w:cstheme="minorHAnsi"/>
                <w:color w:val="0D0D0D"/>
                <w:szCs w:val="24"/>
              </w:rPr>
            </w:pPr>
            <w:r>
              <w:rPr>
                <w:rFonts w:eastAsia="Times New Roman" w:cstheme="minorHAnsi"/>
                <w:color w:val="0D0D0D"/>
                <w:szCs w:val="24"/>
              </w:rPr>
              <w:t>69,149</w:t>
            </w:r>
          </w:p>
        </w:tc>
      </w:tr>
      <w:tr w:rsidR="00721CFD" w:rsidRPr="005F7BC7" w14:paraId="4FE37D70"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63061C2B" w14:textId="77777777" w:rsidR="00721CFD" w:rsidRPr="001A18A6" w:rsidRDefault="00721CFD" w:rsidP="007B5BB3">
            <w:pPr>
              <w:rPr>
                <w:rFonts w:eastAsia="Times New Roman" w:cstheme="minorHAnsi"/>
                <w:color w:val="0D0D0D"/>
                <w:szCs w:val="24"/>
              </w:rPr>
            </w:pPr>
            <w:r w:rsidRPr="001A18A6">
              <w:rPr>
                <w:rFonts w:eastAsia="Times New Roman" w:cstheme="minorHAnsi"/>
                <w:color w:val="0D0D0D"/>
                <w:szCs w:val="24"/>
              </w:rPr>
              <w:t>Restricted - Expendable:</w:t>
            </w:r>
          </w:p>
        </w:tc>
        <w:tc>
          <w:tcPr>
            <w:tcW w:w="1423" w:type="dxa"/>
            <w:tcBorders>
              <w:top w:val="nil"/>
              <w:left w:val="nil"/>
              <w:bottom w:val="nil"/>
              <w:right w:val="nil"/>
            </w:tcBorders>
            <w:shd w:val="clear" w:color="000000" w:fill="FFFFFF"/>
            <w:noWrap/>
            <w:vAlign w:val="bottom"/>
            <w:hideMark/>
          </w:tcPr>
          <w:p w14:paraId="7C738B63" w14:textId="77777777" w:rsidR="00721CFD" w:rsidRPr="00B861F2" w:rsidRDefault="00721CFD" w:rsidP="007B5BB3">
            <w:pPr>
              <w:jc w:val="right"/>
              <w:rPr>
                <w:rFonts w:eastAsia="Times New Roman" w:cstheme="minorHAnsi"/>
                <w:szCs w:val="24"/>
              </w:rPr>
            </w:pPr>
            <w:r w:rsidRPr="00B861F2">
              <w:rPr>
                <w:rFonts w:eastAsia="Times New Roman" w:cstheme="minorHAnsi"/>
                <w:szCs w:val="24"/>
              </w:rPr>
              <w:t> </w:t>
            </w:r>
          </w:p>
        </w:tc>
        <w:tc>
          <w:tcPr>
            <w:tcW w:w="1350" w:type="dxa"/>
            <w:tcBorders>
              <w:top w:val="nil"/>
              <w:left w:val="nil"/>
              <w:bottom w:val="nil"/>
              <w:right w:val="nil"/>
            </w:tcBorders>
            <w:shd w:val="clear" w:color="auto" w:fill="D9D9D9" w:themeFill="background1" w:themeFillShade="D9"/>
            <w:noWrap/>
            <w:vAlign w:val="bottom"/>
            <w:hideMark/>
          </w:tcPr>
          <w:p w14:paraId="77B75923" w14:textId="77777777" w:rsidR="00721CFD" w:rsidRPr="001A18A6" w:rsidRDefault="00721CFD" w:rsidP="007B5BB3">
            <w:pPr>
              <w:jc w:val="right"/>
              <w:rPr>
                <w:rFonts w:eastAsia="Times New Roman" w:cstheme="minorHAnsi"/>
                <w:color w:val="0D0D0D"/>
                <w:szCs w:val="24"/>
              </w:rPr>
            </w:pPr>
            <w:r w:rsidRPr="001A18A6">
              <w:rPr>
                <w:rFonts w:eastAsia="Times New Roman" w:cstheme="minorHAnsi"/>
                <w:color w:val="0D0D0D"/>
                <w:szCs w:val="24"/>
              </w:rPr>
              <w:t> </w:t>
            </w:r>
          </w:p>
        </w:tc>
      </w:tr>
      <w:tr w:rsidR="00721CFD" w:rsidRPr="005F7BC7" w14:paraId="23538C0F"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655016EA"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Student financial aid</w:t>
            </w:r>
          </w:p>
        </w:tc>
        <w:tc>
          <w:tcPr>
            <w:tcW w:w="1423" w:type="dxa"/>
            <w:tcBorders>
              <w:top w:val="nil"/>
              <w:left w:val="nil"/>
              <w:bottom w:val="nil"/>
              <w:right w:val="nil"/>
            </w:tcBorders>
            <w:shd w:val="clear" w:color="000000" w:fill="FFFFFF"/>
            <w:noWrap/>
            <w:vAlign w:val="bottom"/>
            <w:hideMark/>
          </w:tcPr>
          <w:p w14:paraId="4C8BF80F" w14:textId="77777777" w:rsidR="00721CFD" w:rsidRPr="00B861F2" w:rsidRDefault="00721CFD" w:rsidP="007B5BB3">
            <w:pPr>
              <w:jc w:val="right"/>
              <w:rPr>
                <w:rFonts w:eastAsia="Times New Roman" w:cstheme="minorHAnsi"/>
                <w:szCs w:val="24"/>
              </w:rPr>
            </w:pPr>
            <w:r w:rsidRPr="00B861F2">
              <w:rPr>
                <w:rFonts w:ascii="Calibri" w:hAnsi="Calibri" w:cs="Calibri"/>
              </w:rPr>
              <w:t>52,241</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30B82441"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63,081 </w:t>
            </w:r>
          </w:p>
        </w:tc>
      </w:tr>
      <w:tr w:rsidR="00721CFD" w:rsidRPr="005F7BC7" w14:paraId="50DE74CB"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5730E900"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Capital assets and retirement of debt</w:t>
            </w:r>
          </w:p>
        </w:tc>
        <w:tc>
          <w:tcPr>
            <w:tcW w:w="1423" w:type="dxa"/>
            <w:tcBorders>
              <w:top w:val="nil"/>
              <w:left w:val="nil"/>
              <w:bottom w:val="nil"/>
              <w:right w:val="nil"/>
            </w:tcBorders>
            <w:shd w:val="clear" w:color="000000" w:fill="FFFFFF"/>
            <w:noWrap/>
            <w:vAlign w:val="bottom"/>
            <w:hideMark/>
          </w:tcPr>
          <w:p w14:paraId="0A677EC5" w14:textId="3D1BC352" w:rsidR="00721CFD" w:rsidRPr="00B861F2" w:rsidRDefault="00EE2F94" w:rsidP="007B5BB3">
            <w:pPr>
              <w:jc w:val="right"/>
              <w:rPr>
                <w:rFonts w:eastAsia="Times New Roman" w:cstheme="minorHAnsi"/>
                <w:szCs w:val="24"/>
              </w:rPr>
            </w:pPr>
            <w:r>
              <w:rPr>
                <w:rFonts w:ascii="Calibri" w:hAnsi="Calibri" w:cs="Calibri"/>
              </w:rPr>
              <w:t>21,414</w:t>
            </w:r>
          </w:p>
        </w:tc>
        <w:tc>
          <w:tcPr>
            <w:tcW w:w="1350" w:type="dxa"/>
            <w:tcBorders>
              <w:top w:val="nil"/>
              <w:left w:val="nil"/>
              <w:bottom w:val="nil"/>
              <w:right w:val="nil"/>
            </w:tcBorders>
            <w:shd w:val="clear" w:color="auto" w:fill="D9D9D9" w:themeFill="background1" w:themeFillShade="D9"/>
            <w:noWrap/>
            <w:vAlign w:val="bottom"/>
            <w:hideMark/>
          </w:tcPr>
          <w:p w14:paraId="3F76EFE8"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1,340 </w:t>
            </w:r>
          </w:p>
        </w:tc>
      </w:tr>
      <w:tr w:rsidR="00721CFD" w:rsidRPr="005F7BC7" w14:paraId="059B6698"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01335D9A"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Loans</w:t>
            </w:r>
          </w:p>
        </w:tc>
        <w:tc>
          <w:tcPr>
            <w:tcW w:w="1423" w:type="dxa"/>
            <w:tcBorders>
              <w:top w:val="nil"/>
              <w:left w:val="nil"/>
              <w:bottom w:val="nil"/>
              <w:right w:val="nil"/>
            </w:tcBorders>
            <w:shd w:val="clear" w:color="000000" w:fill="FFFFFF"/>
            <w:noWrap/>
            <w:vAlign w:val="bottom"/>
            <w:hideMark/>
          </w:tcPr>
          <w:p w14:paraId="2A9A85DC" w14:textId="77777777" w:rsidR="00721CFD" w:rsidRPr="00B861F2" w:rsidRDefault="00721CFD" w:rsidP="007B5BB3">
            <w:pPr>
              <w:jc w:val="right"/>
              <w:rPr>
                <w:rFonts w:eastAsia="Times New Roman" w:cstheme="minorHAnsi"/>
                <w:szCs w:val="24"/>
              </w:rPr>
            </w:pPr>
            <w:r w:rsidRPr="00B861F2">
              <w:rPr>
                <w:rFonts w:ascii="Calibri" w:hAnsi="Calibri" w:cs="Calibri"/>
              </w:rPr>
              <w:t>17,096</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050E0325"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17,391 </w:t>
            </w:r>
          </w:p>
        </w:tc>
      </w:tr>
      <w:tr w:rsidR="00721CFD" w:rsidRPr="005F7BC7" w14:paraId="3160C038"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35BB7D45"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Academic support</w:t>
            </w:r>
          </w:p>
        </w:tc>
        <w:tc>
          <w:tcPr>
            <w:tcW w:w="1423" w:type="dxa"/>
            <w:tcBorders>
              <w:top w:val="nil"/>
              <w:left w:val="nil"/>
              <w:bottom w:val="nil"/>
              <w:right w:val="nil"/>
            </w:tcBorders>
            <w:shd w:val="clear" w:color="000000" w:fill="FFFFFF"/>
            <w:noWrap/>
            <w:vAlign w:val="bottom"/>
            <w:hideMark/>
          </w:tcPr>
          <w:p w14:paraId="74C18A0E" w14:textId="77777777" w:rsidR="00721CFD" w:rsidRPr="00B861F2" w:rsidRDefault="00721CFD" w:rsidP="007B5BB3">
            <w:pPr>
              <w:jc w:val="right"/>
              <w:rPr>
                <w:rFonts w:eastAsia="Times New Roman" w:cstheme="minorHAnsi"/>
                <w:szCs w:val="24"/>
              </w:rPr>
            </w:pPr>
            <w:r w:rsidRPr="00B861F2">
              <w:rPr>
                <w:rFonts w:ascii="Calibri" w:hAnsi="Calibri" w:cs="Calibri"/>
              </w:rPr>
              <w:t>16,917</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3FDA3645"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17,946 </w:t>
            </w:r>
          </w:p>
        </w:tc>
      </w:tr>
      <w:tr w:rsidR="00721CFD" w:rsidRPr="005F7BC7" w14:paraId="6177ADC7"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67BB054D"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Research and public service</w:t>
            </w:r>
          </w:p>
        </w:tc>
        <w:tc>
          <w:tcPr>
            <w:tcW w:w="1423" w:type="dxa"/>
            <w:tcBorders>
              <w:top w:val="nil"/>
              <w:left w:val="nil"/>
              <w:bottom w:val="nil"/>
              <w:right w:val="nil"/>
            </w:tcBorders>
            <w:shd w:val="clear" w:color="000000" w:fill="FFFFFF"/>
            <w:noWrap/>
            <w:vAlign w:val="bottom"/>
            <w:hideMark/>
          </w:tcPr>
          <w:p w14:paraId="0CC73677" w14:textId="77777777" w:rsidR="00721CFD" w:rsidRPr="00B861F2" w:rsidRDefault="00721CFD" w:rsidP="007B5BB3">
            <w:pPr>
              <w:jc w:val="right"/>
              <w:rPr>
                <w:rFonts w:eastAsia="Times New Roman" w:cstheme="minorHAnsi"/>
                <w:szCs w:val="24"/>
              </w:rPr>
            </w:pPr>
            <w:r w:rsidRPr="00B861F2">
              <w:rPr>
                <w:rFonts w:ascii="Calibri" w:hAnsi="Calibri" w:cs="Calibri"/>
              </w:rPr>
              <w:t>11,675</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51811E63"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11,011 </w:t>
            </w:r>
          </w:p>
        </w:tc>
      </w:tr>
      <w:tr w:rsidR="00721CFD" w:rsidRPr="005F7BC7" w14:paraId="0A08B3F6"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4752A820"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Library</w:t>
            </w:r>
          </w:p>
        </w:tc>
        <w:tc>
          <w:tcPr>
            <w:tcW w:w="1423" w:type="dxa"/>
            <w:tcBorders>
              <w:top w:val="nil"/>
              <w:left w:val="nil"/>
              <w:bottom w:val="nil"/>
              <w:right w:val="nil"/>
            </w:tcBorders>
            <w:shd w:val="clear" w:color="000000" w:fill="FFFFFF"/>
            <w:noWrap/>
            <w:vAlign w:val="bottom"/>
            <w:hideMark/>
          </w:tcPr>
          <w:p w14:paraId="49089EA1" w14:textId="77777777" w:rsidR="00721CFD" w:rsidRPr="00B861F2" w:rsidRDefault="00721CFD" w:rsidP="007B5BB3">
            <w:pPr>
              <w:jc w:val="right"/>
              <w:rPr>
                <w:rFonts w:eastAsia="Times New Roman" w:cstheme="minorHAnsi"/>
                <w:szCs w:val="24"/>
              </w:rPr>
            </w:pPr>
            <w:r w:rsidRPr="00B861F2">
              <w:rPr>
                <w:rFonts w:ascii="Calibri" w:hAnsi="Calibri" w:cs="Calibri"/>
              </w:rPr>
              <w:t>4,059</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6ABA5982"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4,519 </w:t>
            </w:r>
          </w:p>
        </w:tc>
      </w:tr>
      <w:tr w:rsidR="00721CFD" w:rsidRPr="005F7BC7" w14:paraId="1B630A49" w14:textId="77777777" w:rsidTr="007B5BB3">
        <w:trPr>
          <w:trHeight w:val="288"/>
          <w:jc w:val="center"/>
        </w:trPr>
        <w:tc>
          <w:tcPr>
            <w:tcW w:w="6047" w:type="dxa"/>
            <w:tcBorders>
              <w:top w:val="nil"/>
              <w:left w:val="nil"/>
              <w:bottom w:val="single" w:sz="4" w:space="0" w:color="00688D"/>
              <w:right w:val="nil"/>
            </w:tcBorders>
            <w:shd w:val="clear" w:color="000000" w:fill="FFFFFF"/>
            <w:noWrap/>
            <w:vAlign w:val="bottom"/>
            <w:hideMark/>
          </w:tcPr>
          <w:p w14:paraId="0AEC8EC8"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Other</w:t>
            </w:r>
          </w:p>
        </w:tc>
        <w:tc>
          <w:tcPr>
            <w:tcW w:w="1423" w:type="dxa"/>
            <w:tcBorders>
              <w:top w:val="nil"/>
              <w:left w:val="nil"/>
              <w:bottom w:val="single" w:sz="4" w:space="0" w:color="00688D"/>
              <w:right w:val="nil"/>
            </w:tcBorders>
            <w:shd w:val="clear" w:color="000000" w:fill="FFFFFF"/>
            <w:noWrap/>
            <w:vAlign w:val="bottom"/>
            <w:hideMark/>
          </w:tcPr>
          <w:p w14:paraId="302E3ACA" w14:textId="77777777" w:rsidR="00721CFD" w:rsidRPr="00B861F2" w:rsidRDefault="00721CFD" w:rsidP="007B5BB3">
            <w:pPr>
              <w:jc w:val="right"/>
              <w:rPr>
                <w:rFonts w:eastAsia="Times New Roman" w:cstheme="minorHAnsi"/>
                <w:szCs w:val="24"/>
              </w:rPr>
            </w:pPr>
            <w:r w:rsidRPr="00B861F2">
              <w:rPr>
                <w:rFonts w:ascii="Calibri" w:hAnsi="Calibri" w:cs="Calibri"/>
              </w:rPr>
              <w:t>24,017</w:t>
            </w:r>
            <w:r w:rsidRPr="00AB0061">
              <w:rPr>
                <w:rFonts w:ascii="Calibri" w:hAnsi="Calibri" w:cs="Calibri"/>
              </w:rPr>
              <w:t xml:space="preserve"> </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789230B2"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28,316 </w:t>
            </w:r>
          </w:p>
        </w:tc>
      </w:tr>
      <w:tr w:rsidR="00721CFD" w:rsidRPr="005F7BC7" w14:paraId="4F17DEA2" w14:textId="77777777" w:rsidTr="007B5BB3">
        <w:trPr>
          <w:trHeight w:val="288"/>
          <w:jc w:val="center"/>
        </w:trPr>
        <w:tc>
          <w:tcPr>
            <w:tcW w:w="6047" w:type="dxa"/>
            <w:tcBorders>
              <w:top w:val="nil"/>
              <w:left w:val="nil"/>
              <w:bottom w:val="single" w:sz="4" w:space="0" w:color="00688D"/>
              <w:right w:val="nil"/>
            </w:tcBorders>
            <w:shd w:val="clear" w:color="000000" w:fill="FFFFFF"/>
            <w:noWrap/>
            <w:vAlign w:val="bottom"/>
            <w:hideMark/>
          </w:tcPr>
          <w:p w14:paraId="418E6278"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Total restricted - expendable</w:t>
            </w:r>
          </w:p>
        </w:tc>
        <w:tc>
          <w:tcPr>
            <w:tcW w:w="1423" w:type="dxa"/>
            <w:tcBorders>
              <w:top w:val="nil"/>
              <w:left w:val="nil"/>
              <w:bottom w:val="single" w:sz="4" w:space="0" w:color="00688D"/>
              <w:right w:val="nil"/>
            </w:tcBorders>
            <w:shd w:val="clear" w:color="000000" w:fill="FFFFFF"/>
            <w:noWrap/>
            <w:vAlign w:val="bottom"/>
            <w:hideMark/>
          </w:tcPr>
          <w:p w14:paraId="0E64682B" w14:textId="22C080BE" w:rsidR="00721CFD" w:rsidRPr="00B861F2" w:rsidRDefault="002B144B">
            <w:pPr>
              <w:jc w:val="right"/>
              <w:rPr>
                <w:rFonts w:eastAsia="Times New Roman" w:cstheme="minorHAnsi"/>
                <w:szCs w:val="24"/>
              </w:rPr>
            </w:pPr>
            <w:r w:rsidRPr="00B861F2">
              <w:rPr>
                <w:rFonts w:eastAsia="Times New Roman" w:cstheme="minorHAnsi"/>
                <w:szCs w:val="24"/>
              </w:rPr>
              <w:t>1</w:t>
            </w:r>
            <w:r>
              <w:rPr>
                <w:rFonts w:eastAsia="Times New Roman" w:cstheme="minorHAnsi"/>
                <w:szCs w:val="24"/>
              </w:rPr>
              <w:t>47</w:t>
            </w:r>
            <w:r w:rsidR="00721CFD" w:rsidRPr="00B861F2">
              <w:rPr>
                <w:rFonts w:eastAsia="Times New Roman" w:cstheme="minorHAnsi"/>
                <w:szCs w:val="24"/>
              </w:rPr>
              <w:t>,</w:t>
            </w:r>
            <w:r w:rsidR="00B7356B">
              <w:rPr>
                <w:rFonts w:eastAsia="Times New Roman" w:cstheme="minorHAnsi"/>
                <w:szCs w:val="24"/>
              </w:rPr>
              <w:t>419</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3CFCF38B" w14:textId="77777777" w:rsidR="00721CFD" w:rsidRPr="001A18A6" w:rsidRDefault="00721CFD" w:rsidP="007B5BB3">
            <w:pPr>
              <w:jc w:val="right"/>
              <w:rPr>
                <w:rFonts w:eastAsia="Times New Roman" w:cstheme="minorHAnsi"/>
                <w:color w:val="0D0D0D"/>
                <w:szCs w:val="24"/>
              </w:rPr>
            </w:pPr>
            <w:r>
              <w:rPr>
                <w:rFonts w:eastAsia="Times New Roman" w:cstheme="minorHAnsi"/>
                <w:color w:val="0D0D0D"/>
                <w:szCs w:val="24"/>
              </w:rPr>
              <w:t>143,604</w:t>
            </w:r>
          </w:p>
        </w:tc>
      </w:tr>
      <w:tr w:rsidR="00721CFD" w:rsidRPr="005F7BC7" w14:paraId="63FA4B1A"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61C4BD19" w14:textId="77777777" w:rsidR="00721CFD" w:rsidRPr="001A18A6" w:rsidRDefault="00721CFD" w:rsidP="007B5BB3">
            <w:pPr>
              <w:rPr>
                <w:rFonts w:eastAsia="Times New Roman" w:cstheme="minorHAnsi"/>
                <w:color w:val="0D0D0D"/>
                <w:szCs w:val="24"/>
              </w:rPr>
            </w:pPr>
            <w:r w:rsidRPr="001A18A6">
              <w:rPr>
                <w:rFonts w:eastAsia="Times New Roman" w:cstheme="minorHAnsi"/>
                <w:color w:val="0D0D0D"/>
                <w:szCs w:val="24"/>
              </w:rPr>
              <w:t>Unrestricted:</w:t>
            </w:r>
          </w:p>
        </w:tc>
        <w:tc>
          <w:tcPr>
            <w:tcW w:w="1423" w:type="dxa"/>
            <w:tcBorders>
              <w:top w:val="nil"/>
              <w:left w:val="nil"/>
              <w:bottom w:val="nil"/>
              <w:right w:val="nil"/>
            </w:tcBorders>
            <w:shd w:val="clear" w:color="000000" w:fill="FFFFFF"/>
            <w:noWrap/>
            <w:vAlign w:val="bottom"/>
            <w:hideMark/>
          </w:tcPr>
          <w:p w14:paraId="53975687" w14:textId="77777777" w:rsidR="00721CFD" w:rsidRPr="00B861F2" w:rsidRDefault="00721CFD" w:rsidP="007B5BB3">
            <w:pPr>
              <w:jc w:val="right"/>
              <w:rPr>
                <w:rFonts w:eastAsia="Times New Roman" w:cstheme="minorHAnsi"/>
                <w:szCs w:val="24"/>
              </w:rPr>
            </w:pPr>
            <w:r w:rsidRPr="00B861F2">
              <w:rPr>
                <w:rFonts w:eastAsia="Times New Roman" w:cstheme="minorHAnsi"/>
                <w:szCs w:val="24"/>
              </w:rPr>
              <w:t> </w:t>
            </w:r>
          </w:p>
        </w:tc>
        <w:tc>
          <w:tcPr>
            <w:tcW w:w="1350" w:type="dxa"/>
            <w:tcBorders>
              <w:top w:val="nil"/>
              <w:left w:val="nil"/>
              <w:bottom w:val="nil"/>
              <w:right w:val="nil"/>
            </w:tcBorders>
            <w:shd w:val="clear" w:color="auto" w:fill="D9D9D9" w:themeFill="background1" w:themeFillShade="D9"/>
            <w:noWrap/>
            <w:vAlign w:val="bottom"/>
            <w:hideMark/>
          </w:tcPr>
          <w:p w14:paraId="6FDF48D7" w14:textId="77777777" w:rsidR="00721CFD" w:rsidRPr="001A18A6" w:rsidRDefault="00721CFD" w:rsidP="007B5BB3">
            <w:pPr>
              <w:jc w:val="right"/>
              <w:rPr>
                <w:rFonts w:eastAsia="Times New Roman" w:cstheme="minorHAnsi"/>
                <w:color w:val="0D0D0D"/>
                <w:szCs w:val="24"/>
              </w:rPr>
            </w:pPr>
            <w:r w:rsidRPr="001A18A6">
              <w:rPr>
                <w:rFonts w:eastAsia="Times New Roman" w:cstheme="minorHAnsi"/>
                <w:color w:val="0D0D0D"/>
                <w:szCs w:val="24"/>
              </w:rPr>
              <w:t> </w:t>
            </w:r>
          </w:p>
        </w:tc>
      </w:tr>
      <w:tr w:rsidR="00721CFD" w:rsidRPr="005F7BC7" w14:paraId="420EA2C5"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14200CF9"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Educational and general reserves</w:t>
            </w:r>
          </w:p>
        </w:tc>
        <w:tc>
          <w:tcPr>
            <w:tcW w:w="1423" w:type="dxa"/>
            <w:tcBorders>
              <w:top w:val="nil"/>
              <w:left w:val="nil"/>
              <w:bottom w:val="nil"/>
              <w:right w:val="nil"/>
            </w:tcBorders>
            <w:shd w:val="clear" w:color="000000" w:fill="FFFFFF"/>
            <w:noWrap/>
            <w:vAlign w:val="bottom"/>
            <w:hideMark/>
          </w:tcPr>
          <w:p w14:paraId="2C9E6ED8" w14:textId="2EF3BDD4" w:rsidR="00721CFD" w:rsidRPr="00B861F2" w:rsidRDefault="00B7356B" w:rsidP="007B5BB3">
            <w:pPr>
              <w:jc w:val="right"/>
              <w:rPr>
                <w:rFonts w:eastAsia="Times New Roman" w:cstheme="minorHAnsi"/>
                <w:szCs w:val="24"/>
              </w:rPr>
            </w:pPr>
            <w:r>
              <w:rPr>
                <w:rFonts w:ascii="Calibri" w:hAnsi="Calibri" w:cs="Calibri"/>
              </w:rPr>
              <w:t>84,551</w:t>
            </w:r>
            <w:r w:rsidR="00721CFD"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550F2BC2"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88,619 </w:t>
            </w:r>
          </w:p>
        </w:tc>
      </w:tr>
      <w:tr w:rsidR="00721CFD" w:rsidRPr="005F7BC7" w14:paraId="2D88F553"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46872B9E"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Risk management</w:t>
            </w:r>
          </w:p>
        </w:tc>
        <w:tc>
          <w:tcPr>
            <w:tcW w:w="1423" w:type="dxa"/>
            <w:tcBorders>
              <w:top w:val="nil"/>
              <w:left w:val="nil"/>
              <w:bottom w:val="nil"/>
              <w:right w:val="nil"/>
            </w:tcBorders>
            <w:shd w:val="clear" w:color="000000" w:fill="FFFFFF"/>
            <w:noWrap/>
            <w:vAlign w:val="bottom"/>
            <w:hideMark/>
          </w:tcPr>
          <w:p w14:paraId="4AA13440" w14:textId="77777777" w:rsidR="00721CFD" w:rsidRPr="00B861F2" w:rsidRDefault="00721CFD" w:rsidP="007B5BB3">
            <w:pPr>
              <w:jc w:val="right"/>
              <w:rPr>
                <w:rFonts w:eastAsia="Times New Roman" w:cstheme="minorHAnsi"/>
                <w:szCs w:val="24"/>
              </w:rPr>
            </w:pPr>
            <w:r w:rsidRPr="00B861F2">
              <w:rPr>
                <w:rFonts w:ascii="Calibri" w:hAnsi="Calibri" w:cs="Calibri"/>
              </w:rPr>
              <w:t>3,603</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255E4BA6"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3,888 </w:t>
            </w:r>
          </w:p>
        </w:tc>
      </w:tr>
      <w:tr w:rsidR="00721CFD" w:rsidRPr="005F7BC7" w14:paraId="468070D4"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7A3838B5"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Budget stabilization</w:t>
            </w:r>
          </w:p>
        </w:tc>
        <w:tc>
          <w:tcPr>
            <w:tcW w:w="1423" w:type="dxa"/>
            <w:tcBorders>
              <w:top w:val="nil"/>
              <w:left w:val="nil"/>
              <w:bottom w:val="nil"/>
              <w:right w:val="nil"/>
            </w:tcBorders>
            <w:shd w:val="clear" w:color="000000" w:fill="FFFFFF"/>
            <w:noWrap/>
            <w:vAlign w:val="bottom"/>
            <w:hideMark/>
          </w:tcPr>
          <w:p w14:paraId="59E46380" w14:textId="77777777" w:rsidR="00721CFD" w:rsidRPr="00B861F2" w:rsidRDefault="00721CFD" w:rsidP="007B5BB3">
            <w:pPr>
              <w:jc w:val="right"/>
              <w:rPr>
                <w:rFonts w:eastAsia="Times New Roman" w:cstheme="minorHAnsi"/>
                <w:szCs w:val="24"/>
              </w:rPr>
            </w:pPr>
            <w:r w:rsidRPr="00B861F2">
              <w:rPr>
                <w:rFonts w:ascii="Calibri" w:hAnsi="Calibri" w:cs="Calibri"/>
              </w:rPr>
              <w:t>4,873</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29CA0722"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21,500 </w:t>
            </w:r>
          </w:p>
        </w:tc>
      </w:tr>
      <w:tr w:rsidR="00721CFD" w:rsidRPr="005F7BC7" w14:paraId="728E6AD1"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487547D0"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Auxiliary enterprises</w:t>
            </w:r>
          </w:p>
        </w:tc>
        <w:tc>
          <w:tcPr>
            <w:tcW w:w="1423" w:type="dxa"/>
            <w:tcBorders>
              <w:top w:val="nil"/>
              <w:left w:val="nil"/>
              <w:bottom w:val="nil"/>
              <w:right w:val="nil"/>
            </w:tcBorders>
            <w:shd w:val="clear" w:color="000000" w:fill="FFFFFF"/>
            <w:noWrap/>
            <w:vAlign w:val="bottom"/>
            <w:hideMark/>
          </w:tcPr>
          <w:p w14:paraId="5650C563" w14:textId="77777777" w:rsidR="00721CFD" w:rsidRPr="00B861F2" w:rsidRDefault="00721CFD" w:rsidP="007B5BB3">
            <w:pPr>
              <w:jc w:val="right"/>
              <w:rPr>
                <w:rFonts w:eastAsia="Times New Roman" w:cstheme="minorHAnsi"/>
                <w:szCs w:val="24"/>
              </w:rPr>
            </w:pPr>
            <w:r w:rsidRPr="00B861F2">
              <w:rPr>
                <w:rFonts w:ascii="Calibri" w:hAnsi="Calibri" w:cs="Calibri"/>
              </w:rPr>
              <w:t>7,643</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73B14419"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1,253 </w:t>
            </w:r>
          </w:p>
        </w:tc>
      </w:tr>
      <w:tr w:rsidR="00721CFD" w:rsidRPr="005F7BC7" w14:paraId="6482C5E5"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5CA4B7F4"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Benefit pool carryover</w:t>
            </w:r>
          </w:p>
        </w:tc>
        <w:tc>
          <w:tcPr>
            <w:tcW w:w="1423" w:type="dxa"/>
            <w:tcBorders>
              <w:top w:val="nil"/>
              <w:left w:val="nil"/>
              <w:bottom w:val="nil"/>
              <w:right w:val="nil"/>
            </w:tcBorders>
            <w:shd w:val="clear" w:color="000000" w:fill="FFFFFF"/>
            <w:noWrap/>
            <w:vAlign w:val="bottom"/>
            <w:hideMark/>
          </w:tcPr>
          <w:p w14:paraId="3631F85D" w14:textId="77777777" w:rsidR="00721CFD" w:rsidRPr="00B861F2" w:rsidRDefault="00721CFD" w:rsidP="007B5BB3">
            <w:pPr>
              <w:jc w:val="right"/>
              <w:rPr>
                <w:rFonts w:eastAsia="Times New Roman" w:cstheme="minorHAnsi"/>
                <w:szCs w:val="24"/>
              </w:rPr>
            </w:pPr>
            <w:r w:rsidRPr="00B861F2">
              <w:rPr>
                <w:rFonts w:ascii="Calibri" w:hAnsi="Calibri" w:cs="Calibri"/>
              </w:rPr>
              <w:t>28,732</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3611D0C4"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28,286 </w:t>
            </w:r>
          </w:p>
        </w:tc>
      </w:tr>
      <w:tr w:rsidR="00721CFD" w:rsidRPr="005F7BC7" w14:paraId="667A8854"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07EEC21A"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Implementation of GASB 75 for OPEB</w:t>
            </w:r>
          </w:p>
        </w:tc>
        <w:tc>
          <w:tcPr>
            <w:tcW w:w="1423" w:type="dxa"/>
            <w:tcBorders>
              <w:top w:val="nil"/>
              <w:left w:val="nil"/>
              <w:bottom w:val="nil"/>
              <w:right w:val="nil"/>
            </w:tcBorders>
            <w:shd w:val="clear" w:color="000000" w:fill="FFFFFF"/>
            <w:noWrap/>
            <w:vAlign w:val="bottom"/>
            <w:hideMark/>
          </w:tcPr>
          <w:p w14:paraId="6D99261A" w14:textId="77777777" w:rsidR="00721CFD" w:rsidRPr="00B861F2" w:rsidRDefault="00721CFD" w:rsidP="007B5BB3">
            <w:pPr>
              <w:jc w:val="right"/>
              <w:rPr>
                <w:rFonts w:eastAsia="Times New Roman" w:cstheme="minorHAnsi"/>
                <w:szCs w:val="24"/>
              </w:rPr>
            </w:pPr>
            <w:r w:rsidRPr="00B861F2">
              <w:rPr>
                <w:rFonts w:ascii="Calibri" w:hAnsi="Calibri" w:cs="Calibri"/>
              </w:rPr>
              <w:t>(33,795)</w:t>
            </w:r>
          </w:p>
        </w:tc>
        <w:tc>
          <w:tcPr>
            <w:tcW w:w="1350" w:type="dxa"/>
            <w:tcBorders>
              <w:top w:val="nil"/>
              <w:left w:val="nil"/>
              <w:bottom w:val="nil"/>
              <w:right w:val="nil"/>
            </w:tcBorders>
            <w:shd w:val="clear" w:color="auto" w:fill="D9D9D9" w:themeFill="background1" w:themeFillShade="D9"/>
            <w:noWrap/>
            <w:vAlign w:val="bottom"/>
            <w:hideMark/>
          </w:tcPr>
          <w:p w14:paraId="2757984D" w14:textId="77777777" w:rsidR="00721CFD" w:rsidRPr="001A18A6" w:rsidRDefault="00721CFD" w:rsidP="007B5BB3">
            <w:pPr>
              <w:jc w:val="right"/>
              <w:rPr>
                <w:rFonts w:eastAsia="Times New Roman" w:cstheme="minorHAnsi"/>
                <w:color w:val="0D0D0D"/>
                <w:szCs w:val="24"/>
              </w:rPr>
            </w:pPr>
            <w:r>
              <w:rPr>
                <w:rFonts w:ascii="Calibri" w:hAnsi="Calibri" w:cs="Calibri"/>
              </w:rPr>
              <w:t>(33,795)</w:t>
            </w:r>
          </w:p>
        </w:tc>
      </w:tr>
      <w:tr w:rsidR="00721CFD" w:rsidRPr="005F7BC7" w14:paraId="45C37792"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05CCEDDD"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Information technology initiatives</w:t>
            </w:r>
          </w:p>
        </w:tc>
        <w:tc>
          <w:tcPr>
            <w:tcW w:w="1423" w:type="dxa"/>
            <w:tcBorders>
              <w:top w:val="nil"/>
              <w:left w:val="nil"/>
              <w:bottom w:val="nil"/>
              <w:right w:val="nil"/>
            </w:tcBorders>
            <w:shd w:val="clear" w:color="000000" w:fill="FFFFFF"/>
            <w:noWrap/>
            <w:vAlign w:val="bottom"/>
            <w:hideMark/>
          </w:tcPr>
          <w:p w14:paraId="21CDE79E" w14:textId="77777777" w:rsidR="00721CFD" w:rsidRPr="00B861F2" w:rsidRDefault="00721CFD" w:rsidP="007B5BB3">
            <w:pPr>
              <w:jc w:val="right"/>
              <w:rPr>
                <w:rFonts w:eastAsia="Times New Roman" w:cstheme="minorHAnsi"/>
                <w:szCs w:val="24"/>
              </w:rPr>
            </w:pPr>
            <w:r w:rsidRPr="00B861F2">
              <w:rPr>
                <w:rFonts w:ascii="Calibri" w:hAnsi="Calibri" w:cs="Calibri"/>
              </w:rPr>
              <w:t>2,695</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733B51F1"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1,120 </w:t>
            </w:r>
          </w:p>
        </w:tc>
      </w:tr>
      <w:tr w:rsidR="00721CFD" w:rsidRPr="005F7BC7" w14:paraId="74E6EED1"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76CF00F7"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Internally designated projects</w:t>
            </w:r>
          </w:p>
        </w:tc>
        <w:tc>
          <w:tcPr>
            <w:tcW w:w="1423" w:type="dxa"/>
            <w:tcBorders>
              <w:top w:val="nil"/>
              <w:left w:val="nil"/>
              <w:bottom w:val="nil"/>
              <w:right w:val="nil"/>
            </w:tcBorders>
            <w:shd w:val="clear" w:color="000000" w:fill="FFFFFF"/>
            <w:noWrap/>
            <w:vAlign w:val="bottom"/>
            <w:hideMark/>
          </w:tcPr>
          <w:p w14:paraId="7E64F744" w14:textId="77777777" w:rsidR="00721CFD" w:rsidRPr="00B861F2" w:rsidRDefault="00721CFD" w:rsidP="007B5BB3">
            <w:pPr>
              <w:jc w:val="right"/>
              <w:rPr>
                <w:rFonts w:eastAsia="Times New Roman" w:cstheme="minorHAnsi"/>
                <w:szCs w:val="24"/>
              </w:rPr>
            </w:pPr>
            <w:r w:rsidRPr="00B861F2">
              <w:rPr>
                <w:rFonts w:ascii="Calibri" w:hAnsi="Calibri" w:cs="Calibri"/>
              </w:rPr>
              <w:t>21,499</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026EEF82"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8,632 </w:t>
            </w:r>
          </w:p>
        </w:tc>
      </w:tr>
      <w:tr w:rsidR="00721CFD" w:rsidRPr="005F7BC7" w14:paraId="197F83FE"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5A64C8A7"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Facility projects</w:t>
            </w:r>
          </w:p>
        </w:tc>
        <w:tc>
          <w:tcPr>
            <w:tcW w:w="1423" w:type="dxa"/>
            <w:tcBorders>
              <w:top w:val="nil"/>
              <w:left w:val="nil"/>
              <w:bottom w:val="nil"/>
              <w:right w:val="nil"/>
            </w:tcBorders>
            <w:shd w:val="clear" w:color="000000" w:fill="FFFFFF"/>
            <w:noWrap/>
            <w:vAlign w:val="bottom"/>
            <w:hideMark/>
          </w:tcPr>
          <w:p w14:paraId="6772A1D5" w14:textId="57C63A84" w:rsidR="00721CFD" w:rsidRPr="00B861F2" w:rsidRDefault="00B7356B" w:rsidP="007B5BB3">
            <w:pPr>
              <w:jc w:val="right"/>
              <w:rPr>
                <w:rFonts w:eastAsia="Times New Roman" w:cstheme="minorHAnsi"/>
                <w:szCs w:val="24"/>
              </w:rPr>
            </w:pPr>
            <w:r>
              <w:rPr>
                <w:rFonts w:ascii="Calibri" w:hAnsi="Calibri" w:cs="Calibri"/>
              </w:rPr>
              <w:t>36,418</w:t>
            </w:r>
            <w:r w:rsidR="00721CFD"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33B74930"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36,772 </w:t>
            </w:r>
          </w:p>
        </w:tc>
      </w:tr>
      <w:tr w:rsidR="00721CFD" w:rsidRPr="005F7BC7" w14:paraId="59DBB125"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4BF75AAD"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Quasi endowment corpus</w:t>
            </w:r>
          </w:p>
        </w:tc>
        <w:tc>
          <w:tcPr>
            <w:tcW w:w="1423" w:type="dxa"/>
            <w:tcBorders>
              <w:top w:val="nil"/>
              <w:left w:val="nil"/>
              <w:bottom w:val="nil"/>
              <w:right w:val="nil"/>
            </w:tcBorders>
            <w:shd w:val="clear" w:color="000000" w:fill="FFFFFF"/>
            <w:noWrap/>
            <w:vAlign w:val="bottom"/>
            <w:hideMark/>
          </w:tcPr>
          <w:p w14:paraId="6B5E698D" w14:textId="77777777" w:rsidR="00721CFD" w:rsidRPr="00B861F2" w:rsidRDefault="00721CFD" w:rsidP="007B5BB3">
            <w:pPr>
              <w:jc w:val="right"/>
              <w:rPr>
                <w:rFonts w:eastAsia="Times New Roman" w:cstheme="minorHAnsi"/>
                <w:szCs w:val="24"/>
              </w:rPr>
            </w:pPr>
            <w:r w:rsidRPr="00B861F2">
              <w:rPr>
                <w:rFonts w:ascii="Calibri" w:hAnsi="Calibri" w:cs="Calibri"/>
              </w:rPr>
              <w:t>11,347</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200423BC"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13,398 </w:t>
            </w:r>
          </w:p>
        </w:tc>
      </w:tr>
      <w:tr w:rsidR="00721CFD" w:rsidRPr="005F7BC7" w14:paraId="3F2C323C" w14:textId="77777777" w:rsidTr="007B5BB3">
        <w:trPr>
          <w:trHeight w:val="288"/>
          <w:jc w:val="center"/>
        </w:trPr>
        <w:tc>
          <w:tcPr>
            <w:tcW w:w="6047" w:type="dxa"/>
            <w:tcBorders>
              <w:top w:val="nil"/>
              <w:left w:val="nil"/>
              <w:bottom w:val="nil"/>
              <w:right w:val="nil"/>
            </w:tcBorders>
            <w:shd w:val="clear" w:color="000000" w:fill="FFFFFF"/>
            <w:noWrap/>
            <w:vAlign w:val="bottom"/>
            <w:hideMark/>
          </w:tcPr>
          <w:p w14:paraId="5C27CE14"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Endowment appreciation</w:t>
            </w:r>
          </w:p>
        </w:tc>
        <w:tc>
          <w:tcPr>
            <w:tcW w:w="1423" w:type="dxa"/>
            <w:tcBorders>
              <w:top w:val="nil"/>
              <w:left w:val="nil"/>
              <w:bottom w:val="nil"/>
              <w:right w:val="nil"/>
            </w:tcBorders>
            <w:shd w:val="clear" w:color="auto" w:fill="auto"/>
            <w:noWrap/>
            <w:vAlign w:val="bottom"/>
            <w:hideMark/>
          </w:tcPr>
          <w:p w14:paraId="7E19B5D8" w14:textId="77777777" w:rsidR="00721CFD" w:rsidRPr="00B861F2" w:rsidRDefault="00721CFD" w:rsidP="007B5BB3">
            <w:pPr>
              <w:jc w:val="right"/>
              <w:rPr>
                <w:rFonts w:eastAsia="Times New Roman" w:cstheme="minorHAnsi"/>
                <w:szCs w:val="24"/>
              </w:rPr>
            </w:pPr>
            <w:r w:rsidRPr="00B861F2">
              <w:rPr>
                <w:rFonts w:ascii="Calibri" w:hAnsi="Calibri" w:cs="Calibri"/>
              </w:rPr>
              <w:t>5,836</w:t>
            </w:r>
            <w:r w:rsidRPr="00AB0061">
              <w:rPr>
                <w:rFonts w:ascii="Calibri" w:hAnsi="Calibri" w:cs="Calibri"/>
              </w:rPr>
              <w:t xml:space="preserve"> </w:t>
            </w:r>
          </w:p>
        </w:tc>
        <w:tc>
          <w:tcPr>
            <w:tcW w:w="1350" w:type="dxa"/>
            <w:tcBorders>
              <w:top w:val="nil"/>
              <w:left w:val="nil"/>
              <w:bottom w:val="nil"/>
              <w:right w:val="nil"/>
            </w:tcBorders>
            <w:shd w:val="clear" w:color="auto" w:fill="D9D9D9" w:themeFill="background1" w:themeFillShade="D9"/>
            <w:noWrap/>
            <w:vAlign w:val="bottom"/>
            <w:hideMark/>
          </w:tcPr>
          <w:p w14:paraId="3B6224D7"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7,299 </w:t>
            </w:r>
          </w:p>
        </w:tc>
      </w:tr>
      <w:tr w:rsidR="00721CFD" w:rsidRPr="005F7BC7" w14:paraId="1CED9FC9" w14:textId="77777777" w:rsidTr="007B5BB3">
        <w:trPr>
          <w:trHeight w:val="288"/>
          <w:jc w:val="center"/>
        </w:trPr>
        <w:tc>
          <w:tcPr>
            <w:tcW w:w="6047" w:type="dxa"/>
            <w:tcBorders>
              <w:top w:val="nil"/>
              <w:left w:val="nil"/>
              <w:bottom w:val="single" w:sz="4" w:space="0" w:color="00688D"/>
              <w:right w:val="nil"/>
            </w:tcBorders>
            <w:shd w:val="clear" w:color="000000" w:fill="FFFFFF"/>
            <w:noWrap/>
            <w:vAlign w:val="bottom"/>
            <w:hideMark/>
          </w:tcPr>
          <w:p w14:paraId="1D8FF161"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Cost sharing and other</w:t>
            </w:r>
          </w:p>
        </w:tc>
        <w:tc>
          <w:tcPr>
            <w:tcW w:w="1423" w:type="dxa"/>
            <w:tcBorders>
              <w:top w:val="nil"/>
              <w:left w:val="nil"/>
              <w:bottom w:val="single" w:sz="4" w:space="0" w:color="00688D"/>
              <w:right w:val="nil"/>
            </w:tcBorders>
            <w:shd w:val="clear" w:color="000000" w:fill="FFFFFF"/>
            <w:noWrap/>
            <w:vAlign w:val="bottom"/>
            <w:hideMark/>
          </w:tcPr>
          <w:p w14:paraId="362BD7F4" w14:textId="61A2019A" w:rsidR="00721CFD" w:rsidRPr="00B861F2" w:rsidRDefault="00721CFD">
            <w:pPr>
              <w:jc w:val="right"/>
              <w:rPr>
                <w:rFonts w:eastAsia="Times New Roman" w:cstheme="minorHAnsi"/>
                <w:szCs w:val="24"/>
              </w:rPr>
            </w:pPr>
            <w:r w:rsidRPr="00B861F2">
              <w:rPr>
                <w:rFonts w:ascii="Calibri" w:hAnsi="Calibri" w:cs="Calibri"/>
              </w:rPr>
              <w:t>(</w:t>
            </w:r>
            <w:r w:rsidR="00B7356B">
              <w:rPr>
                <w:rFonts w:ascii="Calibri" w:hAnsi="Calibri" w:cs="Calibri"/>
              </w:rPr>
              <w:t>11,428</w:t>
            </w:r>
            <w:r w:rsidRPr="00B861F2">
              <w:rPr>
                <w:rFonts w:ascii="Calibri" w:hAnsi="Calibri" w:cs="Calibri"/>
              </w:rPr>
              <w:t>)</w:t>
            </w:r>
            <w:r w:rsidRPr="00AB0061">
              <w:rPr>
                <w:rFonts w:ascii="Calibri" w:hAnsi="Calibri" w:cs="Calibri"/>
              </w:rPr>
              <w:t xml:space="preserve"> </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4B086A94" w14:textId="77777777" w:rsidR="00721CFD" w:rsidRPr="001A18A6" w:rsidRDefault="00721CFD" w:rsidP="007B5BB3">
            <w:pPr>
              <w:jc w:val="right"/>
              <w:rPr>
                <w:rFonts w:eastAsia="Times New Roman" w:cstheme="minorHAnsi"/>
                <w:color w:val="0D0D0D"/>
                <w:szCs w:val="24"/>
              </w:rPr>
            </w:pPr>
            <w:r>
              <w:rPr>
                <w:rFonts w:ascii="Calibri" w:hAnsi="Calibri" w:cs="Calibri"/>
              </w:rPr>
              <w:t xml:space="preserve">5,099 </w:t>
            </w:r>
          </w:p>
        </w:tc>
      </w:tr>
      <w:tr w:rsidR="00721CFD" w:rsidRPr="005F7BC7" w14:paraId="03780878" w14:textId="77777777" w:rsidTr="007B5BB3">
        <w:trPr>
          <w:trHeight w:val="288"/>
          <w:jc w:val="center"/>
        </w:trPr>
        <w:tc>
          <w:tcPr>
            <w:tcW w:w="6047" w:type="dxa"/>
            <w:tcBorders>
              <w:top w:val="nil"/>
              <w:left w:val="nil"/>
              <w:bottom w:val="single" w:sz="4" w:space="0" w:color="00688D"/>
              <w:right w:val="nil"/>
            </w:tcBorders>
            <w:shd w:val="clear" w:color="000000" w:fill="FFFFFF"/>
            <w:noWrap/>
            <w:vAlign w:val="bottom"/>
            <w:hideMark/>
          </w:tcPr>
          <w:p w14:paraId="6317AAB3" w14:textId="77777777" w:rsidR="00721CFD" w:rsidRPr="001A18A6" w:rsidRDefault="00721CFD" w:rsidP="007B5BB3">
            <w:pPr>
              <w:ind w:firstLineChars="100" w:firstLine="220"/>
              <w:rPr>
                <w:rFonts w:eastAsia="Times New Roman" w:cstheme="minorHAnsi"/>
                <w:color w:val="0D0D0D"/>
                <w:szCs w:val="24"/>
              </w:rPr>
            </w:pPr>
            <w:r w:rsidRPr="001A18A6">
              <w:rPr>
                <w:rFonts w:eastAsia="Times New Roman" w:cstheme="minorHAnsi"/>
                <w:color w:val="0D0D0D"/>
                <w:szCs w:val="24"/>
              </w:rPr>
              <w:t>Total unrestricted</w:t>
            </w:r>
          </w:p>
        </w:tc>
        <w:tc>
          <w:tcPr>
            <w:tcW w:w="1423" w:type="dxa"/>
            <w:tcBorders>
              <w:top w:val="nil"/>
              <w:left w:val="nil"/>
              <w:bottom w:val="single" w:sz="4" w:space="0" w:color="00688D"/>
              <w:right w:val="nil"/>
            </w:tcBorders>
            <w:shd w:val="clear" w:color="000000" w:fill="FFFFFF"/>
            <w:noWrap/>
            <w:vAlign w:val="bottom"/>
            <w:hideMark/>
          </w:tcPr>
          <w:p w14:paraId="1DFC7636" w14:textId="517AAE7B" w:rsidR="00721CFD" w:rsidRPr="00B861F2" w:rsidRDefault="00BF2E4A">
            <w:pPr>
              <w:jc w:val="right"/>
              <w:rPr>
                <w:rFonts w:eastAsia="Times New Roman" w:cstheme="minorHAnsi"/>
                <w:szCs w:val="24"/>
              </w:rPr>
            </w:pPr>
            <w:r w:rsidRPr="00B861F2">
              <w:rPr>
                <w:rFonts w:eastAsia="Times New Roman" w:cstheme="minorHAnsi"/>
                <w:szCs w:val="24"/>
              </w:rPr>
              <w:t>1</w:t>
            </w:r>
            <w:r>
              <w:rPr>
                <w:rFonts w:eastAsia="Times New Roman" w:cstheme="minorHAnsi"/>
                <w:szCs w:val="24"/>
              </w:rPr>
              <w:t>61</w:t>
            </w:r>
            <w:r w:rsidR="00721CFD" w:rsidRPr="00B861F2">
              <w:rPr>
                <w:rFonts w:eastAsia="Times New Roman" w:cstheme="minorHAnsi"/>
                <w:szCs w:val="24"/>
              </w:rPr>
              <w:t>,</w:t>
            </w:r>
            <w:r>
              <w:rPr>
                <w:rFonts w:eastAsia="Times New Roman" w:cstheme="minorHAnsi"/>
                <w:szCs w:val="24"/>
              </w:rPr>
              <w:t>974</w:t>
            </w:r>
          </w:p>
        </w:tc>
        <w:tc>
          <w:tcPr>
            <w:tcW w:w="1350" w:type="dxa"/>
            <w:tcBorders>
              <w:top w:val="nil"/>
              <w:left w:val="nil"/>
              <w:bottom w:val="single" w:sz="4" w:space="0" w:color="00688D"/>
              <w:right w:val="nil"/>
            </w:tcBorders>
            <w:shd w:val="clear" w:color="auto" w:fill="D9D9D9" w:themeFill="background1" w:themeFillShade="D9"/>
            <w:noWrap/>
            <w:vAlign w:val="bottom"/>
            <w:hideMark/>
          </w:tcPr>
          <w:p w14:paraId="794FBFA5" w14:textId="77777777" w:rsidR="00721CFD" w:rsidRPr="001A18A6" w:rsidRDefault="00721CFD" w:rsidP="007B5BB3">
            <w:pPr>
              <w:jc w:val="right"/>
              <w:rPr>
                <w:rFonts w:eastAsia="Times New Roman" w:cstheme="minorHAnsi"/>
                <w:color w:val="0D0D0D"/>
                <w:szCs w:val="24"/>
              </w:rPr>
            </w:pPr>
            <w:r>
              <w:rPr>
                <w:rFonts w:eastAsia="Times New Roman" w:cstheme="minorHAnsi"/>
                <w:color w:val="0D0D0D"/>
                <w:szCs w:val="24"/>
              </w:rPr>
              <w:t>182,071</w:t>
            </w:r>
          </w:p>
        </w:tc>
      </w:tr>
      <w:tr w:rsidR="00721CFD" w:rsidRPr="005F7BC7" w14:paraId="56221B44" w14:textId="77777777" w:rsidTr="007B5BB3">
        <w:trPr>
          <w:trHeight w:val="300"/>
          <w:jc w:val="center"/>
        </w:trPr>
        <w:tc>
          <w:tcPr>
            <w:tcW w:w="6047" w:type="dxa"/>
            <w:tcBorders>
              <w:top w:val="single" w:sz="4" w:space="0" w:color="00688D"/>
              <w:left w:val="nil"/>
              <w:bottom w:val="double" w:sz="4" w:space="0" w:color="00688D"/>
              <w:right w:val="nil"/>
            </w:tcBorders>
            <w:shd w:val="clear" w:color="000000" w:fill="FFFFFF"/>
            <w:noWrap/>
            <w:vAlign w:val="bottom"/>
            <w:hideMark/>
          </w:tcPr>
          <w:p w14:paraId="2EE989E2" w14:textId="77777777" w:rsidR="00721CFD" w:rsidRPr="001A18A6" w:rsidRDefault="00721CFD" w:rsidP="007B5BB3">
            <w:pPr>
              <w:rPr>
                <w:rFonts w:eastAsia="Times New Roman" w:cstheme="minorHAnsi"/>
                <w:color w:val="0D0D0D"/>
                <w:szCs w:val="24"/>
              </w:rPr>
            </w:pPr>
            <w:r w:rsidRPr="001A18A6">
              <w:rPr>
                <w:rFonts w:eastAsia="Times New Roman" w:cstheme="minorHAnsi"/>
                <w:color w:val="0D0D0D"/>
                <w:szCs w:val="24"/>
              </w:rPr>
              <w:t>Total Net Position</w:t>
            </w:r>
          </w:p>
        </w:tc>
        <w:tc>
          <w:tcPr>
            <w:tcW w:w="1423" w:type="dxa"/>
            <w:tcBorders>
              <w:top w:val="single" w:sz="4" w:space="0" w:color="00688D"/>
              <w:left w:val="nil"/>
              <w:bottom w:val="double" w:sz="4" w:space="0" w:color="00688D"/>
              <w:right w:val="nil"/>
            </w:tcBorders>
            <w:shd w:val="clear" w:color="000000" w:fill="FFFFFF"/>
            <w:noWrap/>
            <w:vAlign w:val="bottom"/>
            <w:hideMark/>
          </w:tcPr>
          <w:p w14:paraId="505B75F9" w14:textId="6A847B13" w:rsidR="00721CFD" w:rsidRPr="00B861F2" w:rsidRDefault="00721CFD">
            <w:pPr>
              <w:jc w:val="right"/>
              <w:rPr>
                <w:rFonts w:eastAsia="Times New Roman" w:cstheme="minorHAnsi"/>
                <w:szCs w:val="24"/>
              </w:rPr>
            </w:pPr>
            <w:r w:rsidRPr="00B861F2">
              <w:rPr>
                <w:rFonts w:eastAsia="Times New Roman" w:cstheme="minorHAnsi"/>
                <w:szCs w:val="24"/>
              </w:rPr>
              <w:t xml:space="preserve">$   </w:t>
            </w:r>
            <w:r w:rsidR="00670A10">
              <w:rPr>
                <w:rFonts w:eastAsia="Times New Roman" w:cstheme="minorHAnsi"/>
                <w:szCs w:val="24"/>
              </w:rPr>
              <w:t>969,614</w:t>
            </w:r>
          </w:p>
        </w:tc>
        <w:tc>
          <w:tcPr>
            <w:tcW w:w="1350" w:type="dxa"/>
            <w:tcBorders>
              <w:top w:val="single" w:sz="4" w:space="0" w:color="00688D"/>
              <w:left w:val="nil"/>
              <w:bottom w:val="double" w:sz="4" w:space="0" w:color="00688D"/>
              <w:right w:val="nil"/>
            </w:tcBorders>
            <w:shd w:val="clear" w:color="auto" w:fill="D9D9D9" w:themeFill="background1" w:themeFillShade="D9"/>
            <w:noWrap/>
            <w:vAlign w:val="bottom"/>
            <w:hideMark/>
          </w:tcPr>
          <w:p w14:paraId="5FC9A740" w14:textId="7772724C" w:rsidR="00721CFD" w:rsidRPr="001A18A6" w:rsidRDefault="00721CFD" w:rsidP="00C424F1">
            <w:pPr>
              <w:jc w:val="right"/>
              <w:rPr>
                <w:rFonts w:eastAsia="Times New Roman" w:cstheme="minorHAnsi"/>
                <w:color w:val="0D0D0D"/>
                <w:szCs w:val="24"/>
              </w:rPr>
            </w:pPr>
            <w:r w:rsidRPr="001A18A6">
              <w:rPr>
                <w:rFonts w:eastAsia="Times New Roman" w:cstheme="minorHAnsi"/>
                <w:color w:val="0D0D0D"/>
                <w:szCs w:val="24"/>
              </w:rPr>
              <w:t xml:space="preserve">$   </w:t>
            </w:r>
            <w:r w:rsidR="00A26A74">
              <w:rPr>
                <w:rFonts w:eastAsia="Times New Roman" w:cstheme="minorHAnsi"/>
                <w:color w:val="0D0D0D"/>
                <w:szCs w:val="24"/>
              </w:rPr>
              <w:t>943,517</w:t>
            </w:r>
          </w:p>
        </w:tc>
      </w:tr>
    </w:tbl>
    <w:p w14:paraId="42BC6280" w14:textId="77777777" w:rsidR="009D1777" w:rsidRDefault="009D1777">
      <w:pPr>
        <w:spacing w:after="160" w:line="259" w:lineRule="auto"/>
        <w:rPr>
          <w:rFonts w:eastAsiaTheme="majorEastAsia" w:cstheme="majorBidi"/>
          <w:b/>
          <w:i/>
          <w:iCs/>
          <w:smallCaps/>
          <w:noProof/>
          <w:color w:val="000000" w:themeColor="text1"/>
          <w:sz w:val="26"/>
          <w:szCs w:val="26"/>
          <w:u w:color="5B9BD5"/>
        </w:rPr>
      </w:pPr>
      <w:r>
        <w:rPr>
          <w:sz w:val="26"/>
          <w:szCs w:val="26"/>
        </w:rPr>
        <w:br w:type="page"/>
      </w:r>
    </w:p>
    <w:p w14:paraId="507C0922" w14:textId="4C67BCA2" w:rsidR="00721CFD" w:rsidRPr="00F54559" w:rsidRDefault="00721CFD" w:rsidP="005B6CCB">
      <w:pPr>
        <w:pStyle w:val="AFR2"/>
        <w:rPr>
          <w:sz w:val="26"/>
          <w:szCs w:val="26"/>
        </w:rPr>
      </w:pPr>
      <w:r w:rsidRPr="00F54559">
        <w:rPr>
          <w:sz w:val="26"/>
          <w:szCs w:val="26"/>
        </w:rPr>
        <w:lastRenderedPageBreak/>
        <w:t>11. COMMITMENTS AND CONTINGENCIES</w:t>
      </w:r>
    </w:p>
    <w:p w14:paraId="41774DF8" w14:textId="77777777" w:rsidR="00721CFD" w:rsidRPr="00F54559" w:rsidRDefault="00721CFD" w:rsidP="00721CFD">
      <w:pPr>
        <w:pStyle w:val="AFR3"/>
        <w:rPr>
          <w:rFonts w:cstheme="minorHAnsi"/>
        </w:rPr>
      </w:pPr>
      <w:r w:rsidRPr="00F54559">
        <w:rPr>
          <w:rFonts w:cstheme="minorHAnsi"/>
        </w:rPr>
        <w:t>a. Grant Program Involvement</w:t>
      </w:r>
    </w:p>
    <w:p w14:paraId="12514841" w14:textId="37942484" w:rsidR="005B6CCB" w:rsidRDefault="00721CFD" w:rsidP="00404A7A">
      <w:pPr>
        <w:tabs>
          <w:tab w:val="left" w:pos="720"/>
          <w:tab w:val="left" w:pos="1080"/>
          <w:tab w:val="right" w:pos="4262"/>
          <w:tab w:val="right" w:pos="5220"/>
          <w:tab w:val="right" w:pos="6691"/>
          <w:tab w:val="right" w:pos="7621"/>
          <w:tab w:val="right" w:pos="9187"/>
        </w:tabs>
        <w:suppressAutoHyphens/>
        <w:rPr>
          <w:rFonts w:cstheme="minorHAnsi"/>
          <w:b/>
          <w:i/>
          <w:sz w:val="26"/>
          <w:u w:val="single" w:color="000000" w:themeColor="text1"/>
        </w:rPr>
      </w:pPr>
      <w:r w:rsidRPr="00F54559">
        <w:rPr>
          <w:rFonts w:cstheme="minorHAnsi"/>
          <w:bCs/>
          <w:spacing w:val="-3"/>
          <w:sz w:val="24"/>
        </w:rPr>
        <w:t>The System participates in a number of federal programs subject to financial and compliance audits.  The amount of expenditures that may be disallowed by the granting agencies cannot be determined at this time, although the System does not expect these amounts, if any, to be material to the financial statements.</w:t>
      </w:r>
    </w:p>
    <w:p w14:paraId="565ACE1B" w14:textId="26F14E30" w:rsidR="00721CFD" w:rsidRPr="00F54559" w:rsidRDefault="00721CFD" w:rsidP="00721CFD">
      <w:pPr>
        <w:pStyle w:val="AFR3"/>
        <w:rPr>
          <w:rFonts w:cstheme="minorHAnsi"/>
        </w:rPr>
      </w:pPr>
      <w:r w:rsidRPr="00F54559">
        <w:rPr>
          <w:rFonts w:cstheme="minorHAnsi"/>
        </w:rPr>
        <w:t>b</w:t>
      </w:r>
      <w:r w:rsidRPr="00160E4E">
        <w:rPr>
          <w:rFonts w:cstheme="minorHAnsi"/>
        </w:rPr>
        <w:t>. Risk Management – Insurance Programs</w:t>
      </w:r>
    </w:p>
    <w:p w14:paraId="74A1D532" w14:textId="77777777" w:rsidR="00721CFD" w:rsidRPr="00F54559" w:rsidRDefault="00721CFD" w:rsidP="00721CFD">
      <w:pPr>
        <w:tabs>
          <w:tab w:val="left" w:pos="720"/>
          <w:tab w:val="left" w:pos="1080"/>
          <w:tab w:val="right" w:pos="4262"/>
          <w:tab w:val="right" w:pos="5220"/>
          <w:tab w:val="right" w:pos="6691"/>
          <w:tab w:val="right" w:pos="7621"/>
          <w:tab w:val="right" w:pos="9187"/>
        </w:tabs>
        <w:suppressAutoHyphens/>
        <w:rPr>
          <w:rFonts w:eastAsia="Times New Roman" w:cstheme="minorHAnsi"/>
          <w:bCs/>
          <w:spacing w:val="-3"/>
          <w:sz w:val="20"/>
          <w:szCs w:val="24"/>
        </w:rPr>
      </w:pPr>
      <w:r w:rsidRPr="00F54559">
        <w:rPr>
          <w:rFonts w:eastAsia="Times New Roman" w:cstheme="minorHAnsi"/>
          <w:bCs/>
          <w:spacing w:val="-3"/>
          <w:sz w:val="24"/>
          <w:szCs w:val="24"/>
        </w:rPr>
        <w:t>The System is exposed to various risks of loss related to torts; thefts of, damage to and destruction of assets; errors and omissions; injuries; environmental pollution and natural disasters.  The System manages these risks through a combination of commercial insurance policies purchased in the name of the System, a large deductible all-risk property insurance program and a self-insured retention program for physical damage to vehicles and mobile equipment.</w:t>
      </w:r>
    </w:p>
    <w:p w14:paraId="7F7CD4DF" w14:textId="77777777" w:rsidR="00721CFD" w:rsidRPr="00F54559" w:rsidRDefault="00721CFD" w:rsidP="00721CFD">
      <w:pPr>
        <w:tabs>
          <w:tab w:val="left" w:pos="720"/>
          <w:tab w:val="left" w:pos="1440"/>
          <w:tab w:val="right" w:pos="4262"/>
          <w:tab w:val="right" w:pos="5220"/>
          <w:tab w:val="right" w:pos="6691"/>
          <w:tab w:val="right" w:pos="7621"/>
          <w:tab w:val="right" w:pos="9187"/>
        </w:tabs>
        <w:suppressAutoHyphens/>
        <w:ind w:left="720"/>
        <w:rPr>
          <w:rFonts w:eastAsia="Times New Roman" w:cstheme="minorHAnsi"/>
          <w:spacing w:val="-3"/>
          <w:sz w:val="20"/>
          <w:szCs w:val="20"/>
          <w:highlight w:val="yellow"/>
        </w:rPr>
      </w:pPr>
    </w:p>
    <w:p w14:paraId="72FF7D00" w14:textId="77777777" w:rsidR="00721CFD" w:rsidRPr="00F54559" w:rsidRDefault="00721CFD" w:rsidP="00721CFD">
      <w:pPr>
        <w:tabs>
          <w:tab w:val="left" w:pos="720"/>
          <w:tab w:val="left" w:pos="1080"/>
          <w:tab w:val="center" w:pos="5112"/>
        </w:tabs>
        <w:suppressAutoHyphens/>
        <w:rPr>
          <w:rFonts w:eastAsia="Times New Roman" w:cstheme="minorHAnsi"/>
          <w:spacing w:val="-3"/>
          <w:sz w:val="20"/>
          <w:szCs w:val="20"/>
        </w:rPr>
      </w:pPr>
      <w:r w:rsidRPr="00F54559">
        <w:rPr>
          <w:rFonts w:eastAsia="Times New Roman" w:cstheme="minorHAnsi"/>
          <w:bCs/>
          <w:color w:val="000000"/>
          <w:spacing w:val="-3"/>
          <w:sz w:val="24"/>
          <w:szCs w:val="24"/>
        </w:rPr>
        <w:t xml:space="preserve">The System’s retention obligation for the general liability and vehicle liability is capped at </w:t>
      </w:r>
      <w:r w:rsidRPr="00B861F2">
        <w:rPr>
          <w:rFonts w:eastAsia="Times New Roman" w:cstheme="minorHAnsi"/>
          <w:bCs/>
          <w:spacing w:val="-3"/>
          <w:sz w:val="24"/>
          <w:szCs w:val="24"/>
        </w:rPr>
        <w:t xml:space="preserve">$400 </w:t>
      </w:r>
      <w:r w:rsidRPr="00813DF0">
        <w:rPr>
          <w:rFonts w:eastAsia="Times New Roman" w:cstheme="minorHAnsi"/>
          <w:bCs/>
          <w:color w:val="000000"/>
          <w:spacing w:val="-3"/>
          <w:sz w:val="24"/>
          <w:szCs w:val="24"/>
        </w:rPr>
        <w:t xml:space="preserve">per claim, with an aggregate limit of </w:t>
      </w:r>
      <w:r w:rsidRPr="00B861F2">
        <w:rPr>
          <w:rFonts w:eastAsia="Times New Roman" w:cstheme="minorHAnsi"/>
          <w:bCs/>
          <w:spacing w:val="-3"/>
          <w:sz w:val="24"/>
          <w:szCs w:val="24"/>
        </w:rPr>
        <w:t xml:space="preserve">$20,000 </w:t>
      </w:r>
      <w:r w:rsidRPr="00813DF0">
        <w:rPr>
          <w:rFonts w:eastAsia="Times New Roman" w:cstheme="minorHAnsi"/>
          <w:bCs/>
          <w:color w:val="000000"/>
          <w:spacing w:val="-3"/>
          <w:sz w:val="24"/>
          <w:szCs w:val="24"/>
        </w:rPr>
        <w:t>per year.  Educator’s legal liability risks are subject to a $</w:t>
      </w:r>
      <w:r>
        <w:rPr>
          <w:rFonts w:eastAsia="Times New Roman" w:cstheme="minorHAnsi"/>
          <w:bCs/>
          <w:color w:val="000000"/>
          <w:spacing w:val="-3"/>
          <w:sz w:val="24"/>
          <w:szCs w:val="24"/>
        </w:rPr>
        <w:t>200</w:t>
      </w:r>
      <w:r w:rsidRPr="00813DF0">
        <w:rPr>
          <w:rFonts w:eastAsia="Times New Roman" w:cstheme="minorHAnsi"/>
          <w:bCs/>
          <w:color w:val="000000"/>
          <w:spacing w:val="-3"/>
          <w:sz w:val="24"/>
          <w:szCs w:val="24"/>
        </w:rPr>
        <w:t xml:space="preserve"> per loss retention with </w:t>
      </w:r>
      <w:r>
        <w:rPr>
          <w:rFonts w:eastAsia="Times New Roman" w:cstheme="minorHAnsi"/>
          <w:bCs/>
          <w:color w:val="000000"/>
          <w:spacing w:val="-3"/>
          <w:sz w:val="24"/>
          <w:szCs w:val="24"/>
        </w:rPr>
        <w:t xml:space="preserve">an aggregate limit of </w:t>
      </w:r>
      <w:r w:rsidRPr="00B861F2">
        <w:rPr>
          <w:rFonts w:eastAsia="Times New Roman" w:cstheme="minorHAnsi"/>
          <w:bCs/>
          <w:spacing w:val="-3"/>
          <w:sz w:val="24"/>
          <w:szCs w:val="24"/>
        </w:rPr>
        <w:t>$25,000</w:t>
      </w:r>
      <w:r w:rsidRPr="00F54559">
        <w:rPr>
          <w:rFonts w:eastAsia="Times New Roman" w:cstheme="minorHAnsi"/>
          <w:bCs/>
          <w:color w:val="000000"/>
          <w:spacing w:val="-3"/>
          <w:sz w:val="24"/>
          <w:szCs w:val="24"/>
        </w:rPr>
        <w:t>.  The System’s estimate of the amount payable under these retention levels has been included in the accompanying Statements of Net Position as part of current accrued liabilities.  As of June 30, 20</w:t>
      </w:r>
      <w:r>
        <w:rPr>
          <w:rFonts w:eastAsia="Times New Roman" w:cstheme="minorHAnsi"/>
          <w:bCs/>
          <w:color w:val="000000"/>
          <w:spacing w:val="-3"/>
          <w:sz w:val="24"/>
          <w:szCs w:val="24"/>
        </w:rPr>
        <w:t>22</w:t>
      </w:r>
      <w:r w:rsidRPr="00F54559">
        <w:rPr>
          <w:rFonts w:eastAsia="Times New Roman" w:cstheme="minorHAnsi"/>
          <w:bCs/>
          <w:color w:val="000000"/>
          <w:spacing w:val="-3"/>
          <w:sz w:val="24"/>
          <w:szCs w:val="24"/>
        </w:rPr>
        <w:t xml:space="preserve"> and 20</w:t>
      </w:r>
      <w:r>
        <w:rPr>
          <w:rFonts w:eastAsia="Times New Roman" w:cstheme="minorHAnsi"/>
          <w:bCs/>
          <w:color w:val="000000"/>
          <w:spacing w:val="-3"/>
          <w:sz w:val="24"/>
          <w:szCs w:val="24"/>
        </w:rPr>
        <w:t>21</w:t>
      </w:r>
      <w:r w:rsidRPr="00F54559">
        <w:rPr>
          <w:rFonts w:eastAsia="Times New Roman" w:cstheme="minorHAnsi"/>
          <w:bCs/>
          <w:color w:val="000000"/>
          <w:spacing w:val="-3"/>
          <w:sz w:val="24"/>
          <w:szCs w:val="24"/>
        </w:rPr>
        <w:t xml:space="preserve"> certain legal claims existed for which the probability or amount of payment could not be determined. The System, however, does not expect these amounts, if any, to be material to the financial statements.</w:t>
      </w:r>
    </w:p>
    <w:p w14:paraId="4E6B4AEE" w14:textId="77777777" w:rsidR="00721CFD" w:rsidRPr="00F54559" w:rsidRDefault="00721CFD" w:rsidP="00721CFD">
      <w:pPr>
        <w:tabs>
          <w:tab w:val="left" w:pos="720"/>
          <w:tab w:val="left" w:pos="1080"/>
          <w:tab w:val="center" w:pos="5112"/>
        </w:tabs>
        <w:suppressAutoHyphens/>
        <w:rPr>
          <w:rFonts w:eastAsia="Times New Roman" w:cstheme="minorHAnsi"/>
          <w:spacing w:val="-3"/>
          <w:sz w:val="20"/>
          <w:szCs w:val="20"/>
        </w:rPr>
      </w:pPr>
    </w:p>
    <w:p w14:paraId="052675E4" w14:textId="41C38E82" w:rsidR="00721CFD" w:rsidRPr="00F54559" w:rsidRDefault="00721CFD" w:rsidP="00721CFD">
      <w:pPr>
        <w:tabs>
          <w:tab w:val="left" w:pos="720"/>
          <w:tab w:val="left" w:pos="1080"/>
          <w:tab w:val="center" w:pos="5112"/>
        </w:tabs>
        <w:suppressAutoHyphens/>
        <w:rPr>
          <w:rFonts w:eastAsia="Times New Roman" w:cstheme="minorHAnsi"/>
          <w:bCs/>
          <w:spacing w:val="-3"/>
          <w:sz w:val="20"/>
          <w:szCs w:val="24"/>
        </w:rPr>
      </w:pPr>
      <w:r w:rsidRPr="00F54559">
        <w:rPr>
          <w:rFonts w:eastAsia="Times New Roman" w:cstheme="minorHAnsi"/>
          <w:spacing w:val="-3"/>
          <w:sz w:val="24"/>
          <w:szCs w:val="20"/>
        </w:rPr>
        <w:t xml:space="preserve">At October 1, 2016, the System moved from a self-funded workers’ compensation model to commercial insurance. The liability for pre-existing unpaid claims is based on the requirements of GASB Statement No. 10, </w:t>
      </w:r>
      <w:r w:rsidRPr="00F54559">
        <w:rPr>
          <w:rFonts w:eastAsia="Times New Roman" w:cstheme="minorHAnsi"/>
          <w:i/>
          <w:spacing w:val="-3"/>
          <w:sz w:val="24"/>
          <w:szCs w:val="20"/>
        </w:rPr>
        <w:t>Accounting and Financial Reporting for Risk Financing and Related Insurance Issues,</w:t>
      </w:r>
      <w:r w:rsidRPr="00F54559">
        <w:rPr>
          <w:rFonts w:eastAsia="Times New Roman" w:cstheme="minorHAnsi"/>
          <w:spacing w:val="-3"/>
          <w:sz w:val="24"/>
          <w:szCs w:val="20"/>
        </w:rPr>
        <w:t xml:space="preserve"> which requires that a liability for claims be reported if information prior to the issuance of the financial statements indicates that it is probable that a liability has been incurred at the date of the financial statements and the amount of the loss can be reasonably estimated. The System’s estimated liability at June 30, 20</w:t>
      </w:r>
      <w:r>
        <w:rPr>
          <w:rFonts w:eastAsia="Times New Roman" w:cstheme="minorHAnsi"/>
          <w:spacing w:val="-3"/>
          <w:sz w:val="24"/>
          <w:szCs w:val="20"/>
        </w:rPr>
        <w:t>22</w:t>
      </w:r>
      <w:r w:rsidRPr="00F54559">
        <w:rPr>
          <w:rFonts w:eastAsia="Times New Roman" w:cstheme="minorHAnsi"/>
          <w:spacing w:val="-3"/>
          <w:sz w:val="24"/>
          <w:szCs w:val="20"/>
        </w:rPr>
        <w:t xml:space="preserve"> and 20</w:t>
      </w:r>
      <w:r>
        <w:rPr>
          <w:rFonts w:eastAsia="Times New Roman" w:cstheme="minorHAnsi"/>
          <w:spacing w:val="-3"/>
          <w:sz w:val="24"/>
          <w:szCs w:val="20"/>
        </w:rPr>
        <w:t>21</w:t>
      </w:r>
      <w:r w:rsidRPr="00F54559">
        <w:rPr>
          <w:rFonts w:eastAsia="Times New Roman" w:cstheme="minorHAnsi"/>
          <w:spacing w:val="-3"/>
          <w:sz w:val="24"/>
          <w:szCs w:val="20"/>
        </w:rPr>
        <w:t xml:space="preserve"> of $</w:t>
      </w:r>
      <w:r w:rsidRPr="00A93FB3">
        <w:rPr>
          <w:rFonts w:eastAsia="Times New Roman" w:cstheme="minorHAnsi"/>
          <w:spacing w:val="-3"/>
          <w:sz w:val="24"/>
          <w:szCs w:val="20"/>
        </w:rPr>
        <w:t>1,</w:t>
      </w:r>
      <w:r w:rsidR="009B5659" w:rsidRPr="00A93FB3">
        <w:rPr>
          <w:rFonts w:eastAsia="Times New Roman" w:cstheme="minorHAnsi"/>
          <w:spacing w:val="-3"/>
          <w:sz w:val="24"/>
          <w:szCs w:val="20"/>
        </w:rPr>
        <w:t>92</w:t>
      </w:r>
      <w:r w:rsidR="009B5659">
        <w:rPr>
          <w:rFonts w:eastAsia="Times New Roman" w:cstheme="minorHAnsi"/>
          <w:spacing w:val="-3"/>
          <w:sz w:val="24"/>
          <w:szCs w:val="20"/>
        </w:rPr>
        <w:t>6</w:t>
      </w:r>
      <w:r w:rsidR="009B5659" w:rsidRPr="00E96C73">
        <w:rPr>
          <w:rFonts w:eastAsia="Times New Roman" w:cstheme="minorHAnsi"/>
          <w:spacing w:val="-3"/>
          <w:sz w:val="24"/>
          <w:szCs w:val="20"/>
        </w:rPr>
        <w:t xml:space="preserve"> </w:t>
      </w:r>
      <w:r w:rsidRPr="00F54559">
        <w:rPr>
          <w:rFonts w:eastAsia="Times New Roman" w:cstheme="minorHAnsi"/>
          <w:spacing w:val="-3"/>
          <w:sz w:val="24"/>
          <w:szCs w:val="20"/>
        </w:rPr>
        <w:t>and $</w:t>
      </w:r>
      <w:r>
        <w:rPr>
          <w:rFonts w:eastAsia="Times New Roman" w:cstheme="minorHAnsi"/>
          <w:spacing w:val="-3"/>
          <w:sz w:val="24"/>
          <w:szCs w:val="20"/>
        </w:rPr>
        <w:t>2,201</w:t>
      </w:r>
      <w:r w:rsidRPr="00F54559">
        <w:rPr>
          <w:rFonts w:eastAsia="Times New Roman" w:cstheme="minorHAnsi"/>
          <w:spacing w:val="-3"/>
          <w:sz w:val="24"/>
          <w:szCs w:val="20"/>
        </w:rPr>
        <w:t xml:space="preserve">, respectively, for pre-existing workers’ compensation claims is included in accrued liabilities in the </w:t>
      </w:r>
      <w:r w:rsidRPr="00F54559">
        <w:rPr>
          <w:rFonts w:eastAsia="Times New Roman" w:cstheme="minorHAnsi"/>
          <w:bCs/>
          <w:spacing w:val="-3"/>
          <w:sz w:val="24"/>
          <w:szCs w:val="24"/>
        </w:rPr>
        <w:t xml:space="preserve">accompanying Statements of Net Position (see Note 7). The System now purchases commercial workers’ compensation insurance which limits </w:t>
      </w:r>
      <w:r>
        <w:rPr>
          <w:rFonts w:eastAsia="Times New Roman" w:cstheme="minorHAnsi"/>
          <w:bCs/>
          <w:spacing w:val="-3"/>
          <w:sz w:val="24"/>
          <w:szCs w:val="24"/>
        </w:rPr>
        <w:t xml:space="preserve">UMS’ insurable </w:t>
      </w:r>
      <w:r w:rsidRPr="00F54559">
        <w:rPr>
          <w:rFonts w:eastAsia="Times New Roman" w:cstheme="minorHAnsi"/>
          <w:bCs/>
          <w:spacing w:val="-3"/>
          <w:sz w:val="24"/>
          <w:szCs w:val="24"/>
        </w:rPr>
        <w:t xml:space="preserve">exposure for any one incident </w:t>
      </w:r>
      <w:r w:rsidRPr="00160E4E">
        <w:rPr>
          <w:rFonts w:eastAsia="Times New Roman" w:cstheme="minorHAnsi"/>
          <w:bCs/>
          <w:spacing w:val="-3"/>
          <w:sz w:val="24"/>
          <w:szCs w:val="24"/>
        </w:rPr>
        <w:t>to $1.5</w:t>
      </w:r>
      <w:r>
        <w:rPr>
          <w:rFonts w:eastAsia="Times New Roman" w:cstheme="minorHAnsi"/>
          <w:bCs/>
          <w:spacing w:val="-3"/>
          <w:sz w:val="24"/>
          <w:szCs w:val="24"/>
        </w:rPr>
        <w:t>.</w:t>
      </w:r>
    </w:p>
    <w:p w14:paraId="2F854EBF" w14:textId="77777777" w:rsidR="00721CFD" w:rsidRPr="00F54559" w:rsidRDefault="00721CFD" w:rsidP="00721CFD">
      <w:pPr>
        <w:tabs>
          <w:tab w:val="left" w:pos="720"/>
          <w:tab w:val="center" w:pos="5112"/>
        </w:tabs>
        <w:suppressAutoHyphens/>
        <w:rPr>
          <w:rFonts w:eastAsia="Times New Roman" w:cstheme="minorHAnsi"/>
          <w:bCs/>
          <w:spacing w:val="-3"/>
          <w:sz w:val="20"/>
          <w:szCs w:val="24"/>
        </w:rPr>
      </w:pPr>
    </w:p>
    <w:p w14:paraId="4DB31F56" w14:textId="73AD6AF8" w:rsidR="00CF0899" w:rsidRDefault="00721CFD" w:rsidP="00721CFD">
      <w:pPr>
        <w:rPr>
          <w:rFonts w:cstheme="minorHAnsi"/>
          <w:spacing w:val="-3"/>
          <w:sz w:val="24"/>
        </w:rPr>
      </w:pPr>
      <w:r w:rsidRPr="00F54559">
        <w:rPr>
          <w:rFonts w:cstheme="minorHAnsi"/>
          <w:spacing w:val="-3"/>
          <w:sz w:val="24"/>
          <w:szCs w:val="20"/>
        </w:rPr>
        <w:t xml:space="preserve">The System’s active employee and under age 65 retiree health plans are self-funded with an </w:t>
      </w:r>
      <w:r w:rsidRPr="00160E4E">
        <w:rPr>
          <w:rFonts w:cstheme="minorHAnsi"/>
          <w:spacing w:val="-3"/>
          <w:sz w:val="24"/>
          <w:szCs w:val="20"/>
        </w:rPr>
        <w:t xml:space="preserve">Administrative Services Only (ASO) agreement </w:t>
      </w:r>
      <w:r w:rsidRPr="00F54559">
        <w:rPr>
          <w:rFonts w:cstheme="minorHAnsi"/>
          <w:spacing w:val="-3"/>
          <w:sz w:val="24"/>
          <w:szCs w:val="20"/>
        </w:rPr>
        <w:t xml:space="preserve">with a commercial carrier.  </w:t>
      </w:r>
      <w:r w:rsidR="00CF0899" w:rsidRPr="00F54559">
        <w:rPr>
          <w:rFonts w:cstheme="minorHAnsi"/>
          <w:bCs/>
          <w:sz w:val="24"/>
        </w:rPr>
        <w:t>The System purchases stop-loss insurance which limits the exposure to $</w:t>
      </w:r>
      <w:r w:rsidR="00CF0899" w:rsidRPr="00160E4E">
        <w:rPr>
          <w:rFonts w:cstheme="minorHAnsi"/>
          <w:bCs/>
          <w:sz w:val="24"/>
        </w:rPr>
        <w:t xml:space="preserve">1,000 </w:t>
      </w:r>
      <w:r w:rsidR="00CF0899" w:rsidRPr="00F54559">
        <w:rPr>
          <w:rFonts w:cstheme="minorHAnsi"/>
          <w:bCs/>
          <w:sz w:val="24"/>
        </w:rPr>
        <w:t>per individual.</w:t>
      </w:r>
      <w:r w:rsidR="009F7B28">
        <w:rPr>
          <w:rFonts w:cstheme="minorHAnsi"/>
          <w:spacing w:val="-3"/>
          <w:sz w:val="24"/>
          <w:szCs w:val="20"/>
        </w:rPr>
        <w:t xml:space="preserve"> For</w:t>
      </w:r>
      <w:r w:rsidR="009F7B28" w:rsidRPr="00F54559">
        <w:rPr>
          <w:rFonts w:cstheme="minorHAnsi"/>
          <w:spacing w:val="-3"/>
          <w:sz w:val="24"/>
          <w:szCs w:val="20"/>
        </w:rPr>
        <w:t xml:space="preserve"> retiree</w:t>
      </w:r>
      <w:r w:rsidR="009F7B28">
        <w:rPr>
          <w:rFonts w:cstheme="minorHAnsi"/>
          <w:spacing w:val="-3"/>
          <w:sz w:val="24"/>
          <w:szCs w:val="20"/>
        </w:rPr>
        <w:t>s who are Medicare eligible, e</w:t>
      </w:r>
      <w:r w:rsidR="00CF0899">
        <w:rPr>
          <w:rFonts w:cstheme="minorHAnsi"/>
          <w:spacing w:val="-3"/>
          <w:sz w:val="24"/>
          <w:szCs w:val="20"/>
        </w:rPr>
        <w:t>ffective for calendar year 2021, t</w:t>
      </w:r>
      <w:r w:rsidRPr="00F54559">
        <w:rPr>
          <w:rFonts w:cstheme="minorHAnsi"/>
          <w:spacing w:val="-3"/>
          <w:sz w:val="24"/>
          <w:szCs w:val="20"/>
        </w:rPr>
        <w:t>he System</w:t>
      </w:r>
      <w:r>
        <w:rPr>
          <w:rFonts w:cstheme="minorHAnsi"/>
          <w:spacing w:val="-3"/>
          <w:sz w:val="24"/>
          <w:szCs w:val="20"/>
        </w:rPr>
        <w:t xml:space="preserve"> began offering two health plan options</w:t>
      </w:r>
      <w:r w:rsidR="009F7B28">
        <w:rPr>
          <w:rFonts w:cstheme="minorHAnsi"/>
          <w:spacing w:val="-3"/>
          <w:sz w:val="24"/>
          <w:szCs w:val="20"/>
        </w:rPr>
        <w:t>.</w:t>
      </w:r>
      <w:r>
        <w:rPr>
          <w:rFonts w:cstheme="minorHAnsi"/>
          <w:spacing w:val="-3"/>
          <w:sz w:val="24"/>
          <w:szCs w:val="20"/>
        </w:rPr>
        <w:t xml:space="preserve"> The legacy option </w:t>
      </w:r>
      <w:r w:rsidRPr="00F54559">
        <w:rPr>
          <w:rFonts w:cstheme="minorHAnsi"/>
          <w:spacing w:val="-3"/>
          <w:sz w:val="24"/>
          <w:szCs w:val="20"/>
        </w:rPr>
        <w:t>is a fully insured Medicare Advantage Private Fee for Service program with a commercial carrier.</w:t>
      </w:r>
      <w:r>
        <w:rPr>
          <w:rFonts w:cstheme="minorHAnsi"/>
          <w:spacing w:val="-3"/>
          <w:sz w:val="24"/>
          <w:szCs w:val="20"/>
        </w:rPr>
        <w:t xml:space="preserve"> The new option is a </w:t>
      </w:r>
      <w:r w:rsidR="00CF0899">
        <w:rPr>
          <w:sz w:val="24"/>
          <w:szCs w:val="24"/>
        </w:rPr>
        <w:t>Medicare Exchange program</w:t>
      </w:r>
      <w:r w:rsidR="00CF0899" w:rsidRPr="009C0A89">
        <w:rPr>
          <w:sz w:val="24"/>
          <w:szCs w:val="24"/>
        </w:rPr>
        <w:t xml:space="preserve"> </w:t>
      </w:r>
      <w:r w:rsidR="00CF0899">
        <w:rPr>
          <w:sz w:val="24"/>
          <w:szCs w:val="24"/>
        </w:rPr>
        <w:t xml:space="preserve">including a </w:t>
      </w:r>
      <w:r w:rsidRPr="009C0A89">
        <w:rPr>
          <w:sz w:val="24"/>
          <w:szCs w:val="24"/>
        </w:rPr>
        <w:t xml:space="preserve">funded Health Reimbursement </w:t>
      </w:r>
      <w:r>
        <w:rPr>
          <w:sz w:val="24"/>
          <w:szCs w:val="24"/>
        </w:rPr>
        <w:t>Account (HRA)</w:t>
      </w:r>
      <w:r w:rsidRPr="009C0A89">
        <w:rPr>
          <w:sz w:val="24"/>
          <w:szCs w:val="24"/>
        </w:rPr>
        <w:t>.</w:t>
      </w:r>
      <w:r>
        <w:rPr>
          <w:sz w:val="24"/>
          <w:szCs w:val="24"/>
        </w:rPr>
        <w:t xml:space="preserve"> </w:t>
      </w:r>
      <w:r w:rsidRPr="00F54559">
        <w:rPr>
          <w:rFonts w:cstheme="minorHAnsi"/>
          <w:spacing w:val="4"/>
          <w:sz w:val="24"/>
        </w:rPr>
        <w:t>As of June 30, 20</w:t>
      </w:r>
      <w:r>
        <w:rPr>
          <w:rFonts w:cstheme="minorHAnsi"/>
          <w:spacing w:val="4"/>
          <w:sz w:val="24"/>
        </w:rPr>
        <w:t>22</w:t>
      </w:r>
      <w:r w:rsidRPr="00F54559">
        <w:rPr>
          <w:rFonts w:cstheme="minorHAnsi"/>
          <w:spacing w:val="4"/>
          <w:sz w:val="24"/>
        </w:rPr>
        <w:t xml:space="preserve"> and 20</w:t>
      </w:r>
      <w:r>
        <w:rPr>
          <w:rFonts w:cstheme="minorHAnsi"/>
          <w:spacing w:val="4"/>
          <w:sz w:val="24"/>
        </w:rPr>
        <w:t>21</w:t>
      </w:r>
      <w:r w:rsidRPr="00F54559">
        <w:rPr>
          <w:rFonts w:cstheme="minorHAnsi"/>
          <w:spacing w:val="4"/>
          <w:sz w:val="24"/>
        </w:rPr>
        <w:t>, the</w:t>
      </w:r>
      <w:r w:rsidR="009F7B28">
        <w:rPr>
          <w:rFonts w:cstheme="minorHAnsi"/>
          <w:sz w:val="24"/>
        </w:rPr>
        <w:t xml:space="preserve"> </w:t>
      </w:r>
      <w:r w:rsidR="009F7B28">
        <w:rPr>
          <w:rFonts w:cstheme="minorHAnsi"/>
          <w:spacing w:val="-3"/>
          <w:sz w:val="24"/>
          <w:szCs w:val="20"/>
        </w:rPr>
        <w:t>e</w:t>
      </w:r>
      <w:r w:rsidRPr="00F54559">
        <w:rPr>
          <w:rFonts w:cstheme="minorHAnsi"/>
          <w:spacing w:val="-3"/>
          <w:sz w:val="24"/>
          <w:szCs w:val="20"/>
        </w:rPr>
        <w:t>stimated liability for claims incurred but not reported is included in total health insurance accrued liabilities in the</w:t>
      </w:r>
      <w:r w:rsidR="005B6CCB">
        <w:rPr>
          <w:rFonts w:cstheme="minorHAnsi"/>
          <w:spacing w:val="-3"/>
          <w:sz w:val="24"/>
          <w:szCs w:val="20"/>
        </w:rPr>
        <w:t xml:space="preserve"> </w:t>
      </w:r>
      <w:r>
        <w:rPr>
          <w:rFonts w:cstheme="minorHAnsi"/>
          <w:spacing w:val="-3"/>
          <w:sz w:val="24"/>
          <w:szCs w:val="20"/>
        </w:rPr>
        <w:t xml:space="preserve">accompanying Statements of Net Position </w:t>
      </w:r>
      <w:r w:rsidRPr="00F54559">
        <w:rPr>
          <w:rFonts w:cstheme="minorHAnsi"/>
          <w:spacing w:val="-3"/>
          <w:sz w:val="24"/>
          <w:szCs w:val="20"/>
        </w:rPr>
        <w:t>(see Note 7</w:t>
      </w:r>
      <w:r w:rsidRPr="00F54559">
        <w:rPr>
          <w:rFonts w:cstheme="minorHAnsi"/>
          <w:spacing w:val="-3"/>
          <w:sz w:val="24"/>
        </w:rPr>
        <w:t xml:space="preserve">).  </w:t>
      </w:r>
    </w:p>
    <w:p w14:paraId="2A52A1FA" w14:textId="77777777" w:rsidR="009D1777" w:rsidRPr="00F54559" w:rsidRDefault="009D1777" w:rsidP="003D420A">
      <w:pPr>
        <w:rPr>
          <w:rFonts w:eastAsia="Times New Roman" w:cstheme="minorHAnsi"/>
          <w:bCs/>
          <w:color w:val="000000"/>
          <w:spacing w:val="-3"/>
          <w:sz w:val="24"/>
          <w:szCs w:val="20"/>
        </w:rPr>
      </w:pPr>
      <w:r w:rsidRPr="00F54559">
        <w:rPr>
          <w:rFonts w:eastAsiaTheme="majorEastAsia" w:cstheme="minorHAnsi"/>
          <w:b/>
          <w:i/>
          <w:iCs/>
          <w:smallCaps/>
          <w:noProof/>
          <w:color w:val="000000" w:themeColor="text1"/>
          <w:sz w:val="26"/>
          <w:szCs w:val="26"/>
          <w:u w:color="5B9BD5"/>
        </w:rPr>
        <w:lastRenderedPageBreak/>
        <w:t>11. COMMITMENT</w:t>
      </w:r>
      <w:r>
        <w:rPr>
          <w:rFonts w:eastAsiaTheme="majorEastAsia" w:cstheme="minorHAnsi"/>
          <w:b/>
          <w:i/>
          <w:iCs/>
          <w:smallCaps/>
          <w:noProof/>
          <w:color w:val="000000" w:themeColor="text1"/>
          <w:sz w:val="26"/>
          <w:szCs w:val="26"/>
          <w:u w:color="5B9BD5"/>
        </w:rPr>
        <w:t>S</w:t>
      </w:r>
      <w:r w:rsidRPr="00F54559">
        <w:rPr>
          <w:rFonts w:eastAsiaTheme="majorEastAsia" w:cstheme="minorHAnsi"/>
          <w:b/>
          <w:i/>
          <w:iCs/>
          <w:smallCaps/>
          <w:noProof/>
          <w:color w:val="000000" w:themeColor="text1"/>
          <w:sz w:val="26"/>
          <w:szCs w:val="26"/>
          <w:u w:color="5B9BD5"/>
        </w:rPr>
        <w:t xml:space="preserve"> AND CONTINGENCIES  - CONTINUED</w:t>
      </w:r>
    </w:p>
    <w:p w14:paraId="17E4D4BB" w14:textId="5EDA0797" w:rsidR="00721CFD" w:rsidRDefault="00721CFD" w:rsidP="004237A6">
      <w:pPr>
        <w:tabs>
          <w:tab w:val="left" w:pos="1080"/>
          <w:tab w:val="right" w:pos="4262"/>
          <w:tab w:val="right" w:pos="5220"/>
          <w:tab w:val="right" w:pos="6691"/>
          <w:tab w:val="right" w:pos="7621"/>
          <w:tab w:val="right" w:pos="9630"/>
        </w:tabs>
        <w:suppressAutoHyphens/>
        <w:spacing w:before="240" w:after="240"/>
        <w:ind w:left="1080" w:hanging="1080"/>
        <w:rPr>
          <w:rFonts w:eastAsia="Times New Roman" w:cstheme="minorHAnsi"/>
          <w:bCs/>
          <w:color w:val="000000"/>
          <w:spacing w:val="-3"/>
          <w:sz w:val="24"/>
          <w:szCs w:val="20"/>
        </w:rPr>
      </w:pPr>
      <w:r w:rsidRPr="00F54559">
        <w:rPr>
          <w:rFonts w:eastAsia="Times New Roman" w:cstheme="minorHAnsi"/>
          <w:bCs/>
          <w:color w:val="000000"/>
          <w:spacing w:val="-3"/>
          <w:sz w:val="24"/>
          <w:szCs w:val="20"/>
        </w:rPr>
        <w:t>The System’s health insurance liability at June 30 consists of the following:</w:t>
      </w:r>
      <w:r>
        <w:rPr>
          <w:rFonts w:eastAsia="Times New Roman" w:cstheme="minorHAnsi"/>
          <w:bCs/>
          <w:color w:val="000000"/>
          <w:spacing w:val="-3"/>
          <w:sz w:val="24"/>
          <w:szCs w:val="20"/>
        </w:rPr>
        <w:fldChar w:fldCharType="begin"/>
      </w:r>
      <w:r>
        <w:rPr>
          <w:rFonts w:eastAsia="Times New Roman" w:cstheme="minorHAnsi"/>
          <w:bCs/>
          <w:color w:val="000000"/>
          <w:spacing w:val="-3"/>
          <w:sz w:val="24"/>
          <w:szCs w:val="20"/>
        </w:rPr>
        <w:fldChar w:fldCharType="end"/>
      </w:r>
    </w:p>
    <w:tbl>
      <w:tblPr>
        <w:tblW w:w="5969" w:type="dxa"/>
        <w:jc w:val="center"/>
        <w:tblLook w:val="04A0" w:firstRow="1" w:lastRow="0" w:firstColumn="1" w:lastColumn="0" w:noHBand="0" w:noVBand="1"/>
      </w:tblPr>
      <w:tblGrid>
        <w:gridCol w:w="3780"/>
        <w:gridCol w:w="1080"/>
        <w:gridCol w:w="1109"/>
      </w:tblGrid>
      <w:tr w:rsidR="00721CFD" w:rsidRPr="00F451CF" w14:paraId="74CA9578" w14:textId="77777777" w:rsidTr="007B5BB3">
        <w:trPr>
          <w:trHeight w:val="300"/>
          <w:tblHeader/>
          <w:jc w:val="center"/>
        </w:trPr>
        <w:tc>
          <w:tcPr>
            <w:tcW w:w="3780" w:type="dxa"/>
            <w:tcBorders>
              <w:top w:val="nil"/>
              <w:left w:val="nil"/>
              <w:bottom w:val="single" w:sz="12" w:space="0" w:color="00688D"/>
              <w:right w:val="nil"/>
            </w:tcBorders>
            <w:shd w:val="clear" w:color="000000" w:fill="FFFFFF"/>
            <w:noWrap/>
            <w:vAlign w:val="bottom"/>
            <w:hideMark/>
          </w:tcPr>
          <w:p w14:paraId="40C1C8CC" w14:textId="77777777" w:rsidR="00721CFD" w:rsidRPr="001A18A6" w:rsidRDefault="00721CFD" w:rsidP="007B5BB3">
            <w:pPr>
              <w:jc w:val="center"/>
              <w:rPr>
                <w:rFonts w:ascii="Calibri" w:eastAsia="Times New Roman" w:hAnsi="Calibri" w:cs="Calibri"/>
                <w:b/>
                <w:bCs/>
                <w:color w:val="0D0D0D" w:themeColor="text1" w:themeTint="F2"/>
              </w:rPr>
            </w:pPr>
            <w:r w:rsidRPr="001A18A6">
              <w:rPr>
                <w:rFonts w:ascii="Calibri" w:eastAsia="Times New Roman" w:hAnsi="Calibri" w:cs="Calibri"/>
                <w:b/>
                <w:bCs/>
                <w:color w:val="0D0D0D" w:themeColor="text1" w:themeTint="F2"/>
              </w:rPr>
              <w:t> </w:t>
            </w:r>
          </w:p>
        </w:tc>
        <w:tc>
          <w:tcPr>
            <w:tcW w:w="1080" w:type="dxa"/>
            <w:tcBorders>
              <w:top w:val="nil"/>
              <w:left w:val="nil"/>
              <w:bottom w:val="single" w:sz="12" w:space="0" w:color="00688D"/>
              <w:right w:val="nil"/>
            </w:tcBorders>
            <w:shd w:val="clear" w:color="000000" w:fill="FFFFFF"/>
            <w:noWrap/>
            <w:vAlign w:val="bottom"/>
            <w:hideMark/>
          </w:tcPr>
          <w:p w14:paraId="65412328" w14:textId="77777777" w:rsidR="00721CFD" w:rsidRPr="001A18A6" w:rsidRDefault="00721CFD" w:rsidP="007B5BB3">
            <w:pPr>
              <w:jc w:val="center"/>
              <w:rPr>
                <w:rFonts w:ascii="Calibri" w:eastAsia="Times New Roman" w:hAnsi="Calibri" w:cs="Calibri"/>
                <w:b/>
                <w:bCs/>
                <w:color w:val="0D0D0D" w:themeColor="text1" w:themeTint="F2"/>
              </w:rPr>
            </w:pPr>
            <w:r w:rsidRPr="001A18A6">
              <w:rPr>
                <w:rFonts w:ascii="Calibri" w:eastAsia="Times New Roman" w:hAnsi="Calibri" w:cs="Calibri"/>
                <w:b/>
                <w:bCs/>
                <w:color w:val="0D0D0D" w:themeColor="text1" w:themeTint="F2"/>
              </w:rPr>
              <w:t>202</w:t>
            </w:r>
            <w:r>
              <w:rPr>
                <w:rFonts w:ascii="Calibri" w:eastAsia="Times New Roman" w:hAnsi="Calibri" w:cs="Calibri"/>
                <w:b/>
                <w:bCs/>
                <w:color w:val="0D0D0D" w:themeColor="text1" w:themeTint="F2"/>
              </w:rPr>
              <w:t>2</w:t>
            </w:r>
          </w:p>
        </w:tc>
        <w:tc>
          <w:tcPr>
            <w:tcW w:w="1109" w:type="dxa"/>
            <w:tcBorders>
              <w:top w:val="nil"/>
              <w:left w:val="nil"/>
              <w:bottom w:val="single" w:sz="12" w:space="0" w:color="00688D"/>
              <w:right w:val="nil"/>
            </w:tcBorders>
            <w:shd w:val="clear" w:color="auto" w:fill="D9D9D9" w:themeFill="background1" w:themeFillShade="D9"/>
            <w:noWrap/>
            <w:vAlign w:val="bottom"/>
            <w:hideMark/>
          </w:tcPr>
          <w:p w14:paraId="0EEEA8B3" w14:textId="77777777" w:rsidR="00721CFD" w:rsidRPr="001A18A6" w:rsidRDefault="00721CFD" w:rsidP="007B5BB3">
            <w:pPr>
              <w:jc w:val="center"/>
              <w:rPr>
                <w:rFonts w:ascii="Calibri" w:eastAsia="Times New Roman" w:hAnsi="Calibri" w:cs="Calibri"/>
                <w:b/>
                <w:bCs/>
                <w:color w:val="0D0D0D" w:themeColor="text1" w:themeTint="F2"/>
              </w:rPr>
            </w:pPr>
            <w:r w:rsidRPr="001A18A6">
              <w:rPr>
                <w:rFonts w:ascii="Calibri" w:eastAsia="Times New Roman" w:hAnsi="Calibri" w:cs="Calibri"/>
                <w:b/>
                <w:bCs/>
                <w:color w:val="0D0D0D" w:themeColor="text1" w:themeTint="F2"/>
              </w:rPr>
              <w:t>20</w:t>
            </w:r>
            <w:r>
              <w:rPr>
                <w:rFonts w:ascii="Calibri" w:eastAsia="Times New Roman" w:hAnsi="Calibri" w:cs="Calibri"/>
                <w:b/>
                <w:bCs/>
                <w:color w:val="0D0D0D" w:themeColor="text1" w:themeTint="F2"/>
              </w:rPr>
              <w:t>21</w:t>
            </w:r>
          </w:p>
        </w:tc>
      </w:tr>
      <w:tr w:rsidR="00721CFD" w:rsidRPr="00F451CF" w14:paraId="785D345E" w14:textId="77777777" w:rsidTr="007B5BB3">
        <w:trPr>
          <w:trHeight w:val="300"/>
          <w:jc w:val="center"/>
        </w:trPr>
        <w:tc>
          <w:tcPr>
            <w:tcW w:w="3780" w:type="dxa"/>
            <w:tcBorders>
              <w:top w:val="nil"/>
              <w:left w:val="nil"/>
              <w:bottom w:val="nil"/>
              <w:right w:val="nil"/>
            </w:tcBorders>
            <w:shd w:val="clear" w:color="000000" w:fill="FFFFFF"/>
            <w:noWrap/>
            <w:vAlign w:val="bottom"/>
            <w:hideMark/>
          </w:tcPr>
          <w:p w14:paraId="1AD51083" w14:textId="77777777" w:rsidR="00721CFD" w:rsidRPr="001A18A6" w:rsidRDefault="00721CFD" w:rsidP="007B5BB3">
            <w:pPr>
              <w:rPr>
                <w:rFonts w:ascii="Calibri" w:eastAsia="Times New Roman" w:hAnsi="Calibri" w:cs="Calibri"/>
                <w:color w:val="0D0D0D" w:themeColor="text1" w:themeTint="F2"/>
              </w:rPr>
            </w:pPr>
            <w:r w:rsidRPr="001A18A6">
              <w:rPr>
                <w:rFonts w:ascii="Calibri" w:eastAsia="Times New Roman" w:hAnsi="Calibri" w:cs="Calibri"/>
                <w:color w:val="0D0D0D" w:themeColor="text1" w:themeTint="F2"/>
              </w:rPr>
              <w:t>Claims incurred but not reported</w:t>
            </w:r>
          </w:p>
        </w:tc>
        <w:tc>
          <w:tcPr>
            <w:tcW w:w="1080" w:type="dxa"/>
            <w:tcBorders>
              <w:top w:val="nil"/>
              <w:left w:val="nil"/>
              <w:bottom w:val="nil"/>
              <w:right w:val="nil"/>
            </w:tcBorders>
            <w:shd w:val="clear" w:color="000000" w:fill="FFFFFF"/>
            <w:noWrap/>
            <w:vAlign w:val="bottom"/>
            <w:hideMark/>
          </w:tcPr>
          <w:p w14:paraId="7AE72510" w14:textId="77777777" w:rsidR="00721CFD" w:rsidRPr="00920485" w:rsidRDefault="00721CFD" w:rsidP="007B5BB3">
            <w:pPr>
              <w:jc w:val="right"/>
              <w:rPr>
                <w:rFonts w:ascii="Calibri" w:eastAsia="Times New Roman" w:hAnsi="Calibri" w:cs="Calibri"/>
              </w:rPr>
            </w:pPr>
            <w:r w:rsidRPr="00920485">
              <w:rPr>
                <w:rFonts w:ascii="Calibri" w:eastAsia="Times New Roman" w:hAnsi="Calibri" w:cs="Calibri"/>
              </w:rPr>
              <w:t xml:space="preserve">$  </w:t>
            </w:r>
            <w:r>
              <w:rPr>
                <w:rFonts w:ascii="Calibri" w:eastAsia="Times New Roman" w:hAnsi="Calibri" w:cs="Calibri"/>
              </w:rPr>
              <w:t>5,418</w:t>
            </w:r>
          </w:p>
        </w:tc>
        <w:tc>
          <w:tcPr>
            <w:tcW w:w="1109" w:type="dxa"/>
            <w:tcBorders>
              <w:top w:val="nil"/>
              <w:left w:val="nil"/>
              <w:bottom w:val="nil"/>
              <w:right w:val="nil"/>
            </w:tcBorders>
            <w:shd w:val="clear" w:color="auto" w:fill="D9D9D9" w:themeFill="background1" w:themeFillShade="D9"/>
            <w:noWrap/>
            <w:vAlign w:val="bottom"/>
            <w:hideMark/>
          </w:tcPr>
          <w:p w14:paraId="1085CEDA" w14:textId="77777777" w:rsidR="00721CFD" w:rsidRPr="001A18A6" w:rsidRDefault="00721CFD" w:rsidP="007B5BB3">
            <w:pPr>
              <w:jc w:val="right"/>
              <w:rPr>
                <w:rFonts w:ascii="Calibri" w:eastAsia="Times New Roman" w:hAnsi="Calibri" w:cs="Calibri"/>
                <w:color w:val="0D0D0D" w:themeColor="text1" w:themeTint="F2"/>
              </w:rPr>
            </w:pPr>
            <w:r w:rsidRPr="00E6640D">
              <w:rPr>
                <w:rFonts w:ascii="Calibri" w:eastAsia="Times New Roman" w:hAnsi="Calibri" w:cs="Calibri"/>
              </w:rPr>
              <w:t>$  5,382</w:t>
            </w:r>
          </w:p>
        </w:tc>
      </w:tr>
      <w:tr w:rsidR="00721CFD" w:rsidRPr="00F451CF" w14:paraId="3226F96D" w14:textId="77777777" w:rsidTr="007B5BB3">
        <w:trPr>
          <w:trHeight w:val="288"/>
          <w:jc w:val="center"/>
        </w:trPr>
        <w:tc>
          <w:tcPr>
            <w:tcW w:w="3780" w:type="dxa"/>
            <w:tcBorders>
              <w:top w:val="nil"/>
              <w:left w:val="nil"/>
              <w:bottom w:val="nil"/>
              <w:right w:val="nil"/>
            </w:tcBorders>
            <w:shd w:val="clear" w:color="000000" w:fill="FFFFFF"/>
            <w:noWrap/>
            <w:hideMark/>
          </w:tcPr>
          <w:p w14:paraId="2AAEFCAD" w14:textId="77777777" w:rsidR="00721CFD" w:rsidRPr="001A18A6" w:rsidRDefault="00721CFD" w:rsidP="007B5BB3">
            <w:pPr>
              <w:rPr>
                <w:rFonts w:ascii="Calibri" w:eastAsia="Times New Roman" w:hAnsi="Calibri" w:cs="Calibri"/>
                <w:color w:val="0D0D0D" w:themeColor="text1" w:themeTint="F2"/>
              </w:rPr>
            </w:pPr>
            <w:r w:rsidRPr="001A18A6">
              <w:rPr>
                <w:rFonts w:ascii="Calibri" w:eastAsia="Times New Roman" w:hAnsi="Calibri" w:cs="Calibri"/>
                <w:color w:val="0D0D0D" w:themeColor="text1" w:themeTint="F2"/>
              </w:rPr>
              <w:t>Reported claims</w:t>
            </w:r>
          </w:p>
        </w:tc>
        <w:tc>
          <w:tcPr>
            <w:tcW w:w="1080" w:type="dxa"/>
            <w:tcBorders>
              <w:top w:val="nil"/>
              <w:left w:val="nil"/>
              <w:bottom w:val="nil"/>
              <w:right w:val="nil"/>
            </w:tcBorders>
            <w:shd w:val="clear" w:color="000000" w:fill="FFFFFF"/>
            <w:noWrap/>
            <w:hideMark/>
          </w:tcPr>
          <w:p w14:paraId="16203C83" w14:textId="77777777" w:rsidR="00721CFD" w:rsidRPr="00920485" w:rsidRDefault="00721CFD" w:rsidP="007B5BB3">
            <w:pPr>
              <w:jc w:val="right"/>
              <w:rPr>
                <w:rFonts w:ascii="Calibri" w:eastAsia="Times New Roman" w:hAnsi="Calibri" w:cs="Calibri"/>
              </w:rPr>
            </w:pPr>
            <w:r>
              <w:rPr>
                <w:rFonts w:ascii="Calibri" w:eastAsia="Times New Roman" w:hAnsi="Calibri" w:cs="Calibri"/>
              </w:rPr>
              <w:t>964</w:t>
            </w:r>
          </w:p>
        </w:tc>
        <w:tc>
          <w:tcPr>
            <w:tcW w:w="1109" w:type="dxa"/>
            <w:tcBorders>
              <w:top w:val="nil"/>
              <w:left w:val="nil"/>
              <w:bottom w:val="nil"/>
              <w:right w:val="nil"/>
            </w:tcBorders>
            <w:shd w:val="clear" w:color="auto" w:fill="D9D9D9" w:themeFill="background1" w:themeFillShade="D9"/>
            <w:noWrap/>
            <w:hideMark/>
          </w:tcPr>
          <w:p w14:paraId="6DBE21E3" w14:textId="77777777" w:rsidR="00721CFD" w:rsidRPr="001A18A6" w:rsidRDefault="00721CFD" w:rsidP="007B5BB3">
            <w:pPr>
              <w:jc w:val="right"/>
              <w:rPr>
                <w:rFonts w:ascii="Calibri" w:eastAsia="Times New Roman" w:hAnsi="Calibri" w:cs="Calibri"/>
                <w:color w:val="0D0D0D" w:themeColor="text1" w:themeTint="F2"/>
              </w:rPr>
            </w:pPr>
            <w:r w:rsidRPr="00E6640D">
              <w:rPr>
                <w:rFonts w:ascii="Calibri" w:eastAsia="Times New Roman" w:hAnsi="Calibri" w:cs="Calibri"/>
              </w:rPr>
              <w:t>905</w:t>
            </w:r>
          </w:p>
        </w:tc>
      </w:tr>
      <w:tr w:rsidR="00721CFD" w:rsidRPr="00F451CF" w14:paraId="00E83DEC" w14:textId="77777777" w:rsidTr="007B5BB3">
        <w:trPr>
          <w:trHeight w:val="300"/>
          <w:jc w:val="center"/>
        </w:trPr>
        <w:tc>
          <w:tcPr>
            <w:tcW w:w="3780" w:type="dxa"/>
            <w:tcBorders>
              <w:top w:val="single" w:sz="4" w:space="0" w:color="00688D"/>
              <w:left w:val="nil"/>
              <w:bottom w:val="double" w:sz="6" w:space="0" w:color="00688D"/>
              <w:right w:val="nil"/>
            </w:tcBorders>
            <w:shd w:val="clear" w:color="000000" w:fill="FFFFFF"/>
            <w:noWrap/>
            <w:vAlign w:val="bottom"/>
            <w:hideMark/>
          </w:tcPr>
          <w:p w14:paraId="1C3B9D19" w14:textId="77777777" w:rsidR="00721CFD" w:rsidRPr="001A18A6" w:rsidRDefault="00721CFD" w:rsidP="007B5BB3">
            <w:pPr>
              <w:rPr>
                <w:rFonts w:ascii="Calibri" w:eastAsia="Times New Roman" w:hAnsi="Calibri" w:cs="Calibri"/>
                <w:color w:val="0D0D0D" w:themeColor="text1" w:themeTint="F2"/>
              </w:rPr>
            </w:pPr>
            <w:r w:rsidRPr="001A18A6">
              <w:rPr>
                <w:rFonts w:ascii="Calibri" w:eastAsia="Times New Roman" w:hAnsi="Calibri" w:cs="Calibri"/>
                <w:color w:val="0D0D0D" w:themeColor="text1" w:themeTint="F2"/>
              </w:rPr>
              <w:t xml:space="preserve">Total health insurance liability </w:t>
            </w:r>
            <w:r w:rsidRPr="001A18A6">
              <w:rPr>
                <w:rFonts w:ascii="Calibri" w:eastAsia="Times New Roman" w:hAnsi="Calibri" w:cs="Calibri"/>
                <w:i/>
                <w:iCs/>
                <w:color w:val="0D0D0D" w:themeColor="text1" w:themeTint="F2"/>
              </w:rPr>
              <w:t>(Note 7)</w:t>
            </w:r>
          </w:p>
        </w:tc>
        <w:tc>
          <w:tcPr>
            <w:tcW w:w="1080" w:type="dxa"/>
            <w:tcBorders>
              <w:top w:val="single" w:sz="4" w:space="0" w:color="00688D"/>
              <w:left w:val="nil"/>
              <w:bottom w:val="double" w:sz="6" w:space="0" w:color="00688D"/>
              <w:right w:val="nil"/>
            </w:tcBorders>
            <w:shd w:val="clear" w:color="000000" w:fill="FFFFFF"/>
            <w:noWrap/>
            <w:vAlign w:val="bottom"/>
            <w:hideMark/>
          </w:tcPr>
          <w:p w14:paraId="36067B09" w14:textId="77777777" w:rsidR="00721CFD" w:rsidRPr="00920485" w:rsidRDefault="00721CFD" w:rsidP="007B5BB3">
            <w:pPr>
              <w:jc w:val="right"/>
              <w:rPr>
                <w:rFonts w:ascii="Calibri" w:eastAsia="Times New Roman" w:hAnsi="Calibri" w:cs="Calibri"/>
              </w:rPr>
            </w:pPr>
            <w:r w:rsidRPr="00920485">
              <w:rPr>
                <w:rFonts w:ascii="Calibri" w:eastAsia="Times New Roman" w:hAnsi="Calibri" w:cs="Calibri"/>
              </w:rPr>
              <w:t xml:space="preserve">$  </w:t>
            </w:r>
            <w:r w:rsidRPr="00B861F2">
              <w:rPr>
                <w:rFonts w:ascii="Calibri" w:eastAsia="Times New Roman" w:hAnsi="Calibri" w:cs="Calibri"/>
              </w:rPr>
              <w:t>6,382</w:t>
            </w:r>
          </w:p>
        </w:tc>
        <w:tc>
          <w:tcPr>
            <w:tcW w:w="1109"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31AACF87" w14:textId="77777777" w:rsidR="00721CFD" w:rsidRPr="001A18A6" w:rsidRDefault="00721CFD" w:rsidP="007B5BB3">
            <w:pPr>
              <w:jc w:val="right"/>
              <w:rPr>
                <w:rFonts w:ascii="Calibri" w:eastAsia="Times New Roman" w:hAnsi="Calibri" w:cs="Calibri"/>
                <w:color w:val="0D0D0D" w:themeColor="text1" w:themeTint="F2"/>
              </w:rPr>
            </w:pPr>
            <w:r w:rsidRPr="00E6640D">
              <w:rPr>
                <w:rFonts w:ascii="Calibri" w:eastAsia="Times New Roman" w:hAnsi="Calibri" w:cs="Calibri"/>
              </w:rPr>
              <w:t>$  6,287</w:t>
            </w:r>
          </w:p>
        </w:tc>
      </w:tr>
    </w:tbl>
    <w:p w14:paraId="53AF7373" w14:textId="77777777" w:rsidR="00626E01" w:rsidRPr="00404A7A" w:rsidRDefault="00626E01" w:rsidP="00721CFD">
      <w:pPr>
        <w:rPr>
          <w:rFonts w:eastAsiaTheme="majorEastAsia" w:cstheme="minorHAnsi"/>
          <w:iCs/>
          <w:smallCaps/>
          <w:noProof/>
          <w:color w:val="000000" w:themeColor="text1"/>
          <w:sz w:val="26"/>
          <w:szCs w:val="26"/>
          <w:u w:color="5B9BD5"/>
        </w:rPr>
      </w:pPr>
    </w:p>
    <w:p w14:paraId="4A4FD3DD" w14:textId="589A2334" w:rsidR="00721CFD" w:rsidRDefault="00721CFD" w:rsidP="00721CFD">
      <w:pPr>
        <w:rPr>
          <w:rFonts w:cstheme="minorHAnsi"/>
          <w:spacing w:val="-3"/>
          <w:sz w:val="24"/>
          <w:szCs w:val="20"/>
        </w:rPr>
      </w:pPr>
      <w:r w:rsidRPr="00F54559">
        <w:rPr>
          <w:rFonts w:eastAsia="Times New Roman" w:cstheme="minorHAnsi"/>
          <w:bCs/>
          <w:color w:val="000000"/>
          <w:spacing w:val="-3"/>
          <w:sz w:val="24"/>
          <w:szCs w:val="24"/>
        </w:rPr>
        <w:t xml:space="preserve">Related to the System’s self-insured health plan, certain collective bargaining agreements with System employees provide for a health insurance ‘premium rebate’ in the event that the total aggregate premium amount for the applicable two-year period (the “calculation period”) exceeds, by a stated percentage, the total aggregate costs paid for claims and other expenses for the same period.  Throughout each calculation period, the System receives periodic reports on how actual costs are trending in relation to the premiums; however, probability of a rebate cannot be determined </w:t>
      </w:r>
      <w:r>
        <w:rPr>
          <w:rFonts w:eastAsia="Times New Roman" w:cstheme="minorHAnsi"/>
          <w:bCs/>
          <w:color w:val="000000"/>
          <w:spacing w:val="-3"/>
          <w:sz w:val="24"/>
          <w:szCs w:val="24"/>
        </w:rPr>
        <w:t>until</w:t>
      </w:r>
      <w:r w:rsidRPr="00F54559">
        <w:rPr>
          <w:rFonts w:eastAsia="Times New Roman" w:cstheme="minorHAnsi"/>
          <w:bCs/>
          <w:color w:val="000000"/>
          <w:spacing w:val="-3"/>
          <w:sz w:val="24"/>
          <w:szCs w:val="24"/>
        </w:rPr>
        <w:t xml:space="preserve"> the end of the calculation period</w:t>
      </w:r>
      <w:r>
        <w:rPr>
          <w:rFonts w:eastAsia="Times New Roman" w:cstheme="minorHAnsi"/>
          <w:bCs/>
          <w:color w:val="000000"/>
          <w:spacing w:val="-3"/>
          <w:sz w:val="24"/>
          <w:szCs w:val="24"/>
        </w:rPr>
        <w:t xml:space="preserve">, which </w:t>
      </w:r>
      <w:r w:rsidR="00626E01">
        <w:rPr>
          <w:rFonts w:eastAsia="Times New Roman" w:cstheme="minorHAnsi"/>
          <w:bCs/>
          <w:color w:val="000000"/>
          <w:spacing w:val="-3"/>
          <w:sz w:val="24"/>
          <w:szCs w:val="24"/>
        </w:rPr>
        <w:t xml:space="preserve">is </w:t>
      </w:r>
      <w:r w:rsidRPr="00B861F2">
        <w:rPr>
          <w:rFonts w:eastAsia="Times New Roman" w:cstheme="minorHAnsi"/>
          <w:bCs/>
          <w:spacing w:val="-3"/>
          <w:sz w:val="24"/>
          <w:szCs w:val="24"/>
        </w:rPr>
        <w:t>December 31, 2022</w:t>
      </w:r>
      <w:r w:rsidRPr="005E1CE8">
        <w:rPr>
          <w:rFonts w:eastAsia="Times New Roman" w:cstheme="minorHAnsi"/>
          <w:bCs/>
          <w:spacing w:val="-3"/>
          <w:sz w:val="24"/>
          <w:szCs w:val="24"/>
        </w:rPr>
        <w:t>.  As of June 30, 202</w:t>
      </w:r>
      <w:r w:rsidRPr="00B861F2">
        <w:rPr>
          <w:rFonts w:eastAsia="Times New Roman" w:cstheme="minorHAnsi"/>
          <w:bCs/>
          <w:spacing w:val="-3"/>
          <w:sz w:val="24"/>
          <w:szCs w:val="24"/>
        </w:rPr>
        <w:t>2</w:t>
      </w:r>
      <w:r w:rsidRPr="005E1CE8">
        <w:rPr>
          <w:rFonts w:eastAsia="Times New Roman" w:cstheme="minorHAnsi"/>
          <w:bCs/>
          <w:spacing w:val="-3"/>
          <w:sz w:val="24"/>
          <w:szCs w:val="24"/>
        </w:rPr>
        <w:t xml:space="preserve"> and 202</w:t>
      </w:r>
      <w:r w:rsidRPr="00B861F2">
        <w:rPr>
          <w:rFonts w:eastAsia="Times New Roman" w:cstheme="minorHAnsi"/>
          <w:bCs/>
          <w:spacing w:val="-3"/>
          <w:sz w:val="24"/>
          <w:szCs w:val="24"/>
        </w:rPr>
        <w:t>1</w:t>
      </w:r>
      <w:r w:rsidRPr="005E1CE8">
        <w:rPr>
          <w:rFonts w:eastAsia="Times New Roman" w:cstheme="minorHAnsi"/>
          <w:bCs/>
          <w:spacing w:val="-3"/>
          <w:sz w:val="24"/>
          <w:szCs w:val="24"/>
        </w:rPr>
        <w:t xml:space="preserve"> the estimated liability for the premium rebate of $0 and $</w:t>
      </w:r>
      <w:r w:rsidRPr="00A93FB3">
        <w:rPr>
          <w:rFonts w:eastAsia="Times New Roman" w:cstheme="minorHAnsi"/>
          <w:bCs/>
          <w:spacing w:val="-3"/>
          <w:sz w:val="24"/>
          <w:szCs w:val="24"/>
        </w:rPr>
        <w:t>2,75</w:t>
      </w:r>
      <w:r w:rsidRPr="005E1CE8">
        <w:rPr>
          <w:rFonts w:eastAsia="Times New Roman" w:cstheme="minorHAnsi"/>
          <w:bCs/>
          <w:spacing w:val="-3"/>
          <w:sz w:val="24"/>
          <w:szCs w:val="24"/>
        </w:rPr>
        <w:t xml:space="preserve">0, respectively, </w:t>
      </w:r>
      <w:r>
        <w:rPr>
          <w:rFonts w:eastAsia="Times New Roman" w:cstheme="minorHAnsi"/>
          <w:bCs/>
          <w:spacing w:val="-3"/>
          <w:sz w:val="24"/>
          <w:szCs w:val="24"/>
        </w:rPr>
        <w:t>has been</w:t>
      </w:r>
      <w:r w:rsidRPr="000B34B4">
        <w:rPr>
          <w:rFonts w:eastAsia="Times New Roman" w:cstheme="minorHAnsi"/>
          <w:bCs/>
          <w:spacing w:val="-3"/>
          <w:sz w:val="24"/>
          <w:szCs w:val="24"/>
        </w:rPr>
        <w:t xml:space="preserve"> included</w:t>
      </w:r>
      <w:r>
        <w:rPr>
          <w:rFonts w:eastAsia="Times New Roman" w:cstheme="minorHAnsi"/>
          <w:bCs/>
          <w:spacing w:val="-3"/>
          <w:sz w:val="24"/>
          <w:szCs w:val="24"/>
        </w:rPr>
        <w:t xml:space="preserve"> </w:t>
      </w:r>
      <w:r w:rsidRPr="00F54559">
        <w:rPr>
          <w:rFonts w:cstheme="minorHAnsi"/>
          <w:spacing w:val="-3"/>
          <w:sz w:val="24"/>
          <w:szCs w:val="20"/>
        </w:rPr>
        <w:t>in the</w:t>
      </w:r>
      <w:r>
        <w:rPr>
          <w:rFonts w:cstheme="minorHAnsi"/>
          <w:spacing w:val="-3"/>
          <w:sz w:val="24"/>
          <w:szCs w:val="20"/>
        </w:rPr>
        <w:t xml:space="preserve"> accompanying Statements of Net Position </w:t>
      </w:r>
      <w:r>
        <w:rPr>
          <w:rFonts w:eastAsia="Times New Roman" w:cstheme="minorHAnsi"/>
          <w:bCs/>
          <w:spacing w:val="-3"/>
          <w:sz w:val="24"/>
          <w:szCs w:val="24"/>
        </w:rPr>
        <w:t>as a current liability</w:t>
      </w:r>
      <w:r>
        <w:rPr>
          <w:rFonts w:cstheme="minorHAnsi"/>
          <w:spacing w:val="-3"/>
          <w:sz w:val="24"/>
          <w:szCs w:val="20"/>
        </w:rPr>
        <w:t>.</w:t>
      </w:r>
    </w:p>
    <w:p w14:paraId="737F9382" w14:textId="77777777" w:rsidR="00721CFD" w:rsidRPr="00F54559" w:rsidRDefault="00721CFD" w:rsidP="00721CFD">
      <w:pPr>
        <w:pStyle w:val="AFR2"/>
        <w:rPr>
          <w:rFonts w:cstheme="minorHAnsi"/>
          <w:sz w:val="26"/>
          <w:szCs w:val="26"/>
        </w:rPr>
      </w:pPr>
      <w:r w:rsidRPr="00F54559">
        <w:rPr>
          <w:rFonts w:cstheme="minorHAnsi"/>
          <w:sz w:val="26"/>
          <w:szCs w:val="26"/>
        </w:rPr>
        <w:t>12. PASS THROUGH GRANTS</w:t>
      </w:r>
    </w:p>
    <w:p w14:paraId="004AD459" w14:textId="0F2CDCD9" w:rsidR="00721CFD" w:rsidRPr="00F54559" w:rsidRDefault="00721CFD" w:rsidP="00721CFD">
      <w:pPr>
        <w:tabs>
          <w:tab w:val="left" w:pos="720"/>
          <w:tab w:val="left" w:pos="1022"/>
          <w:tab w:val="left" w:pos="1440"/>
          <w:tab w:val="right" w:pos="4262"/>
          <w:tab w:val="right" w:pos="5220"/>
          <w:tab w:val="right" w:pos="6691"/>
          <w:tab w:val="right" w:pos="7621"/>
          <w:tab w:val="right" w:pos="9187"/>
        </w:tabs>
        <w:suppressAutoHyphens/>
        <w:rPr>
          <w:rFonts w:eastAsiaTheme="majorEastAsia" w:cstheme="minorHAnsi"/>
          <w:b/>
          <w:i/>
          <w:iCs/>
          <w:smallCaps/>
          <w:noProof/>
          <w:color w:val="000000" w:themeColor="text1"/>
          <w:sz w:val="26"/>
          <w:szCs w:val="26"/>
          <w:u w:color="5B9BD5"/>
        </w:rPr>
      </w:pPr>
      <w:r w:rsidRPr="00F54559">
        <w:rPr>
          <w:rFonts w:cstheme="minorHAnsi"/>
          <w:spacing w:val="-3"/>
          <w:sz w:val="24"/>
        </w:rPr>
        <w:t>During FY</w:t>
      </w:r>
      <w:r>
        <w:rPr>
          <w:rFonts w:cstheme="minorHAnsi"/>
          <w:spacing w:val="-3"/>
          <w:sz w:val="24"/>
        </w:rPr>
        <w:t>22</w:t>
      </w:r>
      <w:r w:rsidRPr="00F54559">
        <w:rPr>
          <w:rFonts w:cstheme="minorHAnsi"/>
          <w:spacing w:val="-3"/>
          <w:sz w:val="24"/>
        </w:rPr>
        <w:t xml:space="preserve"> and FY</w:t>
      </w:r>
      <w:r>
        <w:rPr>
          <w:rFonts w:cstheme="minorHAnsi"/>
          <w:spacing w:val="-3"/>
          <w:sz w:val="24"/>
        </w:rPr>
        <w:t>21</w:t>
      </w:r>
      <w:r w:rsidRPr="00F54559">
        <w:rPr>
          <w:rFonts w:cstheme="minorHAnsi"/>
          <w:spacing w:val="-3"/>
          <w:sz w:val="24"/>
        </w:rPr>
        <w:t>, the System distributed $</w:t>
      </w:r>
      <w:r w:rsidRPr="00A93FB3">
        <w:rPr>
          <w:rFonts w:cstheme="minorHAnsi"/>
          <w:spacing w:val="-3"/>
          <w:sz w:val="24"/>
        </w:rPr>
        <w:t>96,450</w:t>
      </w:r>
      <w:r w:rsidRPr="00925672">
        <w:rPr>
          <w:rFonts w:cstheme="minorHAnsi"/>
          <w:spacing w:val="-3"/>
          <w:sz w:val="24"/>
        </w:rPr>
        <w:t xml:space="preserve"> </w:t>
      </w:r>
      <w:r w:rsidRPr="00F54559">
        <w:rPr>
          <w:rFonts w:cstheme="minorHAnsi"/>
          <w:spacing w:val="-3"/>
          <w:sz w:val="24"/>
        </w:rPr>
        <w:t>and $</w:t>
      </w:r>
      <w:r w:rsidRPr="00CE4431">
        <w:rPr>
          <w:rFonts w:cstheme="minorHAnsi"/>
          <w:spacing w:val="-3"/>
          <w:sz w:val="24"/>
        </w:rPr>
        <w:t>103</w:t>
      </w:r>
      <w:r w:rsidRPr="006A7ED5">
        <w:rPr>
          <w:rFonts w:cstheme="minorHAnsi"/>
          <w:spacing w:val="-3"/>
          <w:sz w:val="24"/>
        </w:rPr>
        <w:t>,</w:t>
      </w:r>
      <w:r w:rsidRPr="00CE4431">
        <w:rPr>
          <w:rFonts w:cstheme="minorHAnsi"/>
          <w:spacing w:val="-3"/>
          <w:sz w:val="24"/>
        </w:rPr>
        <w:t>358</w:t>
      </w:r>
      <w:r w:rsidRPr="00F54559">
        <w:rPr>
          <w:rFonts w:cstheme="minorHAnsi"/>
          <w:spacing w:val="-3"/>
          <w:sz w:val="24"/>
        </w:rPr>
        <w:t>, respectively, for student loans through the U.S. Department of Education Federal Direct Lending Program.  These distributions and related funding sources are not included as expenses and revenues or as cash disbursements and cash receipts in the accompanying financial statements.</w:t>
      </w:r>
    </w:p>
    <w:p w14:paraId="51C10005" w14:textId="77777777" w:rsidR="00721CFD" w:rsidRPr="00F54559" w:rsidRDefault="00721CFD" w:rsidP="00721CFD">
      <w:pPr>
        <w:pStyle w:val="AFR2"/>
        <w:rPr>
          <w:rFonts w:cstheme="minorHAnsi"/>
          <w:sz w:val="26"/>
          <w:szCs w:val="26"/>
        </w:rPr>
      </w:pPr>
      <w:r w:rsidRPr="00F54559">
        <w:rPr>
          <w:rFonts w:cstheme="minorHAnsi"/>
          <w:sz w:val="26"/>
          <w:szCs w:val="26"/>
        </w:rPr>
        <w:t>13. PENSION PLANS</w:t>
      </w:r>
    </w:p>
    <w:p w14:paraId="742AA7AA" w14:textId="77777777" w:rsidR="00721CFD" w:rsidRPr="00F54559" w:rsidRDefault="00721CFD" w:rsidP="00721CFD">
      <w:pPr>
        <w:tabs>
          <w:tab w:val="left" w:pos="720"/>
          <w:tab w:val="left" w:pos="1440"/>
          <w:tab w:val="right" w:pos="4262"/>
          <w:tab w:val="right" w:pos="5220"/>
          <w:tab w:val="right" w:pos="6691"/>
          <w:tab w:val="right" w:pos="7621"/>
          <w:tab w:val="right" w:pos="9187"/>
        </w:tabs>
        <w:suppressAutoHyphens/>
        <w:spacing w:after="240"/>
      </w:pPr>
      <w:r w:rsidRPr="00F54559">
        <w:rPr>
          <w:rFonts w:cstheme="minorHAnsi"/>
          <w:bCs/>
          <w:spacing w:val="-3"/>
          <w:sz w:val="24"/>
        </w:rPr>
        <w:t xml:space="preserve">The System has several single-employer pension plans, each of which is described in more detail below.  The System’s pension </w:t>
      </w:r>
      <w:r>
        <w:rPr>
          <w:rFonts w:cstheme="minorHAnsi"/>
          <w:bCs/>
          <w:spacing w:val="-3"/>
          <w:sz w:val="24"/>
        </w:rPr>
        <w:t>(income)/</w:t>
      </w:r>
      <w:r w:rsidRPr="00F54559">
        <w:rPr>
          <w:rFonts w:cstheme="minorHAnsi"/>
          <w:bCs/>
          <w:spacing w:val="-3"/>
          <w:sz w:val="24"/>
        </w:rPr>
        <w:t>expense for each of these plans was as follows for the years ended June 30:</w:t>
      </w:r>
      <w:r>
        <w:rPr>
          <w:rFonts w:cstheme="minorHAnsi"/>
          <w:bCs/>
          <w:spacing w:val="-3"/>
          <w:sz w:val="24"/>
        </w:rPr>
        <w:t xml:space="preserve"> </w:t>
      </w:r>
      <w:r>
        <w:fldChar w:fldCharType="begin"/>
      </w:r>
      <w:r>
        <w:fldChar w:fldCharType="end"/>
      </w:r>
    </w:p>
    <w:tbl>
      <w:tblPr>
        <w:tblW w:w="6680" w:type="dxa"/>
        <w:jc w:val="center"/>
        <w:tblLook w:val="04A0" w:firstRow="1" w:lastRow="0" w:firstColumn="1" w:lastColumn="0" w:noHBand="0" w:noVBand="1"/>
      </w:tblPr>
      <w:tblGrid>
        <w:gridCol w:w="4049"/>
        <w:gridCol w:w="1441"/>
        <w:gridCol w:w="1190"/>
      </w:tblGrid>
      <w:tr w:rsidR="00721CFD" w:rsidRPr="002942E7" w14:paraId="22EE3BAE" w14:textId="77777777" w:rsidTr="007B5BB3">
        <w:trPr>
          <w:trHeight w:val="324"/>
          <w:tblHeader/>
          <w:jc w:val="center"/>
        </w:trPr>
        <w:tc>
          <w:tcPr>
            <w:tcW w:w="4049" w:type="dxa"/>
            <w:tcBorders>
              <w:top w:val="nil"/>
              <w:left w:val="nil"/>
              <w:bottom w:val="single" w:sz="12" w:space="0" w:color="00688D"/>
              <w:right w:val="nil"/>
            </w:tcBorders>
            <w:shd w:val="clear" w:color="000000" w:fill="FFFFFF"/>
            <w:noWrap/>
            <w:vAlign w:val="bottom"/>
            <w:hideMark/>
          </w:tcPr>
          <w:p w14:paraId="236F29E8" w14:textId="77777777" w:rsidR="00721CFD" w:rsidRPr="002942E7" w:rsidRDefault="00721CFD" w:rsidP="007B5BB3">
            <w:pPr>
              <w:jc w:val="center"/>
              <w:rPr>
                <w:rFonts w:ascii="Calibri" w:eastAsia="Times New Roman" w:hAnsi="Calibri" w:cs="Calibri"/>
                <w:b/>
                <w:bCs/>
                <w:color w:val="0D0D0D"/>
              </w:rPr>
            </w:pPr>
            <w:r w:rsidRPr="002942E7">
              <w:rPr>
                <w:rFonts w:ascii="Calibri" w:eastAsia="Times New Roman" w:hAnsi="Calibri" w:cs="Calibri"/>
                <w:b/>
                <w:bCs/>
                <w:color w:val="0D0D0D"/>
              </w:rPr>
              <w:t> </w:t>
            </w:r>
          </w:p>
        </w:tc>
        <w:tc>
          <w:tcPr>
            <w:tcW w:w="1441" w:type="dxa"/>
            <w:tcBorders>
              <w:top w:val="nil"/>
              <w:left w:val="nil"/>
              <w:bottom w:val="single" w:sz="12" w:space="0" w:color="00688D"/>
              <w:right w:val="nil"/>
            </w:tcBorders>
            <w:shd w:val="clear" w:color="000000" w:fill="FFFFFF"/>
            <w:noWrap/>
            <w:vAlign w:val="bottom"/>
            <w:hideMark/>
          </w:tcPr>
          <w:p w14:paraId="7AA77A93" w14:textId="77777777" w:rsidR="00721CFD" w:rsidRPr="002942E7" w:rsidRDefault="00721CFD" w:rsidP="007B5BB3">
            <w:pPr>
              <w:jc w:val="center"/>
              <w:rPr>
                <w:rFonts w:ascii="Calibri" w:eastAsia="Times New Roman" w:hAnsi="Calibri" w:cs="Calibri"/>
                <w:b/>
                <w:bCs/>
                <w:color w:val="0D0D0D"/>
              </w:rPr>
            </w:pPr>
            <w:r w:rsidRPr="002942E7">
              <w:rPr>
                <w:rFonts w:ascii="Calibri" w:eastAsia="Times New Roman" w:hAnsi="Calibri" w:cs="Calibri"/>
                <w:b/>
                <w:bCs/>
                <w:color w:val="0D0D0D"/>
              </w:rPr>
              <w:t>202</w:t>
            </w:r>
            <w:r>
              <w:rPr>
                <w:rFonts w:ascii="Calibri" w:eastAsia="Times New Roman" w:hAnsi="Calibri" w:cs="Calibri"/>
                <w:b/>
                <w:bCs/>
                <w:color w:val="0D0D0D"/>
              </w:rPr>
              <w:t>2</w:t>
            </w:r>
          </w:p>
        </w:tc>
        <w:tc>
          <w:tcPr>
            <w:tcW w:w="1190" w:type="dxa"/>
            <w:tcBorders>
              <w:top w:val="nil"/>
              <w:left w:val="nil"/>
              <w:bottom w:val="single" w:sz="12" w:space="0" w:color="00688D"/>
              <w:right w:val="nil"/>
            </w:tcBorders>
            <w:shd w:val="clear" w:color="auto" w:fill="D9D9D9" w:themeFill="background1" w:themeFillShade="D9"/>
            <w:noWrap/>
            <w:vAlign w:val="bottom"/>
            <w:hideMark/>
          </w:tcPr>
          <w:p w14:paraId="06165CAE" w14:textId="77777777" w:rsidR="00721CFD" w:rsidRPr="002942E7" w:rsidRDefault="00721CFD" w:rsidP="007B5BB3">
            <w:pPr>
              <w:jc w:val="center"/>
              <w:rPr>
                <w:rFonts w:ascii="Calibri" w:eastAsia="Times New Roman" w:hAnsi="Calibri" w:cs="Calibri"/>
                <w:b/>
                <w:bCs/>
                <w:color w:val="0D0D0D"/>
              </w:rPr>
            </w:pPr>
            <w:r>
              <w:rPr>
                <w:rFonts w:ascii="Calibri" w:eastAsia="Times New Roman" w:hAnsi="Calibri" w:cs="Calibri"/>
                <w:b/>
                <w:bCs/>
                <w:color w:val="0D0D0D"/>
              </w:rPr>
              <w:t>2021</w:t>
            </w:r>
          </w:p>
        </w:tc>
      </w:tr>
      <w:tr w:rsidR="00721CFD" w:rsidRPr="002942E7" w14:paraId="449574AA" w14:textId="77777777" w:rsidTr="007B5BB3">
        <w:trPr>
          <w:trHeight w:val="324"/>
          <w:jc w:val="center"/>
        </w:trPr>
        <w:tc>
          <w:tcPr>
            <w:tcW w:w="4049" w:type="dxa"/>
            <w:tcBorders>
              <w:top w:val="nil"/>
              <w:left w:val="nil"/>
              <w:bottom w:val="nil"/>
              <w:right w:val="nil"/>
            </w:tcBorders>
            <w:shd w:val="clear" w:color="000000" w:fill="FFFFFF"/>
            <w:noWrap/>
            <w:vAlign w:val="bottom"/>
            <w:hideMark/>
          </w:tcPr>
          <w:p w14:paraId="28744C18"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Faculty and Professional Employees:</w:t>
            </w:r>
          </w:p>
        </w:tc>
        <w:tc>
          <w:tcPr>
            <w:tcW w:w="1441" w:type="dxa"/>
            <w:tcBorders>
              <w:top w:val="nil"/>
              <w:left w:val="nil"/>
              <w:bottom w:val="nil"/>
              <w:right w:val="nil"/>
            </w:tcBorders>
            <w:shd w:val="clear" w:color="000000" w:fill="FFFFFF"/>
            <w:noWrap/>
            <w:vAlign w:val="bottom"/>
            <w:hideMark/>
          </w:tcPr>
          <w:p w14:paraId="1097EBF2"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 </w:t>
            </w:r>
          </w:p>
        </w:tc>
        <w:tc>
          <w:tcPr>
            <w:tcW w:w="1190" w:type="dxa"/>
            <w:tcBorders>
              <w:top w:val="nil"/>
              <w:left w:val="nil"/>
              <w:bottom w:val="nil"/>
              <w:right w:val="nil"/>
            </w:tcBorders>
            <w:shd w:val="clear" w:color="auto" w:fill="D9D9D9" w:themeFill="background1" w:themeFillShade="D9"/>
            <w:noWrap/>
            <w:vAlign w:val="bottom"/>
            <w:hideMark/>
          </w:tcPr>
          <w:p w14:paraId="2F43515F"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 </w:t>
            </w:r>
          </w:p>
        </w:tc>
      </w:tr>
      <w:tr w:rsidR="00721CFD" w:rsidRPr="002942E7" w14:paraId="3B58DCDA" w14:textId="77777777" w:rsidTr="007B5BB3">
        <w:trPr>
          <w:trHeight w:val="312"/>
          <w:jc w:val="center"/>
        </w:trPr>
        <w:tc>
          <w:tcPr>
            <w:tcW w:w="4049" w:type="dxa"/>
            <w:tcBorders>
              <w:top w:val="nil"/>
              <w:left w:val="nil"/>
              <w:bottom w:val="nil"/>
              <w:right w:val="nil"/>
            </w:tcBorders>
            <w:shd w:val="clear" w:color="000000" w:fill="FFFFFF"/>
            <w:noWrap/>
            <w:vAlign w:val="bottom"/>
            <w:hideMark/>
          </w:tcPr>
          <w:p w14:paraId="34A97EB7" w14:textId="77777777" w:rsidR="00721CFD" w:rsidRPr="002942E7" w:rsidRDefault="00721CFD" w:rsidP="007B5BB3">
            <w:pPr>
              <w:ind w:firstLineChars="100" w:firstLine="220"/>
              <w:rPr>
                <w:rFonts w:ascii="Calibri" w:eastAsia="Times New Roman" w:hAnsi="Calibri" w:cs="Calibri"/>
                <w:color w:val="0D0D0D"/>
              </w:rPr>
            </w:pPr>
            <w:r w:rsidRPr="002942E7">
              <w:rPr>
                <w:rFonts w:ascii="Calibri" w:eastAsia="Times New Roman" w:hAnsi="Calibri" w:cs="Calibri"/>
                <w:color w:val="0D0D0D"/>
              </w:rPr>
              <w:t>Contributory retirement plan</w:t>
            </w:r>
          </w:p>
        </w:tc>
        <w:tc>
          <w:tcPr>
            <w:tcW w:w="1441" w:type="dxa"/>
            <w:tcBorders>
              <w:top w:val="nil"/>
              <w:left w:val="nil"/>
              <w:bottom w:val="nil"/>
              <w:right w:val="nil"/>
            </w:tcBorders>
            <w:shd w:val="clear" w:color="000000" w:fill="FFFFFF"/>
            <w:noWrap/>
            <w:vAlign w:val="bottom"/>
            <w:hideMark/>
          </w:tcPr>
          <w:p w14:paraId="656F0DF7" w14:textId="77777777" w:rsidR="00721CFD" w:rsidRPr="00EC0ECA" w:rsidRDefault="00721CFD" w:rsidP="007B5BB3">
            <w:pPr>
              <w:jc w:val="right"/>
              <w:rPr>
                <w:rFonts w:ascii="Calibri" w:eastAsia="Times New Roman" w:hAnsi="Calibri" w:cs="Calibri"/>
              </w:rPr>
            </w:pPr>
            <w:r w:rsidRPr="00EC0ECA">
              <w:rPr>
                <w:rFonts w:ascii="Calibri" w:eastAsia="Times New Roman" w:hAnsi="Calibri" w:cs="Calibri"/>
              </w:rPr>
              <w:t xml:space="preserve">$  </w:t>
            </w:r>
            <w:r w:rsidRPr="00B861F2">
              <w:rPr>
                <w:rFonts w:ascii="Calibri" w:eastAsia="Times New Roman" w:hAnsi="Calibri" w:cs="Calibri"/>
              </w:rPr>
              <w:t>24,046</w:t>
            </w:r>
          </w:p>
        </w:tc>
        <w:tc>
          <w:tcPr>
            <w:tcW w:w="1190" w:type="dxa"/>
            <w:tcBorders>
              <w:top w:val="nil"/>
              <w:left w:val="nil"/>
              <w:bottom w:val="nil"/>
              <w:right w:val="nil"/>
            </w:tcBorders>
            <w:shd w:val="clear" w:color="auto" w:fill="D9D9D9" w:themeFill="background1" w:themeFillShade="D9"/>
            <w:noWrap/>
            <w:vAlign w:val="bottom"/>
            <w:hideMark/>
          </w:tcPr>
          <w:p w14:paraId="7077B49D" w14:textId="77777777" w:rsidR="00721CFD" w:rsidRPr="00F16DEC" w:rsidRDefault="00721CFD" w:rsidP="007B5BB3">
            <w:pPr>
              <w:jc w:val="right"/>
              <w:rPr>
                <w:rFonts w:ascii="Calibri" w:eastAsia="Times New Roman" w:hAnsi="Calibri" w:cs="Calibri"/>
              </w:rPr>
            </w:pPr>
            <w:r w:rsidRPr="00F16DEC">
              <w:rPr>
                <w:rFonts w:ascii="Calibri" w:eastAsia="Times New Roman" w:hAnsi="Calibri" w:cs="Calibri"/>
              </w:rPr>
              <w:t>$  22,602</w:t>
            </w:r>
          </w:p>
        </w:tc>
      </w:tr>
      <w:tr w:rsidR="00721CFD" w:rsidRPr="002942E7" w14:paraId="235CAFDB" w14:textId="77777777" w:rsidTr="007B5BB3">
        <w:trPr>
          <w:trHeight w:val="312"/>
          <w:jc w:val="center"/>
        </w:trPr>
        <w:tc>
          <w:tcPr>
            <w:tcW w:w="4049" w:type="dxa"/>
            <w:tcBorders>
              <w:top w:val="nil"/>
              <w:left w:val="nil"/>
              <w:bottom w:val="nil"/>
              <w:right w:val="nil"/>
            </w:tcBorders>
            <w:shd w:val="clear" w:color="000000" w:fill="FFFFFF"/>
            <w:noWrap/>
            <w:vAlign w:val="bottom"/>
            <w:hideMark/>
          </w:tcPr>
          <w:p w14:paraId="5B1D6DBC" w14:textId="77777777" w:rsidR="00721CFD" w:rsidRPr="002942E7" w:rsidRDefault="00721CFD" w:rsidP="007B5BB3">
            <w:pPr>
              <w:ind w:firstLineChars="100" w:firstLine="220"/>
              <w:rPr>
                <w:rFonts w:ascii="Calibri" w:eastAsia="Times New Roman" w:hAnsi="Calibri" w:cs="Calibri"/>
                <w:color w:val="0D0D0D"/>
              </w:rPr>
            </w:pPr>
            <w:r w:rsidRPr="002942E7">
              <w:rPr>
                <w:rFonts w:ascii="Calibri" w:eastAsia="Times New Roman" w:hAnsi="Calibri" w:cs="Calibri"/>
                <w:color w:val="0D0D0D"/>
              </w:rPr>
              <w:t>Incentive retirement plan</w:t>
            </w:r>
          </w:p>
        </w:tc>
        <w:tc>
          <w:tcPr>
            <w:tcW w:w="1441" w:type="dxa"/>
            <w:tcBorders>
              <w:top w:val="nil"/>
              <w:left w:val="nil"/>
              <w:bottom w:val="nil"/>
              <w:right w:val="nil"/>
            </w:tcBorders>
            <w:shd w:val="clear" w:color="000000" w:fill="FFFFFF"/>
            <w:noWrap/>
            <w:vAlign w:val="bottom"/>
            <w:hideMark/>
          </w:tcPr>
          <w:p w14:paraId="1307BDA3" w14:textId="77777777" w:rsidR="00721CFD" w:rsidRPr="00EC0ECA" w:rsidRDefault="00721CFD" w:rsidP="007B5BB3">
            <w:pPr>
              <w:jc w:val="right"/>
              <w:rPr>
                <w:rFonts w:ascii="Calibri" w:eastAsia="Times New Roman" w:hAnsi="Calibri" w:cs="Calibri"/>
              </w:rPr>
            </w:pPr>
            <w:r w:rsidRPr="00B861F2">
              <w:rPr>
                <w:rFonts w:ascii="Calibri" w:eastAsia="Times New Roman" w:hAnsi="Calibri" w:cs="Calibri"/>
              </w:rPr>
              <w:t>1,315</w:t>
            </w:r>
          </w:p>
        </w:tc>
        <w:tc>
          <w:tcPr>
            <w:tcW w:w="1190" w:type="dxa"/>
            <w:tcBorders>
              <w:top w:val="nil"/>
              <w:left w:val="nil"/>
              <w:bottom w:val="nil"/>
              <w:right w:val="nil"/>
            </w:tcBorders>
            <w:shd w:val="clear" w:color="auto" w:fill="D9D9D9" w:themeFill="background1" w:themeFillShade="D9"/>
            <w:noWrap/>
            <w:vAlign w:val="bottom"/>
            <w:hideMark/>
          </w:tcPr>
          <w:p w14:paraId="2B02BEC1" w14:textId="77777777" w:rsidR="00721CFD" w:rsidRPr="00F16DEC" w:rsidRDefault="00721CFD" w:rsidP="007B5BB3">
            <w:pPr>
              <w:jc w:val="right"/>
              <w:rPr>
                <w:rFonts w:ascii="Calibri" w:eastAsia="Times New Roman" w:hAnsi="Calibri" w:cs="Calibri"/>
              </w:rPr>
            </w:pPr>
            <w:r w:rsidRPr="00F16DEC">
              <w:rPr>
                <w:rFonts w:ascii="Calibri" w:eastAsia="Times New Roman" w:hAnsi="Calibri" w:cs="Calibri"/>
              </w:rPr>
              <w:t>1,526</w:t>
            </w:r>
          </w:p>
        </w:tc>
      </w:tr>
      <w:tr w:rsidR="00721CFD" w:rsidRPr="002942E7" w14:paraId="780A8187" w14:textId="77777777" w:rsidTr="007B5BB3">
        <w:trPr>
          <w:trHeight w:val="540"/>
          <w:jc w:val="center"/>
        </w:trPr>
        <w:tc>
          <w:tcPr>
            <w:tcW w:w="4049" w:type="dxa"/>
            <w:tcBorders>
              <w:top w:val="nil"/>
              <w:left w:val="nil"/>
              <w:bottom w:val="nil"/>
              <w:right w:val="nil"/>
            </w:tcBorders>
            <w:shd w:val="clear" w:color="000000" w:fill="FFFFFF"/>
            <w:noWrap/>
            <w:vAlign w:val="bottom"/>
            <w:hideMark/>
          </w:tcPr>
          <w:p w14:paraId="35D331D0"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Hourly Employees:</w:t>
            </w:r>
          </w:p>
        </w:tc>
        <w:tc>
          <w:tcPr>
            <w:tcW w:w="1441" w:type="dxa"/>
            <w:tcBorders>
              <w:top w:val="nil"/>
              <w:left w:val="nil"/>
              <w:bottom w:val="nil"/>
              <w:right w:val="nil"/>
            </w:tcBorders>
            <w:shd w:val="clear" w:color="000000" w:fill="FFFFFF"/>
            <w:noWrap/>
            <w:vAlign w:val="bottom"/>
            <w:hideMark/>
          </w:tcPr>
          <w:p w14:paraId="022AB675" w14:textId="77777777" w:rsidR="00721CFD" w:rsidRPr="00EC0ECA" w:rsidRDefault="00721CFD" w:rsidP="007B5BB3">
            <w:pPr>
              <w:jc w:val="right"/>
              <w:rPr>
                <w:rFonts w:ascii="Calibri" w:eastAsia="Times New Roman" w:hAnsi="Calibri" w:cs="Calibri"/>
              </w:rPr>
            </w:pPr>
            <w:r w:rsidRPr="00EC0ECA">
              <w:rPr>
                <w:rFonts w:ascii="Calibri" w:eastAsia="Times New Roman" w:hAnsi="Calibri" w:cs="Calibri"/>
              </w:rPr>
              <w:t> </w:t>
            </w:r>
          </w:p>
        </w:tc>
        <w:tc>
          <w:tcPr>
            <w:tcW w:w="1190" w:type="dxa"/>
            <w:tcBorders>
              <w:top w:val="nil"/>
              <w:left w:val="nil"/>
              <w:bottom w:val="nil"/>
              <w:right w:val="nil"/>
            </w:tcBorders>
            <w:shd w:val="clear" w:color="auto" w:fill="D9D9D9" w:themeFill="background1" w:themeFillShade="D9"/>
            <w:noWrap/>
            <w:vAlign w:val="bottom"/>
            <w:hideMark/>
          </w:tcPr>
          <w:p w14:paraId="3BA65B54" w14:textId="77777777" w:rsidR="00721CFD" w:rsidRPr="00F16DEC" w:rsidRDefault="00721CFD" w:rsidP="007B5BB3">
            <w:pPr>
              <w:jc w:val="right"/>
              <w:rPr>
                <w:rFonts w:ascii="Calibri" w:eastAsia="Times New Roman" w:hAnsi="Calibri" w:cs="Calibri"/>
              </w:rPr>
            </w:pPr>
            <w:r w:rsidRPr="00F16DEC">
              <w:rPr>
                <w:rFonts w:ascii="Calibri" w:eastAsia="Times New Roman" w:hAnsi="Calibri" w:cs="Calibri"/>
              </w:rPr>
              <w:t> </w:t>
            </w:r>
          </w:p>
        </w:tc>
      </w:tr>
      <w:tr w:rsidR="00721CFD" w:rsidRPr="002942E7" w14:paraId="0C4D4CBA" w14:textId="77777777" w:rsidTr="007B5BB3">
        <w:trPr>
          <w:trHeight w:val="312"/>
          <w:jc w:val="center"/>
        </w:trPr>
        <w:tc>
          <w:tcPr>
            <w:tcW w:w="4049" w:type="dxa"/>
            <w:tcBorders>
              <w:top w:val="nil"/>
              <w:left w:val="nil"/>
              <w:bottom w:val="nil"/>
              <w:right w:val="nil"/>
            </w:tcBorders>
            <w:shd w:val="clear" w:color="000000" w:fill="FFFFFF"/>
            <w:noWrap/>
            <w:vAlign w:val="bottom"/>
            <w:hideMark/>
          </w:tcPr>
          <w:p w14:paraId="46180AFC" w14:textId="77777777" w:rsidR="00721CFD" w:rsidRPr="002942E7" w:rsidRDefault="00721CFD" w:rsidP="007B5BB3">
            <w:pPr>
              <w:ind w:firstLineChars="100" w:firstLine="220"/>
              <w:rPr>
                <w:rFonts w:ascii="Calibri" w:eastAsia="Times New Roman" w:hAnsi="Calibri" w:cs="Calibri"/>
                <w:color w:val="0D0D0D"/>
              </w:rPr>
            </w:pPr>
            <w:r w:rsidRPr="002942E7">
              <w:rPr>
                <w:rFonts w:ascii="Calibri" w:eastAsia="Times New Roman" w:hAnsi="Calibri" w:cs="Calibri"/>
                <w:color w:val="0D0D0D"/>
              </w:rPr>
              <w:t>Basic retirement plan</w:t>
            </w:r>
          </w:p>
        </w:tc>
        <w:tc>
          <w:tcPr>
            <w:tcW w:w="1441" w:type="dxa"/>
            <w:tcBorders>
              <w:top w:val="nil"/>
              <w:left w:val="nil"/>
              <w:bottom w:val="nil"/>
              <w:right w:val="nil"/>
            </w:tcBorders>
            <w:shd w:val="clear" w:color="000000" w:fill="FFFFFF"/>
            <w:noWrap/>
            <w:vAlign w:val="bottom"/>
            <w:hideMark/>
          </w:tcPr>
          <w:p w14:paraId="236A319A" w14:textId="77777777" w:rsidR="00721CFD" w:rsidRPr="00EC0ECA" w:rsidRDefault="00721CFD" w:rsidP="007B5BB3">
            <w:pPr>
              <w:jc w:val="right"/>
              <w:rPr>
                <w:rFonts w:ascii="Calibri" w:eastAsia="Times New Roman" w:hAnsi="Calibri" w:cs="Calibri"/>
              </w:rPr>
            </w:pPr>
            <w:r w:rsidRPr="00B861F2">
              <w:rPr>
                <w:rFonts w:ascii="Calibri" w:eastAsia="Times New Roman" w:hAnsi="Calibri" w:cs="Calibri"/>
              </w:rPr>
              <w:t>3</w:t>
            </w:r>
            <w:r>
              <w:rPr>
                <w:rFonts w:ascii="Calibri" w:eastAsia="Times New Roman" w:hAnsi="Calibri" w:cs="Calibri"/>
              </w:rPr>
              <w:t>,</w:t>
            </w:r>
            <w:r w:rsidRPr="00B861F2">
              <w:rPr>
                <w:rFonts w:ascii="Calibri" w:eastAsia="Times New Roman" w:hAnsi="Calibri" w:cs="Calibri"/>
              </w:rPr>
              <w:t>353</w:t>
            </w:r>
          </w:p>
        </w:tc>
        <w:tc>
          <w:tcPr>
            <w:tcW w:w="1190" w:type="dxa"/>
            <w:tcBorders>
              <w:top w:val="nil"/>
              <w:left w:val="nil"/>
              <w:bottom w:val="nil"/>
              <w:right w:val="nil"/>
            </w:tcBorders>
            <w:shd w:val="clear" w:color="auto" w:fill="D9D9D9" w:themeFill="background1" w:themeFillShade="D9"/>
            <w:noWrap/>
            <w:vAlign w:val="bottom"/>
            <w:hideMark/>
          </w:tcPr>
          <w:p w14:paraId="3BFDA26F" w14:textId="77777777" w:rsidR="00721CFD" w:rsidRPr="00F16DEC" w:rsidRDefault="00721CFD" w:rsidP="007B5BB3">
            <w:pPr>
              <w:jc w:val="right"/>
              <w:rPr>
                <w:rFonts w:ascii="Calibri" w:eastAsia="Times New Roman" w:hAnsi="Calibri" w:cs="Calibri"/>
              </w:rPr>
            </w:pPr>
            <w:r w:rsidRPr="00F16DEC">
              <w:rPr>
                <w:rFonts w:ascii="Calibri" w:eastAsia="Times New Roman" w:hAnsi="Calibri" w:cs="Calibri"/>
              </w:rPr>
              <w:t>3,201</w:t>
            </w:r>
          </w:p>
        </w:tc>
      </w:tr>
      <w:tr w:rsidR="00721CFD" w:rsidRPr="002942E7" w14:paraId="50388CA5" w14:textId="77777777" w:rsidTr="007B5BB3">
        <w:trPr>
          <w:trHeight w:val="312"/>
          <w:jc w:val="center"/>
        </w:trPr>
        <w:tc>
          <w:tcPr>
            <w:tcW w:w="4049" w:type="dxa"/>
            <w:tcBorders>
              <w:top w:val="nil"/>
              <w:left w:val="nil"/>
              <w:bottom w:val="nil"/>
              <w:right w:val="nil"/>
            </w:tcBorders>
            <w:shd w:val="clear" w:color="000000" w:fill="FFFFFF"/>
            <w:noWrap/>
            <w:vAlign w:val="bottom"/>
            <w:hideMark/>
          </w:tcPr>
          <w:p w14:paraId="0C852B3A" w14:textId="77777777" w:rsidR="00721CFD" w:rsidRPr="002942E7" w:rsidRDefault="00721CFD" w:rsidP="007B5BB3">
            <w:pPr>
              <w:ind w:firstLineChars="100" w:firstLine="220"/>
              <w:rPr>
                <w:rFonts w:ascii="Calibri" w:eastAsia="Times New Roman" w:hAnsi="Calibri" w:cs="Calibri"/>
                <w:color w:val="0D0D0D"/>
              </w:rPr>
            </w:pPr>
            <w:r w:rsidRPr="002942E7">
              <w:rPr>
                <w:rFonts w:ascii="Calibri" w:eastAsia="Times New Roman" w:hAnsi="Calibri" w:cs="Calibri"/>
                <w:color w:val="0D0D0D"/>
              </w:rPr>
              <w:t>Defined benefit plan</w:t>
            </w:r>
            <w:r>
              <w:rPr>
                <w:rFonts w:ascii="Calibri" w:eastAsia="Times New Roman" w:hAnsi="Calibri" w:cs="Calibri"/>
                <w:color w:val="0D0D0D"/>
              </w:rPr>
              <w:t xml:space="preserve"> (Income)/Expense</w:t>
            </w:r>
          </w:p>
        </w:tc>
        <w:tc>
          <w:tcPr>
            <w:tcW w:w="1441" w:type="dxa"/>
            <w:tcBorders>
              <w:top w:val="nil"/>
              <w:left w:val="nil"/>
              <w:bottom w:val="nil"/>
              <w:right w:val="nil"/>
            </w:tcBorders>
            <w:shd w:val="clear" w:color="000000" w:fill="FFFFFF"/>
            <w:noWrap/>
            <w:vAlign w:val="bottom"/>
            <w:hideMark/>
          </w:tcPr>
          <w:p w14:paraId="6BD817A0" w14:textId="77777777" w:rsidR="00721CFD" w:rsidRPr="00EC0ECA" w:rsidRDefault="00721CFD" w:rsidP="007B5BB3">
            <w:pPr>
              <w:jc w:val="right"/>
              <w:rPr>
                <w:rFonts w:ascii="Calibri" w:eastAsia="Times New Roman" w:hAnsi="Calibri" w:cs="Calibri"/>
              </w:rPr>
            </w:pPr>
            <w:r w:rsidRPr="00B861F2">
              <w:rPr>
                <w:rFonts w:ascii="Calibri" w:eastAsia="Times New Roman" w:hAnsi="Calibri" w:cs="Calibri"/>
              </w:rPr>
              <w:t>1,014</w:t>
            </w:r>
          </w:p>
        </w:tc>
        <w:tc>
          <w:tcPr>
            <w:tcW w:w="1190" w:type="dxa"/>
            <w:tcBorders>
              <w:top w:val="nil"/>
              <w:left w:val="nil"/>
              <w:bottom w:val="nil"/>
              <w:right w:val="nil"/>
            </w:tcBorders>
            <w:shd w:val="clear" w:color="auto" w:fill="D9D9D9" w:themeFill="background1" w:themeFillShade="D9"/>
            <w:noWrap/>
            <w:vAlign w:val="bottom"/>
            <w:hideMark/>
          </w:tcPr>
          <w:p w14:paraId="5C0F40DF" w14:textId="77777777" w:rsidR="00721CFD" w:rsidRPr="00F16DEC" w:rsidRDefault="00721CFD" w:rsidP="007B5BB3">
            <w:pPr>
              <w:jc w:val="right"/>
              <w:rPr>
                <w:rFonts w:ascii="Calibri" w:eastAsia="Times New Roman" w:hAnsi="Calibri" w:cs="Calibri"/>
              </w:rPr>
            </w:pPr>
            <w:r w:rsidRPr="00F16DEC">
              <w:rPr>
                <w:rFonts w:ascii="Calibri" w:eastAsia="Times New Roman" w:hAnsi="Calibri" w:cs="Calibri"/>
              </w:rPr>
              <w:t>(216)</w:t>
            </w:r>
          </w:p>
        </w:tc>
      </w:tr>
      <w:tr w:rsidR="00721CFD" w:rsidRPr="002942E7" w14:paraId="0583F90E" w14:textId="77777777" w:rsidTr="007B5BB3">
        <w:trPr>
          <w:trHeight w:val="390"/>
          <w:jc w:val="center"/>
        </w:trPr>
        <w:tc>
          <w:tcPr>
            <w:tcW w:w="4049" w:type="dxa"/>
            <w:tcBorders>
              <w:top w:val="single" w:sz="4" w:space="0" w:color="00688D"/>
              <w:left w:val="nil"/>
              <w:bottom w:val="double" w:sz="6" w:space="0" w:color="00688D"/>
              <w:right w:val="nil"/>
            </w:tcBorders>
            <w:shd w:val="clear" w:color="000000" w:fill="FFFFFF"/>
            <w:noWrap/>
            <w:vAlign w:val="bottom"/>
            <w:hideMark/>
          </w:tcPr>
          <w:p w14:paraId="2478636B"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 xml:space="preserve">Total net pension expense </w:t>
            </w:r>
          </w:p>
        </w:tc>
        <w:tc>
          <w:tcPr>
            <w:tcW w:w="1441" w:type="dxa"/>
            <w:tcBorders>
              <w:top w:val="single" w:sz="4" w:space="0" w:color="00688D"/>
              <w:left w:val="nil"/>
              <w:bottom w:val="double" w:sz="6" w:space="0" w:color="00688D"/>
              <w:right w:val="nil"/>
            </w:tcBorders>
            <w:shd w:val="clear" w:color="000000" w:fill="FFFFFF"/>
            <w:noWrap/>
            <w:vAlign w:val="bottom"/>
            <w:hideMark/>
          </w:tcPr>
          <w:p w14:paraId="398AD2AB" w14:textId="77777777" w:rsidR="00721CFD" w:rsidRPr="00EC0ECA" w:rsidRDefault="00721CFD" w:rsidP="007B5BB3">
            <w:pPr>
              <w:jc w:val="right"/>
              <w:rPr>
                <w:rFonts w:ascii="Calibri" w:eastAsia="Times New Roman" w:hAnsi="Calibri" w:cs="Calibri"/>
              </w:rPr>
            </w:pPr>
            <w:r w:rsidRPr="00EC0ECA">
              <w:rPr>
                <w:rFonts w:ascii="Calibri" w:eastAsia="Times New Roman" w:hAnsi="Calibri" w:cs="Calibri"/>
              </w:rPr>
              <w:t xml:space="preserve">$  </w:t>
            </w:r>
            <w:r w:rsidRPr="00B861F2">
              <w:rPr>
                <w:rFonts w:ascii="Calibri" w:eastAsia="Times New Roman" w:hAnsi="Calibri" w:cs="Calibri"/>
              </w:rPr>
              <w:t>29,728</w:t>
            </w:r>
          </w:p>
        </w:tc>
        <w:tc>
          <w:tcPr>
            <w:tcW w:w="1190"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1DC0B8F3" w14:textId="77777777" w:rsidR="00721CFD" w:rsidRPr="00F16DEC" w:rsidRDefault="00721CFD" w:rsidP="007B5BB3">
            <w:pPr>
              <w:jc w:val="right"/>
              <w:rPr>
                <w:rFonts w:ascii="Calibri" w:eastAsia="Times New Roman" w:hAnsi="Calibri" w:cs="Calibri"/>
              </w:rPr>
            </w:pPr>
            <w:r w:rsidRPr="00F16DEC">
              <w:rPr>
                <w:rFonts w:ascii="Calibri" w:eastAsia="Times New Roman" w:hAnsi="Calibri" w:cs="Calibri"/>
              </w:rPr>
              <w:t>$  27,113</w:t>
            </w:r>
          </w:p>
        </w:tc>
      </w:tr>
    </w:tbl>
    <w:p w14:paraId="420FF728" w14:textId="77777777" w:rsidR="009D1777" w:rsidRDefault="009D1777">
      <w:pPr>
        <w:spacing w:after="160" w:line="259" w:lineRule="auto"/>
        <w:rPr>
          <w:rFonts w:cstheme="minorHAnsi"/>
          <w:b/>
          <w:i/>
          <w:sz w:val="26"/>
          <w:u w:val="single" w:color="000000" w:themeColor="text1"/>
        </w:rPr>
      </w:pPr>
      <w:r>
        <w:rPr>
          <w:rFonts w:cstheme="minorHAnsi"/>
        </w:rPr>
        <w:br w:type="page"/>
      </w:r>
    </w:p>
    <w:p w14:paraId="32F63919" w14:textId="7B789DA8" w:rsidR="00721CFD" w:rsidRPr="00F54559" w:rsidRDefault="00EB5AE8" w:rsidP="00721CFD">
      <w:pPr>
        <w:pStyle w:val="AFR3"/>
        <w:rPr>
          <w:rFonts w:cstheme="minorHAnsi"/>
        </w:rPr>
      </w:pPr>
      <w:r>
        <w:rPr>
          <w:rFonts w:cstheme="minorHAnsi"/>
        </w:rPr>
        <w:lastRenderedPageBreak/>
        <w:t>13</w:t>
      </w:r>
      <w:r w:rsidR="00721CFD" w:rsidRPr="00F54559">
        <w:rPr>
          <w:rFonts w:cstheme="minorHAnsi"/>
        </w:rPr>
        <w:t>a. Contributory Retirement Plan - Faculty and Professional Employees</w:t>
      </w:r>
    </w:p>
    <w:p w14:paraId="2AF9319A" w14:textId="77777777" w:rsidR="00721CFD" w:rsidRPr="00F54559" w:rsidRDefault="00721CFD" w:rsidP="00E266A6">
      <w:pPr>
        <w:tabs>
          <w:tab w:val="left" w:pos="720"/>
          <w:tab w:val="left" w:pos="1440"/>
          <w:tab w:val="right" w:pos="4262"/>
          <w:tab w:val="right" w:pos="5220"/>
          <w:tab w:val="right" w:pos="6691"/>
          <w:tab w:val="right" w:pos="7621"/>
          <w:tab w:val="right" w:pos="9187"/>
        </w:tabs>
        <w:suppressAutoHyphens/>
        <w:spacing w:before="240"/>
        <w:rPr>
          <w:rFonts w:eastAsia="Times New Roman" w:cstheme="minorHAnsi"/>
          <w:bCs/>
          <w:spacing w:val="-3"/>
          <w:sz w:val="24"/>
          <w:szCs w:val="24"/>
        </w:rPr>
      </w:pPr>
      <w:r w:rsidRPr="00F54559">
        <w:rPr>
          <w:rFonts w:eastAsia="Times New Roman" w:cstheme="minorHAnsi"/>
          <w:sz w:val="24"/>
          <w:szCs w:val="20"/>
        </w:rPr>
        <w:t>Eligible salaried employees participate in the University of Maine System Retirement Plan for Faculty and Professional Employees (Contributory Plan),</w:t>
      </w:r>
      <w:r w:rsidRPr="00F54559">
        <w:rPr>
          <w:rFonts w:eastAsia="Times New Roman" w:cstheme="minorHAnsi"/>
          <w:bCs/>
          <w:spacing w:val="-3"/>
          <w:sz w:val="24"/>
          <w:szCs w:val="24"/>
        </w:rPr>
        <w:t xml:space="preserve"> a defined contribution retirement plan administered by the Teachers Insurance and Annuity Association of America (TIAA).  The Board of Trustees and collective bargaining agreements establish benefit terms and mandatory employee and employer contribution rates.</w:t>
      </w:r>
    </w:p>
    <w:p w14:paraId="34F0994B" w14:textId="77777777" w:rsidR="00721CFD" w:rsidRPr="00F54559" w:rsidRDefault="00721CFD" w:rsidP="00721CFD">
      <w:pPr>
        <w:tabs>
          <w:tab w:val="left" w:pos="720"/>
          <w:tab w:val="left" w:pos="1440"/>
          <w:tab w:val="right" w:pos="4262"/>
          <w:tab w:val="right" w:pos="5220"/>
          <w:tab w:val="right" w:pos="6691"/>
          <w:tab w:val="right" w:pos="7621"/>
          <w:tab w:val="right" w:pos="9187"/>
        </w:tabs>
        <w:suppressAutoHyphens/>
        <w:ind w:left="180"/>
        <w:rPr>
          <w:rFonts w:eastAsia="Times New Roman" w:cstheme="minorHAnsi"/>
          <w:bCs/>
          <w:spacing w:val="-3"/>
          <w:sz w:val="24"/>
          <w:szCs w:val="24"/>
        </w:rPr>
      </w:pPr>
    </w:p>
    <w:p w14:paraId="0D359C81" w14:textId="77777777" w:rsidR="00721CFD" w:rsidRPr="00F54559" w:rsidRDefault="00721CFD" w:rsidP="00721CFD">
      <w:pPr>
        <w:tabs>
          <w:tab w:val="left" w:pos="720"/>
          <w:tab w:val="left" w:pos="1440"/>
          <w:tab w:val="right" w:pos="4262"/>
          <w:tab w:val="right" w:pos="5220"/>
          <w:tab w:val="right" w:pos="6691"/>
          <w:tab w:val="right" w:pos="7621"/>
          <w:tab w:val="right" w:pos="9187"/>
        </w:tabs>
        <w:suppressAutoHyphens/>
        <w:rPr>
          <w:rFonts w:eastAsia="Times New Roman" w:cstheme="minorHAnsi"/>
          <w:bCs/>
          <w:spacing w:val="-3"/>
          <w:sz w:val="24"/>
          <w:szCs w:val="20"/>
        </w:rPr>
      </w:pPr>
      <w:r w:rsidRPr="00F54559">
        <w:rPr>
          <w:rFonts w:eastAsia="Times New Roman" w:cstheme="minorHAnsi"/>
          <w:sz w:val="24"/>
          <w:szCs w:val="20"/>
        </w:rPr>
        <w:t xml:space="preserve">All full-time employees are eligible once employment begins.  Part-time employees are eligible upon achieving the equivalent of five years of continuous, full-time, regular service.  All eligible employees are required to participate when they reach thirty years of age. </w:t>
      </w:r>
      <w:r w:rsidRPr="00F54559">
        <w:rPr>
          <w:rFonts w:eastAsia="Times New Roman" w:cstheme="minorHAnsi"/>
          <w:bCs/>
          <w:spacing w:val="-3"/>
          <w:sz w:val="24"/>
          <w:szCs w:val="20"/>
        </w:rPr>
        <w:t xml:space="preserve">The System contributes an amount equal to 10% of each participant’s base salary and each participant contributes 4% of base salary. Participants may make additional voluntary contributions up to limits allowable by the Internal Revenue Service. The System </w:t>
      </w:r>
      <w:r>
        <w:rPr>
          <w:rFonts w:eastAsia="Times New Roman" w:cstheme="minorHAnsi"/>
          <w:bCs/>
          <w:spacing w:val="-3"/>
          <w:sz w:val="24"/>
          <w:szCs w:val="20"/>
        </w:rPr>
        <w:t>has</w:t>
      </w:r>
      <w:r w:rsidRPr="00F54559">
        <w:rPr>
          <w:rFonts w:eastAsia="Times New Roman" w:cstheme="minorHAnsi"/>
          <w:bCs/>
          <w:spacing w:val="-3"/>
          <w:sz w:val="24"/>
          <w:szCs w:val="20"/>
        </w:rPr>
        <w:t xml:space="preserve"> a five-year vesting schedule for the employer matching contribution for certain salaried employees hired on or after January 1, 2010. All participant contributions are fully and immediately vested.</w:t>
      </w:r>
    </w:p>
    <w:p w14:paraId="5CC1B490" w14:textId="77777777" w:rsidR="00721CFD" w:rsidRPr="00F54559" w:rsidRDefault="00721CFD" w:rsidP="00721CFD">
      <w:pPr>
        <w:tabs>
          <w:tab w:val="left" w:pos="720"/>
          <w:tab w:val="left" w:pos="1440"/>
          <w:tab w:val="right" w:pos="4262"/>
          <w:tab w:val="right" w:pos="5220"/>
          <w:tab w:val="right" w:pos="6691"/>
          <w:tab w:val="right" w:pos="7621"/>
          <w:tab w:val="right" w:pos="9187"/>
        </w:tabs>
        <w:suppressAutoHyphens/>
        <w:ind w:left="180"/>
        <w:rPr>
          <w:rFonts w:eastAsia="Times New Roman" w:cstheme="minorHAnsi"/>
          <w:bCs/>
          <w:spacing w:val="-3"/>
          <w:sz w:val="24"/>
          <w:szCs w:val="20"/>
        </w:rPr>
      </w:pPr>
    </w:p>
    <w:p w14:paraId="0E38DEE5" w14:textId="77777777" w:rsidR="00721CFD" w:rsidRPr="00F54559" w:rsidRDefault="00721CFD" w:rsidP="00721CFD">
      <w:pPr>
        <w:tabs>
          <w:tab w:val="left" w:pos="720"/>
          <w:tab w:val="left" w:pos="1440"/>
          <w:tab w:val="right" w:pos="4262"/>
          <w:tab w:val="right" w:pos="5220"/>
          <w:tab w:val="right" w:pos="6691"/>
          <w:tab w:val="right" w:pos="7621"/>
          <w:tab w:val="right" w:pos="9187"/>
        </w:tabs>
        <w:suppressAutoHyphens/>
        <w:rPr>
          <w:rFonts w:cstheme="minorHAnsi"/>
          <w:b/>
          <w:i/>
          <w:sz w:val="26"/>
          <w:u w:val="single" w:color="000000" w:themeColor="text1"/>
        </w:rPr>
      </w:pPr>
      <w:r w:rsidRPr="00F54559">
        <w:rPr>
          <w:rFonts w:eastAsia="Times New Roman" w:cstheme="minorHAnsi"/>
          <w:sz w:val="24"/>
          <w:szCs w:val="20"/>
        </w:rPr>
        <w:t xml:space="preserve">Effective June 1, 2014, TIAA became the sole record-keeper for the Contributory Retirement Plan. </w:t>
      </w:r>
      <w:r w:rsidRPr="00F54559">
        <w:rPr>
          <w:rFonts w:eastAsia="Times New Roman" w:cstheme="minorHAnsi"/>
          <w:bCs/>
          <w:sz w:val="24"/>
          <w:szCs w:val="20"/>
        </w:rPr>
        <w:t>Upon separation from the System, participants may withdraw up to 100% of their vested account balances or transfer funds to other investment alternatives subject to Internal Revenue Service limitations and the contractual provisions of the Contributory Plan.</w:t>
      </w:r>
    </w:p>
    <w:p w14:paraId="36CB9DDB" w14:textId="77777777" w:rsidR="00721CFD" w:rsidRPr="00F54559" w:rsidRDefault="00721CFD" w:rsidP="00721CFD">
      <w:pPr>
        <w:spacing w:line="259" w:lineRule="auto"/>
        <w:rPr>
          <w:rFonts w:cstheme="minorHAnsi"/>
        </w:rPr>
      </w:pPr>
    </w:p>
    <w:p w14:paraId="3C73A9E8" w14:textId="47212B5A" w:rsidR="00721CFD" w:rsidRPr="00EC75C7" w:rsidRDefault="00721CFD" w:rsidP="00721CFD">
      <w:pPr>
        <w:spacing w:after="160" w:line="259" w:lineRule="auto"/>
        <w:rPr>
          <w:rFonts w:cstheme="minorHAnsi"/>
          <w:b/>
          <w:i/>
          <w:sz w:val="24"/>
          <w:szCs w:val="24"/>
          <w:u w:val="single" w:color="000000" w:themeColor="text1"/>
        </w:rPr>
      </w:pPr>
      <w:r w:rsidRPr="00EC75C7">
        <w:rPr>
          <w:rFonts w:cstheme="minorHAnsi"/>
          <w:sz w:val="24"/>
          <w:szCs w:val="24"/>
        </w:rPr>
        <w:t>Employee contributions made to the Contributory Plan were $</w:t>
      </w:r>
      <w:r w:rsidRPr="00B861F2">
        <w:rPr>
          <w:rFonts w:cstheme="minorHAnsi"/>
          <w:sz w:val="24"/>
          <w:szCs w:val="24"/>
        </w:rPr>
        <w:t>9,618</w:t>
      </w:r>
      <w:r w:rsidRPr="00EC03B8">
        <w:rPr>
          <w:rFonts w:cstheme="minorHAnsi"/>
          <w:sz w:val="24"/>
          <w:szCs w:val="24"/>
        </w:rPr>
        <w:t xml:space="preserve"> </w:t>
      </w:r>
      <w:r w:rsidRPr="00EC75C7">
        <w:rPr>
          <w:rFonts w:cstheme="minorHAnsi"/>
          <w:sz w:val="24"/>
          <w:szCs w:val="24"/>
        </w:rPr>
        <w:t>in FY2</w:t>
      </w:r>
      <w:r>
        <w:rPr>
          <w:rFonts w:cstheme="minorHAnsi"/>
          <w:sz w:val="24"/>
          <w:szCs w:val="24"/>
        </w:rPr>
        <w:t>2</w:t>
      </w:r>
      <w:r w:rsidRPr="00EC75C7">
        <w:rPr>
          <w:rFonts w:cstheme="minorHAnsi"/>
          <w:sz w:val="24"/>
          <w:szCs w:val="24"/>
        </w:rPr>
        <w:t xml:space="preserve"> and $</w:t>
      </w:r>
      <w:r w:rsidRPr="00BA37B5">
        <w:rPr>
          <w:rFonts w:cstheme="minorHAnsi"/>
          <w:sz w:val="24"/>
          <w:szCs w:val="24"/>
        </w:rPr>
        <w:t>9,042</w:t>
      </w:r>
      <w:r w:rsidRPr="00CF2FCA">
        <w:rPr>
          <w:rFonts w:cstheme="minorHAnsi"/>
          <w:sz w:val="24"/>
          <w:szCs w:val="24"/>
        </w:rPr>
        <w:t xml:space="preserve"> </w:t>
      </w:r>
      <w:r w:rsidRPr="00EC75C7">
        <w:rPr>
          <w:rFonts w:cstheme="minorHAnsi"/>
          <w:sz w:val="24"/>
          <w:szCs w:val="24"/>
        </w:rPr>
        <w:t>in FY2</w:t>
      </w:r>
      <w:r>
        <w:rPr>
          <w:rFonts w:cstheme="minorHAnsi"/>
          <w:sz w:val="24"/>
          <w:szCs w:val="24"/>
        </w:rPr>
        <w:t>1</w:t>
      </w:r>
      <w:r w:rsidRPr="00EC75C7">
        <w:rPr>
          <w:rFonts w:cstheme="minorHAnsi"/>
          <w:sz w:val="24"/>
          <w:szCs w:val="24"/>
        </w:rPr>
        <w:t>.</w:t>
      </w:r>
    </w:p>
    <w:p w14:paraId="00749645" w14:textId="77777777" w:rsidR="00721CFD" w:rsidRPr="00F54559" w:rsidRDefault="00721CFD" w:rsidP="00721CFD">
      <w:pPr>
        <w:pStyle w:val="AFR3"/>
        <w:rPr>
          <w:rFonts w:cstheme="minorHAnsi"/>
        </w:rPr>
      </w:pPr>
      <w:r w:rsidRPr="00F54559">
        <w:rPr>
          <w:rFonts w:cstheme="minorHAnsi"/>
        </w:rPr>
        <w:t>b. Incentive Retirement Plan – Faculty and Professional Employees</w:t>
      </w:r>
    </w:p>
    <w:p w14:paraId="13B59535" w14:textId="77777777" w:rsidR="00721CFD" w:rsidRPr="00F54559" w:rsidRDefault="00721CFD" w:rsidP="00721CFD">
      <w:pPr>
        <w:tabs>
          <w:tab w:val="left" w:pos="1858"/>
          <w:tab w:val="left" w:pos="2570"/>
          <w:tab w:val="left" w:pos="3283"/>
          <w:tab w:val="left" w:pos="3996"/>
          <w:tab w:val="left" w:pos="4709"/>
          <w:tab w:val="left" w:pos="5472"/>
        </w:tabs>
        <w:suppressAutoHyphens/>
        <w:spacing w:after="120"/>
        <w:rPr>
          <w:rFonts w:eastAsia="Times New Roman" w:cstheme="minorHAnsi"/>
          <w:spacing w:val="-3"/>
          <w:sz w:val="24"/>
          <w:szCs w:val="24"/>
        </w:rPr>
      </w:pPr>
      <w:r w:rsidRPr="00F54559">
        <w:rPr>
          <w:rFonts w:eastAsia="Times New Roman" w:cstheme="minorHAnsi"/>
          <w:b/>
          <w:sz w:val="26"/>
          <w:szCs w:val="26"/>
        </w:rPr>
        <w:t>Plan Description</w:t>
      </w:r>
      <w:r w:rsidRPr="00F54559">
        <w:rPr>
          <w:rFonts w:eastAsia="Times New Roman" w:cstheme="minorHAnsi"/>
          <w:spacing w:val="-3"/>
          <w:sz w:val="24"/>
          <w:szCs w:val="24"/>
        </w:rPr>
        <w:t xml:space="preserve"> </w:t>
      </w:r>
    </w:p>
    <w:p w14:paraId="3829D850" w14:textId="77777777" w:rsidR="00721CFD" w:rsidRPr="00F54559" w:rsidRDefault="00721CFD" w:rsidP="00721CFD">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b/>
          <w:i/>
          <w:spacing w:val="-1"/>
          <w:sz w:val="24"/>
        </w:rPr>
        <w:t>Plan Administration:</w:t>
      </w:r>
      <w:r w:rsidRPr="00F54559">
        <w:rPr>
          <w:rFonts w:eastAsia="Times New Roman" w:cstheme="minorHAnsi"/>
          <w:sz w:val="24"/>
          <w:szCs w:val="20"/>
        </w:rPr>
        <w:t xml:space="preserve"> </w:t>
      </w:r>
      <w:r w:rsidRPr="00F54559">
        <w:rPr>
          <w:rFonts w:eastAsia="Times New Roman" w:cstheme="minorHAnsi"/>
          <w:spacing w:val="-3"/>
          <w:sz w:val="24"/>
          <w:szCs w:val="24"/>
        </w:rPr>
        <w:t>The Incentive Retirement Plan is a single employer plan administered by the System.  The Plan does not issue standalone financial statements.</w:t>
      </w:r>
    </w:p>
    <w:p w14:paraId="385C5409" w14:textId="77777777" w:rsidR="00721CFD" w:rsidRPr="00F54559" w:rsidRDefault="00721CFD" w:rsidP="00721CFD">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p>
    <w:p w14:paraId="4910ACB1" w14:textId="77777777" w:rsidR="00721CFD" w:rsidRPr="00F54559" w:rsidRDefault="00721CFD" w:rsidP="00721CFD">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b/>
          <w:i/>
          <w:spacing w:val="-1"/>
          <w:sz w:val="24"/>
        </w:rPr>
        <w:t>Benefits Provided:</w:t>
      </w:r>
      <w:r w:rsidRPr="00F54559">
        <w:rPr>
          <w:rFonts w:eastAsia="Times New Roman" w:cstheme="minorHAnsi"/>
          <w:sz w:val="24"/>
          <w:szCs w:val="20"/>
        </w:rPr>
        <w:t xml:space="preserve"> </w:t>
      </w:r>
      <w:r w:rsidRPr="00F54559">
        <w:rPr>
          <w:rFonts w:eastAsia="Times New Roman" w:cstheme="minorHAnsi"/>
          <w:spacing w:val="-3"/>
          <w:sz w:val="24"/>
          <w:szCs w:val="24"/>
        </w:rPr>
        <w:t>Represented faculty who were employed before July 1, 1996 and other professional employees who were employed before July 1, 2006 participate in the University of Maine System Incentive Retirement Plan (Incentive Plan), a defined benefit plan, which was established on July 1, 1975. The Board of Trustees has authority to establish and amend provisions under the Incentive Plan subject to collective bargaining.</w:t>
      </w:r>
    </w:p>
    <w:p w14:paraId="1FBDF0D3" w14:textId="77777777" w:rsidR="00721CFD" w:rsidRPr="00F54559" w:rsidRDefault="00721CFD" w:rsidP="00721CFD">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p>
    <w:p w14:paraId="54CC7F0E" w14:textId="77777777" w:rsidR="00721CFD" w:rsidRPr="00F54559" w:rsidRDefault="00721CFD" w:rsidP="00721CFD">
      <w:pPr>
        <w:tabs>
          <w:tab w:val="left" w:pos="1858"/>
          <w:tab w:val="left" w:pos="2570"/>
          <w:tab w:val="left" w:pos="3283"/>
          <w:tab w:val="left" w:pos="3996"/>
          <w:tab w:val="left" w:pos="4709"/>
          <w:tab w:val="left" w:pos="5472"/>
        </w:tabs>
        <w:suppressAutoHyphens/>
        <w:rPr>
          <w:rFonts w:eastAsia="Times New Roman" w:cstheme="minorHAnsi"/>
          <w:spacing w:val="-3"/>
          <w:sz w:val="24"/>
          <w:szCs w:val="24"/>
        </w:rPr>
      </w:pPr>
      <w:r w:rsidRPr="00F54559">
        <w:rPr>
          <w:rFonts w:eastAsia="Times New Roman" w:cstheme="minorHAnsi"/>
          <w:spacing w:val="-3"/>
          <w:sz w:val="24"/>
          <w:szCs w:val="24"/>
        </w:rPr>
        <w:t>The Incentive Plan provides that eligible retiring employees with at least 10 years of continuous regular full-time equivalent service immediately prior to retirement will receive a benefit equivalent to 1½% times their completed years of service (up to a maximum of 27 years) times their final annual base salary. This amount is to be paid as a lump-sum contribution to the participant’s retirement account. Employees may elect to retire at any age on or after 55.</w:t>
      </w:r>
    </w:p>
    <w:p w14:paraId="443322F6" w14:textId="77777777" w:rsidR="00721CFD" w:rsidRPr="00735A4C" w:rsidRDefault="00721CFD" w:rsidP="00721CFD">
      <w:pPr>
        <w:rPr>
          <w:rFonts w:eastAsia="Times New Roman" w:cstheme="minorHAnsi"/>
          <w:spacing w:val="-2"/>
          <w:sz w:val="24"/>
        </w:rPr>
      </w:pPr>
    </w:p>
    <w:p w14:paraId="33EB8DD8" w14:textId="77777777" w:rsidR="002F2C2D" w:rsidRPr="00F54559" w:rsidRDefault="002F2C2D" w:rsidP="002F2C2D">
      <w:pPr>
        <w:rPr>
          <w:rFonts w:eastAsia="Times New Roman" w:cstheme="minorHAnsi"/>
          <w:sz w:val="24"/>
        </w:rPr>
      </w:pPr>
      <w:r w:rsidRPr="00F54559">
        <w:rPr>
          <w:rFonts w:eastAsia="Times New Roman" w:cstheme="minorHAnsi"/>
          <w:b/>
          <w:i/>
          <w:spacing w:val="-2"/>
          <w:sz w:val="24"/>
        </w:rPr>
        <w:t xml:space="preserve">Plan Membership: </w:t>
      </w:r>
      <w:r w:rsidRPr="00F54559">
        <w:rPr>
          <w:rFonts w:eastAsia="Times New Roman" w:cstheme="minorHAnsi"/>
          <w:spacing w:val="-2"/>
          <w:sz w:val="24"/>
        </w:rPr>
        <w:t>A</w:t>
      </w:r>
      <w:r w:rsidRPr="00F54559">
        <w:rPr>
          <w:rFonts w:eastAsia="Times New Roman" w:cstheme="minorHAnsi"/>
          <w:sz w:val="24"/>
        </w:rPr>
        <w:t>t</w:t>
      </w:r>
      <w:r w:rsidRPr="00F54559">
        <w:rPr>
          <w:rFonts w:eastAsia="Times New Roman" w:cstheme="minorHAnsi"/>
          <w:spacing w:val="-5"/>
          <w:sz w:val="24"/>
        </w:rPr>
        <w:t xml:space="preserve"> </w:t>
      </w:r>
      <w:r w:rsidRPr="00F54559">
        <w:rPr>
          <w:rFonts w:eastAsia="Times New Roman" w:cstheme="minorHAnsi"/>
          <w:sz w:val="24"/>
        </w:rPr>
        <w:t>June</w:t>
      </w:r>
      <w:r w:rsidRPr="00F54559">
        <w:rPr>
          <w:rFonts w:eastAsia="Times New Roman" w:cstheme="minorHAnsi"/>
          <w:spacing w:val="-7"/>
          <w:sz w:val="24"/>
        </w:rPr>
        <w:t xml:space="preserve"> </w:t>
      </w:r>
      <w:r w:rsidRPr="00F54559">
        <w:rPr>
          <w:rFonts w:eastAsia="Times New Roman" w:cstheme="minorHAnsi"/>
          <w:sz w:val="24"/>
        </w:rPr>
        <w:t>30, 20</w:t>
      </w:r>
      <w:r>
        <w:rPr>
          <w:rFonts w:eastAsia="Times New Roman" w:cstheme="minorHAnsi"/>
          <w:sz w:val="24"/>
        </w:rPr>
        <w:t>22</w:t>
      </w:r>
      <w:r w:rsidRPr="00F54559">
        <w:rPr>
          <w:rFonts w:eastAsia="Times New Roman" w:cstheme="minorHAnsi"/>
          <w:sz w:val="24"/>
        </w:rPr>
        <w:t xml:space="preserve"> and 20</w:t>
      </w:r>
      <w:r>
        <w:rPr>
          <w:rFonts w:eastAsia="Times New Roman" w:cstheme="minorHAnsi"/>
          <w:sz w:val="24"/>
        </w:rPr>
        <w:t>21</w:t>
      </w:r>
      <w:r w:rsidRPr="00F54559">
        <w:rPr>
          <w:rFonts w:eastAsia="Times New Roman" w:cstheme="minorHAnsi"/>
          <w:sz w:val="24"/>
        </w:rPr>
        <w:t>, active p</w:t>
      </w:r>
      <w:r w:rsidRPr="00F54559">
        <w:rPr>
          <w:rFonts w:eastAsia="Times New Roman" w:cstheme="minorHAnsi"/>
          <w:spacing w:val="-1"/>
          <w:sz w:val="24"/>
        </w:rPr>
        <w:t>l</w:t>
      </w:r>
      <w:r w:rsidRPr="00F54559">
        <w:rPr>
          <w:rFonts w:eastAsia="Times New Roman" w:cstheme="minorHAnsi"/>
          <w:sz w:val="24"/>
        </w:rPr>
        <w:t>an</w:t>
      </w:r>
      <w:r w:rsidRPr="00F54559">
        <w:rPr>
          <w:rFonts w:eastAsia="Times New Roman" w:cstheme="minorHAnsi"/>
          <w:spacing w:val="-6"/>
          <w:sz w:val="24"/>
        </w:rPr>
        <w:t xml:space="preserve"> </w:t>
      </w:r>
      <w:r>
        <w:rPr>
          <w:rFonts w:eastAsia="Times New Roman" w:cstheme="minorHAnsi"/>
          <w:sz w:val="24"/>
        </w:rPr>
        <w:t>participants</w:t>
      </w:r>
      <w:r w:rsidRPr="00F54559">
        <w:rPr>
          <w:rFonts w:eastAsia="Times New Roman" w:cstheme="minorHAnsi"/>
          <w:spacing w:val="-6"/>
          <w:sz w:val="24"/>
        </w:rPr>
        <w:t xml:space="preserve"> </w:t>
      </w:r>
      <w:r w:rsidRPr="00F54559">
        <w:rPr>
          <w:rFonts w:eastAsia="Times New Roman" w:cstheme="minorHAnsi"/>
          <w:sz w:val="24"/>
        </w:rPr>
        <w:t>consisted</w:t>
      </w:r>
      <w:r w:rsidRPr="00F54559">
        <w:rPr>
          <w:rFonts w:eastAsia="Times New Roman" w:cstheme="minorHAnsi"/>
          <w:spacing w:val="-6"/>
          <w:sz w:val="24"/>
        </w:rPr>
        <w:t xml:space="preserve"> </w:t>
      </w:r>
      <w:r w:rsidRPr="00F54559">
        <w:rPr>
          <w:rFonts w:eastAsia="Times New Roman" w:cstheme="minorHAnsi"/>
          <w:sz w:val="24"/>
        </w:rPr>
        <w:t>of</w:t>
      </w:r>
      <w:r w:rsidRPr="00F54559">
        <w:rPr>
          <w:rFonts w:eastAsia="Times New Roman" w:cstheme="minorHAnsi"/>
          <w:spacing w:val="-6"/>
          <w:sz w:val="24"/>
        </w:rPr>
        <w:t xml:space="preserve"> </w:t>
      </w:r>
      <w:r w:rsidRPr="006C7397">
        <w:rPr>
          <w:rFonts w:eastAsia="Times New Roman" w:cstheme="minorHAnsi"/>
          <w:spacing w:val="-6"/>
          <w:sz w:val="24"/>
        </w:rPr>
        <w:t>699</w:t>
      </w:r>
      <w:r w:rsidRPr="00F54559">
        <w:rPr>
          <w:rFonts w:eastAsia="Times New Roman" w:cstheme="minorHAnsi"/>
          <w:spacing w:val="-6"/>
          <w:sz w:val="24"/>
        </w:rPr>
        <w:t xml:space="preserve"> and </w:t>
      </w:r>
      <w:r>
        <w:rPr>
          <w:rFonts w:eastAsia="Times New Roman" w:cstheme="minorHAnsi"/>
          <w:spacing w:val="-6"/>
          <w:sz w:val="24"/>
        </w:rPr>
        <w:t>794</w:t>
      </w:r>
      <w:r w:rsidRPr="00F54559">
        <w:rPr>
          <w:rFonts w:eastAsia="Times New Roman" w:cstheme="minorHAnsi"/>
          <w:spacing w:val="-6"/>
          <w:sz w:val="24"/>
        </w:rPr>
        <w:t xml:space="preserve">, respectively. </w:t>
      </w:r>
    </w:p>
    <w:p w14:paraId="5A98F05B" w14:textId="33AFD886" w:rsidR="009D1777" w:rsidRPr="00F54559" w:rsidRDefault="00EB5AE8" w:rsidP="009D1777">
      <w:pPr>
        <w:pStyle w:val="AFR3"/>
        <w:rPr>
          <w:rFonts w:cstheme="minorHAnsi"/>
        </w:rPr>
      </w:pPr>
      <w:r>
        <w:rPr>
          <w:rFonts w:cstheme="minorHAnsi"/>
        </w:rPr>
        <w:lastRenderedPageBreak/>
        <w:t>13</w:t>
      </w:r>
      <w:r w:rsidR="009D1777" w:rsidRPr="00F54559">
        <w:rPr>
          <w:rFonts w:cstheme="minorHAnsi"/>
        </w:rPr>
        <w:t>b. Incentive Retirement Plan – Faculty and Professional Employees</w:t>
      </w:r>
      <w:r w:rsidR="009D1777">
        <w:rPr>
          <w:rFonts w:cstheme="minorHAnsi"/>
        </w:rPr>
        <w:t xml:space="preserve"> - continued</w:t>
      </w:r>
    </w:p>
    <w:p w14:paraId="66744E52" w14:textId="4C2706CD" w:rsidR="005B6CCB" w:rsidRDefault="00721CFD" w:rsidP="00E266A6">
      <w:pPr>
        <w:spacing w:before="240" w:after="160"/>
        <w:rPr>
          <w:rFonts w:eastAsiaTheme="majorEastAsia" w:cstheme="minorHAnsi"/>
          <w:b/>
          <w:i/>
          <w:iCs/>
          <w:smallCaps/>
          <w:noProof/>
          <w:color w:val="000000" w:themeColor="text1"/>
          <w:sz w:val="26"/>
          <w:szCs w:val="26"/>
          <w:u w:color="5B9BD5"/>
        </w:rPr>
      </w:pPr>
      <w:r w:rsidRPr="00F54559">
        <w:rPr>
          <w:rFonts w:eastAsia="Franklin Gothic Book" w:cstheme="minorHAnsi"/>
          <w:b/>
          <w:i/>
          <w:sz w:val="24"/>
        </w:rPr>
        <w:t>Contributions:</w:t>
      </w:r>
      <w:r w:rsidRPr="00F54559">
        <w:rPr>
          <w:rFonts w:cstheme="minorHAnsi"/>
          <w:sz w:val="24"/>
        </w:rPr>
        <w:t xml:space="preserve"> The Incentive Plan is funded on a terminal funding basis - funded when costs become due and payable.</w:t>
      </w:r>
      <w:r w:rsidRPr="00F54559">
        <w:rPr>
          <w:rFonts w:cstheme="minorHAnsi"/>
          <w:w w:val="99"/>
          <w:sz w:val="24"/>
        </w:rPr>
        <w:t xml:space="preserve"> </w:t>
      </w:r>
      <w:r w:rsidRPr="00F54559">
        <w:rPr>
          <w:rFonts w:eastAsia="Times New Roman" w:cstheme="minorHAnsi"/>
          <w:sz w:val="24"/>
        </w:rPr>
        <w:t>Employees do not make contributions under the Incentive Plan.</w:t>
      </w:r>
    </w:p>
    <w:p w14:paraId="3C9F3107" w14:textId="77777777" w:rsidR="00721CFD" w:rsidRPr="00F54559" w:rsidRDefault="00721CFD" w:rsidP="00721CFD">
      <w:pPr>
        <w:tabs>
          <w:tab w:val="left" w:pos="1858"/>
          <w:tab w:val="left" w:pos="2570"/>
          <w:tab w:val="left" w:pos="3283"/>
          <w:tab w:val="left" w:pos="3996"/>
          <w:tab w:val="left" w:pos="4709"/>
          <w:tab w:val="left" w:pos="5472"/>
        </w:tabs>
        <w:suppressAutoHyphens/>
        <w:spacing w:after="120"/>
        <w:rPr>
          <w:rFonts w:eastAsia="Times New Roman" w:cstheme="minorHAnsi"/>
          <w:b/>
          <w:sz w:val="26"/>
          <w:szCs w:val="26"/>
        </w:rPr>
      </w:pPr>
      <w:r w:rsidRPr="00F54559">
        <w:rPr>
          <w:rFonts w:eastAsia="Times New Roman" w:cstheme="minorHAnsi"/>
          <w:b/>
          <w:sz w:val="26"/>
          <w:szCs w:val="26"/>
        </w:rPr>
        <w:t>Net Pension Liability</w:t>
      </w:r>
    </w:p>
    <w:p w14:paraId="4228B2EF" w14:textId="77777777" w:rsidR="00721CFD" w:rsidRPr="00F54559" w:rsidRDefault="00721CFD" w:rsidP="00721CFD">
      <w:pPr>
        <w:widowControl w:val="0"/>
        <w:rPr>
          <w:rFonts w:eastAsia="Franklin Gothic Book" w:cstheme="minorHAnsi"/>
          <w:spacing w:val="-1"/>
          <w:sz w:val="24"/>
        </w:rPr>
      </w:pPr>
      <w:r w:rsidRPr="00F54559">
        <w:rPr>
          <w:rFonts w:eastAsia="Times New Roman" w:cstheme="minorHAnsi"/>
          <w:sz w:val="24"/>
        </w:rPr>
        <w:t>The total pension liability related to the Incentive Plan at the measurement date of June 30, 20</w:t>
      </w:r>
      <w:r>
        <w:rPr>
          <w:rFonts w:eastAsia="Times New Roman" w:cstheme="minorHAnsi"/>
          <w:sz w:val="24"/>
        </w:rPr>
        <w:t>22</w:t>
      </w:r>
      <w:r w:rsidRPr="00F54559">
        <w:rPr>
          <w:rFonts w:eastAsia="Times New Roman" w:cstheme="minorHAnsi"/>
          <w:sz w:val="24"/>
        </w:rPr>
        <w:t xml:space="preserve"> and 20</w:t>
      </w:r>
      <w:r>
        <w:rPr>
          <w:rFonts w:eastAsia="Times New Roman" w:cstheme="minorHAnsi"/>
          <w:sz w:val="24"/>
        </w:rPr>
        <w:t>21</w:t>
      </w:r>
      <w:r w:rsidRPr="00F54559">
        <w:rPr>
          <w:rFonts w:eastAsia="Times New Roman" w:cstheme="minorHAnsi"/>
          <w:sz w:val="24"/>
        </w:rPr>
        <w:t xml:space="preserve"> was</w:t>
      </w:r>
      <w:r>
        <w:rPr>
          <w:rFonts w:eastAsia="Times New Roman" w:cstheme="minorHAnsi"/>
          <w:sz w:val="24"/>
        </w:rPr>
        <w:t xml:space="preserve"> $</w:t>
      </w:r>
      <w:r w:rsidRPr="00A93FB3">
        <w:rPr>
          <w:rFonts w:eastAsia="Times New Roman" w:cstheme="minorHAnsi"/>
          <w:sz w:val="24"/>
        </w:rPr>
        <w:t>19,090</w:t>
      </w:r>
      <w:r w:rsidRPr="00E96136">
        <w:rPr>
          <w:rFonts w:eastAsia="Times New Roman" w:cstheme="minorHAnsi"/>
          <w:sz w:val="24"/>
        </w:rPr>
        <w:t xml:space="preserve"> </w:t>
      </w:r>
      <w:r>
        <w:rPr>
          <w:rFonts w:eastAsia="Times New Roman" w:cstheme="minorHAnsi"/>
          <w:sz w:val="24"/>
        </w:rPr>
        <w:t xml:space="preserve">and </w:t>
      </w:r>
      <w:r w:rsidRPr="00F54559">
        <w:rPr>
          <w:rFonts w:eastAsia="Times New Roman" w:cstheme="minorHAnsi"/>
          <w:sz w:val="24"/>
        </w:rPr>
        <w:t>$</w:t>
      </w:r>
      <w:r>
        <w:rPr>
          <w:rFonts w:eastAsia="Times New Roman" w:cstheme="minorHAnsi"/>
          <w:sz w:val="24"/>
        </w:rPr>
        <w:t>21,208</w:t>
      </w:r>
      <w:r w:rsidRPr="00F54559">
        <w:rPr>
          <w:rFonts w:eastAsia="Times New Roman" w:cstheme="minorHAnsi"/>
          <w:sz w:val="24"/>
        </w:rPr>
        <w:t xml:space="preserve">, respectively. The fiduciary net position as a percentage of the total pension liability was 0.00% as this plan has no assets.  </w:t>
      </w:r>
      <w:r w:rsidRPr="00F54559">
        <w:rPr>
          <w:rFonts w:eastAsia="Franklin Gothic Book" w:cstheme="minorHAnsi"/>
          <w:spacing w:val="-1"/>
          <w:sz w:val="24"/>
        </w:rPr>
        <w:t>The total pension liability as of June 30, 20</w:t>
      </w:r>
      <w:r>
        <w:rPr>
          <w:rFonts w:eastAsia="Franklin Gothic Book" w:cstheme="minorHAnsi"/>
          <w:spacing w:val="-1"/>
          <w:sz w:val="24"/>
        </w:rPr>
        <w:t>22</w:t>
      </w:r>
      <w:r w:rsidRPr="00F54559">
        <w:rPr>
          <w:rFonts w:eastAsia="Franklin Gothic Book" w:cstheme="minorHAnsi"/>
          <w:spacing w:val="-1"/>
          <w:sz w:val="24"/>
        </w:rPr>
        <w:t xml:space="preserve"> and 20</w:t>
      </w:r>
      <w:r>
        <w:rPr>
          <w:rFonts w:eastAsia="Franklin Gothic Book" w:cstheme="minorHAnsi"/>
          <w:spacing w:val="-1"/>
          <w:sz w:val="24"/>
        </w:rPr>
        <w:t>21</w:t>
      </w:r>
      <w:r w:rsidRPr="00F54559">
        <w:rPr>
          <w:rFonts w:eastAsia="Franklin Gothic Book" w:cstheme="minorHAnsi"/>
          <w:spacing w:val="-1"/>
          <w:sz w:val="24"/>
        </w:rPr>
        <w:t xml:space="preserve"> was determined by an actuarial valuation as of </w:t>
      </w:r>
      <w:r w:rsidRPr="002F393E">
        <w:rPr>
          <w:rFonts w:eastAsia="Franklin Gothic Book" w:cstheme="minorHAnsi"/>
          <w:spacing w:val="-1"/>
          <w:sz w:val="24"/>
        </w:rPr>
        <w:t xml:space="preserve">July 1, 2021 </w:t>
      </w:r>
      <w:r w:rsidRPr="00363A68">
        <w:rPr>
          <w:rFonts w:eastAsia="Franklin Gothic Book" w:cstheme="minorHAnsi"/>
          <w:spacing w:val="-1"/>
          <w:sz w:val="24"/>
        </w:rPr>
        <w:t xml:space="preserve">rolled forward to the measurement date of June 30, 2022 </w:t>
      </w:r>
      <w:r w:rsidRPr="002F393E">
        <w:rPr>
          <w:rFonts w:eastAsia="Franklin Gothic Book" w:cstheme="minorHAnsi"/>
          <w:spacing w:val="-1"/>
          <w:sz w:val="24"/>
        </w:rPr>
        <w:t xml:space="preserve">and as of July 1, </w:t>
      </w:r>
      <w:r w:rsidRPr="002F393E">
        <w:rPr>
          <w:rFonts w:eastAsia="Franklin Gothic Book" w:cstheme="minorHAnsi"/>
          <w:sz w:val="24"/>
        </w:rPr>
        <w:t>2021</w:t>
      </w:r>
      <w:r w:rsidRPr="002F393E">
        <w:rPr>
          <w:rFonts w:eastAsia="Franklin Gothic Book" w:cstheme="minorHAnsi"/>
          <w:spacing w:val="-1"/>
          <w:sz w:val="24"/>
        </w:rPr>
        <w:t xml:space="preserve">, respectively, using the following actuarial </w:t>
      </w:r>
      <w:r w:rsidRPr="00F54559">
        <w:rPr>
          <w:rFonts w:eastAsia="Franklin Gothic Book" w:cstheme="minorHAnsi"/>
          <w:spacing w:val="-1"/>
          <w:sz w:val="24"/>
        </w:rPr>
        <w:t>assumptions, applied to all periods included in the measurement:</w:t>
      </w:r>
    </w:p>
    <w:p w14:paraId="2E65490D" w14:textId="77777777" w:rsidR="00721CFD" w:rsidRPr="00F54559" w:rsidRDefault="00721CFD" w:rsidP="00721CFD">
      <w:pPr>
        <w:widowControl w:val="0"/>
        <w:rPr>
          <w:rFonts w:eastAsia="Franklin Gothic Book" w:cstheme="minorHAnsi"/>
          <w:sz w:val="24"/>
        </w:rPr>
      </w:pPr>
    </w:p>
    <w:p w14:paraId="7EB04379" w14:textId="77777777" w:rsidR="00721CFD" w:rsidRPr="00C96CEF" w:rsidRDefault="00721CFD" w:rsidP="00721CFD">
      <w:pPr>
        <w:widowControl w:val="0"/>
        <w:rPr>
          <w:rFonts w:eastAsia="Franklin Gothic Book" w:cstheme="minorHAnsi"/>
          <w:sz w:val="6"/>
          <w:szCs w:val="6"/>
        </w:rPr>
      </w:pPr>
    </w:p>
    <w:p w14:paraId="4B196B4C" w14:textId="77777777" w:rsidR="00721CFD" w:rsidRPr="006C7397" w:rsidRDefault="00721CFD" w:rsidP="00721CFD">
      <w:pPr>
        <w:widowControl w:val="0"/>
        <w:pBdr>
          <w:top w:val="single" w:sz="4" w:space="1" w:color="00688D"/>
        </w:pBdr>
        <w:tabs>
          <w:tab w:val="left" w:pos="2610"/>
        </w:tabs>
        <w:ind w:left="270" w:right="360"/>
        <w:rPr>
          <w:rFonts w:eastAsia="Franklin Gothic Book" w:cstheme="minorHAnsi"/>
          <w:color w:val="FF0000"/>
          <w:sz w:val="24"/>
          <w:szCs w:val="24"/>
        </w:rPr>
      </w:pPr>
      <w:r w:rsidRPr="00926FB3">
        <w:rPr>
          <w:rFonts w:eastAsia="Franklin Gothic Book" w:cstheme="minorHAnsi"/>
          <w:sz w:val="24"/>
          <w:szCs w:val="24"/>
        </w:rPr>
        <w:t>Actuarial cost method</w:t>
      </w:r>
      <w:r w:rsidRPr="00926FB3">
        <w:rPr>
          <w:rFonts w:eastAsia="Franklin Gothic Book" w:cstheme="minorHAnsi"/>
          <w:sz w:val="24"/>
          <w:szCs w:val="24"/>
        </w:rPr>
        <w:tab/>
      </w:r>
      <w:r w:rsidRPr="00B86B5A">
        <w:rPr>
          <w:rFonts w:eastAsia="Franklin Gothic Book" w:cstheme="minorHAnsi"/>
          <w:sz w:val="24"/>
          <w:szCs w:val="24"/>
        </w:rPr>
        <w:t>Entry age normal</w:t>
      </w:r>
    </w:p>
    <w:p w14:paraId="293623A5" w14:textId="77777777" w:rsidR="00721CFD" w:rsidRPr="00B86B5A" w:rsidRDefault="00721CFD" w:rsidP="00721CFD">
      <w:pPr>
        <w:widowControl w:val="0"/>
        <w:tabs>
          <w:tab w:val="left" w:pos="2610"/>
        </w:tabs>
        <w:ind w:left="270" w:right="360"/>
        <w:rPr>
          <w:rFonts w:eastAsia="Franklin Gothic Book" w:cstheme="minorHAnsi"/>
          <w:sz w:val="24"/>
          <w:szCs w:val="24"/>
        </w:rPr>
      </w:pPr>
      <w:r w:rsidRPr="00B86B5A">
        <w:rPr>
          <w:rFonts w:eastAsia="Franklin Gothic Book" w:cstheme="minorHAnsi"/>
          <w:sz w:val="24"/>
          <w:szCs w:val="24"/>
        </w:rPr>
        <w:t>Inflation</w:t>
      </w:r>
      <w:r w:rsidRPr="00B86B5A">
        <w:rPr>
          <w:rFonts w:eastAsia="Franklin Gothic Book" w:cstheme="minorHAnsi"/>
          <w:sz w:val="24"/>
          <w:szCs w:val="24"/>
        </w:rPr>
        <w:tab/>
        <w:t>Not explicitly assumed</w:t>
      </w:r>
    </w:p>
    <w:p w14:paraId="1D022D09" w14:textId="77777777" w:rsidR="00721CFD" w:rsidRPr="000F41A3" w:rsidRDefault="00721CFD" w:rsidP="00721CFD">
      <w:pPr>
        <w:widowControl w:val="0"/>
        <w:tabs>
          <w:tab w:val="left" w:pos="2610"/>
        </w:tabs>
        <w:ind w:left="270" w:right="360"/>
        <w:rPr>
          <w:rFonts w:eastAsia="Franklin Gothic Book" w:cstheme="minorHAnsi"/>
          <w:sz w:val="24"/>
          <w:szCs w:val="24"/>
        </w:rPr>
      </w:pPr>
      <w:r w:rsidRPr="00B86B5A">
        <w:rPr>
          <w:rFonts w:eastAsia="Franklin Gothic Book" w:cstheme="minorHAnsi"/>
          <w:sz w:val="24"/>
          <w:szCs w:val="24"/>
        </w:rPr>
        <w:t>Salary increases</w:t>
      </w:r>
      <w:r w:rsidRPr="00B86B5A">
        <w:rPr>
          <w:rFonts w:eastAsia="Franklin Gothic Book" w:cstheme="minorHAnsi"/>
          <w:sz w:val="24"/>
          <w:szCs w:val="24"/>
        </w:rPr>
        <w:tab/>
        <w:t>3.5% per year, including longevity</w:t>
      </w:r>
    </w:p>
    <w:p w14:paraId="77867FAB" w14:textId="77777777" w:rsidR="00721CFD" w:rsidRPr="00A93FB3" w:rsidRDefault="00721CFD" w:rsidP="00721CFD">
      <w:pPr>
        <w:widowControl w:val="0"/>
        <w:tabs>
          <w:tab w:val="left" w:pos="2610"/>
        </w:tabs>
        <w:ind w:left="270" w:right="360"/>
        <w:rPr>
          <w:rFonts w:eastAsia="Franklin Gothic Book" w:cstheme="minorHAnsi"/>
          <w:sz w:val="24"/>
          <w:szCs w:val="24"/>
        </w:rPr>
      </w:pPr>
      <w:r w:rsidRPr="000F41A3">
        <w:rPr>
          <w:rFonts w:eastAsia="Franklin Gothic Book" w:cstheme="minorHAnsi"/>
          <w:sz w:val="24"/>
          <w:szCs w:val="24"/>
        </w:rPr>
        <w:t>Discount rate</w:t>
      </w:r>
      <w:r w:rsidRPr="000F41A3">
        <w:rPr>
          <w:rFonts w:eastAsia="Franklin Gothic Book" w:cstheme="minorHAnsi"/>
          <w:sz w:val="24"/>
          <w:szCs w:val="24"/>
        </w:rPr>
        <w:tab/>
      </w:r>
      <w:r w:rsidRPr="00A93FB3">
        <w:rPr>
          <w:rFonts w:eastAsia="Franklin Gothic Book" w:cstheme="minorHAnsi"/>
          <w:sz w:val="24"/>
          <w:szCs w:val="24"/>
        </w:rPr>
        <w:t>3.54% as of June 30, 2022</w:t>
      </w:r>
    </w:p>
    <w:p w14:paraId="7DDCB54F" w14:textId="77777777" w:rsidR="00721CFD" w:rsidRPr="006C7397" w:rsidRDefault="00721CFD" w:rsidP="00721CFD">
      <w:pPr>
        <w:widowControl w:val="0"/>
        <w:tabs>
          <w:tab w:val="left" w:pos="2610"/>
        </w:tabs>
        <w:ind w:left="270" w:right="360"/>
        <w:rPr>
          <w:rFonts w:eastAsia="Franklin Gothic Book" w:cstheme="minorHAnsi"/>
          <w:color w:val="FF0000"/>
          <w:sz w:val="24"/>
          <w:szCs w:val="24"/>
        </w:rPr>
      </w:pPr>
      <w:r w:rsidRPr="00A93FB3">
        <w:rPr>
          <w:rFonts w:eastAsia="Franklin Gothic Book" w:cstheme="minorHAnsi"/>
          <w:sz w:val="24"/>
          <w:szCs w:val="24"/>
        </w:rPr>
        <w:tab/>
      </w:r>
      <w:r w:rsidRPr="00B86B5A">
        <w:rPr>
          <w:rFonts w:eastAsia="Franklin Gothic Book" w:cstheme="minorHAnsi"/>
          <w:sz w:val="24"/>
          <w:szCs w:val="24"/>
        </w:rPr>
        <w:t>2.16% as of June 30, 2021</w:t>
      </w:r>
    </w:p>
    <w:p w14:paraId="70DBD68F" w14:textId="7F712AAC" w:rsidR="00721CFD" w:rsidRPr="006C7397" w:rsidRDefault="00721CFD" w:rsidP="00721CFD">
      <w:pPr>
        <w:widowControl w:val="0"/>
        <w:pBdr>
          <w:bottom w:val="single" w:sz="4" w:space="1" w:color="00688D"/>
        </w:pBdr>
        <w:tabs>
          <w:tab w:val="left" w:pos="2610"/>
        </w:tabs>
        <w:ind w:left="2610" w:right="360" w:hanging="2340"/>
        <w:rPr>
          <w:rFonts w:eastAsia="Franklin Gothic Book" w:cstheme="minorHAnsi"/>
          <w:color w:val="FF0000"/>
          <w:sz w:val="24"/>
          <w:szCs w:val="24"/>
        </w:rPr>
      </w:pPr>
      <w:r w:rsidRPr="00B86B5A">
        <w:rPr>
          <w:rFonts w:eastAsia="Franklin Gothic Book" w:cstheme="minorHAnsi"/>
          <w:sz w:val="24"/>
          <w:szCs w:val="24"/>
        </w:rPr>
        <w:t>Life expectancy</w:t>
      </w:r>
      <w:r w:rsidRPr="00B86B5A">
        <w:rPr>
          <w:rFonts w:eastAsia="Franklin Gothic Book" w:cstheme="minorHAnsi"/>
          <w:sz w:val="24"/>
          <w:szCs w:val="24"/>
        </w:rPr>
        <w:tab/>
      </w:r>
      <w:r w:rsidRPr="00A93FB3">
        <w:rPr>
          <w:rFonts w:eastAsia="Franklin Gothic Book" w:cstheme="minorHAnsi"/>
          <w:sz w:val="24"/>
          <w:szCs w:val="24"/>
        </w:rPr>
        <w:t xml:space="preserve">2022 and </w:t>
      </w:r>
      <w:r w:rsidRPr="00B86B5A">
        <w:rPr>
          <w:rFonts w:eastAsia="Franklin Gothic Book" w:cstheme="minorHAnsi"/>
          <w:sz w:val="24"/>
          <w:szCs w:val="24"/>
        </w:rPr>
        <w:t>2021: Mortality rates were based on the Pub-2010 Mortality Table projected with Scale MP-2020</w:t>
      </w:r>
    </w:p>
    <w:p w14:paraId="3CC32E2D" w14:textId="77777777" w:rsidR="00721CFD" w:rsidRPr="00C96CEF" w:rsidRDefault="00721CFD" w:rsidP="00721CFD">
      <w:pPr>
        <w:widowControl w:val="0"/>
        <w:pBdr>
          <w:bottom w:val="single" w:sz="4" w:space="1" w:color="00688D"/>
        </w:pBdr>
        <w:tabs>
          <w:tab w:val="left" w:pos="2610"/>
        </w:tabs>
        <w:ind w:left="2610" w:right="360" w:hanging="2340"/>
        <w:rPr>
          <w:rFonts w:eastAsia="Franklin Gothic Book" w:cstheme="minorHAnsi"/>
          <w:sz w:val="2"/>
          <w:szCs w:val="2"/>
        </w:rPr>
      </w:pPr>
    </w:p>
    <w:p w14:paraId="1ECF07D9" w14:textId="77777777" w:rsidR="00111AB6" w:rsidRPr="00404A7A" w:rsidRDefault="00111AB6" w:rsidP="00404A7A">
      <w:pPr>
        <w:tabs>
          <w:tab w:val="left" w:pos="6390"/>
        </w:tabs>
        <w:rPr>
          <w:rFonts w:cstheme="minorHAnsi"/>
          <w:sz w:val="24"/>
        </w:rPr>
      </w:pPr>
    </w:p>
    <w:p w14:paraId="7836ED48" w14:textId="77777777" w:rsidR="00721CFD" w:rsidRPr="00F54559" w:rsidRDefault="00721CFD" w:rsidP="00721CFD">
      <w:pPr>
        <w:ind w:right="-7"/>
        <w:rPr>
          <w:rFonts w:eastAsia="Times New Roman" w:cstheme="minorHAnsi"/>
          <w:sz w:val="24"/>
        </w:rPr>
      </w:pPr>
      <w:r w:rsidRPr="00F54559">
        <w:rPr>
          <w:rFonts w:eastAsia="Franklin Gothic Book" w:cstheme="minorHAnsi"/>
          <w:b/>
          <w:i/>
          <w:sz w:val="24"/>
        </w:rPr>
        <w:t>Discount rate</w:t>
      </w:r>
      <w:r w:rsidRPr="00F54559">
        <w:rPr>
          <w:rFonts w:eastAsia="Times New Roman" w:cstheme="minorHAnsi"/>
          <w:b/>
          <w:sz w:val="24"/>
        </w:rPr>
        <w:t>:</w:t>
      </w:r>
      <w:r w:rsidRPr="00F54559">
        <w:rPr>
          <w:rFonts w:eastAsia="Times New Roman" w:cstheme="minorHAnsi"/>
          <w:sz w:val="24"/>
        </w:rPr>
        <w:t xml:space="preserve"> GASB Statement No. 73, </w:t>
      </w:r>
      <w:r w:rsidRPr="00F54559">
        <w:rPr>
          <w:rFonts w:eastAsia="Times New Roman" w:cstheme="minorHAnsi"/>
          <w:i/>
          <w:sz w:val="24"/>
        </w:rPr>
        <w:t xml:space="preserve">Accounting and Financial Reporting for Pensions and Related Assets That Are Not within the Scope of GASB Statement 68, and Amendments to Certain Provisions of GASB Statements 67 and 68, </w:t>
      </w:r>
      <w:r w:rsidRPr="00F54559">
        <w:rPr>
          <w:rFonts w:eastAsia="Times New Roman" w:cstheme="minorHAnsi"/>
          <w:sz w:val="24"/>
        </w:rPr>
        <w:t xml:space="preserve"> requires projected benefit payments be discounted to their actuarial present value using a tax-exempt, high-quality municipal bond rate.</w:t>
      </w:r>
    </w:p>
    <w:p w14:paraId="6E39D99E" w14:textId="77777777" w:rsidR="00721CFD" w:rsidRPr="00F54559" w:rsidRDefault="00721CFD" w:rsidP="00721CFD">
      <w:pPr>
        <w:tabs>
          <w:tab w:val="left" w:pos="6390"/>
        </w:tabs>
        <w:rPr>
          <w:rFonts w:cstheme="minorHAnsi"/>
          <w:sz w:val="24"/>
        </w:rPr>
      </w:pPr>
    </w:p>
    <w:p w14:paraId="0C081645" w14:textId="532A3CD2" w:rsidR="00721CFD" w:rsidRPr="00F54559" w:rsidRDefault="00721CFD" w:rsidP="00404A7A">
      <w:pPr>
        <w:rPr>
          <w:rFonts w:cstheme="minorHAnsi"/>
          <w:sz w:val="24"/>
        </w:rPr>
      </w:pPr>
      <w:r w:rsidRPr="00F54559">
        <w:rPr>
          <w:rFonts w:eastAsia="Times New Roman" w:cstheme="minorHAnsi"/>
          <w:sz w:val="24"/>
        </w:rPr>
        <w:t xml:space="preserve">For the Incentive Plan, which does not hold assets, the total pension liability is based on the discount rate </w:t>
      </w:r>
      <w:r w:rsidRPr="00DB0727">
        <w:rPr>
          <w:rFonts w:eastAsia="Times New Roman" w:cstheme="minorHAnsi"/>
          <w:sz w:val="24"/>
        </w:rPr>
        <w:t xml:space="preserve">of </w:t>
      </w:r>
      <w:r w:rsidRPr="006C7397">
        <w:rPr>
          <w:rFonts w:eastAsia="Times New Roman" w:cstheme="minorHAnsi"/>
          <w:sz w:val="24"/>
        </w:rPr>
        <w:t>3.54</w:t>
      </w:r>
      <w:r w:rsidRPr="00F54559">
        <w:rPr>
          <w:rFonts w:eastAsia="Times New Roman" w:cstheme="minorHAnsi"/>
          <w:sz w:val="24"/>
        </w:rPr>
        <w:t xml:space="preserve">% and </w:t>
      </w:r>
      <w:r>
        <w:rPr>
          <w:rFonts w:eastAsia="Times New Roman" w:cstheme="minorHAnsi"/>
          <w:sz w:val="24"/>
        </w:rPr>
        <w:t>2.16</w:t>
      </w:r>
      <w:r w:rsidRPr="00F54559">
        <w:rPr>
          <w:rFonts w:eastAsia="Times New Roman" w:cstheme="minorHAnsi"/>
          <w:sz w:val="24"/>
        </w:rPr>
        <w:t>%</w:t>
      </w:r>
      <w:r>
        <w:rPr>
          <w:rFonts w:eastAsia="Times New Roman" w:cstheme="minorHAnsi"/>
          <w:sz w:val="24"/>
        </w:rPr>
        <w:t xml:space="preserve"> </w:t>
      </w:r>
      <w:r w:rsidRPr="00F54559">
        <w:rPr>
          <w:rFonts w:eastAsia="Times New Roman" w:cstheme="minorHAnsi"/>
          <w:sz w:val="24"/>
        </w:rPr>
        <w:t>as of June 30, 20</w:t>
      </w:r>
      <w:r>
        <w:rPr>
          <w:rFonts w:eastAsia="Times New Roman" w:cstheme="minorHAnsi"/>
          <w:sz w:val="24"/>
        </w:rPr>
        <w:t>22</w:t>
      </w:r>
      <w:r w:rsidRPr="00F54559">
        <w:rPr>
          <w:rFonts w:eastAsia="Times New Roman" w:cstheme="minorHAnsi"/>
          <w:sz w:val="24"/>
        </w:rPr>
        <w:t xml:space="preserve"> and 20</w:t>
      </w:r>
      <w:r>
        <w:rPr>
          <w:rFonts w:eastAsia="Times New Roman" w:cstheme="minorHAnsi"/>
          <w:sz w:val="24"/>
        </w:rPr>
        <w:t>21</w:t>
      </w:r>
      <w:r w:rsidRPr="00F54559">
        <w:rPr>
          <w:rFonts w:eastAsia="Times New Roman" w:cstheme="minorHAnsi"/>
          <w:sz w:val="24"/>
        </w:rPr>
        <w:t>, respectively. The rates are based on the municipal bond rates as of the measurement dates. The municipal bond rates for 20</w:t>
      </w:r>
      <w:r>
        <w:rPr>
          <w:rFonts w:eastAsia="Times New Roman" w:cstheme="minorHAnsi"/>
          <w:sz w:val="24"/>
        </w:rPr>
        <w:t>22</w:t>
      </w:r>
      <w:r w:rsidRPr="00F54559">
        <w:rPr>
          <w:rFonts w:eastAsia="Times New Roman" w:cstheme="minorHAnsi"/>
          <w:sz w:val="24"/>
        </w:rPr>
        <w:t xml:space="preserve"> and 20</w:t>
      </w:r>
      <w:r>
        <w:rPr>
          <w:rFonts w:eastAsia="Times New Roman" w:cstheme="minorHAnsi"/>
          <w:sz w:val="24"/>
        </w:rPr>
        <w:t>21</w:t>
      </w:r>
      <w:r w:rsidRPr="00F54559">
        <w:rPr>
          <w:rFonts w:eastAsia="Times New Roman" w:cstheme="minorHAnsi"/>
          <w:sz w:val="24"/>
        </w:rPr>
        <w:t xml:space="preserve"> are based on the Bond Buyer 20-Bond General Obligation (GO) Index published for the weeks of </w:t>
      </w:r>
      <w:r>
        <w:rPr>
          <w:rFonts w:eastAsia="Times New Roman" w:cstheme="minorHAnsi"/>
          <w:sz w:val="24"/>
        </w:rPr>
        <w:t xml:space="preserve">June 30, </w:t>
      </w:r>
      <w:r w:rsidRPr="00DB0727">
        <w:rPr>
          <w:rFonts w:eastAsia="Times New Roman" w:cstheme="minorHAnsi"/>
          <w:sz w:val="24"/>
        </w:rPr>
        <w:t>202</w:t>
      </w:r>
      <w:r w:rsidRPr="006C7397">
        <w:rPr>
          <w:rFonts w:eastAsia="Times New Roman" w:cstheme="minorHAnsi"/>
          <w:sz w:val="24"/>
        </w:rPr>
        <w:t>2</w:t>
      </w:r>
      <w:r w:rsidRPr="00DB0727">
        <w:rPr>
          <w:rFonts w:eastAsia="Times New Roman" w:cstheme="minorHAnsi"/>
          <w:sz w:val="24"/>
        </w:rPr>
        <w:t xml:space="preserve"> </w:t>
      </w:r>
      <w:r>
        <w:rPr>
          <w:rFonts w:eastAsia="Times New Roman" w:cstheme="minorHAnsi"/>
          <w:sz w:val="24"/>
        </w:rPr>
        <w:t xml:space="preserve">and </w:t>
      </w:r>
      <w:r w:rsidRPr="00F54559">
        <w:rPr>
          <w:rFonts w:eastAsia="Times New Roman" w:cstheme="minorHAnsi"/>
          <w:sz w:val="24"/>
        </w:rPr>
        <w:t xml:space="preserve">June </w:t>
      </w:r>
      <w:r>
        <w:rPr>
          <w:rFonts w:eastAsia="Times New Roman" w:cstheme="minorHAnsi"/>
          <w:sz w:val="24"/>
        </w:rPr>
        <w:t>30, 2021</w:t>
      </w:r>
      <w:r w:rsidRPr="00F54559">
        <w:rPr>
          <w:rFonts w:eastAsia="Times New Roman" w:cstheme="minorHAnsi"/>
          <w:sz w:val="24"/>
        </w:rPr>
        <w:t>, respectively.</w:t>
      </w:r>
    </w:p>
    <w:p w14:paraId="13063238" w14:textId="77777777" w:rsidR="002F2C2D" w:rsidRDefault="002F2C2D" w:rsidP="009D1777">
      <w:pPr>
        <w:tabs>
          <w:tab w:val="left" w:pos="6390"/>
        </w:tabs>
        <w:spacing w:before="120" w:after="120"/>
        <w:rPr>
          <w:rFonts w:cstheme="minorHAnsi"/>
          <w:b/>
          <w:i/>
          <w:sz w:val="26"/>
          <w:u w:val="single" w:color="000000" w:themeColor="text1"/>
        </w:rPr>
      </w:pPr>
      <w:r>
        <w:rPr>
          <w:rFonts w:cstheme="minorHAnsi"/>
          <w:b/>
          <w:i/>
          <w:sz w:val="26"/>
          <w:u w:val="single" w:color="000000" w:themeColor="text1"/>
        </w:rPr>
        <w:br w:type="page"/>
      </w:r>
    </w:p>
    <w:p w14:paraId="12C19346" w14:textId="092607CE" w:rsidR="009D1777" w:rsidRPr="00F54559" w:rsidRDefault="009D1777" w:rsidP="00E266A6">
      <w:pPr>
        <w:tabs>
          <w:tab w:val="left" w:pos="6390"/>
        </w:tabs>
        <w:spacing w:before="120" w:after="240"/>
        <w:rPr>
          <w:rFonts w:eastAsiaTheme="majorEastAsia" w:cstheme="minorHAnsi"/>
          <w:b/>
          <w:i/>
          <w:iCs/>
          <w:smallCaps/>
          <w:noProof/>
          <w:color w:val="000000" w:themeColor="text1"/>
          <w:sz w:val="26"/>
          <w:szCs w:val="26"/>
          <w:u w:color="5B9BD5"/>
        </w:rPr>
      </w:pPr>
      <w:r w:rsidRPr="00F54559">
        <w:rPr>
          <w:rFonts w:cstheme="minorHAnsi"/>
          <w:b/>
          <w:i/>
          <w:sz w:val="26"/>
          <w:u w:val="single" w:color="000000" w:themeColor="text1"/>
        </w:rPr>
        <w:lastRenderedPageBreak/>
        <w:t>13b. Incentive Retirement Plan – Faculty and Professional Employees - continued</w:t>
      </w:r>
    </w:p>
    <w:p w14:paraId="2D4B1BCD" w14:textId="6586F33F" w:rsidR="00721CFD" w:rsidRPr="00F54559" w:rsidRDefault="00721CFD" w:rsidP="00721CFD">
      <w:pPr>
        <w:tabs>
          <w:tab w:val="left" w:pos="6390"/>
        </w:tabs>
        <w:spacing w:after="240"/>
        <w:ind w:right="-7"/>
        <w:rPr>
          <w:rFonts w:eastAsia="Franklin Gothic Book" w:cstheme="minorHAnsi"/>
          <w:spacing w:val="1"/>
          <w:sz w:val="24"/>
        </w:rPr>
      </w:pPr>
      <w:r w:rsidRPr="00F54559">
        <w:rPr>
          <w:rFonts w:eastAsia="Franklin Gothic Book" w:cstheme="minorHAnsi"/>
          <w:b/>
          <w:i/>
          <w:spacing w:val="-1"/>
          <w:sz w:val="24"/>
        </w:rPr>
        <w:t>Sensitivity of 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p</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1"/>
          <w:sz w:val="24"/>
        </w:rPr>
        <w:t>o</w:t>
      </w:r>
      <w:r w:rsidRPr="00F54559">
        <w:rPr>
          <w:rFonts w:eastAsia="Franklin Gothic Book" w:cstheme="minorHAnsi"/>
          <w:b/>
          <w:i/>
          <w:sz w:val="24"/>
        </w:rPr>
        <w:t>n</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d</w:t>
      </w:r>
      <w:r w:rsidRPr="00F54559">
        <w:rPr>
          <w:rFonts w:eastAsia="Franklin Gothic Book" w:cstheme="minorHAnsi"/>
          <w:b/>
          <w:i/>
          <w:sz w:val="24"/>
        </w:rPr>
        <w:t>i</w:t>
      </w:r>
      <w:r w:rsidRPr="00F54559">
        <w:rPr>
          <w:rFonts w:eastAsia="Franklin Gothic Book" w:cstheme="minorHAnsi"/>
          <w:b/>
          <w:i/>
          <w:spacing w:val="-1"/>
          <w:sz w:val="24"/>
        </w:rPr>
        <w:t>sc</w:t>
      </w:r>
      <w:r w:rsidRPr="00F54559">
        <w:rPr>
          <w:rFonts w:eastAsia="Franklin Gothic Book" w:cstheme="minorHAnsi"/>
          <w:b/>
          <w:i/>
          <w:sz w:val="24"/>
        </w:rPr>
        <w:t>ou</w:t>
      </w:r>
      <w:r w:rsidRPr="00F54559">
        <w:rPr>
          <w:rFonts w:eastAsia="Franklin Gothic Book" w:cstheme="minorHAnsi"/>
          <w:b/>
          <w:i/>
          <w:spacing w:val="-2"/>
          <w:sz w:val="24"/>
        </w:rPr>
        <w:t>n</w:t>
      </w:r>
      <w:r w:rsidRPr="00F54559">
        <w:rPr>
          <w:rFonts w:eastAsia="Franklin Gothic Book" w:cstheme="minorHAnsi"/>
          <w:b/>
          <w:i/>
          <w:sz w:val="24"/>
        </w:rPr>
        <w:t>t</w:t>
      </w:r>
      <w:r w:rsidRPr="00F54559">
        <w:rPr>
          <w:rFonts w:eastAsia="Franklin Gothic Book" w:cstheme="minorHAnsi"/>
          <w:b/>
          <w:i/>
          <w:spacing w:val="-6"/>
          <w:sz w:val="24"/>
        </w:rPr>
        <w:t xml:space="preserve"> </w:t>
      </w:r>
      <w:r w:rsidRPr="00F54559">
        <w:rPr>
          <w:rFonts w:eastAsia="Franklin Gothic Book" w:cstheme="minorHAnsi"/>
          <w:b/>
          <w:i/>
          <w:sz w:val="24"/>
        </w:rPr>
        <w:t>r</w:t>
      </w:r>
      <w:r w:rsidRPr="00F54559">
        <w:rPr>
          <w:rFonts w:eastAsia="Franklin Gothic Book" w:cstheme="minorHAnsi"/>
          <w:b/>
          <w:i/>
          <w:spacing w:val="-2"/>
          <w:sz w:val="24"/>
        </w:rPr>
        <w:t>at</w:t>
      </w:r>
      <w:r w:rsidRPr="00F54559">
        <w:rPr>
          <w:rFonts w:eastAsia="Franklin Gothic Book" w:cstheme="minorHAnsi"/>
          <w:b/>
          <w:i/>
          <w:sz w:val="24"/>
        </w:rPr>
        <w:t xml:space="preserve">e: </w:t>
      </w:r>
      <w:r w:rsidRPr="00F54559">
        <w:rPr>
          <w:rFonts w:eastAsia="Franklin Gothic Book" w:cstheme="minorHAnsi"/>
          <w:i/>
          <w:sz w:val="24"/>
        </w:rPr>
        <w:t xml:space="preserv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9"/>
          <w:sz w:val="24"/>
        </w:rPr>
        <w:t xml:space="preserve"> </w:t>
      </w:r>
      <w:r w:rsidRPr="00F54559">
        <w:rPr>
          <w:rFonts w:eastAsia="Times New Roman" w:cstheme="minorHAnsi"/>
          <w:sz w:val="24"/>
        </w:rPr>
        <w:t>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1"/>
          <w:sz w:val="24"/>
        </w:rPr>
        <w:t xml:space="preserve"> table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2"/>
          <w:sz w:val="24"/>
        </w:rPr>
        <w:t xml:space="preserve"> </w:t>
      </w:r>
      <w:r w:rsidRPr="00F54559">
        <w:rPr>
          <w:rFonts w:eastAsia="Times New Roman" w:cstheme="minorHAnsi"/>
          <w:sz w:val="24"/>
        </w:rPr>
        <w:t>the</w:t>
      </w:r>
      <w:r w:rsidRPr="00F54559">
        <w:rPr>
          <w:rFonts w:eastAsia="Times New Roman" w:cstheme="minorHAnsi"/>
          <w:spacing w:val="10"/>
          <w:sz w:val="24"/>
        </w:rPr>
        <w:t xml:space="preserve"> </w:t>
      </w:r>
      <w:r w:rsidRPr="00F54559">
        <w:rPr>
          <w:rFonts w:eastAsia="Times New Roman" w:cstheme="minorHAnsi"/>
          <w:sz w:val="24"/>
        </w:rPr>
        <w:t>total</w:t>
      </w:r>
      <w:r w:rsidRPr="00F54559">
        <w:rPr>
          <w:rFonts w:eastAsia="Times New Roman" w:cstheme="minorHAnsi"/>
          <w:spacing w:val="11"/>
          <w:sz w:val="24"/>
        </w:rPr>
        <w:t xml:space="preserve"> </w:t>
      </w:r>
      <w:r w:rsidRPr="00F54559">
        <w:rPr>
          <w:rFonts w:eastAsia="Times New Roman" w:cstheme="minorHAnsi"/>
          <w:spacing w:val="-1"/>
          <w:sz w:val="24"/>
        </w:rPr>
        <w:t>p</w:t>
      </w:r>
      <w:r w:rsidRPr="00F54559">
        <w:rPr>
          <w:rFonts w:eastAsia="Times New Roman" w:cstheme="minorHAnsi"/>
          <w:sz w:val="24"/>
        </w:rPr>
        <w:t>ension</w:t>
      </w:r>
      <w:r w:rsidRPr="00F54559">
        <w:rPr>
          <w:rFonts w:eastAsia="Times New Roman" w:cstheme="minorHAnsi"/>
          <w:spacing w:val="11"/>
          <w:sz w:val="24"/>
        </w:rPr>
        <w:t xml:space="preserve"> </w:t>
      </w:r>
      <w:r w:rsidRPr="00F54559">
        <w:rPr>
          <w:rFonts w:eastAsia="Times New Roman" w:cstheme="minorHAnsi"/>
          <w:sz w:val="24"/>
        </w:rPr>
        <w:t>liability</w:t>
      </w:r>
      <w:r w:rsidRPr="00F54559">
        <w:rPr>
          <w:rFonts w:eastAsia="Times New Roman" w:cstheme="minorHAnsi"/>
          <w:spacing w:val="10"/>
          <w:sz w:val="24"/>
        </w:rPr>
        <w:t xml:space="preserve"> as of June 30, </w:t>
      </w:r>
      <w:r w:rsidRPr="00F54559">
        <w:rPr>
          <w:rFonts w:eastAsia="Times New Roman" w:cstheme="minorHAnsi"/>
          <w:sz w:val="24"/>
        </w:rPr>
        <w:t>calcula</w:t>
      </w:r>
      <w:r w:rsidRPr="00F54559">
        <w:rPr>
          <w:rFonts w:eastAsia="Times New Roman" w:cstheme="minorHAnsi"/>
          <w:spacing w:val="1"/>
          <w:sz w:val="24"/>
        </w:rPr>
        <w:t>t</w:t>
      </w:r>
      <w:r w:rsidRPr="00F54559">
        <w:rPr>
          <w:rFonts w:eastAsia="Times New Roman" w:cstheme="minorHAnsi"/>
          <w:sz w:val="24"/>
        </w:rPr>
        <w:t>ed</w:t>
      </w:r>
      <w:r w:rsidRPr="00F54559">
        <w:rPr>
          <w:rFonts w:eastAsia="Times New Roman" w:cstheme="minorHAnsi"/>
          <w:spacing w:val="13"/>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11"/>
          <w:sz w:val="24"/>
        </w:rPr>
        <w:t xml:space="preserve"> </w:t>
      </w:r>
      <w:r w:rsidRPr="00F54559">
        <w:rPr>
          <w:rFonts w:eastAsia="Times New Roman" w:cstheme="minorHAnsi"/>
          <w:sz w:val="24"/>
        </w:rPr>
        <w:t>the</w:t>
      </w:r>
      <w:r w:rsidRPr="00E431F9">
        <w:rPr>
          <w:rFonts w:eastAsia="Times New Roman" w:cstheme="minorHAnsi"/>
          <w:sz w:val="24"/>
        </w:rPr>
        <w:t xml:space="preserve"> respective current</w:t>
      </w:r>
      <w:r w:rsidRPr="00F54559">
        <w:rPr>
          <w:rFonts w:eastAsia="Times New Roman" w:cstheme="minorHAnsi"/>
          <w:spacing w:val="12"/>
          <w:sz w:val="24"/>
        </w:rPr>
        <w:t xml:space="preserve"> </w:t>
      </w:r>
      <w:r w:rsidRPr="00F54559">
        <w:rPr>
          <w:rFonts w:eastAsia="Times New Roman" w:cstheme="minorHAnsi"/>
          <w:sz w:val="24"/>
        </w:rPr>
        <w:t>discount</w:t>
      </w:r>
      <w:r w:rsidRPr="00F54559">
        <w:rPr>
          <w:rFonts w:eastAsia="Times New Roman" w:cstheme="minorHAnsi"/>
          <w:spacing w:val="12"/>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13"/>
          <w:sz w:val="24"/>
        </w:rPr>
        <w:t xml:space="preserve"> </w:t>
      </w:r>
      <w:r w:rsidRPr="00F54559">
        <w:rPr>
          <w:rFonts w:eastAsia="Times New Roman" w:cstheme="minorHAnsi"/>
          <w:sz w:val="24"/>
        </w:rPr>
        <w:t>as</w:t>
      </w:r>
      <w:r w:rsidRPr="00F54559">
        <w:rPr>
          <w:rFonts w:eastAsia="Times New Roman" w:cstheme="minorHAnsi"/>
          <w:spacing w:val="12"/>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w:t>
      </w:r>
      <w:r w:rsidRPr="00F54559">
        <w:rPr>
          <w:rFonts w:eastAsia="Times New Roman" w:cstheme="minorHAnsi"/>
          <w:spacing w:val="12"/>
          <w:sz w:val="24"/>
        </w:rPr>
        <w:t xml:space="preserve"> </w:t>
      </w:r>
      <w:r w:rsidRPr="00F54559">
        <w:rPr>
          <w:rFonts w:eastAsia="Times New Roman" w:cstheme="minorHAnsi"/>
          <w:sz w:val="24"/>
        </w:rPr>
        <w:t>as</w:t>
      </w:r>
      <w:r w:rsidRPr="00F54559">
        <w:rPr>
          <w:rFonts w:eastAsia="Times New Roman" w:cstheme="minorHAnsi"/>
          <w:spacing w:val="11"/>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6"/>
          <w:sz w:val="24"/>
        </w:rPr>
        <w:t xml:space="preserve"> </w:t>
      </w:r>
      <w:r w:rsidRPr="00F54559">
        <w:rPr>
          <w:rFonts w:eastAsia="Times New Roman" w:cstheme="minorHAnsi"/>
          <w:sz w:val="24"/>
        </w:rPr>
        <w:t>a</w:t>
      </w:r>
      <w:r w:rsidRPr="00F54559">
        <w:rPr>
          <w:rFonts w:eastAsia="Times New Roman" w:cstheme="minorHAnsi"/>
          <w:spacing w:val="8"/>
          <w:sz w:val="24"/>
        </w:rPr>
        <w:t xml:space="preserve"> </w:t>
      </w:r>
      <w:r w:rsidRPr="00F54559">
        <w:rPr>
          <w:rFonts w:eastAsia="Times New Roman" w:cstheme="minorHAnsi"/>
          <w:sz w:val="24"/>
        </w:rPr>
        <w:t>discount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7"/>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7"/>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8"/>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r</w:t>
      </w:r>
      <w:r w:rsidRPr="00F54559">
        <w:rPr>
          <w:rFonts w:eastAsia="Times New Roman" w:cstheme="minorHAnsi"/>
          <w:spacing w:val="5"/>
          <w:sz w:val="24"/>
        </w:rPr>
        <w:t xml:space="preserve"> </w:t>
      </w:r>
      <w:r w:rsidRPr="00F54559">
        <w:rPr>
          <w:rFonts w:eastAsia="Times New Roman" w:cstheme="minorHAnsi"/>
          <w:sz w:val="24"/>
        </w:rPr>
        <w:t>or</w:t>
      </w:r>
      <w:r w:rsidRPr="00F54559">
        <w:rPr>
          <w:rFonts w:eastAsia="Times New Roman" w:cstheme="minorHAnsi"/>
          <w:spacing w:val="-8"/>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6"/>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6"/>
          <w:sz w:val="24"/>
        </w:rPr>
        <w:t xml:space="preserve"> </w:t>
      </w:r>
      <w:r w:rsidRPr="00F54559">
        <w:rPr>
          <w:rFonts w:eastAsia="Times New Roman" w:cstheme="minorHAnsi"/>
          <w:sz w:val="24"/>
        </w:rPr>
        <w:t>higher</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han</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6"/>
          <w:sz w:val="24"/>
        </w:rPr>
        <w:t xml:space="preserve"> </w:t>
      </w:r>
      <w:r w:rsidRPr="00F54559">
        <w:rPr>
          <w:rFonts w:eastAsia="Times New Roman" w:cstheme="minorHAnsi"/>
          <w:spacing w:val="1"/>
          <w:sz w:val="24"/>
        </w:rPr>
        <w:t>c</w:t>
      </w:r>
      <w:r w:rsidRPr="00F54559">
        <w:rPr>
          <w:rFonts w:eastAsia="Times New Roman" w:cstheme="minorHAnsi"/>
          <w:sz w:val="24"/>
        </w:rPr>
        <w:t>u</w:t>
      </w:r>
      <w:r w:rsidRPr="00F54559">
        <w:rPr>
          <w:rFonts w:eastAsia="Times New Roman" w:cstheme="minorHAnsi"/>
          <w:spacing w:val="-1"/>
          <w:sz w:val="24"/>
        </w:rPr>
        <w:t>rr</w:t>
      </w:r>
      <w:r w:rsidRPr="00F54559">
        <w:rPr>
          <w:rFonts w:eastAsia="Times New Roman" w:cstheme="minorHAnsi"/>
          <w:sz w:val="24"/>
        </w:rPr>
        <w:t>ent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Pr>
          <w:rFonts w:eastAsia="Franklin Gothic Book" w:cstheme="minorHAnsi"/>
          <w:spacing w:val="1"/>
          <w:sz w:val="24"/>
        </w:rPr>
        <w:fldChar w:fldCharType="begin"/>
      </w:r>
      <w:r>
        <w:rPr>
          <w:rFonts w:eastAsia="Franklin Gothic Book" w:cstheme="minorHAnsi"/>
          <w:spacing w:val="1"/>
          <w:sz w:val="24"/>
        </w:rPr>
        <w:fldChar w:fldCharType="end"/>
      </w:r>
    </w:p>
    <w:tbl>
      <w:tblPr>
        <w:tblW w:w="9272" w:type="dxa"/>
        <w:jc w:val="center"/>
        <w:tblLayout w:type="fixed"/>
        <w:tblLook w:val="04A0" w:firstRow="1" w:lastRow="0" w:firstColumn="1" w:lastColumn="0" w:noHBand="0" w:noVBand="1"/>
      </w:tblPr>
      <w:tblGrid>
        <w:gridCol w:w="2164"/>
        <w:gridCol w:w="266"/>
        <w:gridCol w:w="939"/>
        <w:gridCol w:w="1214"/>
        <w:gridCol w:w="907"/>
        <w:gridCol w:w="270"/>
        <w:gridCol w:w="22"/>
        <w:gridCol w:w="214"/>
        <w:gridCol w:w="900"/>
        <w:gridCol w:w="18"/>
        <w:gridCol w:w="1096"/>
        <w:gridCol w:w="76"/>
        <w:gridCol w:w="948"/>
        <w:gridCol w:w="225"/>
        <w:gridCol w:w="13"/>
      </w:tblGrid>
      <w:tr w:rsidR="000D58D0" w:rsidRPr="002942E7" w14:paraId="515E6B02" w14:textId="77777777" w:rsidTr="000D58D0">
        <w:trPr>
          <w:trHeight w:val="316"/>
          <w:tblHeader/>
          <w:jc w:val="center"/>
        </w:trPr>
        <w:tc>
          <w:tcPr>
            <w:tcW w:w="2164" w:type="dxa"/>
            <w:tcBorders>
              <w:top w:val="nil"/>
              <w:left w:val="nil"/>
              <w:bottom w:val="nil"/>
              <w:right w:val="nil"/>
            </w:tcBorders>
            <w:shd w:val="clear" w:color="auto" w:fill="auto"/>
            <w:noWrap/>
            <w:vAlign w:val="bottom"/>
            <w:hideMark/>
          </w:tcPr>
          <w:p w14:paraId="35764CEF" w14:textId="77777777" w:rsidR="000D58D0" w:rsidRPr="002942E7" w:rsidRDefault="000D58D0" w:rsidP="007B5BB3">
            <w:pPr>
              <w:rPr>
                <w:rFonts w:ascii="Times New Roman" w:eastAsia="Times New Roman" w:hAnsi="Times New Roman" w:cs="Times New Roman"/>
                <w:sz w:val="24"/>
                <w:szCs w:val="24"/>
              </w:rPr>
            </w:pPr>
          </w:p>
        </w:tc>
        <w:tc>
          <w:tcPr>
            <w:tcW w:w="266" w:type="dxa"/>
            <w:tcBorders>
              <w:top w:val="nil"/>
              <w:left w:val="nil"/>
              <w:bottom w:val="single" w:sz="4" w:space="0" w:color="auto"/>
              <w:right w:val="nil"/>
            </w:tcBorders>
            <w:shd w:val="clear" w:color="auto" w:fill="auto"/>
            <w:noWrap/>
            <w:vAlign w:val="bottom"/>
            <w:hideMark/>
          </w:tcPr>
          <w:p w14:paraId="18AFA45F" w14:textId="0C98459B" w:rsidR="000D58D0" w:rsidRPr="002942E7" w:rsidRDefault="000D58D0" w:rsidP="007B5BB3">
            <w:pPr>
              <w:jc w:val="center"/>
              <w:rPr>
                <w:rFonts w:ascii="Calibri" w:eastAsia="Times New Roman" w:hAnsi="Calibri" w:cs="Calibri"/>
                <w:b/>
                <w:bCs/>
                <w:color w:val="0D0D0D"/>
              </w:rPr>
            </w:pPr>
          </w:p>
        </w:tc>
        <w:tc>
          <w:tcPr>
            <w:tcW w:w="3060" w:type="dxa"/>
            <w:gridSpan w:val="3"/>
            <w:tcBorders>
              <w:top w:val="nil"/>
              <w:left w:val="nil"/>
              <w:bottom w:val="single" w:sz="4" w:space="0" w:color="auto"/>
              <w:right w:val="nil"/>
            </w:tcBorders>
            <w:shd w:val="clear" w:color="auto" w:fill="auto"/>
            <w:vAlign w:val="bottom"/>
          </w:tcPr>
          <w:p w14:paraId="25418749" w14:textId="48B302D5" w:rsidR="000D58D0" w:rsidRPr="002942E7" w:rsidRDefault="000D58D0" w:rsidP="007B5BB3">
            <w:pPr>
              <w:jc w:val="center"/>
              <w:rPr>
                <w:rFonts w:ascii="Calibri" w:eastAsia="Times New Roman" w:hAnsi="Calibri" w:cs="Calibri"/>
                <w:b/>
                <w:bCs/>
                <w:color w:val="0D0D0D"/>
              </w:rPr>
            </w:pPr>
            <w:r w:rsidRPr="002942E7">
              <w:rPr>
                <w:rFonts w:ascii="Calibri" w:eastAsia="Times New Roman" w:hAnsi="Calibri" w:cs="Calibri"/>
                <w:b/>
                <w:bCs/>
                <w:color w:val="0D0D0D"/>
              </w:rPr>
              <w:t>June 30, 202</w:t>
            </w:r>
            <w:r>
              <w:rPr>
                <w:rFonts w:ascii="Calibri" w:eastAsia="Times New Roman" w:hAnsi="Calibri" w:cs="Calibri"/>
                <w:b/>
                <w:bCs/>
                <w:color w:val="0D0D0D"/>
              </w:rPr>
              <w:t>2</w:t>
            </w:r>
          </w:p>
        </w:tc>
        <w:tc>
          <w:tcPr>
            <w:tcW w:w="270" w:type="dxa"/>
            <w:tcBorders>
              <w:top w:val="nil"/>
              <w:left w:val="nil"/>
              <w:bottom w:val="single" w:sz="4" w:space="0" w:color="auto"/>
              <w:right w:val="nil"/>
            </w:tcBorders>
            <w:shd w:val="clear" w:color="auto" w:fill="auto"/>
            <w:vAlign w:val="bottom"/>
          </w:tcPr>
          <w:p w14:paraId="16722EEA" w14:textId="6C306C17" w:rsidR="000D58D0" w:rsidRPr="002942E7" w:rsidRDefault="000D58D0" w:rsidP="007B5BB3">
            <w:pPr>
              <w:jc w:val="center"/>
              <w:rPr>
                <w:rFonts w:ascii="Calibri" w:eastAsia="Times New Roman" w:hAnsi="Calibri" w:cs="Calibri"/>
                <w:b/>
                <w:bCs/>
                <w:color w:val="0D0D0D"/>
              </w:rPr>
            </w:pPr>
          </w:p>
        </w:tc>
        <w:tc>
          <w:tcPr>
            <w:tcW w:w="236" w:type="dxa"/>
            <w:gridSpan w:val="2"/>
            <w:tcBorders>
              <w:top w:val="nil"/>
              <w:left w:val="nil"/>
              <w:bottom w:val="single" w:sz="4" w:space="0" w:color="auto"/>
              <w:right w:val="nil"/>
            </w:tcBorders>
            <w:shd w:val="clear" w:color="auto" w:fill="D9D9D9" w:themeFill="background1" w:themeFillShade="D9"/>
            <w:noWrap/>
            <w:vAlign w:val="bottom"/>
            <w:hideMark/>
          </w:tcPr>
          <w:p w14:paraId="607B629E" w14:textId="5D1B126C" w:rsidR="000D58D0" w:rsidRPr="002942E7" w:rsidRDefault="000D58D0" w:rsidP="007B5BB3">
            <w:pPr>
              <w:jc w:val="center"/>
              <w:rPr>
                <w:rFonts w:ascii="Calibri" w:eastAsia="Times New Roman" w:hAnsi="Calibri" w:cs="Calibri"/>
                <w:b/>
                <w:bCs/>
                <w:color w:val="0D0D0D"/>
              </w:rPr>
            </w:pPr>
          </w:p>
        </w:tc>
        <w:tc>
          <w:tcPr>
            <w:tcW w:w="3038" w:type="dxa"/>
            <w:gridSpan w:val="5"/>
            <w:tcBorders>
              <w:top w:val="nil"/>
              <w:left w:val="nil"/>
              <w:bottom w:val="single" w:sz="4" w:space="0" w:color="auto"/>
              <w:right w:val="nil"/>
            </w:tcBorders>
            <w:shd w:val="clear" w:color="auto" w:fill="D9D9D9" w:themeFill="background1" w:themeFillShade="D9"/>
            <w:vAlign w:val="bottom"/>
          </w:tcPr>
          <w:p w14:paraId="788336AA" w14:textId="729EADF8" w:rsidR="000D58D0" w:rsidRPr="002942E7" w:rsidRDefault="000D58D0" w:rsidP="007B5BB3">
            <w:pPr>
              <w:jc w:val="center"/>
              <w:rPr>
                <w:rFonts w:ascii="Calibri" w:eastAsia="Times New Roman" w:hAnsi="Calibri" w:cs="Calibri"/>
                <w:b/>
                <w:bCs/>
                <w:color w:val="0D0D0D"/>
              </w:rPr>
            </w:pPr>
            <w:r w:rsidRPr="002942E7">
              <w:rPr>
                <w:rFonts w:ascii="Calibri" w:eastAsia="Times New Roman" w:hAnsi="Calibri" w:cs="Calibri"/>
                <w:b/>
                <w:bCs/>
                <w:color w:val="0D0D0D"/>
              </w:rPr>
              <w:t>June 30, 20</w:t>
            </w:r>
            <w:r>
              <w:rPr>
                <w:rFonts w:ascii="Calibri" w:eastAsia="Times New Roman" w:hAnsi="Calibri" w:cs="Calibri"/>
                <w:b/>
                <w:bCs/>
                <w:color w:val="0D0D0D"/>
              </w:rPr>
              <w:t>21</w:t>
            </w:r>
          </w:p>
        </w:tc>
        <w:tc>
          <w:tcPr>
            <w:tcW w:w="238" w:type="dxa"/>
            <w:gridSpan w:val="2"/>
            <w:tcBorders>
              <w:top w:val="nil"/>
              <w:left w:val="nil"/>
              <w:bottom w:val="single" w:sz="4" w:space="0" w:color="auto"/>
              <w:right w:val="nil"/>
            </w:tcBorders>
            <w:shd w:val="clear" w:color="auto" w:fill="D9D9D9" w:themeFill="background1" w:themeFillShade="D9"/>
            <w:vAlign w:val="bottom"/>
          </w:tcPr>
          <w:p w14:paraId="357E826D" w14:textId="5C7A722F" w:rsidR="000D58D0" w:rsidRPr="002942E7" w:rsidRDefault="000D58D0" w:rsidP="007B5BB3">
            <w:pPr>
              <w:jc w:val="center"/>
              <w:rPr>
                <w:rFonts w:ascii="Calibri" w:eastAsia="Times New Roman" w:hAnsi="Calibri" w:cs="Calibri"/>
                <w:b/>
                <w:bCs/>
                <w:color w:val="0D0D0D"/>
              </w:rPr>
            </w:pPr>
          </w:p>
        </w:tc>
      </w:tr>
      <w:tr w:rsidR="00721CFD" w:rsidRPr="008C14BF" w14:paraId="28AE998E" w14:textId="77777777" w:rsidTr="000D58D0">
        <w:trPr>
          <w:gridAfter w:val="1"/>
          <w:wAfter w:w="13" w:type="dxa"/>
          <w:trHeight w:val="854"/>
          <w:tblHeader/>
          <w:jc w:val="center"/>
        </w:trPr>
        <w:tc>
          <w:tcPr>
            <w:tcW w:w="2164" w:type="dxa"/>
            <w:tcBorders>
              <w:top w:val="nil"/>
              <w:left w:val="nil"/>
              <w:bottom w:val="nil"/>
              <w:right w:val="nil"/>
            </w:tcBorders>
            <w:shd w:val="clear" w:color="000000" w:fill="FFFFFF"/>
            <w:noWrap/>
            <w:vAlign w:val="bottom"/>
            <w:hideMark/>
          </w:tcPr>
          <w:p w14:paraId="2E3C1CA5" w14:textId="77777777" w:rsidR="00721CFD" w:rsidRPr="002942E7" w:rsidRDefault="00721CFD" w:rsidP="007B5BB3">
            <w:pPr>
              <w:rPr>
                <w:rFonts w:ascii="Calibri" w:eastAsia="Times New Roman" w:hAnsi="Calibri" w:cs="Calibri"/>
                <w:b/>
                <w:bCs/>
                <w:color w:val="0D0D0D"/>
              </w:rPr>
            </w:pPr>
            <w:r w:rsidRPr="002942E7">
              <w:rPr>
                <w:rFonts w:ascii="Calibri" w:eastAsia="Times New Roman" w:hAnsi="Calibri" w:cs="Calibri"/>
                <w:b/>
                <w:bCs/>
                <w:color w:val="0D0D0D"/>
              </w:rPr>
              <w:t> </w:t>
            </w:r>
          </w:p>
        </w:tc>
        <w:tc>
          <w:tcPr>
            <w:tcW w:w="1205" w:type="dxa"/>
            <w:gridSpan w:val="2"/>
            <w:tcBorders>
              <w:top w:val="nil"/>
              <w:left w:val="nil"/>
              <w:bottom w:val="nil"/>
              <w:right w:val="nil"/>
            </w:tcBorders>
            <w:shd w:val="clear" w:color="000000" w:fill="FFFFFF"/>
            <w:vAlign w:val="bottom"/>
            <w:hideMark/>
          </w:tcPr>
          <w:p w14:paraId="5323B584" w14:textId="77777777" w:rsidR="00721CFD" w:rsidRDefault="00721CFD" w:rsidP="007B5BB3">
            <w:pPr>
              <w:jc w:val="center"/>
              <w:rPr>
                <w:rFonts w:ascii="Calibri" w:hAnsi="Calibri" w:cs="Calibri"/>
                <w:bCs/>
              </w:rPr>
            </w:pPr>
            <w:r w:rsidRPr="00806680">
              <w:rPr>
                <w:rFonts w:ascii="Calibri" w:hAnsi="Calibri" w:cs="Calibri"/>
                <w:bCs/>
              </w:rPr>
              <w:t>1%</w:t>
            </w:r>
          </w:p>
          <w:p w14:paraId="1BF75F0C" w14:textId="77777777" w:rsidR="00721CFD" w:rsidRPr="00806680" w:rsidRDefault="00721CFD" w:rsidP="007B5BB3">
            <w:pPr>
              <w:jc w:val="center"/>
              <w:rPr>
                <w:rFonts w:ascii="Calibri" w:eastAsia="Times New Roman" w:hAnsi="Calibri" w:cs="Calibri"/>
                <w:bCs/>
                <w:color w:val="0D0D0D"/>
              </w:rPr>
            </w:pPr>
            <w:r w:rsidRPr="00806680">
              <w:rPr>
                <w:rFonts w:ascii="Calibri" w:hAnsi="Calibri" w:cs="Calibri"/>
                <w:bCs/>
              </w:rPr>
              <w:t>Decrease</w:t>
            </w:r>
          </w:p>
        </w:tc>
        <w:tc>
          <w:tcPr>
            <w:tcW w:w="1214" w:type="dxa"/>
            <w:tcBorders>
              <w:top w:val="nil"/>
              <w:left w:val="nil"/>
              <w:bottom w:val="nil"/>
              <w:right w:val="nil"/>
            </w:tcBorders>
            <w:shd w:val="clear" w:color="000000" w:fill="FFFFFF"/>
            <w:vAlign w:val="bottom"/>
            <w:hideMark/>
          </w:tcPr>
          <w:p w14:paraId="7C061DE2" w14:textId="77777777" w:rsidR="00721CFD" w:rsidRPr="00806680" w:rsidRDefault="00721CFD" w:rsidP="007B5BB3">
            <w:pPr>
              <w:jc w:val="center"/>
              <w:rPr>
                <w:rFonts w:ascii="Calibri" w:hAnsi="Calibri" w:cs="Calibri"/>
                <w:bCs/>
              </w:rPr>
            </w:pPr>
            <w:r w:rsidRPr="00806680">
              <w:rPr>
                <w:rFonts w:ascii="Calibri" w:hAnsi="Calibri" w:cs="Calibri"/>
                <w:bCs/>
              </w:rPr>
              <w:t xml:space="preserve">Current Discount </w:t>
            </w:r>
            <w:r w:rsidRPr="00806680">
              <w:rPr>
                <w:rFonts w:ascii="Calibri" w:hAnsi="Calibri" w:cs="Calibri"/>
                <w:bCs/>
              </w:rPr>
              <w:br/>
              <w:t>Rate</w:t>
            </w:r>
          </w:p>
        </w:tc>
        <w:tc>
          <w:tcPr>
            <w:tcW w:w="1199" w:type="dxa"/>
            <w:gridSpan w:val="3"/>
            <w:tcBorders>
              <w:top w:val="nil"/>
              <w:left w:val="nil"/>
              <w:bottom w:val="nil"/>
              <w:right w:val="nil"/>
            </w:tcBorders>
            <w:shd w:val="clear" w:color="000000" w:fill="FFFFFF"/>
            <w:vAlign w:val="bottom"/>
            <w:hideMark/>
          </w:tcPr>
          <w:p w14:paraId="11B54EBB" w14:textId="77777777" w:rsidR="00721CFD" w:rsidRDefault="00721CFD" w:rsidP="007B5BB3">
            <w:pPr>
              <w:jc w:val="center"/>
              <w:rPr>
                <w:rFonts w:ascii="Calibri" w:hAnsi="Calibri" w:cs="Calibri"/>
                <w:bCs/>
              </w:rPr>
            </w:pPr>
            <w:r w:rsidRPr="00806680">
              <w:rPr>
                <w:rFonts w:ascii="Calibri" w:hAnsi="Calibri" w:cs="Calibri"/>
                <w:bCs/>
              </w:rPr>
              <w:t xml:space="preserve">1% </w:t>
            </w:r>
          </w:p>
          <w:p w14:paraId="739A1780" w14:textId="77777777" w:rsidR="00721CFD" w:rsidRPr="00806680" w:rsidRDefault="00721CFD" w:rsidP="007B5BB3">
            <w:pPr>
              <w:jc w:val="center"/>
              <w:rPr>
                <w:rFonts w:ascii="Calibri" w:eastAsia="Times New Roman" w:hAnsi="Calibri" w:cs="Calibri"/>
                <w:bCs/>
                <w:color w:val="0D0D0D"/>
              </w:rPr>
            </w:pPr>
            <w:r w:rsidRPr="00806680">
              <w:rPr>
                <w:rFonts w:ascii="Calibri" w:hAnsi="Calibri" w:cs="Calibri"/>
                <w:bCs/>
              </w:rPr>
              <w:t>Increase</w:t>
            </w:r>
          </w:p>
        </w:tc>
        <w:tc>
          <w:tcPr>
            <w:tcW w:w="1114" w:type="dxa"/>
            <w:gridSpan w:val="2"/>
            <w:tcBorders>
              <w:top w:val="nil"/>
              <w:left w:val="nil"/>
              <w:bottom w:val="nil"/>
              <w:right w:val="nil"/>
            </w:tcBorders>
            <w:shd w:val="clear" w:color="auto" w:fill="D9D9D9" w:themeFill="background1" w:themeFillShade="D9"/>
            <w:vAlign w:val="bottom"/>
            <w:hideMark/>
          </w:tcPr>
          <w:p w14:paraId="798472D9" w14:textId="77777777" w:rsidR="00721CFD" w:rsidRPr="00806680" w:rsidRDefault="00721CFD" w:rsidP="007B5BB3">
            <w:pPr>
              <w:jc w:val="center"/>
              <w:rPr>
                <w:rFonts w:ascii="Calibri" w:eastAsia="Times New Roman" w:hAnsi="Calibri" w:cs="Calibri"/>
                <w:bCs/>
                <w:color w:val="0D0D0D"/>
              </w:rPr>
            </w:pPr>
            <w:r w:rsidRPr="00806680">
              <w:rPr>
                <w:rFonts w:ascii="Calibri" w:eastAsia="Times New Roman" w:hAnsi="Calibri" w:cs="Calibri"/>
                <w:bCs/>
                <w:color w:val="0D0D0D"/>
              </w:rPr>
              <w:t>1% Decrease</w:t>
            </w:r>
          </w:p>
        </w:tc>
        <w:tc>
          <w:tcPr>
            <w:tcW w:w="1114" w:type="dxa"/>
            <w:gridSpan w:val="2"/>
            <w:tcBorders>
              <w:top w:val="nil"/>
              <w:left w:val="nil"/>
              <w:bottom w:val="nil"/>
              <w:right w:val="nil"/>
            </w:tcBorders>
            <w:shd w:val="clear" w:color="auto" w:fill="D9D9D9" w:themeFill="background1" w:themeFillShade="D9"/>
            <w:vAlign w:val="bottom"/>
            <w:hideMark/>
          </w:tcPr>
          <w:p w14:paraId="6936D7A8" w14:textId="77777777" w:rsidR="00721CFD" w:rsidRPr="00806680" w:rsidRDefault="00721CFD" w:rsidP="007B5BB3">
            <w:pPr>
              <w:jc w:val="center"/>
              <w:rPr>
                <w:rFonts w:ascii="Calibri" w:eastAsia="Times New Roman" w:hAnsi="Calibri" w:cs="Calibri"/>
                <w:bCs/>
                <w:color w:val="0D0D0D"/>
              </w:rPr>
            </w:pPr>
            <w:r w:rsidRPr="00806680">
              <w:rPr>
                <w:rFonts w:ascii="Calibri" w:eastAsia="Times New Roman" w:hAnsi="Calibri" w:cs="Calibri"/>
                <w:bCs/>
                <w:color w:val="0D0D0D"/>
              </w:rPr>
              <w:t xml:space="preserve">Current Discount </w:t>
            </w:r>
            <w:r w:rsidRPr="00806680">
              <w:rPr>
                <w:rFonts w:ascii="Calibri" w:eastAsia="Times New Roman" w:hAnsi="Calibri" w:cs="Calibri"/>
                <w:bCs/>
                <w:color w:val="0D0D0D"/>
              </w:rPr>
              <w:br/>
              <w:t>Rate</w:t>
            </w:r>
          </w:p>
        </w:tc>
        <w:tc>
          <w:tcPr>
            <w:tcW w:w="1249" w:type="dxa"/>
            <w:gridSpan w:val="3"/>
            <w:tcBorders>
              <w:top w:val="nil"/>
              <w:left w:val="nil"/>
              <w:bottom w:val="nil"/>
              <w:right w:val="nil"/>
            </w:tcBorders>
            <w:shd w:val="clear" w:color="auto" w:fill="D9D9D9" w:themeFill="background1" w:themeFillShade="D9"/>
            <w:vAlign w:val="bottom"/>
            <w:hideMark/>
          </w:tcPr>
          <w:p w14:paraId="77FC265D" w14:textId="77777777" w:rsidR="00721CFD" w:rsidRPr="00806680" w:rsidRDefault="00721CFD" w:rsidP="007B5BB3">
            <w:pPr>
              <w:jc w:val="center"/>
              <w:rPr>
                <w:rFonts w:ascii="Calibri" w:eastAsia="Times New Roman" w:hAnsi="Calibri" w:cs="Calibri"/>
                <w:bCs/>
                <w:color w:val="0D0D0D"/>
              </w:rPr>
            </w:pPr>
            <w:r w:rsidRPr="00806680">
              <w:rPr>
                <w:rFonts w:ascii="Calibri" w:eastAsia="Times New Roman" w:hAnsi="Calibri" w:cs="Calibri"/>
                <w:bCs/>
                <w:color w:val="0D0D0D"/>
              </w:rPr>
              <w:t>1%</w:t>
            </w:r>
          </w:p>
          <w:p w14:paraId="1F58B1ED" w14:textId="77777777" w:rsidR="00721CFD" w:rsidRPr="00806680" w:rsidRDefault="00721CFD" w:rsidP="007B5BB3">
            <w:pPr>
              <w:jc w:val="center"/>
              <w:rPr>
                <w:rFonts w:ascii="Calibri" w:eastAsia="Times New Roman" w:hAnsi="Calibri" w:cs="Calibri"/>
                <w:bCs/>
                <w:color w:val="0D0D0D"/>
              </w:rPr>
            </w:pPr>
            <w:r w:rsidRPr="00806680">
              <w:rPr>
                <w:rFonts w:ascii="Calibri" w:eastAsia="Times New Roman" w:hAnsi="Calibri" w:cs="Calibri"/>
                <w:bCs/>
                <w:color w:val="0D0D0D"/>
              </w:rPr>
              <w:t>Increase</w:t>
            </w:r>
          </w:p>
        </w:tc>
      </w:tr>
      <w:tr w:rsidR="00721CFD" w:rsidRPr="00806680" w14:paraId="29EB580C" w14:textId="77777777" w:rsidTr="000D58D0">
        <w:trPr>
          <w:gridAfter w:val="1"/>
          <w:wAfter w:w="13" w:type="dxa"/>
          <w:trHeight w:val="177"/>
          <w:tblHeader/>
          <w:jc w:val="center"/>
        </w:trPr>
        <w:tc>
          <w:tcPr>
            <w:tcW w:w="2164" w:type="dxa"/>
            <w:tcBorders>
              <w:top w:val="nil"/>
              <w:left w:val="nil"/>
              <w:bottom w:val="nil"/>
              <w:right w:val="nil"/>
            </w:tcBorders>
            <w:shd w:val="clear" w:color="000000" w:fill="FFFFFF"/>
            <w:noWrap/>
            <w:vAlign w:val="bottom"/>
          </w:tcPr>
          <w:p w14:paraId="4D45A8DD" w14:textId="77777777" w:rsidR="00721CFD" w:rsidRPr="002942E7" w:rsidRDefault="00721CFD" w:rsidP="007B5BB3">
            <w:pPr>
              <w:rPr>
                <w:rFonts w:ascii="Calibri" w:eastAsia="Times New Roman" w:hAnsi="Calibri" w:cs="Calibri"/>
                <w:b/>
                <w:bCs/>
                <w:color w:val="0D0D0D"/>
              </w:rPr>
            </w:pPr>
          </w:p>
        </w:tc>
        <w:tc>
          <w:tcPr>
            <w:tcW w:w="1205" w:type="dxa"/>
            <w:gridSpan w:val="2"/>
            <w:tcBorders>
              <w:top w:val="nil"/>
              <w:left w:val="nil"/>
              <w:bottom w:val="nil"/>
              <w:right w:val="nil"/>
            </w:tcBorders>
            <w:shd w:val="clear" w:color="000000" w:fill="FFFFFF"/>
            <w:vAlign w:val="bottom"/>
          </w:tcPr>
          <w:p w14:paraId="046BFCAE" w14:textId="77777777" w:rsidR="00721CFD" w:rsidRPr="001C6BA8" w:rsidRDefault="00721CFD" w:rsidP="007B5BB3">
            <w:pPr>
              <w:jc w:val="center"/>
              <w:rPr>
                <w:rFonts w:ascii="Calibri" w:hAnsi="Calibri" w:cs="Calibri"/>
                <w:bCs/>
              </w:rPr>
            </w:pPr>
            <w:r w:rsidRPr="001C6BA8">
              <w:rPr>
                <w:rFonts w:ascii="Calibri" w:hAnsi="Calibri" w:cs="Calibri"/>
                <w:bCs/>
              </w:rPr>
              <w:t>(</w:t>
            </w:r>
            <w:r w:rsidRPr="006C7397">
              <w:rPr>
                <w:rFonts w:ascii="Calibri" w:hAnsi="Calibri" w:cs="Calibri"/>
                <w:bCs/>
              </w:rPr>
              <w:t>2.54%)</w:t>
            </w:r>
          </w:p>
        </w:tc>
        <w:tc>
          <w:tcPr>
            <w:tcW w:w="1214" w:type="dxa"/>
            <w:tcBorders>
              <w:top w:val="nil"/>
              <w:left w:val="nil"/>
              <w:bottom w:val="nil"/>
              <w:right w:val="nil"/>
            </w:tcBorders>
            <w:shd w:val="clear" w:color="000000" w:fill="FFFFFF"/>
            <w:vAlign w:val="bottom"/>
          </w:tcPr>
          <w:p w14:paraId="3DC9633F" w14:textId="77777777" w:rsidR="00721CFD" w:rsidRPr="001C6BA8" w:rsidRDefault="00721CFD" w:rsidP="007B5BB3">
            <w:pPr>
              <w:jc w:val="center"/>
              <w:rPr>
                <w:rFonts w:ascii="Calibri" w:hAnsi="Calibri" w:cs="Calibri"/>
                <w:bCs/>
              </w:rPr>
            </w:pPr>
            <w:r w:rsidRPr="001C6BA8">
              <w:rPr>
                <w:rFonts w:ascii="Calibri" w:hAnsi="Calibri" w:cs="Calibri"/>
                <w:bCs/>
              </w:rPr>
              <w:t>(</w:t>
            </w:r>
            <w:r w:rsidRPr="006C7397">
              <w:rPr>
                <w:rFonts w:ascii="Calibri" w:hAnsi="Calibri" w:cs="Calibri"/>
                <w:bCs/>
              </w:rPr>
              <w:t>3.54%)</w:t>
            </w:r>
          </w:p>
        </w:tc>
        <w:tc>
          <w:tcPr>
            <w:tcW w:w="1199" w:type="dxa"/>
            <w:gridSpan w:val="3"/>
            <w:tcBorders>
              <w:top w:val="nil"/>
              <w:left w:val="nil"/>
              <w:bottom w:val="nil"/>
              <w:right w:val="nil"/>
            </w:tcBorders>
            <w:shd w:val="clear" w:color="000000" w:fill="FFFFFF"/>
            <w:vAlign w:val="bottom"/>
          </w:tcPr>
          <w:p w14:paraId="71F13F07" w14:textId="77777777" w:rsidR="00721CFD" w:rsidRPr="001C6BA8" w:rsidRDefault="00721CFD" w:rsidP="007B5BB3">
            <w:pPr>
              <w:jc w:val="center"/>
              <w:rPr>
                <w:rFonts w:ascii="Calibri" w:hAnsi="Calibri" w:cs="Calibri"/>
                <w:bCs/>
              </w:rPr>
            </w:pPr>
            <w:r w:rsidRPr="001C6BA8">
              <w:rPr>
                <w:rFonts w:ascii="Calibri" w:hAnsi="Calibri" w:cs="Calibri"/>
                <w:bCs/>
              </w:rPr>
              <w:t>(</w:t>
            </w:r>
            <w:r w:rsidRPr="006C7397">
              <w:rPr>
                <w:rFonts w:ascii="Calibri" w:hAnsi="Calibri" w:cs="Calibri"/>
                <w:bCs/>
              </w:rPr>
              <w:t>4.54</w:t>
            </w:r>
            <w:r w:rsidRPr="001C6BA8">
              <w:rPr>
                <w:rFonts w:ascii="Calibri" w:hAnsi="Calibri" w:cs="Calibri"/>
                <w:bCs/>
              </w:rPr>
              <w:t>%)</w:t>
            </w:r>
          </w:p>
        </w:tc>
        <w:tc>
          <w:tcPr>
            <w:tcW w:w="1114" w:type="dxa"/>
            <w:gridSpan w:val="2"/>
            <w:tcBorders>
              <w:top w:val="nil"/>
              <w:left w:val="nil"/>
              <w:bottom w:val="nil"/>
              <w:right w:val="nil"/>
            </w:tcBorders>
            <w:shd w:val="clear" w:color="auto" w:fill="D9D9D9" w:themeFill="background1" w:themeFillShade="D9"/>
            <w:vAlign w:val="bottom"/>
          </w:tcPr>
          <w:p w14:paraId="4F0BD2E6" w14:textId="77777777" w:rsidR="00721CFD" w:rsidRPr="00806680" w:rsidRDefault="00721CFD" w:rsidP="007B5BB3">
            <w:pPr>
              <w:jc w:val="center"/>
              <w:rPr>
                <w:rFonts w:ascii="Calibri" w:eastAsia="Times New Roman" w:hAnsi="Calibri" w:cs="Calibri"/>
                <w:bCs/>
                <w:color w:val="0D0D0D"/>
              </w:rPr>
            </w:pPr>
            <w:r w:rsidRPr="00806680">
              <w:rPr>
                <w:rFonts w:ascii="Calibri" w:hAnsi="Calibri" w:cs="Calibri"/>
                <w:bCs/>
              </w:rPr>
              <w:t>(1.16%)</w:t>
            </w:r>
          </w:p>
        </w:tc>
        <w:tc>
          <w:tcPr>
            <w:tcW w:w="1114" w:type="dxa"/>
            <w:gridSpan w:val="2"/>
            <w:tcBorders>
              <w:top w:val="nil"/>
              <w:left w:val="nil"/>
              <w:bottom w:val="nil"/>
              <w:right w:val="nil"/>
            </w:tcBorders>
            <w:shd w:val="clear" w:color="auto" w:fill="D9D9D9" w:themeFill="background1" w:themeFillShade="D9"/>
            <w:vAlign w:val="bottom"/>
          </w:tcPr>
          <w:p w14:paraId="13A69600" w14:textId="77777777" w:rsidR="00721CFD" w:rsidRPr="00806680" w:rsidRDefault="00721CFD" w:rsidP="007B5BB3">
            <w:pPr>
              <w:jc w:val="center"/>
              <w:rPr>
                <w:rFonts w:ascii="Calibri" w:eastAsia="Times New Roman" w:hAnsi="Calibri" w:cs="Calibri"/>
                <w:bCs/>
                <w:color w:val="0D0D0D"/>
              </w:rPr>
            </w:pPr>
            <w:r w:rsidRPr="00806680">
              <w:rPr>
                <w:rFonts w:ascii="Calibri" w:hAnsi="Calibri" w:cs="Calibri"/>
                <w:bCs/>
              </w:rPr>
              <w:t>(2.16%)</w:t>
            </w:r>
          </w:p>
        </w:tc>
        <w:tc>
          <w:tcPr>
            <w:tcW w:w="1249" w:type="dxa"/>
            <w:gridSpan w:val="3"/>
            <w:tcBorders>
              <w:top w:val="nil"/>
              <w:left w:val="nil"/>
              <w:bottom w:val="nil"/>
              <w:right w:val="nil"/>
            </w:tcBorders>
            <w:shd w:val="clear" w:color="auto" w:fill="D9D9D9" w:themeFill="background1" w:themeFillShade="D9"/>
            <w:vAlign w:val="bottom"/>
          </w:tcPr>
          <w:p w14:paraId="78D54CAC" w14:textId="77777777" w:rsidR="00721CFD" w:rsidRPr="00806680" w:rsidRDefault="00721CFD" w:rsidP="007B5BB3">
            <w:pPr>
              <w:jc w:val="center"/>
              <w:rPr>
                <w:rFonts w:ascii="Calibri" w:eastAsia="Times New Roman" w:hAnsi="Calibri" w:cs="Calibri"/>
                <w:bCs/>
                <w:color w:val="0D0D0D"/>
              </w:rPr>
            </w:pPr>
            <w:r w:rsidRPr="00806680">
              <w:rPr>
                <w:rFonts w:ascii="Calibri" w:hAnsi="Calibri" w:cs="Calibri"/>
                <w:bCs/>
              </w:rPr>
              <w:t>(3.16%</w:t>
            </w:r>
            <w:r>
              <w:rPr>
                <w:rFonts w:ascii="Calibri" w:hAnsi="Calibri" w:cs="Calibri"/>
                <w:bCs/>
              </w:rPr>
              <w:t>)</w:t>
            </w:r>
          </w:p>
        </w:tc>
      </w:tr>
      <w:tr w:rsidR="00721CFD" w:rsidRPr="002942E7" w14:paraId="53B1621D" w14:textId="77777777" w:rsidTr="000D58D0">
        <w:trPr>
          <w:gridAfter w:val="1"/>
          <w:wAfter w:w="13" w:type="dxa"/>
          <w:trHeight w:val="451"/>
          <w:jc w:val="center"/>
        </w:trPr>
        <w:tc>
          <w:tcPr>
            <w:tcW w:w="2164" w:type="dxa"/>
            <w:tcBorders>
              <w:top w:val="single" w:sz="12" w:space="0" w:color="00688D"/>
              <w:left w:val="nil"/>
              <w:bottom w:val="double" w:sz="6" w:space="0" w:color="00688D"/>
              <w:right w:val="nil"/>
            </w:tcBorders>
            <w:shd w:val="clear" w:color="000000" w:fill="FFFFFF"/>
            <w:noWrap/>
            <w:vAlign w:val="bottom"/>
            <w:hideMark/>
          </w:tcPr>
          <w:p w14:paraId="449D9E0C"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 xml:space="preserve">Total </w:t>
            </w:r>
            <w:r>
              <w:rPr>
                <w:rFonts w:ascii="Calibri" w:eastAsia="Times New Roman" w:hAnsi="Calibri" w:cs="Calibri"/>
                <w:color w:val="0D0D0D"/>
              </w:rPr>
              <w:t>p</w:t>
            </w:r>
            <w:r w:rsidRPr="002942E7">
              <w:rPr>
                <w:rFonts w:ascii="Calibri" w:eastAsia="Times New Roman" w:hAnsi="Calibri" w:cs="Calibri"/>
                <w:color w:val="0D0D0D"/>
              </w:rPr>
              <w:t xml:space="preserve">ension </w:t>
            </w:r>
            <w:r>
              <w:rPr>
                <w:rFonts w:ascii="Calibri" w:eastAsia="Times New Roman" w:hAnsi="Calibri" w:cs="Calibri"/>
                <w:color w:val="0D0D0D"/>
              </w:rPr>
              <w:t>l</w:t>
            </w:r>
            <w:r w:rsidRPr="002942E7">
              <w:rPr>
                <w:rFonts w:ascii="Calibri" w:eastAsia="Times New Roman" w:hAnsi="Calibri" w:cs="Calibri"/>
                <w:color w:val="0D0D0D"/>
              </w:rPr>
              <w:t>iability</w:t>
            </w:r>
          </w:p>
        </w:tc>
        <w:tc>
          <w:tcPr>
            <w:tcW w:w="1205" w:type="dxa"/>
            <w:gridSpan w:val="2"/>
            <w:tcBorders>
              <w:top w:val="single" w:sz="12" w:space="0" w:color="00688D"/>
              <w:left w:val="nil"/>
              <w:bottom w:val="double" w:sz="6" w:space="0" w:color="00688D"/>
              <w:right w:val="nil"/>
            </w:tcBorders>
            <w:shd w:val="clear" w:color="000000" w:fill="FFFFFF"/>
            <w:noWrap/>
            <w:vAlign w:val="bottom"/>
            <w:hideMark/>
          </w:tcPr>
          <w:p w14:paraId="6DC51C75" w14:textId="49C1B85B" w:rsidR="00721CFD" w:rsidRPr="006C7397" w:rsidRDefault="00721CFD" w:rsidP="007B5BB3">
            <w:pPr>
              <w:ind w:firstLineChars="100" w:firstLine="220"/>
              <w:jc w:val="center"/>
              <w:rPr>
                <w:rFonts w:ascii="Calibri" w:eastAsia="Times New Roman" w:hAnsi="Calibri" w:cs="Calibri"/>
              </w:rPr>
            </w:pPr>
            <w:r w:rsidRPr="00263055">
              <w:rPr>
                <w:rFonts w:ascii="Calibri" w:hAnsi="Calibri" w:cs="Calibri"/>
              </w:rPr>
              <w:t>$</w:t>
            </w:r>
            <w:r w:rsidRPr="006C7397">
              <w:rPr>
                <w:rFonts w:ascii="Calibri" w:hAnsi="Calibri" w:cs="Calibri"/>
              </w:rPr>
              <w:t>19,667</w:t>
            </w:r>
          </w:p>
        </w:tc>
        <w:tc>
          <w:tcPr>
            <w:tcW w:w="1214" w:type="dxa"/>
            <w:tcBorders>
              <w:top w:val="single" w:sz="12" w:space="0" w:color="00688D"/>
              <w:left w:val="nil"/>
              <w:bottom w:val="double" w:sz="6" w:space="0" w:color="00688D"/>
              <w:right w:val="nil"/>
            </w:tcBorders>
            <w:shd w:val="clear" w:color="000000" w:fill="FFFFFF"/>
            <w:noWrap/>
            <w:vAlign w:val="bottom"/>
            <w:hideMark/>
          </w:tcPr>
          <w:p w14:paraId="3DE19623" w14:textId="0350A5FE" w:rsidR="00721CFD" w:rsidRPr="006C7397" w:rsidRDefault="00721CFD" w:rsidP="007B5BB3">
            <w:pPr>
              <w:ind w:firstLineChars="100" w:firstLine="220"/>
              <w:jc w:val="center"/>
              <w:rPr>
                <w:rFonts w:ascii="Calibri" w:eastAsia="Times New Roman" w:hAnsi="Calibri" w:cs="Calibri"/>
              </w:rPr>
            </w:pPr>
            <w:r w:rsidRPr="00263055">
              <w:rPr>
                <w:rFonts w:ascii="Calibri" w:hAnsi="Calibri" w:cs="Calibri"/>
              </w:rPr>
              <w:t>$</w:t>
            </w:r>
            <w:r w:rsidRPr="006C7397">
              <w:rPr>
                <w:rFonts w:ascii="Calibri" w:hAnsi="Calibri" w:cs="Calibri"/>
              </w:rPr>
              <w:t>19,090</w:t>
            </w:r>
          </w:p>
        </w:tc>
        <w:tc>
          <w:tcPr>
            <w:tcW w:w="1199" w:type="dxa"/>
            <w:gridSpan w:val="3"/>
            <w:tcBorders>
              <w:top w:val="single" w:sz="12" w:space="0" w:color="00688D"/>
              <w:left w:val="nil"/>
              <w:bottom w:val="double" w:sz="6" w:space="0" w:color="00688D"/>
              <w:right w:val="nil"/>
            </w:tcBorders>
            <w:shd w:val="clear" w:color="000000" w:fill="FFFFFF"/>
            <w:noWrap/>
            <w:vAlign w:val="bottom"/>
            <w:hideMark/>
          </w:tcPr>
          <w:p w14:paraId="12498A45" w14:textId="4989B14D" w:rsidR="00721CFD" w:rsidRPr="006C7397" w:rsidRDefault="00721CFD" w:rsidP="007B5BB3">
            <w:pPr>
              <w:ind w:firstLineChars="100" w:firstLine="220"/>
              <w:jc w:val="center"/>
              <w:rPr>
                <w:rFonts w:ascii="Calibri" w:eastAsia="Times New Roman" w:hAnsi="Calibri" w:cs="Calibri"/>
              </w:rPr>
            </w:pPr>
            <w:r w:rsidRPr="00263055">
              <w:rPr>
                <w:rFonts w:ascii="Calibri" w:hAnsi="Calibri" w:cs="Calibri"/>
              </w:rPr>
              <w:t>$</w:t>
            </w:r>
            <w:r w:rsidRPr="006C7397">
              <w:rPr>
                <w:rFonts w:ascii="Calibri" w:hAnsi="Calibri" w:cs="Calibri"/>
              </w:rPr>
              <w:t>18,510</w:t>
            </w:r>
          </w:p>
        </w:tc>
        <w:tc>
          <w:tcPr>
            <w:tcW w:w="1132" w:type="dxa"/>
            <w:gridSpan w:val="3"/>
            <w:tcBorders>
              <w:top w:val="single" w:sz="12" w:space="0" w:color="00688D"/>
              <w:left w:val="nil"/>
              <w:bottom w:val="double" w:sz="6" w:space="0" w:color="00688D"/>
              <w:right w:val="nil"/>
            </w:tcBorders>
            <w:shd w:val="clear" w:color="auto" w:fill="D9D9D9" w:themeFill="background1" w:themeFillShade="D9"/>
            <w:noWrap/>
            <w:vAlign w:val="bottom"/>
            <w:hideMark/>
          </w:tcPr>
          <w:p w14:paraId="2A4A2C78" w14:textId="17163205" w:rsidR="00721CFD" w:rsidRPr="002942E7" w:rsidRDefault="00721CFD" w:rsidP="002F2C2D">
            <w:pPr>
              <w:jc w:val="center"/>
              <w:rPr>
                <w:rFonts w:ascii="Calibri" w:eastAsia="Times New Roman" w:hAnsi="Calibri" w:cs="Calibri"/>
                <w:color w:val="0D0D0D"/>
              </w:rPr>
            </w:pPr>
            <w:r>
              <w:rPr>
                <w:rFonts w:ascii="Calibri" w:hAnsi="Calibri" w:cs="Calibri"/>
              </w:rPr>
              <w:t>$21,844</w:t>
            </w:r>
          </w:p>
        </w:tc>
        <w:tc>
          <w:tcPr>
            <w:tcW w:w="1172" w:type="dxa"/>
            <w:gridSpan w:val="2"/>
            <w:tcBorders>
              <w:top w:val="single" w:sz="12" w:space="0" w:color="00688D"/>
              <w:left w:val="nil"/>
              <w:bottom w:val="double" w:sz="6" w:space="0" w:color="00688D"/>
              <w:right w:val="nil"/>
            </w:tcBorders>
            <w:shd w:val="clear" w:color="auto" w:fill="D9D9D9" w:themeFill="background1" w:themeFillShade="D9"/>
            <w:noWrap/>
            <w:vAlign w:val="bottom"/>
            <w:hideMark/>
          </w:tcPr>
          <w:p w14:paraId="7A98C24B" w14:textId="02371B12" w:rsidR="00721CFD" w:rsidRPr="002942E7" w:rsidRDefault="002F2C2D" w:rsidP="007B5BB3">
            <w:pPr>
              <w:ind w:firstLineChars="100" w:firstLine="220"/>
              <w:jc w:val="center"/>
              <w:rPr>
                <w:rFonts w:ascii="Calibri" w:eastAsia="Times New Roman" w:hAnsi="Calibri" w:cs="Calibri"/>
                <w:color w:val="0D0D0D"/>
              </w:rPr>
            </w:pPr>
            <w:r>
              <w:rPr>
                <w:rFonts w:ascii="Calibri" w:hAnsi="Calibri" w:cs="Calibri"/>
              </w:rPr>
              <w:t>$</w:t>
            </w:r>
            <w:r w:rsidR="00721CFD">
              <w:rPr>
                <w:rFonts w:ascii="Calibri" w:hAnsi="Calibri" w:cs="Calibri"/>
              </w:rPr>
              <w:t>21,208</w:t>
            </w:r>
          </w:p>
        </w:tc>
        <w:tc>
          <w:tcPr>
            <w:tcW w:w="1173" w:type="dxa"/>
            <w:gridSpan w:val="2"/>
            <w:tcBorders>
              <w:top w:val="single" w:sz="12" w:space="0" w:color="00688D"/>
              <w:left w:val="nil"/>
              <w:bottom w:val="double" w:sz="6" w:space="0" w:color="00688D"/>
              <w:right w:val="nil"/>
            </w:tcBorders>
            <w:shd w:val="clear" w:color="auto" w:fill="D9D9D9" w:themeFill="background1" w:themeFillShade="D9"/>
            <w:noWrap/>
            <w:vAlign w:val="bottom"/>
            <w:hideMark/>
          </w:tcPr>
          <w:p w14:paraId="5162BB1F" w14:textId="1E9681FF" w:rsidR="00721CFD" w:rsidRPr="002942E7" w:rsidRDefault="00721CFD" w:rsidP="007B5BB3">
            <w:pPr>
              <w:ind w:firstLineChars="100" w:firstLine="220"/>
              <w:jc w:val="center"/>
              <w:rPr>
                <w:rFonts w:ascii="Calibri" w:eastAsia="Times New Roman" w:hAnsi="Calibri" w:cs="Calibri"/>
                <w:color w:val="0D0D0D"/>
              </w:rPr>
            </w:pPr>
            <w:r>
              <w:rPr>
                <w:rFonts w:ascii="Calibri" w:hAnsi="Calibri" w:cs="Calibri"/>
              </w:rPr>
              <w:t>$20,55</w:t>
            </w:r>
            <w:r w:rsidR="00873829">
              <w:rPr>
                <w:rFonts w:ascii="Calibri" w:hAnsi="Calibri" w:cs="Calibri"/>
              </w:rPr>
              <w:t>2</w:t>
            </w:r>
            <w:r>
              <w:rPr>
                <w:rFonts w:ascii="Calibri" w:hAnsi="Calibri" w:cs="Calibri"/>
              </w:rPr>
              <w:t xml:space="preserve"> </w:t>
            </w:r>
          </w:p>
        </w:tc>
      </w:tr>
    </w:tbl>
    <w:p w14:paraId="203AC338" w14:textId="77777777" w:rsidR="00111AB6" w:rsidRPr="00404A7A" w:rsidRDefault="00111AB6" w:rsidP="00404A7A">
      <w:pPr>
        <w:tabs>
          <w:tab w:val="left" w:pos="6390"/>
        </w:tabs>
        <w:rPr>
          <w:rFonts w:cstheme="minorHAnsi"/>
          <w:bCs/>
          <w:iCs/>
          <w:sz w:val="24"/>
          <w:szCs w:val="20"/>
        </w:rPr>
      </w:pPr>
    </w:p>
    <w:p w14:paraId="73350CE2" w14:textId="472D1EB7" w:rsidR="00721CFD" w:rsidRPr="00F54559" w:rsidRDefault="00721CFD" w:rsidP="002F2C2D">
      <w:pPr>
        <w:widowControl w:val="0"/>
        <w:spacing w:after="360"/>
        <w:rPr>
          <w:rFonts w:cstheme="minorHAnsi"/>
        </w:rPr>
      </w:pPr>
      <w:r w:rsidRPr="00F54559">
        <w:rPr>
          <w:rFonts w:eastAsia="Franklin Gothic Book" w:cstheme="minorHAnsi"/>
          <w:spacing w:val="1"/>
          <w:sz w:val="24"/>
        </w:rPr>
        <w:t>C</w:t>
      </w:r>
      <w:r w:rsidRPr="00F54559">
        <w:rPr>
          <w:rFonts w:eastAsia="Franklin Gothic Book" w:cstheme="minorHAnsi"/>
          <w:spacing w:val="2"/>
          <w:sz w:val="24"/>
        </w:rPr>
        <w:t>hang</w:t>
      </w:r>
      <w:r w:rsidRPr="00F54559">
        <w:rPr>
          <w:rFonts w:eastAsia="Franklin Gothic Book" w:cstheme="minorHAnsi"/>
          <w:spacing w:val="1"/>
          <w:sz w:val="24"/>
        </w:rPr>
        <w:t>e</w:t>
      </w:r>
      <w:r w:rsidRPr="00F54559">
        <w:rPr>
          <w:rFonts w:eastAsia="Franklin Gothic Book" w:cstheme="minorHAnsi"/>
          <w:sz w:val="24"/>
        </w:rPr>
        <w:t>s</w:t>
      </w:r>
      <w:r w:rsidRPr="00F54559">
        <w:rPr>
          <w:rFonts w:eastAsia="Franklin Gothic Book" w:cstheme="minorHAnsi"/>
          <w:spacing w:val="1"/>
          <w:sz w:val="24"/>
        </w:rPr>
        <w:t xml:space="preserve"> </w:t>
      </w:r>
      <w:r w:rsidRPr="00F54559">
        <w:rPr>
          <w:rFonts w:eastAsia="Franklin Gothic Book" w:cstheme="minorHAnsi"/>
          <w:spacing w:val="2"/>
          <w:sz w:val="24"/>
        </w:rPr>
        <w:t>i</w:t>
      </w:r>
      <w:r w:rsidRPr="00F54559">
        <w:rPr>
          <w:rFonts w:eastAsia="Franklin Gothic Book" w:cstheme="minorHAnsi"/>
          <w:sz w:val="24"/>
        </w:rPr>
        <w:t>n</w:t>
      </w:r>
      <w:r w:rsidRPr="00F54559">
        <w:rPr>
          <w:rFonts w:eastAsia="Franklin Gothic Book" w:cstheme="minorHAnsi"/>
          <w:spacing w:val="-1"/>
          <w:sz w:val="24"/>
        </w:rPr>
        <w:t xml:space="preserve"> </w:t>
      </w:r>
      <w:r w:rsidRPr="00F54559">
        <w:rPr>
          <w:rFonts w:eastAsia="Franklin Gothic Book" w:cstheme="minorHAnsi"/>
          <w:spacing w:val="3"/>
          <w:sz w:val="24"/>
        </w:rPr>
        <w:t>Total</w:t>
      </w:r>
      <w:r w:rsidRPr="00F54559">
        <w:rPr>
          <w:rFonts w:eastAsia="Franklin Gothic Book" w:cstheme="minorHAnsi"/>
          <w:sz w:val="24"/>
        </w:rPr>
        <w:t xml:space="preserve"> </w:t>
      </w:r>
      <w:r w:rsidRPr="00F54559">
        <w:rPr>
          <w:rFonts w:eastAsia="Franklin Gothic Book" w:cstheme="minorHAnsi"/>
          <w:spacing w:val="1"/>
          <w:sz w:val="24"/>
        </w:rPr>
        <w:t>Pe</w:t>
      </w:r>
      <w:r w:rsidRPr="00F54559">
        <w:rPr>
          <w:rFonts w:eastAsia="Franklin Gothic Book" w:cstheme="minorHAnsi"/>
          <w:spacing w:val="2"/>
          <w:sz w:val="24"/>
        </w:rPr>
        <w:t>n</w:t>
      </w:r>
      <w:r w:rsidRPr="00F54559">
        <w:rPr>
          <w:rFonts w:eastAsia="Franklin Gothic Book" w:cstheme="minorHAnsi"/>
          <w:spacing w:val="3"/>
          <w:sz w:val="24"/>
        </w:rPr>
        <w:t>s</w:t>
      </w:r>
      <w:r w:rsidRPr="00F54559">
        <w:rPr>
          <w:rFonts w:eastAsia="Franklin Gothic Book" w:cstheme="minorHAnsi"/>
          <w:spacing w:val="2"/>
          <w:sz w:val="24"/>
        </w:rPr>
        <w:t>i</w:t>
      </w:r>
      <w:r w:rsidRPr="00F54559">
        <w:rPr>
          <w:rFonts w:eastAsia="Franklin Gothic Book" w:cstheme="minorHAnsi"/>
          <w:spacing w:val="1"/>
          <w:sz w:val="24"/>
        </w:rPr>
        <w:t>o</w:t>
      </w:r>
      <w:r w:rsidRPr="00F54559">
        <w:rPr>
          <w:rFonts w:eastAsia="Franklin Gothic Book" w:cstheme="minorHAnsi"/>
          <w:sz w:val="24"/>
        </w:rPr>
        <w:t xml:space="preserve">n Liability for the </w:t>
      </w:r>
      <w:r w:rsidRPr="00F54559">
        <w:rPr>
          <w:rFonts w:eastAsia="Franklin Gothic Book" w:cstheme="minorHAnsi"/>
          <w:b/>
          <w:sz w:val="24"/>
        </w:rPr>
        <w:t>Incentive Retirement Plan</w:t>
      </w:r>
      <w:r w:rsidRPr="00F54559">
        <w:rPr>
          <w:rFonts w:eastAsia="Franklin Gothic Book" w:cstheme="minorHAnsi"/>
          <w:sz w:val="24"/>
        </w:rPr>
        <w:t>:</w:t>
      </w:r>
      <w:r>
        <w:rPr>
          <w:rFonts w:cstheme="minorHAnsi"/>
        </w:rPr>
        <w:fldChar w:fldCharType="begin"/>
      </w:r>
      <w:r>
        <w:rPr>
          <w:rFonts w:cstheme="minorHAnsi"/>
        </w:rPr>
        <w:fldChar w:fldCharType="end"/>
      </w:r>
    </w:p>
    <w:tbl>
      <w:tblPr>
        <w:tblW w:w="9125" w:type="dxa"/>
        <w:jc w:val="center"/>
        <w:tblLook w:val="04A0" w:firstRow="1" w:lastRow="0" w:firstColumn="1" w:lastColumn="0" w:noHBand="0" w:noVBand="1"/>
      </w:tblPr>
      <w:tblGrid>
        <w:gridCol w:w="6840"/>
        <w:gridCol w:w="1170"/>
        <w:gridCol w:w="1115"/>
      </w:tblGrid>
      <w:tr w:rsidR="00721CFD" w:rsidRPr="002942E7" w14:paraId="6A140D37" w14:textId="77777777" w:rsidTr="007B5BB3">
        <w:trPr>
          <w:trHeight w:val="324"/>
          <w:tblHeader/>
          <w:jc w:val="center"/>
        </w:trPr>
        <w:tc>
          <w:tcPr>
            <w:tcW w:w="6840" w:type="dxa"/>
            <w:tcBorders>
              <w:top w:val="nil"/>
              <w:left w:val="nil"/>
              <w:bottom w:val="single" w:sz="12" w:space="0" w:color="00688D"/>
              <w:right w:val="nil"/>
            </w:tcBorders>
            <w:shd w:val="clear" w:color="000000" w:fill="FFFFFF"/>
            <w:noWrap/>
            <w:vAlign w:val="bottom"/>
            <w:hideMark/>
          </w:tcPr>
          <w:p w14:paraId="553C2A1E" w14:textId="77777777" w:rsidR="00721CFD" w:rsidRPr="002942E7" w:rsidRDefault="00721CFD" w:rsidP="007B5BB3">
            <w:pPr>
              <w:rPr>
                <w:rFonts w:ascii="Calibri" w:eastAsia="Times New Roman" w:hAnsi="Calibri" w:cs="Calibri"/>
                <w:b/>
                <w:bCs/>
                <w:color w:val="0D0D0D"/>
              </w:rPr>
            </w:pPr>
            <w:r w:rsidRPr="002942E7">
              <w:rPr>
                <w:rFonts w:ascii="Calibri" w:eastAsia="Times New Roman" w:hAnsi="Calibri" w:cs="Calibri"/>
                <w:b/>
                <w:bCs/>
                <w:color w:val="0D0D0D"/>
              </w:rPr>
              <w:t>Fiscal Year Ended June 30</w:t>
            </w:r>
          </w:p>
        </w:tc>
        <w:tc>
          <w:tcPr>
            <w:tcW w:w="1170" w:type="dxa"/>
            <w:tcBorders>
              <w:top w:val="nil"/>
              <w:left w:val="nil"/>
              <w:bottom w:val="single" w:sz="12" w:space="0" w:color="00688D"/>
              <w:right w:val="nil"/>
            </w:tcBorders>
            <w:shd w:val="clear" w:color="000000" w:fill="FFFFFF"/>
            <w:noWrap/>
            <w:vAlign w:val="bottom"/>
            <w:hideMark/>
          </w:tcPr>
          <w:p w14:paraId="0028B005" w14:textId="77777777" w:rsidR="00721CFD" w:rsidRPr="002942E7" w:rsidRDefault="00721CFD" w:rsidP="007B5BB3">
            <w:pPr>
              <w:jc w:val="center"/>
              <w:rPr>
                <w:rFonts w:ascii="Calibri" w:eastAsia="Times New Roman" w:hAnsi="Calibri" w:cs="Calibri"/>
                <w:b/>
                <w:bCs/>
                <w:color w:val="0D0D0D"/>
              </w:rPr>
            </w:pPr>
            <w:r w:rsidRPr="002942E7">
              <w:rPr>
                <w:rFonts w:ascii="Calibri" w:eastAsia="Times New Roman" w:hAnsi="Calibri" w:cs="Calibri"/>
                <w:b/>
                <w:bCs/>
                <w:color w:val="0D0D0D"/>
              </w:rPr>
              <w:t>202</w:t>
            </w:r>
            <w:r>
              <w:rPr>
                <w:rFonts w:ascii="Calibri" w:eastAsia="Times New Roman" w:hAnsi="Calibri" w:cs="Calibri"/>
                <w:b/>
                <w:bCs/>
                <w:color w:val="0D0D0D"/>
              </w:rPr>
              <w:t>2</w:t>
            </w:r>
          </w:p>
        </w:tc>
        <w:tc>
          <w:tcPr>
            <w:tcW w:w="1115" w:type="dxa"/>
            <w:tcBorders>
              <w:top w:val="nil"/>
              <w:left w:val="nil"/>
              <w:bottom w:val="single" w:sz="12" w:space="0" w:color="00688D"/>
              <w:right w:val="nil"/>
            </w:tcBorders>
            <w:shd w:val="clear" w:color="auto" w:fill="D9D9D9" w:themeFill="background1" w:themeFillShade="D9"/>
            <w:noWrap/>
            <w:vAlign w:val="bottom"/>
            <w:hideMark/>
          </w:tcPr>
          <w:p w14:paraId="33F5719B" w14:textId="77777777" w:rsidR="00721CFD" w:rsidRPr="002942E7" w:rsidRDefault="00721CFD" w:rsidP="007B5BB3">
            <w:pPr>
              <w:jc w:val="center"/>
              <w:rPr>
                <w:rFonts w:ascii="Calibri" w:eastAsia="Times New Roman" w:hAnsi="Calibri" w:cs="Calibri"/>
                <w:b/>
                <w:bCs/>
                <w:color w:val="0D0D0D"/>
              </w:rPr>
            </w:pPr>
            <w:r w:rsidRPr="002942E7">
              <w:rPr>
                <w:rFonts w:ascii="Calibri" w:eastAsia="Times New Roman" w:hAnsi="Calibri" w:cs="Calibri"/>
                <w:b/>
                <w:bCs/>
                <w:color w:val="0D0D0D"/>
              </w:rPr>
              <w:t>20</w:t>
            </w:r>
            <w:r>
              <w:rPr>
                <w:rFonts w:ascii="Calibri" w:eastAsia="Times New Roman" w:hAnsi="Calibri" w:cs="Calibri"/>
                <w:b/>
                <w:bCs/>
                <w:color w:val="0D0D0D"/>
              </w:rPr>
              <w:t>21</w:t>
            </w:r>
          </w:p>
        </w:tc>
      </w:tr>
      <w:tr w:rsidR="00721CFD" w:rsidRPr="002942E7" w14:paraId="31F60780" w14:textId="77777777" w:rsidTr="007B5BB3">
        <w:trPr>
          <w:trHeight w:val="360"/>
          <w:jc w:val="center"/>
        </w:trPr>
        <w:tc>
          <w:tcPr>
            <w:tcW w:w="6840" w:type="dxa"/>
            <w:tcBorders>
              <w:top w:val="nil"/>
              <w:left w:val="nil"/>
              <w:bottom w:val="nil"/>
              <w:right w:val="nil"/>
            </w:tcBorders>
            <w:shd w:val="clear" w:color="000000" w:fill="FFFFFF"/>
            <w:noWrap/>
            <w:vAlign w:val="bottom"/>
            <w:hideMark/>
          </w:tcPr>
          <w:p w14:paraId="1E4BF144"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 xml:space="preserve">Total pension liability – beginning </w:t>
            </w:r>
          </w:p>
        </w:tc>
        <w:tc>
          <w:tcPr>
            <w:tcW w:w="1170" w:type="dxa"/>
            <w:tcBorders>
              <w:top w:val="nil"/>
              <w:left w:val="nil"/>
              <w:bottom w:val="nil"/>
              <w:right w:val="nil"/>
            </w:tcBorders>
            <w:shd w:val="clear" w:color="000000" w:fill="FFFFFF"/>
            <w:noWrap/>
            <w:vAlign w:val="bottom"/>
            <w:hideMark/>
          </w:tcPr>
          <w:p w14:paraId="627381F6"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$ 21,</w:t>
            </w:r>
            <w:r w:rsidRPr="006C7397">
              <w:rPr>
                <w:rFonts w:ascii="Calibri" w:hAnsi="Calibri" w:cs="Calibri"/>
              </w:rPr>
              <w:t>208</w:t>
            </w:r>
            <w:r w:rsidRPr="00AD75A2">
              <w:rPr>
                <w:rFonts w:ascii="Calibri" w:hAnsi="Calibri" w:cs="Calibri"/>
              </w:rPr>
              <w:t xml:space="preserve"> </w:t>
            </w:r>
          </w:p>
        </w:tc>
        <w:tc>
          <w:tcPr>
            <w:tcW w:w="1115" w:type="dxa"/>
            <w:tcBorders>
              <w:top w:val="nil"/>
              <w:left w:val="nil"/>
              <w:bottom w:val="nil"/>
              <w:right w:val="nil"/>
            </w:tcBorders>
            <w:shd w:val="clear" w:color="auto" w:fill="D9D9D9" w:themeFill="background1" w:themeFillShade="D9"/>
            <w:noWrap/>
            <w:vAlign w:val="bottom"/>
            <w:hideMark/>
          </w:tcPr>
          <w:p w14:paraId="044DA66B"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$ 21,049 </w:t>
            </w:r>
          </w:p>
        </w:tc>
      </w:tr>
      <w:tr w:rsidR="00721CFD" w:rsidRPr="002942E7" w14:paraId="3C1C9856" w14:textId="77777777" w:rsidTr="007B5BB3">
        <w:trPr>
          <w:trHeight w:val="312"/>
          <w:jc w:val="center"/>
        </w:trPr>
        <w:tc>
          <w:tcPr>
            <w:tcW w:w="6840" w:type="dxa"/>
            <w:tcBorders>
              <w:top w:val="nil"/>
              <w:left w:val="nil"/>
              <w:bottom w:val="nil"/>
              <w:right w:val="nil"/>
            </w:tcBorders>
            <w:shd w:val="clear" w:color="000000" w:fill="FFFFFF"/>
            <w:noWrap/>
            <w:vAlign w:val="bottom"/>
            <w:hideMark/>
          </w:tcPr>
          <w:p w14:paraId="468A8EEB"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Changes for the year:</w:t>
            </w:r>
          </w:p>
        </w:tc>
        <w:tc>
          <w:tcPr>
            <w:tcW w:w="1170" w:type="dxa"/>
            <w:tcBorders>
              <w:top w:val="nil"/>
              <w:left w:val="nil"/>
              <w:bottom w:val="nil"/>
              <w:right w:val="nil"/>
            </w:tcBorders>
            <w:shd w:val="clear" w:color="000000" w:fill="FFFFFF"/>
            <w:noWrap/>
            <w:vAlign w:val="bottom"/>
            <w:hideMark/>
          </w:tcPr>
          <w:p w14:paraId="4C99A9E8" w14:textId="77777777" w:rsidR="00721CFD" w:rsidRPr="006C7397" w:rsidRDefault="00721CFD" w:rsidP="007B5BB3">
            <w:pPr>
              <w:jc w:val="right"/>
              <w:rPr>
                <w:rFonts w:ascii="Calibri" w:eastAsia="Times New Roman" w:hAnsi="Calibri" w:cs="Calibri"/>
              </w:rPr>
            </w:pPr>
            <w:r w:rsidRPr="006C7397">
              <w:rPr>
                <w:rFonts w:ascii="Calibri" w:hAnsi="Calibri" w:cs="Calibri"/>
              </w:rPr>
              <w:t> </w:t>
            </w:r>
          </w:p>
        </w:tc>
        <w:tc>
          <w:tcPr>
            <w:tcW w:w="1115" w:type="dxa"/>
            <w:tcBorders>
              <w:top w:val="nil"/>
              <w:left w:val="nil"/>
              <w:bottom w:val="nil"/>
              <w:right w:val="nil"/>
            </w:tcBorders>
            <w:shd w:val="clear" w:color="auto" w:fill="D9D9D9" w:themeFill="background1" w:themeFillShade="D9"/>
            <w:noWrap/>
            <w:vAlign w:val="bottom"/>
            <w:hideMark/>
          </w:tcPr>
          <w:p w14:paraId="3E180FA2" w14:textId="77777777" w:rsidR="00721CFD" w:rsidRPr="002942E7" w:rsidRDefault="00721CFD" w:rsidP="007B5BB3">
            <w:pPr>
              <w:jc w:val="right"/>
              <w:rPr>
                <w:rFonts w:ascii="Calibri" w:eastAsia="Times New Roman" w:hAnsi="Calibri" w:cs="Calibri"/>
                <w:color w:val="0D0D0D"/>
              </w:rPr>
            </w:pPr>
            <w:r w:rsidRPr="00873829">
              <w:rPr>
                <w:rFonts w:ascii="Calibri" w:hAnsi="Calibri" w:cs="Calibri"/>
              </w:rPr>
              <w:t> </w:t>
            </w:r>
          </w:p>
        </w:tc>
      </w:tr>
      <w:tr w:rsidR="00721CFD" w:rsidRPr="002942E7" w14:paraId="34A9423B" w14:textId="77777777" w:rsidTr="007B5BB3">
        <w:trPr>
          <w:trHeight w:val="312"/>
          <w:jc w:val="center"/>
        </w:trPr>
        <w:tc>
          <w:tcPr>
            <w:tcW w:w="6840" w:type="dxa"/>
            <w:tcBorders>
              <w:top w:val="nil"/>
              <w:left w:val="nil"/>
              <w:bottom w:val="nil"/>
              <w:right w:val="nil"/>
            </w:tcBorders>
            <w:shd w:val="clear" w:color="000000" w:fill="FFFFFF"/>
            <w:vAlign w:val="bottom"/>
            <w:hideMark/>
          </w:tcPr>
          <w:p w14:paraId="300CF6F5" w14:textId="77777777" w:rsidR="00721CFD" w:rsidRPr="002942E7" w:rsidRDefault="00721CFD" w:rsidP="007B5BB3">
            <w:pPr>
              <w:ind w:firstLineChars="200" w:firstLine="440"/>
              <w:rPr>
                <w:rFonts w:ascii="Calibri" w:eastAsia="Times New Roman" w:hAnsi="Calibri" w:cs="Calibri"/>
                <w:color w:val="0D0D0D"/>
              </w:rPr>
            </w:pPr>
            <w:r w:rsidRPr="002942E7">
              <w:rPr>
                <w:rFonts w:ascii="Calibri" w:eastAsia="Times New Roman" w:hAnsi="Calibri" w:cs="Calibri"/>
                <w:color w:val="0D0D0D"/>
              </w:rPr>
              <w:t>Service cost</w:t>
            </w:r>
          </w:p>
        </w:tc>
        <w:tc>
          <w:tcPr>
            <w:tcW w:w="1170" w:type="dxa"/>
            <w:tcBorders>
              <w:top w:val="nil"/>
              <w:left w:val="nil"/>
              <w:bottom w:val="nil"/>
              <w:right w:val="nil"/>
            </w:tcBorders>
            <w:shd w:val="clear" w:color="000000" w:fill="FFFFFF"/>
            <w:noWrap/>
            <w:vAlign w:val="bottom"/>
            <w:hideMark/>
          </w:tcPr>
          <w:p w14:paraId="7C6AD510"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6</w:t>
            </w:r>
            <w:r w:rsidRPr="006C7397">
              <w:rPr>
                <w:rFonts w:ascii="Calibri" w:hAnsi="Calibri" w:cs="Calibri"/>
              </w:rPr>
              <w:t>16</w:t>
            </w:r>
            <w:r w:rsidRPr="00AD75A2">
              <w:rPr>
                <w:rFonts w:ascii="Calibri" w:hAnsi="Calibri" w:cs="Calibri"/>
              </w:rPr>
              <w:t xml:space="preserve"> </w:t>
            </w:r>
          </w:p>
        </w:tc>
        <w:tc>
          <w:tcPr>
            <w:tcW w:w="1115" w:type="dxa"/>
            <w:tcBorders>
              <w:top w:val="nil"/>
              <w:left w:val="nil"/>
              <w:bottom w:val="nil"/>
              <w:right w:val="nil"/>
            </w:tcBorders>
            <w:shd w:val="clear" w:color="auto" w:fill="D9D9D9" w:themeFill="background1" w:themeFillShade="D9"/>
            <w:noWrap/>
            <w:vAlign w:val="bottom"/>
            <w:hideMark/>
          </w:tcPr>
          <w:p w14:paraId="297CD2A1"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692 </w:t>
            </w:r>
          </w:p>
        </w:tc>
      </w:tr>
      <w:tr w:rsidR="00721CFD" w:rsidRPr="002942E7" w14:paraId="13EB54F2" w14:textId="77777777" w:rsidTr="007B5BB3">
        <w:trPr>
          <w:trHeight w:val="312"/>
          <w:jc w:val="center"/>
        </w:trPr>
        <w:tc>
          <w:tcPr>
            <w:tcW w:w="6840" w:type="dxa"/>
            <w:tcBorders>
              <w:top w:val="nil"/>
              <w:left w:val="nil"/>
              <w:bottom w:val="nil"/>
              <w:right w:val="nil"/>
            </w:tcBorders>
            <w:shd w:val="clear" w:color="000000" w:fill="FFFFFF"/>
            <w:vAlign w:val="bottom"/>
            <w:hideMark/>
          </w:tcPr>
          <w:p w14:paraId="5C5E9FCF" w14:textId="77777777" w:rsidR="00721CFD" w:rsidRPr="002942E7" w:rsidRDefault="00721CFD" w:rsidP="007B5BB3">
            <w:pPr>
              <w:ind w:firstLineChars="200" w:firstLine="440"/>
              <w:rPr>
                <w:rFonts w:ascii="Calibri" w:eastAsia="Times New Roman" w:hAnsi="Calibri" w:cs="Calibri"/>
                <w:color w:val="0D0D0D"/>
              </w:rPr>
            </w:pPr>
            <w:r w:rsidRPr="002942E7">
              <w:rPr>
                <w:rFonts w:ascii="Calibri" w:eastAsia="Times New Roman" w:hAnsi="Calibri" w:cs="Calibri"/>
                <w:color w:val="0D0D0D"/>
              </w:rPr>
              <w:t>Interest</w:t>
            </w:r>
          </w:p>
        </w:tc>
        <w:tc>
          <w:tcPr>
            <w:tcW w:w="1170" w:type="dxa"/>
            <w:tcBorders>
              <w:top w:val="nil"/>
              <w:left w:val="nil"/>
              <w:bottom w:val="nil"/>
              <w:right w:val="nil"/>
            </w:tcBorders>
            <w:shd w:val="clear" w:color="000000" w:fill="FFFFFF"/>
            <w:noWrap/>
            <w:vAlign w:val="bottom"/>
            <w:hideMark/>
          </w:tcPr>
          <w:p w14:paraId="3525A1E4"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4</w:t>
            </w:r>
            <w:r w:rsidRPr="006C7397">
              <w:rPr>
                <w:rFonts w:ascii="Calibri" w:hAnsi="Calibri" w:cs="Calibri"/>
              </w:rPr>
              <w:t>4</w:t>
            </w:r>
            <w:r w:rsidRPr="00AD75A2">
              <w:rPr>
                <w:rFonts w:ascii="Calibri" w:hAnsi="Calibri" w:cs="Calibri"/>
              </w:rPr>
              <w:t xml:space="preserve">6 </w:t>
            </w:r>
          </w:p>
        </w:tc>
        <w:tc>
          <w:tcPr>
            <w:tcW w:w="1115" w:type="dxa"/>
            <w:tcBorders>
              <w:top w:val="nil"/>
              <w:left w:val="nil"/>
              <w:bottom w:val="nil"/>
              <w:right w:val="nil"/>
            </w:tcBorders>
            <w:shd w:val="clear" w:color="auto" w:fill="D9D9D9" w:themeFill="background1" w:themeFillShade="D9"/>
            <w:noWrap/>
            <w:vAlign w:val="bottom"/>
            <w:hideMark/>
          </w:tcPr>
          <w:p w14:paraId="7FC06B8F"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456 </w:t>
            </w:r>
          </w:p>
        </w:tc>
      </w:tr>
      <w:tr w:rsidR="00721CFD" w:rsidRPr="002942E7" w14:paraId="247CCB1E" w14:textId="77777777" w:rsidTr="007B5BB3">
        <w:trPr>
          <w:trHeight w:val="315"/>
          <w:jc w:val="center"/>
        </w:trPr>
        <w:tc>
          <w:tcPr>
            <w:tcW w:w="6840" w:type="dxa"/>
            <w:tcBorders>
              <w:top w:val="nil"/>
              <w:left w:val="nil"/>
              <w:bottom w:val="nil"/>
              <w:right w:val="nil"/>
            </w:tcBorders>
            <w:shd w:val="clear" w:color="000000" w:fill="FFFFFF"/>
            <w:noWrap/>
            <w:vAlign w:val="bottom"/>
            <w:hideMark/>
          </w:tcPr>
          <w:p w14:paraId="46269577" w14:textId="77777777" w:rsidR="00721CFD" w:rsidRPr="002942E7" w:rsidRDefault="00721CFD" w:rsidP="007B5BB3">
            <w:pPr>
              <w:ind w:firstLineChars="200" w:firstLine="440"/>
              <w:rPr>
                <w:rFonts w:ascii="Calibri" w:eastAsia="Times New Roman" w:hAnsi="Calibri" w:cs="Calibri"/>
                <w:color w:val="0D0D0D"/>
              </w:rPr>
            </w:pPr>
            <w:r w:rsidRPr="002942E7">
              <w:rPr>
                <w:rFonts w:ascii="Calibri" w:eastAsia="Times New Roman" w:hAnsi="Calibri" w:cs="Calibri"/>
                <w:color w:val="0D0D0D"/>
              </w:rPr>
              <w:t xml:space="preserve">Differences between expected and actual experience </w:t>
            </w:r>
          </w:p>
        </w:tc>
        <w:tc>
          <w:tcPr>
            <w:tcW w:w="1170" w:type="dxa"/>
            <w:tcBorders>
              <w:top w:val="nil"/>
              <w:left w:val="nil"/>
              <w:bottom w:val="nil"/>
              <w:right w:val="nil"/>
            </w:tcBorders>
            <w:shd w:val="clear" w:color="000000" w:fill="FFFFFF"/>
            <w:noWrap/>
            <w:vAlign w:val="bottom"/>
            <w:hideMark/>
          </w:tcPr>
          <w:p w14:paraId="5140CFFE"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w:t>
            </w:r>
            <w:r w:rsidRPr="006C7397">
              <w:rPr>
                <w:rFonts w:ascii="Calibri" w:hAnsi="Calibri" w:cs="Calibri"/>
              </w:rPr>
              <w:t>-</w:t>
            </w:r>
            <w:r w:rsidRPr="00AD75A2">
              <w:rPr>
                <w:rFonts w:ascii="Calibri" w:hAnsi="Calibri" w:cs="Calibri"/>
              </w:rPr>
              <w:t xml:space="preserve"> </w:t>
            </w:r>
          </w:p>
        </w:tc>
        <w:tc>
          <w:tcPr>
            <w:tcW w:w="1115" w:type="dxa"/>
            <w:tcBorders>
              <w:top w:val="nil"/>
              <w:left w:val="nil"/>
              <w:bottom w:val="nil"/>
              <w:right w:val="nil"/>
            </w:tcBorders>
            <w:shd w:val="clear" w:color="auto" w:fill="D9D9D9" w:themeFill="background1" w:themeFillShade="D9"/>
            <w:noWrap/>
            <w:vAlign w:val="bottom"/>
            <w:hideMark/>
          </w:tcPr>
          <w:p w14:paraId="3E783457"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833 </w:t>
            </w:r>
          </w:p>
        </w:tc>
      </w:tr>
      <w:tr w:rsidR="00721CFD" w:rsidRPr="002942E7" w14:paraId="3A7B39D9" w14:textId="77777777" w:rsidTr="007B5BB3">
        <w:trPr>
          <w:trHeight w:val="312"/>
          <w:jc w:val="center"/>
        </w:trPr>
        <w:tc>
          <w:tcPr>
            <w:tcW w:w="6840" w:type="dxa"/>
            <w:tcBorders>
              <w:top w:val="nil"/>
              <w:left w:val="nil"/>
              <w:bottom w:val="nil"/>
              <w:right w:val="nil"/>
            </w:tcBorders>
            <w:shd w:val="clear" w:color="000000" w:fill="FFFFFF"/>
            <w:noWrap/>
            <w:vAlign w:val="bottom"/>
            <w:hideMark/>
          </w:tcPr>
          <w:p w14:paraId="62890BBF" w14:textId="77777777" w:rsidR="00721CFD" w:rsidRPr="002942E7" w:rsidRDefault="00721CFD" w:rsidP="007B5BB3">
            <w:pPr>
              <w:ind w:firstLineChars="200" w:firstLine="440"/>
              <w:rPr>
                <w:rFonts w:ascii="Calibri" w:eastAsia="Times New Roman" w:hAnsi="Calibri" w:cs="Calibri"/>
                <w:color w:val="0D0D0D"/>
              </w:rPr>
            </w:pPr>
            <w:r w:rsidRPr="002942E7">
              <w:rPr>
                <w:rFonts w:ascii="Calibri" w:eastAsia="Times New Roman" w:hAnsi="Calibri" w:cs="Calibri"/>
                <w:color w:val="0D0D0D"/>
              </w:rPr>
              <w:t>Changes of assumptions and other inputs</w:t>
            </w:r>
          </w:p>
        </w:tc>
        <w:tc>
          <w:tcPr>
            <w:tcW w:w="1170" w:type="dxa"/>
            <w:tcBorders>
              <w:top w:val="nil"/>
              <w:left w:val="nil"/>
              <w:bottom w:val="nil"/>
              <w:right w:val="nil"/>
            </w:tcBorders>
            <w:shd w:val="clear" w:color="000000" w:fill="FFFFFF"/>
            <w:noWrap/>
            <w:vAlign w:val="bottom"/>
            <w:hideMark/>
          </w:tcPr>
          <w:p w14:paraId="3E949406" w14:textId="77777777" w:rsidR="00721CFD" w:rsidRPr="006C7397" w:rsidRDefault="00721CFD" w:rsidP="007B5BB3">
            <w:pPr>
              <w:jc w:val="right"/>
              <w:rPr>
                <w:rFonts w:ascii="Calibri" w:eastAsia="Times New Roman" w:hAnsi="Calibri" w:cs="Calibri"/>
              </w:rPr>
            </w:pPr>
            <w:r w:rsidRPr="006C7397">
              <w:rPr>
                <w:rFonts w:ascii="Calibri" w:hAnsi="Calibri" w:cs="Calibri"/>
              </w:rPr>
              <w:t>(792)</w:t>
            </w:r>
            <w:r w:rsidRPr="00AD75A2">
              <w:rPr>
                <w:rFonts w:ascii="Calibri" w:hAnsi="Calibri" w:cs="Calibri"/>
              </w:rPr>
              <w:t xml:space="preserve"> </w:t>
            </w:r>
          </w:p>
        </w:tc>
        <w:tc>
          <w:tcPr>
            <w:tcW w:w="1115" w:type="dxa"/>
            <w:tcBorders>
              <w:top w:val="nil"/>
              <w:left w:val="nil"/>
              <w:bottom w:val="nil"/>
              <w:right w:val="nil"/>
            </w:tcBorders>
            <w:shd w:val="clear" w:color="auto" w:fill="D9D9D9" w:themeFill="background1" w:themeFillShade="D9"/>
            <w:noWrap/>
            <w:vAlign w:val="bottom"/>
            <w:hideMark/>
          </w:tcPr>
          <w:p w14:paraId="64FF8AC3"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376 </w:t>
            </w:r>
          </w:p>
        </w:tc>
      </w:tr>
      <w:tr w:rsidR="00721CFD" w:rsidRPr="002942E7" w14:paraId="77365F36" w14:textId="77777777" w:rsidTr="007B5BB3">
        <w:trPr>
          <w:trHeight w:val="312"/>
          <w:jc w:val="center"/>
        </w:trPr>
        <w:tc>
          <w:tcPr>
            <w:tcW w:w="6840" w:type="dxa"/>
            <w:tcBorders>
              <w:top w:val="nil"/>
              <w:left w:val="nil"/>
              <w:bottom w:val="nil"/>
              <w:right w:val="nil"/>
            </w:tcBorders>
            <w:shd w:val="clear" w:color="000000" w:fill="FFFFFF"/>
            <w:vAlign w:val="bottom"/>
            <w:hideMark/>
          </w:tcPr>
          <w:p w14:paraId="24671FF6" w14:textId="77777777" w:rsidR="00721CFD" w:rsidRPr="002942E7" w:rsidRDefault="00721CFD" w:rsidP="007B5BB3">
            <w:pPr>
              <w:ind w:firstLineChars="200" w:firstLine="440"/>
              <w:rPr>
                <w:rFonts w:ascii="Calibri" w:eastAsia="Times New Roman" w:hAnsi="Calibri" w:cs="Calibri"/>
                <w:color w:val="0D0D0D"/>
              </w:rPr>
            </w:pPr>
            <w:r w:rsidRPr="002942E7">
              <w:rPr>
                <w:rFonts w:ascii="Calibri" w:eastAsia="Times New Roman" w:hAnsi="Calibri" w:cs="Calibri"/>
                <w:color w:val="0D0D0D"/>
              </w:rPr>
              <w:t>Benefit payments</w:t>
            </w:r>
          </w:p>
        </w:tc>
        <w:tc>
          <w:tcPr>
            <w:tcW w:w="1170" w:type="dxa"/>
            <w:tcBorders>
              <w:top w:val="nil"/>
              <w:left w:val="nil"/>
              <w:bottom w:val="nil"/>
              <w:right w:val="nil"/>
            </w:tcBorders>
            <w:shd w:val="clear" w:color="000000" w:fill="FFFFFF"/>
            <w:noWrap/>
            <w:vAlign w:val="bottom"/>
            <w:hideMark/>
          </w:tcPr>
          <w:p w14:paraId="2341E9F3"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(2,</w:t>
            </w:r>
            <w:r w:rsidRPr="006C7397">
              <w:rPr>
                <w:rFonts w:ascii="Calibri" w:hAnsi="Calibri" w:cs="Calibri"/>
              </w:rPr>
              <w:t>38</w:t>
            </w:r>
            <w:r w:rsidRPr="00AD75A2">
              <w:rPr>
                <w:rFonts w:ascii="Calibri" w:hAnsi="Calibri" w:cs="Calibri"/>
              </w:rPr>
              <w:t>8)</w:t>
            </w:r>
          </w:p>
        </w:tc>
        <w:tc>
          <w:tcPr>
            <w:tcW w:w="1115" w:type="dxa"/>
            <w:tcBorders>
              <w:top w:val="nil"/>
              <w:left w:val="nil"/>
              <w:bottom w:val="nil"/>
              <w:right w:val="nil"/>
            </w:tcBorders>
            <w:shd w:val="clear" w:color="auto" w:fill="D9D9D9" w:themeFill="background1" w:themeFillShade="D9"/>
            <w:noWrap/>
            <w:vAlign w:val="bottom"/>
            <w:hideMark/>
          </w:tcPr>
          <w:p w14:paraId="32B8D0FE"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(2,198)</w:t>
            </w:r>
          </w:p>
        </w:tc>
      </w:tr>
      <w:tr w:rsidR="00721CFD" w:rsidRPr="002942E7" w14:paraId="0BCAEFAB" w14:textId="77777777" w:rsidTr="007B5BB3">
        <w:trPr>
          <w:trHeight w:val="312"/>
          <w:jc w:val="center"/>
        </w:trPr>
        <w:tc>
          <w:tcPr>
            <w:tcW w:w="6840" w:type="dxa"/>
            <w:tcBorders>
              <w:top w:val="single" w:sz="4" w:space="0" w:color="00688D"/>
              <w:left w:val="nil"/>
              <w:bottom w:val="single" w:sz="4" w:space="0" w:color="00688D"/>
              <w:right w:val="nil"/>
            </w:tcBorders>
            <w:shd w:val="clear" w:color="000000" w:fill="FFFFFF"/>
            <w:noWrap/>
            <w:vAlign w:val="bottom"/>
            <w:hideMark/>
          </w:tcPr>
          <w:p w14:paraId="7BEF8AA2"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Total pension liability – ending (a)</w:t>
            </w:r>
          </w:p>
        </w:tc>
        <w:tc>
          <w:tcPr>
            <w:tcW w:w="1170" w:type="dxa"/>
            <w:tcBorders>
              <w:top w:val="single" w:sz="4" w:space="0" w:color="00688D"/>
              <w:left w:val="nil"/>
              <w:bottom w:val="single" w:sz="4" w:space="0" w:color="00688D"/>
              <w:right w:val="nil"/>
            </w:tcBorders>
            <w:shd w:val="clear" w:color="000000" w:fill="FFFFFF"/>
            <w:noWrap/>
            <w:vAlign w:val="bottom"/>
            <w:hideMark/>
          </w:tcPr>
          <w:p w14:paraId="2FA657F9"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w:t>
            </w:r>
            <w:r w:rsidRPr="006C7397">
              <w:rPr>
                <w:rFonts w:ascii="Calibri" w:hAnsi="Calibri" w:cs="Calibri"/>
              </w:rPr>
              <w:t>19,090</w:t>
            </w:r>
            <w:r w:rsidRPr="00AD75A2">
              <w:rPr>
                <w:rFonts w:ascii="Calibri" w:hAnsi="Calibri" w:cs="Calibri"/>
              </w:rPr>
              <w:t xml:space="preserve"> </w:t>
            </w:r>
          </w:p>
        </w:tc>
        <w:tc>
          <w:tcPr>
            <w:tcW w:w="1115" w:type="dxa"/>
            <w:tcBorders>
              <w:top w:val="single" w:sz="4" w:space="0" w:color="00688D"/>
              <w:left w:val="nil"/>
              <w:bottom w:val="single" w:sz="4" w:space="0" w:color="00688D"/>
              <w:right w:val="nil"/>
            </w:tcBorders>
            <w:shd w:val="clear" w:color="auto" w:fill="D9D9D9" w:themeFill="background1" w:themeFillShade="D9"/>
            <w:noWrap/>
            <w:vAlign w:val="bottom"/>
            <w:hideMark/>
          </w:tcPr>
          <w:p w14:paraId="1B89AD52"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21,208 </w:t>
            </w:r>
          </w:p>
        </w:tc>
      </w:tr>
      <w:tr w:rsidR="00721CFD" w:rsidRPr="002942E7" w14:paraId="6E9FCA4D" w14:textId="77777777" w:rsidTr="007B5BB3">
        <w:trPr>
          <w:trHeight w:val="420"/>
          <w:jc w:val="center"/>
        </w:trPr>
        <w:tc>
          <w:tcPr>
            <w:tcW w:w="6840" w:type="dxa"/>
            <w:tcBorders>
              <w:top w:val="nil"/>
              <w:left w:val="nil"/>
              <w:bottom w:val="nil"/>
              <w:right w:val="nil"/>
            </w:tcBorders>
            <w:shd w:val="clear" w:color="000000" w:fill="FFFFFF"/>
            <w:noWrap/>
            <w:vAlign w:val="bottom"/>
            <w:hideMark/>
          </w:tcPr>
          <w:p w14:paraId="0359348A"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 xml:space="preserve">Fiduciary net position – beginning </w:t>
            </w:r>
          </w:p>
        </w:tc>
        <w:tc>
          <w:tcPr>
            <w:tcW w:w="1170" w:type="dxa"/>
            <w:tcBorders>
              <w:top w:val="nil"/>
              <w:left w:val="nil"/>
              <w:bottom w:val="nil"/>
              <w:right w:val="nil"/>
            </w:tcBorders>
            <w:shd w:val="clear" w:color="000000" w:fill="FFFFFF"/>
            <w:noWrap/>
            <w:vAlign w:val="bottom"/>
            <w:hideMark/>
          </w:tcPr>
          <w:p w14:paraId="10413534"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 </w:t>
            </w:r>
          </w:p>
        </w:tc>
        <w:tc>
          <w:tcPr>
            <w:tcW w:w="1115" w:type="dxa"/>
            <w:tcBorders>
              <w:top w:val="nil"/>
              <w:left w:val="nil"/>
              <w:bottom w:val="nil"/>
              <w:right w:val="nil"/>
            </w:tcBorders>
            <w:shd w:val="clear" w:color="auto" w:fill="D9D9D9" w:themeFill="background1" w:themeFillShade="D9"/>
            <w:noWrap/>
            <w:vAlign w:val="bottom"/>
            <w:hideMark/>
          </w:tcPr>
          <w:p w14:paraId="30A2BFAB"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 </w:t>
            </w:r>
          </w:p>
        </w:tc>
      </w:tr>
      <w:tr w:rsidR="00721CFD" w:rsidRPr="002942E7" w14:paraId="6853B38C" w14:textId="77777777" w:rsidTr="007B5BB3">
        <w:trPr>
          <w:trHeight w:val="312"/>
          <w:jc w:val="center"/>
        </w:trPr>
        <w:tc>
          <w:tcPr>
            <w:tcW w:w="6840" w:type="dxa"/>
            <w:tcBorders>
              <w:top w:val="nil"/>
              <w:left w:val="nil"/>
              <w:bottom w:val="nil"/>
              <w:right w:val="nil"/>
            </w:tcBorders>
            <w:shd w:val="clear" w:color="000000" w:fill="FFFFFF"/>
            <w:vAlign w:val="bottom"/>
            <w:hideMark/>
          </w:tcPr>
          <w:p w14:paraId="0320DB3F" w14:textId="77777777" w:rsidR="00721CFD" w:rsidRPr="002942E7" w:rsidRDefault="00721CFD" w:rsidP="007B5BB3">
            <w:pPr>
              <w:ind w:firstLineChars="200" w:firstLine="440"/>
              <w:rPr>
                <w:rFonts w:ascii="Calibri" w:eastAsia="Times New Roman" w:hAnsi="Calibri" w:cs="Calibri"/>
                <w:color w:val="0D0D0D"/>
              </w:rPr>
            </w:pPr>
            <w:r w:rsidRPr="002942E7">
              <w:rPr>
                <w:rFonts w:ascii="Calibri" w:eastAsia="Times New Roman" w:hAnsi="Calibri" w:cs="Calibri"/>
                <w:color w:val="0D0D0D"/>
              </w:rPr>
              <w:t>Contributions – employer</w:t>
            </w:r>
          </w:p>
        </w:tc>
        <w:tc>
          <w:tcPr>
            <w:tcW w:w="1170" w:type="dxa"/>
            <w:tcBorders>
              <w:top w:val="nil"/>
              <w:left w:val="nil"/>
              <w:bottom w:val="nil"/>
              <w:right w:val="nil"/>
            </w:tcBorders>
            <w:shd w:val="clear" w:color="000000" w:fill="FFFFFF"/>
            <w:noWrap/>
            <w:vAlign w:val="bottom"/>
            <w:hideMark/>
          </w:tcPr>
          <w:p w14:paraId="1E87A953"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2,</w:t>
            </w:r>
            <w:r w:rsidRPr="006C7397">
              <w:rPr>
                <w:rFonts w:ascii="Calibri" w:hAnsi="Calibri" w:cs="Calibri"/>
              </w:rPr>
              <w:t>38</w:t>
            </w:r>
            <w:r w:rsidRPr="00AD75A2">
              <w:rPr>
                <w:rFonts w:ascii="Calibri" w:hAnsi="Calibri" w:cs="Calibri"/>
              </w:rPr>
              <w:t xml:space="preserve">8 </w:t>
            </w:r>
          </w:p>
        </w:tc>
        <w:tc>
          <w:tcPr>
            <w:tcW w:w="1115" w:type="dxa"/>
            <w:tcBorders>
              <w:top w:val="nil"/>
              <w:left w:val="nil"/>
              <w:bottom w:val="nil"/>
              <w:right w:val="nil"/>
            </w:tcBorders>
            <w:shd w:val="clear" w:color="auto" w:fill="D9D9D9" w:themeFill="background1" w:themeFillShade="D9"/>
            <w:noWrap/>
            <w:vAlign w:val="bottom"/>
            <w:hideMark/>
          </w:tcPr>
          <w:p w14:paraId="557799CA"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2,198 </w:t>
            </w:r>
          </w:p>
        </w:tc>
      </w:tr>
      <w:tr w:rsidR="00721CFD" w:rsidRPr="002942E7" w14:paraId="3A25CDEA" w14:textId="77777777" w:rsidTr="007B5BB3">
        <w:trPr>
          <w:trHeight w:val="312"/>
          <w:jc w:val="center"/>
        </w:trPr>
        <w:tc>
          <w:tcPr>
            <w:tcW w:w="6840" w:type="dxa"/>
            <w:tcBorders>
              <w:top w:val="nil"/>
              <w:left w:val="nil"/>
              <w:bottom w:val="nil"/>
              <w:right w:val="nil"/>
            </w:tcBorders>
            <w:shd w:val="clear" w:color="000000" w:fill="FFFFFF"/>
            <w:vAlign w:val="bottom"/>
            <w:hideMark/>
          </w:tcPr>
          <w:p w14:paraId="6E1BE18A" w14:textId="77777777" w:rsidR="00721CFD" w:rsidRPr="002942E7" w:rsidRDefault="00721CFD" w:rsidP="007B5BB3">
            <w:pPr>
              <w:ind w:firstLineChars="200" w:firstLine="440"/>
              <w:rPr>
                <w:rFonts w:ascii="Calibri" w:eastAsia="Times New Roman" w:hAnsi="Calibri" w:cs="Calibri"/>
                <w:color w:val="0D0D0D"/>
              </w:rPr>
            </w:pPr>
            <w:r w:rsidRPr="002942E7">
              <w:rPr>
                <w:rFonts w:ascii="Calibri" w:eastAsia="Times New Roman" w:hAnsi="Calibri" w:cs="Calibri"/>
                <w:color w:val="0D0D0D"/>
              </w:rPr>
              <w:t>Benefit payments</w:t>
            </w:r>
          </w:p>
        </w:tc>
        <w:tc>
          <w:tcPr>
            <w:tcW w:w="1170" w:type="dxa"/>
            <w:tcBorders>
              <w:top w:val="nil"/>
              <w:left w:val="nil"/>
              <w:bottom w:val="nil"/>
              <w:right w:val="nil"/>
            </w:tcBorders>
            <w:shd w:val="clear" w:color="000000" w:fill="FFFFFF"/>
            <w:noWrap/>
            <w:vAlign w:val="bottom"/>
            <w:hideMark/>
          </w:tcPr>
          <w:p w14:paraId="3EA8699D"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(2,</w:t>
            </w:r>
            <w:r w:rsidRPr="006C7397">
              <w:rPr>
                <w:rFonts w:ascii="Calibri" w:hAnsi="Calibri" w:cs="Calibri"/>
              </w:rPr>
              <w:t>388</w:t>
            </w:r>
            <w:r w:rsidRPr="00AD75A2">
              <w:rPr>
                <w:rFonts w:ascii="Calibri" w:hAnsi="Calibri" w:cs="Calibri"/>
              </w:rPr>
              <w:t>)</w:t>
            </w:r>
          </w:p>
        </w:tc>
        <w:tc>
          <w:tcPr>
            <w:tcW w:w="1115" w:type="dxa"/>
            <w:tcBorders>
              <w:top w:val="nil"/>
              <w:left w:val="nil"/>
              <w:bottom w:val="nil"/>
              <w:right w:val="nil"/>
            </w:tcBorders>
            <w:shd w:val="clear" w:color="auto" w:fill="D9D9D9" w:themeFill="background1" w:themeFillShade="D9"/>
            <w:noWrap/>
            <w:vAlign w:val="bottom"/>
            <w:hideMark/>
          </w:tcPr>
          <w:p w14:paraId="5DE876E3"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(2,198)</w:t>
            </w:r>
          </w:p>
        </w:tc>
      </w:tr>
      <w:tr w:rsidR="00721CFD" w:rsidRPr="002942E7" w14:paraId="5E4C2017" w14:textId="77777777" w:rsidTr="007B5BB3">
        <w:trPr>
          <w:trHeight w:val="312"/>
          <w:jc w:val="center"/>
        </w:trPr>
        <w:tc>
          <w:tcPr>
            <w:tcW w:w="6840" w:type="dxa"/>
            <w:tcBorders>
              <w:top w:val="single" w:sz="4" w:space="0" w:color="00688D"/>
              <w:left w:val="nil"/>
              <w:bottom w:val="single" w:sz="4" w:space="0" w:color="00688D"/>
              <w:right w:val="nil"/>
            </w:tcBorders>
            <w:shd w:val="clear" w:color="000000" w:fill="FFFFFF"/>
            <w:noWrap/>
            <w:vAlign w:val="bottom"/>
            <w:hideMark/>
          </w:tcPr>
          <w:p w14:paraId="57594F9D"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Fiduciary net position – ending (b)</w:t>
            </w:r>
          </w:p>
        </w:tc>
        <w:tc>
          <w:tcPr>
            <w:tcW w:w="1170" w:type="dxa"/>
            <w:tcBorders>
              <w:top w:val="single" w:sz="4" w:space="0" w:color="00688D"/>
              <w:left w:val="nil"/>
              <w:bottom w:val="single" w:sz="4" w:space="0" w:color="00688D"/>
              <w:right w:val="nil"/>
            </w:tcBorders>
            <w:shd w:val="clear" w:color="000000" w:fill="FFFFFF"/>
            <w:noWrap/>
            <w:vAlign w:val="bottom"/>
            <w:hideMark/>
          </w:tcPr>
          <w:p w14:paraId="1850306D"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 </w:t>
            </w:r>
          </w:p>
        </w:tc>
        <w:tc>
          <w:tcPr>
            <w:tcW w:w="1115" w:type="dxa"/>
            <w:tcBorders>
              <w:top w:val="single" w:sz="4" w:space="0" w:color="00688D"/>
              <w:left w:val="nil"/>
              <w:bottom w:val="single" w:sz="4" w:space="0" w:color="00688D"/>
              <w:right w:val="nil"/>
            </w:tcBorders>
            <w:shd w:val="clear" w:color="auto" w:fill="D9D9D9" w:themeFill="background1" w:themeFillShade="D9"/>
            <w:noWrap/>
            <w:vAlign w:val="bottom"/>
            <w:hideMark/>
          </w:tcPr>
          <w:p w14:paraId="575E78C6"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 </w:t>
            </w:r>
          </w:p>
        </w:tc>
      </w:tr>
      <w:tr w:rsidR="00721CFD" w:rsidRPr="002942E7" w14:paraId="1D0CF40C" w14:textId="77777777" w:rsidTr="007B5BB3">
        <w:trPr>
          <w:trHeight w:val="444"/>
          <w:jc w:val="center"/>
        </w:trPr>
        <w:tc>
          <w:tcPr>
            <w:tcW w:w="6840" w:type="dxa"/>
            <w:tcBorders>
              <w:top w:val="nil"/>
              <w:left w:val="nil"/>
              <w:bottom w:val="double" w:sz="6" w:space="0" w:color="00688D"/>
              <w:right w:val="nil"/>
            </w:tcBorders>
            <w:shd w:val="clear" w:color="000000" w:fill="FFFFFF"/>
            <w:noWrap/>
            <w:vAlign w:val="bottom"/>
            <w:hideMark/>
          </w:tcPr>
          <w:p w14:paraId="2977FC3B"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Net pension liability – ending (a)-(b)</w:t>
            </w:r>
          </w:p>
        </w:tc>
        <w:tc>
          <w:tcPr>
            <w:tcW w:w="1170" w:type="dxa"/>
            <w:tcBorders>
              <w:top w:val="nil"/>
              <w:left w:val="nil"/>
              <w:bottom w:val="double" w:sz="6" w:space="0" w:color="00688D"/>
              <w:right w:val="nil"/>
            </w:tcBorders>
            <w:shd w:val="clear" w:color="000000" w:fill="FFFFFF"/>
            <w:noWrap/>
            <w:vAlign w:val="bottom"/>
            <w:hideMark/>
          </w:tcPr>
          <w:p w14:paraId="7B143028"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 </w:t>
            </w:r>
            <w:r w:rsidRPr="006C7397">
              <w:rPr>
                <w:rFonts w:ascii="Calibri" w:hAnsi="Calibri" w:cs="Calibri"/>
              </w:rPr>
              <w:t>19,090</w:t>
            </w:r>
            <w:r w:rsidRPr="00AD75A2">
              <w:rPr>
                <w:rFonts w:ascii="Calibri" w:hAnsi="Calibri" w:cs="Calibri"/>
              </w:rPr>
              <w:t xml:space="preserve"> </w:t>
            </w:r>
          </w:p>
        </w:tc>
        <w:tc>
          <w:tcPr>
            <w:tcW w:w="1115" w:type="dxa"/>
            <w:tcBorders>
              <w:top w:val="nil"/>
              <w:left w:val="nil"/>
              <w:bottom w:val="double" w:sz="6" w:space="0" w:color="00688D"/>
              <w:right w:val="nil"/>
            </w:tcBorders>
            <w:shd w:val="clear" w:color="auto" w:fill="D9D9D9" w:themeFill="background1" w:themeFillShade="D9"/>
            <w:noWrap/>
            <w:vAlign w:val="bottom"/>
            <w:hideMark/>
          </w:tcPr>
          <w:p w14:paraId="50886EBC" w14:textId="77777777" w:rsidR="00721CFD" w:rsidRPr="002942E7" w:rsidRDefault="00721CFD" w:rsidP="007B5BB3">
            <w:pPr>
              <w:jc w:val="center"/>
              <w:rPr>
                <w:rFonts w:ascii="Calibri" w:eastAsia="Times New Roman" w:hAnsi="Calibri" w:cs="Calibri"/>
                <w:color w:val="0D0D0D"/>
              </w:rPr>
            </w:pPr>
            <w:r>
              <w:rPr>
                <w:rFonts w:ascii="Calibri" w:hAnsi="Calibri" w:cs="Calibri"/>
              </w:rPr>
              <w:t xml:space="preserve"> $ 21,208 </w:t>
            </w:r>
          </w:p>
        </w:tc>
      </w:tr>
      <w:tr w:rsidR="00721CFD" w:rsidRPr="002942E7" w14:paraId="2365606D" w14:textId="77777777" w:rsidTr="007B5BB3">
        <w:trPr>
          <w:trHeight w:val="324"/>
          <w:jc w:val="center"/>
        </w:trPr>
        <w:tc>
          <w:tcPr>
            <w:tcW w:w="6840" w:type="dxa"/>
            <w:tcBorders>
              <w:top w:val="nil"/>
              <w:left w:val="nil"/>
              <w:bottom w:val="nil"/>
              <w:right w:val="nil"/>
            </w:tcBorders>
            <w:shd w:val="clear" w:color="000000" w:fill="FFFFFF"/>
            <w:noWrap/>
            <w:vAlign w:val="bottom"/>
            <w:hideMark/>
          </w:tcPr>
          <w:p w14:paraId="14FB2A5B"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Plan fiduciary net position as a percentage of the total pension liability</w:t>
            </w:r>
          </w:p>
        </w:tc>
        <w:tc>
          <w:tcPr>
            <w:tcW w:w="1170" w:type="dxa"/>
            <w:tcBorders>
              <w:top w:val="nil"/>
              <w:left w:val="nil"/>
              <w:bottom w:val="nil"/>
              <w:right w:val="nil"/>
            </w:tcBorders>
            <w:shd w:val="clear" w:color="000000" w:fill="FFFFFF"/>
            <w:noWrap/>
            <w:vAlign w:val="bottom"/>
            <w:hideMark/>
          </w:tcPr>
          <w:p w14:paraId="0294AF2B" w14:textId="77777777" w:rsidR="00721CFD" w:rsidRPr="006C7397" w:rsidRDefault="00721CFD" w:rsidP="007B5BB3">
            <w:pPr>
              <w:jc w:val="right"/>
              <w:rPr>
                <w:rFonts w:ascii="Calibri" w:eastAsia="Times New Roman" w:hAnsi="Calibri" w:cs="Calibri"/>
              </w:rPr>
            </w:pPr>
            <w:r w:rsidRPr="00AD75A2">
              <w:rPr>
                <w:rFonts w:ascii="Calibri" w:hAnsi="Calibri" w:cs="Calibri"/>
              </w:rPr>
              <w:t>0.00%</w:t>
            </w:r>
          </w:p>
        </w:tc>
        <w:tc>
          <w:tcPr>
            <w:tcW w:w="1115" w:type="dxa"/>
            <w:tcBorders>
              <w:top w:val="nil"/>
              <w:left w:val="nil"/>
              <w:bottom w:val="nil"/>
              <w:right w:val="nil"/>
            </w:tcBorders>
            <w:shd w:val="clear" w:color="auto" w:fill="D9D9D9" w:themeFill="background1" w:themeFillShade="D9"/>
            <w:noWrap/>
            <w:vAlign w:val="bottom"/>
            <w:hideMark/>
          </w:tcPr>
          <w:p w14:paraId="1D10AA63" w14:textId="77777777" w:rsidR="00721CFD" w:rsidRPr="002942E7" w:rsidRDefault="00721CFD" w:rsidP="007B5BB3">
            <w:pPr>
              <w:jc w:val="right"/>
              <w:rPr>
                <w:rFonts w:ascii="Calibri" w:eastAsia="Times New Roman" w:hAnsi="Calibri" w:cs="Calibri"/>
                <w:color w:val="0D0D0D"/>
              </w:rPr>
            </w:pPr>
            <w:r>
              <w:rPr>
                <w:rFonts w:ascii="Calibri" w:hAnsi="Calibri" w:cs="Calibri"/>
              </w:rPr>
              <w:t>0.00%</w:t>
            </w:r>
          </w:p>
        </w:tc>
      </w:tr>
      <w:tr w:rsidR="00721CFD" w:rsidRPr="002942E7" w14:paraId="3A713184" w14:textId="77777777" w:rsidTr="007B5BB3">
        <w:trPr>
          <w:trHeight w:val="312"/>
          <w:jc w:val="center"/>
        </w:trPr>
        <w:tc>
          <w:tcPr>
            <w:tcW w:w="6840" w:type="dxa"/>
            <w:tcBorders>
              <w:top w:val="nil"/>
              <w:left w:val="nil"/>
              <w:bottom w:val="nil"/>
              <w:right w:val="nil"/>
            </w:tcBorders>
            <w:shd w:val="clear" w:color="000000" w:fill="FFFFFF"/>
            <w:noWrap/>
            <w:vAlign w:val="bottom"/>
            <w:hideMark/>
          </w:tcPr>
          <w:p w14:paraId="0330F285"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Covered payroll</w:t>
            </w:r>
          </w:p>
        </w:tc>
        <w:tc>
          <w:tcPr>
            <w:tcW w:w="1170" w:type="dxa"/>
            <w:tcBorders>
              <w:top w:val="nil"/>
              <w:left w:val="nil"/>
              <w:bottom w:val="nil"/>
              <w:right w:val="nil"/>
            </w:tcBorders>
            <w:shd w:val="clear" w:color="000000" w:fill="FFFFFF"/>
            <w:noWrap/>
            <w:vAlign w:val="bottom"/>
            <w:hideMark/>
          </w:tcPr>
          <w:p w14:paraId="07D47F48" w14:textId="77777777" w:rsidR="00721CFD" w:rsidRPr="006C7397" w:rsidRDefault="00721CFD" w:rsidP="007B5BB3">
            <w:pPr>
              <w:jc w:val="right"/>
              <w:rPr>
                <w:rFonts w:ascii="Calibri" w:eastAsia="Times New Roman" w:hAnsi="Calibri" w:cs="Calibri"/>
              </w:rPr>
            </w:pPr>
            <w:r w:rsidRPr="00AD75A2">
              <w:rPr>
                <w:rFonts w:ascii="Calibri" w:hAnsi="Calibri" w:cs="Calibri"/>
              </w:rPr>
              <w:t xml:space="preserve"> $ </w:t>
            </w:r>
            <w:r w:rsidRPr="006C7397">
              <w:rPr>
                <w:rFonts w:ascii="Calibri" w:hAnsi="Calibri" w:cs="Calibri"/>
              </w:rPr>
              <w:t>59,119</w:t>
            </w:r>
            <w:r w:rsidRPr="00AD75A2">
              <w:rPr>
                <w:rFonts w:ascii="Calibri" w:hAnsi="Calibri" w:cs="Calibri"/>
              </w:rPr>
              <w:t xml:space="preserve"> </w:t>
            </w:r>
          </w:p>
        </w:tc>
        <w:tc>
          <w:tcPr>
            <w:tcW w:w="1115" w:type="dxa"/>
            <w:tcBorders>
              <w:top w:val="nil"/>
              <w:left w:val="nil"/>
              <w:bottom w:val="nil"/>
              <w:right w:val="nil"/>
            </w:tcBorders>
            <w:shd w:val="clear" w:color="auto" w:fill="D9D9D9" w:themeFill="background1" w:themeFillShade="D9"/>
            <w:noWrap/>
            <w:vAlign w:val="bottom"/>
            <w:hideMark/>
          </w:tcPr>
          <w:p w14:paraId="7E23B204" w14:textId="77777777" w:rsidR="00721CFD" w:rsidRPr="002942E7" w:rsidRDefault="00721CFD" w:rsidP="007B5BB3">
            <w:pPr>
              <w:jc w:val="right"/>
              <w:rPr>
                <w:rFonts w:ascii="Calibri" w:eastAsia="Times New Roman" w:hAnsi="Calibri" w:cs="Calibri"/>
                <w:color w:val="0D0D0D"/>
              </w:rPr>
            </w:pPr>
            <w:r>
              <w:rPr>
                <w:rFonts w:ascii="Calibri" w:hAnsi="Calibri" w:cs="Calibri"/>
              </w:rPr>
              <w:t xml:space="preserve"> $ 62,646 </w:t>
            </w:r>
          </w:p>
        </w:tc>
      </w:tr>
      <w:tr w:rsidR="00721CFD" w:rsidRPr="002942E7" w14:paraId="5F3522C3" w14:textId="77777777" w:rsidTr="007B5BB3">
        <w:trPr>
          <w:trHeight w:val="312"/>
          <w:jc w:val="center"/>
        </w:trPr>
        <w:tc>
          <w:tcPr>
            <w:tcW w:w="6840" w:type="dxa"/>
            <w:tcBorders>
              <w:top w:val="nil"/>
              <w:left w:val="nil"/>
              <w:bottom w:val="nil"/>
              <w:right w:val="nil"/>
            </w:tcBorders>
            <w:shd w:val="clear" w:color="000000" w:fill="FFFFFF"/>
            <w:noWrap/>
            <w:vAlign w:val="bottom"/>
            <w:hideMark/>
          </w:tcPr>
          <w:p w14:paraId="23855911"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Net pension liability as a percentage of covered payroll</w:t>
            </w:r>
          </w:p>
        </w:tc>
        <w:tc>
          <w:tcPr>
            <w:tcW w:w="1170" w:type="dxa"/>
            <w:tcBorders>
              <w:top w:val="nil"/>
              <w:left w:val="nil"/>
              <w:bottom w:val="nil"/>
              <w:right w:val="nil"/>
            </w:tcBorders>
            <w:shd w:val="clear" w:color="000000" w:fill="FFFFFF"/>
            <w:noWrap/>
            <w:vAlign w:val="bottom"/>
            <w:hideMark/>
          </w:tcPr>
          <w:p w14:paraId="4DB698EC" w14:textId="77777777" w:rsidR="00721CFD" w:rsidRPr="006C7397" w:rsidRDefault="00721CFD" w:rsidP="007B5BB3">
            <w:pPr>
              <w:jc w:val="right"/>
              <w:rPr>
                <w:rFonts w:ascii="Calibri" w:eastAsia="Times New Roman" w:hAnsi="Calibri" w:cs="Calibri"/>
              </w:rPr>
            </w:pPr>
            <w:r w:rsidRPr="006C7397">
              <w:rPr>
                <w:rFonts w:ascii="Calibri" w:hAnsi="Calibri" w:cs="Calibri"/>
              </w:rPr>
              <w:t>32.29</w:t>
            </w:r>
            <w:r w:rsidRPr="00AD75A2">
              <w:rPr>
                <w:rFonts w:ascii="Calibri" w:hAnsi="Calibri" w:cs="Calibri"/>
              </w:rPr>
              <w:t>%</w:t>
            </w:r>
          </w:p>
        </w:tc>
        <w:tc>
          <w:tcPr>
            <w:tcW w:w="1115" w:type="dxa"/>
            <w:tcBorders>
              <w:top w:val="nil"/>
              <w:left w:val="nil"/>
              <w:bottom w:val="nil"/>
              <w:right w:val="nil"/>
            </w:tcBorders>
            <w:shd w:val="clear" w:color="auto" w:fill="D9D9D9" w:themeFill="background1" w:themeFillShade="D9"/>
            <w:noWrap/>
            <w:vAlign w:val="bottom"/>
            <w:hideMark/>
          </w:tcPr>
          <w:p w14:paraId="711574F7" w14:textId="77777777" w:rsidR="00721CFD" w:rsidRPr="002942E7" w:rsidRDefault="00721CFD" w:rsidP="007B5BB3">
            <w:pPr>
              <w:jc w:val="right"/>
              <w:rPr>
                <w:rFonts w:ascii="Calibri" w:eastAsia="Times New Roman" w:hAnsi="Calibri" w:cs="Calibri"/>
                <w:color w:val="0D0D0D"/>
              </w:rPr>
            </w:pPr>
            <w:r>
              <w:rPr>
                <w:rFonts w:ascii="Calibri" w:hAnsi="Calibri" w:cs="Calibri"/>
              </w:rPr>
              <w:t>33.85%</w:t>
            </w:r>
          </w:p>
        </w:tc>
      </w:tr>
      <w:tr w:rsidR="00721CFD" w:rsidRPr="002942E7" w14:paraId="5869A5C3" w14:textId="77777777" w:rsidTr="007B5BB3">
        <w:trPr>
          <w:trHeight w:val="312"/>
          <w:jc w:val="center"/>
        </w:trPr>
        <w:tc>
          <w:tcPr>
            <w:tcW w:w="6840" w:type="dxa"/>
            <w:tcBorders>
              <w:top w:val="nil"/>
              <w:left w:val="nil"/>
              <w:bottom w:val="nil"/>
              <w:right w:val="nil"/>
            </w:tcBorders>
            <w:shd w:val="clear" w:color="000000" w:fill="FFFFFF"/>
            <w:noWrap/>
            <w:vAlign w:val="bottom"/>
            <w:hideMark/>
          </w:tcPr>
          <w:p w14:paraId="14837693" w14:textId="77777777" w:rsidR="00721CFD" w:rsidRPr="002942E7" w:rsidRDefault="00721CFD" w:rsidP="007B5BB3">
            <w:pPr>
              <w:rPr>
                <w:rFonts w:ascii="Calibri" w:eastAsia="Times New Roman" w:hAnsi="Calibri" w:cs="Calibri"/>
                <w:color w:val="0D0D0D"/>
              </w:rPr>
            </w:pPr>
            <w:r w:rsidRPr="002942E7">
              <w:rPr>
                <w:rFonts w:ascii="Calibri" w:eastAsia="Times New Roman" w:hAnsi="Calibri" w:cs="Calibri"/>
                <w:color w:val="0D0D0D"/>
              </w:rPr>
              <w:t>Contributions as a percentage of covered payroll</w:t>
            </w:r>
          </w:p>
        </w:tc>
        <w:tc>
          <w:tcPr>
            <w:tcW w:w="1170" w:type="dxa"/>
            <w:tcBorders>
              <w:top w:val="nil"/>
              <w:left w:val="nil"/>
              <w:bottom w:val="nil"/>
              <w:right w:val="nil"/>
            </w:tcBorders>
            <w:shd w:val="clear" w:color="000000" w:fill="FFFFFF"/>
            <w:noWrap/>
            <w:vAlign w:val="bottom"/>
            <w:hideMark/>
          </w:tcPr>
          <w:p w14:paraId="12688FD1" w14:textId="77777777" w:rsidR="00721CFD" w:rsidRPr="006C7397" w:rsidRDefault="00721CFD" w:rsidP="007B5BB3">
            <w:pPr>
              <w:jc w:val="right"/>
              <w:rPr>
                <w:rFonts w:ascii="Calibri" w:eastAsia="Times New Roman" w:hAnsi="Calibri" w:cs="Calibri"/>
              </w:rPr>
            </w:pPr>
            <w:r w:rsidRPr="006C7397">
              <w:rPr>
                <w:rFonts w:ascii="Calibri" w:hAnsi="Calibri" w:cs="Calibri"/>
              </w:rPr>
              <w:t>4.04</w:t>
            </w:r>
            <w:r w:rsidRPr="00AD75A2">
              <w:rPr>
                <w:rFonts w:ascii="Calibri" w:hAnsi="Calibri" w:cs="Calibri"/>
              </w:rPr>
              <w:t>%</w:t>
            </w:r>
          </w:p>
        </w:tc>
        <w:tc>
          <w:tcPr>
            <w:tcW w:w="1115" w:type="dxa"/>
            <w:tcBorders>
              <w:top w:val="nil"/>
              <w:left w:val="nil"/>
              <w:bottom w:val="nil"/>
              <w:right w:val="nil"/>
            </w:tcBorders>
            <w:shd w:val="clear" w:color="auto" w:fill="D9D9D9" w:themeFill="background1" w:themeFillShade="D9"/>
            <w:noWrap/>
            <w:vAlign w:val="bottom"/>
            <w:hideMark/>
          </w:tcPr>
          <w:p w14:paraId="5061F10F" w14:textId="77777777" w:rsidR="00721CFD" w:rsidRPr="002942E7" w:rsidRDefault="00721CFD" w:rsidP="007B5BB3">
            <w:pPr>
              <w:jc w:val="right"/>
              <w:rPr>
                <w:rFonts w:ascii="Calibri" w:eastAsia="Times New Roman" w:hAnsi="Calibri" w:cs="Calibri"/>
                <w:color w:val="0D0D0D"/>
              </w:rPr>
            </w:pPr>
            <w:r>
              <w:rPr>
                <w:rFonts w:ascii="Calibri" w:hAnsi="Calibri" w:cs="Calibri"/>
              </w:rPr>
              <w:t>3.51%</w:t>
            </w:r>
          </w:p>
        </w:tc>
      </w:tr>
      <w:tr w:rsidR="00721CFD" w:rsidRPr="002942E7" w14:paraId="0056F388" w14:textId="77777777" w:rsidTr="007B5BB3">
        <w:trPr>
          <w:trHeight w:val="84"/>
          <w:jc w:val="center"/>
        </w:trPr>
        <w:tc>
          <w:tcPr>
            <w:tcW w:w="6840" w:type="dxa"/>
            <w:tcBorders>
              <w:top w:val="nil"/>
              <w:left w:val="nil"/>
              <w:bottom w:val="single" w:sz="4" w:space="0" w:color="00688D"/>
              <w:right w:val="nil"/>
            </w:tcBorders>
            <w:shd w:val="clear" w:color="000000" w:fill="FFFFFF"/>
            <w:vAlign w:val="bottom"/>
            <w:hideMark/>
          </w:tcPr>
          <w:p w14:paraId="68091775" w14:textId="77777777" w:rsidR="00721CFD" w:rsidRPr="001A18A6" w:rsidRDefault="00721CFD" w:rsidP="007B5BB3">
            <w:pPr>
              <w:rPr>
                <w:rFonts w:ascii="Calibri" w:eastAsia="Times New Roman" w:hAnsi="Calibri" w:cs="Calibri"/>
                <w:color w:val="0D0D0D"/>
                <w:sz w:val="2"/>
              </w:rPr>
            </w:pPr>
            <w:r w:rsidRPr="001A18A6">
              <w:rPr>
                <w:rFonts w:ascii="Calibri" w:eastAsia="Times New Roman" w:hAnsi="Calibri" w:cs="Calibri"/>
                <w:color w:val="0D0D0D"/>
                <w:sz w:val="2"/>
              </w:rPr>
              <w:t> </w:t>
            </w:r>
          </w:p>
        </w:tc>
        <w:tc>
          <w:tcPr>
            <w:tcW w:w="1170" w:type="dxa"/>
            <w:tcBorders>
              <w:top w:val="nil"/>
              <w:left w:val="nil"/>
              <w:bottom w:val="single" w:sz="4" w:space="0" w:color="00688D"/>
              <w:right w:val="nil"/>
            </w:tcBorders>
            <w:shd w:val="clear" w:color="000000" w:fill="FFFFFF"/>
            <w:vAlign w:val="bottom"/>
            <w:hideMark/>
          </w:tcPr>
          <w:p w14:paraId="3FD5D9BE" w14:textId="77777777" w:rsidR="00721CFD" w:rsidRPr="001A18A6" w:rsidRDefault="00721CFD" w:rsidP="007B5BB3">
            <w:pPr>
              <w:rPr>
                <w:rFonts w:ascii="Calibri" w:eastAsia="Times New Roman" w:hAnsi="Calibri" w:cs="Calibri"/>
                <w:color w:val="0D0D0D"/>
                <w:sz w:val="2"/>
              </w:rPr>
            </w:pPr>
            <w:r w:rsidRPr="001A18A6">
              <w:rPr>
                <w:rFonts w:ascii="Calibri" w:eastAsia="Times New Roman" w:hAnsi="Calibri" w:cs="Calibri"/>
                <w:color w:val="0D0D0D"/>
                <w:sz w:val="2"/>
              </w:rPr>
              <w:t> </w:t>
            </w:r>
          </w:p>
        </w:tc>
        <w:tc>
          <w:tcPr>
            <w:tcW w:w="1115" w:type="dxa"/>
            <w:tcBorders>
              <w:top w:val="nil"/>
              <w:left w:val="nil"/>
              <w:bottom w:val="single" w:sz="4" w:space="0" w:color="00688D"/>
              <w:right w:val="nil"/>
            </w:tcBorders>
            <w:shd w:val="clear" w:color="000000" w:fill="F2F2F2"/>
            <w:vAlign w:val="bottom"/>
            <w:hideMark/>
          </w:tcPr>
          <w:p w14:paraId="0A0F19A1" w14:textId="77777777" w:rsidR="00721CFD" w:rsidRPr="001A18A6" w:rsidRDefault="00721CFD" w:rsidP="007B5BB3">
            <w:pPr>
              <w:rPr>
                <w:rFonts w:ascii="Calibri" w:eastAsia="Times New Roman" w:hAnsi="Calibri" w:cs="Calibri"/>
                <w:color w:val="0D0D0D"/>
                <w:sz w:val="2"/>
              </w:rPr>
            </w:pPr>
            <w:r w:rsidRPr="001A18A6">
              <w:rPr>
                <w:rFonts w:ascii="Calibri" w:eastAsia="Times New Roman" w:hAnsi="Calibri" w:cs="Calibri"/>
                <w:color w:val="0D0D0D"/>
                <w:sz w:val="2"/>
              </w:rPr>
              <w:t> </w:t>
            </w:r>
          </w:p>
        </w:tc>
      </w:tr>
    </w:tbl>
    <w:p w14:paraId="2E8AFB3A" w14:textId="77777777" w:rsidR="009D1777" w:rsidRDefault="009D1777">
      <w:pPr>
        <w:spacing w:after="160" w:line="259" w:lineRule="auto"/>
        <w:rPr>
          <w:rFonts w:cstheme="minorHAnsi"/>
          <w:b/>
          <w:i/>
          <w:sz w:val="26"/>
          <w:u w:val="single" w:color="000000" w:themeColor="text1"/>
        </w:rPr>
      </w:pPr>
      <w:r>
        <w:rPr>
          <w:rFonts w:cstheme="minorHAnsi"/>
        </w:rPr>
        <w:br w:type="page"/>
      </w:r>
    </w:p>
    <w:p w14:paraId="22C96B2B" w14:textId="7F287442" w:rsidR="00721CFD" w:rsidRPr="00F54559" w:rsidRDefault="00EB5AE8" w:rsidP="00E266A6">
      <w:pPr>
        <w:pStyle w:val="AFR3"/>
        <w:spacing w:after="240"/>
        <w:rPr>
          <w:rFonts w:cstheme="minorHAnsi"/>
        </w:rPr>
      </w:pPr>
      <w:r>
        <w:rPr>
          <w:rFonts w:cstheme="minorHAnsi"/>
        </w:rPr>
        <w:lastRenderedPageBreak/>
        <w:t>13</w:t>
      </w:r>
      <w:r w:rsidR="00721CFD" w:rsidRPr="00F54559">
        <w:rPr>
          <w:rFonts w:cstheme="minorHAnsi"/>
        </w:rPr>
        <w:t>c. Basic Retirement Plan - Classified Employees</w:t>
      </w:r>
    </w:p>
    <w:p w14:paraId="24212465" w14:textId="77777777" w:rsidR="00721CFD" w:rsidRPr="00F54559" w:rsidRDefault="00721CFD" w:rsidP="00721CFD">
      <w:pPr>
        <w:rPr>
          <w:rFonts w:eastAsia="Times New Roman" w:cstheme="minorHAnsi"/>
          <w:bCs/>
          <w:sz w:val="24"/>
          <w:szCs w:val="24"/>
        </w:rPr>
      </w:pPr>
      <w:r w:rsidRPr="00F54559">
        <w:rPr>
          <w:rFonts w:eastAsia="Times New Roman" w:cstheme="minorHAnsi"/>
          <w:sz w:val="24"/>
          <w:szCs w:val="20"/>
        </w:rPr>
        <w:t xml:space="preserve">The Basic Retirement Plan (Basic Plan) is a single employer defined contribution plan (DC Plan) administered by the System and does not issue standalone financial statements. This DC Plan </w:t>
      </w:r>
      <w:r w:rsidRPr="00F54559">
        <w:rPr>
          <w:rFonts w:eastAsia="Times New Roman" w:cstheme="minorHAnsi"/>
          <w:bCs/>
          <w:sz w:val="24"/>
          <w:szCs w:val="24"/>
        </w:rPr>
        <w:t>was created on July 1, 1998 in accordance with Section 403(b) of the Internal Revenue Code.  Classified employees hired July 1, 1998 or later participate in this DC Plan.</w:t>
      </w:r>
    </w:p>
    <w:p w14:paraId="267DFB67" w14:textId="77777777" w:rsidR="00721CFD" w:rsidRPr="00F54559" w:rsidRDefault="00721CFD" w:rsidP="00721CFD">
      <w:pPr>
        <w:rPr>
          <w:rFonts w:eastAsia="Times New Roman" w:cstheme="minorHAnsi"/>
          <w:color w:val="222222"/>
          <w:sz w:val="24"/>
          <w:shd w:val="clear" w:color="auto" w:fill="FFFFFF"/>
        </w:rPr>
      </w:pPr>
    </w:p>
    <w:p w14:paraId="4A22678C" w14:textId="77777777" w:rsidR="00721CFD" w:rsidRPr="00F54559" w:rsidRDefault="00721CFD" w:rsidP="00721CFD">
      <w:pPr>
        <w:rPr>
          <w:rFonts w:eastAsia="Times New Roman" w:cstheme="minorHAnsi"/>
          <w:bCs/>
          <w:sz w:val="24"/>
          <w:szCs w:val="24"/>
        </w:rPr>
      </w:pPr>
      <w:r w:rsidRPr="00F54559">
        <w:rPr>
          <w:rFonts w:eastAsia="Times New Roman" w:cstheme="minorHAnsi"/>
          <w:color w:val="222222"/>
          <w:sz w:val="24"/>
          <w:shd w:val="clear" w:color="auto" w:fill="FFFFFF"/>
        </w:rPr>
        <w:t>Eligible employees who were hired before July 1, 1998 could elect to roll over to the DC Plan the value of their accrued benefit in the Defined Benefit Retirement Plan for Classified Staff (DB Plan), as described further below, or remain in the DB Plan.  Eligible employees that remained in the DB Plan and were age 50 and over on June 30, 1998 would continue to accrue additional benefits while the value of the benefit for those under age 50 would remain static. The majority of those under age 50 chose to roll over the value of their accrued benefit to the DC Plan.</w:t>
      </w:r>
    </w:p>
    <w:p w14:paraId="24EB4A7D" w14:textId="77777777" w:rsidR="00721CFD" w:rsidRPr="00F54559" w:rsidRDefault="00721CFD" w:rsidP="00721CFD">
      <w:pPr>
        <w:tabs>
          <w:tab w:val="left" w:pos="1858"/>
          <w:tab w:val="left" w:pos="2570"/>
          <w:tab w:val="left" w:pos="3283"/>
          <w:tab w:val="left" w:pos="3996"/>
          <w:tab w:val="left" w:pos="4709"/>
          <w:tab w:val="left" w:pos="5472"/>
        </w:tabs>
        <w:rPr>
          <w:rFonts w:eastAsia="Times New Roman" w:cstheme="minorHAnsi"/>
          <w:spacing w:val="-3"/>
          <w:sz w:val="24"/>
          <w:szCs w:val="24"/>
        </w:rPr>
      </w:pPr>
    </w:p>
    <w:p w14:paraId="71957513" w14:textId="7AB39F07" w:rsidR="00721CFD" w:rsidRPr="00F54559" w:rsidRDefault="00721CFD" w:rsidP="00721CFD">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spacing w:val="-3"/>
          <w:sz w:val="24"/>
          <w:szCs w:val="24"/>
        </w:rPr>
        <w:t>Full-time employees are eligible to participate in the DC Plan once employment begins. Part-time employees are eligible once they achieve the equivalent of five years of continuous, full-time regular service. Since June 1, 2014, all contributions have been directed to TIAA as the sole record-keeper.</w:t>
      </w:r>
    </w:p>
    <w:p w14:paraId="36A2E325" w14:textId="77777777" w:rsidR="009D1777" w:rsidRDefault="009D1777" w:rsidP="00721CFD">
      <w:pPr>
        <w:tabs>
          <w:tab w:val="left" w:pos="1858"/>
          <w:tab w:val="left" w:pos="2570"/>
          <w:tab w:val="left" w:pos="3283"/>
          <w:tab w:val="left" w:pos="3996"/>
          <w:tab w:val="left" w:pos="4709"/>
          <w:tab w:val="left" w:pos="5472"/>
        </w:tabs>
        <w:rPr>
          <w:rFonts w:eastAsia="Times New Roman" w:cstheme="minorHAnsi"/>
          <w:spacing w:val="-3"/>
          <w:sz w:val="24"/>
          <w:szCs w:val="24"/>
        </w:rPr>
      </w:pPr>
    </w:p>
    <w:p w14:paraId="17FF6F5F" w14:textId="22306BC3" w:rsidR="00721CFD" w:rsidRPr="00F54559" w:rsidRDefault="00721CFD" w:rsidP="00721CFD">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spacing w:val="-3"/>
          <w:sz w:val="24"/>
          <w:szCs w:val="24"/>
        </w:rPr>
        <w:t>Employees hired prior to July 1, 1998 and who have more than five years of completed service may voluntarily contribute up to 4% of base pay to the DC Plan and receive a 100% match from the System. Employees hired July 1, 1998 or later are required to contribute 1%. Employee contributions to the DC Plan of up to 4% of base pay are matched 100% by the System. In addition, employees who have four or more years of completed service and do not participate in the DB Plan, receive System contributions equal to 6% of their base pay, for a total maximum employer contribution of 10%.</w:t>
      </w:r>
    </w:p>
    <w:p w14:paraId="3D6059D7" w14:textId="77777777" w:rsidR="00721CFD" w:rsidRPr="00F54559" w:rsidRDefault="00721CFD" w:rsidP="00721CFD">
      <w:pPr>
        <w:tabs>
          <w:tab w:val="left" w:pos="1858"/>
          <w:tab w:val="left" w:pos="2570"/>
          <w:tab w:val="left" w:pos="3283"/>
          <w:tab w:val="left" w:pos="3996"/>
          <w:tab w:val="left" w:pos="4709"/>
          <w:tab w:val="left" w:pos="5472"/>
        </w:tabs>
        <w:ind w:left="180"/>
        <w:rPr>
          <w:rFonts w:eastAsia="Times New Roman" w:cstheme="minorHAnsi"/>
          <w:spacing w:val="-3"/>
          <w:sz w:val="24"/>
          <w:szCs w:val="24"/>
        </w:rPr>
      </w:pPr>
    </w:p>
    <w:p w14:paraId="34636E23" w14:textId="43AB2D3E" w:rsidR="00721CFD" w:rsidRPr="00F54559" w:rsidRDefault="00873829" w:rsidP="00721CFD">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bCs/>
          <w:color w:val="000000"/>
          <w:spacing w:val="-3"/>
          <w:sz w:val="24"/>
          <w:szCs w:val="24"/>
        </w:rPr>
        <w:t xml:space="preserve">Employees hired before January 1, 2010 were </w:t>
      </w:r>
      <w:r w:rsidRPr="00F54559">
        <w:rPr>
          <w:rFonts w:eastAsia="Times New Roman" w:cstheme="minorHAnsi"/>
          <w:bCs/>
          <w:spacing w:val="-3"/>
          <w:sz w:val="24"/>
          <w:szCs w:val="24"/>
        </w:rPr>
        <w:t>fully and immediately vested in the employer matching contribution.</w:t>
      </w:r>
      <w:r>
        <w:rPr>
          <w:rFonts w:eastAsia="Times New Roman" w:cstheme="minorHAnsi"/>
          <w:bCs/>
          <w:spacing w:val="-3"/>
          <w:sz w:val="24"/>
          <w:szCs w:val="24"/>
        </w:rPr>
        <w:t xml:space="preserve"> </w:t>
      </w:r>
      <w:r w:rsidR="00721CFD" w:rsidRPr="00F54559">
        <w:rPr>
          <w:rFonts w:eastAsia="Times New Roman" w:cstheme="minorHAnsi"/>
          <w:bCs/>
          <w:color w:val="000000"/>
          <w:spacing w:val="-3"/>
          <w:sz w:val="24"/>
          <w:szCs w:val="24"/>
        </w:rPr>
        <w:t xml:space="preserve">The System implemented </w:t>
      </w:r>
      <w:r w:rsidR="00721CFD" w:rsidRPr="00F54559">
        <w:rPr>
          <w:rFonts w:eastAsia="Times New Roman" w:cstheme="minorHAnsi"/>
          <w:bCs/>
          <w:spacing w:val="-3"/>
          <w:sz w:val="24"/>
          <w:szCs w:val="24"/>
        </w:rPr>
        <w:t xml:space="preserve">a four-year vesting </w:t>
      </w:r>
      <w:r w:rsidR="00721CFD" w:rsidRPr="00F54559">
        <w:rPr>
          <w:rFonts w:eastAsia="Times New Roman" w:cstheme="minorHAnsi"/>
          <w:bCs/>
          <w:color w:val="000000"/>
          <w:spacing w:val="-3"/>
          <w:sz w:val="24"/>
          <w:szCs w:val="24"/>
        </w:rPr>
        <w:t xml:space="preserve">schedule for the employer matching contribution for classified employees hired on or after January 1, 2010 and, on January 1, 2013, implemented a five-year vesting schedule for employer matching contributions. </w:t>
      </w:r>
      <w:r w:rsidR="00721CFD" w:rsidRPr="00F54559">
        <w:rPr>
          <w:rFonts w:eastAsia="Times New Roman" w:cstheme="minorHAnsi"/>
          <w:bCs/>
          <w:spacing w:val="-3"/>
          <w:sz w:val="24"/>
          <w:szCs w:val="24"/>
        </w:rPr>
        <w:t>All participant contributions are fully and immediately vested.</w:t>
      </w:r>
    </w:p>
    <w:p w14:paraId="6585172B" w14:textId="77777777" w:rsidR="00721CFD" w:rsidRPr="00F54559" w:rsidRDefault="00721CFD" w:rsidP="00721CFD">
      <w:pPr>
        <w:tabs>
          <w:tab w:val="left" w:pos="1858"/>
          <w:tab w:val="left" w:pos="2570"/>
          <w:tab w:val="left" w:pos="3283"/>
          <w:tab w:val="left" w:pos="3996"/>
          <w:tab w:val="left" w:pos="4709"/>
          <w:tab w:val="left" w:pos="5472"/>
        </w:tabs>
        <w:ind w:left="180"/>
        <w:rPr>
          <w:rFonts w:eastAsia="Times New Roman" w:cstheme="minorHAnsi"/>
          <w:spacing w:val="-3"/>
          <w:sz w:val="24"/>
          <w:szCs w:val="24"/>
        </w:rPr>
      </w:pPr>
    </w:p>
    <w:p w14:paraId="3DD6C063" w14:textId="7838A370" w:rsidR="00721CFD" w:rsidRPr="00F54559" w:rsidRDefault="00721CFD" w:rsidP="00721CFD">
      <w:pPr>
        <w:tabs>
          <w:tab w:val="left" w:pos="1858"/>
          <w:tab w:val="left" w:pos="2570"/>
          <w:tab w:val="left" w:pos="3283"/>
          <w:tab w:val="left" w:pos="3996"/>
          <w:tab w:val="left" w:pos="4709"/>
          <w:tab w:val="left" w:pos="5472"/>
        </w:tabs>
        <w:rPr>
          <w:rFonts w:eastAsia="Times New Roman" w:cstheme="minorHAnsi"/>
          <w:spacing w:val="-3"/>
          <w:sz w:val="24"/>
          <w:szCs w:val="24"/>
        </w:rPr>
      </w:pPr>
      <w:r w:rsidRPr="00F54559">
        <w:rPr>
          <w:rFonts w:eastAsia="Times New Roman" w:cstheme="minorHAnsi"/>
          <w:spacing w:val="-3"/>
          <w:sz w:val="24"/>
          <w:szCs w:val="24"/>
        </w:rPr>
        <w:t>Upon separation from the System, participants may withdraw up to 100% of their vested account balances or transfer funds to other investment alternatives subject to Internal Revenue Service limitations and the contractual provisions of the Basic Plan.</w:t>
      </w:r>
    </w:p>
    <w:p w14:paraId="729F61CA" w14:textId="77777777" w:rsidR="00721CFD" w:rsidRPr="00F54559" w:rsidRDefault="00721CFD" w:rsidP="00721CFD">
      <w:pPr>
        <w:spacing w:line="259" w:lineRule="auto"/>
        <w:rPr>
          <w:rFonts w:cstheme="minorHAnsi"/>
        </w:rPr>
      </w:pPr>
    </w:p>
    <w:p w14:paraId="5973D8B6" w14:textId="1D7734A2" w:rsidR="009D1777" w:rsidRDefault="00721CFD">
      <w:pPr>
        <w:spacing w:after="160" w:line="259" w:lineRule="auto"/>
        <w:rPr>
          <w:rFonts w:cstheme="minorHAnsi"/>
          <w:b/>
          <w:i/>
          <w:sz w:val="26"/>
          <w:u w:val="single" w:color="000000" w:themeColor="text1"/>
        </w:rPr>
      </w:pPr>
      <w:r w:rsidRPr="00F54559">
        <w:rPr>
          <w:rFonts w:cstheme="minorHAnsi"/>
          <w:sz w:val="24"/>
          <w:szCs w:val="24"/>
        </w:rPr>
        <w:t>Employee contributions made to the Basic Plan were $</w:t>
      </w:r>
      <w:r w:rsidRPr="00A93FB3">
        <w:rPr>
          <w:rFonts w:cstheme="minorHAnsi"/>
          <w:sz w:val="24"/>
          <w:szCs w:val="24"/>
        </w:rPr>
        <w:t>1,422</w:t>
      </w:r>
      <w:r w:rsidRPr="00EC03B8">
        <w:rPr>
          <w:rFonts w:cstheme="minorHAnsi"/>
          <w:sz w:val="24"/>
          <w:szCs w:val="24"/>
        </w:rPr>
        <w:t xml:space="preserve"> </w:t>
      </w:r>
      <w:r w:rsidRPr="00F54559">
        <w:rPr>
          <w:rFonts w:cstheme="minorHAnsi"/>
          <w:sz w:val="24"/>
          <w:szCs w:val="24"/>
        </w:rPr>
        <w:t>in FY</w:t>
      </w:r>
      <w:r>
        <w:rPr>
          <w:rFonts w:cstheme="minorHAnsi"/>
          <w:sz w:val="24"/>
          <w:szCs w:val="24"/>
        </w:rPr>
        <w:t>22</w:t>
      </w:r>
      <w:r w:rsidRPr="00F54559">
        <w:rPr>
          <w:rFonts w:cstheme="minorHAnsi"/>
          <w:sz w:val="24"/>
          <w:szCs w:val="24"/>
        </w:rPr>
        <w:t xml:space="preserve"> and $</w:t>
      </w:r>
      <w:r w:rsidRPr="00935912">
        <w:rPr>
          <w:rFonts w:cstheme="minorHAnsi"/>
          <w:sz w:val="24"/>
          <w:szCs w:val="24"/>
        </w:rPr>
        <w:t>1,346</w:t>
      </w:r>
      <w:r w:rsidRPr="00CF2FCA">
        <w:rPr>
          <w:rFonts w:cstheme="minorHAnsi"/>
          <w:sz w:val="24"/>
          <w:szCs w:val="24"/>
        </w:rPr>
        <w:t xml:space="preserve"> </w:t>
      </w:r>
      <w:r w:rsidRPr="00F54559">
        <w:rPr>
          <w:rFonts w:cstheme="minorHAnsi"/>
          <w:sz w:val="24"/>
          <w:szCs w:val="24"/>
        </w:rPr>
        <w:t>in FY</w:t>
      </w:r>
      <w:r>
        <w:rPr>
          <w:rFonts w:cstheme="minorHAnsi"/>
          <w:sz w:val="24"/>
          <w:szCs w:val="24"/>
        </w:rPr>
        <w:t>21</w:t>
      </w:r>
      <w:r w:rsidRPr="00F54559">
        <w:rPr>
          <w:rFonts w:cstheme="minorHAnsi"/>
          <w:sz w:val="24"/>
          <w:szCs w:val="24"/>
        </w:rPr>
        <w:t>.</w:t>
      </w:r>
      <w:r w:rsidR="009D1777">
        <w:rPr>
          <w:rFonts w:cstheme="minorHAnsi"/>
        </w:rPr>
        <w:br w:type="page"/>
      </w:r>
    </w:p>
    <w:p w14:paraId="6DD11222" w14:textId="2E288E5A" w:rsidR="00721CFD" w:rsidRPr="00F54559" w:rsidRDefault="0068687A" w:rsidP="00E266A6">
      <w:pPr>
        <w:pStyle w:val="AFR3"/>
        <w:spacing w:before="0" w:after="240"/>
        <w:rPr>
          <w:rFonts w:cstheme="minorHAnsi"/>
        </w:rPr>
      </w:pPr>
      <w:r>
        <w:rPr>
          <w:rFonts w:cstheme="minorHAnsi"/>
        </w:rPr>
        <w:lastRenderedPageBreak/>
        <w:t>13</w:t>
      </w:r>
      <w:r w:rsidR="00721CFD" w:rsidRPr="00F54559">
        <w:rPr>
          <w:rFonts w:cstheme="minorHAnsi"/>
        </w:rPr>
        <w:t>d. Defined Benefit Plan – Classified Employees</w:t>
      </w:r>
    </w:p>
    <w:p w14:paraId="08B1A495" w14:textId="77777777" w:rsidR="00721CFD" w:rsidRPr="00F54559" w:rsidRDefault="00721CFD" w:rsidP="00721CFD">
      <w:pPr>
        <w:tabs>
          <w:tab w:val="left" w:pos="720"/>
          <w:tab w:val="left" w:pos="1440"/>
          <w:tab w:val="right" w:pos="4262"/>
          <w:tab w:val="right" w:pos="5220"/>
          <w:tab w:val="right" w:pos="6691"/>
          <w:tab w:val="right" w:pos="7621"/>
          <w:tab w:val="right" w:pos="9187"/>
        </w:tabs>
        <w:suppressAutoHyphens/>
        <w:spacing w:before="120" w:after="120"/>
        <w:rPr>
          <w:rFonts w:eastAsia="Times New Roman" w:cstheme="minorHAnsi"/>
          <w:b/>
          <w:sz w:val="26"/>
          <w:szCs w:val="26"/>
        </w:rPr>
      </w:pPr>
      <w:r w:rsidRPr="00F54559">
        <w:rPr>
          <w:rFonts w:eastAsia="Times New Roman" w:cstheme="minorHAnsi"/>
          <w:b/>
          <w:sz w:val="26"/>
          <w:szCs w:val="26"/>
        </w:rPr>
        <w:t>Plan Description</w:t>
      </w:r>
    </w:p>
    <w:p w14:paraId="22038FEB" w14:textId="77777777" w:rsidR="00721CFD" w:rsidRPr="00F54559" w:rsidRDefault="00721CFD" w:rsidP="00721CFD">
      <w:pPr>
        <w:tabs>
          <w:tab w:val="left" w:pos="1022"/>
          <w:tab w:val="left" w:pos="1858"/>
          <w:tab w:val="left" w:pos="2570"/>
          <w:tab w:val="left" w:pos="3283"/>
          <w:tab w:val="left" w:pos="3996"/>
          <w:tab w:val="left" w:pos="4709"/>
          <w:tab w:val="left" w:pos="5472"/>
        </w:tabs>
        <w:suppressAutoHyphens/>
        <w:rPr>
          <w:rFonts w:eastAsia="Times New Roman" w:cstheme="minorHAnsi"/>
          <w:sz w:val="24"/>
          <w:szCs w:val="24"/>
        </w:rPr>
      </w:pPr>
      <w:r w:rsidRPr="00F54559">
        <w:rPr>
          <w:rFonts w:eastAsia="Times New Roman" w:cstheme="minorHAnsi"/>
          <w:b/>
          <w:i/>
          <w:spacing w:val="-1"/>
          <w:sz w:val="24"/>
        </w:rPr>
        <w:t>Plan Administration:</w:t>
      </w:r>
      <w:r w:rsidRPr="00F54559">
        <w:rPr>
          <w:rFonts w:eastAsia="Times New Roman" w:cstheme="minorHAnsi"/>
          <w:color w:val="000000"/>
          <w:spacing w:val="-3"/>
          <w:sz w:val="24"/>
          <w:szCs w:val="24"/>
        </w:rPr>
        <w:t xml:space="preserve"> </w:t>
      </w:r>
      <w:r w:rsidRPr="00F54559">
        <w:rPr>
          <w:rFonts w:eastAsia="Times New Roman" w:cstheme="minorHAnsi"/>
          <w:sz w:val="24"/>
          <w:szCs w:val="20"/>
        </w:rPr>
        <w:t xml:space="preserve">The Defined Benefit Plan (the Plan) is a single employer plan administered by the System.  The Plan does not issue standalone financial statements. </w:t>
      </w:r>
      <w:r w:rsidRPr="00F54559">
        <w:rPr>
          <w:rFonts w:eastAsia="Times New Roman" w:cstheme="minorHAnsi"/>
          <w:sz w:val="24"/>
          <w:szCs w:val="24"/>
        </w:rPr>
        <w:t>The Plan is maintained for eligible classified employees who chose not to join the Basic Plan.</w:t>
      </w:r>
    </w:p>
    <w:p w14:paraId="7DB4EF27" w14:textId="77777777" w:rsidR="00721CFD" w:rsidRPr="00F54559" w:rsidRDefault="00721CFD" w:rsidP="00721CFD">
      <w:pPr>
        <w:tabs>
          <w:tab w:val="left" w:pos="1022"/>
          <w:tab w:val="left" w:pos="1858"/>
          <w:tab w:val="left" w:pos="2570"/>
          <w:tab w:val="left" w:pos="3283"/>
          <w:tab w:val="left" w:pos="3996"/>
          <w:tab w:val="left" w:pos="4709"/>
          <w:tab w:val="left" w:pos="5472"/>
        </w:tabs>
        <w:suppressAutoHyphens/>
        <w:rPr>
          <w:rFonts w:eastAsia="Times New Roman" w:cstheme="minorHAnsi"/>
          <w:sz w:val="24"/>
          <w:szCs w:val="24"/>
        </w:rPr>
      </w:pPr>
    </w:p>
    <w:p w14:paraId="2147A1A2" w14:textId="77777777" w:rsidR="00721CFD" w:rsidRPr="00F54559" w:rsidRDefault="00721CFD" w:rsidP="00404A7A">
      <w:pPr>
        <w:tabs>
          <w:tab w:val="left" w:pos="1022"/>
          <w:tab w:val="left" w:pos="1858"/>
          <w:tab w:val="left" w:pos="2570"/>
          <w:tab w:val="left" w:pos="3283"/>
          <w:tab w:val="left" w:pos="3996"/>
          <w:tab w:val="left" w:pos="4709"/>
          <w:tab w:val="left" w:pos="5472"/>
        </w:tabs>
        <w:suppressAutoHyphens/>
        <w:spacing w:after="160"/>
        <w:rPr>
          <w:rFonts w:eastAsia="Times New Roman" w:cstheme="minorHAnsi"/>
          <w:sz w:val="24"/>
          <w:szCs w:val="24"/>
        </w:rPr>
      </w:pPr>
      <w:r w:rsidRPr="00F54559">
        <w:rPr>
          <w:rFonts w:eastAsia="Times New Roman" w:cstheme="minorHAnsi"/>
          <w:color w:val="000000"/>
          <w:spacing w:val="-3"/>
          <w:sz w:val="24"/>
          <w:szCs w:val="24"/>
        </w:rPr>
        <w:t>The System’s Board of Trustees has authority to establish or amend provisions of all classified employee plans, including contribution requirements, subject to collective bargaining agreements.</w:t>
      </w:r>
    </w:p>
    <w:p w14:paraId="17C1578D" w14:textId="77777777" w:rsidR="00721CFD" w:rsidRPr="00F54559" w:rsidRDefault="00721CFD" w:rsidP="00721CFD">
      <w:pPr>
        <w:tabs>
          <w:tab w:val="left" w:pos="720"/>
          <w:tab w:val="left" w:pos="1440"/>
          <w:tab w:val="right" w:pos="4262"/>
          <w:tab w:val="right" w:pos="5220"/>
          <w:tab w:val="right" w:pos="6691"/>
          <w:tab w:val="right" w:pos="7621"/>
          <w:tab w:val="right" w:pos="9187"/>
        </w:tabs>
        <w:suppressAutoHyphens/>
        <w:rPr>
          <w:rFonts w:eastAsia="Times New Roman" w:cstheme="minorHAnsi"/>
          <w:sz w:val="24"/>
          <w:szCs w:val="20"/>
        </w:rPr>
      </w:pPr>
      <w:r w:rsidRPr="00F54559">
        <w:rPr>
          <w:rFonts w:eastAsia="Times New Roman" w:cstheme="minorHAnsi"/>
          <w:b/>
          <w:i/>
          <w:spacing w:val="-1"/>
          <w:sz w:val="24"/>
        </w:rPr>
        <w:t>Benefits Provided:</w:t>
      </w:r>
      <w:r w:rsidRPr="00F54559">
        <w:rPr>
          <w:rFonts w:eastAsia="Times New Roman" w:cstheme="minorHAnsi"/>
          <w:sz w:val="24"/>
          <w:szCs w:val="20"/>
        </w:rPr>
        <w:t xml:space="preserve"> Participants are eligible for normal retirement benefits upon attaining age 65 and retirement. The monthly retirement benefit is based on a formula specified by policy in collective bargaining agreements. Eligible employees receive the sum of:</w:t>
      </w:r>
    </w:p>
    <w:p w14:paraId="6F487BFC" w14:textId="77777777" w:rsidR="00721CFD" w:rsidRPr="00F54559" w:rsidRDefault="00721CFD" w:rsidP="00721CFD">
      <w:pPr>
        <w:tabs>
          <w:tab w:val="left" w:pos="720"/>
          <w:tab w:val="left" w:pos="1440"/>
          <w:tab w:val="right" w:pos="4262"/>
          <w:tab w:val="right" w:pos="5220"/>
          <w:tab w:val="right" w:pos="6691"/>
          <w:tab w:val="right" w:pos="7621"/>
          <w:tab w:val="right" w:pos="9187"/>
        </w:tabs>
        <w:suppressAutoHyphens/>
        <w:rPr>
          <w:rFonts w:eastAsia="Times New Roman" w:cstheme="minorHAnsi"/>
          <w:sz w:val="24"/>
          <w:szCs w:val="20"/>
        </w:rPr>
      </w:pPr>
    </w:p>
    <w:p w14:paraId="4AC9627D" w14:textId="77777777" w:rsidR="00721CFD" w:rsidRPr="00F54559" w:rsidRDefault="00721CFD" w:rsidP="00721CFD">
      <w:pPr>
        <w:numPr>
          <w:ilvl w:val="0"/>
          <w:numId w:val="9"/>
        </w:numPr>
        <w:tabs>
          <w:tab w:val="left" w:pos="720"/>
          <w:tab w:val="left" w:pos="1440"/>
          <w:tab w:val="right" w:pos="4262"/>
          <w:tab w:val="right" w:pos="5220"/>
          <w:tab w:val="right" w:pos="6691"/>
          <w:tab w:val="right" w:pos="7621"/>
          <w:tab w:val="right" w:pos="9187"/>
        </w:tabs>
        <w:suppressAutoHyphens/>
        <w:spacing w:after="120"/>
        <w:ind w:left="720" w:hanging="450"/>
        <w:rPr>
          <w:rFonts w:eastAsia="Times New Roman" w:cstheme="minorHAnsi"/>
          <w:sz w:val="24"/>
          <w:szCs w:val="20"/>
        </w:rPr>
      </w:pPr>
      <w:r w:rsidRPr="00F54559">
        <w:rPr>
          <w:rFonts w:eastAsia="Times New Roman" w:cstheme="minorHAnsi"/>
          <w:sz w:val="24"/>
          <w:szCs w:val="20"/>
        </w:rPr>
        <w:t xml:space="preserve">1.25% or 1.50% (based on years of service) of the participant’s average annual compensation times credited service (up to a maximum of 30 years); plus </w:t>
      </w:r>
    </w:p>
    <w:p w14:paraId="2AD43DA3" w14:textId="77777777" w:rsidR="00721CFD" w:rsidRPr="00F54559" w:rsidRDefault="00721CFD" w:rsidP="00721CFD">
      <w:pPr>
        <w:numPr>
          <w:ilvl w:val="0"/>
          <w:numId w:val="9"/>
        </w:numPr>
        <w:tabs>
          <w:tab w:val="left" w:pos="720"/>
          <w:tab w:val="left" w:pos="1440"/>
          <w:tab w:val="right" w:pos="4262"/>
          <w:tab w:val="right" w:pos="5220"/>
          <w:tab w:val="right" w:pos="6691"/>
          <w:tab w:val="right" w:pos="7621"/>
          <w:tab w:val="right" w:pos="9187"/>
        </w:tabs>
        <w:suppressAutoHyphens/>
        <w:ind w:left="720" w:hanging="450"/>
        <w:rPr>
          <w:rFonts w:eastAsia="Times New Roman" w:cstheme="minorHAnsi"/>
          <w:sz w:val="24"/>
          <w:szCs w:val="20"/>
        </w:rPr>
      </w:pPr>
      <w:r w:rsidRPr="00F54559">
        <w:rPr>
          <w:rFonts w:eastAsia="Times New Roman" w:cstheme="minorHAnsi"/>
          <w:sz w:val="24"/>
          <w:szCs w:val="20"/>
        </w:rPr>
        <w:t>1.25% or 1.50% (based on years of service) of the participant’s unused sick leave.</w:t>
      </w:r>
    </w:p>
    <w:p w14:paraId="2B4D6318" w14:textId="77777777" w:rsidR="00721CFD" w:rsidRPr="00F54559" w:rsidRDefault="00721CFD" w:rsidP="00721CFD">
      <w:pPr>
        <w:tabs>
          <w:tab w:val="left" w:pos="720"/>
          <w:tab w:val="left" w:pos="1022"/>
          <w:tab w:val="left" w:pos="1440"/>
          <w:tab w:val="right" w:pos="4262"/>
          <w:tab w:val="right" w:pos="5220"/>
          <w:tab w:val="right" w:pos="6691"/>
          <w:tab w:val="right" w:pos="7621"/>
          <w:tab w:val="right" w:pos="9187"/>
        </w:tabs>
        <w:suppressAutoHyphens/>
        <w:ind w:left="180"/>
        <w:rPr>
          <w:rFonts w:cstheme="minorHAnsi"/>
          <w:bCs/>
          <w:spacing w:val="-3"/>
        </w:rPr>
      </w:pPr>
    </w:p>
    <w:p w14:paraId="773328CB" w14:textId="30DA784D" w:rsidR="00721CFD" w:rsidRPr="00404A7A" w:rsidRDefault="00721CFD" w:rsidP="00404A7A">
      <w:pPr>
        <w:pStyle w:val="AFR3"/>
        <w:spacing w:before="0" w:after="0"/>
        <w:rPr>
          <w:bCs/>
          <w:iCs/>
          <w:sz w:val="24"/>
          <w:szCs w:val="20"/>
        </w:rPr>
      </w:pPr>
      <w:r w:rsidRPr="009014A7">
        <w:rPr>
          <w:rFonts w:eastAsia="Times New Roman" w:cstheme="minorHAnsi"/>
          <w:b w:val="0"/>
          <w:bCs/>
          <w:i w:val="0"/>
          <w:sz w:val="24"/>
          <w:szCs w:val="24"/>
          <w:u w:val="none"/>
        </w:rPr>
        <w:t xml:space="preserve">Participants are eligible for early retirement benefits upon the attainment of age 55 and completion of five years of continuous service. The benefit is computed in accordance with the normal retirement age benefit, but is reduced by an actuarial factor because benefits will be paid over a longer period of time. No reduction is made if an employee retires after attaining 62 </w:t>
      </w:r>
      <w:r w:rsidRPr="00404A7A">
        <w:rPr>
          <w:b w:val="0"/>
          <w:bCs/>
          <w:i w:val="0"/>
          <w:iCs/>
          <w:sz w:val="24"/>
          <w:szCs w:val="20"/>
          <w:u w:val="none"/>
        </w:rPr>
        <w:t>years of age with 25 or more years of service.  Participants are also eligible for disability and death benefits.</w:t>
      </w:r>
    </w:p>
    <w:p w14:paraId="00B0E14C" w14:textId="77777777" w:rsidR="00721CFD" w:rsidRPr="00F54559" w:rsidRDefault="00721CFD" w:rsidP="00721CFD">
      <w:pPr>
        <w:tabs>
          <w:tab w:val="left" w:pos="1858"/>
          <w:tab w:val="left" w:pos="2570"/>
          <w:tab w:val="left" w:pos="3283"/>
          <w:tab w:val="left" w:pos="3996"/>
          <w:tab w:val="left" w:pos="4709"/>
          <w:tab w:val="left" w:pos="5472"/>
        </w:tabs>
        <w:suppressAutoHyphens/>
        <w:ind w:left="180"/>
        <w:rPr>
          <w:rFonts w:eastAsia="Times New Roman" w:cstheme="minorHAnsi"/>
          <w:bCs/>
        </w:rPr>
      </w:pPr>
    </w:p>
    <w:p w14:paraId="1CBFC34E" w14:textId="77777777" w:rsidR="00721CFD" w:rsidRPr="00F54559" w:rsidRDefault="00721CFD" w:rsidP="00A41B6F">
      <w:pPr>
        <w:tabs>
          <w:tab w:val="left" w:pos="1022"/>
          <w:tab w:val="left" w:pos="1858"/>
          <w:tab w:val="left" w:pos="2570"/>
          <w:tab w:val="left" w:pos="3283"/>
          <w:tab w:val="left" w:pos="3996"/>
          <w:tab w:val="left" w:pos="4709"/>
          <w:tab w:val="left" w:pos="5472"/>
        </w:tabs>
        <w:suppressAutoHyphens/>
        <w:spacing w:after="160"/>
        <w:rPr>
          <w:rFonts w:eastAsia="Times New Roman" w:cstheme="minorHAnsi"/>
          <w:sz w:val="24"/>
          <w:szCs w:val="24"/>
        </w:rPr>
      </w:pPr>
      <w:r w:rsidRPr="00F54559">
        <w:rPr>
          <w:rFonts w:eastAsia="Times New Roman" w:cstheme="minorHAnsi"/>
          <w:sz w:val="24"/>
          <w:szCs w:val="24"/>
        </w:rPr>
        <w:t>Employees who participate in the Plan may also participate in the Optional Retirement Savings Plan (ORSP). The ORSP is a voluntary, employee-funded defined contribution plan. Employees may contribute up to 4% of their base pay and receive a 100% match from the System. The ORSP is administered by TIAA.</w:t>
      </w:r>
    </w:p>
    <w:p w14:paraId="34D3B424" w14:textId="77777777" w:rsidR="00721CFD" w:rsidRDefault="00721CFD" w:rsidP="00721CFD">
      <w:pPr>
        <w:rPr>
          <w:rFonts w:eastAsia="Times New Roman" w:cstheme="minorHAnsi"/>
          <w:sz w:val="24"/>
        </w:rPr>
      </w:pPr>
      <w:r w:rsidRPr="00F54559">
        <w:rPr>
          <w:rFonts w:eastAsia="Times New Roman" w:cstheme="minorHAnsi"/>
          <w:b/>
          <w:i/>
          <w:spacing w:val="-2"/>
          <w:sz w:val="24"/>
        </w:rPr>
        <w:t>Plan Membership:</w:t>
      </w:r>
      <w:r w:rsidRPr="00F54559">
        <w:rPr>
          <w:rFonts w:eastAsia="Times New Roman" w:cstheme="minorHAnsi"/>
          <w:b/>
          <w:spacing w:val="-2"/>
          <w:sz w:val="24"/>
        </w:rPr>
        <w:t xml:space="preserv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6"/>
          <w:sz w:val="24"/>
        </w:rPr>
        <w:t xml:space="preserve"> </w:t>
      </w:r>
      <w:r w:rsidRPr="00F54559">
        <w:rPr>
          <w:rFonts w:eastAsia="Times New Roman" w:cstheme="minorHAnsi"/>
          <w:sz w:val="24"/>
        </w:rPr>
        <w:t>P</w:t>
      </w:r>
      <w:r w:rsidRPr="00F54559">
        <w:rPr>
          <w:rFonts w:eastAsia="Times New Roman" w:cstheme="minorHAnsi"/>
          <w:spacing w:val="-1"/>
          <w:sz w:val="24"/>
        </w:rPr>
        <w:t>l</w:t>
      </w:r>
      <w:r w:rsidRPr="00F54559">
        <w:rPr>
          <w:rFonts w:eastAsia="Times New Roman" w:cstheme="minorHAnsi"/>
          <w:sz w:val="24"/>
        </w:rPr>
        <w:t>an</w:t>
      </w:r>
      <w:r w:rsidRPr="00F54559">
        <w:rPr>
          <w:rFonts w:eastAsia="Times New Roman" w:cstheme="minorHAnsi"/>
          <w:spacing w:val="-4"/>
          <w:sz w:val="24"/>
        </w:rPr>
        <w:t xml:space="preserve"> </w:t>
      </w:r>
      <w:r w:rsidRPr="00F54559">
        <w:rPr>
          <w:rFonts w:eastAsia="Times New Roman" w:cstheme="minorHAnsi"/>
          <w:sz w:val="24"/>
        </w:rPr>
        <w:t>is</w:t>
      </w:r>
      <w:r w:rsidRPr="00F54559">
        <w:rPr>
          <w:rFonts w:eastAsia="Times New Roman" w:cstheme="minorHAnsi"/>
          <w:spacing w:val="-4"/>
          <w:sz w:val="24"/>
        </w:rPr>
        <w:t xml:space="preserve"> </w:t>
      </w:r>
      <w:r w:rsidRPr="00F54559">
        <w:rPr>
          <w:rFonts w:eastAsia="Times New Roman" w:cstheme="minorHAnsi"/>
          <w:sz w:val="24"/>
        </w:rPr>
        <w:t>cl</w:t>
      </w:r>
      <w:r w:rsidRPr="00F54559">
        <w:rPr>
          <w:rFonts w:eastAsia="Times New Roman" w:cstheme="minorHAnsi"/>
          <w:spacing w:val="-1"/>
          <w:sz w:val="24"/>
        </w:rPr>
        <w:t>o</w:t>
      </w:r>
      <w:r w:rsidRPr="00F54559">
        <w:rPr>
          <w:rFonts w:eastAsia="Times New Roman" w:cstheme="minorHAnsi"/>
          <w:spacing w:val="1"/>
          <w:sz w:val="24"/>
        </w:rPr>
        <w:t>s</w:t>
      </w:r>
      <w:r w:rsidRPr="00F54559">
        <w:rPr>
          <w:rFonts w:eastAsia="Times New Roman" w:cstheme="minorHAnsi"/>
          <w:sz w:val="24"/>
        </w:rPr>
        <w:t>ed</w:t>
      </w:r>
      <w:r w:rsidRPr="00F54559">
        <w:rPr>
          <w:rFonts w:eastAsia="Times New Roman" w:cstheme="minorHAnsi"/>
          <w:spacing w:val="-4"/>
          <w:sz w:val="24"/>
        </w:rPr>
        <w:t xml:space="preserve"> </w:t>
      </w:r>
      <w:r w:rsidRPr="00F54559">
        <w:rPr>
          <w:rFonts w:eastAsia="Times New Roman" w:cstheme="minorHAnsi"/>
          <w:sz w:val="24"/>
        </w:rPr>
        <w:t>to</w:t>
      </w:r>
      <w:r w:rsidRPr="00F54559">
        <w:rPr>
          <w:rFonts w:eastAsia="Times New Roman" w:cstheme="minorHAnsi"/>
          <w:spacing w:val="-6"/>
          <w:sz w:val="24"/>
        </w:rPr>
        <w:t xml:space="preserve"> </w:t>
      </w:r>
      <w:r w:rsidRPr="00F54559">
        <w:rPr>
          <w:rFonts w:eastAsia="Times New Roman" w:cstheme="minorHAnsi"/>
          <w:sz w:val="24"/>
        </w:rPr>
        <w:t>new</w:t>
      </w:r>
      <w:r w:rsidRPr="00F54559">
        <w:rPr>
          <w:rFonts w:eastAsia="Times New Roman" w:cstheme="minorHAnsi"/>
          <w:spacing w:val="-5"/>
          <w:sz w:val="24"/>
        </w:rPr>
        <w:t xml:space="preserve"> </w:t>
      </w:r>
      <w:r w:rsidRPr="00F54559">
        <w:rPr>
          <w:rFonts w:eastAsia="Times New Roman" w:cstheme="minorHAnsi"/>
          <w:sz w:val="24"/>
        </w:rPr>
        <w:t>entrant</w:t>
      </w:r>
      <w:r w:rsidRPr="00F54559">
        <w:rPr>
          <w:rFonts w:eastAsia="Times New Roman" w:cstheme="minorHAnsi"/>
          <w:spacing w:val="1"/>
          <w:sz w:val="24"/>
        </w:rPr>
        <w:t>s</w:t>
      </w:r>
      <w:r w:rsidRPr="00F54559">
        <w:rPr>
          <w:rFonts w:eastAsia="Times New Roman" w:cstheme="minorHAnsi"/>
          <w:sz w:val="24"/>
        </w:rPr>
        <w:t xml:space="preserve">. </w:t>
      </w:r>
      <w:r w:rsidRPr="00F54559">
        <w:rPr>
          <w:rFonts w:eastAsia="Times New Roman" w:cstheme="minorHAnsi"/>
          <w:spacing w:val="-2"/>
          <w:sz w:val="24"/>
        </w:rPr>
        <w:t>A</w:t>
      </w:r>
      <w:r w:rsidRPr="00F54559">
        <w:rPr>
          <w:rFonts w:eastAsia="Times New Roman" w:cstheme="minorHAnsi"/>
          <w:sz w:val="24"/>
        </w:rPr>
        <w:t>t</w:t>
      </w:r>
      <w:r w:rsidRPr="00F54559">
        <w:rPr>
          <w:rFonts w:eastAsia="Times New Roman" w:cstheme="minorHAnsi"/>
          <w:spacing w:val="-5"/>
          <w:sz w:val="24"/>
        </w:rPr>
        <w:t xml:space="preserve"> </w:t>
      </w:r>
      <w:r w:rsidRPr="00F54559">
        <w:rPr>
          <w:rFonts w:eastAsia="Times New Roman" w:cstheme="minorHAnsi"/>
          <w:sz w:val="24"/>
        </w:rPr>
        <w:t>June</w:t>
      </w:r>
      <w:r w:rsidRPr="00F54559">
        <w:rPr>
          <w:rFonts w:eastAsia="Times New Roman" w:cstheme="minorHAnsi"/>
          <w:spacing w:val="-7"/>
          <w:sz w:val="24"/>
        </w:rPr>
        <w:t xml:space="preserve"> </w:t>
      </w:r>
      <w:r w:rsidRPr="00F54559">
        <w:rPr>
          <w:rFonts w:eastAsia="Times New Roman" w:cstheme="minorHAnsi"/>
          <w:sz w:val="24"/>
        </w:rPr>
        <w:t xml:space="preserve">30, </w:t>
      </w:r>
      <w:r w:rsidRPr="00F54559">
        <w:rPr>
          <w:rFonts w:eastAsia="Times New Roman" w:cstheme="minorHAnsi"/>
          <w:spacing w:val="-1"/>
          <w:sz w:val="24"/>
        </w:rPr>
        <w:t>p</w:t>
      </w:r>
      <w:r w:rsidRPr="00F54559">
        <w:rPr>
          <w:rFonts w:eastAsia="Times New Roman" w:cstheme="minorHAnsi"/>
          <w:sz w:val="24"/>
        </w:rPr>
        <w:t>ension</w:t>
      </w:r>
      <w:r w:rsidRPr="00F54559">
        <w:rPr>
          <w:rFonts w:eastAsia="Times New Roman" w:cstheme="minorHAnsi"/>
          <w:spacing w:val="-6"/>
          <w:sz w:val="24"/>
        </w:rPr>
        <w:t xml:space="preserve"> </w:t>
      </w:r>
      <w:r w:rsidRPr="00F54559">
        <w:rPr>
          <w:rFonts w:eastAsia="Times New Roman" w:cstheme="minorHAnsi"/>
          <w:sz w:val="24"/>
        </w:rPr>
        <w:t>p</w:t>
      </w:r>
      <w:r w:rsidRPr="00F54559">
        <w:rPr>
          <w:rFonts w:eastAsia="Times New Roman" w:cstheme="minorHAnsi"/>
          <w:spacing w:val="-1"/>
          <w:sz w:val="24"/>
        </w:rPr>
        <w:t>l</w:t>
      </w:r>
      <w:r w:rsidRPr="00F54559">
        <w:rPr>
          <w:rFonts w:eastAsia="Times New Roman" w:cstheme="minorHAnsi"/>
          <w:sz w:val="24"/>
        </w:rPr>
        <w:t>an</w:t>
      </w:r>
      <w:r w:rsidRPr="00F54559">
        <w:rPr>
          <w:rFonts w:eastAsia="Times New Roman" w:cstheme="minorHAnsi"/>
          <w:spacing w:val="-6"/>
          <w:sz w:val="24"/>
        </w:rPr>
        <w:t xml:space="preserve"> </w:t>
      </w:r>
      <w:r w:rsidRPr="00F54559">
        <w:rPr>
          <w:rFonts w:eastAsia="Times New Roman" w:cstheme="minorHAnsi"/>
          <w:sz w:val="24"/>
        </w:rPr>
        <w:t>mem</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pacing w:val="1"/>
          <w:sz w:val="24"/>
        </w:rPr>
        <w:t>s</w:t>
      </w:r>
      <w:r w:rsidRPr="00F54559">
        <w:rPr>
          <w:rFonts w:eastAsia="Times New Roman" w:cstheme="minorHAnsi"/>
          <w:sz w:val="24"/>
        </w:rPr>
        <w:t>hip</w:t>
      </w:r>
      <w:r w:rsidRPr="00F54559">
        <w:rPr>
          <w:rFonts w:eastAsia="Times New Roman" w:cstheme="minorHAnsi"/>
          <w:spacing w:val="-6"/>
          <w:sz w:val="24"/>
        </w:rPr>
        <w:t xml:space="preserve"> </w:t>
      </w:r>
      <w:r w:rsidRPr="00F54559">
        <w:rPr>
          <w:rFonts w:eastAsia="Times New Roman" w:cstheme="minorHAnsi"/>
          <w:sz w:val="24"/>
        </w:rPr>
        <w:t>consisted</w:t>
      </w:r>
      <w:r w:rsidRPr="00F54559">
        <w:rPr>
          <w:rFonts w:eastAsia="Times New Roman" w:cstheme="minorHAnsi"/>
          <w:spacing w:val="-6"/>
          <w:sz w:val="24"/>
        </w:rPr>
        <w:t xml:space="preserve"> </w:t>
      </w:r>
      <w:r w:rsidRPr="00F54559">
        <w:rPr>
          <w:rFonts w:eastAsia="Times New Roman" w:cstheme="minorHAnsi"/>
          <w:sz w:val="24"/>
        </w:rPr>
        <w:t>of</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7"/>
          <w:sz w:val="24"/>
        </w:rPr>
        <w:t xml:space="preserve"> </w:t>
      </w:r>
      <w:r w:rsidRPr="00F54559">
        <w:rPr>
          <w:rFonts w:eastAsia="Times New Roman" w:cstheme="minorHAnsi"/>
          <w:sz w:val="24"/>
        </w:rPr>
        <w:t>fo</w:t>
      </w:r>
      <w:r w:rsidRPr="00F54559">
        <w:rPr>
          <w:rFonts w:eastAsia="Times New Roman" w:cstheme="minorHAnsi"/>
          <w:spacing w:val="-1"/>
          <w:sz w:val="24"/>
        </w:rPr>
        <w:t>l</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wing:</w:t>
      </w:r>
    </w:p>
    <w:p w14:paraId="38B29EC2" w14:textId="77777777" w:rsidR="00721CFD" w:rsidRPr="006E44D1" w:rsidRDefault="00721CFD" w:rsidP="00721CFD">
      <w:pPr>
        <w:rPr>
          <w:rFonts w:ascii="Calibri" w:eastAsia="Times New Roman" w:hAnsi="Calibri" w:cs="Calibri"/>
          <w:b/>
          <w:bCs/>
          <w:color w:val="0D0D0D"/>
          <w:szCs w:val="24"/>
        </w:rPr>
      </w:pPr>
      <w:r w:rsidRPr="006E44D1">
        <w:rPr>
          <w:rFonts w:ascii="Calibri" w:eastAsia="Times New Roman" w:hAnsi="Calibri" w:cs="Calibri"/>
          <w:b/>
          <w:bCs/>
          <w:color w:val="0D0D0D"/>
          <w:szCs w:val="24"/>
        </w:rPr>
        <w:fldChar w:fldCharType="begin"/>
      </w:r>
      <w:r w:rsidRPr="006E44D1">
        <w:rPr>
          <w:rFonts w:ascii="Calibri" w:eastAsia="Times New Roman" w:hAnsi="Calibri" w:cs="Calibri"/>
          <w:b/>
          <w:bCs/>
          <w:color w:val="0D0D0D"/>
          <w:szCs w:val="24"/>
        </w:rPr>
        <w:fldChar w:fldCharType="end"/>
      </w:r>
    </w:p>
    <w:tbl>
      <w:tblPr>
        <w:tblW w:w="9062" w:type="dxa"/>
        <w:tblLayout w:type="fixed"/>
        <w:tblLook w:val="04A0" w:firstRow="1" w:lastRow="0" w:firstColumn="1" w:lastColumn="0" w:noHBand="0" w:noVBand="1"/>
      </w:tblPr>
      <w:tblGrid>
        <w:gridCol w:w="7290"/>
        <w:gridCol w:w="886"/>
        <w:gridCol w:w="886"/>
      </w:tblGrid>
      <w:tr w:rsidR="00721CFD" w:rsidRPr="001656E9" w14:paraId="6BDC6198" w14:textId="77777777" w:rsidTr="00FD47AB">
        <w:trPr>
          <w:trHeight w:val="261"/>
          <w:tblHeader/>
        </w:trPr>
        <w:tc>
          <w:tcPr>
            <w:tcW w:w="7290" w:type="dxa"/>
            <w:tcBorders>
              <w:top w:val="nil"/>
              <w:left w:val="nil"/>
              <w:bottom w:val="single" w:sz="12" w:space="0" w:color="00688D"/>
              <w:right w:val="nil"/>
            </w:tcBorders>
            <w:shd w:val="clear" w:color="000000" w:fill="FFFFFF"/>
            <w:noWrap/>
            <w:vAlign w:val="bottom"/>
            <w:hideMark/>
          </w:tcPr>
          <w:p w14:paraId="37815A39" w14:textId="77777777" w:rsidR="00721CFD" w:rsidRPr="001A18A6" w:rsidRDefault="00721CFD" w:rsidP="00FD47AB">
            <w:pPr>
              <w:rPr>
                <w:rFonts w:ascii="Calibri" w:eastAsia="Times New Roman" w:hAnsi="Calibri" w:cs="Calibri"/>
                <w:b/>
                <w:bCs/>
                <w:color w:val="0D0D0D"/>
                <w:szCs w:val="24"/>
              </w:rPr>
            </w:pPr>
            <w:r w:rsidRPr="001A18A6">
              <w:rPr>
                <w:rFonts w:ascii="Calibri" w:eastAsia="Times New Roman" w:hAnsi="Calibri" w:cs="Calibri"/>
                <w:b/>
                <w:bCs/>
                <w:color w:val="0D0D0D"/>
                <w:szCs w:val="24"/>
              </w:rPr>
              <w:t> </w:t>
            </w:r>
          </w:p>
        </w:tc>
        <w:tc>
          <w:tcPr>
            <w:tcW w:w="886" w:type="dxa"/>
            <w:tcBorders>
              <w:top w:val="nil"/>
              <w:left w:val="nil"/>
              <w:bottom w:val="single" w:sz="12" w:space="0" w:color="00688D"/>
              <w:right w:val="nil"/>
            </w:tcBorders>
            <w:shd w:val="clear" w:color="000000" w:fill="FFFFFF"/>
            <w:noWrap/>
            <w:vAlign w:val="bottom"/>
            <w:hideMark/>
          </w:tcPr>
          <w:p w14:paraId="786F017D" w14:textId="77777777" w:rsidR="00721CFD" w:rsidRPr="001A18A6" w:rsidRDefault="00721CFD" w:rsidP="00FD47AB">
            <w:pPr>
              <w:jc w:val="center"/>
              <w:rPr>
                <w:rFonts w:ascii="Calibri" w:eastAsia="Times New Roman" w:hAnsi="Calibri" w:cs="Calibri"/>
                <w:b/>
                <w:bCs/>
                <w:color w:val="0D0D0D"/>
                <w:szCs w:val="24"/>
              </w:rPr>
            </w:pPr>
            <w:r w:rsidRPr="001A18A6">
              <w:rPr>
                <w:rFonts w:ascii="Calibri" w:eastAsia="Times New Roman" w:hAnsi="Calibri" w:cs="Calibri"/>
                <w:b/>
                <w:bCs/>
                <w:color w:val="0D0D0D"/>
                <w:szCs w:val="24"/>
              </w:rPr>
              <w:t>202</w:t>
            </w:r>
            <w:r>
              <w:rPr>
                <w:rFonts w:ascii="Calibri" w:eastAsia="Times New Roman" w:hAnsi="Calibri" w:cs="Calibri"/>
                <w:b/>
                <w:bCs/>
                <w:color w:val="0D0D0D"/>
                <w:szCs w:val="24"/>
              </w:rPr>
              <w:t>2</w:t>
            </w:r>
          </w:p>
        </w:tc>
        <w:tc>
          <w:tcPr>
            <w:tcW w:w="886" w:type="dxa"/>
            <w:tcBorders>
              <w:top w:val="nil"/>
              <w:left w:val="nil"/>
              <w:bottom w:val="single" w:sz="12" w:space="0" w:color="00688D"/>
              <w:right w:val="nil"/>
            </w:tcBorders>
            <w:shd w:val="clear" w:color="auto" w:fill="D9D9D9" w:themeFill="background1" w:themeFillShade="D9"/>
            <w:vAlign w:val="bottom"/>
          </w:tcPr>
          <w:p w14:paraId="55990EDF" w14:textId="77777777" w:rsidR="00721CFD" w:rsidRPr="001A18A6" w:rsidRDefault="00721CFD" w:rsidP="00FD47AB">
            <w:pPr>
              <w:jc w:val="center"/>
              <w:rPr>
                <w:rFonts w:ascii="Calibri" w:eastAsia="Times New Roman" w:hAnsi="Calibri" w:cs="Calibri"/>
                <w:b/>
                <w:bCs/>
                <w:color w:val="0D0D0D"/>
                <w:szCs w:val="24"/>
              </w:rPr>
            </w:pPr>
            <w:r w:rsidRPr="001A18A6">
              <w:rPr>
                <w:rFonts w:ascii="Calibri" w:eastAsia="Times New Roman" w:hAnsi="Calibri" w:cs="Calibri"/>
                <w:b/>
                <w:bCs/>
                <w:color w:val="0D0D0D"/>
                <w:szCs w:val="24"/>
              </w:rPr>
              <w:t>202</w:t>
            </w:r>
            <w:r>
              <w:rPr>
                <w:rFonts w:ascii="Calibri" w:eastAsia="Times New Roman" w:hAnsi="Calibri" w:cs="Calibri"/>
                <w:b/>
                <w:bCs/>
                <w:color w:val="0D0D0D"/>
                <w:szCs w:val="24"/>
              </w:rPr>
              <w:t>1</w:t>
            </w:r>
          </w:p>
        </w:tc>
      </w:tr>
      <w:tr w:rsidR="00721CFD" w:rsidRPr="001656E9" w14:paraId="6493F361" w14:textId="77777777" w:rsidTr="007B5BB3">
        <w:trPr>
          <w:trHeight w:val="324"/>
        </w:trPr>
        <w:tc>
          <w:tcPr>
            <w:tcW w:w="7290" w:type="dxa"/>
            <w:tcBorders>
              <w:top w:val="nil"/>
              <w:left w:val="nil"/>
              <w:bottom w:val="nil"/>
              <w:right w:val="nil"/>
            </w:tcBorders>
            <w:shd w:val="clear" w:color="000000" w:fill="FFFFFF"/>
            <w:noWrap/>
            <w:vAlign w:val="bottom"/>
            <w:hideMark/>
          </w:tcPr>
          <w:p w14:paraId="0098E33B" w14:textId="77777777" w:rsidR="00721CFD" w:rsidRPr="001A18A6" w:rsidRDefault="00721CFD" w:rsidP="007B5BB3">
            <w:pPr>
              <w:rPr>
                <w:rFonts w:ascii="Calibri" w:eastAsia="Times New Roman" w:hAnsi="Calibri" w:cs="Calibri"/>
                <w:color w:val="0D0D0D"/>
                <w:szCs w:val="24"/>
              </w:rPr>
            </w:pPr>
            <w:r w:rsidRPr="001A18A6">
              <w:rPr>
                <w:rFonts w:ascii="Calibri" w:eastAsia="Times New Roman" w:hAnsi="Calibri" w:cs="Calibri"/>
                <w:color w:val="0D0D0D"/>
                <w:szCs w:val="24"/>
              </w:rPr>
              <w:t>Inactive plan participants or beneficiaries currently receiving benefits</w:t>
            </w:r>
          </w:p>
        </w:tc>
        <w:tc>
          <w:tcPr>
            <w:tcW w:w="886" w:type="dxa"/>
            <w:tcBorders>
              <w:top w:val="nil"/>
              <w:left w:val="nil"/>
              <w:bottom w:val="nil"/>
              <w:right w:val="nil"/>
            </w:tcBorders>
            <w:shd w:val="clear" w:color="000000" w:fill="FFFFFF"/>
            <w:noWrap/>
            <w:vAlign w:val="bottom"/>
            <w:hideMark/>
          </w:tcPr>
          <w:p w14:paraId="04520E34" w14:textId="77777777" w:rsidR="00721CFD" w:rsidRPr="00A93FB3" w:rsidRDefault="00721CFD" w:rsidP="007B5BB3">
            <w:pPr>
              <w:jc w:val="right"/>
              <w:rPr>
                <w:rFonts w:ascii="Calibri" w:eastAsia="Times New Roman" w:hAnsi="Calibri" w:cs="Calibri"/>
                <w:szCs w:val="24"/>
              </w:rPr>
            </w:pPr>
            <w:r w:rsidRPr="00A93FB3">
              <w:rPr>
                <w:rFonts w:ascii="Calibri" w:eastAsia="Times New Roman" w:hAnsi="Calibri" w:cs="Calibri"/>
                <w:szCs w:val="24"/>
              </w:rPr>
              <w:t>669</w:t>
            </w:r>
          </w:p>
        </w:tc>
        <w:tc>
          <w:tcPr>
            <w:tcW w:w="886" w:type="dxa"/>
            <w:tcBorders>
              <w:top w:val="nil"/>
              <w:left w:val="nil"/>
              <w:bottom w:val="nil"/>
              <w:right w:val="nil"/>
            </w:tcBorders>
            <w:shd w:val="clear" w:color="auto" w:fill="D9D9D9" w:themeFill="background1" w:themeFillShade="D9"/>
            <w:vAlign w:val="bottom"/>
          </w:tcPr>
          <w:p w14:paraId="5AF7841B" w14:textId="77777777" w:rsidR="00721CFD" w:rsidRPr="001A18A6" w:rsidRDefault="00721CFD" w:rsidP="007B5BB3">
            <w:pPr>
              <w:jc w:val="right"/>
              <w:rPr>
                <w:rFonts w:ascii="Calibri" w:eastAsia="Times New Roman" w:hAnsi="Calibri" w:cs="Calibri"/>
                <w:color w:val="0D0D0D"/>
                <w:szCs w:val="24"/>
              </w:rPr>
            </w:pPr>
            <w:r w:rsidRPr="001A18A6">
              <w:rPr>
                <w:rFonts w:ascii="Calibri" w:eastAsia="Times New Roman" w:hAnsi="Calibri" w:cs="Calibri"/>
                <w:color w:val="0D0D0D"/>
                <w:szCs w:val="24"/>
              </w:rPr>
              <w:t>7</w:t>
            </w:r>
            <w:r>
              <w:rPr>
                <w:rFonts w:ascii="Calibri" w:eastAsia="Times New Roman" w:hAnsi="Calibri" w:cs="Calibri"/>
                <w:color w:val="0D0D0D"/>
                <w:szCs w:val="24"/>
              </w:rPr>
              <w:t>00</w:t>
            </w:r>
          </w:p>
        </w:tc>
      </w:tr>
      <w:tr w:rsidR="00721CFD" w:rsidRPr="001656E9" w14:paraId="0EC99014" w14:textId="77777777" w:rsidTr="007B5BB3">
        <w:trPr>
          <w:trHeight w:val="312"/>
        </w:trPr>
        <w:tc>
          <w:tcPr>
            <w:tcW w:w="7290" w:type="dxa"/>
            <w:tcBorders>
              <w:top w:val="nil"/>
              <w:left w:val="nil"/>
              <w:bottom w:val="nil"/>
              <w:right w:val="nil"/>
            </w:tcBorders>
            <w:shd w:val="clear" w:color="000000" w:fill="FFFFFF"/>
            <w:noWrap/>
            <w:vAlign w:val="bottom"/>
            <w:hideMark/>
          </w:tcPr>
          <w:p w14:paraId="1AECBC96" w14:textId="77777777" w:rsidR="00721CFD" w:rsidRPr="001A18A6" w:rsidRDefault="00721CFD" w:rsidP="007B5BB3">
            <w:pPr>
              <w:rPr>
                <w:rFonts w:ascii="Calibri" w:eastAsia="Times New Roman" w:hAnsi="Calibri" w:cs="Calibri"/>
                <w:color w:val="0D0D0D"/>
                <w:szCs w:val="24"/>
              </w:rPr>
            </w:pPr>
            <w:r w:rsidRPr="001A18A6">
              <w:rPr>
                <w:rFonts w:ascii="Calibri" w:eastAsia="Times New Roman" w:hAnsi="Calibri" w:cs="Calibri"/>
                <w:color w:val="0D0D0D"/>
                <w:szCs w:val="24"/>
              </w:rPr>
              <w:t>Inactive plan participants entitled to but not yet receiving benefits</w:t>
            </w:r>
          </w:p>
        </w:tc>
        <w:tc>
          <w:tcPr>
            <w:tcW w:w="886" w:type="dxa"/>
            <w:tcBorders>
              <w:top w:val="nil"/>
              <w:left w:val="nil"/>
              <w:bottom w:val="nil"/>
              <w:right w:val="nil"/>
            </w:tcBorders>
            <w:shd w:val="clear" w:color="000000" w:fill="FFFFFF"/>
            <w:noWrap/>
            <w:vAlign w:val="bottom"/>
            <w:hideMark/>
          </w:tcPr>
          <w:p w14:paraId="070B92FF" w14:textId="77777777" w:rsidR="00721CFD" w:rsidRPr="00A93FB3" w:rsidRDefault="00721CFD" w:rsidP="007B5BB3">
            <w:pPr>
              <w:jc w:val="right"/>
              <w:rPr>
                <w:rFonts w:ascii="Calibri" w:eastAsia="Times New Roman" w:hAnsi="Calibri" w:cs="Calibri"/>
                <w:szCs w:val="24"/>
              </w:rPr>
            </w:pPr>
            <w:r w:rsidRPr="00A93FB3">
              <w:rPr>
                <w:rFonts w:ascii="Calibri" w:eastAsia="Times New Roman" w:hAnsi="Calibri" w:cs="Calibri"/>
                <w:szCs w:val="24"/>
              </w:rPr>
              <w:t>187</w:t>
            </w:r>
          </w:p>
        </w:tc>
        <w:tc>
          <w:tcPr>
            <w:tcW w:w="886" w:type="dxa"/>
            <w:tcBorders>
              <w:top w:val="nil"/>
              <w:left w:val="nil"/>
              <w:bottom w:val="nil"/>
              <w:right w:val="nil"/>
            </w:tcBorders>
            <w:shd w:val="clear" w:color="auto" w:fill="D9D9D9" w:themeFill="background1" w:themeFillShade="D9"/>
            <w:vAlign w:val="bottom"/>
          </w:tcPr>
          <w:p w14:paraId="62130592" w14:textId="77777777" w:rsidR="00721CFD" w:rsidRPr="001A18A6" w:rsidRDefault="00721CFD" w:rsidP="007B5BB3">
            <w:pPr>
              <w:jc w:val="right"/>
              <w:rPr>
                <w:rFonts w:ascii="Calibri" w:eastAsia="Times New Roman" w:hAnsi="Calibri" w:cs="Calibri"/>
                <w:color w:val="0D0D0D"/>
                <w:szCs w:val="24"/>
              </w:rPr>
            </w:pPr>
            <w:r w:rsidRPr="001A18A6">
              <w:rPr>
                <w:rFonts w:ascii="Calibri" w:eastAsia="Times New Roman" w:hAnsi="Calibri" w:cs="Calibri"/>
                <w:color w:val="0D0D0D"/>
                <w:szCs w:val="24"/>
              </w:rPr>
              <w:t>19</w:t>
            </w:r>
            <w:r>
              <w:rPr>
                <w:rFonts w:ascii="Calibri" w:eastAsia="Times New Roman" w:hAnsi="Calibri" w:cs="Calibri"/>
                <w:color w:val="0D0D0D"/>
                <w:szCs w:val="24"/>
              </w:rPr>
              <w:t>1</w:t>
            </w:r>
          </w:p>
        </w:tc>
      </w:tr>
      <w:tr w:rsidR="00721CFD" w:rsidRPr="001656E9" w14:paraId="41F6250E" w14:textId="77777777" w:rsidTr="007B5BB3">
        <w:trPr>
          <w:trHeight w:val="312"/>
        </w:trPr>
        <w:tc>
          <w:tcPr>
            <w:tcW w:w="7290" w:type="dxa"/>
            <w:tcBorders>
              <w:top w:val="nil"/>
              <w:left w:val="nil"/>
              <w:bottom w:val="nil"/>
              <w:right w:val="nil"/>
            </w:tcBorders>
            <w:shd w:val="clear" w:color="000000" w:fill="FFFFFF"/>
            <w:noWrap/>
            <w:vAlign w:val="bottom"/>
            <w:hideMark/>
          </w:tcPr>
          <w:p w14:paraId="65A9012A" w14:textId="77777777" w:rsidR="00721CFD" w:rsidRPr="001A18A6" w:rsidRDefault="00721CFD" w:rsidP="007B5BB3">
            <w:pPr>
              <w:rPr>
                <w:rFonts w:ascii="Calibri" w:eastAsia="Times New Roman" w:hAnsi="Calibri" w:cs="Calibri"/>
                <w:color w:val="0D0D0D"/>
                <w:szCs w:val="24"/>
              </w:rPr>
            </w:pPr>
            <w:r w:rsidRPr="001A18A6">
              <w:rPr>
                <w:rFonts w:ascii="Calibri" w:eastAsia="Times New Roman" w:hAnsi="Calibri" w:cs="Calibri"/>
                <w:color w:val="0D0D0D"/>
                <w:szCs w:val="24"/>
              </w:rPr>
              <w:t>Active plan participants</w:t>
            </w:r>
          </w:p>
        </w:tc>
        <w:tc>
          <w:tcPr>
            <w:tcW w:w="886" w:type="dxa"/>
            <w:tcBorders>
              <w:top w:val="nil"/>
              <w:left w:val="nil"/>
              <w:bottom w:val="nil"/>
              <w:right w:val="nil"/>
            </w:tcBorders>
            <w:shd w:val="clear" w:color="000000" w:fill="FFFFFF"/>
            <w:noWrap/>
            <w:vAlign w:val="bottom"/>
            <w:hideMark/>
          </w:tcPr>
          <w:p w14:paraId="1F9EA76A" w14:textId="77777777" w:rsidR="00721CFD" w:rsidRPr="00A93FB3" w:rsidRDefault="00721CFD" w:rsidP="007B5BB3">
            <w:pPr>
              <w:jc w:val="right"/>
              <w:rPr>
                <w:rFonts w:ascii="Calibri" w:eastAsia="Times New Roman" w:hAnsi="Calibri" w:cs="Calibri"/>
                <w:szCs w:val="24"/>
              </w:rPr>
            </w:pPr>
            <w:r w:rsidRPr="00A93FB3">
              <w:rPr>
                <w:rFonts w:ascii="Calibri" w:eastAsia="Times New Roman" w:hAnsi="Calibri" w:cs="Calibri"/>
                <w:szCs w:val="24"/>
              </w:rPr>
              <w:t>1</w:t>
            </w:r>
          </w:p>
        </w:tc>
        <w:tc>
          <w:tcPr>
            <w:tcW w:w="886" w:type="dxa"/>
            <w:tcBorders>
              <w:top w:val="nil"/>
              <w:left w:val="nil"/>
              <w:bottom w:val="nil"/>
              <w:right w:val="nil"/>
            </w:tcBorders>
            <w:shd w:val="clear" w:color="auto" w:fill="D9D9D9" w:themeFill="background1" w:themeFillShade="D9"/>
            <w:vAlign w:val="bottom"/>
          </w:tcPr>
          <w:p w14:paraId="24894A5A" w14:textId="77777777" w:rsidR="00721CFD" w:rsidRPr="001A18A6" w:rsidRDefault="00721CFD" w:rsidP="007B5BB3">
            <w:pPr>
              <w:jc w:val="right"/>
              <w:rPr>
                <w:rFonts w:ascii="Calibri" w:eastAsia="Times New Roman" w:hAnsi="Calibri" w:cs="Calibri"/>
                <w:color w:val="0D0D0D"/>
                <w:szCs w:val="24"/>
              </w:rPr>
            </w:pPr>
            <w:r>
              <w:rPr>
                <w:rFonts w:ascii="Calibri" w:eastAsia="Times New Roman" w:hAnsi="Calibri" w:cs="Calibri"/>
                <w:color w:val="0D0D0D"/>
                <w:szCs w:val="24"/>
              </w:rPr>
              <w:t>2</w:t>
            </w:r>
          </w:p>
        </w:tc>
      </w:tr>
      <w:tr w:rsidR="00721CFD" w:rsidRPr="001656E9" w14:paraId="7D5CD99A" w14:textId="77777777" w:rsidTr="007B5BB3">
        <w:trPr>
          <w:trHeight w:val="324"/>
        </w:trPr>
        <w:tc>
          <w:tcPr>
            <w:tcW w:w="7290" w:type="dxa"/>
            <w:tcBorders>
              <w:top w:val="single" w:sz="4" w:space="0" w:color="00688D"/>
              <w:left w:val="nil"/>
              <w:bottom w:val="double" w:sz="6" w:space="0" w:color="00688D"/>
              <w:right w:val="nil"/>
            </w:tcBorders>
            <w:shd w:val="clear" w:color="000000" w:fill="FFFFFF"/>
            <w:noWrap/>
            <w:vAlign w:val="bottom"/>
            <w:hideMark/>
          </w:tcPr>
          <w:p w14:paraId="1AF85312" w14:textId="77777777" w:rsidR="00721CFD" w:rsidRPr="001A18A6" w:rsidRDefault="00721CFD" w:rsidP="007B5BB3">
            <w:pPr>
              <w:rPr>
                <w:rFonts w:ascii="Calibri" w:eastAsia="Times New Roman" w:hAnsi="Calibri" w:cs="Calibri"/>
                <w:color w:val="0D0D0D"/>
                <w:szCs w:val="24"/>
              </w:rPr>
            </w:pPr>
            <w:r w:rsidRPr="001A18A6">
              <w:rPr>
                <w:rFonts w:ascii="Calibri" w:eastAsia="Times New Roman" w:hAnsi="Calibri" w:cs="Calibri"/>
                <w:color w:val="0D0D0D"/>
                <w:szCs w:val="24"/>
              </w:rPr>
              <w:t>Total plan participants</w:t>
            </w:r>
          </w:p>
        </w:tc>
        <w:tc>
          <w:tcPr>
            <w:tcW w:w="886" w:type="dxa"/>
            <w:tcBorders>
              <w:top w:val="single" w:sz="4" w:space="0" w:color="00688D"/>
              <w:left w:val="nil"/>
              <w:bottom w:val="double" w:sz="6" w:space="0" w:color="00688D"/>
              <w:right w:val="nil"/>
            </w:tcBorders>
            <w:shd w:val="clear" w:color="000000" w:fill="FFFFFF"/>
            <w:noWrap/>
            <w:vAlign w:val="bottom"/>
            <w:hideMark/>
          </w:tcPr>
          <w:p w14:paraId="439789DE" w14:textId="77777777" w:rsidR="00721CFD" w:rsidRPr="00A93FB3" w:rsidRDefault="00721CFD" w:rsidP="007B5BB3">
            <w:pPr>
              <w:jc w:val="right"/>
              <w:rPr>
                <w:rFonts w:ascii="Calibri" w:eastAsia="Times New Roman" w:hAnsi="Calibri" w:cs="Calibri"/>
                <w:szCs w:val="24"/>
              </w:rPr>
            </w:pPr>
            <w:r w:rsidRPr="00A93FB3">
              <w:rPr>
                <w:rFonts w:ascii="Calibri" w:eastAsia="Times New Roman" w:hAnsi="Calibri" w:cs="Calibri"/>
                <w:szCs w:val="24"/>
              </w:rPr>
              <w:t>857</w:t>
            </w:r>
          </w:p>
        </w:tc>
        <w:tc>
          <w:tcPr>
            <w:tcW w:w="886" w:type="dxa"/>
            <w:tcBorders>
              <w:top w:val="single" w:sz="4" w:space="0" w:color="00688D"/>
              <w:left w:val="nil"/>
              <w:bottom w:val="double" w:sz="6" w:space="0" w:color="00688D"/>
              <w:right w:val="nil"/>
            </w:tcBorders>
            <w:shd w:val="clear" w:color="auto" w:fill="D9D9D9" w:themeFill="background1" w:themeFillShade="D9"/>
            <w:vAlign w:val="bottom"/>
          </w:tcPr>
          <w:p w14:paraId="2790E98F" w14:textId="77777777" w:rsidR="00721CFD" w:rsidRPr="001A18A6" w:rsidRDefault="00721CFD" w:rsidP="007B5BB3">
            <w:pPr>
              <w:jc w:val="right"/>
              <w:rPr>
                <w:rFonts w:ascii="Calibri" w:eastAsia="Times New Roman" w:hAnsi="Calibri" w:cs="Calibri"/>
                <w:color w:val="0D0D0D"/>
                <w:szCs w:val="24"/>
              </w:rPr>
            </w:pPr>
            <w:r>
              <w:rPr>
                <w:rFonts w:ascii="Calibri" w:eastAsia="Times New Roman" w:hAnsi="Calibri" w:cs="Calibri"/>
                <w:color w:val="0D0D0D"/>
                <w:szCs w:val="24"/>
              </w:rPr>
              <w:t>893</w:t>
            </w:r>
          </w:p>
        </w:tc>
      </w:tr>
    </w:tbl>
    <w:p w14:paraId="25E98C6D" w14:textId="77777777" w:rsidR="00FD47AB" w:rsidRDefault="00FD47AB">
      <w:pPr>
        <w:spacing w:after="160" w:line="259" w:lineRule="auto"/>
        <w:rPr>
          <w:rFonts w:eastAsia="Times New Roman" w:cstheme="minorHAnsi"/>
          <w:b/>
          <w:i/>
          <w:spacing w:val="-1"/>
          <w:sz w:val="24"/>
        </w:rPr>
      </w:pPr>
      <w:r>
        <w:rPr>
          <w:rFonts w:eastAsia="Times New Roman" w:cstheme="minorHAnsi"/>
          <w:b/>
          <w:i/>
          <w:spacing w:val="-1"/>
          <w:sz w:val="24"/>
        </w:rPr>
        <w:br w:type="page"/>
      </w:r>
    </w:p>
    <w:p w14:paraId="4960EE8A" w14:textId="77777777" w:rsidR="00FD47AB" w:rsidRPr="009014A7" w:rsidRDefault="00FD47AB" w:rsidP="00E266A6">
      <w:pPr>
        <w:spacing w:before="240" w:after="240"/>
        <w:ind w:right="-7"/>
        <w:rPr>
          <w:rFonts w:cstheme="minorHAnsi"/>
          <w:b/>
          <w:i/>
          <w:sz w:val="26"/>
          <w:u w:val="single" w:color="000000" w:themeColor="text1"/>
        </w:rPr>
      </w:pPr>
      <w:r>
        <w:rPr>
          <w:rFonts w:cstheme="minorHAnsi"/>
          <w:b/>
          <w:i/>
          <w:sz w:val="26"/>
          <w:u w:val="single" w:color="000000" w:themeColor="text1"/>
        </w:rPr>
        <w:lastRenderedPageBreak/>
        <w:t>13</w:t>
      </w:r>
      <w:r w:rsidRPr="00F54559">
        <w:rPr>
          <w:rFonts w:cstheme="minorHAnsi"/>
          <w:b/>
          <w:i/>
          <w:sz w:val="26"/>
          <w:u w:val="single" w:color="000000" w:themeColor="text1"/>
        </w:rPr>
        <w:t>d. Defined Benefit Plan – Classified Employees – continued</w:t>
      </w:r>
    </w:p>
    <w:p w14:paraId="34E7B59E" w14:textId="572B55E5" w:rsidR="00721CFD" w:rsidRPr="00F54559" w:rsidRDefault="00721CFD" w:rsidP="00FD47AB">
      <w:pPr>
        <w:spacing w:before="240" w:after="200"/>
        <w:ind w:right="-7"/>
        <w:rPr>
          <w:rFonts w:eastAsia="Times New Roman" w:cstheme="minorHAnsi"/>
          <w:sz w:val="24"/>
        </w:rPr>
      </w:pPr>
      <w:r w:rsidRPr="00F54559">
        <w:rPr>
          <w:rFonts w:eastAsia="Times New Roman" w:cstheme="minorHAnsi"/>
          <w:b/>
          <w:i/>
          <w:spacing w:val="-1"/>
          <w:sz w:val="24"/>
        </w:rPr>
        <w:t>Contributions:</w:t>
      </w:r>
      <w:r w:rsidRPr="00F54559">
        <w:rPr>
          <w:rFonts w:eastAsia="Times New Roman" w:cstheme="minorHAnsi"/>
          <w:spacing w:val="-1"/>
          <w:sz w:val="24"/>
        </w:rPr>
        <w:t xml:space="preserve"> The System</w:t>
      </w:r>
      <w:r w:rsidRPr="00F54559">
        <w:rPr>
          <w:rFonts w:eastAsia="Times New Roman" w:cstheme="minorHAnsi"/>
          <w:spacing w:val="2"/>
          <w:sz w:val="24"/>
        </w:rPr>
        <w:t xml:space="preserve"> </w:t>
      </w:r>
      <w:r w:rsidRPr="00F54559">
        <w:rPr>
          <w:rFonts w:eastAsia="Times New Roman" w:cstheme="minorHAnsi"/>
          <w:sz w:val="24"/>
        </w:rPr>
        <w:t>ado</w:t>
      </w:r>
      <w:r w:rsidRPr="00F54559">
        <w:rPr>
          <w:rFonts w:eastAsia="Times New Roman" w:cstheme="minorHAnsi"/>
          <w:spacing w:val="-2"/>
          <w:sz w:val="24"/>
        </w:rPr>
        <w:t>p</w:t>
      </w:r>
      <w:r w:rsidRPr="00F54559">
        <w:rPr>
          <w:rFonts w:eastAsia="Times New Roman" w:cstheme="minorHAnsi"/>
          <w:sz w:val="24"/>
        </w:rPr>
        <w:t>ted</w:t>
      </w:r>
      <w:r w:rsidRPr="00F54559">
        <w:rPr>
          <w:rFonts w:eastAsia="Times New Roman" w:cstheme="minorHAnsi"/>
          <w:spacing w:val="4"/>
          <w:sz w:val="24"/>
        </w:rPr>
        <w:t xml:space="preserve"> </w:t>
      </w:r>
      <w:r w:rsidRPr="00F54559">
        <w:rPr>
          <w:rFonts w:eastAsia="Times New Roman" w:cstheme="minorHAnsi"/>
          <w:sz w:val="24"/>
        </w:rPr>
        <w:t>a</w:t>
      </w:r>
      <w:r w:rsidRPr="00F54559">
        <w:rPr>
          <w:rFonts w:eastAsia="Times New Roman" w:cstheme="minorHAnsi"/>
          <w:spacing w:val="3"/>
          <w:sz w:val="24"/>
        </w:rPr>
        <w:t xml:space="preserve"> </w:t>
      </w:r>
      <w:r w:rsidRPr="00F54559">
        <w:rPr>
          <w:rFonts w:eastAsia="Times New Roman" w:cstheme="minorHAnsi"/>
          <w:sz w:val="24"/>
        </w:rPr>
        <w:t>fun</w:t>
      </w:r>
      <w:r w:rsidRPr="00F54559">
        <w:rPr>
          <w:rFonts w:eastAsia="Times New Roman" w:cstheme="minorHAnsi"/>
          <w:spacing w:val="1"/>
          <w:sz w:val="24"/>
        </w:rPr>
        <w:t>d</w:t>
      </w:r>
      <w:r w:rsidRPr="00F54559">
        <w:rPr>
          <w:rFonts w:eastAsia="Times New Roman" w:cstheme="minorHAnsi"/>
          <w:sz w:val="24"/>
        </w:rPr>
        <w:t>ing</w:t>
      </w:r>
      <w:r w:rsidRPr="00F54559">
        <w:rPr>
          <w:rFonts w:eastAsia="Times New Roman" w:cstheme="minorHAnsi"/>
          <w:spacing w:val="4"/>
          <w:sz w:val="24"/>
        </w:rPr>
        <w:t xml:space="preserve"> </w:t>
      </w:r>
      <w:r w:rsidRPr="00F54559">
        <w:rPr>
          <w:rFonts w:eastAsia="Times New Roman" w:cstheme="minorHAnsi"/>
          <w:spacing w:val="1"/>
          <w:sz w:val="24"/>
        </w:rPr>
        <w:t>s</w:t>
      </w:r>
      <w:r w:rsidRPr="00F54559">
        <w:rPr>
          <w:rFonts w:eastAsia="Times New Roman" w:cstheme="minorHAnsi"/>
          <w:sz w:val="24"/>
        </w:rPr>
        <w:t>t</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egy</w:t>
      </w:r>
      <w:r w:rsidRPr="00F54559">
        <w:rPr>
          <w:rFonts w:eastAsia="Times New Roman" w:cstheme="minorHAnsi"/>
          <w:spacing w:val="1"/>
          <w:sz w:val="24"/>
        </w:rPr>
        <w:t xml:space="preserve"> </w:t>
      </w:r>
      <w:r w:rsidRPr="00F54559">
        <w:rPr>
          <w:rFonts w:eastAsia="Times New Roman" w:cstheme="minorHAnsi"/>
          <w:sz w:val="24"/>
        </w:rPr>
        <w:t>for</w:t>
      </w:r>
      <w:r w:rsidRPr="00F54559">
        <w:rPr>
          <w:rFonts w:eastAsia="Times New Roman" w:cstheme="minorHAnsi"/>
          <w:spacing w:val="2"/>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pacing w:val="-1"/>
          <w:sz w:val="24"/>
        </w:rPr>
        <w:t>P</w:t>
      </w:r>
      <w:r w:rsidRPr="00F54559">
        <w:rPr>
          <w:rFonts w:eastAsia="Times New Roman" w:cstheme="minorHAnsi"/>
          <w:sz w:val="24"/>
        </w:rPr>
        <w:t>lan</w:t>
      </w:r>
      <w:r w:rsidRPr="00F54559">
        <w:rPr>
          <w:rFonts w:eastAsia="Times New Roman" w:cstheme="minorHAnsi"/>
          <w:spacing w:val="2"/>
          <w:sz w:val="24"/>
        </w:rPr>
        <w:t xml:space="preserve"> </w:t>
      </w:r>
      <w:r w:rsidRPr="00F54559">
        <w:rPr>
          <w:rFonts w:eastAsia="Times New Roman" w:cstheme="minorHAnsi"/>
          <w:spacing w:val="-1"/>
          <w:sz w:val="24"/>
        </w:rPr>
        <w:t>o</w:t>
      </w:r>
      <w:r w:rsidRPr="00F54559">
        <w:rPr>
          <w:rFonts w:eastAsia="Times New Roman" w:cstheme="minorHAnsi"/>
          <w:sz w:val="24"/>
        </w:rPr>
        <w:t>n</w:t>
      </w:r>
      <w:r w:rsidRPr="00F54559">
        <w:rPr>
          <w:rFonts w:eastAsia="Times New Roman" w:cstheme="minorHAnsi"/>
          <w:spacing w:val="1"/>
          <w:sz w:val="24"/>
        </w:rPr>
        <w:t xml:space="preserve"> </w:t>
      </w:r>
      <w:r w:rsidRPr="00F54559">
        <w:rPr>
          <w:rFonts w:eastAsia="Times New Roman" w:cstheme="minorHAnsi"/>
          <w:sz w:val="24"/>
        </w:rPr>
        <w:t>F</w:t>
      </w:r>
      <w:r w:rsidRPr="00F54559">
        <w:rPr>
          <w:rFonts w:eastAsia="Times New Roman" w:cstheme="minorHAnsi"/>
          <w:spacing w:val="-1"/>
          <w:sz w:val="24"/>
        </w:rPr>
        <w:t>e</w:t>
      </w:r>
      <w:r w:rsidRPr="00F54559">
        <w:rPr>
          <w:rFonts w:eastAsia="Times New Roman" w:cstheme="minorHAnsi"/>
          <w:sz w:val="24"/>
        </w:rPr>
        <w:t>b</w:t>
      </w:r>
      <w:r w:rsidRPr="00F54559">
        <w:rPr>
          <w:rFonts w:eastAsia="Times New Roman" w:cstheme="minorHAnsi"/>
          <w:spacing w:val="-1"/>
          <w:sz w:val="24"/>
        </w:rPr>
        <w:t>r</w:t>
      </w:r>
      <w:r w:rsidRPr="00F54559">
        <w:rPr>
          <w:rFonts w:eastAsia="Times New Roman" w:cstheme="minorHAnsi"/>
          <w:sz w:val="24"/>
        </w:rPr>
        <w:t>ua</w:t>
      </w:r>
      <w:r w:rsidRPr="00F54559">
        <w:rPr>
          <w:rFonts w:eastAsia="Times New Roman" w:cstheme="minorHAnsi"/>
          <w:spacing w:val="-1"/>
          <w:sz w:val="24"/>
        </w:rPr>
        <w:t>r</w:t>
      </w:r>
      <w:r w:rsidRPr="00F54559">
        <w:rPr>
          <w:rFonts w:eastAsia="Times New Roman" w:cstheme="minorHAnsi"/>
          <w:sz w:val="24"/>
        </w:rPr>
        <w:t>y</w:t>
      </w:r>
      <w:r w:rsidRPr="00F54559">
        <w:rPr>
          <w:rFonts w:eastAsia="Times New Roman" w:cstheme="minorHAnsi"/>
          <w:spacing w:val="3"/>
          <w:sz w:val="24"/>
        </w:rPr>
        <w:t xml:space="preserve"> </w:t>
      </w:r>
      <w:r w:rsidRPr="00F54559">
        <w:rPr>
          <w:rFonts w:eastAsia="Times New Roman" w:cstheme="minorHAnsi"/>
          <w:sz w:val="24"/>
        </w:rPr>
        <w:t>27,</w:t>
      </w:r>
      <w:r w:rsidRPr="00F54559">
        <w:rPr>
          <w:rFonts w:eastAsia="Times New Roman" w:cstheme="minorHAnsi"/>
          <w:spacing w:val="1"/>
          <w:sz w:val="24"/>
        </w:rPr>
        <w:t xml:space="preserve"> </w:t>
      </w:r>
      <w:r w:rsidRPr="00F54559">
        <w:rPr>
          <w:rFonts w:eastAsia="Times New Roman" w:cstheme="minorHAnsi"/>
          <w:sz w:val="24"/>
        </w:rPr>
        <w:t xml:space="preserve">2014.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1"/>
          <w:sz w:val="24"/>
        </w:rPr>
        <w:t xml:space="preserve"> </w:t>
      </w:r>
      <w:r w:rsidRPr="00F54559">
        <w:rPr>
          <w:rFonts w:eastAsia="Times New Roman" w:cstheme="minorHAnsi"/>
          <w:spacing w:val="-1"/>
          <w:sz w:val="24"/>
        </w:rPr>
        <w:t>System’s</w:t>
      </w:r>
      <w:r w:rsidRPr="00F54559">
        <w:rPr>
          <w:rFonts w:eastAsia="Times New Roman" w:cstheme="minorHAnsi"/>
          <w:spacing w:val="3"/>
          <w:sz w:val="24"/>
        </w:rPr>
        <w:t xml:space="preserve"> </w:t>
      </w:r>
      <w:r w:rsidRPr="00F54559">
        <w:rPr>
          <w:rFonts w:eastAsia="Times New Roman" w:cstheme="minorHAnsi"/>
          <w:sz w:val="24"/>
        </w:rPr>
        <w:t>fun</w:t>
      </w:r>
      <w:r w:rsidRPr="00F54559">
        <w:rPr>
          <w:rFonts w:eastAsia="Times New Roman" w:cstheme="minorHAnsi"/>
          <w:spacing w:val="1"/>
          <w:sz w:val="24"/>
        </w:rPr>
        <w:t>d</w:t>
      </w:r>
      <w:r w:rsidRPr="00F54559">
        <w:rPr>
          <w:rFonts w:eastAsia="Times New Roman" w:cstheme="minorHAnsi"/>
          <w:sz w:val="24"/>
        </w:rPr>
        <w:t>ing</w:t>
      </w:r>
      <w:r w:rsidRPr="00F54559">
        <w:rPr>
          <w:rFonts w:eastAsia="Times New Roman" w:cstheme="minorHAnsi"/>
          <w:spacing w:val="2"/>
          <w:sz w:val="24"/>
        </w:rPr>
        <w:t xml:space="preserve"> </w:t>
      </w:r>
      <w:r w:rsidRPr="00F54559">
        <w:rPr>
          <w:rFonts w:eastAsia="Times New Roman" w:cstheme="minorHAnsi"/>
          <w:spacing w:val="1"/>
          <w:sz w:val="24"/>
        </w:rPr>
        <w:t>s</w:t>
      </w:r>
      <w:r w:rsidRPr="00F54559">
        <w:rPr>
          <w:rFonts w:eastAsia="Times New Roman" w:cstheme="minorHAnsi"/>
          <w:sz w:val="24"/>
        </w:rPr>
        <w:t>t</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egy</w:t>
      </w:r>
      <w:r w:rsidRPr="00F54559">
        <w:rPr>
          <w:rFonts w:eastAsia="Times New Roman" w:cstheme="minorHAnsi"/>
          <w:spacing w:val="3"/>
          <w:sz w:val="24"/>
        </w:rPr>
        <w:t xml:space="preserve"> </w:t>
      </w:r>
      <w:r w:rsidRPr="00F54559">
        <w:rPr>
          <w:rFonts w:eastAsia="Times New Roman" w:cstheme="minorHAnsi"/>
          <w:sz w:val="24"/>
        </w:rPr>
        <w:t>foll</w:t>
      </w:r>
      <w:r w:rsidRPr="00F54559">
        <w:rPr>
          <w:rFonts w:eastAsia="Times New Roman" w:cstheme="minorHAnsi"/>
          <w:spacing w:val="-1"/>
          <w:sz w:val="24"/>
        </w:rPr>
        <w:t>o</w:t>
      </w:r>
      <w:r w:rsidRPr="00F54559">
        <w:rPr>
          <w:rFonts w:eastAsia="Times New Roman" w:cstheme="minorHAnsi"/>
          <w:sz w:val="24"/>
        </w:rPr>
        <w:t>ws</w:t>
      </w:r>
      <w:r w:rsidRPr="00F54559">
        <w:rPr>
          <w:rFonts w:eastAsia="Times New Roman" w:cstheme="minorHAnsi"/>
          <w:spacing w:val="2"/>
          <w:sz w:val="24"/>
        </w:rPr>
        <w:t xml:space="preserve"> </w:t>
      </w:r>
      <w:r w:rsidRPr="00F54559">
        <w:rPr>
          <w:rFonts w:eastAsia="Times New Roman" w:cstheme="minorHAnsi"/>
          <w:sz w:val="24"/>
        </w:rPr>
        <w:t>a</w:t>
      </w:r>
      <w:r w:rsidRPr="00F54559">
        <w:rPr>
          <w:rFonts w:eastAsia="Times New Roman" w:cstheme="minorHAnsi"/>
          <w:w w:val="99"/>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ng-te</w:t>
      </w:r>
      <w:r w:rsidRPr="00F54559">
        <w:rPr>
          <w:rFonts w:eastAsia="Times New Roman" w:cstheme="minorHAnsi"/>
          <w:spacing w:val="-2"/>
          <w:sz w:val="24"/>
        </w:rPr>
        <w:t>r</w:t>
      </w:r>
      <w:r w:rsidRPr="00F54559">
        <w:rPr>
          <w:rFonts w:eastAsia="Times New Roman" w:cstheme="minorHAnsi"/>
          <w:sz w:val="24"/>
        </w:rPr>
        <w:t>m</w:t>
      </w:r>
      <w:r w:rsidRPr="00F54559">
        <w:rPr>
          <w:rFonts w:eastAsia="Times New Roman" w:cstheme="minorHAnsi"/>
          <w:spacing w:val="14"/>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w:t>
      </w:r>
      <w:r w:rsidRPr="00F54559">
        <w:rPr>
          <w:rFonts w:eastAsia="Times New Roman" w:cstheme="minorHAnsi"/>
          <w:spacing w:val="15"/>
          <w:sz w:val="24"/>
        </w:rPr>
        <w:t xml:space="preserve"> </w:t>
      </w:r>
      <w:r w:rsidRPr="00F54559">
        <w:rPr>
          <w:rFonts w:eastAsia="Times New Roman" w:cstheme="minorHAnsi"/>
          <w:spacing w:val="1"/>
          <w:sz w:val="24"/>
        </w:rPr>
        <w:t>s</w:t>
      </w:r>
      <w:r w:rsidRPr="00F54559">
        <w:rPr>
          <w:rFonts w:eastAsia="Times New Roman" w:cstheme="minorHAnsi"/>
          <w:sz w:val="24"/>
        </w:rPr>
        <w:t>chedule,</w:t>
      </w:r>
      <w:r w:rsidRPr="00F54559">
        <w:rPr>
          <w:rFonts w:eastAsia="Times New Roman" w:cstheme="minorHAnsi"/>
          <w:spacing w:val="13"/>
          <w:sz w:val="24"/>
        </w:rPr>
        <w:t xml:space="preserve"> </w:t>
      </w:r>
      <w:r w:rsidRPr="00F54559">
        <w:rPr>
          <w:rFonts w:eastAsia="Times New Roman" w:cstheme="minorHAnsi"/>
          <w:spacing w:val="1"/>
          <w:sz w:val="24"/>
        </w:rPr>
        <w:t>s</w:t>
      </w:r>
      <w:r w:rsidRPr="00F54559">
        <w:rPr>
          <w:rFonts w:eastAsia="Times New Roman" w:cstheme="minorHAnsi"/>
          <w:sz w:val="24"/>
        </w:rPr>
        <w:t>uch</w:t>
      </w:r>
      <w:r w:rsidRPr="00F54559">
        <w:rPr>
          <w:rFonts w:eastAsia="Times New Roman" w:cstheme="minorHAnsi"/>
          <w:spacing w:val="15"/>
          <w:sz w:val="24"/>
        </w:rPr>
        <w:t xml:space="preserve"> </w:t>
      </w:r>
      <w:r w:rsidRPr="00F54559">
        <w:rPr>
          <w:rFonts w:eastAsia="Times New Roman" w:cstheme="minorHAnsi"/>
          <w:sz w:val="24"/>
        </w:rPr>
        <w:t>that</w:t>
      </w:r>
      <w:r w:rsidRPr="00F54559">
        <w:rPr>
          <w:rFonts w:eastAsia="Times New Roman" w:cstheme="minorHAnsi"/>
          <w:spacing w:val="13"/>
          <w:sz w:val="24"/>
        </w:rPr>
        <w:t xml:space="preserve"> </w:t>
      </w:r>
      <w:r w:rsidRPr="00F54559">
        <w:rPr>
          <w:rFonts w:eastAsia="Times New Roman" w:cstheme="minorHAnsi"/>
          <w:sz w:val="24"/>
        </w:rPr>
        <w:t>a</w:t>
      </w:r>
      <w:r w:rsidRPr="00F54559">
        <w:rPr>
          <w:rFonts w:eastAsia="Times New Roman" w:cstheme="minorHAnsi"/>
          <w:spacing w:val="14"/>
          <w:sz w:val="24"/>
        </w:rPr>
        <w:t xml:space="preserve"> </w:t>
      </w:r>
      <w:r w:rsidRPr="00F54559">
        <w:rPr>
          <w:rFonts w:eastAsia="Times New Roman" w:cstheme="minorHAnsi"/>
          <w:sz w:val="24"/>
        </w:rPr>
        <w:t>l</w:t>
      </w:r>
      <w:r w:rsidRPr="00F54559">
        <w:rPr>
          <w:rFonts w:eastAsia="Times New Roman" w:cstheme="minorHAnsi"/>
          <w:spacing w:val="-1"/>
          <w:sz w:val="24"/>
        </w:rPr>
        <w:t>ev</w:t>
      </w:r>
      <w:r w:rsidRPr="00F54559">
        <w:rPr>
          <w:rFonts w:eastAsia="Times New Roman" w:cstheme="minorHAnsi"/>
          <w:sz w:val="24"/>
        </w:rPr>
        <w:t>el</w:t>
      </w:r>
      <w:r w:rsidRPr="00F54559">
        <w:rPr>
          <w:rFonts w:eastAsia="Times New Roman" w:cstheme="minorHAnsi"/>
          <w:spacing w:val="11"/>
          <w:sz w:val="24"/>
        </w:rPr>
        <w:t xml:space="preserve"> </w:t>
      </w:r>
      <w:r w:rsidRPr="00F54559">
        <w:rPr>
          <w:rFonts w:eastAsia="Times New Roman" w:cstheme="minorHAnsi"/>
          <w:sz w:val="24"/>
        </w:rPr>
        <w:t>annual</w:t>
      </w:r>
      <w:r w:rsidRPr="00F54559">
        <w:rPr>
          <w:rFonts w:eastAsia="Times New Roman" w:cstheme="minorHAnsi"/>
          <w:spacing w:val="14"/>
          <w:sz w:val="24"/>
        </w:rPr>
        <w:t xml:space="preserve"> </w:t>
      </w:r>
      <w:r w:rsidRPr="00F54559">
        <w:rPr>
          <w:rFonts w:eastAsia="Times New Roman" w:cstheme="minorHAnsi"/>
          <w:sz w:val="24"/>
        </w:rPr>
        <w:t>do</w:t>
      </w:r>
      <w:r w:rsidRPr="00F54559">
        <w:rPr>
          <w:rFonts w:eastAsia="Times New Roman" w:cstheme="minorHAnsi"/>
          <w:spacing w:val="-1"/>
          <w:sz w:val="24"/>
        </w:rPr>
        <w:t>l</w:t>
      </w:r>
      <w:r w:rsidRPr="00F54559">
        <w:rPr>
          <w:rFonts w:eastAsia="Times New Roman" w:cstheme="minorHAnsi"/>
          <w:sz w:val="24"/>
        </w:rPr>
        <w:t>lar</w:t>
      </w:r>
      <w:r w:rsidRPr="00F54559">
        <w:rPr>
          <w:rFonts w:eastAsia="Times New Roman" w:cstheme="minorHAnsi"/>
          <w:spacing w:val="11"/>
          <w:sz w:val="24"/>
        </w:rPr>
        <w:t xml:space="preserve"> </w:t>
      </w:r>
      <w:r w:rsidRPr="00F54559">
        <w:rPr>
          <w:rFonts w:eastAsia="Times New Roman" w:cstheme="minorHAnsi"/>
          <w:sz w:val="24"/>
        </w:rPr>
        <w:t>a</w:t>
      </w:r>
      <w:r w:rsidRPr="00F54559">
        <w:rPr>
          <w:rFonts w:eastAsia="Times New Roman" w:cstheme="minorHAnsi"/>
          <w:spacing w:val="1"/>
          <w:sz w:val="24"/>
        </w:rPr>
        <w:t>m</w:t>
      </w:r>
      <w:r w:rsidRPr="00F54559">
        <w:rPr>
          <w:rFonts w:eastAsia="Times New Roman" w:cstheme="minorHAnsi"/>
          <w:sz w:val="24"/>
        </w:rPr>
        <w:t>ount</w:t>
      </w:r>
      <w:r w:rsidRPr="00F54559">
        <w:rPr>
          <w:rFonts w:eastAsia="Times New Roman" w:cstheme="minorHAnsi"/>
          <w:spacing w:val="15"/>
          <w:sz w:val="24"/>
        </w:rPr>
        <w:t xml:space="preserve"> </w:t>
      </w:r>
      <w:r w:rsidRPr="00F54559">
        <w:rPr>
          <w:rFonts w:eastAsia="Times New Roman" w:cstheme="minorHAnsi"/>
          <w:sz w:val="24"/>
        </w:rPr>
        <w:t>will</w:t>
      </w:r>
      <w:r w:rsidRPr="00F54559">
        <w:rPr>
          <w:rFonts w:eastAsia="Times New Roman" w:cstheme="minorHAnsi"/>
          <w:spacing w:val="12"/>
          <w:sz w:val="24"/>
        </w:rPr>
        <w:t xml:space="preserve"> </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14"/>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ibuted</w:t>
      </w:r>
      <w:r w:rsidRPr="00F54559">
        <w:rPr>
          <w:rFonts w:eastAsia="Times New Roman" w:cstheme="minorHAnsi"/>
          <w:spacing w:val="13"/>
          <w:sz w:val="24"/>
        </w:rPr>
        <w:t xml:space="preserve"> </w:t>
      </w:r>
      <w:r w:rsidRPr="00F54559">
        <w:rPr>
          <w:rFonts w:eastAsia="Times New Roman" w:cstheme="minorHAnsi"/>
          <w:spacing w:val="1"/>
          <w:sz w:val="24"/>
        </w:rPr>
        <w:t>t</w:t>
      </w:r>
      <w:r w:rsidRPr="00F54559">
        <w:rPr>
          <w:rFonts w:eastAsia="Times New Roman" w:cstheme="minorHAnsi"/>
          <w:sz w:val="24"/>
        </w:rPr>
        <w:t>o</w:t>
      </w:r>
      <w:r w:rsidRPr="00F54559">
        <w:rPr>
          <w:rFonts w:eastAsia="Times New Roman" w:cstheme="minorHAnsi"/>
          <w:spacing w:val="14"/>
          <w:sz w:val="24"/>
        </w:rPr>
        <w:t xml:space="preserve"> </w:t>
      </w:r>
      <w:r w:rsidRPr="00F54559">
        <w:rPr>
          <w:rFonts w:eastAsia="Times New Roman" w:cstheme="minorHAnsi"/>
          <w:sz w:val="24"/>
        </w:rPr>
        <w:t>the</w:t>
      </w:r>
      <w:r w:rsidRPr="00F54559">
        <w:rPr>
          <w:rFonts w:eastAsia="Times New Roman" w:cstheme="minorHAnsi"/>
          <w:spacing w:val="12"/>
          <w:sz w:val="24"/>
        </w:rPr>
        <w:t xml:space="preserve"> </w:t>
      </w:r>
      <w:r w:rsidRPr="00F54559">
        <w:rPr>
          <w:rFonts w:eastAsia="Times New Roman" w:cstheme="minorHAnsi"/>
          <w:spacing w:val="-1"/>
          <w:sz w:val="24"/>
        </w:rPr>
        <w:t>p</w:t>
      </w:r>
      <w:r w:rsidRPr="00F54559">
        <w:rPr>
          <w:rFonts w:eastAsia="Times New Roman" w:cstheme="minorHAnsi"/>
          <w:sz w:val="24"/>
        </w:rPr>
        <w:t>lan</w:t>
      </w:r>
      <w:r w:rsidRPr="00F54559">
        <w:rPr>
          <w:rFonts w:eastAsia="Times New Roman" w:cstheme="minorHAnsi"/>
          <w:w w:val="99"/>
          <w:sz w:val="24"/>
        </w:rPr>
        <w:t xml:space="preserve"> </w:t>
      </w:r>
      <w:r w:rsidRPr="00F54559">
        <w:rPr>
          <w:rFonts w:eastAsia="Times New Roman" w:cstheme="minorHAnsi"/>
          <w:sz w:val="24"/>
        </w:rPr>
        <w:t>indefinite</w:t>
      </w:r>
      <w:r w:rsidRPr="00F54559">
        <w:rPr>
          <w:rFonts w:eastAsia="Times New Roman" w:cstheme="minorHAnsi"/>
          <w:spacing w:val="-1"/>
          <w:sz w:val="24"/>
        </w:rPr>
        <w:t>ly</w:t>
      </w:r>
      <w:r w:rsidRPr="00F54559">
        <w:rPr>
          <w:rFonts w:eastAsia="Times New Roman" w:cstheme="minorHAnsi"/>
          <w:sz w:val="24"/>
        </w:rPr>
        <w:t>,</w:t>
      </w:r>
      <w:r w:rsidRPr="00F54559">
        <w:rPr>
          <w:rFonts w:eastAsia="Times New Roman" w:cstheme="minorHAnsi"/>
          <w:spacing w:val="-6"/>
          <w:sz w:val="24"/>
        </w:rPr>
        <w:t xml:space="preserve"> </w:t>
      </w:r>
      <w:r w:rsidRPr="00F54559">
        <w:rPr>
          <w:rFonts w:eastAsia="Times New Roman" w:cstheme="minorHAnsi"/>
          <w:sz w:val="24"/>
        </w:rPr>
        <w:t>while</w:t>
      </w:r>
      <w:r w:rsidRPr="00F54559">
        <w:rPr>
          <w:rFonts w:eastAsia="Times New Roman" w:cstheme="minorHAnsi"/>
          <w:spacing w:val="-7"/>
          <w:sz w:val="24"/>
        </w:rPr>
        <w:t xml:space="preserve"> </w:t>
      </w:r>
      <w:r w:rsidRPr="00F54559">
        <w:rPr>
          <w:rFonts w:eastAsia="Times New Roman" w:cstheme="minorHAnsi"/>
          <w:sz w:val="24"/>
        </w:rPr>
        <w:t>ne</w:t>
      </w:r>
      <w:r w:rsidRPr="00F54559">
        <w:rPr>
          <w:rFonts w:eastAsia="Times New Roman" w:cstheme="minorHAnsi"/>
          <w:spacing w:val="-2"/>
          <w:sz w:val="24"/>
        </w:rPr>
        <w:t>v</w:t>
      </w:r>
      <w:r w:rsidRPr="00F54559">
        <w:rPr>
          <w:rFonts w:eastAsia="Times New Roman" w:cstheme="minorHAnsi"/>
          <w:sz w:val="24"/>
        </w:rPr>
        <w:t>er</w:t>
      </w:r>
      <w:r w:rsidRPr="00F54559">
        <w:rPr>
          <w:rFonts w:eastAsia="Times New Roman" w:cstheme="minorHAnsi"/>
          <w:spacing w:val="-7"/>
          <w:sz w:val="24"/>
        </w:rPr>
        <w:t xml:space="preserve"> </w:t>
      </w:r>
      <w:r w:rsidRPr="00F54559">
        <w:rPr>
          <w:rFonts w:eastAsia="Times New Roman" w:cstheme="minorHAnsi"/>
          <w:sz w:val="24"/>
        </w:rPr>
        <w:t>allo</w:t>
      </w:r>
      <w:r w:rsidRPr="00F54559">
        <w:rPr>
          <w:rFonts w:eastAsia="Times New Roman" w:cstheme="minorHAnsi"/>
          <w:spacing w:val="-1"/>
          <w:sz w:val="24"/>
        </w:rPr>
        <w:t>w</w:t>
      </w:r>
      <w:r w:rsidRPr="00F54559">
        <w:rPr>
          <w:rFonts w:eastAsia="Times New Roman" w:cstheme="minorHAnsi"/>
          <w:sz w:val="24"/>
        </w:rPr>
        <w:t>ing</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6"/>
          <w:sz w:val="24"/>
        </w:rPr>
        <w:t xml:space="preserve"> P</w:t>
      </w:r>
      <w:r w:rsidRPr="00F54559">
        <w:rPr>
          <w:rFonts w:eastAsia="Times New Roman" w:cstheme="minorHAnsi"/>
          <w:sz w:val="24"/>
        </w:rPr>
        <w:t>lan's</w:t>
      </w:r>
      <w:r w:rsidRPr="00F54559">
        <w:rPr>
          <w:rFonts w:eastAsia="Times New Roman" w:cstheme="minorHAnsi"/>
          <w:spacing w:val="-6"/>
          <w:sz w:val="24"/>
        </w:rPr>
        <w:t xml:space="preserve"> </w:t>
      </w:r>
      <w:r w:rsidRPr="00F54559">
        <w:rPr>
          <w:rFonts w:eastAsia="Times New Roman" w:cstheme="minorHAnsi"/>
          <w:sz w:val="24"/>
        </w:rPr>
        <w:t>a</w:t>
      </w:r>
      <w:r w:rsidRPr="00F54559">
        <w:rPr>
          <w:rFonts w:eastAsia="Times New Roman" w:cstheme="minorHAnsi"/>
          <w:spacing w:val="1"/>
          <w:sz w:val="24"/>
        </w:rPr>
        <w:t>ss</w:t>
      </w:r>
      <w:r w:rsidRPr="00F54559">
        <w:rPr>
          <w:rFonts w:eastAsia="Times New Roman" w:cstheme="minorHAnsi"/>
          <w:sz w:val="24"/>
        </w:rPr>
        <w:t>ets</w:t>
      </w:r>
      <w:r w:rsidRPr="00F54559">
        <w:rPr>
          <w:rFonts w:eastAsia="Times New Roman" w:cstheme="minorHAnsi"/>
          <w:spacing w:val="-5"/>
          <w:sz w:val="24"/>
        </w:rPr>
        <w:t xml:space="preserve"> </w:t>
      </w:r>
      <w:r w:rsidRPr="00F54559">
        <w:rPr>
          <w:rFonts w:eastAsia="Times New Roman" w:cstheme="minorHAnsi"/>
          <w:sz w:val="24"/>
        </w:rPr>
        <w:t>to</w:t>
      </w:r>
      <w:r w:rsidRPr="00F54559">
        <w:rPr>
          <w:rFonts w:eastAsia="Times New Roman" w:cstheme="minorHAnsi"/>
          <w:spacing w:val="-6"/>
          <w:sz w:val="24"/>
        </w:rPr>
        <w:t xml:space="preserve"> </w:t>
      </w:r>
      <w:r w:rsidRPr="00F54559">
        <w:rPr>
          <w:rFonts w:eastAsia="Times New Roman" w:cstheme="minorHAnsi"/>
          <w:sz w:val="24"/>
        </w:rPr>
        <w:t>be</w:t>
      </w:r>
      <w:r w:rsidRPr="00F54559">
        <w:rPr>
          <w:rFonts w:eastAsia="Times New Roman" w:cstheme="minorHAnsi"/>
          <w:spacing w:val="-7"/>
          <w:sz w:val="24"/>
        </w:rPr>
        <w:t xml:space="preserve"> </w:t>
      </w:r>
      <w:r w:rsidRPr="00F54559">
        <w:rPr>
          <w:rFonts w:eastAsia="Times New Roman" w:cstheme="minorHAnsi"/>
          <w:sz w:val="24"/>
        </w:rPr>
        <w:t>de</w:t>
      </w:r>
      <w:r w:rsidRPr="00F54559">
        <w:rPr>
          <w:rFonts w:eastAsia="Times New Roman" w:cstheme="minorHAnsi"/>
          <w:spacing w:val="-2"/>
          <w:sz w:val="24"/>
        </w:rPr>
        <w:t>p</w:t>
      </w:r>
      <w:r w:rsidRPr="00F54559">
        <w:rPr>
          <w:rFonts w:eastAsia="Times New Roman" w:cstheme="minorHAnsi"/>
          <w:sz w:val="24"/>
        </w:rPr>
        <w:t>l</w:t>
      </w:r>
      <w:r w:rsidRPr="00F54559">
        <w:rPr>
          <w:rFonts w:eastAsia="Times New Roman" w:cstheme="minorHAnsi"/>
          <w:spacing w:val="-1"/>
          <w:sz w:val="24"/>
        </w:rPr>
        <w:t>e</w:t>
      </w:r>
      <w:r w:rsidRPr="00F54559">
        <w:rPr>
          <w:rFonts w:eastAsia="Times New Roman" w:cstheme="minorHAnsi"/>
          <w:sz w:val="24"/>
        </w:rPr>
        <w:t xml:space="preserve">ted. The actuarially determined annual projected contribution to the Plan is </w:t>
      </w:r>
      <w:r w:rsidRPr="006B2241">
        <w:rPr>
          <w:rFonts w:eastAsia="Times New Roman" w:cstheme="minorHAnsi"/>
          <w:sz w:val="24"/>
        </w:rPr>
        <w:t>$</w:t>
      </w:r>
      <w:r w:rsidRPr="00A93FB3">
        <w:rPr>
          <w:rFonts w:eastAsia="Times New Roman" w:cstheme="minorHAnsi"/>
          <w:sz w:val="24"/>
        </w:rPr>
        <w:t>948</w:t>
      </w:r>
      <w:r w:rsidRPr="006B2241">
        <w:rPr>
          <w:rFonts w:eastAsia="Times New Roman" w:cstheme="minorHAnsi"/>
          <w:sz w:val="24"/>
        </w:rPr>
        <w:t xml:space="preserve"> through and including FY5</w:t>
      </w:r>
      <w:r w:rsidRPr="00A93FB3">
        <w:rPr>
          <w:rFonts w:eastAsia="Times New Roman" w:cstheme="minorHAnsi"/>
          <w:sz w:val="24"/>
        </w:rPr>
        <w:t>2</w:t>
      </w:r>
      <w:r w:rsidRPr="00F54559">
        <w:rPr>
          <w:rFonts w:eastAsia="Times New Roman" w:cstheme="minorHAnsi"/>
          <w:sz w:val="24"/>
        </w:rPr>
        <w:t>, at which point the projected fiduciary net position is estimated to be sufficient to meet annual benefit payments</w:t>
      </w:r>
      <w:r w:rsidR="002D6291">
        <w:rPr>
          <w:rFonts w:eastAsia="Times New Roman" w:cstheme="minorHAnsi"/>
          <w:sz w:val="24"/>
        </w:rPr>
        <w:t xml:space="preserve">. The </w:t>
      </w:r>
      <w:r w:rsidRPr="00F54559">
        <w:rPr>
          <w:rFonts w:eastAsia="Times New Roman" w:cstheme="minorHAnsi"/>
          <w:spacing w:val="-1"/>
          <w:sz w:val="24"/>
        </w:rPr>
        <w:t>r</w:t>
      </w:r>
      <w:r w:rsidRPr="00F54559">
        <w:rPr>
          <w:rFonts w:eastAsia="Times New Roman" w:cstheme="minorHAnsi"/>
          <w:sz w:val="24"/>
        </w:rPr>
        <w:t>e</w:t>
      </w:r>
      <w:r w:rsidRPr="00F54559">
        <w:rPr>
          <w:rFonts w:eastAsia="Times New Roman" w:cstheme="minorHAnsi"/>
          <w:spacing w:val="-2"/>
          <w:sz w:val="24"/>
        </w:rPr>
        <w:t>q</w:t>
      </w:r>
      <w:r w:rsidRPr="00F54559">
        <w:rPr>
          <w:rFonts w:eastAsia="Times New Roman" w:cstheme="minorHAnsi"/>
          <w:sz w:val="24"/>
        </w:rPr>
        <w:t>ui</w:t>
      </w:r>
      <w:r w:rsidRPr="00F54559">
        <w:rPr>
          <w:rFonts w:eastAsia="Times New Roman" w:cstheme="minorHAnsi"/>
          <w:spacing w:val="-1"/>
          <w:sz w:val="24"/>
        </w:rPr>
        <w:t>r</w:t>
      </w:r>
      <w:r w:rsidRPr="00F54559">
        <w:rPr>
          <w:rFonts w:eastAsia="Times New Roman" w:cstheme="minorHAnsi"/>
          <w:sz w:val="24"/>
        </w:rPr>
        <w:t>ed</w:t>
      </w:r>
      <w:r w:rsidRPr="00F54559">
        <w:rPr>
          <w:rFonts w:eastAsia="Times New Roman" w:cstheme="minorHAnsi"/>
          <w:spacing w:val="-3"/>
          <w:sz w:val="24"/>
        </w:rPr>
        <w:t xml:space="preserve"> </w:t>
      </w:r>
      <w:r w:rsidR="002D6291">
        <w:rPr>
          <w:rFonts w:eastAsia="Times New Roman" w:cstheme="minorHAnsi"/>
          <w:spacing w:val="-3"/>
          <w:sz w:val="24"/>
        </w:rPr>
        <w:t xml:space="preserve">employer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w:t>
      </w:r>
      <w:r w:rsidRPr="00F54559">
        <w:rPr>
          <w:rFonts w:eastAsia="Times New Roman" w:cstheme="minorHAnsi"/>
          <w:spacing w:val="-1"/>
          <w:sz w:val="24"/>
        </w:rPr>
        <w:t xml:space="preserve"> </w:t>
      </w:r>
      <w:r w:rsidRPr="00F54559">
        <w:rPr>
          <w:rFonts w:eastAsia="Times New Roman" w:cstheme="minorHAnsi"/>
          <w:sz w:val="24"/>
        </w:rPr>
        <w:t>will</w:t>
      </w:r>
      <w:r w:rsidRPr="00F54559">
        <w:rPr>
          <w:rFonts w:eastAsia="Times New Roman" w:cstheme="minorHAnsi"/>
          <w:spacing w:val="-5"/>
          <w:sz w:val="24"/>
        </w:rPr>
        <w:t xml:space="preserve"> </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3"/>
          <w:sz w:val="24"/>
        </w:rPr>
        <w:t xml:space="preserve"> </w:t>
      </w:r>
      <w:r w:rsidRPr="00F54559">
        <w:rPr>
          <w:rFonts w:eastAsia="Times New Roman" w:cstheme="minorHAnsi"/>
          <w:spacing w:val="-1"/>
          <w:sz w:val="24"/>
        </w:rPr>
        <w:t>r</w:t>
      </w:r>
      <w:r w:rsidRPr="00F54559">
        <w:rPr>
          <w:rFonts w:eastAsia="Times New Roman" w:cstheme="minorHAnsi"/>
          <w:sz w:val="24"/>
        </w:rPr>
        <w:t>e-dete</w:t>
      </w:r>
      <w:r w:rsidRPr="00F54559">
        <w:rPr>
          <w:rFonts w:eastAsia="Times New Roman" w:cstheme="minorHAnsi"/>
          <w:spacing w:val="-1"/>
          <w:sz w:val="24"/>
        </w:rPr>
        <w:t>r</w:t>
      </w:r>
      <w:r w:rsidRPr="00F54559">
        <w:rPr>
          <w:rFonts w:eastAsia="Times New Roman" w:cstheme="minorHAnsi"/>
          <w:sz w:val="24"/>
        </w:rPr>
        <w:t>mined with</w:t>
      </w:r>
      <w:r w:rsidRPr="00F54559">
        <w:rPr>
          <w:rFonts w:eastAsia="Times New Roman" w:cstheme="minorHAnsi"/>
          <w:spacing w:val="-3"/>
          <w:sz w:val="24"/>
        </w:rPr>
        <w:t xml:space="preserve"> </w:t>
      </w:r>
      <w:r w:rsidRPr="00F54559">
        <w:rPr>
          <w:rFonts w:eastAsia="Times New Roman" w:cstheme="minorHAnsi"/>
          <w:sz w:val="24"/>
        </w:rPr>
        <w:t>each actua</w:t>
      </w:r>
      <w:r w:rsidRPr="00F54559">
        <w:rPr>
          <w:rFonts w:eastAsia="Times New Roman" w:cstheme="minorHAnsi"/>
          <w:spacing w:val="-1"/>
          <w:sz w:val="24"/>
        </w:rPr>
        <w:t>r</w:t>
      </w:r>
      <w:r w:rsidRPr="00F54559">
        <w:rPr>
          <w:rFonts w:eastAsia="Times New Roman" w:cstheme="minorHAnsi"/>
          <w:sz w:val="24"/>
        </w:rPr>
        <w:t>ial</w:t>
      </w:r>
      <w:r w:rsidRPr="00F54559">
        <w:rPr>
          <w:rFonts w:eastAsia="Times New Roman" w:cstheme="minorHAnsi"/>
          <w:spacing w:val="-3"/>
          <w:sz w:val="24"/>
        </w:rPr>
        <w:t xml:space="preserve"> </w:t>
      </w:r>
      <w:r w:rsidRPr="00F54559">
        <w:rPr>
          <w:rFonts w:eastAsia="Times New Roman" w:cstheme="minorHAnsi"/>
          <w:spacing w:val="-1"/>
          <w:sz w:val="24"/>
        </w:rPr>
        <w:t>v</w:t>
      </w:r>
      <w:r w:rsidRPr="00F54559">
        <w:rPr>
          <w:rFonts w:eastAsia="Times New Roman" w:cstheme="minorHAnsi"/>
          <w:sz w:val="24"/>
        </w:rPr>
        <w:t>alua</w:t>
      </w:r>
      <w:r w:rsidRPr="00F54559">
        <w:rPr>
          <w:rFonts w:eastAsia="Times New Roman" w:cstheme="minorHAnsi"/>
          <w:spacing w:val="1"/>
          <w:sz w:val="24"/>
        </w:rPr>
        <w:t>t</w:t>
      </w:r>
      <w:r w:rsidRPr="00F54559">
        <w:rPr>
          <w:rFonts w:eastAsia="Times New Roman" w:cstheme="minorHAnsi"/>
          <w:sz w:val="24"/>
        </w:rPr>
        <w:t>ion</w:t>
      </w:r>
      <w:r w:rsidRPr="00F54559">
        <w:rPr>
          <w:rFonts w:eastAsia="Times New Roman" w:cstheme="minorHAnsi"/>
          <w:spacing w:val="-1"/>
          <w:sz w:val="24"/>
        </w:rPr>
        <w:t xml:space="preserve"> </w:t>
      </w:r>
      <w:r w:rsidRPr="00F54559">
        <w:rPr>
          <w:rFonts w:eastAsia="Times New Roman" w:cstheme="minorHAnsi"/>
          <w:sz w:val="24"/>
        </w:rPr>
        <w:t>as</w:t>
      </w:r>
      <w:r w:rsidRPr="00F54559">
        <w:rPr>
          <w:rFonts w:eastAsia="Times New Roman" w:cstheme="minorHAnsi"/>
          <w:spacing w:val="-2"/>
          <w:sz w:val="24"/>
        </w:rPr>
        <w:t xml:space="preserve"> </w:t>
      </w:r>
      <w:r w:rsidRPr="00F54559">
        <w:rPr>
          <w:rFonts w:eastAsia="Times New Roman" w:cstheme="minorHAnsi"/>
          <w:sz w:val="24"/>
        </w:rPr>
        <w:t>ma</w:t>
      </w:r>
      <w:r w:rsidRPr="00F54559">
        <w:rPr>
          <w:rFonts w:eastAsia="Times New Roman" w:cstheme="minorHAnsi"/>
          <w:spacing w:val="-1"/>
          <w:sz w:val="24"/>
        </w:rPr>
        <w:t>r</w:t>
      </w:r>
      <w:r w:rsidRPr="00F54559">
        <w:rPr>
          <w:rFonts w:eastAsia="Times New Roman" w:cstheme="minorHAnsi"/>
          <w:sz w:val="24"/>
        </w:rPr>
        <w:t>ket</w:t>
      </w:r>
      <w:r w:rsidRPr="00F54559">
        <w:rPr>
          <w:rFonts w:eastAsia="Times New Roman" w:cstheme="minorHAnsi"/>
          <w:w w:val="99"/>
          <w:sz w:val="24"/>
        </w:rPr>
        <w:t xml:space="preserve"> </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fo</w:t>
      </w:r>
      <w:r w:rsidRPr="00F54559">
        <w:rPr>
          <w:rFonts w:eastAsia="Times New Roman" w:cstheme="minorHAnsi"/>
          <w:spacing w:val="-1"/>
          <w:sz w:val="24"/>
        </w:rPr>
        <w:t>r</w:t>
      </w:r>
      <w:r w:rsidRPr="00F54559">
        <w:rPr>
          <w:rFonts w:eastAsia="Times New Roman" w:cstheme="minorHAnsi"/>
          <w:sz w:val="24"/>
        </w:rPr>
        <w:t>mance</w:t>
      </w:r>
      <w:r w:rsidRPr="00F54559">
        <w:rPr>
          <w:rFonts w:eastAsia="Times New Roman" w:cstheme="minorHAnsi"/>
          <w:spacing w:val="-7"/>
          <w:sz w:val="24"/>
        </w:rPr>
        <w:t xml:space="preserve"> </w:t>
      </w:r>
      <w:r w:rsidRPr="00F54559">
        <w:rPr>
          <w:rFonts w:eastAsia="Times New Roman" w:cstheme="minorHAnsi"/>
          <w:sz w:val="24"/>
        </w:rPr>
        <w:t>and</w:t>
      </w:r>
      <w:r w:rsidRPr="00F54559">
        <w:rPr>
          <w:rFonts w:eastAsia="Times New Roman" w:cstheme="minorHAnsi"/>
          <w:spacing w:val="-6"/>
          <w:sz w:val="24"/>
        </w:rPr>
        <w:t xml:space="preserve"> </w:t>
      </w:r>
      <w:r w:rsidRPr="00F54559">
        <w:rPr>
          <w:rFonts w:eastAsia="Times New Roman" w:cstheme="minorHAnsi"/>
          <w:sz w:val="24"/>
        </w:rPr>
        <w:t>other</w:t>
      </w:r>
      <w:r w:rsidRPr="00F54559">
        <w:rPr>
          <w:rFonts w:eastAsia="Times New Roman" w:cstheme="minorHAnsi"/>
          <w:spacing w:val="-7"/>
          <w:sz w:val="24"/>
        </w:rPr>
        <w:t xml:space="preserve"> </w:t>
      </w:r>
      <w:r w:rsidRPr="00F54559">
        <w:rPr>
          <w:rFonts w:eastAsia="Times New Roman" w:cstheme="minorHAnsi"/>
          <w:sz w:val="24"/>
        </w:rPr>
        <w:t>fa</w:t>
      </w:r>
      <w:r w:rsidRPr="00F54559">
        <w:rPr>
          <w:rFonts w:eastAsia="Times New Roman" w:cstheme="minorHAnsi"/>
          <w:spacing w:val="1"/>
          <w:sz w:val="24"/>
        </w:rPr>
        <w:t>c</w:t>
      </w:r>
      <w:r w:rsidRPr="00F54559">
        <w:rPr>
          <w:rFonts w:eastAsia="Times New Roman" w:cstheme="minorHAnsi"/>
          <w:sz w:val="24"/>
        </w:rPr>
        <w:t>to</w:t>
      </w:r>
      <w:r w:rsidRPr="00F54559">
        <w:rPr>
          <w:rFonts w:eastAsia="Times New Roman" w:cstheme="minorHAnsi"/>
          <w:spacing w:val="-2"/>
          <w:sz w:val="24"/>
        </w:rPr>
        <w:t>r</w:t>
      </w:r>
      <w:r w:rsidRPr="00F54559">
        <w:rPr>
          <w:rFonts w:eastAsia="Times New Roman" w:cstheme="minorHAnsi"/>
          <w:sz w:val="24"/>
        </w:rPr>
        <w:t>s</w:t>
      </w:r>
      <w:r w:rsidRPr="00F54559">
        <w:rPr>
          <w:rFonts w:eastAsia="Times New Roman" w:cstheme="minorHAnsi"/>
          <w:spacing w:val="-5"/>
          <w:sz w:val="24"/>
        </w:rPr>
        <w:t xml:space="preserve"> </w:t>
      </w:r>
      <w:r w:rsidRPr="00F54559">
        <w:rPr>
          <w:rFonts w:eastAsia="Times New Roman" w:cstheme="minorHAnsi"/>
          <w:sz w:val="24"/>
        </w:rPr>
        <w:t>will</w:t>
      </w:r>
      <w:r w:rsidRPr="00F54559">
        <w:rPr>
          <w:rFonts w:eastAsia="Times New Roman" w:cstheme="minorHAnsi"/>
          <w:spacing w:val="-7"/>
          <w:sz w:val="24"/>
        </w:rPr>
        <w:t xml:space="preserve"> </w:t>
      </w:r>
      <w:r w:rsidRPr="00F54559">
        <w:rPr>
          <w:rFonts w:eastAsia="Times New Roman" w:cstheme="minorHAnsi"/>
          <w:sz w:val="24"/>
        </w:rPr>
        <w:t>im</w:t>
      </w:r>
      <w:r w:rsidRPr="00F54559">
        <w:rPr>
          <w:rFonts w:eastAsia="Times New Roman" w:cstheme="minorHAnsi"/>
          <w:spacing w:val="-1"/>
          <w:sz w:val="24"/>
        </w:rPr>
        <w:t>p</w:t>
      </w:r>
      <w:r w:rsidRPr="00F54559">
        <w:rPr>
          <w:rFonts w:eastAsia="Times New Roman" w:cstheme="minorHAnsi"/>
          <w:sz w:val="24"/>
        </w:rPr>
        <w:t>act</w:t>
      </w:r>
      <w:r w:rsidRPr="00F54559">
        <w:rPr>
          <w:rFonts w:eastAsia="Times New Roman" w:cstheme="minorHAnsi"/>
          <w:spacing w:val="-5"/>
          <w:sz w:val="24"/>
        </w:rPr>
        <w:t xml:space="preserve"> </w:t>
      </w:r>
      <w:r w:rsidRPr="00F54559">
        <w:rPr>
          <w:rFonts w:eastAsia="Times New Roman" w:cstheme="minorHAnsi"/>
          <w:sz w:val="24"/>
        </w:rPr>
        <w:t>the</w:t>
      </w:r>
      <w:r w:rsidRPr="00F54559">
        <w:rPr>
          <w:rFonts w:eastAsia="Times New Roman" w:cstheme="minorHAnsi"/>
          <w:spacing w:val="-7"/>
          <w:sz w:val="24"/>
        </w:rPr>
        <w:t xml:space="preserve"> </w:t>
      </w:r>
      <w:r w:rsidRPr="00F54559">
        <w:rPr>
          <w:rFonts w:eastAsia="Times New Roman" w:cstheme="minorHAnsi"/>
          <w:sz w:val="24"/>
        </w:rPr>
        <w:t>r</w:t>
      </w:r>
      <w:r w:rsidRPr="00F54559">
        <w:rPr>
          <w:rFonts w:eastAsia="Times New Roman" w:cstheme="minorHAnsi"/>
          <w:spacing w:val="-1"/>
          <w:sz w:val="24"/>
        </w:rPr>
        <w:t>e</w:t>
      </w:r>
      <w:r w:rsidRPr="00F54559">
        <w:rPr>
          <w:rFonts w:eastAsia="Times New Roman" w:cstheme="minorHAnsi"/>
          <w:spacing w:val="-2"/>
          <w:sz w:val="24"/>
        </w:rPr>
        <w:t>q</w:t>
      </w:r>
      <w:r w:rsidRPr="00F54559">
        <w:rPr>
          <w:rFonts w:eastAsia="Times New Roman" w:cstheme="minorHAnsi"/>
          <w:sz w:val="24"/>
        </w:rPr>
        <w:t>ui</w:t>
      </w:r>
      <w:r w:rsidRPr="00F54559">
        <w:rPr>
          <w:rFonts w:eastAsia="Times New Roman" w:cstheme="minorHAnsi"/>
          <w:spacing w:val="-1"/>
          <w:sz w:val="24"/>
        </w:rPr>
        <w:t>r</w:t>
      </w:r>
      <w:r w:rsidRPr="00F54559">
        <w:rPr>
          <w:rFonts w:eastAsia="Times New Roman" w:cstheme="minorHAnsi"/>
          <w:sz w:val="24"/>
        </w:rPr>
        <w:t>ed</w:t>
      </w:r>
      <w:r w:rsidRPr="00F54559">
        <w:rPr>
          <w:rFonts w:eastAsia="Times New Roman" w:cstheme="minorHAnsi"/>
          <w:spacing w:val="-6"/>
          <w:sz w:val="24"/>
        </w:rPr>
        <w:t xml:space="preserve"> </w:t>
      </w:r>
      <w:r w:rsidRPr="00F54559">
        <w:rPr>
          <w:rFonts w:eastAsia="Times New Roman" w:cstheme="minorHAnsi"/>
          <w:sz w:val="24"/>
        </w:rPr>
        <w:t>fun</w:t>
      </w:r>
      <w:r w:rsidRPr="00F54559">
        <w:rPr>
          <w:rFonts w:eastAsia="Times New Roman" w:cstheme="minorHAnsi"/>
          <w:spacing w:val="1"/>
          <w:sz w:val="24"/>
        </w:rPr>
        <w:t>d</w:t>
      </w:r>
      <w:r w:rsidRPr="00F54559">
        <w:rPr>
          <w:rFonts w:eastAsia="Times New Roman" w:cstheme="minorHAnsi"/>
          <w:sz w:val="24"/>
        </w:rPr>
        <w:t>ing</w:t>
      </w:r>
      <w:r w:rsidR="002D6291">
        <w:rPr>
          <w:rFonts w:eastAsia="Times New Roman" w:cstheme="minorHAnsi"/>
          <w:sz w:val="24"/>
        </w:rPr>
        <w:t xml:space="preserve"> amount</w:t>
      </w:r>
      <w:r w:rsidRPr="00F54559">
        <w:rPr>
          <w:rFonts w:eastAsia="Times New Roman" w:cstheme="minorHAnsi"/>
          <w:sz w:val="24"/>
        </w:rPr>
        <w:t>. Funding</w:t>
      </w:r>
      <w:r w:rsidRPr="00F54559">
        <w:rPr>
          <w:rFonts w:eastAsia="Times New Roman" w:cstheme="minorHAnsi"/>
          <w:spacing w:val="5"/>
          <w:sz w:val="24"/>
        </w:rPr>
        <w:t xml:space="preserve"> </w:t>
      </w:r>
      <w:r w:rsidRPr="00F54559">
        <w:rPr>
          <w:rFonts w:eastAsia="Times New Roman" w:cstheme="minorHAnsi"/>
          <w:sz w:val="24"/>
        </w:rPr>
        <w:t>the</w:t>
      </w:r>
      <w:r w:rsidRPr="00F54559">
        <w:rPr>
          <w:rFonts w:eastAsia="Times New Roman" w:cstheme="minorHAnsi"/>
          <w:spacing w:val="5"/>
          <w:sz w:val="24"/>
        </w:rPr>
        <w:t xml:space="preserve"> </w:t>
      </w:r>
      <w:r w:rsidRPr="00F54559">
        <w:rPr>
          <w:rFonts w:eastAsia="Times New Roman" w:cstheme="minorHAnsi"/>
          <w:spacing w:val="-1"/>
          <w:sz w:val="24"/>
        </w:rPr>
        <w:t>P</w:t>
      </w:r>
      <w:r w:rsidRPr="00F54559">
        <w:rPr>
          <w:rFonts w:eastAsia="Times New Roman" w:cstheme="minorHAnsi"/>
          <w:sz w:val="24"/>
        </w:rPr>
        <w:t>lan</w:t>
      </w:r>
      <w:r w:rsidRPr="00F54559">
        <w:rPr>
          <w:rFonts w:eastAsia="Times New Roman" w:cstheme="minorHAnsi"/>
          <w:spacing w:val="4"/>
          <w:sz w:val="24"/>
        </w:rPr>
        <w:t xml:space="preserve"> </w:t>
      </w:r>
      <w:r w:rsidRPr="00F54559">
        <w:rPr>
          <w:rFonts w:eastAsia="Times New Roman" w:cstheme="minorHAnsi"/>
          <w:sz w:val="24"/>
        </w:rPr>
        <w:t>o</w:t>
      </w:r>
      <w:r w:rsidRPr="00F54559">
        <w:rPr>
          <w:rFonts w:eastAsia="Times New Roman" w:cstheme="minorHAnsi"/>
          <w:spacing w:val="-2"/>
          <w:sz w:val="24"/>
        </w:rPr>
        <w:t>v</w:t>
      </w:r>
      <w:r w:rsidRPr="00F54559">
        <w:rPr>
          <w:rFonts w:eastAsia="Times New Roman" w:cstheme="minorHAnsi"/>
          <w:sz w:val="24"/>
        </w:rPr>
        <w:t>er</w:t>
      </w:r>
      <w:r w:rsidRPr="00F54559">
        <w:rPr>
          <w:rFonts w:eastAsia="Times New Roman" w:cstheme="minorHAnsi"/>
          <w:spacing w:val="4"/>
          <w:sz w:val="24"/>
        </w:rPr>
        <w:t xml:space="preserve"> </w:t>
      </w:r>
      <w:r w:rsidRPr="00F54559">
        <w:rPr>
          <w:rFonts w:eastAsia="Times New Roman" w:cstheme="minorHAnsi"/>
          <w:sz w:val="24"/>
        </w:rPr>
        <w:t>the</w:t>
      </w:r>
      <w:r w:rsidRPr="00F54559">
        <w:rPr>
          <w:rFonts w:eastAsia="Times New Roman" w:cstheme="minorHAnsi"/>
          <w:spacing w:val="4"/>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ng-te</w:t>
      </w:r>
      <w:r w:rsidRPr="00F54559">
        <w:rPr>
          <w:rFonts w:eastAsia="Times New Roman" w:cstheme="minorHAnsi"/>
          <w:spacing w:val="-2"/>
          <w:sz w:val="24"/>
        </w:rPr>
        <w:t>r</w:t>
      </w:r>
      <w:r w:rsidRPr="00F54559">
        <w:rPr>
          <w:rFonts w:eastAsia="Times New Roman" w:cstheme="minorHAnsi"/>
          <w:sz w:val="24"/>
        </w:rPr>
        <w:t>m</w:t>
      </w:r>
      <w:r w:rsidRPr="00F54559">
        <w:rPr>
          <w:rFonts w:eastAsia="Times New Roman" w:cstheme="minorHAnsi"/>
          <w:spacing w:val="7"/>
          <w:sz w:val="24"/>
        </w:rPr>
        <w:t xml:space="preserve"> </w:t>
      </w:r>
      <w:r w:rsidRPr="00F54559">
        <w:rPr>
          <w:rFonts w:eastAsia="Times New Roman" w:cstheme="minorHAnsi"/>
          <w:sz w:val="24"/>
        </w:rPr>
        <w:t>allo</w:t>
      </w:r>
      <w:r w:rsidRPr="00F54559">
        <w:rPr>
          <w:rFonts w:eastAsia="Times New Roman" w:cstheme="minorHAnsi"/>
          <w:spacing w:val="-1"/>
          <w:sz w:val="24"/>
        </w:rPr>
        <w:t>w</w:t>
      </w:r>
      <w:r w:rsidRPr="00F54559">
        <w:rPr>
          <w:rFonts w:eastAsia="Times New Roman" w:cstheme="minorHAnsi"/>
          <w:sz w:val="24"/>
        </w:rPr>
        <w:t>s</w:t>
      </w:r>
      <w:r w:rsidRPr="00F54559">
        <w:rPr>
          <w:rFonts w:eastAsia="Times New Roman" w:cstheme="minorHAnsi"/>
          <w:spacing w:val="3"/>
          <w:sz w:val="24"/>
        </w:rPr>
        <w:t xml:space="preserve"> </w:t>
      </w:r>
      <w:r w:rsidRPr="00F54559">
        <w:rPr>
          <w:rFonts w:eastAsia="Times New Roman" w:cstheme="minorHAnsi"/>
          <w:spacing w:val="-1"/>
          <w:sz w:val="24"/>
        </w:rPr>
        <w:t>the System</w:t>
      </w:r>
      <w:r w:rsidRPr="00F54559">
        <w:rPr>
          <w:rFonts w:eastAsia="Times New Roman" w:cstheme="minorHAnsi"/>
          <w:spacing w:val="4"/>
          <w:sz w:val="24"/>
        </w:rPr>
        <w:t xml:space="preserve"> </w:t>
      </w:r>
      <w:r w:rsidRPr="00F54559">
        <w:rPr>
          <w:rFonts w:eastAsia="Times New Roman" w:cstheme="minorHAnsi"/>
          <w:spacing w:val="1"/>
          <w:sz w:val="24"/>
        </w:rPr>
        <w:t>t</w:t>
      </w:r>
      <w:r w:rsidRPr="00F54559">
        <w:rPr>
          <w:rFonts w:eastAsia="Times New Roman" w:cstheme="minorHAnsi"/>
          <w:sz w:val="24"/>
        </w:rPr>
        <w:t>o</w:t>
      </w:r>
      <w:r w:rsidRPr="00F54559">
        <w:rPr>
          <w:rFonts w:eastAsia="Times New Roman" w:cstheme="minorHAnsi"/>
          <w:spacing w:val="2"/>
          <w:sz w:val="24"/>
        </w:rPr>
        <w:t xml:space="preserve"> minimize</w:t>
      </w:r>
      <w:r w:rsidRPr="00F54559">
        <w:rPr>
          <w:rFonts w:eastAsia="Times New Roman" w:cstheme="minorHAnsi"/>
          <w:spacing w:val="3"/>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w:t>
      </w:r>
      <w:r w:rsidRPr="00F54559">
        <w:rPr>
          <w:rFonts w:eastAsia="Times New Roman" w:cstheme="minorHAnsi"/>
          <w:w w:val="99"/>
          <w:sz w:val="24"/>
        </w:rPr>
        <w:t xml:space="preserve"> </w:t>
      </w:r>
      <w:r w:rsidRPr="00F54559">
        <w:rPr>
          <w:rFonts w:eastAsia="Times New Roman" w:cstheme="minorHAnsi"/>
          <w:spacing w:val="-1"/>
          <w:sz w:val="24"/>
        </w:rPr>
        <w:t>v</w:t>
      </w:r>
      <w:r w:rsidRPr="00F54559">
        <w:rPr>
          <w:rFonts w:eastAsia="Times New Roman" w:cstheme="minorHAnsi"/>
          <w:sz w:val="24"/>
        </w:rPr>
        <w:t>o</w:t>
      </w:r>
      <w:r w:rsidRPr="00F54559">
        <w:rPr>
          <w:rFonts w:eastAsia="Times New Roman" w:cstheme="minorHAnsi"/>
          <w:spacing w:val="-1"/>
          <w:sz w:val="24"/>
        </w:rPr>
        <w:t>l</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ilit</w:t>
      </w:r>
      <w:r w:rsidRPr="00F54559">
        <w:rPr>
          <w:rFonts w:eastAsia="Times New Roman" w:cstheme="minorHAnsi"/>
          <w:spacing w:val="-1"/>
          <w:sz w:val="24"/>
        </w:rPr>
        <w:t>y</w:t>
      </w:r>
      <w:r w:rsidRPr="00F54559">
        <w:rPr>
          <w:rFonts w:eastAsia="Times New Roman" w:cstheme="minorHAnsi"/>
          <w:sz w:val="24"/>
        </w:rPr>
        <w:t>.</w:t>
      </w:r>
    </w:p>
    <w:p w14:paraId="066F3ACE" w14:textId="01FD87B9" w:rsidR="00721CFD" w:rsidRPr="00F54559" w:rsidRDefault="00721CFD" w:rsidP="00721CFD">
      <w:pPr>
        <w:ind w:right="-7"/>
        <w:rPr>
          <w:rFonts w:eastAsia="Times New Roman" w:cstheme="minorHAnsi"/>
          <w:sz w:val="24"/>
        </w:rPr>
      </w:pPr>
      <w:r w:rsidRPr="00F54559">
        <w:rPr>
          <w:rFonts w:eastAsia="Times New Roman" w:cstheme="minorHAnsi"/>
          <w:spacing w:val="-2"/>
          <w:sz w:val="24"/>
        </w:rPr>
        <w:t>E</w:t>
      </w:r>
      <w:r w:rsidRPr="00F54559">
        <w:rPr>
          <w:rFonts w:eastAsia="Times New Roman" w:cstheme="minorHAnsi"/>
          <w:sz w:val="24"/>
        </w:rPr>
        <w:t>m</w:t>
      </w:r>
      <w:r w:rsidRPr="00F54559">
        <w:rPr>
          <w:rFonts w:eastAsia="Times New Roman" w:cstheme="minorHAnsi"/>
          <w:spacing w:val="-1"/>
          <w:sz w:val="24"/>
        </w:rPr>
        <w:t>p</w:t>
      </w:r>
      <w:r w:rsidRPr="00F54559">
        <w:rPr>
          <w:rFonts w:eastAsia="Times New Roman" w:cstheme="minorHAnsi"/>
          <w:sz w:val="24"/>
        </w:rPr>
        <w:t>l</w:t>
      </w:r>
      <w:r w:rsidRPr="00F54559">
        <w:rPr>
          <w:rFonts w:eastAsia="Times New Roman" w:cstheme="minorHAnsi"/>
          <w:spacing w:val="-1"/>
          <w:sz w:val="24"/>
        </w:rPr>
        <w:t>oy</w:t>
      </w:r>
      <w:r w:rsidRPr="00F54559">
        <w:rPr>
          <w:rFonts w:eastAsia="Times New Roman" w:cstheme="minorHAnsi"/>
          <w:sz w:val="24"/>
        </w:rPr>
        <w:t>e</w:t>
      </w:r>
      <w:r w:rsidRPr="00F54559">
        <w:rPr>
          <w:rFonts w:eastAsia="Times New Roman" w:cstheme="minorHAnsi"/>
          <w:spacing w:val="-1"/>
          <w:sz w:val="24"/>
        </w:rPr>
        <w:t>e</w:t>
      </w:r>
      <w:r w:rsidRPr="00F54559">
        <w:rPr>
          <w:rFonts w:eastAsia="Times New Roman" w:cstheme="minorHAnsi"/>
          <w:sz w:val="24"/>
        </w:rPr>
        <w:t>s</w:t>
      </w:r>
      <w:r w:rsidRPr="00F54559">
        <w:rPr>
          <w:rFonts w:eastAsia="Times New Roman" w:cstheme="minorHAnsi"/>
          <w:spacing w:val="-6"/>
          <w:sz w:val="24"/>
        </w:rPr>
        <w:t xml:space="preserve"> </w:t>
      </w:r>
      <w:r w:rsidRPr="00F54559">
        <w:rPr>
          <w:rFonts w:eastAsia="Times New Roman" w:cstheme="minorHAnsi"/>
          <w:sz w:val="24"/>
        </w:rPr>
        <w:t>do</w:t>
      </w:r>
      <w:r w:rsidRPr="00F54559">
        <w:rPr>
          <w:rFonts w:eastAsia="Times New Roman" w:cstheme="minorHAnsi"/>
          <w:spacing w:val="-7"/>
          <w:sz w:val="24"/>
        </w:rPr>
        <w:t xml:space="preserve"> </w:t>
      </w:r>
      <w:r w:rsidRPr="00F54559">
        <w:rPr>
          <w:rFonts w:eastAsia="Times New Roman" w:cstheme="minorHAnsi"/>
          <w:sz w:val="24"/>
        </w:rPr>
        <w:t>not</w:t>
      </w:r>
      <w:r w:rsidRPr="00F54559">
        <w:rPr>
          <w:rFonts w:eastAsia="Times New Roman" w:cstheme="minorHAnsi"/>
          <w:spacing w:val="-5"/>
          <w:sz w:val="24"/>
        </w:rPr>
        <w:t xml:space="preserve"> </w:t>
      </w:r>
      <w:r w:rsidRPr="00F54559">
        <w:rPr>
          <w:rFonts w:eastAsia="Times New Roman" w:cstheme="minorHAnsi"/>
          <w:sz w:val="24"/>
        </w:rPr>
        <w:t>ma</w:t>
      </w:r>
      <w:r w:rsidRPr="00F54559">
        <w:rPr>
          <w:rFonts w:eastAsia="Times New Roman" w:cstheme="minorHAnsi"/>
          <w:spacing w:val="1"/>
          <w:sz w:val="24"/>
        </w:rPr>
        <w:t>k</w:t>
      </w:r>
      <w:r w:rsidRPr="00F54559">
        <w:rPr>
          <w:rFonts w:eastAsia="Times New Roman" w:cstheme="minorHAnsi"/>
          <w:sz w:val="24"/>
        </w:rPr>
        <w:t>e</w:t>
      </w:r>
      <w:r w:rsidRPr="00F54559">
        <w:rPr>
          <w:rFonts w:eastAsia="Times New Roman" w:cstheme="minorHAnsi"/>
          <w:spacing w:val="-8"/>
          <w:sz w:val="24"/>
        </w:rPr>
        <w:t xml:space="preserve"> </w:t>
      </w:r>
      <w:r w:rsidRPr="00F54559">
        <w:rPr>
          <w:rFonts w:eastAsia="Times New Roman" w:cstheme="minorHAnsi"/>
          <w:sz w:val="24"/>
        </w:rPr>
        <w:t>cont</w:t>
      </w:r>
      <w:r w:rsidRPr="00F54559">
        <w:rPr>
          <w:rFonts w:eastAsia="Times New Roman" w:cstheme="minorHAnsi"/>
          <w:spacing w:val="-1"/>
          <w:sz w:val="24"/>
        </w:rPr>
        <w:t>r</w:t>
      </w:r>
      <w:r w:rsidRPr="00F54559">
        <w:rPr>
          <w:rFonts w:eastAsia="Times New Roman" w:cstheme="minorHAnsi"/>
          <w:sz w:val="24"/>
        </w:rPr>
        <w:t>ibutions</w:t>
      </w:r>
      <w:r w:rsidRPr="00F54559">
        <w:rPr>
          <w:rFonts w:eastAsia="Times New Roman" w:cstheme="minorHAnsi"/>
          <w:spacing w:val="-6"/>
          <w:sz w:val="24"/>
        </w:rPr>
        <w:t xml:space="preserve"> </w:t>
      </w:r>
      <w:r w:rsidRPr="00F54559">
        <w:rPr>
          <w:rFonts w:eastAsia="Times New Roman" w:cstheme="minorHAnsi"/>
          <w:sz w:val="24"/>
        </w:rPr>
        <w:t>under</w:t>
      </w:r>
      <w:r w:rsidRPr="00F54559">
        <w:rPr>
          <w:rFonts w:eastAsia="Times New Roman" w:cstheme="minorHAnsi"/>
          <w:spacing w:val="-8"/>
          <w:sz w:val="24"/>
        </w:rPr>
        <w:t xml:space="preserve"> </w:t>
      </w:r>
      <w:r w:rsidRPr="00F54559">
        <w:rPr>
          <w:rFonts w:eastAsia="Times New Roman" w:cstheme="minorHAnsi"/>
          <w:sz w:val="24"/>
        </w:rPr>
        <w:t>th</w:t>
      </w:r>
      <w:r w:rsidR="002D6291">
        <w:rPr>
          <w:rFonts w:eastAsia="Times New Roman" w:cstheme="minorHAnsi"/>
          <w:sz w:val="24"/>
        </w:rPr>
        <w:t>is</w:t>
      </w:r>
      <w:r w:rsidRPr="00F54559">
        <w:rPr>
          <w:rFonts w:eastAsia="Times New Roman" w:cstheme="minorHAnsi"/>
          <w:spacing w:val="-7"/>
          <w:sz w:val="24"/>
        </w:rPr>
        <w:t xml:space="preserve"> </w:t>
      </w:r>
      <w:r w:rsidRPr="00F54559">
        <w:rPr>
          <w:rFonts w:eastAsia="Times New Roman" w:cstheme="minorHAnsi"/>
          <w:spacing w:val="-1"/>
          <w:sz w:val="24"/>
        </w:rPr>
        <w:t>P</w:t>
      </w:r>
      <w:r w:rsidRPr="00F54559">
        <w:rPr>
          <w:rFonts w:eastAsia="Times New Roman" w:cstheme="minorHAnsi"/>
          <w:sz w:val="24"/>
        </w:rPr>
        <w:t>lan.</w:t>
      </w:r>
    </w:p>
    <w:p w14:paraId="742FA642" w14:textId="77777777" w:rsidR="00721CFD" w:rsidRPr="00F54559" w:rsidRDefault="00721CFD" w:rsidP="00721CFD">
      <w:pPr>
        <w:ind w:left="180" w:right="-7"/>
        <w:rPr>
          <w:rFonts w:eastAsia="Times New Roman" w:cstheme="minorHAnsi"/>
        </w:rPr>
      </w:pPr>
    </w:p>
    <w:p w14:paraId="630A1F5F" w14:textId="77777777" w:rsidR="00721CFD" w:rsidRPr="00F54559" w:rsidRDefault="00721CFD" w:rsidP="00721CFD">
      <w:pPr>
        <w:ind w:right="-7"/>
        <w:rPr>
          <w:rFonts w:eastAsia="Times New Roman" w:cstheme="minorHAnsi"/>
          <w:b/>
          <w:sz w:val="26"/>
          <w:szCs w:val="26"/>
        </w:rPr>
      </w:pPr>
      <w:r w:rsidRPr="00F54559">
        <w:rPr>
          <w:rFonts w:eastAsia="Times New Roman" w:cstheme="minorHAnsi"/>
          <w:b/>
          <w:sz w:val="26"/>
          <w:szCs w:val="26"/>
        </w:rPr>
        <w:t>Plan Investments</w:t>
      </w:r>
    </w:p>
    <w:p w14:paraId="166260D9" w14:textId="77777777" w:rsidR="00721CFD" w:rsidRPr="00F54559" w:rsidRDefault="00721CFD" w:rsidP="00721CFD">
      <w:pPr>
        <w:ind w:left="180" w:right="-7"/>
        <w:rPr>
          <w:rFonts w:eastAsia="Times New Roman" w:cstheme="minorHAnsi"/>
        </w:rPr>
      </w:pPr>
    </w:p>
    <w:p w14:paraId="572A166F" w14:textId="2C5566DE" w:rsidR="00721CFD" w:rsidRDefault="00721CFD" w:rsidP="00721CFD">
      <w:pPr>
        <w:ind w:right="-7"/>
        <w:rPr>
          <w:rFonts w:eastAsia="Times New Roman" w:cstheme="minorHAnsi"/>
          <w:spacing w:val="-1"/>
          <w:sz w:val="24"/>
        </w:rPr>
      </w:pPr>
      <w:r w:rsidRPr="00F54559">
        <w:rPr>
          <w:rFonts w:eastAsia="Times New Roman" w:cstheme="minorHAnsi"/>
          <w:b/>
          <w:i/>
          <w:spacing w:val="-1"/>
          <w:sz w:val="24"/>
        </w:rPr>
        <w:t xml:space="preserve">Method Used to Value Investments:  </w:t>
      </w:r>
      <w:r w:rsidRPr="00F54559">
        <w:rPr>
          <w:rFonts w:eastAsia="Times New Roman" w:cstheme="minorHAnsi"/>
          <w:spacing w:val="-1"/>
          <w:sz w:val="24"/>
        </w:rPr>
        <w:t>Investments are reported at fair value.  See Note 3 for information related to the fair value measurement, interest rate risk, and foreign currency risk associated with the Plan’s investments.</w:t>
      </w:r>
    </w:p>
    <w:p w14:paraId="6358109D" w14:textId="77777777" w:rsidR="002D6291" w:rsidRPr="009014A7" w:rsidRDefault="002D6291" w:rsidP="00721CFD">
      <w:pPr>
        <w:ind w:right="-7"/>
        <w:rPr>
          <w:rFonts w:eastAsia="Times New Roman" w:cstheme="minorHAnsi"/>
          <w:spacing w:val="-1"/>
          <w:sz w:val="24"/>
        </w:rPr>
      </w:pPr>
    </w:p>
    <w:p w14:paraId="42E49EA2" w14:textId="77777777" w:rsidR="00721CFD" w:rsidRPr="00F54559" w:rsidRDefault="00721CFD" w:rsidP="00721CFD">
      <w:pPr>
        <w:spacing w:after="240"/>
        <w:ind w:right="-7"/>
        <w:rPr>
          <w:rFonts w:eastAsia="Times New Roman" w:cstheme="minorHAnsi"/>
          <w:spacing w:val="-1"/>
          <w:sz w:val="24"/>
        </w:rPr>
      </w:pPr>
      <w:r w:rsidRPr="00F54559">
        <w:rPr>
          <w:rFonts w:eastAsia="Times New Roman" w:cstheme="minorHAnsi"/>
          <w:b/>
          <w:i/>
          <w:spacing w:val="-1"/>
          <w:sz w:val="24"/>
        </w:rPr>
        <w:t xml:space="preserve">Investment Policy: </w:t>
      </w:r>
      <w:r w:rsidRPr="00F54559">
        <w:rPr>
          <w:rFonts w:eastAsia="Times New Roman" w:cstheme="minorHAnsi"/>
          <w:spacing w:val="-1"/>
          <w:sz w:val="24"/>
        </w:rPr>
        <w:t xml:space="preserve">The Plan’s investments are diversified both by asset class and within asset classes.  To have a reasonable probability of consistently achieving the Plan’s return objectives, the following asset allocation policy ranges were </w:t>
      </w:r>
      <w:r>
        <w:rPr>
          <w:rFonts w:eastAsia="Times New Roman" w:cstheme="minorHAnsi"/>
          <w:spacing w:val="-1"/>
          <w:sz w:val="24"/>
        </w:rPr>
        <w:t xml:space="preserve">in </w:t>
      </w:r>
      <w:r w:rsidRPr="00F54559">
        <w:rPr>
          <w:rFonts w:eastAsia="Times New Roman" w:cstheme="minorHAnsi"/>
          <w:spacing w:val="-1"/>
          <w:sz w:val="24"/>
        </w:rPr>
        <w:t>effect as of June 20, 20</w:t>
      </w:r>
      <w:r>
        <w:rPr>
          <w:rFonts w:eastAsia="Times New Roman" w:cstheme="minorHAnsi"/>
          <w:spacing w:val="-1"/>
          <w:sz w:val="24"/>
        </w:rPr>
        <w:t>22</w:t>
      </w:r>
      <w:r w:rsidRPr="00F54559">
        <w:rPr>
          <w:rFonts w:eastAsia="Times New Roman" w:cstheme="minorHAnsi"/>
          <w:spacing w:val="-1"/>
          <w:sz w:val="24"/>
        </w:rPr>
        <w:t xml:space="preserve"> and 20</w:t>
      </w:r>
      <w:r>
        <w:rPr>
          <w:rFonts w:eastAsia="Times New Roman" w:cstheme="minorHAnsi"/>
          <w:spacing w:val="-1"/>
          <w:sz w:val="24"/>
        </w:rPr>
        <w:t>21</w:t>
      </w:r>
      <w:r w:rsidRPr="00F54559">
        <w:rPr>
          <w:rFonts w:eastAsia="Times New Roman" w:cstheme="minorHAnsi"/>
          <w:spacing w:val="-1"/>
          <w:sz w:val="24"/>
        </w:rPr>
        <w:t>:</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hows the System's asset allocation policy ranges applicable at June 30, 2018 and 2019.  Equity securities increased from 35-55% in FY18 to 45-65% in FY19; Fixed income securities increased from 13-29% in FY18 to 15-35% in FY19, other decreased from 24-44% in FY18 to 10-30% in FY19; cash remained at 0-10%."/>
      </w:tblPr>
      <w:tblGrid>
        <w:gridCol w:w="2790"/>
        <w:gridCol w:w="1350"/>
        <w:gridCol w:w="1350"/>
        <w:gridCol w:w="1350"/>
      </w:tblGrid>
      <w:tr w:rsidR="00721CFD" w:rsidRPr="00A454B4" w14:paraId="77DCA9CE" w14:textId="77777777" w:rsidTr="007B5BB3">
        <w:trPr>
          <w:trHeight w:val="234"/>
          <w:tblHeader/>
          <w:jc w:val="center"/>
        </w:trPr>
        <w:tc>
          <w:tcPr>
            <w:tcW w:w="2790" w:type="dxa"/>
          </w:tcPr>
          <w:p w14:paraId="57A69813" w14:textId="77777777" w:rsidR="00721CFD" w:rsidRPr="001A18A6" w:rsidRDefault="00721CFD" w:rsidP="007B5BB3">
            <w:pPr>
              <w:pStyle w:val="Heading4"/>
              <w:pBdr>
                <w:bottom w:val="none" w:sz="0" w:space="0" w:color="auto"/>
              </w:pBdr>
              <w:spacing w:after="0"/>
              <w:outlineLvl w:val="3"/>
              <w:rPr>
                <w:rFonts w:cstheme="minorHAnsi"/>
                <w:i w:val="0"/>
                <w:sz w:val="22"/>
              </w:rPr>
            </w:pPr>
          </w:p>
        </w:tc>
        <w:tc>
          <w:tcPr>
            <w:tcW w:w="1350" w:type="dxa"/>
            <w:shd w:val="clear" w:color="auto" w:fill="auto"/>
          </w:tcPr>
          <w:p w14:paraId="2D24E7F8" w14:textId="77777777" w:rsidR="00721CFD" w:rsidRPr="001A18A6" w:rsidRDefault="00721CFD" w:rsidP="007B5BB3">
            <w:pPr>
              <w:pStyle w:val="Heading4"/>
              <w:pBdr>
                <w:bottom w:val="none" w:sz="0" w:space="0" w:color="auto"/>
              </w:pBdr>
              <w:spacing w:after="0"/>
              <w:jc w:val="center"/>
              <w:outlineLvl w:val="3"/>
              <w:rPr>
                <w:rFonts w:cstheme="minorHAnsi"/>
                <w:b/>
                <w:i w:val="0"/>
                <w:sz w:val="22"/>
              </w:rPr>
            </w:pPr>
            <w:r w:rsidRPr="001A18A6">
              <w:rPr>
                <w:rFonts w:cstheme="minorHAnsi"/>
                <w:b/>
                <w:i w:val="0"/>
                <w:sz w:val="22"/>
              </w:rPr>
              <w:t>202</w:t>
            </w:r>
            <w:r>
              <w:rPr>
                <w:rFonts w:cstheme="minorHAnsi"/>
                <w:b/>
                <w:i w:val="0"/>
                <w:sz w:val="22"/>
              </w:rPr>
              <w:t>2</w:t>
            </w:r>
          </w:p>
        </w:tc>
        <w:tc>
          <w:tcPr>
            <w:tcW w:w="1350" w:type="dxa"/>
          </w:tcPr>
          <w:p w14:paraId="7BE3F17A" w14:textId="77777777" w:rsidR="00721CFD" w:rsidRPr="001A18A6" w:rsidRDefault="00721CFD" w:rsidP="007B5BB3">
            <w:pPr>
              <w:pStyle w:val="Heading4"/>
              <w:pBdr>
                <w:bottom w:val="none" w:sz="0" w:space="0" w:color="auto"/>
              </w:pBdr>
              <w:spacing w:after="0"/>
              <w:jc w:val="center"/>
              <w:outlineLvl w:val="3"/>
              <w:rPr>
                <w:rFonts w:cstheme="minorHAnsi"/>
                <w:b/>
                <w:i w:val="0"/>
                <w:sz w:val="22"/>
              </w:rPr>
            </w:pPr>
          </w:p>
        </w:tc>
        <w:tc>
          <w:tcPr>
            <w:tcW w:w="1350" w:type="dxa"/>
            <w:shd w:val="clear" w:color="auto" w:fill="D9D9D9" w:themeFill="background1" w:themeFillShade="D9"/>
          </w:tcPr>
          <w:p w14:paraId="72B3D419" w14:textId="77777777" w:rsidR="00721CFD" w:rsidRPr="001A18A6" w:rsidRDefault="00721CFD" w:rsidP="007B5BB3">
            <w:pPr>
              <w:pStyle w:val="Heading4"/>
              <w:pBdr>
                <w:bottom w:val="none" w:sz="0" w:space="0" w:color="auto"/>
              </w:pBdr>
              <w:spacing w:after="0"/>
              <w:jc w:val="center"/>
              <w:outlineLvl w:val="3"/>
              <w:rPr>
                <w:rFonts w:cstheme="minorHAnsi"/>
                <w:b/>
                <w:i w:val="0"/>
                <w:sz w:val="22"/>
              </w:rPr>
            </w:pPr>
            <w:r w:rsidRPr="001A18A6">
              <w:rPr>
                <w:rFonts w:cstheme="minorHAnsi"/>
                <w:b/>
                <w:i w:val="0"/>
                <w:sz w:val="22"/>
              </w:rPr>
              <w:t>20</w:t>
            </w:r>
            <w:r>
              <w:rPr>
                <w:rFonts w:cstheme="minorHAnsi"/>
                <w:b/>
                <w:i w:val="0"/>
                <w:sz w:val="22"/>
              </w:rPr>
              <w:t>21</w:t>
            </w:r>
          </w:p>
        </w:tc>
      </w:tr>
      <w:tr w:rsidR="00721CFD" w:rsidRPr="00A454B4" w14:paraId="1AE0A6F9" w14:textId="77777777" w:rsidTr="007B5BB3">
        <w:trPr>
          <w:jc w:val="center"/>
        </w:trPr>
        <w:tc>
          <w:tcPr>
            <w:tcW w:w="2790" w:type="dxa"/>
          </w:tcPr>
          <w:p w14:paraId="676B453C" w14:textId="77777777" w:rsidR="00721CFD" w:rsidRPr="001A18A6" w:rsidRDefault="00721CFD" w:rsidP="007B5BB3">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Equity securities</w:t>
            </w:r>
          </w:p>
        </w:tc>
        <w:tc>
          <w:tcPr>
            <w:tcW w:w="1350" w:type="dxa"/>
            <w:shd w:val="clear" w:color="auto" w:fill="auto"/>
          </w:tcPr>
          <w:p w14:paraId="194C0350" w14:textId="77777777" w:rsidR="00721CFD" w:rsidRPr="0076229B" w:rsidRDefault="00721CFD" w:rsidP="007B5BB3">
            <w:pPr>
              <w:tabs>
                <w:tab w:val="left" w:pos="0"/>
                <w:tab w:val="left" w:pos="1440"/>
                <w:tab w:val="left" w:pos="1710"/>
              </w:tabs>
              <w:suppressAutoHyphens/>
              <w:jc w:val="right"/>
              <w:rPr>
                <w:rFonts w:eastAsia="Times New Roman" w:cstheme="minorHAnsi"/>
                <w:bCs/>
                <w:spacing w:val="-3"/>
                <w:szCs w:val="20"/>
              </w:rPr>
            </w:pPr>
            <w:r w:rsidRPr="0076229B">
              <w:rPr>
                <w:rFonts w:eastAsia="Times New Roman" w:cstheme="minorHAnsi"/>
                <w:bCs/>
                <w:spacing w:val="-3"/>
                <w:szCs w:val="20"/>
              </w:rPr>
              <w:t>25-45%</w:t>
            </w:r>
          </w:p>
        </w:tc>
        <w:tc>
          <w:tcPr>
            <w:tcW w:w="1350" w:type="dxa"/>
          </w:tcPr>
          <w:p w14:paraId="1427D8DA" w14:textId="77777777" w:rsidR="00721CFD" w:rsidRPr="001A18A6" w:rsidRDefault="00721CFD" w:rsidP="007B5BB3">
            <w:pPr>
              <w:tabs>
                <w:tab w:val="left" w:pos="0"/>
                <w:tab w:val="left" w:pos="1440"/>
                <w:tab w:val="left" w:pos="1710"/>
              </w:tabs>
              <w:suppressAutoHyphens/>
              <w:jc w:val="right"/>
              <w:rPr>
                <w:rFonts w:eastAsia="Times New Roman" w:cstheme="minorHAnsi"/>
                <w:bCs/>
                <w:spacing w:val="-3"/>
                <w:szCs w:val="20"/>
              </w:rPr>
            </w:pPr>
          </w:p>
        </w:tc>
        <w:tc>
          <w:tcPr>
            <w:tcW w:w="1350" w:type="dxa"/>
            <w:shd w:val="clear" w:color="auto" w:fill="D9D9D9" w:themeFill="background1" w:themeFillShade="D9"/>
          </w:tcPr>
          <w:p w14:paraId="57B6CCEE" w14:textId="77777777" w:rsidR="00721CFD" w:rsidRPr="001A18A6" w:rsidRDefault="00721CFD" w:rsidP="007B5BB3">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25-45%</w:t>
            </w:r>
          </w:p>
        </w:tc>
      </w:tr>
      <w:tr w:rsidR="00721CFD" w:rsidRPr="00A454B4" w14:paraId="61EC2AF6" w14:textId="77777777" w:rsidTr="007B5BB3">
        <w:trPr>
          <w:jc w:val="center"/>
        </w:trPr>
        <w:tc>
          <w:tcPr>
            <w:tcW w:w="2790" w:type="dxa"/>
          </w:tcPr>
          <w:p w14:paraId="37725023" w14:textId="77777777" w:rsidR="00721CFD" w:rsidRPr="001A18A6" w:rsidRDefault="00721CFD" w:rsidP="007B5BB3">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Fixed income securities</w:t>
            </w:r>
          </w:p>
        </w:tc>
        <w:tc>
          <w:tcPr>
            <w:tcW w:w="1350" w:type="dxa"/>
            <w:shd w:val="clear" w:color="auto" w:fill="auto"/>
          </w:tcPr>
          <w:p w14:paraId="3779129A" w14:textId="77777777" w:rsidR="00721CFD" w:rsidRPr="0076229B" w:rsidRDefault="00721CFD" w:rsidP="007B5BB3">
            <w:pPr>
              <w:tabs>
                <w:tab w:val="left" w:pos="0"/>
                <w:tab w:val="left" w:pos="1440"/>
                <w:tab w:val="left" w:pos="1710"/>
              </w:tabs>
              <w:suppressAutoHyphens/>
              <w:jc w:val="right"/>
              <w:rPr>
                <w:rFonts w:eastAsia="Times New Roman" w:cstheme="minorHAnsi"/>
                <w:bCs/>
                <w:spacing w:val="-3"/>
                <w:szCs w:val="20"/>
              </w:rPr>
            </w:pPr>
            <w:r w:rsidRPr="0076229B">
              <w:rPr>
                <w:rFonts w:eastAsia="Times New Roman" w:cstheme="minorHAnsi"/>
                <w:bCs/>
                <w:spacing w:val="-3"/>
                <w:szCs w:val="20"/>
              </w:rPr>
              <w:t>35-55%</w:t>
            </w:r>
          </w:p>
        </w:tc>
        <w:tc>
          <w:tcPr>
            <w:tcW w:w="1350" w:type="dxa"/>
          </w:tcPr>
          <w:p w14:paraId="3ACB6727" w14:textId="77777777" w:rsidR="00721CFD" w:rsidRPr="001A18A6" w:rsidRDefault="00721CFD" w:rsidP="007B5BB3">
            <w:pPr>
              <w:tabs>
                <w:tab w:val="left" w:pos="0"/>
                <w:tab w:val="left" w:pos="1440"/>
                <w:tab w:val="left" w:pos="1710"/>
              </w:tabs>
              <w:suppressAutoHyphens/>
              <w:jc w:val="right"/>
              <w:rPr>
                <w:rFonts w:eastAsia="Times New Roman" w:cstheme="minorHAnsi"/>
                <w:bCs/>
                <w:spacing w:val="-3"/>
                <w:szCs w:val="20"/>
              </w:rPr>
            </w:pPr>
          </w:p>
        </w:tc>
        <w:tc>
          <w:tcPr>
            <w:tcW w:w="1350" w:type="dxa"/>
            <w:shd w:val="clear" w:color="auto" w:fill="D9D9D9" w:themeFill="background1" w:themeFillShade="D9"/>
          </w:tcPr>
          <w:p w14:paraId="28410867" w14:textId="77777777" w:rsidR="00721CFD" w:rsidRPr="001A18A6" w:rsidRDefault="00721CFD" w:rsidP="007B5BB3">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35-55%</w:t>
            </w:r>
          </w:p>
        </w:tc>
      </w:tr>
      <w:tr w:rsidR="00721CFD" w:rsidRPr="00A454B4" w14:paraId="748012F6" w14:textId="77777777" w:rsidTr="007B5BB3">
        <w:trPr>
          <w:jc w:val="center"/>
        </w:trPr>
        <w:tc>
          <w:tcPr>
            <w:tcW w:w="2790" w:type="dxa"/>
          </w:tcPr>
          <w:p w14:paraId="3C390D83" w14:textId="77777777" w:rsidR="00721CFD" w:rsidRPr="001A18A6" w:rsidRDefault="00721CFD" w:rsidP="007B5BB3">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Other</w:t>
            </w:r>
          </w:p>
        </w:tc>
        <w:tc>
          <w:tcPr>
            <w:tcW w:w="1350" w:type="dxa"/>
            <w:shd w:val="clear" w:color="auto" w:fill="auto"/>
          </w:tcPr>
          <w:p w14:paraId="73C834E0" w14:textId="77777777" w:rsidR="00721CFD" w:rsidRPr="0076229B" w:rsidRDefault="00721CFD" w:rsidP="007B5BB3">
            <w:pPr>
              <w:tabs>
                <w:tab w:val="left" w:pos="0"/>
                <w:tab w:val="left" w:pos="1440"/>
                <w:tab w:val="left" w:pos="1710"/>
              </w:tabs>
              <w:suppressAutoHyphens/>
              <w:jc w:val="right"/>
              <w:rPr>
                <w:rFonts w:eastAsia="Times New Roman" w:cstheme="minorHAnsi"/>
                <w:bCs/>
                <w:spacing w:val="-3"/>
                <w:szCs w:val="20"/>
              </w:rPr>
            </w:pPr>
            <w:r w:rsidRPr="0076229B">
              <w:rPr>
                <w:rFonts w:eastAsia="Times New Roman" w:cstheme="minorHAnsi"/>
                <w:bCs/>
                <w:spacing w:val="-3"/>
                <w:szCs w:val="20"/>
              </w:rPr>
              <w:t>15-35%</w:t>
            </w:r>
          </w:p>
        </w:tc>
        <w:tc>
          <w:tcPr>
            <w:tcW w:w="1350" w:type="dxa"/>
          </w:tcPr>
          <w:p w14:paraId="62A170DB" w14:textId="77777777" w:rsidR="00721CFD" w:rsidRPr="001A18A6" w:rsidRDefault="00721CFD" w:rsidP="007B5BB3">
            <w:pPr>
              <w:tabs>
                <w:tab w:val="left" w:pos="0"/>
                <w:tab w:val="left" w:pos="1440"/>
                <w:tab w:val="left" w:pos="1710"/>
              </w:tabs>
              <w:suppressAutoHyphens/>
              <w:jc w:val="right"/>
              <w:rPr>
                <w:rFonts w:eastAsia="Times New Roman" w:cstheme="minorHAnsi"/>
                <w:bCs/>
                <w:spacing w:val="-3"/>
                <w:szCs w:val="20"/>
              </w:rPr>
            </w:pPr>
          </w:p>
        </w:tc>
        <w:tc>
          <w:tcPr>
            <w:tcW w:w="1350" w:type="dxa"/>
            <w:shd w:val="clear" w:color="auto" w:fill="D9D9D9" w:themeFill="background1" w:themeFillShade="D9"/>
          </w:tcPr>
          <w:p w14:paraId="66736895" w14:textId="77777777" w:rsidR="00721CFD" w:rsidRPr="001A18A6" w:rsidRDefault="00721CFD" w:rsidP="007B5BB3">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15-35%</w:t>
            </w:r>
          </w:p>
        </w:tc>
      </w:tr>
      <w:tr w:rsidR="00721CFD" w:rsidRPr="00A454B4" w14:paraId="3B2EAA7C" w14:textId="77777777" w:rsidTr="007B5BB3">
        <w:trPr>
          <w:jc w:val="center"/>
        </w:trPr>
        <w:tc>
          <w:tcPr>
            <w:tcW w:w="2790" w:type="dxa"/>
          </w:tcPr>
          <w:p w14:paraId="70646AB7" w14:textId="77777777" w:rsidR="00721CFD" w:rsidRPr="001A18A6" w:rsidRDefault="00721CFD" w:rsidP="007B5BB3">
            <w:pPr>
              <w:tabs>
                <w:tab w:val="left" w:pos="0"/>
                <w:tab w:val="left" w:pos="1440"/>
                <w:tab w:val="left" w:pos="1710"/>
              </w:tabs>
              <w:suppressAutoHyphens/>
              <w:rPr>
                <w:rFonts w:eastAsia="Times New Roman" w:cstheme="minorHAnsi"/>
                <w:bCs/>
                <w:spacing w:val="-3"/>
                <w:szCs w:val="20"/>
              </w:rPr>
            </w:pPr>
            <w:r w:rsidRPr="001A18A6">
              <w:rPr>
                <w:rFonts w:eastAsia="Times New Roman" w:cstheme="minorHAnsi"/>
                <w:bCs/>
                <w:spacing w:val="-3"/>
                <w:szCs w:val="20"/>
              </w:rPr>
              <w:t>Cash</w:t>
            </w:r>
          </w:p>
        </w:tc>
        <w:tc>
          <w:tcPr>
            <w:tcW w:w="1350" w:type="dxa"/>
            <w:shd w:val="clear" w:color="auto" w:fill="auto"/>
          </w:tcPr>
          <w:p w14:paraId="575ED85A" w14:textId="77777777" w:rsidR="00721CFD" w:rsidRPr="0076229B" w:rsidRDefault="00721CFD" w:rsidP="007B5BB3">
            <w:pPr>
              <w:tabs>
                <w:tab w:val="left" w:pos="0"/>
                <w:tab w:val="left" w:pos="1440"/>
                <w:tab w:val="left" w:pos="1710"/>
              </w:tabs>
              <w:suppressAutoHyphens/>
              <w:jc w:val="right"/>
              <w:rPr>
                <w:rFonts w:eastAsia="Times New Roman" w:cstheme="minorHAnsi"/>
                <w:bCs/>
                <w:spacing w:val="-3"/>
                <w:szCs w:val="20"/>
              </w:rPr>
            </w:pPr>
            <w:r w:rsidRPr="0076229B">
              <w:rPr>
                <w:rFonts w:eastAsia="Times New Roman" w:cstheme="minorHAnsi"/>
                <w:bCs/>
                <w:spacing w:val="-3"/>
                <w:szCs w:val="20"/>
              </w:rPr>
              <w:t>0-10%</w:t>
            </w:r>
          </w:p>
        </w:tc>
        <w:tc>
          <w:tcPr>
            <w:tcW w:w="1350" w:type="dxa"/>
          </w:tcPr>
          <w:p w14:paraId="6C9EE7DC" w14:textId="77777777" w:rsidR="00721CFD" w:rsidRPr="001A18A6" w:rsidRDefault="00721CFD" w:rsidP="007B5BB3">
            <w:pPr>
              <w:tabs>
                <w:tab w:val="left" w:pos="0"/>
                <w:tab w:val="left" w:pos="1440"/>
                <w:tab w:val="left" w:pos="1710"/>
              </w:tabs>
              <w:suppressAutoHyphens/>
              <w:jc w:val="right"/>
              <w:rPr>
                <w:rFonts w:eastAsia="Times New Roman" w:cstheme="minorHAnsi"/>
                <w:bCs/>
                <w:spacing w:val="-3"/>
                <w:szCs w:val="20"/>
              </w:rPr>
            </w:pPr>
          </w:p>
        </w:tc>
        <w:tc>
          <w:tcPr>
            <w:tcW w:w="1350" w:type="dxa"/>
            <w:shd w:val="clear" w:color="auto" w:fill="D9D9D9" w:themeFill="background1" w:themeFillShade="D9"/>
          </w:tcPr>
          <w:p w14:paraId="2731C3BB" w14:textId="77777777" w:rsidR="00721CFD" w:rsidRPr="001A18A6" w:rsidRDefault="00721CFD" w:rsidP="007B5BB3">
            <w:pPr>
              <w:tabs>
                <w:tab w:val="left" w:pos="0"/>
                <w:tab w:val="left" w:pos="1440"/>
                <w:tab w:val="left" w:pos="1710"/>
              </w:tabs>
              <w:suppressAutoHyphens/>
              <w:jc w:val="right"/>
              <w:rPr>
                <w:rFonts w:eastAsia="Times New Roman" w:cstheme="minorHAnsi"/>
                <w:bCs/>
                <w:color w:val="000000" w:themeColor="text1"/>
                <w:spacing w:val="-3"/>
                <w:szCs w:val="20"/>
              </w:rPr>
            </w:pPr>
            <w:r w:rsidRPr="001A18A6">
              <w:rPr>
                <w:rFonts w:eastAsia="Times New Roman" w:cstheme="minorHAnsi"/>
                <w:bCs/>
                <w:spacing w:val="-3"/>
                <w:szCs w:val="20"/>
              </w:rPr>
              <w:t>0-10%</w:t>
            </w:r>
          </w:p>
        </w:tc>
      </w:tr>
    </w:tbl>
    <w:p w14:paraId="084F30D1" w14:textId="77777777" w:rsidR="00721CFD" w:rsidRPr="00F453D3" w:rsidRDefault="00721CFD" w:rsidP="00EB5AE8">
      <w:pPr>
        <w:spacing w:before="240" w:after="160"/>
        <w:ind w:right="-7"/>
        <w:rPr>
          <w:rFonts w:eastAsia="Times New Roman" w:cstheme="minorHAnsi"/>
          <w:spacing w:val="-1"/>
          <w:sz w:val="24"/>
        </w:rPr>
      </w:pPr>
      <w:r w:rsidRPr="00F54559">
        <w:rPr>
          <w:rFonts w:eastAsia="Times New Roman" w:cstheme="minorHAnsi"/>
          <w:b/>
          <w:i/>
          <w:spacing w:val="-1"/>
          <w:sz w:val="24"/>
        </w:rPr>
        <w:t xml:space="preserve">Rate of Return: </w:t>
      </w:r>
      <w:r w:rsidRPr="00F54559">
        <w:rPr>
          <w:rFonts w:eastAsia="Times New Roman" w:cstheme="minorHAnsi"/>
          <w:spacing w:val="-1"/>
          <w:sz w:val="24"/>
        </w:rPr>
        <w:t>For the years ended June 30, 20</w:t>
      </w:r>
      <w:r>
        <w:rPr>
          <w:rFonts w:eastAsia="Times New Roman" w:cstheme="minorHAnsi"/>
          <w:spacing w:val="-1"/>
          <w:sz w:val="24"/>
        </w:rPr>
        <w:t>22</w:t>
      </w:r>
      <w:r w:rsidRPr="00F54559">
        <w:rPr>
          <w:rFonts w:eastAsia="Times New Roman" w:cstheme="minorHAnsi"/>
          <w:spacing w:val="-1"/>
          <w:sz w:val="24"/>
        </w:rPr>
        <w:t xml:space="preserve"> and 20</w:t>
      </w:r>
      <w:r>
        <w:rPr>
          <w:rFonts w:eastAsia="Times New Roman" w:cstheme="minorHAnsi"/>
          <w:spacing w:val="-1"/>
          <w:sz w:val="24"/>
        </w:rPr>
        <w:t>21</w:t>
      </w:r>
      <w:r w:rsidRPr="00F54559">
        <w:rPr>
          <w:rFonts w:eastAsia="Times New Roman" w:cstheme="minorHAnsi"/>
          <w:spacing w:val="-1"/>
          <w:sz w:val="24"/>
        </w:rPr>
        <w:t xml:space="preserve">, the annual money-weighted rate of return, net of investment expenses, was </w:t>
      </w:r>
      <w:r>
        <w:rPr>
          <w:rFonts w:eastAsia="Times New Roman" w:cstheme="minorHAnsi"/>
          <w:spacing w:val="-1"/>
          <w:sz w:val="24"/>
        </w:rPr>
        <w:t>-7.21</w:t>
      </w:r>
      <w:r w:rsidRPr="00F54559">
        <w:rPr>
          <w:rFonts w:eastAsia="Times New Roman" w:cstheme="minorHAnsi"/>
          <w:spacing w:val="-1"/>
          <w:sz w:val="24"/>
        </w:rPr>
        <w:t xml:space="preserve">% and </w:t>
      </w:r>
      <w:r>
        <w:rPr>
          <w:rFonts w:eastAsia="Times New Roman" w:cstheme="minorHAnsi"/>
          <w:spacing w:val="-1"/>
          <w:sz w:val="24"/>
        </w:rPr>
        <w:t>15.86</w:t>
      </w:r>
      <w:r w:rsidRPr="00F54559">
        <w:rPr>
          <w:rFonts w:eastAsia="Times New Roman" w:cstheme="minorHAnsi"/>
          <w:spacing w:val="-1"/>
          <w:sz w:val="24"/>
        </w:rPr>
        <w:t>%, respectively.</w:t>
      </w:r>
    </w:p>
    <w:p w14:paraId="4D301C37" w14:textId="77777777" w:rsidR="00721CFD" w:rsidRPr="00F54559" w:rsidRDefault="00721CFD" w:rsidP="00721CFD">
      <w:pPr>
        <w:ind w:right="-7"/>
        <w:rPr>
          <w:rFonts w:eastAsia="Times New Roman" w:cstheme="minorHAnsi"/>
          <w:sz w:val="24"/>
        </w:rPr>
      </w:pPr>
      <w:r w:rsidRPr="00F54559">
        <w:rPr>
          <w:rFonts w:eastAsia="Times New Roman" w:cstheme="minorHAnsi"/>
          <w:b/>
          <w:sz w:val="26"/>
          <w:szCs w:val="26"/>
        </w:rPr>
        <w:t>Net Pension Liability</w:t>
      </w:r>
    </w:p>
    <w:p w14:paraId="49B737D5" w14:textId="77777777" w:rsidR="00721CFD" w:rsidRPr="00F54559" w:rsidRDefault="00721CFD" w:rsidP="00721CFD">
      <w:pPr>
        <w:spacing w:before="120" w:after="240"/>
        <w:rPr>
          <w:rFonts w:eastAsia="Times New Roman" w:cstheme="minorHAnsi"/>
          <w:sz w:val="24"/>
        </w:rPr>
      </w:pPr>
      <w:r w:rsidRPr="00F54559">
        <w:rPr>
          <w:rFonts w:eastAsia="Times New Roman" w:cstheme="minorHAnsi"/>
          <w:sz w:val="24"/>
        </w:rPr>
        <w:t>The components of the net pension liability at the measurement date of June 30 were as follows:</w:t>
      </w:r>
      <w:r>
        <w:rPr>
          <w:rFonts w:eastAsia="Times New Roman" w:cstheme="minorHAnsi"/>
          <w:sz w:val="24"/>
        </w:rPr>
        <w:fldChar w:fldCharType="begin"/>
      </w:r>
      <w:r>
        <w:rPr>
          <w:rFonts w:eastAsia="Times New Roman" w:cstheme="minorHAnsi"/>
          <w:sz w:val="24"/>
        </w:rPr>
        <w:fldChar w:fldCharType="end"/>
      </w:r>
    </w:p>
    <w:tbl>
      <w:tblPr>
        <w:tblW w:w="8352" w:type="dxa"/>
        <w:jc w:val="center"/>
        <w:tblLook w:val="04A0" w:firstRow="1" w:lastRow="0" w:firstColumn="1" w:lastColumn="0" w:noHBand="0" w:noVBand="1"/>
      </w:tblPr>
      <w:tblGrid>
        <w:gridCol w:w="6244"/>
        <w:gridCol w:w="1044"/>
        <w:gridCol w:w="1064"/>
      </w:tblGrid>
      <w:tr w:rsidR="00721CFD" w:rsidRPr="006539B7" w14:paraId="79F5901A" w14:textId="77777777" w:rsidTr="007B5BB3">
        <w:trPr>
          <w:trHeight w:val="324"/>
          <w:tblHeader/>
          <w:jc w:val="center"/>
        </w:trPr>
        <w:tc>
          <w:tcPr>
            <w:tcW w:w="6244" w:type="dxa"/>
            <w:tcBorders>
              <w:top w:val="nil"/>
              <w:left w:val="nil"/>
              <w:bottom w:val="single" w:sz="12" w:space="0" w:color="00688D"/>
              <w:right w:val="nil"/>
            </w:tcBorders>
            <w:shd w:val="clear" w:color="000000" w:fill="FFFFFF"/>
            <w:noWrap/>
            <w:vAlign w:val="bottom"/>
            <w:hideMark/>
          </w:tcPr>
          <w:p w14:paraId="14E5B5A8" w14:textId="77777777" w:rsidR="00721CFD" w:rsidRPr="006539B7" w:rsidRDefault="00721CFD" w:rsidP="007B5BB3">
            <w:pPr>
              <w:rPr>
                <w:rFonts w:ascii="Calibri" w:eastAsia="Times New Roman" w:hAnsi="Calibri" w:cs="Calibri"/>
                <w:b/>
                <w:bCs/>
                <w:color w:val="0D0D0D"/>
              </w:rPr>
            </w:pPr>
            <w:r w:rsidRPr="006539B7">
              <w:rPr>
                <w:rFonts w:ascii="Calibri" w:eastAsia="Times New Roman" w:hAnsi="Calibri" w:cs="Calibri"/>
                <w:b/>
                <w:bCs/>
                <w:color w:val="0D0D0D"/>
              </w:rPr>
              <w:t> </w:t>
            </w:r>
          </w:p>
        </w:tc>
        <w:tc>
          <w:tcPr>
            <w:tcW w:w="1044" w:type="dxa"/>
            <w:tcBorders>
              <w:top w:val="nil"/>
              <w:left w:val="nil"/>
              <w:bottom w:val="single" w:sz="12" w:space="0" w:color="00688D"/>
              <w:right w:val="nil"/>
            </w:tcBorders>
            <w:shd w:val="clear" w:color="000000" w:fill="FFFFFF"/>
            <w:noWrap/>
            <w:vAlign w:val="bottom"/>
            <w:hideMark/>
          </w:tcPr>
          <w:p w14:paraId="4B76A840" w14:textId="77777777" w:rsidR="00721CFD" w:rsidRPr="006539B7" w:rsidRDefault="00721CFD" w:rsidP="007B5BB3">
            <w:pPr>
              <w:jc w:val="center"/>
              <w:rPr>
                <w:rFonts w:ascii="Calibri" w:eastAsia="Times New Roman" w:hAnsi="Calibri" w:cs="Calibri"/>
                <w:b/>
                <w:bCs/>
                <w:color w:val="0D0D0D"/>
              </w:rPr>
            </w:pPr>
            <w:r w:rsidRPr="006539B7">
              <w:rPr>
                <w:rFonts w:ascii="Calibri" w:eastAsia="Times New Roman" w:hAnsi="Calibri" w:cs="Calibri"/>
                <w:b/>
                <w:bCs/>
                <w:color w:val="0D0D0D"/>
              </w:rPr>
              <w:t>202</w:t>
            </w:r>
            <w:r>
              <w:rPr>
                <w:rFonts w:ascii="Calibri" w:eastAsia="Times New Roman" w:hAnsi="Calibri" w:cs="Calibri"/>
                <w:b/>
                <w:bCs/>
                <w:color w:val="0D0D0D"/>
              </w:rPr>
              <w:t>2</w:t>
            </w:r>
          </w:p>
        </w:tc>
        <w:tc>
          <w:tcPr>
            <w:tcW w:w="1064" w:type="dxa"/>
            <w:tcBorders>
              <w:top w:val="nil"/>
              <w:left w:val="nil"/>
              <w:bottom w:val="single" w:sz="12" w:space="0" w:color="00688D"/>
              <w:right w:val="nil"/>
            </w:tcBorders>
            <w:shd w:val="clear" w:color="auto" w:fill="D9D9D9" w:themeFill="background1" w:themeFillShade="D9"/>
            <w:noWrap/>
            <w:vAlign w:val="bottom"/>
            <w:hideMark/>
          </w:tcPr>
          <w:p w14:paraId="22217E43" w14:textId="77777777" w:rsidR="00721CFD" w:rsidRPr="006539B7" w:rsidRDefault="00721CFD" w:rsidP="007B5BB3">
            <w:pPr>
              <w:jc w:val="center"/>
              <w:rPr>
                <w:rFonts w:ascii="Calibri" w:eastAsia="Times New Roman" w:hAnsi="Calibri" w:cs="Calibri"/>
                <w:b/>
                <w:bCs/>
                <w:color w:val="0D0D0D"/>
              </w:rPr>
            </w:pPr>
            <w:r w:rsidRPr="006539B7">
              <w:rPr>
                <w:rFonts w:ascii="Calibri" w:eastAsia="Times New Roman" w:hAnsi="Calibri" w:cs="Calibri"/>
                <w:b/>
                <w:bCs/>
                <w:color w:val="0D0D0D"/>
              </w:rPr>
              <w:t>20</w:t>
            </w:r>
            <w:r>
              <w:rPr>
                <w:rFonts w:ascii="Calibri" w:eastAsia="Times New Roman" w:hAnsi="Calibri" w:cs="Calibri"/>
                <w:b/>
                <w:bCs/>
                <w:color w:val="0D0D0D"/>
              </w:rPr>
              <w:t>21</w:t>
            </w:r>
          </w:p>
        </w:tc>
      </w:tr>
      <w:tr w:rsidR="00721CFD" w:rsidRPr="006539B7" w14:paraId="1004CFC7" w14:textId="77777777" w:rsidTr="007B5BB3">
        <w:trPr>
          <w:trHeight w:val="324"/>
          <w:jc w:val="center"/>
        </w:trPr>
        <w:tc>
          <w:tcPr>
            <w:tcW w:w="6244" w:type="dxa"/>
            <w:tcBorders>
              <w:top w:val="nil"/>
              <w:left w:val="nil"/>
              <w:bottom w:val="nil"/>
              <w:right w:val="nil"/>
            </w:tcBorders>
            <w:shd w:val="clear" w:color="000000" w:fill="FFFFFF"/>
            <w:noWrap/>
            <w:vAlign w:val="bottom"/>
            <w:hideMark/>
          </w:tcPr>
          <w:p w14:paraId="5CA62563"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Total pension liability</w:t>
            </w:r>
          </w:p>
        </w:tc>
        <w:tc>
          <w:tcPr>
            <w:tcW w:w="1044" w:type="dxa"/>
            <w:tcBorders>
              <w:top w:val="nil"/>
              <w:left w:val="nil"/>
              <w:bottom w:val="nil"/>
              <w:right w:val="nil"/>
            </w:tcBorders>
            <w:shd w:val="clear" w:color="000000" w:fill="FFFFFF"/>
            <w:noWrap/>
            <w:vAlign w:val="bottom"/>
            <w:hideMark/>
          </w:tcPr>
          <w:p w14:paraId="6CF52F30"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32,044</w:t>
            </w:r>
          </w:p>
        </w:tc>
        <w:tc>
          <w:tcPr>
            <w:tcW w:w="1064" w:type="dxa"/>
            <w:tcBorders>
              <w:top w:val="nil"/>
              <w:left w:val="nil"/>
              <w:bottom w:val="nil"/>
              <w:right w:val="nil"/>
            </w:tcBorders>
            <w:shd w:val="clear" w:color="auto" w:fill="D9D9D9" w:themeFill="background1" w:themeFillShade="D9"/>
            <w:noWrap/>
            <w:vAlign w:val="bottom"/>
            <w:hideMark/>
          </w:tcPr>
          <w:p w14:paraId="152037AE" w14:textId="77777777" w:rsidR="00721CFD" w:rsidRPr="006539B7" w:rsidRDefault="00721CFD" w:rsidP="007B5BB3">
            <w:pPr>
              <w:jc w:val="right"/>
              <w:rPr>
                <w:rFonts w:ascii="Calibri" w:eastAsia="Times New Roman" w:hAnsi="Calibri" w:cs="Calibri"/>
                <w:color w:val="0D0D0D"/>
              </w:rPr>
            </w:pPr>
            <w:r w:rsidRPr="006539B7">
              <w:rPr>
                <w:rFonts w:ascii="Calibri" w:eastAsia="Times New Roman" w:hAnsi="Calibri" w:cs="Calibri"/>
                <w:color w:val="0D0D0D"/>
              </w:rPr>
              <w:t xml:space="preserve">$  </w:t>
            </w:r>
            <w:r>
              <w:rPr>
                <w:rFonts w:ascii="Calibri" w:eastAsia="Times New Roman" w:hAnsi="Calibri" w:cs="Calibri"/>
                <w:color w:val="0D0D0D"/>
              </w:rPr>
              <w:t>33,840</w:t>
            </w:r>
          </w:p>
        </w:tc>
      </w:tr>
      <w:tr w:rsidR="00721CFD" w:rsidRPr="006539B7" w14:paraId="0A4268C3" w14:textId="77777777" w:rsidTr="007B5BB3">
        <w:trPr>
          <w:trHeight w:val="312"/>
          <w:jc w:val="center"/>
        </w:trPr>
        <w:tc>
          <w:tcPr>
            <w:tcW w:w="6244" w:type="dxa"/>
            <w:tcBorders>
              <w:top w:val="nil"/>
              <w:left w:val="nil"/>
              <w:bottom w:val="nil"/>
              <w:right w:val="nil"/>
            </w:tcBorders>
            <w:shd w:val="clear" w:color="000000" w:fill="FFFFFF"/>
            <w:noWrap/>
            <w:vAlign w:val="bottom"/>
            <w:hideMark/>
          </w:tcPr>
          <w:p w14:paraId="23A3B64C"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Fiduciary net position</w:t>
            </w:r>
          </w:p>
        </w:tc>
        <w:tc>
          <w:tcPr>
            <w:tcW w:w="1044" w:type="dxa"/>
            <w:tcBorders>
              <w:top w:val="nil"/>
              <w:left w:val="nil"/>
              <w:bottom w:val="nil"/>
              <w:right w:val="nil"/>
            </w:tcBorders>
            <w:shd w:val="clear" w:color="000000" w:fill="FFFFFF"/>
            <w:noWrap/>
            <w:vAlign w:val="bottom"/>
            <w:hideMark/>
          </w:tcPr>
          <w:p w14:paraId="5A955381"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(20,392)</w:t>
            </w:r>
          </w:p>
        </w:tc>
        <w:tc>
          <w:tcPr>
            <w:tcW w:w="1064" w:type="dxa"/>
            <w:tcBorders>
              <w:top w:val="nil"/>
              <w:left w:val="nil"/>
              <w:bottom w:val="nil"/>
              <w:right w:val="nil"/>
            </w:tcBorders>
            <w:shd w:val="clear" w:color="auto" w:fill="D9D9D9" w:themeFill="background1" w:themeFillShade="D9"/>
            <w:noWrap/>
            <w:vAlign w:val="bottom"/>
            <w:hideMark/>
          </w:tcPr>
          <w:p w14:paraId="2DB16A29" w14:textId="77777777" w:rsidR="00721CFD" w:rsidRPr="006539B7" w:rsidRDefault="00721CFD" w:rsidP="007B5BB3">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25,291</w:t>
            </w:r>
            <w:r w:rsidRPr="006539B7">
              <w:rPr>
                <w:rFonts w:ascii="Calibri" w:eastAsia="Times New Roman" w:hAnsi="Calibri" w:cs="Calibri"/>
                <w:color w:val="0D0D0D"/>
              </w:rPr>
              <w:t>)</w:t>
            </w:r>
          </w:p>
        </w:tc>
      </w:tr>
      <w:tr w:rsidR="00721CFD" w:rsidRPr="006539B7" w14:paraId="0EDDD61B" w14:textId="77777777" w:rsidTr="007B5BB3">
        <w:trPr>
          <w:trHeight w:val="360"/>
          <w:jc w:val="center"/>
        </w:trPr>
        <w:tc>
          <w:tcPr>
            <w:tcW w:w="6244" w:type="dxa"/>
            <w:tcBorders>
              <w:top w:val="single" w:sz="4" w:space="0" w:color="00688D"/>
              <w:left w:val="nil"/>
              <w:bottom w:val="double" w:sz="6" w:space="0" w:color="00688D"/>
              <w:right w:val="nil"/>
            </w:tcBorders>
            <w:shd w:val="clear" w:color="000000" w:fill="FFFFFF"/>
            <w:noWrap/>
            <w:vAlign w:val="bottom"/>
            <w:hideMark/>
          </w:tcPr>
          <w:p w14:paraId="30B9A75B"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Net pension liability</w:t>
            </w:r>
          </w:p>
        </w:tc>
        <w:tc>
          <w:tcPr>
            <w:tcW w:w="1044" w:type="dxa"/>
            <w:tcBorders>
              <w:top w:val="single" w:sz="4" w:space="0" w:color="00688D"/>
              <w:left w:val="nil"/>
              <w:bottom w:val="double" w:sz="6" w:space="0" w:color="00688D"/>
              <w:right w:val="nil"/>
            </w:tcBorders>
            <w:shd w:val="clear" w:color="000000" w:fill="FFFFFF"/>
            <w:noWrap/>
            <w:vAlign w:val="bottom"/>
            <w:hideMark/>
          </w:tcPr>
          <w:p w14:paraId="5D560F78" w14:textId="2B211DD3"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11,652</w:t>
            </w:r>
          </w:p>
        </w:tc>
        <w:tc>
          <w:tcPr>
            <w:tcW w:w="1064"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499C5E63" w14:textId="77777777" w:rsidR="00721CFD" w:rsidRPr="006539B7" w:rsidRDefault="00721CFD" w:rsidP="007B5BB3">
            <w:pPr>
              <w:jc w:val="right"/>
              <w:rPr>
                <w:rFonts w:ascii="Calibri" w:eastAsia="Times New Roman" w:hAnsi="Calibri" w:cs="Calibri"/>
                <w:color w:val="0D0D0D"/>
              </w:rPr>
            </w:pPr>
            <w:r>
              <w:rPr>
                <w:rFonts w:ascii="Calibri" w:eastAsia="Times New Roman" w:hAnsi="Calibri" w:cs="Calibri"/>
                <w:color w:val="0D0D0D"/>
              </w:rPr>
              <w:t>$    8,549</w:t>
            </w:r>
          </w:p>
        </w:tc>
      </w:tr>
      <w:tr w:rsidR="00721CFD" w:rsidRPr="006539B7" w14:paraId="0FBBFB3A" w14:textId="77777777" w:rsidTr="007B5BB3">
        <w:trPr>
          <w:trHeight w:val="540"/>
          <w:jc w:val="center"/>
        </w:trPr>
        <w:tc>
          <w:tcPr>
            <w:tcW w:w="6244" w:type="dxa"/>
            <w:tcBorders>
              <w:top w:val="nil"/>
              <w:left w:val="nil"/>
              <w:bottom w:val="single" w:sz="8" w:space="0" w:color="00688D"/>
              <w:right w:val="nil"/>
            </w:tcBorders>
            <w:shd w:val="clear" w:color="000000" w:fill="FFFFFF"/>
            <w:vAlign w:val="bottom"/>
            <w:hideMark/>
          </w:tcPr>
          <w:p w14:paraId="6F6B90FD"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Fiduciary net position as a percentage of the total pension liability</w:t>
            </w:r>
          </w:p>
        </w:tc>
        <w:tc>
          <w:tcPr>
            <w:tcW w:w="1044" w:type="dxa"/>
            <w:tcBorders>
              <w:top w:val="nil"/>
              <w:left w:val="nil"/>
              <w:bottom w:val="single" w:sz="8" w:space="0" w:color="00688D"/>
              <w:right w:val="nil"/>
            </w:tcBorders>
            <w:shd w:val="clear" w:color="000000" w:fill="FFFFFF"/>
            <w:noWrap/>
            <w:vAlign w:val="bottom"/>
            <w:hideMark/>
          </w:tcPr>
          <w:p w14:paraId="0CA6292F"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63.6%</w:t>
            </w:r>
          </w:p>
        </w:tc>
        <w:tc>
          <w:tcPr>
            <w:tcW w:w="1064" w:type="dxa"/>
            <w:tcBorders>
              <w:top w:val="nil"/>
              <w:left w:val="nil"/>
              <w:bottom w:val="single" w:sz="8" w:space="0" w:color="00688D"/>
              <w:right w:val="nil"/>
            </w:tcBorders>
            <w:shd w:val="clear" w:color="auto" w:fill="D9D9D9" w:themeFill="background1" w:themeFillShade="D9"/>
            <w:noWrap/>
            <w:vAlign w:val="bottom"/>
            <w:hideMark/>
          </w:tcPr>
          <w:p w14:paraId="5D869982" w14:textId="77777777" w:rsidR="00721CFD" w:rsidRPr="006539B7" w:rsidRDefault="00721CFD" w:rsidP="007B5BB3">
            <w:pPr>
              <w:jc w:val="right"/>
              <w:rPr>
                <w:rFonts w:ascii="Calibri" w:eastAsia="Times New Roman" w:hAnsi="Calibri" w:cs="Calibri"/>
                <w:color w:val="0D0D0D"/>
              </w:rPr>
            </w:pPr>
            <w:r>
              <w:rPr>
                <w:rFonts w:ascii="Calibri" w:eastAsia="Times New Roman" w:hAnsi="Calibri" w:cs="Calibri"/>
                <w:color w:val="0D0D0D"/>
              </w:rPr>
              <w:t>74.7</w:t>
            </w:r>
            <w:r w:rsidRPr="006539B7">
              <w:rPr>
                <w:rFonts w:ascii="Calibri" w:eastAsia="Times New Roman" w:hAnsi="Calibri" w:cs="Calibri"/>
                <w:color w:val="0D0D0D"/>
              </w:rPr>
              <w:t>%</w:t>
            </w:r>
          </w:p>
        </w:tc>
      </w:tr>
    </w:tbl>
    <w:p w14:paraId="6B24501D" w14:textId="26ABEE17" w:rsidR="009D1777" w:rsidRDefault="00721CFD" w:rsidP="00FD47AB">
      <w:pPr>
        <w:widowControl w:val="0"/>
        <w:spacing w:before="240" w:after="160"/>
        <w:rPr>
          <w:rFonts w:eastAsia="Times New Roman" w:cstheme="minorHAnsi"/>
          <w:bCs/>
          <w:iCs/>
          <w:spacing w:val="-1"/>
          <w:sz w:val="18"/>
          <w:szCs w:val="16"/>
        </w:rPr>
      </w:pPr>
      <w:r w:rsidRPr="00F54559">
        <w:rPr>
          <w:rFonts w:eastAsia="Franklin Gothic Book" w:cstheme="minorHAnsi"/>
          <w:spacing w:val="-1"/>
          <w:sz w:val="24"/>
        </w:rPr>
        <w:t>For purposes of determining fiduciary net position, benefits are recorded when paid.</w:t>
      </w:r>
      <w:r w:rsidR="009D1777">
        <w:rPr>
          <w:rFonts w:eastAsia="Times New Roman" w:cstheme="minorHAnsi"/>
          <w:bCs/>
          <w:iCs/>
          <w:spacing w:val="-1"/>
          <w:sz w:val="18"/>
          <w:szCs w:val="16"/>
        </w:rPr>
        <w:br w:type="page"/>
      </w:r>
    </w:p>
    <w:p w14:paraId="066D2EB3" w14:textId="7B0121B9" w:rsidR="0003007A" w:rsidRPr="00C95891" w:rsidRDefault="009D1777" w:rsidP="00721CFD">
      <w:pPr>
        <w:widowControl w:val="0"/>
        <w:rPr>
          <w:rFonts w:eastAsia="Times New Roman" w:cstheme="minorHAnsi"/>
          <w:bCs/>
          <w:iCs/>
          <w:spacing w:val="-1"/>
          <w:sz w:val="18"/>
          <w:szCs w:val="16"/>
        </w:rPr>
      </w:pPr>
      <w:r w:rsidRPr="00F54559">
        <w:rPr>
          <w:rFonts w:cstheme="minorHAnsi"/>
          <w:b/>
          <w:i/>
          <w:sz w:val="26"/>
          <w:u w:val="single" w:color="000000" w:themeColor="text1"/>
        </w:rPr>
        <w:lastRenderedPageBreak/>
        <w:t>13d. Defined Benefit Plan – Classified Employees – continued</w:t>
      </w:r>
    </w:p>
    <w:p w14:paraId="23BF9747" w14:textId="65CCEF0D" w:rsidR="00721CFD" w:rsidRPr="009014A7" w:rsidRDefault="00721CFD" w:rsidP="0068687A">
      <w:pPr>
        <w:spacing w:before="240" w:after="160"/>
        <w:ind w:right="-7"/>
        <w:rPr>
          <w:rFonts w:eastAsia="Franklin Gothic Book" w:cstheme="minorHAnsi"/>
          <w:spacing w:val="-1"/>
          <w:sz w:val="20"/>
          <w:szCs w:val="24"/>
        </w:rPr>
      </w:pPr>
      <w:r w:rsidRPr="00F54559">
        <w:rPr>
          <w:rFonts w:eastAsia="Times New Roman" w:cstheme="minorHAnsi"/>
          <w:b/>
          <w:i/>
          <w:spacing w:val="-1"/>
          <w:sz w:val="24"/>
        </w:rPr>
        <w:t>Actuarial Assumptions:</w:t>
      </w:r>
      <w:r w:rsidRPr="00F54559">
        <w:rPr>
          <w:rFonts w:eastAsia="Franklin Gothic Book" w:cstheme="minorHAnsi"/>
          <w:spacing w:val="-1"/>
          <w:sz w:val="24"/>
        </w:rPr>
        <w:t xml:space="preserve"> The total pension liability as of June 30, 20</w:t>
      </w:r>
      <w:r>
        <w:rPr>
          <w:rFonts w:eastAsia="Franklin Gothic Book" w:cstheme="minorHAnsi"/>
          <w:spacing w:val="-1"/>
          <w:sz w:val="24"/>
        </w:rPr>
        <w:t>22</w:t>
      </w:r>
      <w:r w:rsidRPr="00F54559">
        <w:rPr>
          <w:rFonts w:eastAsia="Franklin Gothic Book" w:cstheme="minorHAnsi"/>
          <w:spacing w:val="-1"/>
          <w:sz w:val="24"/>
        </w:rPr>
        <w:t xml:space="preserve"> and 20</w:t>
      </w:r>
      <w:r>
        <w:rPr>
          <w:rFonts w:eastAsia="Franklin Gothic Book" w:cstheme="minorHAnsi"/>
          <w:spacing w:val="-1"/>
          <w:sz w:val="24"/>
        </w:rPr>
        <w:t>21</w:t>
      </w:r>
      <w:r w:rsidRPr="00F54559">
        <w:rPr>
          <w:rFonts w:eastAsia="Franklin Gothic Book" w:cstheme="minorHAnsi"/>
          <w:spacing w:val="-1"/>
          <w:sz w:val="24"/>
        </w:rPr>
        <w:t xml:space="preserve"> was determined by an actuarial valuation as of </w:t>
      </w:r>
      <w:r w:rsidRPr="002F393E">
        <w:rPr>
          <w:rFonts w:eastAsia="Franklin Gothic Book" w:cstheme="minorHAnsi"/>
          <w:spacing w:val="-1"/>
          <w:sz w:val="24"/>
        </w:rPr>
        <w:t xml:space="preserve">July 1, 2021 </w:t>
      </w:r>
      <w:r w:rsidRPr="003959B0">
        <w:rPr>
          <w:rFonts w:eastAsia="Franklin Gothic Book" w:cstheme="minorHAnsi"/>
          <w:spacing w:val="-1"/>
          <w:sz w:val="24"/>
        </w:rPr>
        <w:t xml:space="preserve">rolled forward to the measurement date of June 30, 2022 </w:t>
      </w:r>
      <w:r w:rsidRPr="002F393E">
        <w:rPr>
          <w:rFonts w:eastAsia="Franklin Gothic Book" w:cstheme="minorHAnsi"/>
          <w:spacing w:val="-1"/>
          <w:sz w:val="24"/>
        </w:rPr>
        <w:t xml:space="preserve">and as of July 1, </w:t>
      </w:r>
      <w:r w:rsidRPr="002F393E">
        <w:rPr>
          <w:rFonts w:eastAsia="Franklin Gothic Book" w:cstheme="minorHAnsi"/>
          <w:sz w:val="24"/>
        </w:rPr>
        <w:t>2021</w:t>
      </w:r>
      <w:r w:rsidRPr="002F393E">
        <w:rPr>
          <w:rFonts w:eastAsia="Franklin Gothic Book" w:cstheme="minorHAnsi"/>
          <w:spacing w:val="-1"/>
          <w:sz w:val="24"/>
        </w:rPr>
        <w:t>,</w:t>
      </w:r>
      <w:r w:rsidR="009D1777">
        <w:rPr>
          <w:rFonts w:eastAsia="Franklin Gothic Book" w:cstheme="minorHAnsi"/>
          <w:spacing w:val="-1"/>
          <w:sz w:val="24"/>
        </w:rPr>
        <w:t xml:space="preserve"> </w:t>
      </w:r>
      <w:r w:rsidRPr="002F393E">
        <w:rPr>
          <w:rFonts w:eastAsia="Franklin Gothic Book" w:cstheme="minorHAnsi"/>
          <w:spacing w:val="-1"/>
          <w:sz w:val="24"/>
        </w:rPr>
        <w:t xml:space="preserve">respectively, using the following actuarial </w:t>
      </w:r>
      <w:r w:rsidRPr="00F54559">
        <w:rPr>
          <w:rFonts w:eastAsia="Franklin Gothic Book" w:cstheme="minorHAnsi"/>
          <w:spacing w:val="-1"/>
          <w:sz w:val="24"/>
        </w:rPr>
        <w:t>assumptions, applied to all periods included in the measurement:</w:t>
      </w:r>
    </w:p>
    <w:p w14:paraId="081B4F32" w14:textId="77777777" w:rsidR="00721CFD" w:rsidRPr="0040387A" w:rsidRDefault="00721CFD" w:rsidP="00721CFD">
      <w:pPr>
        <w:widowControl w:val="0"/>
        <w:pBdr>
          <w:top w:val="single" w:sz="4" w:space="1" w:color="00688D"/>
        </w:pBdr>
        <w:tabs>
          <w:tab w:val="left" w:pos="3510"/>
        </w:tabs>
        <w:ind w:left="540" w:right="360"/>
        <w:rPr>
          <w:rFonts w:eastAsia="Franklin Gothic Book" w:cstheme="minorHAnsi"/>
          <w:sz w:val="24"/>
          <w:szCs w:val="24"/>
        </w:rPr>
      </w:pPr>
      <w:r w:rsidRPr="0040387A">
        <w:rPr>
          <w:rFonts w:eastAsia="Franklin Gothic Book" w:cstheme="minorHAnsi"/>
          <w:sz w:val="24"/>
          <w:szCs w:val="24"/>
        </w:rPr>
        <w:t>Actuarial cost method</w:t>
      </w:r>
      <w:r w:rsidRPr="0040387A">
        <w:rPr>
          <w:rFonts w:eastAsia="Franklin Gothic Book" w:cstheme="minorHAnsi"/>
          <w:sz w:val="24"/>
          <w:szCs w:val="24"/>
        </w:rPr>
        <w:tab/>
        <w:t>Entry age normal</w:t>
      </w:r>
    </w:p>
    <w:p w14:paraId="1AB9E0D2" w14:textId="77777777" w:rsidR="00721CFD" w:rsidRPr="0040387A" w:rsidRDefault="00721CFD" w:rsidP="00721CFD">
      <w:pPr>
        <w:widowControl w:val="0"/>
        <w:pBdr>
          <w:top w:val="single" w:sz="4" w:space="1" w:color="00688D"/>
        </w:pBdr>
        <w:tabs>
          <w:tab w:val="left" w:pos="3510"/>
        </w:tabs>
        <w:ind w:left="2160" w:right="360" w:hanging="1620"/>
        <w:rPr>
          <w:rFonts w:eastAsia="Franklin Gothic Book" w:cstheme="minorHAnsi"/>
          <w:sz w:val="24"/>
          <w:szCs w:val="24"/>
        </w:rPr>
      </w:pPr>
      <w:r w:rsidRPr="0040387A">
        <w:rPr>
          <w:rFonts w:eastAsia="Franklin Gothic Book" w:cstheme="minorHAnsi"/>
          <w:sz w:val="24"/>
          <w:szCs w:val="24"/>
        </w:rPr>
        <w:t>Actuarial asset method</w:t>
      </w:r>
      <w:r w:rsidRPr="0040387A">
        <w:rPr>
          <w:rFonts w:eastAsia="Franklin Gothic Book" w:cstheme="minorHAnsi"/>
          <w:sz w:val="24"/>
          <w:szCs w:val="24"/>
        </w:rPr>
        <w:tab/>
        <w:t xml:space="preserve">The actuarial value of assets is the market value of </w:t>
      </w:r>
      <w:r w:rsidRPr="0040387A">
        <w:rPr>
          <w:rFonts w:eastAsia="Franklin Gothic Book" w:cstheme="minorHAnsi"/>
          <w:sz w:val="24"/>
          <w:szCs w:val="24"/>
        </w:rPr>
        <w:tab/>
        <w:t>assets</w:t>
      </w:r>
    </w:p>
    <w:p w14:paraId="67F29FD8" w14:textId="77777777" w:rsidR="00721CFD" w:rsidRPr="0040387A" w:rsidRDefault="00721CFD" w:rsidP="00721CFD">
      <w:pPr>
        <w:widowControl w:val="0"/>
        <w:tabs>
          <w:tab w:val="left" w:pos="3510"/>
        </w:tabs>
        <w:ind w:left="540" w:right="360"/>
        <w:rPr>
          <w:rFonts w:eastAsia="Franklin Gothic Book" w:cstheme="minorHAnsi"/>
          <w:sz w:val="24"/>
          <w:szCs w:val="24"/>
        </w:rPr>
      </w:pPr>
      <w:r w:rsidRPr="0040387A">
        <w:rPr>
          <w:rFonts w:eastAsia="Franklin Gothic Book" w:cstheme="minorHAnsi"/>
          <w:sz w:val="24"/>
          <w:szCs w:val="24"/>
        </w:rPr>
        <w:t>Inflation</w:t>
      </w:r>
      <w:r w:rsidRPr="0040387A">
        <w:rPr>
          <w:rFonts w:eastAsia="Franklin Gothic Book" w:cstheme="minorHAnsi"/>
          <w:sz w:val="24"/>
          <w:szCs w:val="24"/>
        </w:rPr>
        <w:tab/>
        <w:t>2.5% as of June 30, 202</w:t>
      </w:r>
      <w:r w:rsidRPr="00A93FB3">
        <w:rPr>
          <w:rFonts w:eastAsia="Franklin Gothic Book" w:cstheme="minorHAnsi"/>
          <w:sz w:val="24"/>
          <w:szCs w:val="24"/>
        </w:rPr>
        <w:t>2 and 2021</w:t>
      </w:r>
      <w:r w:rsidRPr="0040387A">
        <w:rPr>
          <w:rFonts w:eastAsia="Franklin Gothic Book" w:cstheme="minorHAnsi"/>
          <w:sz w:val="24"/>
          <w:szCs w:val="24"/>
        </w:rPr>
        <w:tab/>
      </w:r>
    </w:p>
    <w:p w14:paraId="61EB0D37" w14:textId="77777777" w:rsidR="00721CFD" w:rsidRPr="0040387A" w:rsidRDefault="00721CFD" w:rsidP="00721CFD">
      <w:pPr>
        <w:widowControl w:val="0"/>
        <w:tabs>
          <w:tab w:val="left" w:pos="3510"/>
        </w:tabs>
        <w:ind w:left="540" w:right="360"/>
        <w:rPr>
          <w:rFonts w:eastAsia="Franklin Gothic Book" w:cstheme="minorHAnsi"/>
          <w:sz w:val="24"/>
          <w:szCs w:val="24"/>
        </w:rPr>
      </w:pPr>
      <w:r w:rsidRPr="0040387A">
        <w:rPr>
          <w:rFonts w:eastAsia="Franklin Gothic Book" w:cstheme="minorHAnsi"/>
          <w:sz w:val="24"/>
          <w:szCs w:val="24"/>
        </w:rPr>
        <w:t>Salary increases</w:t>
      </w:r>
      <w:r w:rsidRPr="0040387A">
        <w:rPr>
          <w:rFonts w:eastAsia="Franklin Gothic Book" w:cstheme="minorHAnsi"/>
          <w:sz w:val="24"/>
          <w:szCs w:val="24"/>
        </w:rPr>
        <w:tab/>
        <w:t>3.5% for all years</w:t>
      </w:r>
    </w:p>
    <w:p w14:paraId="1166D877" w14:textId="77777777" w:rsidR="00721CFD" w:rsidRPr="0040387A" w:rsidRDefault="00721CFD" w:rsidP="00721CFD">
      <w:pPr>
        <w:widowControl w:val="0"/>
        <w:tabs>
          <w:tab w:val="left" w:pos="3510"/>
        </w:tabs>
        <w:ind w:left="540" w:right="360"/>
        <w:rPr>
          <w:rFonts w:eastAsia="Franklin Gothic Book" w:cstheme="minorHAnsi"/>
          <w:sz w:val="24"/>
          <w:szCs w:val="24"/>
        </w:rPr>
      </w:pPr>
      <w:r w:rsidRPr="0040387A">
        <w:rPr>
          <w:rFonts w:eastAsia="Franklin Gothic Book" w:cstheme="minorHAnsi"/>
          <w:sz w:val="24"/>
          <w:szCs w:val="24"/>
        </w:rPr>
        <w:t>Investment rate of return</w:t>
      </w:r>
      <w:r w:rsidRPr="0040387A">
        <w:rPr>
          <w:rFonts w:eastAsia="Franklin Gothic Book" w:cstheme="minorHAnsi"/>
          <w:sz w:val="24"/>
          <w:szCs w:val="24"/>
        </w:rPr>
        <w:tab/>
        <w:t>6.25% net of investment expenses, including inflation</w:t>
      </w:r>
    </w:p>
    <w:p w14:paraId="318B0CC5" w14:textId="77777777" w:rsidR="00721CFD" w:rsidRPr="0040387A" w:rsidRDefault="00721CFD" w:rsidP="00721CFD">
      <w:pPr>
        <w:widowControl w:val="0"/>
        <w:pBdr>
          <w:bottom w:val="single" w:sz="4" w:space="1" w:color="00688D"/>
        </w:pBdr>
        <w:tabs>
          <w:tab w:val="left" w:pos="3510"/>
        </w:tabs>
        <w:ind w:left="3516" w:right="360" w:hanging="2976"/>
        <w:rPr>
          <w:rFonts w:eastAsia="Franklin Gothic Book" w:cstheme="minorHAnsi"/>
          <w:sz w:val="24"/>
          <w:szCs w:val="24"/>
        </w:rPr>
      </w:pPr>
      <w:r w:rsidRPr="0040387A">
        <w:rPr>
          <w:rFonts w:eastAsia="Franklin Gothic Book" w:cstheme="minorHAnsi"/>
          <w:sz w:val="24"/>
          <w:szCs w:val="24"/>
        </w:rPr>
        <w:t>Life expectancy</w:t>
      </w:r>
      <w:r w:rsidRPr="0040387A">
        <w:rPr>
          <w:rFonts w:eastAsia="Franklin Gothic Book" w:cstheme="minorHAnsi"/>
          <w:sz w:val="24"/>
          <w:szCs w:val="24"/>
        </w:rPr>
        <w:tab/>
        <w:t xml:space="preserve">Pre-retirement and post-retirement mortality rates were based on the Pub-2010 amount-weighted </w:t>
      </w:r>
      <w:r w:rsidRPr="0040387A">
        <w:rPr>
          <w:rFonts w:eastAsia="Franklin Gothic Book" w:cstheme="minorHAnsi"/>
          <w:spacing w:val="-1"/>
          <w:sz w:val="24"/>
          <w:szCs w:val="24"/>
        </w:rPr>
        <w:t>Mortality Table with Scale MP-2020. For disabled lives, the mortality rates were based on the Pub-2010 amount-weighted Disabled Mortality Table with Scale MP-2020.</w:t>
      </w:r>
    </w:p>
    <w:p w14:paraId="45D15462" w14:textId="44E8E2F8" w:rsidR="00721CFD" w:rsidRDefault="00721CFD" w:rsidP="0068687A">
      <w:pPr>
        <w:widowControl w:val="0"/>
        <w:spacing w:before="120" w:after="160"/>
        <w:ind w:right="-7"/>
        <w:rPr>
          <w:rFonts w:eastAsia="Franklin Gothic Book" w:cstheme="minorHAnsi"/>
          <w:sz w:val="24"/>
        </w:rPr>
      </w:pPr>
      <w:r w:rsidRPr="00F54559">
        <w:rPr>
          <w:rFonts w:eastAsia="Franklin Gothic Book" w:cstheme="minorHAnsi"/>
          <w:spacing w:val="-1"/>
          <w:sz w:val="24"/>
        </w:rPr>
        <w:t>T</w:t>
      </w:r>
      <w:r w:rsidRPr="00F54559">
        <w:rPr>
          <w:rFonts w:eastAsia="Franklin Gothic Book" w:cstheme="minorHAnsi"/>
          <w:sz w:val="24"/>
        </w:rPr>
        <w:t>he</w:t>
      </w:r>
      <w:r w:rsidRPr="00F54559">
        <w:rPr>
          <w:rFonts w:eastAsia="Franklin Gothic Book" w:cstheme="minorHAnsi"/>
          <w:spacing w:val="11"/>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1"/>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n</w:t>
      </w:r>
      <w:r w:rsidRPr="00F54559">
        <w:rPr>
          <w:rFonts w:eastAsia="Franklin Gothic Book" w:cstheme="minorHAnsi"/>
          <w:spacing w:val="11"/>
          <w:sz w:val="24"/>
        </w:rPr>
        <w:t xml:space="preserve"> </w:t>
      </w:r>
      <w:r w:rsidRPr="00F54559">
        <w:rPr>
          <w:rFonts w:eastAsia="Franklin Gothic Book" w:cstheme="minorHAnsi"/>
          <w:spacing w:val="-1"/>
          <w:sz w:val="24"/>
        </w:rPr>
        <w:t>the P</w:t>
      </w:r>
      <w:r w:rsidRPr="00F54559">
        <w:rPr>
          <w:rFonts w:eastAsia="Franklin Gothic Book" w:cstheme="minorHAnsi"/>
          <w:sz w:val="24"/>
        </w:rPr>
        <w:t>lan’s</w:t>
      </w:r>
      <w:r w:rsidRPr="00F54559">
        <w:rPr>
          <w:rFonts w:eastAsia="Franklin Gothic Book" w:cstheme="minorHAnsi"/>
          <w:spacing w:val="11"/>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ments</w:t>
      </w:r>
      <w:r w:rsidRPr="00F54559">
        <w:rPr>
          <w:rFonts w:eastAsia="Franklin Gothic Book" w:cstheme="minorHAnsi"/>
          <w:spacing w:val="12"/>
          <w:sz w:val="24"/>
        </w:rPr>
        <w:t xml:space="preserve"> </w:t>
      </w:r>
      <w:r w:rsidRPr="00F54559">
        <w:rPr>
          <w:rFonts w:eastAsia="Franklin Gothic Book" w:cstheme="minorHAnsi"/>
          <w:sz w:val="24"/>
        </w:rPr>
        <w:t>was</w:t>
      </w:r>
      <w:r w:rsidRPr="00F54559">
        <w:rPr>
          <w:rFonts w:eastAsia="Franklin Gothic Book" w:cstheme="minorHAnsi"/>
          <w:spacing w:val="12"/>
          <w:sz w:val="24"/>
        </w:rPr>
        <w:t xml:space="preserve"> </w:t>
      </w:r>
      <w:r w:rsidRPr="00F54559">
        <w:rPr>
          <w:rFonts w:eastAsia="Franklin Gothic Book" w:cstheme="minorHAnsi"/>
          <w:sz w:val="24"/>
        </w:rPr>
        <w:t>dete</w:t>
      </w:r>
      <w:r w:rsidRPr="00F54559">
        <w:rPr>
          <w:rFonts w:eastAsia="Franklin Gothic Book" w:cstheme="minorHAnsi"/>
          <w:spacing w:val="-1"/>
          <w:sz w:val="24"/>
        </w:rPr>
        <w:t>r</w:t>
      </w:r>
      <w:r w:rsidRPr="00F54559">
        <w:rPr>
          <w:rFonts w:eastAsia="Franklin Gothic Book" w:cstheme="minorHAnsi"/>
          <w:sz w:val="24"/>
        </w:rPr>
        <w:t>mined</w:t>
      </w:r>
      <w:r w:rsidRPr="00F54559">
        <w:rPr>
          <w:rFonts w:eastAsia="Franklin Gothic Book" w:cstheme="minorHAnsi"/>
          <w:spacing w:val="10"/>
          <w:sz w:val="24"/>
        </w:rPr>
        <w:t xml:space="preserve"> </w:t>
      </w:r>
      <w:r w:rsidRPr="00F54559">
        <w:rPr>
          <w:rFonts w:eastAsia="Franklin Gothic Book" w:cstheme="minorHAnsi"/>
          <w:sz w:val="24"/>
        </w:rPr>
        <w:t>u</w:t>
      </w:r>
      <w:r w:rsidRPr="00F54559">
        <w:rPr>
          <w:rFonts w:eastAsia="Franklin Gothic Book" w:cstheme="minorHAnsi"/>
          <w:spacing w:val="1"/>
          <w:sz w:val="24"/>
        </w:rPr>
        <w:t>s</w:t>
      </w:r>
      <w:r w:rsidRPr="00F54559">
        <w:rPr>
          <w:rFonts w:eastAsia="Franklin Gothic Book" w:cstheme="minorHAnsi"/>
          <w:sz w:val="24"/>
        </w:rPr>
        <w:t>ing</w:t>
      </w:r>
      <w:r w:rsidRPr="00F54559">
        <w:rPr>
          <w:rFonts w:eastAsia="Franklin Gothic Book" w:cstheme="minorHAnsi"/>
          <w:spacing w:val="11"/>
          <w:sz w:val="24"/>
        </w:rPr>
        <w:t xml:space="preserve"> </w:t>
      </w:r>
      <w:r w:rsidRPr="00F54559">
        <w:rPr>
          <w:rFonts w:eastAsia="Franklin Gothic Book" w:cstheme="minorHAnsi"/>
          <w:sz w:val="24"/>
        </w:rPr>
        <w:t>a</w:t>
      </w:r>
      <w:r w:rsidRPr="00F54559">
        <w:rPr>
          <w:rFonts w:eastAsia="Franklin Gothic Book" w:cstheme="minorHAnsi"/>
          <w:spacing w:val="10"/>
          <w:sz w:val="24"/>
        </w:rPr>
        <w:t xml:space="preserve"> </w:t>
      </w:r>
      <w:r w:rsidRPr="00F54559">
        <w:rPr>
          <w:rFonts w:eastAsia="Franklin Gothic Book" w:cstheme="minorHAnsi"/>
          <w:sz w:val="24"/>
        </w:rPr>
        <w:t>building-bl</w:t>
      </w:r>
      <w:r w:rsidRPr="00F54559">
        <w:rPr>
          <w:rFonts w:eastAsia="Franklin Gothic Book" w:cstheme="minorHAnsi"/>
          <w:spacing w:val="-1"/>
          <w:sz w:val="24"/>
        </w:rPr>
        <w:t>o</w:t>
      </w:r>
      <w:r w:rsidRPr="00F54559">
        <w:rPr>
          <w:rFonts w:eastAsia="Franklin Gothic Book" w:cstheme="minorHAnsi"/>
          <w:sz w:val="24"/>
        </w:rPr>
        <w:t>ck</w:t>
      </w:r>
      <w:r w:rsidRPr="00F54559">
        <w:rPr>
          <w:rFonts w:eastAsia="Franklin Gothic Book" w:cstheme="minorHAnsi"/>
          <w:w w:val="99"/>
          <w:sz w:val="24"/>
        </w:rPr>
        <w:t xml:space="preserve"> </w:t>
      </w:r>
      <w:r w:rsidRPr="00F54559">
        <w:rPr>
          <w:rFonts w:eastAsia="Franklin Gothic Book" w:cstheme="minorHAnsi"/>
          <w:sz w:val="24"/>
        </w:rPr>
        <w:t>method</w:t>
      </w:r>
      <w:r w:rsidRPr="00F54559">
        <w:rPr>
          <w:rFonts w:eastAsia="Franklin Gothic Book" w:cstheme="minorHAnsi"/>
          <w:spacing w:val="34"/>
          <w:sz w:val="24"/>
        </w:rPr>
        <w:t xml:space="preserve"> </w:t>
      </w:r>
      <w:r w:rsidRPr="00F54559">
        <w:rPr>
          <w:rFonts w:eastAsia="Franklin Gothic Book" w:cstheme="minorHAnsi"/>
          <w:sz w:val="24"/>
        </w:rPr>
        <w:t>in</w:t>
      </w:r>
      <w:r w:rsidRPr="00F54559">
        <w:rPr>
          <w:rFonts w:eastAsia="Franklin Gothic Book" w:cstheme="minorHAnsi"/>
          <w:spacing w:val="33"/>
          <w:sz w:val="24"/>
        </w:rPr>
        <w:t xml:space="preserve"> </w:t>
      </w:r>
      <w:r w:rsidRPr="00F54559">
        <w:rPr>
          <w:rFonts w:eastAsia="Franklin Gothic Book" w:cstheme="minorHAnsi"/>
          <w:sz w:val="24"/>
        </w:rPr>
        <w:t>which</w:t>
      </w:r>
      <w:r w:rsidRPr="00F54559">
        <w:rPr>
          <w:rFonts w:eastAsia="Franklin Gothic Book" w:cstheme="minorHAnsi"/>
          <w:spacing w:val="34"/>
          <w:sz w:val="24"/>
        </w:rPr>
        <w:t xml:space="preserve"> </w:t>
      </w:r>
      <w:r w:rsidRPr="00F54559">
        <w:rPr>
          <w:rFonts w:eastAsia="Franklin Gothic Book" w:cstheme="minorHAnsi"/>
          <w:sz w:val="24"/>
        </w:rPr>
        <w:t>bes</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35"/>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3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34"/>
          <w:sz w:val="24"/>
        </w:rPr>
        <w:t xml:space="preserve"> </w:t>
      </w:r>
      <w:r w:rsidRPr="00F54559">
        <w:rPr>
          <w:rFonts w:eastAsia="Franklin Gothic Book" w:cstheme="minorHAnsi"/>
          <w:spacing w:val="-1"/>
          <w:sz w:val="24"/>
        </w:rPr>
        <w:t>(</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
          <w:sz w:val="24"/>
        </w:rPr>
        <w:t>s</w:t>
      </w:r>
      <w:r w:rsidRPr="00F54559">
        <w:rPr>
          <w:rFonts w:eastAsia="Franklin Gothic Book" w:cstheme="minorHAnsi"/>
          <w:sz w:val="24"/>
        </w:rPr>
        <w:t>,</w:t>
      </w:r>
      <w:r w:rsidRPr="00F54559">
        <w:rPr>
          <w:rFonts w:eastAsia="Franklin Gothic Book" w:cstheme="minorHAnsi"/>
          <w:spacing w:val="34"/>
          <w:sz w:val="24"/>
        </w:rPr>
        <w:t xml:space="preserve"> </w:t>
      </w:r>
      <w:r w:rsidRPr="00F54559">
        <w:rPr>
          <w:rFonts w:eastAsia="Franklin Gothic Book" w:cstheme="minorHAnsi"/>
          <w:sz w:val="24"/>
        </w:rPr>
        <w:t>net</w:t>
      </w:r>
      <w:r w:rsidRPr="00F54559">
        <w:rPr>
          <w:rFonts w:eastAsia="Franklin Gothic Book" w:cstheme="minorHAnsi"/>
          <w:spacing w:val="32"/>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p</w:t>
      </w:r>
      <w:r w:rsidRPr="00F54559">
        <w:rPr>
          <w:rFonts w:eastAsia="Franklin Gothic Book" w:cstheme="minorHAnsi"/>
          <w:sz w:val="24"/>
        </w:rPr>
        <w:t>ension</w:t>
      </w:r>
      <w:r w:rsidRPr="00F54559">
        <w:rPr>
          <w:rFonts w:eastAsia="Franklin Gothic Book" w:cstheme="minorHAnsi"/>
          <w:spacing w:val="-5"/>
          <w:sz w:val="24"/>
        </w:rPr>
        <w:t xml:space="preserve"> </w:t>
      </w:r>
      <w:r w:rsidRPr="00F54559">
        <w:rPr>
          <w:rFonts w:eastAsia="Franklin Gothic Book" w:cstheme="minorHAnsi"/>
          <w:spacing w:val="-1"/>
          <w:sz w:val="24"/>
        </w:rPr>
        <w:t>p</w:t>
      </w:r>
      <w:r w:rsidRPr="00F54559">
        <w:rPr>
          <w:rFonts w:eastAsia="Franklin Gothic Book" w:cstheme="minorHAnsi"/>
          <w:sz w:val="24"/>
        </w:rPr>
        <w:t>lan</w:t>
      </w:r>
      <w:r w:rsidRPr="00F54559">
        <w:rPr>
          <w:rFonts w:eastAsia="Franklin Gothic Book" w:cstheme="minorHAnsi"/>
          <w:spacing w:val="-5"/>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ense</w:t>
      </w:r>
      <w:r w:rsidRPr="00F54559">
        <w:rPr>
          <w:rFonts w:eastAsia="Franklin Gothic Book" w:cstheme="minorHAnsi"/>
          <w:spacing w:val="-4"/>
          <w:sz w:val="24"/>
        </w:rPr>
        <w:t xml:space="preserve"> </w:t>
      </w:r>
      <w:r w:rsidRPr="00F54559">
        <w:rPr>
          <w:rFonts w:eastAsia="Franklin Gothic Book" w:cstheme="minorHAnsi"/>
          <w:sz w:val="24"/>
        </w:rPr>
        <w:t>and</w:t>
      </w:r>
      <w:r w:rsidRPr="00F54559">
        <w:rPr>
          <w:rFonts w:eastAsia="Franklin Gothic Book" w:cstheme="minorHAnsi"/>
          <w:spacing w:val="-5"/>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4"/>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5"/>
          <w:sz w:val="24"/>
        </w:rPr>
        <w:t xml:space="preserve"> </w:t>
      </w:r>
      <w:r w:rsidRPr="00F54559">
        <w:rPr>
          <w:rFonts w:eastAsia="Franklin Gothic Book" w:cstheme="minorHAnsi"/>
          <w:sz w:val="24"/>
        </w:rPr>
        <w:t>de</w:t>
      </w:r>
      <w:r w:rsidRPr="00F54559">
        <w:rPr>
          <w:rFonts w:eastAsia="Franklin Gothic Book" w:cstheme="minorHAnsi"/>
          <w:spacing w:val="-2"/>
          <w:sz w:val="24"/>
        </w:rPr>
        <w:t>v</w:t>
      </w:r>
      <w:r w:rsidRPr="00F54559">
        <w:rPr>
          <w:rFonts w:eastAsia="Franklin Gothic Book" w:cstheme="minorHAnsi"/>
          <w:sz w:val="24"/>
        </w:rPr>
        <w:t>e</w:t>
      </w:r>
      <w:r w:rsidRPr="00F54559">
        <w:rPr>
          <w:rFonts w:eastAsia="Franklin Gothic Book" w:cstheme="minorHAnsi"/>
          <w:spacing w:val="-1"/>
          <w:sz w:val="24"/>
        </w:rPr>
        <w:t>l</w:t>
      </w:r>
      <w:r w:rsidRPr="00F54559">
        <w:rPr>
          <w:rFonts w:eastAsia="Franklin Gothic Book" w:cstheme="minorHAnsi"/>
          <w:sz w:val="24"/>
        </w:rPr>
        <w:t>o</w:t>
      </w:r>
      <w:r w:rsidRPr="00F54559">
        <w:rPr>
          <w:rFonts w:eastAsia="Franklin Gothic Book" w:cstheme="minorHAnsi"/>
          <w:spacing w:val="-2"/>
          <w:sz w:val="24"/>
        </w:rPr>
        <w:t>p</w:t>
      </w:r>
      <w:r w:rsidRPr="00F54559">
        <w:rPr>
          <w:rFonts w:eastAsia="Franklin Gothic Book" w:cstheme="minorHAnsi"/>
          <w:sz w:val="24"/>
        </w:rPr>
        <w:t>ed</w:t>
      </w:r>
      <w:r w:rsidRPr="00F54559">
        <w:rPr>
          <w:rFonts w:eastAsia="Franklin Gothic Book" w:cstheme="minorHAnsi"/>
          <w:spacing w:val="-2"/>
          <w:sz w:val="24"/>
        </w:rPr>
        <w:t xml:space="preserve"> </w:t>
      </w:r>
      <w:r w:rsidRPr="00F54559">
        <w:rPr>
          <w:rFonts w:eastAsia="Franklin Gothic Book" w:cstheme="minorHAnsi"/>
          <w:sz w:val="24"/>
        </w:rPr>
        <w:t>for</w:t>
      </w:r>
      <w:r w:rsidRPr="00F54559">
        <w:rPr>
          <w:rFonts w:eastAsia="Franklin Gothic Book" w:cstheme="minorHAnsi"/>
          <w:spacing w:val="-5"/>
          <w:sz w:val="24"/>
        </w:rPr>
        <w:t xml:space="preserve"> </w:t>
      </w:r>
      <w:r w:rsidRPr="00F54559">
        <w:rPr>
          <w:rFonts w:eastAsia="Franklin Gothic Book" w:cstheme="minorHAnsi"/>
          <w:sz w:val="24"/>
        </w:rPr>
        <w:t>each</w:t>
      </w:r>
      <w:r w:rsidRPr="00F54559">
        <w:rPr>
          <w:rFonts w:eastAsia="Franklin Gothic Book" w:cstheme="minorHAnsi"/>
          <w:spacing w:val="-2"/>
          <w:sz w:val="24"/>
        </w:rPr>
        <w:t xml:space="preserve"> </w:t>
      </w:r>
      <w:r w:rsidRPr="00F54559">
        <w:rPr>
          <w:rFonts w:eastAsia="Franklin Gothic Book" w:cstheme="minorHAnsi"/>
          <w:sz w:val="24"/>
        </w:rPr>
        <w:t>major</w:t>
      </w:r>
      <w:r w:rsidRPr="00F54559">
        <w:rPr>
          <w:rFonts w:eastAsia="Franklin Gothic Book" w:cstheme="minorHAnsi"/>
          <w:spacing w:val="-6"/>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w:t>
      </w:r>
      <w:r w:rsidRPr="00F54559">
        <w:rPr>
          <w:rFonts w:eastAsia="Franklin Gothic Book" w:cstheme="minorHAnsi"/>
          <w:sz w:val="24"/>
        </w:rPr>
        <w:t>cla</w:t>
      </w:r>
      <w:r w:rsidRPr="00F54559">
        <w:rPr>
          <w:rFonts w:eastAsia="Franklin Gothic Book" w:cstheme="minorHAnsi"/>
          <w:spacing w:val="1"/>
          <w:sz w:val="24"/>
        </w:rPr>
        <w:t>ss</w:t>
      </w:r>
      <w:r w:rsidRPr="00F54559">
        <w:rPr>
          <w:rFonts w:eastAsia="Franklin Gothic Book" w:cstheme="minorHAnsi"/>
          <w:sz w:val="24"/>
        </w:rPr>
        <w:t>.</w:t>
      </w:r>
      <w:r w:rsidRPr="00F54559">
        <w:rPr>
          <w:rFonts w:eastAsia="Franklin Gothic Book" w:cstheme="minorHAnsi"/>
          <w:spacing w:val="41"/>
          <w:sz w:val="24"/>
        </w:rPr>
        <w:t xml:space="preserve"> </w:t>
      </w:r>
      <w:r w:rsidRPr="00F54559">
        <w:rPr>
          <w:rFonts w:eastAsia="Franklin Gothic Book" w:cstheme="minorHAnsi"/>
          <w:spacing w:val="-1"/>
          <w:sz w:val="24"/>
        </w:rPr>
        <w:t>T</w:t>
      </w:r>
      <w:r w:rsidRPr="00F54559">
        <w:rPr>
          <w:rFonts w:eastAsia="Franklin Gothic Book" w:cstheme="minorHAnsi"/>
          <w:sz w:val="24"/>
        </w:rPr>
        <w:t>hese</w:t>
      </w:r>
      <w:r w:rsidRPr="00F54559">
        <w:rPr>
          <w:rFonts w:eastAsia="Franklin Gothic Book" w:cstheme="minorHAnsi"/>
          <w:spacing w:val="-3"/>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w w:val="99"/>
          <w:sz w:val="24"/>
        </w:rPr>
        <w:t xml:space="preserve"> </w:t>
      </w:r>
      <w:r w:rsidRPr="00F54559">
        <w:rPr>
          <w:rFonts w:eastAsia="Franklin Gothic Book" w:cstheme="minorHAnsi"/>
          <w:sz w:val="24"/>
        </w:rPr>
        <w:t>combined</w:t>
      </w:r>
      <w:r w:rsidRPr="00F54559">
        <w:rPr>
          <w:rFonts w:eastAsia="Franklin Gothic Book" w:cstheme="minorHAnsi"/>
          <w:spacing w:val="15"/>
          <w:sz w:val="24"/>
        </w:rPr>
        <w:t xml:space="preserve"> </w:t>
      </w:r>
      <w:r w:rsidRPr="00F54559">
        <w:rPr>
          <w:rFonts w:eastAsia="Franklin Gothic Book" w:cstheme="minorHAnsi"/>
          <w:spacing w:val="1"/>
          <w:sz w:val="24"/>
        </w:rPr>
        <w:t>t</w:t>
      </w:r>
      <w:r w:rsidRPr="00F54559">
        <w:rPr>
          <w:rFonts w:eastAsia="Franklin Gothic Book" w:cstheme="minorHAnsi"/>
          <w:sz w:val="24"/>
        </w:rPr>
        <w:t>o</w:t>
      </w:r>
      <w:r w:rsidRPr="00F54559">
        <w:rPr>
          <w:rFonts w:eastAsia="Franklin Gothic Book" w:cstheme="minorHAnsi"/>
          <w:spacing w:val="14"/>
          <w:sz w:val="24"/>
        </w:rPr>
        <w:t xml:space="preserve"> </w:t>
      </w:r>
      <w:r w:rsidRPr="00F54559">
        <w:rPr>
          <w:rFonts w:eastAsia="Franklin Gothic Book" w:cstheme="minorHAnsi"/>
          <w:spacing w:val="-1"/>
          <w:sz w:val="24"/>
        </w:rPr>
        <w:t>pr</w:t>
      </w:r>
      <w:r w:rsidRPr="00F54559">
        <w:rPr>
          <w:rFonts w:eastAsia="Franklin Gothic Book" w:cstheme="minorHAnsi"/>
          <w:sz w:val="24"/>
        </w:rPr>
        <w:t>odu</w:t>
      </w:r>
      <w:r w:rsidRPr="00F54559">
        <w:rPr>
          <w:rFonts w:eastAsia="Franklin Gothic Book" w:cstheme="minorHAnsi"/>
          <w:spacing w:val="1"/>
          <w:sz w:val="24"/>
        </w:rPr>
        <w:t>c</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z w:val="24"/>
        </w:rPr>
        <w:t>the</w:t>
      </w:r>
      <w:r w:rsidRPr="00F54559">
        <w:rPr>
          <w:rFonts w:eastAsia="Franklin Gothic Book" w:cstheme="minorHAnsi"/>
          <w:spacing w:val="15"/>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9"/>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7"/>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13"/>
          <w:sz w:val="24"/>
        </w:rPr>
        <w:t xml:space="preserve"> </w:t>
      </w:r>
      <w:r w:rsidRPr="00F54559">
        <w:rPr>
          <w:rFonts w:eastAsia="Franklin Gothic Book" w:cstheme="minorHAnsi"/>
          <w:sz w:val="24"/>
        </w:rPr>
        <w:t>w</w:t>
      </w:r>
      <w:r w:rsidRPr="00F54559">
        <w:rPr>
          <w:rFonts w:eastAsia="Franklin Gothic Book" w:cstheme="minorHAnsi"/>
          <w:spacing w:val="-1"/>
          <w:sz w:val="24"/>
        </w:rPr>
        <w:t>e</w:t>
      </w:r>
      <w:r w:rsidRPr="00F54559">
        <w:rPr>
          <w:rFonts w:eastAsia="Franklin Gothic Book" w:cstheme="minorHAnsi"/>
          <w:sz w:val="24"/>
        </w:rPr>
        <w:t>ighting</w:t>
      </w:r>
      <w:r w:rsidRPr="00F54559">
        <w:rPr>
          <w:rFonts w:eastAsia="Franklin Gothic Book" w:cstheme="minorHAnsi"/>
          <w:spacing w:val="18"/>
          <w:sz w:val="24"/>
        </w:rPr>
        <w:t xml:space="preserve"> </w:t>
      </w:r>
      <w:r w:rsidRPr="00F54559">
        <w:rPr>
          <w:rFonts w:eastAsia="Franklin Gothic Book" w:cstheme="minorHAnsi"/>
          <w:sz w:val="24"/>
        </w:rPr>
        <w:t>the</w:t>
      </w:r>
      <w:r w:rsidRPr="00F54559">
        <w:rPr>
          <w:rFonts w:eastAsia="Franklin Gothic Book" w:cstheme="minorHAnsi"/>
          <w:spacing w:val="1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8"/>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1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17"/>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5"/>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the</w:t>
      </w:r>
      <w:r w:rsidRPr="00F54559">
        <w:rPr>
          <w:rFonts w:eastAsia="Franklin Gothic Book" w:cstheme="minorHAnsi"/>
          <w:spacing w:val="46"/>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7"/>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6"/>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b/>
          <w:i/>
          <w:sz w:val="24"/>
        </w:rPr>
        <w:t xml:space="preserve"> </w:t>
      </w:r>
      <w:r w:rsidRPr="00F54559">
        <w:rPr>
          <w:rFonts w:eastAsia="Franklin Gothic Book" w:cstheme="minorHAnsi"/>
          <w:spacing w:val="-1"/>
          <w:sz w:val="24"/>
        </w:rPr>
        <w:t>p</w:t>
      </w:r>
      <w:r w:rsidRPr="00F54559">
        <w:rPr>
          <w:rFonts w:eastAsia="Franklin Gothic Book" w:cstheme="minorHAnsi"/>
          <w:sz w:val="24"/>
        </w:rPr>
        <w:t>e</w:t>
      </w:r>
      <w:r w:rsidRPr="00F54559">
        <w:rPr>
          <w:rFonts w:eastAsia="Franklin Gothic Book" w:cstheme="minorHAnsi"/>
          <w:spacing w:val="-2"/>
          <w:sz w:val="24"/>
        </w:rPr>
        <w:t>r</w:t>
      </w:r>
      <w:r w:rsidRPr="00F54559">
        <w:rPr>
          <w:rFonts w:eastAsia="Franklin Gothic Book" w:cstheme="minorHAnsi"/>
          <w:sz w:val="24"/>
        </w:rPr>
        <w:t>centage</w:t>
      </w:r>
      <w:r w:rsidRPr="00F54559">
        <w:rPr>
          <w:rFonts w:eastAsia="Franklin Gothic Book" w:cstheme="minorHAnsi"/>
          <w:spacing w:val="46"/>
          <w:sz w:val="24"/>
        </w:rPr>
        <w:t xml:space="preserve"> </w:t>
      </w:r>
      <w:r w:rsidRPr="00F54559">
        <w:rPr>
          <w:rFonts w:eastAsia="Franklin Gothic Book" w:cstheme="minorHAnsi"/>
          <w:sz w:val="24"/>
        </w:rPr>
        <w:t>and</w:t>
      </w:r>
      <w:r w:rsidRPr="00F54559">
        <w:rPr>
          <w:rFonts w:eastAsia="Franklin Gothic Book" w:cstheme="minorHAnsi"/>
          <w:spacing w:val="46"/>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adding</w:t>
      </w:r>
      <w:r w:rsidRPr="00F54559">
        <w:rPr>
          <w:rFonts w:eastAsia="Franklin Gothic Book" w:cstheme="minorHAnsi"/>
          <w:spacing w:val="4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46"/>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p w14:paraId="146027E1" w14:textId="554B9DA9" w:rsidR="00721CFD" w:rsidRDefault="00721CFD" w:rsidP="00721CFD">
      <w:pPr>
        <w:spacing w:line="259" w:lineRule="auto"/>
        <w:rPr>
          <w:rFonts w:eastAsia="Franklin Gothic Book" w:cstheme="minorHAnsi"/>
          <w:sz w:val="24"/>
        </w:rPr>
      </w:pPr>
      <w:r w:rsidRPr="00F54559">
        <w:rPr>
          <w:rFonts w:eastAsia="Franklin Gothic Book" w:cstheme="minorHAnsi"/>
          <w:sz w:val="24"/>
        </w:rPr>
        <w:t>B</w:t>
      </w:r>
      <w:r w:rsidRPr="00F54559">
        <w:rPr>
          <w:rFonts w:eastAsia="Franklin Gothic Book" w:cstheme="minorHAnsi"/>
          <w:spacing w:val="-1"/>
          <w:sz w:val="24"/>
        </w:rPr>
        <w:t>e</w:t>
      </w:r>
      <w:r w:rsidRPr="00F54559">
        <w:rPr>
          <w:rFonts w:eastAsia="Franklin Gothic Book" w:cstheme="minorHAnsi"/>
          <w:spacing w:val="1"/>
          <w:sz w:val="24"/>
        </w:rPr>
        <w:t>s</w:t>
      </w:r>
      <w:r w:rsidRPr="00F54559">
        <w:rPr>
          <w:rFonts w:eastAsia="Franklin Gothic Book" w:cstheme="minorHAnsi"/>
          <w:sz w:val="24"/>
        </w:rPr>
        <w:t>t</w:t>
      </w:r>
      <w:r w:rsidRPr="00F54559">
        <w:rPr>
          <w:rFonts w:eastAsia="Franklin Gothic Book" w:cstheme="minorHAnsi"/>
          <w:spacing w:val="47"/>
          <w:sz w:val="24"/>
        </w:rPr>
        <w:t xml:space="preserve"> </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4"/>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ith</w:t>
      </w:r>
      <w:r w:rsidRPr="00F54559">
        <w:rPr>
          <w:rFonts w:eastAsia="Franklin Gothic Book" w:cstheme="minorHAnsi"/>
          <w:spacing w:val="1"/>
          <w:sz w:val="24"/>
        </w:rPr>
        <w:t>m</w:t>
      </w:r>
      <w:r w:rsidRPr="00F54559">
        <w:rPr>
          <w:rFonts w:eastAsia="Franklin Gothic Book" w:cstheme="minorHAnsi"/>
          <w:sz w:val="24"/>
        </w:rPr>
        <w:t>etic</w:t>
      </w:r>
      <w:r w:rsidRPr="00F54559">
        <w:rPr>
          <w:rFonts w:eastAsia="Franklin Gothic Book" w:cstheme="minorHAnsi"/>
          <w:spacing w:val="45"/>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40"/>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5"/>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4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z w:val="24"/>
        </w:rPr>
        <w:t>for</w:t>
      </w:r>
      <w:r w:rsidRPr="00F54559">
        <w:rPr>
          <w:rFonts w:eastAsia="Franklin Gothic Book" w:cstheme="minorHAnsi"/>
          <w:spacing w:val="40"/>
          <w:sz w:val="24"/>
        </w:rPr>
        <w:t xml:space="preserve"> </w:t>
      </w:r>
      <w:r w:rsidRPr="00F54559">
        <w:rPr>
          <w:rFonts w:eastAsia="Franklin Gothic Book" w:cstheme="minorHAnsi"/>
          <w:sz w:val="24"/>
        </w:rPr>
        <w:t>each</w:t>
      </w:r>
      <w:r w:rsidRPr="00F54559">
        <w:rPr>
          <w:rFonts w:eastAsia="Franklin Gothic Book" w:cstheme="minorHAnsi"/>
          <w:spacing w:val="45"/>
          <w:sz w:val="24"/>
        </w:rPr>
        <w:t xml:space="preserve"> </w:t>
      </w:r>
      <w:r w:rsidRPr="00F54559">
        <w:rPr>
          <w:rFonts w:eastAsia="Franklin Gothic Book" w:cstheme="minorHAnsi"/>
          <w:sz w:val="24"/>
        </w:rPr>
        <w:t>major</w:t>
      </w:r>
      <w:r w:rsidRPr="00F54559">
        <w:rPr>
          <w:rFonts w:eastAsia="Franklin Gothic Book" w:cstheme="minorHAnsi"/>
          <w:spacing w:val="40"/>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4"/>
          <w:sz w:val="24"/>
        </w:rPr>
        <w:t xml:space="preserve"> </w:t>
      </w:r>
      <w:r w:rsidRPr="00F54559">
        <w:rPr>
          <w:rFonts w:eastAsia="Franklin Gothic Book" w:cstheme="minorHAnsi"/>
          <w:sz w:val="24"/>
        </w:rPr>
        <w:t>cla</w:t>
      </w:r>
      <w:r w:rsidRPr="00F54559">
        <w:rPr>
          <w:rFonts w:eastAsia="Franklin Gothic Book" w:cstheme="minorHAnsi"/>
          <w:spacing w:val="1"/>
          <w:sz w:val="24"/>
        </w:rPr>
        <w:t>s</w:t>
      </w:r>
      <w:r w:rsidRPr="00F54559">
        <w:rPr>
          <w:rFonts w:eastAsia="Franklin Gothic Book" w:cstheme="minorHAnsi"/>
          <w:sz w:val="24"/>
        </w:rPr>
        <w:t>s</w:t>
      </w:r>
      <w:r w:rsidRPr="00F54559">
        <w:rPr>
          <w:rFonts w:eastAsia="Franklin Gothic Book" w:cstheme="minorHAnsi"/>
          <w:spacing w:val="43"/>
          <w:sz w:val="24"/>
        </w:rPr>
        <w:t xml:space="preserve"> </w:t>
      </w:r>
      <w:r w:rsidRPr="00F54559">
        <w:rPr>
          <w:rFonts w:eastAsia="Franklin Gothic Book" w:cstheme="minorHAnsi"/>
          <w:sz w:val="24"/>
        </w:rPr>
        <w:t>included</w:t>
      </w:r>
      <w:r w:rsidRPr="00F54559">
        <w:rPr>
          <w:rFonts w:eastAsia="Franklin Gothic Book" w:cstheme="minorHAnsi"/>
          <w:spacing w:val="44"/>
          <w:sz w:val="24"/>
        </w:rPr>
        <w:t xml:space="preserve"> </w:t>
      </w:r>
      <w:r w:rsidRPr="00F54559">
        <w:rPr>
          <w:rFonts w:eastAsia="Franklin Gothic Book" w:cstheme="minorHAnsi"/>
          <w:sz w:val="24"/>
        </w:rPr>
        <w:t>in</w:t>
      </w:r>
      <w:r w:rsidRPr="00F54559">
        <w:rPr>
          <w:rFonts w:eastAsia="Franklin Gothic Book" w:cstheme="minorHAnsi"/>
          <w:spacing w:val="41"/>
          <w:sz w:val="24"/>
        </w:rPr>
        <w:t xml:space="preserve"> </w:t>
      </w:r>
      <w:r w:rsidRPr="00F54559">
        <w:rPr>
          <w:rFonts w:eastAsia="Franklin Gothic Book" w:cstheme="minorHAnsi"/>
          <w:sz w:val="24"/>
        </w:rPr>
        <w:t>the</w:t>
      </w:r>
      <w:r w:rsidRPr="00F54559">
        <w:rPr>
          <w:rFonts w:eastAsia="Franklin Gothic Book" w:cstheme="minorHAnsi"/>
          <w:spacing w:val="43"/>
          <w:sz w:val="24"/>
        </w:rPr>
        <w:t xml:space="preserve"> </w:t>
      </w:r>
      <w:r w:rsidRPr="00F54559">
        <w:rPr>
          <w:rFonts w:eastAsia="Franklin Gothic Book" w:cstheme="minorHAnsi"/>
          <w:spacing w:val="-1"/>
          <w:sz w:val="24"/>
        </w:rPr>
        <w:t>P</w:t>
      </w:r>
      <w:r w:rsidRPr="00F54559">
        <w:rPr>
          <w:rFonts w:eastAsia="Franklin Gothic Book" w:cstheme="minorHAnsi"/>
          <w:sz w:val="24"/>
        </w:rPr>
        <w:t>lan's</w:t>
      </w:r>
      <w:r w:rsidRPr="00F54559">
        <w:rPr>
          <w:rFonts w:eastAsia="Franklin Gothic Book" w:cstheme="minorHAnsi"/>
          <w:spacing w:val="44"/>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3"/>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w w:val="99"/>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 as</w:t>
      </w:r>
      <w:r w:rsidRPr="00F54559">
        <w:rPr>
          <w:rFonts w:eastAsia="Franklin Gothic Book" w:cstheme="minorHAnsi"/>
          <w:spacing w:val="1"/>
          <w:sz w:val="24"/>
        </w:rPr>
        <w:t xml:space="preserve"> </w:t>
      </w:r>
      <w:r w:rsidRPr="00F54559">
        <w:rPr>
          <w:rFonts w:eastAsia="Franklin Gothic Book" w:cstheme="minorHAnsi"/>
          <w:spacing w:val="-1"/>
          <w:sz w:val="24"/>
        </w:rPr>
        <w:t>o</w:t>
      </w:r>
      <w:r w:rsidRPr="00F54559">
        <w:rPr>
          <w:rFonts w:eastAsia="Franklin Gothic Book" w:cstheme="minorHAnsi"/>
          <w:sz w:val="24"/>
        </w:rPr>
        <w:t xml:space="preserve">f </w:t>
      </w:r>
      <w:r w:rsidRPr="00F54559">
        <w:rPr>
          <w:rFonts w:eastAsia="Franklin Gothic Book" w:cstheme="minorHAnsi"/>
          <w:spacing w:val="-1"/>
          <w:sz w:val="24"/>
        </w:rPr>
        <w:t>Jun</w:t>
      </w:r>
      <w:r w:rsidRPr="00F54559">
        <w:rPr>
          <w:rFonts w:eastAsia="Franklin Gothic Book" w:cstheme="minorHAnsi"/>
          <w:sz w:val="24"/>
        </w:rPr>
        <w:t>e 30</w:t>
      </w:r>
      <w:r w:rsidRPr="00F54559">
        <w:rPr>
          <w:rFonts w:eastAsia="Franklin Gothic Book" w:cstheme="minorHAnsi"/>
          <w:spacing w:val="1"/>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pacing w:val="1"/>
          <w:sz w:val="24"/>
        </w:rPr>
        <w:t>s</w:t>
      </w:r>
      <w:r w:rsidRPr="00F54559">
        <w:rPr>
          <w:rFonts w:eastAsia="Franklin Gothic Book" w:cstheme="minorHAnsi"/>
          <w:sz w:val="24"/>
        </w:rPr>
        <w:t>umma</w:t>
      </w:r>
      <w:r w:rsidRPr="00F54559">
        <w:rPr>
          <w:rFonts w:eastAsia="Franklin Gothic Book" w:cstheme="minorHAnsi"/>
          <w:spacing w:val="-1"/>
          <w:sz w:val="24"/>
        </w:rPr>
        <w:t>r</w:t>
      </w:r>
      <w:r w:rsidRPr="00F54559">
        <w:rPr>
          <w:rFonts w:eastAsia="Franklin Gothic Book" w:cstheme="minorHAnsi"/>
          <w:sz w:val="24"/>
        </w:rPr>
        <w:t>iz</w:t>
      </w:r>
      <w:r w:rsidRPr="00F54559">
        <w:rPr>
          <w:rFonts w:eastAsia="Franklin Gothic Book" w:cstheme="minorHAnsi"/>
          <w:spacing w:val="-1"/>
          <w:sz w:val="24"/>
        </w:rPr>
        <w:t>e</w:t>
      </w:r>
      <w:r w:rsidRPr="00F54559">
        <w:rPr>
          <w:rFonts w:eastAsia="Franklin Gothic Book" w:cstheme="minorHAnsi"/>
          <w:sz w:val="24"/>
        </w:rPr>
        <w:t>d</w:t>
      </w:r>
      <w:r w:rsidRPr="00F54559">
        <w:rPr>
          <w:rFonts w:eastAsia="Franklin Gothic Book" w:cstheme="minorHAnsi"/>
          <w:w w:val="99"/>
          <w:sz w:val="24"/>
        </w:rPr>
        <w:t xml:space="preserve"> </w:t>
      </w:r>
      <w:r w:rsidRPr="00F54559">
        <w:rPr>
          <w:rFonts w:eastAsia="Franklin Gothic Book" w:cstheme="minorHAnsi"/>
          <w:sz w:val="24"/>
        </w:rPr>
        <w:t>in</w:t>
      </w:r>
      <w:r w:rsidRPr="00F54559">
        <w:rPr>
          <w:rFonts w:eastAsia="Franklin Gothic Book" w:cstheme="minorHAnsi"/>
          <w:spacing w:val="-6"/>
          <w:sz w:val="24"/>
        </w:rPr>
        <w:t xml:space="preserve"> </w:t>
      </w:r>
      <w:r w:rsidRPr="00F54559">
        <w:rPr>
          <w:rFonts w:eastAsia="Franklin Gothic Book" w:cstheme="minorHAnsi"/>
          <w:sz w:val="24"/>
        </w:rPr>
        <w:t>the</w:t>
      </w:r>
      <w:r w:rsidRPr="00F54559">
        <w:rPr>
          <w:rFonts w:eastAsia="Franklin Gothic Book" w:cstheme="minorHAnsi"/>
          <w:spacing w:val="-6"/>
          <w:sz w:val="24"/>
        </w:rPr>
        <w:t xml:space="preserve"> </w:t>
      </w:r>
      <w:r w:rsidRPr="00F54559">
        <w:rPr>
          <w:rFonts w:eastAsia="Franklin Gothic Book" w:cstheme="minorHAnsi"/>
          <w:sz w:val="24"/>
        </w:rPr>
        <w:t>fo</w:t>
      </w:r>
      <w:r w:rsidRPr="00F54559">
        <w:rPr>
          <w:rFonts w:eastAsia="Franklin Gothic Book" w:cstheme="minorHAnsi"/>
          <w:spacing w:val="-1"/>
          <w:sz w:val="24"/>
        </w:rPr>
        <w:t>l</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wing</w:t>
      </w:r>
      <w:r w:rsidRPr="00F54559">
        <w:rPr>
          <w:rFonts w:eastAsia="Franklin Gothic Book" w:cstheme="minorHAnsi"/>
          <w:spacing w:val="-6"/>
          <w:sz w:val="24"/>
        </w:rPr>
        <w:t xml:space="preserve"> </w:t>
      </w:r>
      <w:r w:rsidRPr="00F54559">
        <w:rPr>
          <w:rFonts w:eastAsia="Franklin Gothic Book" w:cstheme="minorHAnsi"/>
          <w:sz w:val="24"/>
        </w:rPr>
        <w:t>ta</w:t>
      </w:r>
      <w:r w:rsidRPr="00F54559">
        <w:rPr>
          <w:rFonts w:eastAsia="Franklin Gothic Book" w:cstheme="minorHAnsi"/>
          <w:spacing w:val="1"/>
          <w:sz w:val="24"/>
        </w:rPr>
        <w:t>b</w:t>
      </w:r>
      <w:r w:rsidRPr="00F54559">
        <w:rPr>
          <w:rFonts w:eastAsia="Franklin Gothic Book" w:cstheme="minorHAnsi"/>
          <w:sz w:val="24"/>
        </w:rPr>
        <w:t>l</w:t>
      </w:r>
      <w:r w:rsidRPr="00F54559">
        <w:rPr>
          <w:rFonts w:eastAsia="Franklin Gothic Book" w:cstheme="minorHAnsi"/>
          <w:spacing w:val="-1"/>
          <w:sz w:val="24"/>
        </w:rPr>
        <w:t>e</w:t>
      </w:r>
      <w:r w:rsidRPr="00F54559">
        <w:rPr>
          <w:rFonts w:eastAsia="Franklin Gothic Book" w:cstheme="minorHAnsi"/>
          <w:sz w:val="24"/>
        </w:rPr>
        <w:t>:</w:t>
      </w:r>
    </w:p>
    <w:p w14:paraId="47E69C82" w14:textId="77777777" w:rsidR="00721CFD" w:rsidRPr="00F54559" w:rsidRDefault="00721CFD" w:rsidP="00721CFD">
      <w:pPr>
        <w:spacing w:line="259" w:lineRule="auto"/>
        <w:rPr>
          <w:rFonts w:eastAsia="Franklin Gothic Book" w:cstheme="minorHAnsi"/>
          <w:sz w:val="24"/>
        </w:rPr>
      </w:pPr>
      <w:r>
        <w:rPr>
          <w:rFonts w:eastAsia="Franklin Gothic Book" w:cstheme="minorHAnsi"/>
          <w:sz w:val="24"/>
        </w:rPr>
        <w:fldChar w:fldCharType="begin"/>
      </w:r>
      <w:r>
        <w:rPr>
          <w:rFonts w:eastAsia="Franklin Gothic Book" w:cstheme="minorHAnsi"/>
          <w:sz w:val="24"/>
        </w:rPr>
        <w:fldChar w:fldCharType="end"/>
      </w:r>
    </w:p>
    <w:tbl>
      <w:tblPr>
        <w:tblW w:w="8208" w:type="dxa"/>
        <w:jc w:val="center"/>
        <w:tblLook w:val="04A0" w:firstRow="1" w:lastRow="0" w:firstColumn="1" w:lastColumn="0" w:noHBand="0" w:noVBand="1"/>
      </w:tblPr>
      <w:tblGrid>
        <w:gridCol w:w="2550"/>
        <w:gridCol w:w="1244"/>
        <w:gridCol w:w="1585"/>
        <w:gridCol w:w="1244"/>
        <w:gridCol w:w="1585"/>
      </w:tblGrid>
      <w:tr w:rsidR="00721CFD" w:rsidRPr="006539B7" w14:paraId="5012C0CB" w14:textId="77777777" w:rsidTr="00FD47AB">
        <w:trPr>
          <w:trHeight w:val="189"/>
          <w:tblHeader/>
          <w:jc w:val="center"/>
        </w:trPr>
        <w:tc>
          <w:tcPr>
            <w:tcW w:w="2550" w:type="dxa"/>
            <w:tcBorders>
              <w:top w:val="nil"/>
              <w:left w:val="nil"/>
              <w:bottom w:val="nil"/>
              <w:right w:val="nil"/>
            </w:tcBorders>
            <w:shd w:val="clear" w:color="000000" w:fill="FFFFFF"/>
            <w:noWrap/>
            <w:vAlign w:val="bottom"/>
            <w:hideMark/>
          </w:tcPr>
          <w:p w14:paraId="750F02C9" w14:textId="77777777" w:rsidR="00721CFD" w:rsidRPr="006539B7" w:rsidRDefault="00721CFD" w:rsidP="00FD47AB">
            <w:pPr>
              <w:rPr>
                <w:rFonts w:ascii="Calibri" w:eastAsia="Times New Roman" w:hAnsi="Calibri" w:cs="Calibri"/>
                <w:b/>
                <w:bCs/>
                <w:color w:val="0D0D0D"/>
              </w:rPr>
            </w:pPr>
            <w:r w:rsidRPr="006539B7">
              <w:rPr>
                <w:rFonts w:ascii="Calibri" w:eastAsia="Times New Roman" w:hAnsi="Calibri" w:cs="Calibri"/>
                <w:b/>
                <w:bCs/>
                <w:color w:val="0D0D0D"/>
              </w:rPr>
              <w:t> </w:t>
            </w:r>
          </w:p>
        </w:tc>
        <w:tc>
          <w:tcPr>
            <w:tcW w:w="1244" w:type="dxa"/>
            <w:tcBorders>
              <w:top w:val="nil"/>
              <w:left w:val="nil"/>
              <w:bottom w:val="single" w:sz="12" w:space="0" w:color="00688D"/>
              <w:right w:val="nil"/>
            </w:tcBorders>
            <w:shd w:val="clear" w:color="000000" w:fill="FFFFFF"/>
            <w:vAlign w:val="bottom"/>
            <w:hideMark/>
          </w:tcPr>
          <w:p w14:paraId="5BEAD7DF" w14:textId="77777777" w:rsidR="00721CFD" w:rsidRPr="006539B7" w:rsidRDefault="00721CFD" w:rsidP="00FD47AB">
            <w:pPr>
              <w:jc w:val="center"/>
              <w:rPr>
                <w:rFonts w:ascii="Calibri" w:eastAsia="Times New Roman" w:hAnsi="Calibri" w:cs="Calibri"/>
                <w:b/>
                <w:bCs/>
                <w:color w:val="0D0D0D"/>
              </w:rPr>
            </w:pPr>
          </w:p>
        </w:tc>
        <w:tc>
          <w:tcPr>
            <w:tcW w:w="1585" w:type="dxa"/>
            <w:tcBorders>
              <w:top w:val="nil"/>
              <w:left w:val="nil"/>
              <w:bottom w:val="single" w:sz="12" w:space="0" w:color="00688D"/>
              <w:right w:val="nil"/>
            </w:tcBorders>
            <w:shd w:val="clear" w:color="000000" w:fill="FFFFFF"/>
            <w:vAlign w:val="bottom"/>
          </w:tcPr>
          <w:p w14:paraId="5B6873C8" w14:textId="77777777" w:rsidR="00721CFD" w:rsidRPr="006539B7" w:rsidRDefault="00721CFD" w:rsidP="00FD47AB">
            <w:pPr>
              <w:rPr>
                <w:rFonts w:ascii="Calibri" w:eastAsia="Times New Roman" w:hAnsi="Calibri" w:cs="Calibri"/>
                <w:b/>
                <w:bCs/>
                <w:color w:val="0D0D0D"/>
              </w:rPr>
            </w:pPr>
            <w:r w:rsidRPr="006539B7">
              <w:rPr>
                <w:rFonts w:ascii="Calibri" w:eastAsia="Times New Roman" w:hAnsi="Calibri" w:cs="Calibri"/>
                <w:b/>
                <w:bCs/>
                <w:color w:val="0D0D0D"/>
              </w:rPr>
              <w:t>202</w:t>
            </w:r>
            <w:r>
              <w:rPr>
                <w:rFonts w:ascii="Calibri" w:eastAsia="Times New Roman" w:hAnsi="Calibri" w:cs="Calibri"/>
                <w:b/>
                <w:bCs/>
                <w:color w:val="0D0D0D"/>
              </w:rPr>
              <w:t>2</w:t>
            </w:r>
          </w:p>
        </w:tc>
        <w:tc>
          <w:tcPr>
            <w:tcW w:w="1244" w:type="dxa"/>
            <w:tcBorders>
              <w:top w:val="nil"/>
              <w:left w:val="nil"/>
              <w:bottom w:val="single" w:sz="12" w:space="0" w:color="00688D"/>
              <w:right w:val="nil"/>
            </w:tcBorders>
            <w:shd w:val="clear" w:color="auto" w:fill="D9D9D9" w:themeFill="background1" w:themeFillShade="D9"/>
            <w:vAlign w:val="bottom"/>
            <w:hideMark/>
          </w:tcPr>
          <w:p w14:paraId="512E9D77" w14:textId="77777777" w:rsidR="00721CFD" w:rsidRPr="006539B7" w:rsidRDefault="00721CFD" w:rsidP="00FD47AB">
            <w:pPr>
              <w:jc w:val="center"/>
              <w:rPr>
                <w:rFonts w:ascii="Calibri" w:eastAsia="Times New Roman" w:hAnsi="Calibri" w:cs="Calibri"/>
                <w:b/>
                <w:bCs/>
                <w:color w:val="0D0D0D"/>
              </w:rPr>
            </w:pPr>
          </w:p>
        </w:tc>
        <w:tc>
          <w:tcPr>
            <w:tcW w:w="1585" w:type="dxa"/>
            <w:tcBorders>
              <w:top w:val="nil"/>
              <w:left w:val="nil"/>
              <w:bottom w:val="single" w:sz="12" w:space="0" w:color="00688D"/>
              <w:right w:val="nil"/>
            </w:tcBorders>
            <w:shd w:val="clear" w:color="auto" w:fill="D9D9D9" w:themeFill="background1" w:themeFillShade="D9"/>
            <w:vAlign w:val="bottom"/>
          </w:tcPr>
          <w:p w14:paraId="045BC7F5" w14:textId="77777777" w:rsidR="00721CFD" w:rsidRPr="006539B7" w:rsidRDefault="00721CFD" w:rsidP="00FD47AB">
            <w:pPr>
              <w:rPr>
                <w:rFonts w:ascii="Calibri" w:eastAsia="Times New Roman" w:hAnsi="Calibri" w:cs="Calibri"/>
                <w:b/>
                <w:bCs/>
                <w:color w:val="0D0D0D"/>
              </w:rPr>
            </w:pPr>
            <w:r>
              <w:rPr>
                <w:rFonts w:ascii="Calibri" w:eastAsia="Times New Roman" w:hAnsi="Calibri" w:cs="Calibri"/>
                <w:b/>
                <w:bCs/>
                <w:color w:val="0D0D0D"/>
              </w:rPr>
              <w:t>2021</w:t>
            </w:r>
          </w:p>
        </w:tc>
      </w:tr>
      <w:tr w:rsidR="00721CFD" w:rsidRPr="006539B7" w14:paraId="173F0895" w14:textId="77777777" w:rsidTr="007B5BB3">
        <w:trPr>
          <w:trHeight w:val="924"/>
          <w:tblHeader/>
          <w:jc w:val="center"/>
        </w:trPr>
        <w:tc>
          <w:tcPr>
            <w:tcW w:w="2550" w:type="dxa"/>
            <w:tcBorders>
              <w:top w:val="nil"/>
              <w:left w:val="nil"/>
              <w:bottom w:val="single" w:sz="12" w:space="0" w:color="00688D"/>
              <w:right w:val="nil"/>
            </w:tcBorders>
            <w:shd w:val="clear" w:color="000000" w:fill="FFFFFF"/>
            <w:noWrap/>
            <w:vAlign w:val="bottom"/>
            <w:hideMark/>
          </w:tcPr>
          <w:p w14:paraId="7A7B0DD3" w14:textId="77777777" w:rsidR="00721CFD" w:rsidRPr="006539B7" w:rsidRDefault="00721CFD" w:rsidP="007B5BB3">
            <w:pPr>
              <w:rPr>
                <w:rFonts w:ascii="Calibri" w:eastAsia="Times New Roman" w:hAnsi="Calibri" w:cs="Calibri"/>
                <w:b/>
                <w:bCs/>
                <w:color w:val="0D0D0D"/>
              </w:rPr>
            </w:pPr>
            <w:r w:rsidRPr="006539B7">
              <w:rPr>
                <w:rFonts w:ascii="Calibri" w:eastAsia="Times New Roman" w:hAnsi="Calibri" w:cs="Calibri"/>
                <w:b/>
                <w:bCs/>
                <w:color w:val="0D0D0D"/>
              </w:rPr>
              <w:t>Asset Class</w:t>
            </w:r>
          </w:p>
        </w:tc>
        <w:tc>
          <w:tcPr>
            <w:tcW w:w="1244" w:type="dxa"/>
            <w:tcBorders>
              <w:top w:val="nil"/>
              <w:left w:val="nil"/>
              <w:bottom w:val="single" w:sz="12" w:space="0" w:color="00688D"/>
              <w:right w:val="nil"/>
            </w:tcBorders>
            <w:shd w:val="clear" w:color="000000" w:fill="FFFFFF"/>
            <w:vAlign w:val="bottom"/>
            <w:hideMark/>
          </w:tcPr>
          <w:p w14:paraId="5DCE4EF0" w14:textId="77777777" w:rsidR="00721CFD" w:rsidRPr="006539B7" w:rsidRDefault="00721CFD" w:rsidP="007B5BB3">
            <w:pPr>
              <w:jc w:val="center"/>
              <w:rPr>
                <w:rFonts w:ascii="Calibri" w:eastAsia="Times New Roman" w:hAnsi="Calibri" w:cs="Calibri"/>
                <w:b/>
                <w:bCs/>
                <w:color w:val="0D0D0D"/>
              </w:rPr>
            </w:pPr>
            <w:r w:rsidRPr="006539B7">
              <w:rPr>
                <w:rFonts w:ascii="Calibri" w:eastAsia="Times New Roman" w:hAnsi="Calibri" w:cs="Calibri"/>
                <w:b/>
                <w:bCs/>
                <w:color w:val="0D0D0D"/>
              </w:rPr>
              <w:t>Target</w:t>
            </w:r>
            <w:r w:rsidRPr="006539B7">
              <w:rPr>
                <w:rFonts w:ascii="Calibri" w:eastAsia="Times New Roman" w:hAnsi="Calibri" w:cs="Calibri"/>
                <w:b/>
                <w:bCs/>
                <w:color w:val="0D0D0D"/>
              </w:rPr>
              <w:br/>
              <w:t>Allocation</w:t>
            </w:r>
          </w:p>
        </w:tc>
        <w:tc>
          <w:tcPr>
            <w:tcW w:w="1585" w:type="dxa"/>
            <w:tcBorders>
              <w:top w:val="nil"/>
              <w:left w:val="nil"/>
              <w:bottom w:val="single" w:sz="12" w:space="0" w:color="00688D"/>
              <w:right w:val="nil"/>
            </w:tcBorders>
            <w:shd w:val="clear" w:color="000000" w:fill="FFFFFF"/>
            <w:vAlign w:val="bottom"/>
            <w:hideMark/>
          </w:tcPr>
          <w:p w14:paraId="4EB72D9F" w14:textId="77777777" w:rsidR="00721CFD" w:rsidRPr="006539B7" w:rsidRDefault="00721CFD" w:rsidP="007B5BB3">
            <w:pPr>
              <w:jc w:val="center"/>
              <w:rPr>
                <w:rFonts w:ascii="Calibri" w:eastAsia="Times New Roman" w:hAnsi="Calibri" w:cs="Calibri"/>
                <w:b/>
                <w:bCs/>
                <w:color w:val="0D0D0D"/>
              </w:rPr>
            </w:pPr>
            <w:r w:rsidRPr="006539B7">
              <w:rPr>
                <w:rFonts w:ascii="Calibri" w:eastAsia="Times New Roman" w:hAnsi="Calibri" w:cs="Calibri"/>
                <w:b/>
                <w:bCs/>
                <w:color w:val="0D0D0D"/>
              </w:rPr>
              <w:t xml:space="preserve">Long-Term </w:t>
            </w:r>
            <w:r w:rsidRPr="006539B7">
              <w:rPr>
                <w:rFonts w:ascii="Calibri" w:eastAsia="Times New Roman" w:hAnsi="Calibri" w:cs="Calibri"/>
                <w:b/>
                <w:bCs/>
                <w:color w:val="0D0D0D"/>
              </w:rPr>
              <w:br/>
              <w:t xml:space="preserve">Expected Real </w:t>
            </w:r>
            <w:r w:rsidRPr="006539B7">
              <w:rPr>
                <w:rFonts w:ascii="Calibri" w:eastAsia="Times New Roman" w:hAnsi="Calibri" w:cs="Calibri"/>
                <w:b/>
                <w:bCs/>
                <w:color w:val="0D0D0D"/>
              </w:rPr>
              <w:br/>
              <w:t>Rates of Return</w:t>
            </w:r>
          </w:p>
        </w:tc>
        <w:tc>
          <w:tcPr>
            <w:tcW w:w="1244" w:type="dxa"/>
            <w:tcBorders>
              <w:top w:val="nil"/>
              <w:left w:val="nil"/>
              <w:bottom w:val="single" w:sz="12" w:space="0" w:color="00688D"/>
              <w:right w:val="nil"/>
            </w:tcBorders>
            <w:shd w:val="clear" w:color="auto" w:fill="D9D9D9" w:themeFill="background1" w:themeFillShade="D9"/>
            <w:vAlign w:val="bottom"/>
            <w:hideMark/>
          </w:tcPr>
          <w:p w14:paraId="645DFDD5" w14:textId="77777777" w:rsidR="00721CFD" w:rsidRPr="006539B7" w:rsidRDefault="00721CFD" w:rsidP="007B5BB3">
            <w:pPr>
              <w:jc w:val="center"/>
              <w:rPr>
                <w:rFonts w:ascii="Calibri" w:eastAsia="Times New Roman" w:hAnsi="Calibri" w:cs="Calibri"/>
                <w:b/>
                <w:bCs/>
                <w:color w:val="0D0D0D"/>
              </w:rPr>
            </w:pPr>
            <w:r w:rsidRPr="006539B7">
              <w:rPr>
                <w:rFonts w:ascii="Calibri" w:eastAsia="Times New Roman" w:hAnsi="Calibri" w:cs="Calibri"/>
                <w:b/>
                <w:bCs/>
                <w:color w:val="0D0D0D"/>
              </w:rPr>
              <w:t>Target</w:t>
            </w:r>
            <w:r w:rsidRPr="006539B7">
              <w:rPr>
                <w:rFonts w:ascii="Calibri" w:eastAsia="Times New Roman" w:hAnsi="Calibri" w:cs="Calibri"/>
                <w:b/>
                <w:bCs/>
                <w:color w:val="0D0D0D"/>
              </w:rPr>
              <w:br/>
              <w:t>Allocation</w:t>
            </w:r>
          </w:p>
        </w:tc>
        <w:tc>
          <w:tcPr>
            <w:tcW w:w="1585" w:type="dxa"/>
            <w:tcBorders>
              <w:top w:val="nil"/>
              <w:left w:val="nil"/>
              <w:bottom w:val="single" w:sz="12" w:space="0" w:color="00688D"/>
              <w:right w:val="nil"/>
            </w:tcBorders>
            <w:shd w:val="clear" w:color="auto" w:fill="D9D9D9" w:themeFill="background1" w:themeFillShade="D9"/>
            <w:vAlign w:val="bottom"/>
            <w:hideMark/>
          </w:tcPr>
          <w:p w14:paraId="04DFC2C1" w14:textId="77777777" w:rsidR="00721CFD" w:rsidRPr="006539B7" w:rsidRDefault="00721CFD" w:rsidP="007B5BB3">
            <w:pPr>
              <w:jc w:val="center"/>
              <w:rPr>
                <w:rFonts w:ascii="Calibri" w:eastAsia="Times New Roman" w:hAnsi="Calibri" w:cs="Calibri"/>
                <w:b/>
                <w:bCs/>
                <w:color w:val="0D0D0D"/>
              </w:rPr>
            </w:pPr>
            <w:r w:rsidRPr="006539B7">
              <w:rPr>
                <w:rFonts w:ascii="Calibri" w:eastAsia="Times New Roman" w:hAnsi="Calibri" w:cs="Calibri"/>
                <w:b/>
                <w:bCs/>
                <w:color w:val="0D0D0D"/>
              </w:rPr>
              <w:t xml:space="preserve">Long-Term </w:t>
            </w:r>
            <w:r w:rsidRPr="006539B7">
              <w:rPr>
                <w:rFonts w:ascii="Calibri" w:eastAsia="Times New Roman" w:hAnsi="Calibri" w:cs="Calibri"/>
                <w:b/>
                <w:bCs/>
                <w:color w:val="0D0D0D"/>
              </w:rPr>
              <w:br/>
              <w:t xml:space="preserve">Expected Real </w:t>
            </w:r>
            <w:r w:rsidRPr="006539B7">
              <w:rPr>
                <w:rFonts w:ascii="Calibri" w:eastAsia="Times New Roman" w:hAnsi="Calibri" w:cs="Calibri"/>
                <w:b/>
                <w:bCs/>
                <w:color w:val="0D0D0D"/>
              </w:rPr>
              <w:br/>
              <w:t>Rates of Return</w:t>
            </w:r>
          </w:p>
        </w:tc>
      </w:tr>
      <w:tr w:rsidR="00721CFD" w:rsidRPr="006539B7" w14:paraId="201A3ED3" w14:textId="77777777" w:rsidTr="007B5BB3">
        <w:trPr>
          <w:trHeight w:val="468"/>
          <w:jc w:val="center"/>
        </w:trPr>
        <w:tc>
          <w:tcPr>
            <w:tcW w:w="2550" w:type="dxa"/>
            <w:tcBorders>
              <w:top w:val="nil"/>
              <w:left w:val="nil"/>
              <w:bottom w:val="nil"/>
              <w:right w:val="nil"/>
            </w:tcBorders>
            <w:shd w:val="clear" w:color="000000" w:fill="FFFFFF"/>
            <w:noWrap/>
            <w:vAlign w:val="bottom"/>
            <w:hideMark/>
          </w:tcPr>
          <w:p w14:paraId="683904E2"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Global Equity</w:t>
            </w:r>
          </w:p>
        </w:tc>
        <w:tc>
          <w:tcPr>
            <w:tcW w:w="1244" w:type="dxa"/>
            <w:tcBorders>
              <w:top w:val="nil"/>
              <w:left w:val="nil"/>
              <w:bottom w:val="nil"/>
              <w:right w:val="nil"/>
            </w:tcBorders>
            <w:shd w:val="clear" w:color="000000" w:fill="FFFFFF"/>
            <w:noWrap/>
            <w:vAlign w:val="bottom"/>
            <w:hideMark/>
          </w:tcPr>
          <w:p w14:paraId="6E7D3A40" w14:textId="468609B6" w:rsidR="00721CFD" w:rsidRPr="00A93FB3" w:rsidRDefault="00721CFD">
            <w:pPr>
              <w:jc w:val="center"/>
              <w:rPr>
                <w:rFonts w:ascii="Calibri" w:eastAsia="Times New Roman" w:hAnsi="Calibri" w:cs="Calibri"/>
              </w:rPr>
            </w:pPr>
            <w:r w:rsidRPr="00A93FB3">
              <w:rPr>
                <w:rFonts w:ascii="Calibri" w:eastAsia="Times New Roman" w:hAnsi="Calibri" w:cs="Calibri"/>
              </w:rPr>
              <w:t>30%</w:t>
            </w:r>
          </w:p>
        </w:tc>
        <w:tc>
          <w:tcPr>
            <w:tcW w:w="1585" w:type="dxa"/>
            <w:tcBorders>
              <w:top w:val="nil"/>
              <w:left w:val="nil"/>
              <w:bottom w:val="nil"/>
              <w:right w:val="nil"/>
            </w:tcBorders>
            <w:shd w:val="clear" w:color="000000" w:fill="FFFFFF"/>
            <w:noWrap/>
            <w:vAlign w:val="bottom"/>
            <w:hideMark/>
          </w:tcPr>
          <w:p w14:paraId="55309585"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5.20%</w:t>
            </w:r>
          </w:p>
        </w:tc>
        <w:tc>
          <w:tcPr>
            <w:tcW w:w="1244" w:type="dxa"/>
            <w:tcBorders>
              <w:top w:val="nil"/>
              <w:left w:val="nil"/>
              <w:bottom w:val="nil"/>
              <w:right w:val="nil"/>
            </w:tcBorders>
            <w:shd w:val="clear" w:color="auto" w:fill="D9D9D9" w:themeFill="background1" w:themeFillShade="D9"/>
            <w:noWrap/>
            <w:vAlign w:val="bottom"/>
            <w:hideMark/>
          </w:tcPr>
          <w:p w14:paraId="43E4FB4A" w14:textId="1F2F602A" w:rsidR="00721CFD" w:rsidRPr="006539B7" w:rsidRDefault="00721CFD">
            <w:pPr>
              <w:jc w:val="center"/>
              <w:rPr>
                <w:rFonts w:ascii="Calibri" w:eastAsia="Times New Roman" w:hAnsi="Calibri" w:cs="Calibri"/>
                <w:color w:val="0D0D0D"/>
              </w:rPr>
            </w:pPr>
            <w:r w:rsidRPr="006539B7">
              <w:rPr>
                <w:rFonts w:ascii="Calibri" w:eastAsia="Times New Roman" w:hAnsi="Calibri" w:cs="Calibri"/>
                <w:color w:val="0D0D0D"/>
              </w:rPr>
              <w:t>30%</w:t>
            </w:r>
          </w:p>
        </w:tc>
        <w:tc>
          <w:tcPr>
            <w:tcW w:w="1585" w:type="dxa"/>
            <w:tcBorders>
              <w:top w:val="nil"/>
              <w:left w:val="nil"/>
              <w:bottom w:val="nil"/>
              <w:right w:val="nil"/>
            </w:tcBorders>
            <w:shd w:val="clear" w:color="auto" w:fill="D9D9D9" w:themeFill="background1" w:themeFillShade="D9"/>
            <w:noWrap/>
            <w:vAlign w:val="bottom"/>
            <w:hideMark/>
          </w:tcPr>
          <w:p w14:paraId="428915E8" w14:textId="77777777" w:rsidR="00721CFD" w:rsidRPr="006539B7" w:rsidRDefault="00721CFD" w:rsidP="007B5BB3">
            <w:pPr>
              <w:jc w:val="center"/>
              <w:rPr>
                <w:rFonts w:ascii="Calibri" w:eastAsia="Times New Roman" w:hAnsi="Calibri" w:cs="Calibri"/>
                <w:color w:val="0D0D0D"/>
              </w:rPr>
            </w:pPr>
            <w:r>
              <w:rPr>
                <w:rFonts w:ascii="Calibri" w:eastAsia="Times New Roman" w:hAnsi="Calibri" w:cs="Calibri"/>
                <w:color w:val="0D0D0D"/>
              </w:rPr>
              <w:t>4.40</w:t>
            </w:r>
            <w:r w:rsidRPr="006539B7">
              <w:rPr>
                <w:rFonts w:ascii="Calibri" w:eastAsia="Times New Roman" w:hAnsi="Calibri" w:cs="Calibri"/>
                <w:color w:val="0D0D0D"/>
              </w:rPr>
              <w:t>%</w:t>
            </w:r>
          </w:p>
        </w:tc>
      </w:tr>
      <w:tr w:rsidR="00721CFD" w:rsidRPr="006539B7" w14:paraId="347461A8" w14:textId="77777777" w:rsidTr="007B5BB3">
        <w:trPr>
          <w:trHeight w:val="288"/>
          <w:jc w:val="center"/>
        </w:trPr>
        <w:tc>
          <w:tcPr>
            <w:tcW w:w="2550" w:type="dxa"/>
            <w:tcBorders>
              <w:top w:val="nil"/>
              <w:left w:val="nil"/>
              <w:bottom w:val="nil"/>
              <w:right w:val="nil"/>
            </w:tcBorders>
            <w:shd w:val="clear" w:color="000000" w:fill="FFFFFF"/>
            <w:noWrap/>
            <w:vAlign w:val="center"/>
            <w:hideMark/>
          </w:tcPr>
          <w:p w14:paraId="29E8DA74"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Emerging Market Equity</w:t>
            </w:r>
          </w:p>
        </w:tc>
        <w:tc>
          <w:tcPr>
            <w:tcW w:w="1244" w:type="dxa"/>
            <w:tcBorders>
              <w:top w:val="nil"/>
              <w:left w:val="nil"/>
              <w:bottom w:val="nil"/>
              <w:right w:val="nil"/>
            </w:tcBorders>
            <w:shd w:val="clear" w:color="000000" w:fill="FFFFFF"/>
            <w:noWrap/>
            <w:vAlign w:val="bottom"/>
            <w:hideMark/>
          </w:tcPr>
          <w:p w14:paraId="651157A6"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3%</w:t>
            </w:r>
          </w:p>
        </w:tc>
        <w:tc>
          <w:tcPr>
            <w:tcW w:w="1585" w:type="dxa"/>
            <w:tcBorders>
              <w:top w:val="nil"/>
              <w:left w:val="nil"/>
              <w:bottom w:val="nil"/>
              <w:right w:val="nil"/>
            </w:tcBorders>
            <w:shd w:val="clear" w:color="000000" w:fill="FFFFFF"/>
            <w:noWrap/>
            <w:vAlign w:val="bottom"/>
            <w:hideMark/>
          </w:tcPr>
          <w:p w14:paraId="655C6E65"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7.10%</w:t>
            </w:r>
          </w:p>
        </w:tc>
        <w:tc>
          <w:tcPr>
            <w:tcW w:w="1244" w:type="dxa"/>
            <w:tcBorders>
              <w:top w:val="nil"/>
              <w:left w:val="nil"/>
              <w:bottom w:val="nil"/>
              <w:right w:val="nil"/>
            </w:tcBorders>
            <w:shd w:val="clear" w:color="auto" w:fill="D9D9D9" w:themeFill="background1" w:themeFillShade="D9"/>
            <w:noWrap/>
            <w:vAlign w:val="bottom"/>
            <w:hideMark/>
          </w:tcPr>
          <w:p w14:paraId="2603F288" w14:textId="77777777" w:rsidR="00721CFD" w:rsidRPr="006539B7" w:rsidRDefault="00721CFD" w:rsidP="007B5BB3">
            <w:pPr>
              <w:jc w:val="center"/>
              <w:rPr>
                <w:rFonts w:ascii="Calibri" w:eastAsia="Times New Roman" w:hAnsi="Calibri" w:cs="Calibri"/>
                <w:color w:val="0D0D0D"/>
              </w:rPr>
            </w:pPr>
            <w:r w:rsidRPr="006539B7">
              <w:rPr>
                <w:rFonts w:ascii="Calibri" w:eastAsia="Times New Roman" w:hAnsi="Calibri" w:cs="Calibri"/>
                <w:color w:val="0D0D0D"/>
              </w:rPr>
              <w:t>3%</w:t>
            </w:r>
          </w:p>
        </w:tc>
        <w:tc>
          <w:tcPr>
            <w:tcW w:w="1585" w:type="dxa"/>
            <w:tcBorders>
              <w:top w:val="nil"/>
              <w:left w:val="nil"/>
              <w:bottom w:val="nil"/>
              <w:right w:val="nil"/>
            </w:tcBorders>
            <w:shd w:val="clear" w:color="auto" w:fill="D9D9D9" w:themeFill="background1" w:themeFillShade="D9"/>
            <w:noWrap/>
            <w:vAlign w:val="bottom"/>
            <w:hideMark/>
          </w:tcPr>
          <w:p w14:paraId="007C1D15" w14:textId="77777777" w:rsidR="00721CFD" w:rsidRPr="006539B7" w:rsidRDefault="00721CFD" w:rsidP="007B5BB3">
            <w:pPr>
              <w:jc w:val="center"/>
              <w:rPr>
                <w:rFonts w:ascii="Calibri" w:eastAsia="Times New Roman" w:hAnsi="Calibri" w:cs="Calibri"/>
                <w:color w:val="0D0D0D"/>
              </w:rPr>
            </w:pPr>
            <w:r>
              <w:rPr>
                <w:rFonts w:ascii="Calibri" w:eastAsia="Times New Roman" w:hAnsi="Calibri" w:cs="Calibri"/>
                <w:color w:val="0D0D0D"/>
              </w:rPr>
              <w:t>6.10</w:t>
            </w:r>
            <w:r w:rsidRPr="006539B7">
              <w:rPr>
                <w:rFonts w:ascii="Calibri" w:eastAsia="Times New Roman" w:hAnsi="Calibri" w:cs="Calibri"/>
                <w:color w:val="0D0D0D"/>
              </w:rPr>
              <w:t>%</w:t>
            </w:r>
          </w:p>
        </w:tc>
      </w:tr>
      <w:tr w:rsidR="00721CFD" w:rsidRPr="006539B7" w14:paraId="32D4A767" w14:textId="77777777" w:rsidTr="007B5BB3">
        <w:trPr>
          <w:trHeight w:val="288"/>
          <w:jc w:val="center"/>
        </w:trPr>
        <w:tc>
          <w:tcPr>
            <w:tcW w:w="2550" w:type="dxa"/>
            <w:tcBorders>
              <w:top w:val="nil"/>
              <w:left w:val="nil"/>
              <w:bottom w:val="nil"/>
              <w:right w:val="nil"/>
            </w:tcBorders>
            <w:shd w:val="clear" w:color="000000" w:fill="FFFFFF"/>
            <w:noWrap/>
            <w:vAlign w:val="center"/>
            <w:hideMark/>
          </w:tcPr>
          <w:p w14:paraId="6FD33841" w14:textId="35774E4E" w:rsidR="00721CFD" w:rsidRPr="006539B7" w:rsidRDefault="00721CFD" w:rsidP="00753E47">
            <w:pPr>
              <w:rPr>
                <w:rFonts w:ascii="Calibri" w:eastAsia="Times New Roman" w:hAnsi="Calibri" w:cs="Calibri"/>
                <w:color w:val="0D0D0D"/>
              </w:rPr>
            </w:pPr>
            <w:r w:rsidRPr="006539B7">
              <w:rPr>
                <w:rFonts w:ascii="Calibri" w:eastAsia="Times New Roman" w:hAnsi="Calibri" w:cs="Calibri"/>
                <w:color w:val="0D0D0D"/>
              </w:rPr>
              <w:t>Fixed Income</w:t>
            </w:r>
          </w:p>
        </w:tc>
        <w:tc>
          <w:tcPr>
            <w:tcW w:w="1244" w:type="dxa"/>
            <w:tcBorders>
              <w:top w:val="nil"/>
              <w:left w:val="nil"/>
              <w:bottom w:val="nil"/>
              <w:right w:val="nil"/>
            </w:tcBorders>
            <w:shd w:val="clear" w:color="000000" w:fill="FFFFFF"/>
            <w:noWrap/>
            <w:vAlign w:val="bottom"/>
            <w:hideMark/>
          </w:tcPr>
          <w:p w14:paraId="1522133C"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43%</w:t>
            </w:r>
          </w:p>
        </w:tc>
        <w:tc>
          <w:tcPr>
            <w:tcW w:w="1585" w:type="dxa"/>
            <w:tcBorders>
              <w:top w:val="nil"/>
              <w:left w:val="nil"/>
              <w:bottom w:val="nil"/>
              <w:right w:val="nil"/>
            </w:tcBorders>
            <w:shd w:val="clear" w:color="000000" w:fill="FFFFFF"/>
            <w:noWrap/>
            <w:vAlign w:val="bottom"/>
            <w:hideMark/>
          </w:tcPr>
          <w:p w14:paraId="5748992C"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1.82%</w:t>
            </w:r>
          </w:p>
        </w:tc>
        <w:tc>
          <w:tcPr>
            <w:tcW w:w="1244" w:type="dxa"/>
            <w:tcBorders>
              <w:top w:val="nil"/>
              <w:left w:val="nil"/>
              <w:bottom w:val="nil"/>
              <w:right w:val="nil"/>
            </w:tcBorders>
            <w:shd w:val="clear" w:color="auto" w:fill="D9D9D9" w:themeFill="background1" w:themeFillShade="D9"/>
            <w:noWrap/>
            <w:vAlign w:val="bottom"/>
            <w:hideMark/>
          </w:tcPr>
          <w:p w14:paraId="1729058D" w14:textId="77777777" w:rsidR="00721CFD" w:rsidRPr="006539B7" w:rsidRDefault="00721CFD" w:rsidP="007B5BB3">
            <w:pPr>
              <w:jc w:val="center"/>
              <w:rPr>
                <w:rFonts w:ascii="Calibri" w:eastAsia="Times New Roman" w:hAnsi="Calibri" w:cs="Calibri"/>
                <w:color w:val="0D0D0D"/>
              </w:rPr>
            </w:pPr>
            <w:r w:rsidRPr="006539B7">
              <w:rPr>
                <w:rFonts w:ascii="Calibri" w:eastAsia="Times New Roman" w:hAnsi="Calibri" w:cs="Calibri"/>
                <w:color w:val="0D0D0D"/>
              </w:rPr>
              <w:t>43%</w:t>
            </w:r>
          </w:p>
        </w:tc>
        <w:tc>
          <w:tcPr>
            <w:tcW w:w="1585" w:type="dxa"/>
            <w:tcBorders>
              <w:top w:val="nil"/>
              <w:left w:val="nil"/>
              <w:bottom w:val="nil"/>
              <w:right w:val="nil"/>
            </w:tcBorders>
            <w:shd w:val="clear" w:color="auto" w:fill="D9D9D9" w:themeFill="background1" w:themeFillShade="D9"/>
            <w:noWrap/>
            <w:vAlign w:val="bottom"/>
            <w:hideMark/>
          </w:tcPr>
          <w:p w14:paraId="1BC6C086" w14:textId="77777777" w:rsidR="00721CFD" w:rsidRPr="006539B7" w:rsidRDefault="00721CFD" w:rsidP="007B5BB3">
            <w:pPr>
              <w:jc w:val="center"/>
              <w:rPr>
                <w:rFonts w:ascii="Calibri" w:eastAsia="Times New Roman" w:hAnsi="Calibri" w:cs="Calibri"/>
                <w:color w:val="0D0D0D"/>
              </w:rPr>
            </w:pPr>
            <w:r w:rsidRPr="006539B7">
              <w:rPr>
                <w:rFonts w:ascii="Calibri" w:eastAsia="Times New Roman" w:hAnsi="Calibri" w:cs="Calibri"/>
                <w:color w:val="0D0D0D"/>
              </w:rPr>
              <w:t>0.</w:t>
            </w:r>
            <w:r>
              <w:rPr>
                <w:rFonts w:ascii="Calibri" w:eastAsia="Times New Roman" w:hAnsi="Calibri" w:cs="Calibri"/>
                <w:color w:val="0D0D0D"/>
              </w:rPr>
              <w:t>97</w:t>
            </w:r>
            <w:r w:rsidRPr="006539B7">
              <w:rPr>
                <w:rFonts w:ascii="Calibri" w:eastAsia="Times New Roman" w:hAnsi="Calibri" w:cs="Calibri"/>
                <w:color w:val="0D0D0D"/>
              </w:rPr>
              <w:t>%</w:t>
            </w:r>
          </w:p>
        </w:tc>
      </w:tr>
      <w:tr w:rsidR="00721CFD" w:rsidRPr="006539B7" w14:paraId="6AC9D48F" w14:textId="77777777" w:rsidTr="007B5BB3">
        <w:trPr>
          <w:trHeight w:val="288"/>
          <w:jc w:val="center"/>
        </w:trPr>
        <w:tc>
          <w:tcPr>
            <w:tcW w:w="2550" w:type="dxa"/>
            <w:tcBorders>
              <w:top w:val="nil"/>
              <w:left w:val="nil"/>
              <w:bottom w:val="nil"/>
              <w:right w:val="nil"/>
            </w:tcBorders>
            <w:shd w:val="clear" w:color="000000" w:fill="FFFFFF"/>
            <w:noWrap/>
            <w:vAlign w:val="center"/>
            <w:hideMark/>
          </w:tcPr>
          <w:p w14:paraId="2326E247"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Global Asset Allocation</w:t>
            </w:r>
          </w:p>
        </w:tc>
        <w:tc>
          <w:tcPr>
            <w:tcW w:w="1244" w:type="dxa"/>
            <w:tcBorders>
              <w:top w:val="nil"/>
              <w:left w:val="nil"/>
              <w:bottom w:val="nil"/>
              <w:right w:val="nil"/>
            </w:tcBorders>
            <w:shd w:val="clear" w:color="000000" w:fill="FFFFFF"/>
            <w:noWrap/>
            <w:vAlign w:val="bottom"/>
            <w:hideMark/>
          </w:tcPr>
          <w:p w14:paraId="25C378B0" w14:textId="7E2CCB27" w:rsidR="00721CFD" w:rsidRPr="00A93FB3" w:rsidRDefault="00721CFD">
            <w:pPr>
              <w:jc w:val="center"/>
              <w:rPr>
                <w:rFonts w:ascii="Calibri" w:eastAsia="Times New Roman" w:hAnsi="Calibri" w:cs="Calibri"/>
              </w:rPr>
            </w:pPr>
            <w:r w:rsidRPr="00A93FB3">
              <w:rPr>
                <w:rFonts w:ascii="Calibri" w:eastAsia="Times New Roman" w:hAnsi="Calibri" w:cs="Calibri"/>
              </w:rPr>
              <w:t>8%</w:t>
            </w:r>
          </w:p>
        </w:tc>
        <w:tc>
          <w:tcPr>
            <w:tcW w:w="1585" w:type="dxa"/>
            <w:tcBorders>
              <w:top w:val="nil"/>
              <w:left w:val="nil"/>
              <w:bottom w:val="nil"/>
              <w:right w:val="nil"/>
            </w:tcBorders>
            <w:shd w:val="clear" w:color="000000" w:fill="FFFFFF"/>
            <w:noWrap/>
            <w:vAlign w:val="bottom"/>
            <w:hideMark/>
          </w:tcPr>
          <w:p w14:paraId="56F9C8EF"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3.60%</w:t>
            </w:r>
          </w:p>
        </w:tc>
        <w:tc>
          <w:tcPr>
            <w:tcW w:w="1244" w:type="dxa"/>
            <w:tcBorders>
              <w:top w:val="nil"/>
              <w:left w:val="nil"/>
              <w:bottom w:val="nil"/>
              <w:right w:val="nil"/>
            </w:tcBorders>
            <w:shd w:val="clear" w:color="auto" w:fill="D9D9D9" w:themeFill="background1" w:themeFillShade="D9"/>
            <w:noWrap/>
            <w:vAlign w:val="bottom"/>
            <w:hideMark/>
          </w:tcPr>
          <w:p w14:paraId="479E603A" w14:textId="177A9846" w:rsidR="00721CFD" w:rsidRPr="006539B7" w:rsidRDefault="00721CFD">
            <w:pPr>
              <w:jc w:val="center"/>
              <w:rPr>
                <w:rFonts w:ascii="Calibri" w:eastAsia="Times New Roman" w:hAnsi="Calibri" w:cs="Calibri"/>
                <w:color w:val="0D0D0D"/>
              </w:rPr>
            </w:pPr>
            <w:r w:rsidRPr="006539B7">
              <w:rPr>
                <w:rFonts w:ascii="Calibri" w:eastAsia="Times New Roman" w:hAnsi="Calibri" w:cs="Calibri"/>
                <w:color w:val="0D0D0D"/>
              </w:rPr>
              <w:t>8%</w:t>
            </w:r>
          </w:p>
        </w:tc>
        <w:tc>
          <w:tcPr>
            <w:tcW w:w="1585" w:type="dxa"/>
            <w:tcBorders>
              <w:top w:val="nil"/>
              <w:left w:val="nil"/>
              <w:bottom w:val="nil"/>
              <w:right w:val="nil"/>
            </w:tcBorders>
            <w:shd w:val="clear" w:color="auto" w:fill="D9D9D9" w:themeFill="background1" w:themeFillShade="D9"/>
            <w:noWrap/>
            <w:vAlign w:val="bottom"/>
            <w:hideMark/>
          </w:tcPr>
          <w:p w14:paraId="21DE5E06" w14:textId="77777777" w:rsidR="00721CFD" w:rsidRPr="006539B7" w:rsidRDefault="00721CFD" w:rsidP="007B5BB3">
            <w:pPr>
              <w:jc w:val="center"/>
              <w:rPr>
                <w:rFonts w:ascii="Calibri" w:eastAsia="Times New Roman" w:hAnsi="Calibri" w:cs="Calibri"/>
                <w:color w:val="0D0D0D"/>
              </w:rPr>
            </w:pPr>
            <w:r w:rsidRPr="006539B7">
              <w:rPr>
                <w:rFonts w:ascii="Calibri" w:eastAsia="Times New Roman" w:hAnsi="Calibri" w:cs="Calibri"/>
                <w:color w:val="0D0D0D"/>
              </w:rPr>
              <w:t>2.</w:t>
            </w:r>
            <w:r>
              <w:rPr>
                <w:rFonts w:ascii="Calibri" w:eastAsia="Times New Roman" w:hAnsi="Calibri" w:cs="Calibri"/>
                <w:color w:val="0D0D0D"/>
              </w:rPr>
              <w:t>3</w:t>
            </w:r>
            <w:r w:rsidRPr="006539B7">
              <w:rPr>
                <w:rFonts w:ascii="Calibri" w:eastAsia="Times New Roman" w:hAnsi="Calibri" w:cs="Calibri"/>
                <w:color w:val="0D0D0D"/>
              </w:rPr>
              <w:t>0%</w:t>
            </w:r>
          </w:p>
        </w:tc>
      </w:tr>
      <w:tr w:rsidR="00721CFD" w:rsidRPr="006539B7" w14:paraId="21C861FD" w14:textId="77777777" w:rsidTr="007B5BB3">
        <w:trPr>
          <w:trHeight w:val="288"/>
          <w:jc w:val="center"/>
        </w:trPr>
        <w:tc>
          <w:tcPr>
            <w:tcW w:w="2550" w:type="dxa"/>
            <w:tcBorders>
              <w:top w:val="nil"/>
              <w:left w:val="nil"/>
              <w:bottom w:val="nil"/>
              <w:right w:val="nil"/>
            </w:tcBorders>
            <w:shd w:val="clear" w:color="000000" w:fill="FFFFFF"/>
            <w:noWrap/>
            <w:vAlign w:val="center"/>
            <w:hideMark/>
          </w:tcPr>
          <w:p w14:paraId="5BEC5D9F"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Real Estate</w:t>
            </w:r>
          </w:p>
        </w:tc>
        <w:tc>
          <w:tcPr>
            <w:tcW w:w="1244" w:type="dxa"/>
            <w:tcBorders>
              <w:top w:val="nil"/>
              <w:left w:val="nil"/>
              <w:bottom w:val="nil"/>
              <w:right w:val="nil"/>
            </w:tcBorders>
            <w:shd w:val="clear" w:color="000000" w:fill="FFFFFF"/>
            <w:noWrap/>
            <w:vAlign w:val="bottom"/>
            <w:hideMark/>
          </w:tcPr>
          <w:p w14:paraId="15D0775A"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8%</w:t>
            </w:r>
          </w:p>
        </w:tc>
        <w:tc>
          <w:tcPr>
            <w:tcW w:w="1585" w:type="dxa"/>
            <w:tcBorders>
              <w:top w:val="nil"/>
              <w:left w:val="nil"/>
              <w:bottom w:val="nil"/>
              <w:right w:val="nil"/>
            </w:tcBorders>
            <w:shd w:val="clear" w:color="000000" w:fill="FFFFFF"/>
            <w:noWrap/>
            <w:vAlign w:val="bottom"/>
            <w:hideMark/>
          </w:tcPr>
          <w:p w14:paraId="797F8252"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2.70%</w:t>
            </w:r>
          </w:p>
        </w:tc>
        <w:tc>
          <w:tcPr>
            <w:tcW w:w="1244" w:type="dxa"/>
            <w:tcBorders>
              <w:top w:val="nil"/>
              <w:left w:val="nil"/>
              <w:bottom w:val="nil"/>
              <w:right w:val="nil"/>
            </w:tcBorders>
            <w:shd w:val="clear" w:color="auto" w:fill="D9D9D9" w:themeFill="background1" w:themeFillShade="D9"/>
            <w:noWrap/>
            <w:vAlign w:val="bottom"/>
            <w:hideMark/>
          </w:tcPr>
          <w:p w14:paraId="2BB780B2" w14:textId="77777777" w:rsidR="00721CFD" w:rsidRPr="006539B7" w:rsidRDefault="00721CFD" w:rsidP="007B5BB3">
            <w:pPr>
              <w:jc w:val="center"/>
              <w:rPr>
                <w:rFonts w:ascii="Calibri" w:eastAsia="Times New Roman" w:hAnsi="Calibri" w:cs="Calibri"/>
                <w:color w:val="0D0D0D"/>
              </w:rPr>
            </w:pPr>
            <w:r w:rsidRPr="006539B7">
              <w:rPr>
                <w:rFonts w:ascii="Calibri" w:eastAsia="Times New Roman" w:hAnsi="Calibri" w:cs="Calibri"/>
                <w:color w:val="0D0D0D"/>
              </w:rPr>
              <w:t>8%</w:t>
            </w:r>
          </w:p>
        </w:tc>
        <w:tc>
          <w:tcPr>
            <w:tcW w:w="1585" w:type="dxa"/>
            <w:tcBorders>
              <w:top w:val="nil"/>
              <w:left w:val="nil"/>
              <w:bottom w:val="nil"/>
              <w:right w:val="nil"/>
            </w:tcBorders>
            <w:shd w:val="clear" w:color="auto" w:fill="D9D9D9" w:themeFill="background1" w:themeFillShade="D9"/>
            <w:noWrap/>
            <w:vAlign w:val="bottom"/>
            <w:hideMark/>
          </w:tcPr>
          <w:p w14:paraId="39D0FEB6" w14:textId="77777777" w:rsidR="00721CFD" w:rsidRPr="006539B7" w:rsidRDefault="00721CFD" w:rsidP="007B5BB3">
            <w:pPr>
              <w:jc w:val="center"/>
              <w:rPr>
                <w:rFonts w:ascii="Calibri" w:eastAsia="Times New Roman" w:hAnsi="Calibri" w:cs="Calibri"/>
                <w:color w:val="0D0D0D"/>
              </w:rPr>
            </w:pPr>
            <w:r w:rsidRPr="006539B7">
              <w:rPr>
                <w:rFonts w:ascii="Calibri" w:eastAsia="Times New Roman" w:hAnsi="Calibri" w:cs="Calibri"/>
                <w:color w:val="0D0D0D"/>
              </w:rPr>
              <w:t>3.</w:t>
            </w:r>
            <w:r>
              <w:rPr>
                <w:rFonts w:ascii="Calibri" w:eastAsia="Times New Roman" w:hAnsi="Calibri" w:cs="Calibri"/>
                <w:color w:val="0D0D0D"/>
              </w:rPr>
              <w:t>1</w:t>
            </w:r>
            <w:r w:rsidRPr="006539B7">
              <w:rPr>
                <w:rFonts w:ascii="Calibri" w:eastAsia="Times New Roman" w:hAnsi="Calibri" w:cs="Calibri"/>
                <w:color w:val="0D0D0D"/>
              </w:rPr>
              <w:t>0%</w:t>
            </w:r>
          </w:p>
        </w:tc>
      </w:tr>
      <w:tr w:rsidR="00721CFD" w:rsidRPr="006539B7" w14:paraId="043944FD" w14:textId="77777777" w:rsidTr="007B5BB3">
        <w:trPr>
          <w:trHeight w:val="288"/>
          <w:jc w:val="center"/>
        </w:trPr>
        <w:tc>
          <w:tcPr>
            <w:tcW w:w="2550" w:type="dxa"/>
            <w:tcBorders>
              <w:top w:val="nil"/>
              <w:left w:val="nil"/>
              <w:bottom w:val="nil"/>
              <w:right w:val="nil"/>
            </w:tcBorders>
            <w:shd w:val="clear" w:color="000000" w:fill="FFFFFF"/>
            <w:noWrap/>
            <w:vAlign w:val="center"/>
            <w:hideMark/>
          </w:tcPr>
          <w:p w14:paraId="1F63E088"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Alternative Investments</w:t>
            </w:r>
          </w:p>
        </w:tc>
        <w:tc>
          <w:tcPr>
            <w:tcW w:w="1244" w:type="dxa"/>
            <w:tcBorders>
              <w:top w:val="nil"/>
              <w:left w:val="nil"/>
              <w:bottom w:val="nil"/>
              <w:right w:val="nil"/>
            </w:tcBorders>
            <w:shd w:val="clear" w:color="000000" w:fill="FFFFFF"/>
            <w:noWrap/>
            <w:vAlign w:val="bottom"/>
            <w:hideMark/>
          </w:tcPr>
          <w:p w14:paraId="55A98F08"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5%</w:t>
            </w:r>
          </w:p>
        </w:tc>
        <w:tc>
          <w:tcPr>
            <w:tcW w:w="1585" w:type="dxa"/>
            <w:tcBorders>
              <w:top w:val="nil"/>
              <w:left w:val="nil"/>
              <w:bottom w:val="nil"/>
              <w:right w:val="nil"/>
            </w:tcBorders>
            <w:shd w:val="clear" w:color="000000" w:fill="FFFFFF"/>
            <w:noWrap/>
            <w:vAlign w:val="bottom"/>
            <w:hideMark/>
          </w:tcPr>
          <w:p w14:paraId="64E106A3"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3.80%</w:t>
            </w:r>
          </w:p>
        </w:tc>
        <w:tc>
          <w:tcPr>
            <w:tcW w:w="1244" w:type="dxa"/>
            <w:tcBorders>
              <w:top w:val="nil"/>
              <w:left w:val="nil"/>
              <w:bottom w:val="nil"/>
              <w:right w:val="nil"/>
            </w:tcBorders>
            <w:shd w:val="clear" w:color="auto" w:fill="D9D9D9" w:themeFill="background1" w:themeFillShade="D9"/>
            <w:noWrap/>
            <w:vAlign w:val="bottom"/>
            <w:hideMark/>
          </w:tcPr>
          <w:p w14:paraId="27C8882A" w14:textId="77777777" w:rsidR="00721CFD" w:rsidRPr="006539B7" w:rsidRDefault="00721CFD" w:rsidP="007B5BB3">
            <w:pPr>
              <w:jc w:val="center"/>
              <w:rPr>
                <w:rFonts w:ascii="Calibri" w:eastAsia="Times New Roman" w:hAnsi="Calibri" w:cs="Calibri"/>
                <w:color w:val="0D0D0D"/>
              </w:rPr>
            </w:pPr>
            <w:r w:rsidRPr="006539B7">
              <w:rPr>
                <w:rFonts w:ascii="Calibri" w:eastAsia="Times New Roman" w:hAnsi="Calibri" w:cs="Calibri"/>
                <w:color w:val="0D0D0D"/>
              </w:rPr>
              <w:t>5%</w:t>
            </w:r>
          </w:p>
        </w:tc>
        <w:tc>
          <w:tcPr>
            <w:tcW w:w="1585" w:type="dxa"/>
            <w:tcBorders>
              <w:top w:val="nil"/>
              <w:left w:val="nil"/>
              <w:bottom w:val="nil"/>
              <w:right w:val="nil"/>
            </w:tcBorders>
            <w:shd w:val="clear" w:color="auto" w:fill="D9D9D9" w:themeFill="background1" w:themeFillShade="D9"/>
            <w:noWrap/>
            <w:vAlign w:val="bottom"/>
            <w:hideMark/>
          </w:tcPr>
          <w:p w14:paraId="531C6AC7" w14:textId="77777777" w:rsidR="00721CFD" w:rsidRPr="006539B7" w:rsidRDefault="00721CFD" w:rsidP="007B5BB3">
            <w:pPr>
              <w:jc w:val="center"/>
              <w:rPr>
                <w:rFonts w:ascii="Calibri" w:eastAsia="Times New Roman" w:hAnsi="Calibri" w:cs="Calibri"/>
                <w:color w:val="0D0D0D"/>
              </w:rPr>
            </w:pPr>
            <w:r w:rsidRPr="006539B7">
              <w:rPr>
                <w:rFonts w:ascii="Calibri" w:eastAsia="Times New Roman" w:hAnsi="Calibri" w:cs="Calibri"/>
                <w:color w:val="0D0D0D"/>
              </w:rPr>
              <w:t>3.</w:t>
            </w:r>
            <w:r>
              <w:rPr>
                <w:rFonts w:ascii="Calibri" w:eastAsia="Times New Roman" w:hAnsi="Calibri" w:cs="Calibri"/>
                <w:color w:val="0D0D0D"/>
              </w:rPr>
              <w:t>1</w:t>
            </w:r>
            <w:r w:rsidRPr="006539B7">
              <w:rPr>
                <w:rFonts w:ascii="Calibri" w:eastAsia="Times New Roman" w:hAnsi="Calibri" w:cs="Calibri"/>
                <w:color w:val="0D0D0D"/>
              </w:rPr>
              <w:t>0%</w:t>
            </w:r>
          </w:p>
        </w:tc>
      </w:tr>
      <w:tr w:rsidR="00721CFD" w:rsidRPr="006539B7" w14:paraId="3E4718C0" w14:textId="77777777" w:rsidTr="007B5BB3">
        <w:trPr>
          <w:trHeight w:val="288"/>
          <w:jc w:val="center"/>
        </w:trPr>
        <w:tc>
          <w:tcPr>
            <w:tcW w:w="2550" w:type="dxa"/>
            <w:tcBorders>
              <w:top w:val="nil"/>
              <w:left w:val="nil"/>
              <w:bottom w:val="nil"/>
              <w:right w:val="nil"/>
            </w:tcBorders>
            <w:shd w:val="clear" w:color="000000" w:fill="FFFFFF"/>
            <w:noWrap/>
            <w:vAlign w:val="center"/>
            <w:hideMark/>
          </w:tcPr>
          <w:p w14:paraId="24185895"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Cash</w:t>
            </w:r>
          </w:p>
        </w:tc>
        <w:tc>
          <w:tcPr>
            <w:tcW w:w="1244" w:type="dxa"/>
            <w:tcBorders>
              <w:top w:val="nil"/>
              <w:left w:val="nil"/>
              <w:bottom w:val="nil"/>
              <w:right w:val="nil"/>
            </w:tcBorders>
            <w:shd w:val="clear" w:color="000000" w:fill="FFFFFF"/>
            <w:noWrap/>
            <w:vAlign w:val="bottom"/>
            <w:hideMark/>
          </w:tcPr>
          <w:p w14:paraId="550B0838"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3%</w:t>
            </w:r>
          </w:p>
        </w:tc>
        <w:tc>
          <w:tcPr>
            <w:tcW w:w="1585" w:type="dxa"/>
            <w:tcBorders>
              <w:top w:val="nil"/>
              <w:left w:val="nil"/>
              <w:bottom w:val="nil"/>
              <w:right w:val="nil"/>
            </w:tcBorders>
            <w:shd w:val="clear" w:color="000000" w:fill="FFFFFF"/>
            <w:noWrap/>
            <w:vAlign w:val="bottom"/>
            <w:hideMark/>
          </w:tcPr>
          <w:p w14:paraId="2347401C"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0.40%</w:t>
            </w:r>
          </w:p>
        </w:tc>
        <w:tc>
          <w:tcPr>
            <w:tcW w:w="1244" w:type="dxa"/>
            <w:tcBorders>
              <w:top w:val="nil"/>
              <w:left w:val="nil"/>
              <w:bottom w:val="nil"/>
              <w:right w:val="nil"/>
            </w:tcBorders>
            <w:shd w:val="clear" w:color="auto" w:fill="D9D9D9" w:themeFill="background1" w:themeFillShade="D9"/>
            <w:noWrap/>
            <w:vAlign w:val="bottom"/>
            <w:hideMark/>
          </w:tcPr>
          <w:p w14:paraId="7F733DFF" w14:textId="77777777" w:rsidR="00721CFD" w:rsidRPr="006539B7" w:rsidRDefault="00721CFD" w:rsidP="007B5BB3">
            <w:pPr>
              <w:jc w:val="center"/>
              <w:rPr>
                <w:rFonts w:ascii="Calibri" w:eastAsia="Times New Roman" w:hAnsi="Calibri" w:cs="Calibri"/>
                <w:color w:val="0D0D0D"/>
              </w:rPr>
            </w:pPr>
            <w:r w:rsidRPr="006539B7">
              <w:rPr>
                <w:rFonts w:ascii="Calibri" w:eastAsia="Times New Roman" w:hAnsi="Calibri" w:cs="Calibri"/>
                <w:color w:val="0D0D0D"/>
              </w:rPr>
              <w:t>3%</w:t>
            </w:r>
          </w:p>
        </w:tc>
        <w:tc>
          <w:tcPr>
            <w:tcW w:w="1585" w:type="dxa"/>
            <w:tcBorders>
              <w:top w:val="nil"/>
              <w:left w:val="nil"/>
              <w:bottom w:val="nil"/>
              <w:right w:val="nil"/>
            </w:tcBorders>
            <w:shd w:val="clear" w:color="auto" w:fill="D9D9D9" w:themeFill="background1" w:themeFillShade="D9"/>
            <w:noWrap/>
            <w:vAlign w:val="bottom"/>
            <w:hideMark/>
          </w:tcPr>
          <w:p w14:paraId="031E58F3" w14:textId="77777777" w:rsidR="00721CFD" w:rsidRPr="006539B7" w:rsidRDefault="00721CFD" w:rsidP="007B5BB3">
            <w:pPr>
              <w:jc w:val="center"/>
              <w:rPr>
                <w:rFonts w:ascii="Calibri" w:eastAsia="Times New Roman" w:hAnsi="Calibri" w:cs="Calibri"/>
                <w:color w:val="0D0D0D"/>
              </w:rPr>
            </w:pPr>
            <w:r w:rsidRPr="006539B7">
              <w:rPr>
                <w:rFonts w:ascii="Calibri" w:eastAsia="Times New Roman" w:hAnsi="Calibri" w:cs="Calibri"/>
                <w:color w:val="0D0D0D"/>
              </w:rPr>
              <w:t>-0.</w:t>
            </w:r>
            <w:r>
              <w:rPr>
                <w:rFonts w:ascii="Calibri" w:eastAsia="Times New Roman" w:hAnsi="Calibri" w:cs="Calibri"/>
                <w:color w:val="0D0D0D"/>
              </w:rPr>
              <w:t>1</w:t>
            </w:r>
            <w:r w:rsidRPr="006539B7">
              <w:rPr>
                <w:rFonts w:ascii="Calibri" w:eastAsia="Times New Roman" w:hAnsi="Calibri" w:cs="Calibri"/>
                <w:color w:val="0D0D0D"/>
              </w:rPr>
              <w:t>0%</w:t>
            </w:r>
          </w:p>
        </w:tc>
      </w:tr>
      <w:tr w:rsidR="00721CFD" w:rsidRPr="006539B7" w14:paraId="381CAE72" w14:textId="77777777" w:rsidTr="007B5BB3">
        <w:trPr>
          <w:trHeight w:val="300"/>
          <w:jc w:val="center"/>
        </w:trPr>
        <w:tc>
          <w:tcPr>
            <w:tcW w:w="2550" w:type="dxa"/>
            <w:tcBorders>
              <w:top w:val="single" w:sz="4" w:space="0" w:color="00688D"/>
              <w:left w:val="nil"/>
              <w:bottom w:val="double" w:sz="6" w:space="0" w:color="00688D"/>
              <w:right w:val="nil"/>
            </w:tcBorders>
            <w:shd w:val="clear" w:color="000000" w:fill="FFFFFF"/>
            <w:noWrap/>
            <w:vAlign w:val="bottom"/>
            <w:hideMark/>
          </w:tcPr>
          <w:p w14:paraId="488D599D"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Total</w:t>
            </w:r>
          </w:p>
        </w:tc>
        <w:tc>
          <w:tcPr>
            <w:tcW w:w="1244" w:type="dxa"/>
            <w:tcBorders>
              <w:top w:val="single" w:sz="4" w:space="0" w:color="00688D"/>
              <w:left w:val="nil"/>
              <w:bottom w:val="double" w:sz="6" w:space="0" w:color="00688D"/>
              <w:right w:val="nil"/>
            </w:tcBorders>
            <w:shd w:val="clear" w:color="000000" w:fill="FFFFFF"/>
            <w:noWrap/>
            <w:vAlign w:val="bottom"/>
            <w:hideMark/>
          </w:tcPr>
          <w:p w14:paraId="71B3C109"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100%</w:t>
            </w:r>
          </w:p>
        </w:tc>
        <w:tc>
          <w:tcPr>
            <w:tcW w:w="1585" w:type="dxa"/>
            <w:tcBorders>
              <w:top w:val="nil"/>
              <w:left w:val="nil"/>
              <w:bottom w:val="nil"/>
              <w:right w:val="nil"/>
            </w:tcBorders>
            <w:shd w:val="clear" w:color="000000" w:fill="FFFFFF"/>
            <w:noWrap/>
            <w:vAlign w:val="bottom"/>
            <w:hideMark/>
          </w:tcPr>
          <w:p w14:paraId="180170C8"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 </w:t>
            </w:r>
          </w:p>
        </w:tc>
        <w:tc>
          <w:tcPr>
            <w:tcW w:w="1244"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0A505B89" w14:textId="6BF7FC27" w:rsidR="00721CFD" w:rsidRPr="006539B7" w:rsidRDefault="00721CFD">
            <w:pPr>
              <w:jc w:val="center"/>
              <w:rPr>
                <w:rFonts w:ascii="Calibri" w:eastAsia="Times New Roman" w:hAnsi="Calibri" w:cs="Calibri"/>
                <w:color w:val="0D0D0D"/>
              </w:rPr>
            </w:pPr>
            <w:r w:rsidRPr="006539B7">
              <w:rPr>
                <w:rFonts w:ascii="Calibri" w:eastAsia="Times New Roman" w:hAnsi="Calibri" w:cs="Calibri"/>
                <w:color w:val="0D0D0D"/>
              </w:rPr>
              <w:t>100.%</w:t>
            </w:r>
          </w:p>
        </w:tc>
        <w:tc>
          <w:tcPr>
            <w:tcW w:w="1585" w:type="dxa"/>
            <w:tcBorders>
              <w:top w:val="nil"/>
              <w:left w:val="nil"/>
              <w:bottom w:val="nil"/>
              <w:right w:val="nil"/>
            </w:tcBorders>
            <w:shd w:val="clear" w:color="auto" w:fill="D9D9D9" w:themeFill="background1" w:themeFillShade="D9"/>
            <w:noWrap/>
            <w:vAlign w:val="bottom"/>
            <w:hideMark/>
          </w:tcPr>
          <w:p w14:paraId="47D4570F" w14:textId="77777777" w:rsidR="00721CFD" w:rsidRPr="006539B7" w:rsidRDefault="00721CFD" w:rsidP="007B5BB3">
            <w:pPr>
              <w:jc w:val="center"/>
              <w:rPr>
                <w:rFonts w:ascii="Calibri" w:eastAsia="Times New Roman" w:hAnsi="Calibri" w:cs="Calibri"/>
                <w:color w:val="0D0D0D"/>
              </w:rPr>
            </w:pPr>
            <w:r w:rsidRPr="006539B7">
              <w:rPr>
                <w:rFonts w:ascii="Calibri" w:eastAsia="Times New Roman" w:hAnsi="Calibri" w:cs="Calibri"/>
                <w:color w:val="0D0D0D"/>
              </w:rPr>
              <w:t> </w:t>
            </w:r>
          </w:p>
        </w:tc>
      </w:tr>
    </w:tbl>
    <w:p w14:paraId="3AE20272" w14:textId="77777777" w:rsidR="002D6291" w:rsidRDefault="002D6291" w:rsidP="009D1777">
      <w:pPr>
        <w:spacing w:after="160" w:line="259" w:lineRule="auto"/>
        <w:rPr>
          <w:rFonts w:cstheme="minorHAnsi"/>
          <w:b/>
          <w:i/>
          <w:sz w:val="26"/>
          <w:u w:val="single" w:color="000000" w:themeColor="text1"/>
        </w:rPr>
      </w:pPr>
    </w:p>
    <w:p w14:paraId="1E7CCC7B" w14:textId="3F73070B" w:rsidR="009D1777" w:rsidRDefault="009D1777" w:rsidP="009D1777">
      <w:pPr>
        <w:spacing w:after="160" w:line="259" w:lineRule="auto"/>
        <w:rPr>
          <w:rFonts w:eastAsia="Times New Roman" w:cstheme="minorHAnsi"/>
          <w:b/>
          <w:i/>
          <w:spacing w:val="-1"/>
          <w:sz w:val="24"/>
        </w:rPr>
      </w:pPr>
      <w:r w:rsidRPr="00F54559">
        <w:rPr>
          <w:rFonts w:cstheme="minorHAnsi"/>
          <w:b/>
          <w:i/>
          <w:sz w:val="26"/>
          <w:u w:val="single" w:color="000000" w:themeColor="text1"/>
        </w:rPr>
        <w:lastRenderedPageBreak/>
        <w:t>13d. Defined Benefit Plan – Classified Employees - continued</w:t>
      </w:r>
    </w:p>
    <w:p w14:paraId="3F5D16A4" w14:textId="77777777" w:rsidR="00721CFD" w:rsidRPr="00F54559" w:rsidRDefault="00721CFD" w:rsidP="00721CFD">
      <w:pPr>
        <w:spacing w:before="240"/>
        <w:ind w:right="-7"/>
        <w:rPr>
          <w:rFonts w:eastAsia="Times New Roman" w:cstheme="minorHAnsi"/>
          <w:spacing w:val="-1"/>
          <w:sz w:val="24"/>
        </w:rPr>
      </w:pPr>
      <w:r w:rsidRPr="00F54559">
        <w:rPr>
          <w:rFonts w:eastAsia="Times New Roman" w:cstheme="minorHAnsi"/>
          <w:b/>
          <w:i/>
          <w:spacing w:val="-1"/>
          <w:sz w:val="24"/>
        </w:rPr>
        <w:t>Discount Rate</w:t>
      </w:r>
      <w:r w:rsidRPr="00F54559">
        <w:rPr>
          <w:rFonts w:eastAsia="Times New Roman" w:cstheme="minorHAnsi"/>
          <w:b/>
          <w:spacing w:val="-1"/>
          <w:sz w:val="24"/>
        </w:rPr>
        <w:t>:</w:t>
      </w:r>
      <w:r w:rsidRPr="00F54559">
        <w:rPr>
          <w:rFonts w:eastAsia="Times New Roman" w:cstheme="minorHAnsi"/>
          <w:spacing w:val="-1"/>
          <w:sz w:val="24"/>
        </w:rPr>
        <w:t xml:space="preserve">  GASB Statement No. 68, </w:t>
      </w:r>
      <w:r w:rsidRPr="00F54559">
        <w:rPr>
          <w:rFonts w:eastAsia="Times New Roman" w:cstheme="minorHAnsi"/>
          <w:i/>
          <w:spacing w:val="-1"/>
          <w:sz w:val="24"/>
        </w:rPr>
        <w:t>Accounting and Financial Reporting for Pensions,</w:t>
      </w:r>
      <w:r w:rsidRPr="00F54559">
        <w:rPr>
          <w:rFonts w:eastAsia="Times New Roman" w:cstheme="minorHAnsi"/>
          <w:spacing w:val="-1"/>
          <w:sz w:val="24"/>
        </w:rPr>
        <w:t xml:space="preserve"> requires that projected benefit payments be discounted to their actuarial present value using the single rate that reflects (1) a long-term expected rate of return on pension plan investments to the extent that the pension plan's assets are sufficient to pay benefits and pension plan assets are expected to be invested using a strategy to achieve that return and (2) a tax-exempt, high-quality municipal bond rate to the extent that the conditions for use of the long-term expected rate of return are not met.</w:t>
      </w:r>
    </w:p>
    <w:p w14:paraId="713A7980" w14:textId="77777777" w:rsidR="00721CFD" w:rsidRPr="00F54559" w:rsidRDefault="00721CFD" w:rsidP="00721CFD">
      <w:pPr>
        <w:rPr>
          <w:rFonts w:eastAsia="Times New Roman" w:cstheme="minorHAnsi"/>
          <w:spacing w:val="-1"/>
          <w:sz w:val="24"/>
        </w:rPr>
      </w:pPr>
    </w:p>
    <w:p w14:paraId="6B54213A" w14:textId="0A2FD9F2" w:rsidR="00721CFD" w:rsidRPr="00F54559" w:rsidRDefault="00721CFD" w:rsidP="00721CFD">
      <w:pPr>
        <w:spacing w:after="160" w:line="259" w:lineRule="auto"/>
        <w:rPr>
          <w:rFonts w:eastAsia="Franklin Gothic Book" w:cstheme="minorHAnsi"/>
          <w:b/>
          <w:i/>
          <w:spacing w:val="-2"/>
          <w:sz w:val="24"/>
        </w:rPr>
      </w:pPr>
      <w:r w:rsidRPr="00F54559">
        <w:rPr>
          <w:rFonts w:eastAsia="Times New Roman" w:cstheme="minorHAnsi"/>
          <w:spacing w:val="-1"/>
          <w:sz w:val="24"/>
        </w:rPr>
        <w:t>For the Plan, the discount rate used to measure the total pension liability at June 30, 20</w:t>
      </w:r>
      <w:r>
        <w:rPr>
          <w:rFonts w:eastAsia="Times New Roman" w:cstheme="minorHAnsi"/>
          <w:spacing w:val="-1"/>
          <w:sz w:val="24"/>
        </w:rPr>
        <w:t>22</w:t>
      </w:r>
      <w:r w:rsidRPr="00F54559">
        <w:rPr>
          <w:rFonts w:eastAsia="Times New Roman" w:cstheme="minorHAnsi"/>
          <w:spacing w:val="-1"/>
          <w:sz w:val="24"/>
        </w:rPr>
        <w:t xml:space="preserve"> and 20</w:t>
      </w:r>
      <w:r>
        <w:rPr>
          <w:rFonts w:eastAsia="Times New Roman" w:cstheme="minorHAnsi"/>
          <w:spacing w:val="-1"/>
          <w:sz w:val="24"/>
        </w:rPr>
        <w:t>21</w:t>
      </w:r>
      <w:r w:rsidRPr="00F54559">
        <w:rPr>
          <w:rFonts w:eastAsia="Times New Roman" w:cstheme="minorHAnsi"/>
          <w:spacing w:val="-1"/>
          <w:sz w:val="24"/>
        </w:rPr>
        <w:t xml:space="preserve"> </w:t>
      </w:r>
      <w:r w:rsidRPr="00E37F3C">
        <w:rPr>
          <w:rFonts w:eastAsia="Times New Roman" w:cstheme="minorHAnsi"/>
          <w:spacing w:val="-1"/>
          <w:sz w:val="24"/>
        </w:rPr>
        <w:t>was 6.25</w:t>
      </w:r>
      <w:r w:rsidRPr="0066125B">
        <w:rPr>
          <w:rFonts w:eastAsia="Times New Roman" w:cstheme="minorHAnsi"/>
          <w:spacing w:val="-1"/>
          <w:sz w:val="24"/>
        </w:rPr>
        <w:t>%.</w:t>
      </w:r>
      <w:r w:rsidRPr="00F54559">
        <w:rPr>
          <w:rFonts w:eastAsia="Times New Roman" w:cstheme="minorHAnsi"/>
          <w:spacing w:val="-1"/>
          <w:sz w:val="24"/>
        </w:rPr>
        <w:t xml:space="preserve"> The projection of cash flows used to determine the discount rate assumed that contributions from the System will be made in accordance with the Plan’s funding policy adopted on February 27, 2014. Based on those assumptions, the Plan's fiduciary net position was projected to be available to make all projected benefit payments of current plan participants. </w:t>
      </w:r>
      <w:r w:rsidRPr="000D3ACF">
        <w:rPr>
          <w:rFonts w:eastAsia="Times New Roman" w:cstheme="minorHAnsi"/>
          <w:spacing w:val="-1"/>
          <w:sz w:val="24"/>
          <w:szCs w:val="24"/>
        </w:rPr>
        <w:t xml:space="preserve">Therefore, the </w:t>
      </w:r>
      <w:r w:rsidRPr="000D3ACF">
        <w:rPr>
          <w:rFonts w:cstheme="minorHAnsi"/>
          <w:sz w:val="24"/>
          <w:szCs w:val="24"/>
        </w:rPr>
        <w:t>long-term expected rate of return on pension plan investments was applied to all periods of projected benefit payments to determine the Total Pension Liability.</w:t>
      </w:r>
    </w:p>
    <w:p w14:paraId="297E92A1" w14:textId="77777777" w:rsidR="00721CFD" w:rsidRPr="00F54559" w:rsidRDefault="00721CFD" w:rsidP="00721CFD">
      <w:pPr>
        <w:spacing w:after="240" w:line="259" w:lineRule="auto"/>
        <w:rPr>
          <w:rFonts w:eastAsia="Times New Roman" w:cstheme="minorHAnsi"/>
          <w:sz w:val="24"/>
        </w:rPr>
      </w:pPr>
      <w:r w:rsidRPr="00F54559">
        <w:rPr>
          <w:rFonts w:eastAsia="Franklin Gothic Book" w:cstheme="minorHAnsi"/>
          <w:b/>
          <w:i/>
          <w:spacing w:val="-2"/>
          <w:sz w:val="24"/>
        </w:rPr>
        <w:t>S</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2"/>
          <w:sz w:val="24"/>
        </w:rPr>
        <w:t>t</w:t>
      </w:r>
      <w:r w:rsidRPr="00F54559">
        <w:rPr>
          <w:rFonts w:eastAsia="Franklin Gothic Book" w:cstheme="minorHAnsi"/>
          <w:b/>
          <w:i/>
          <w:sz w:val="24"/>
        </w:rPr>
        <w:t>ivi</w:t>
      </w:r>
      <w:r w:rsidRPr="00F54559">
        <w:rPr>
          <w:rFonts w:eastAsia="Franklin Gothic Book" w:cstheme="minorHAnsi"/>
          <w:b/>
          <w:i/>
          <w:spacing w:val="-1"/>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z w:val="24"/>
        </w:rPr>
        <w:t>of</w:t>
      </w:r>
      <w:r w:rsidRPr="00F54559">
        <w:rPr>
          <w:rFonts w:eastAsia="Franklin Gothic Book" w:cstheme="minorHAnsi"/>
          <w:b/>
          <w:i/>
          <w:spacing w:val="-6"/>
          <w:sz w:val="24"/>
        </w:rPr>
        <w:t xml:space="preserve"> </w:t>
      </w:r>
      <w:r w:rsidRPr="00F54559">
        <w:rPr>
          <w:rFonts w:eastAsia="Franklin Gothic Book" w:cstheme="minorHAnsi"/>
          <w:b/>
          <w:i/>
          <w:spacing w:val="-1"/>
          <w:sz w:val="24"/>
        </w:rPr>
        <w:t>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p</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1"/>
          <w:sz w:val="24"/>
        </w:rPr>
        <w:t>o</w:t>
      </w:r>
      <w:r w:rsidRPr="00F54559">
        <w:rPr>
          <w:rFonts w:eastAsia="Franklin Gothic Book" w:cstheme="minorHAnsi"/>
          <w:b/>
          <w:i/>
          <w:sz w:val="24"/>
        </w:rPr>
        <w:t>n</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d</w:t>
      </w:r>
      <w:r w:rsidRPr="00F54559">
        <w:rPr>
          <w:rFonts w:eastAsia="Franklin Gothic Book" w:cstheme="minorHAnsi"/>
          <w:b/>
          <w:i/>
          <w:sz w:val="24"/>
        </w:rPr>
        <w:t>i</w:t>
      </w:r>
      <w:r w:rsidRPr="00F54559">
        <w:rPr>
          <w:rFonts w:eastAsia="Franklin Gothic Book" w:cstheme="minorHAnsi"/>
          <w:b/>
          <w:i/>
          <w:spacing w:val="-1"/>
          <w:sz w:val="24"/>
        </w:rPr>
        <w:t>sc</w:t>
      </w:r>
      <w:r w:rsidRPr="00F54559">
        <w:rPr>
          <w:rFonts w:eastAsia="Franklin Gothic Book" w:cstheme="minorHAnsi"/>
          <w:b/>
          <w:i/>
          <w:sz w:val="24"/>
        </w:rPr>
        <w:t>ou</w:t>
      </w:r>
      <w:r w:rsidRPr="00F54559">
        <w:rPr>
          <w:rFonts w:eastAsia="Franklin Gothic Book" w:cstheme="minorHAnsi"/>
          <w:b/>
          <w:i/>
          <w:spacing w:val="-2"/>
          <w:sz w:val="24"/>
        </w:rPr>
        <w:t>n</w:t>
      </w:r>
      <w:r w:rsidRPr="00F54559">
        <w:rPr>
          <w:rFonts w:eastAsia="Franklin Gothic Book" w:cstheme="minorHAnsi"/>
          <w:b/>
          <w:i/>
          <w:sz w:val="24"/>
        </w:rPr>
        <w:t>t</w:t>
      </w:r>
      <w:r w:rsidRPr="00F54559">
        <w:rPr>
          <w:rFonts w:eastAsia="Franklin Gothic Book" w:cstheme="minorHAnsi"/>
          <w:b/>
          <w:i/>
          <w:spacing w:val="-6"/>
          <w:sz w:val="24"/>
        </w:rPr>
        <w:t xml:space="preserve"> </w:t>
      </w:r>
      <w:r w:rsidRPr="00F54559">
        <w:rPr>
          <w:rFonts w:eastAsia="Franklin Gothic Book" w:cstheme="minorHAnsi"/>
          <w:b/>
          <w:i/>
          <w:sz w:val="24"/>
        </w:rPr>
        <w:t>r</w:t>
      </w:r>
      <w:r w:rsidRPr="00F54559">
        <w:rPr>
          <w:rFonts w:eastAsia="Franklin Gothic Book" w:cstheme="minorHAnsi"/>
          <w:b/>
          <w:i/>
          <w:spacing w:val="-2"/>
          <w:sz w:val="24"/>
        </w:rPr>
        <w:t>at</w:t>
      </w:r>
      <w:r w:rsidRPr="00F54559">
        <w:rPr>
          <w:rFonts w:eastAsia="Franklin Gothic Book" w:cstheme="minorHAnsi"/>
          <w:b/>
          <w:i/>
          <w:sz w:val="24"/>
        </w:rPr>
        <w:t>e:</w:t>
      </w:r>
      <w:r w:rsidRPr="00F54559">
        <w:rPr>
          <w:rFonts w:eastAsia="Franklin Gothic Book" w:cstheme="minorHAnsi"/>
          <w:i/>
          <w:sz w:val="24"/>
        </w:rPr>
        <w:t xml:space="preserve">  </w:t>
      </w:r>
      <w:r w:rsidRPr="00F54559">
        <w:rPr>
          <w:rFonts w:eastAsia="Times New Roman" w:cstheme="minorHAnsi"/>
          <w:spacing w:val="-1"/>
          <w:sz w:val="24"/>
        </w:rPr>
        <w:t>T</w:t>
      </w:r>
      <w:r w:rsidRPr="00F54559">
        <w:rPr>
          <w:rFonts w:eastAsia="Times New Roman" w:cstheme="minorHAnsi"/>
          <w:sz w:val="24"/>
        </w:rPr>
        <w:t>he 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
          <w:sz w:val="24"/>
        </w:rPr>
        <w:t xml:space="preserv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z w:val="24"/>
        </w:rPr>
        <w:t xml:space="preserve">net </w:t>
      </w:r>
      <w:r w:rsidRPr="00F54559">
        <w:rPr>
          <w:rFonts w:eastAsia="Times New Roman" w:cstheme="minorHAnsi"/>
          <w:spacing w:val="-1"/>
          <w:sz w:val="24"/>
        </w:rPr>
        <w:t>p</w:t>
      </w:r>
      <w:r w:rsidRPr="00F54559">
        <w:rPr>
          <w:rFonts w:eastAsia="Times New Roman" w:cstheme="minorHAnsi"/>
          <w:sz w:val="24"/>
        </w:rPr>
        <w:t>ension</w:t>
      </w:r>
      <w:r w:rsidRPr="00F54559">
        <w:rPr>
          <w:rFonts w:eastAsia="Times New Roman" w:cstheme="minorHAnsi"/>
          <w:spacing w:val="1"/>
          <w:sz w:val="24"/>
        </w:rPr>
        <w:t xml:space="preserve"> </w:t>
      </w:r>
      <w:r w:rsidRPr="00F54559">
        <w:rPr>
          <w:rFonts w:eastAsia="Times New Roman" w:cstheme="minorHAnsi"/>
          <w:sz w:val="24"/>
        </w:rPr>
        <w:t>liability</w:t>
      </w:r>
      <w:r w:rsidRPr="00F54559">
        <w:rPr>
          <w:rFonts w:eastAsia="Times New Roman" w:cstheme="minorHAnsi"/>
          <w:spacing w:val="-1"/>
          <w:sz w:val="24"/>
        </w:rPr>
        <w:t xml:space="preserve"> as of June 30</w:t>
      </w:r>
      <w:r>
        <w:rPr>
          <w:rFonts w:eastAsia="Times New Roman" w:cstheme="minorHAnsi"/>
          <w:spacing w:val="-1"/>
          <w:sz w:val="24"/>
        </w:rPr>
        <w:t xml:space="preserve"> </w:t>
      </w:r>
      <w:r w:rsidRPr="005C3E71">
        <w:rPr>
          <w:rFonts w:eastAsia="Times New Roman" w:cstheme="minorHAnsi"/>
          <w:sz w:val="24"/>
        </w:rPr>
        <w:t>calcula</w:t>
      </w:r>
      <w:r w:rsidRPr="005C3E71">
        <w:rPr>
          <w:rFonts w:eastAsia="Times New Roman" w:cstheme="minorHAnsi"/>
          <w:spacing w:val="1"/>
          <w:sz w:val="24"/>
        </w:rPr>
        <w:t>t</w:t>
      </w:r>
      <w:r w:rsidRPr="005C3E71">
        <w:rPr>
          <w:rFonts w:eastAsia="Times New Roman" w:cstheme="minorHAnsi"/>
          <w:sz w:val="24"/>
        </w:rPr>
        <w:t>ed</w:t>
      </w:r>
      <w:r w:rsidRPr="005C3E71">
        <w:rPr>
          <w:rFonts w:eastAsia="Times New Roman" w:cstheme="minorHAnsi"/>
          <w:spacing w:val="2"/>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 the</w:t>
      </w:r>
      <w:r w:rsidRPr="00F54559">
        <w:rPr>
          <w:rFonts w:eastAsia="Times New Roman" w:cstheme="minorHAnsi"/>
          <w:spacing w:val="1"/>
          <w:sz w:val="24"/>
        </w:rPr>
        <w:t xml:space="preserve"> </w:t>
      </w:r>
      <w:r w:rsidRPr="00F54559">
        <w:rPr>
          <w:rFonts w:eastAsia="Times New Roman" w:cstheme="minorHAnsi"/>
          <w:sz w:val="24"/>
        </w:rPr>
        <w:t>discount</w:t>
      </w:r>
      <w:r w:rsidRPr="00F54559">
        <w:rPr>
          <w:rFonts w:eastAsia="Times New Roman" w:cstheme="minorHAnsi"/>
          <w:spacing w:val="1"/>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1"/>
          <w:sz w:val="24"/>
        </w:rPr>
        <w:t xml:space="preserve"> </w:t>
      </w:r>
      <w:r w:rsidRPr="00F54559">
        <w:rPr>
          <w:rFonts w:eastAsia="Times New Roman" w:cstheme="minorHAnsi"/>
          <w:spacing w:val="-1"/>
          <w:sz w:val="24"/>
        </w:rPr>
        <w:t>o</w:t>
      </w:r>
      <w:r w:rsidRPr="00F54559">
        <w:rPr>
          <w:rFonts w:eastAsia="Times New Roman" w:cstheme="minorHAnsi"/>
          <w:sz w:val="24"/>
        </w:rPr>
        <w:t xml:space="preserve">f </w:t>
      </w:r>
      <w:r w:rsidRPr="000C4239">
        <w:rPr>
          <w:rFonts w:eastAsia="Times New Roman" w:cstheme="minorHAnsi"/>
          <w:sz w:val="24"/>
        </w:rPr>
        <w:t>6.25</w:t>
      </w:r>
      <w:r w:rsidRPr="00F54559">
        <w:rPr>
          <w:rFonts w:eastAsia="Times New Roman" w:cstheme="minorHAnsi"/>
          <w:sz w:val="24"/>
        </w:rPr>
        <w:t>%,</w:t>
      </w:r>
      <w:r w:rsidRPr="00F54559">
        <w:rPr>
          <w:rFonts w:eastAsia="Times New Roman" w:cstheme="minorHAnsi"/>
          <w:spacing w:val="3"/>
          <w:sz w:val="24"/>
        </w:rPr>
        <w:t xml:space="preserve"> </w:t>
      </w:r>
      <w:r w:rsidRPr="00F54559">
        <w:rPr>
          <w:rFonts w:eastAsia="Times New Roman" w:cstheme="minorHAnsi"/>
          <w:sz w:val="24"/>
        </w:rPr>
        <w:t>as</w:t>
      </w:r>
      <w:r w:rsidRPr="00F54559">
        <w:rPr>
          <w:rFonts w:eastAsia="Times New Roman" w:cstheme="minorHAnsi"/>
          <w:spacing w:val="1"/>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 as</w:t>
      </w:r>
      <w:r w:rsidRPr="00F54559">
        <w:rPr>
          <w:rFonts w:eastAsia="Times New Roman" w:cstheme="minorHAnsi"/>
          <w:spacing w:val="1"/>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41"/>
          <w:sz w:val="24"/>
        </w:rPr>
        <w:t xml:space="preserve"> </w:t>
      </w:r>
      <w:r w:rsidRPr="00F54559">
        <w:rPr>
          <w:rFonts w:eastAsia="Times New Roman" w:cstheme="minorHAnsi"/>
          <w:sz w:val="24"/>
        </w:rPr>
        <w:t>a</w:t>
      </w:r>
      <w:r w:rsidRPr="00F54559">
        <w:rPr>
          <w:rFonts w:eastAsia="Times New Roman" w:cstheme="minorHAnsi"/>
          <w:spacing w:val="39"/>
          <w:sz w:val="24"/>
        </w:rPr>
        <w:t xml:space="preserve"> </w:t>
      </w:r>
      <w:r w:rsidRPr="00F54559">
        <w:rPr>
          <w:rFonts w:eastAsia="Times New Roman" w:cstheme="minorHAnsi"/>
          <w:sz w:val="24"/>
        </w:rPr>
        <w:t>discount</w:t>
      </w:r>
      <w:r w:rsidRPr="00F54559">
        <w:rPr>
          <w:rFonts w:eastAsia="Times New Roman" w:cstheme="minorHAnsi"/>
          <w:spacing w:val="42"/>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40"/>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41"/>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39"/>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r</w:t>
      </w:r>
      <w:r w:rsidRPr="00F54559">
        <w:rPr>
          <w:rFonts w:eastAsia="Times New Roman" w:cstheme="minorHAnsi"/>
          <w:w w:val="99"/>
          <w:sz w:val="24"/>
        </w:rPr>
        <w:t xml:space="preserve"> </w:t>
      </w:r>
      <w:r w:rsidRPr="00F54559">
        <w:rPr>
          <w:rFonts w:eastAsia="Times New Roman" w:cstheme="minorHAnsi"/>
          <w:sz w:val="24"/>
        </w:rPr>
        <w:t>or</w:t>
      </w:r>
      <w:r w:rsidRPr="00F54559">
        <w:rPr>
          <w:rFonts w:eastAsia="Times New Roman" w:cstheme="minorHAnsi"/>
          <w:spacing w:val="-7"/>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6"/>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6"/>
          <w:sz w:val="24"/>
        </w:rPr>
        <w:t xml:space="preserve"> </w:t>
      </w:r>
      <w:r w:rsidRPr="00F54559">
        <w:rPr>
          <w:rFonts w:eastAsia="Times New Roman" w:cstheme="minorHAnsi"/>
          <w:sz w:val="24"/>
        </w:rPr>
        <w:t>higher</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han</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7"/>
          <w:sz w:val="24"/>
        </w:rPr>
        <w:t xml:space="preserve"> </w:t>
      </w:r>
      <w:r w:rsidRPr="00F54559">
        <w:rPr>
          <w:rFonts w:eastAsia="Times New Roman" w:cstheme="minorHAnsi"/>
          <w:spacing w:val="1"/>
          <w:sz w:val="24"/>
        </w:rPr>
        <w:t>c</w:t>
      </w:r>
      <w:r w:rsidRPr="00F54559">
        <w:rPr>
          <w:rFonts w:eastAsia="Times New Roman" w:cstheme="minorHAnsi"/>
          <w:sz w:val="24"/>
        </w:rPr>
        <w:t>u</w:t>
      </w:r>
      <w:r w:rsidRPr="00F54559">
        <w:rPr>
          <w:rFonts w:eastAsia="Times New Roman" w:cstheme="minorHAnsi"/>
          <w:spacing w:val="-1"/>
          <w:sz w:val="24"/>
        </w:rPr>
        <w:t>rr</w:t>
      </w:r>
      <w:r w:rsidRPr="00F54559">
        <w:rPr>
          <w:rFonts w:eastAsia="Times New Roman" w:cstheme="minorHAnsi"/>
          <w:sz w:val="24"/>
        </w:rPr>
        <w:t>ent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Pr>
          <w:rFonts w:eastAsia="Times New Roman" w:cstheme="minorHAnsi"/>
          <w:sz w:val="24"/>
        </w:rPr>
        <w:fldChar w:fldCharType="begin"/>
      </w:r>
      <w:r>
        <w:rPr>
          <w:rFonts w:eastAsia="Times New Roman" w:cstheme="minorHAnsi"/>
          <w:sz w:val="24"/>
        </w:rPr>
        <w:fldChar w:fldCharType="end"/>
      </w:r>
    </w:p>
    <w:tbl>
      <w:tblPr>
        <w:tblW w:w="9255" w:type="dxa"/>
        <w:jc w:val="center"/>
        <w:tblLook w:val="04A0" w:firstRow="1" w:lastRow="0" w:firstColumn="1" w:lastColumn="0" w:noHBand="0" w:noVBand="1"/>
      </w:tblPr>
      <w:tblGrid>
        <w:gridCol w:w="2292"/>
        <w:gridCol w:w="236"/>
        <w:gridCol w:w="805"/>
        <w:gridCol w:w="1242"/>
        <w:gridCol w:w="915"/>
        <w:gridCol w:w="231"/>
        <w:gridCol w:w="9"/>
        <w:gridCol w:w="239"/>
        <w:gridCol w:w="898"/>
        <w:gridCol w:w="1242"/>
        <w:gridCol w:w="900"/>
        <w:gridCol w:w="246"/>
      </w:tblGrid>
      <w:tr w:rsidR="000D58D0" w:rsidRPr="006539B7" w14:paraId="3A543CC8" w14:textId="77777777" w:rsidTr="000D58D0">
        <w:trPr>
          <w:cantSplit/>
          <w:trHeight w:val="244"/>
          <w:tblHeader/>
          <w:jc w:val="center"/>
        </w:trPr>
        <w:tc>
          <w:tcPr>
            <w:tcW w:w="2292" w:type="dxa"/>
            <w:tcBorders>
              <w:top w:val="nil"/>
              <w:left w:val="nil"/>
              <w:bottom w:val="nil"/>
              <w:right w:val="nil"/>
            </w:tcBorders>
            <w:shd w:val="clear" w:color="000000" w:fill="FFFFFF"/>
            <w:noWrap/>
            <w:vAlign w:val="bottom"/>
            <w:hideMark/>
          </w:tcPr>
          <w:p w14:paraId="77CBEB13" w14:textId="77777777" w:rsidR="000D58D0" w:rsidRPr="006539B7" w:rsidRDefault="000D58D0" w:rsidP="007B5BB3">
            <w:pPr>
              <w:rPr>
                <w:rFonts w:ascii="Calibri" w:eastAsia="Times New Roman" w:hAnsi="Calibri" w:cs="Calibri"/>
                <w:b/>
                <w:bCs/>
                <w:color w:val="0D0D0D"/>
              </w:rPr>
            </w:pPr>
            <w:r w:rsidRPr="006539B7">
              <w:rPr>
                <w:rFonts w:ascii="Calibri" w:eastAsia="Times New Roman" w:hAnsi="Calibri" w:cs="Calibri"/>
                <w:b/>
                <w:bCs/>
                <w:color w:val="0D0D0D"/>
              </w:rPr>
              <w:t> </w:t>
            </w:r>
          </w:p>
        </w:tc>
        <w:tc>
          <w:tcPr>
            <w:tcW w:w="236" w:type="dxa"/>
            <w:tcBorders>
              <w:top w:val="nil"/>
              <w:left w:val="nil"/>
              <w:bottom w:val="single" w:sz="4" w:space="0" w:color="auto"/>
              <w:right w:val="nil"/>
            </w:tcBorders>
            <w:shd w:val="clear" w:color="000000" w:fill="FFFFFF"/>
            <w:vAlign w:val="bottom"/>
            <w:hideMark/>
          </w:tcPr>
          <w:p w14:paraId="2AD99B15" w14:textId="37E1EFF7" w:rsidR="000D58D0" w:rsidRPr="006539B7" w:rsidRDefault="000D58D0" w:rsidP="007B5BB3">
            <w:pPr>
              <w:jc w:val="center"/>
              <w:rPr>
                <w:rFonts w:ascii="Calibri" w:eastAsia="Times New Roman" w:hAnsi="Calibri" w:cs="Calibri"/>
                <w:b/>
                <w:bCs/>
                <w:color w:val="0D0D0D"/>
              </w:rPr>
            </w:pPr>
          </w:p>
        </w:tc>
        <w:tc>
          <w:tcPr>
            <w:tcW w:w="2962" w:type="dxa"/>
            <w:gridSpan w:val="3"/>
            <w:tcBorders>
              <w:top w:val="nil"/>
              <w:left w:val="nil"/>
              <w:bottom w:val="single" w:sz="4" w:space="0" w:color="auto"/>
              <w:right w:val="nil"/>
            </w:tcBorders>
            <w:shd w:val="clear" w:color="000000" w:fill="FFFFFF"/>
            <w:vAlign w:val="bottom"/>
          </w:tcPr>
          <w:p w14:paraId="791F39DC" w14:textId="71BFAB3F" w:rsidR="000D58D0" w:rsidRPr="006539B7" w:rsidRDefault="000D58D0" w:rsidP="007B5BB3">
            <w:pPr>
              <w:jc w:val="center"/>
              <w:rPr>
                <w:rFonts w:ascii="Calibri" w:eastAsia="Times New Roman" w:hAnsi="Calibri" w:cs="Calibri"/>
                <w:b/>
                <w:bCs/>
                <w:color w:val="0D0D0D"/>
              </w:rPr>
            </w:pPr>
            <w:r w:rsidRPr="006539B7">
              <w:rPr>
                <w:rFonts w:ascii="Calibri" w:eastAsia="Times New Roman" w:hAnsi="Calibri" w:cs="Calibri"/>
                <w:b/>
                <w:bCs/>
                <w:color w:val="0D0D0D"/>
              </w:rPr>
              <w:t>June 30, 202</w:t>
            </w:r>
            <w:r>
              <w:rPr>
                <w:rFonts w:ascii="Calibri" w:eastAsia="Times New Roman" w:hAnsi="Calibri" w:cs="Calibri"/>
                <w:b/>
                <w:bCs/>
                <w:color w:val="0D0D0D"/>
              </w:rPr>
              <w:t>2</w:t>
            </w:r>
          </w:p>
        </w:tc>
        <w:tc>
          <w:tcPr>
            <w:tcW w:w="240" w:type="dxa"/>
            <w:gridSpan w:val="2"/>
            <w:tcBorders>
              <w:top w:val="nil"/>
              <w:left w:val="nil"/>
              <w:bottom w:val="single" w:sz="4" w:space="0" w:color="auto"/>
              <w:right w:val="nil"/>
            </w:tcBorders>
            <w:shd w:val="clear" w:color="000000" w:fill="FFFFFF"/>
            <w:vAlign w:val="bottom"/>
          </w:tcPr>
          <w:p w14:paraId="650627C5" w14:textId="06133B61" w:rsidR="000D58D0" w:rsidRPr="006539B7" w:rsidRDefault="000D58D0" w:rsidP="007B5BB3">
            <w:pPr>
              <w:jc w:val="center"/>
              <w:rPr>
                <w:rFonts w:ascii="Calibri" w:eastAsia="Times New Roman" w:hAnsi="Calibri" w:cs="Calibri"/>
                <w:b/>
                <w:bCs/>
                <w:color w:val="0D0D0D"/>
              </w:rPr>
            </w:pPr>
          </w:p>
        </w:tc>
        <w:tc>
          <w:tcPr>
            <w:tcW w:w="239" w:type="dxa"/>
            <w:tcBorders>
              <w:top w:val="nil"/>
              <w:left w:val="nil"/>
              <w:bottom w:val="single" w:sz="4" w:space="0" w:color="auto"/>
              <w:right w:val="nil"/>
            </w:tcBorders>
            <w:shd w:val="clear" w:color="auto" w:fill="D9D9D9" w:themeFill="background1" w:themeFillShade="D9"/>
            <w:vAlign w:val="bottom"/>
            <w:hideMark/>
          </w:tcPr>
          <w:p w14:paraId="7FE15282" w14:textId="6C141C5B" w:rsidR="000D58D0" w:rsidRPr="006539B7" w:rsidRDefault="000D58D0" w:rsidP="007B5BB3">
            <w:pPr>
              <w:jc w:val="center"/>
              <w:rPr>
                <w:rFonts w:ascii="Calibri" w:eastAsia="Times New Roman" w:hAnsi="Calibri" w:cs="Calibri"/>
                <w:b/>
                <w:bCs/>
                <w:color w:val="0D0D0D"/>
              </w:rPr>
            </w:pPr>
          </w:p>
        </w:tc>
        <w:tc>
          <w:tcPr>
            <w:tcW w:w="3040" w:type="dxa"/>
            <w:gridSpan w:val="3"/>
            <w:tcBorders>
              <w:top w:val="nil"/>
              <w:left w:val="nil"/>
              <w:bottom w:val="single" w:sz="4" w:space="0" w:color="auto"/>
              <w:right w:val="nil"/>
            </w:tcBorders>
            <w:shd w:val="clear" w:color="auto" w:fill="D9D9D9" w:themeFill="background1" w:themeFillShade="D9"/>
            <w:vAlign w:val="bottom"/>
          </w:tcPr>
          <w:p w14:paraId="0227309A" w14:textId="5A90B87B" w:rsidR="000D58D0" w:rsidRPr="006539B7" w:rsidRDefault="000D58D0" w:rsidP="007B5BB3">
            <w:pPr>
              <w:jc w:val="center"/>
              <w:rPr>
                <w:rFonts w:ascii="Calibri" w:eastAsia="Times New Roman" w:hAnsi="Calibri" w:cs="Calibri"/>
                <w:b/>
                <w:bCs/>
                <w:color w:val="0D0D0D"/>
              </w:rPr>
            </w:pPr>
            <w:r w:rsidRPr="006539B7">
              <w:rPr>
                <w:rFonts w:ascii="Calibri" w:eastAsia="Times New Roman" w:hAnsi="Calibri" w:cs="Calibri"/>
                <w:b/>
                <w:bCs/>
                <w:color w:val="0D0D0D"/>
              </w:rPr>
              <w:t>June 30, 20</w:t>
            </w:r>
            <w:r>
              <w:rPr>
                <w:rFonts w:ascii="Calibri" w:eastAsia="Times New Roman" w:hAnsi="Calibri" w:cs="Calibri"/>
                <w:b/>
                <w:bCs/>
                <w:color w:val="0D0D0D"/>
              </w:rPr>
              <w:t>21</w:t>
            </w:r>
          </w:p>
        </w:tc>
        <w:tc>
          <w:tcPr>
            <w:tcW w:w="242" w:type="dxa"/>
            <w:tcBorders>
              <w:top w:val="nil"/>
              <w:left w:val="nil"/>
              <w:bottom w:val="single" w:sz="4" w:space="0" w:color="auto"/>
              <w:right w:val="nil"/>
            </w:tcBorders>
            <w:shd w:val="clear" w:color="auto" w:fill="D9D9D9" w:themeFill="background1" w:themeFillShade="D9"/>
            <w:vAlign w:val="bottom"/>
          </w:tcPr>
          <w:p w14:paraId="383091C0" w14:textId="07FFEADA" w:rsidR="000D58D0" w:rsidRPr="006539B7" w:rsidRDefault="000D58D0" w:rsidP="007B5BB3">
            <w:pPr>
              <w:jc w:val="center"/>
              <w:rPr>
                <w:rFonts w:ascii="Calibri" w:eastAsia="Times New Roman" w:hAnsi="Calibri" w:cs="Calibri"/>
                <w:b/>
                <w:bCs/>
                <w:color w:val="0D0D0D"/>
              </w:rPr>
            </w:pPr>
          </w:p>
        </w:tc>
      </w:tr>
      <w:tr w:rsidR="00721CFD" w:rsidRPr="006539B7" w14:paraId="12A1AFCB" w14:textId="77777777" w:rsidTr="000D58D0">
        <w:trPr>
          <w:cantSplit/>
          <w:trHeight w:val="680"/>
          <w:tblHeader/>
          <w:jc w:val="center"/>
        </w:trPr>
        <w:tc>
          <w:tcPr>
            <w:tcW w:w="2292" w:type="dxa"/>
            <w:tcBorders>
              <w:top w:val="nil"/>
              <w:left w:val="nil"/>
              <w:bottom w:val="nil"/>
              <w:right w:val="nil"/>
            </w:tcBorders>
            <w:shd w:val="clear" w:color="000000" w:fill="FFFFFF"/>
            <w:noWrap/>
            <w:vAlign w:val="bottom"/>
            <w:hideMark/>
          </w:tcPr>
          <w:p w14:paraId="4CAC89D1" w14:textId="77777777" w:rsidR="00721CFD" w:rsidRPr="006539B7" w:rsidRDefault="00721CFD" w:rsidP="007B5BB3">
            <w:pPr>
              <w:rPr>
                <w:rFonts w:ascii="Calibri" w:eastAsia="Times New Roman" w:hAnsi="Calibri" w:cs="Calibri"/>
                <w:b/>
                <w:bCs/>
                <w:color w:val="0D0D0D"/>
              </w:rPr>
            </w:pPr>
            <w:r w:rsidRPr="006539B7">
              <w:rPr>
                <w:rFonts w:ascii="Calibri" w:eastAsia="Times New Roman" w:hAnsi="Calibri" w:cs="Calibri"/>
                <w:b/>
                <w:bCs/>
                <w:color w:val="0D0D0D"/>
              </w:rPr>
              <w:t> </w:t>
            </w:r>
          </w:p>
        </w:tc>
        <w:tc>
          <w:tcPr>
            <w:tcW w:w="1041" w:type="dxa"/>
            <w:gridSpan w:val="2"/>
            <w:tcBorders>
              <w:top w:val="nil"/>
              <w:left w:val="nil"/>
              <w:bottom w:val="single" w:sz="4" w:space="0" w:color="auto"/>
              <w:right w:val="nil"/>
            </w:tcBorders>
            <w:shd w:val="clear" w:color="000000" w:fill="FFFFFF"/>
            <w:vAlign w:val="bottom"/>
            <w:hideMark/>
          </w:tcPr>
          <w:p w14:paraId="368EE5C5" w14:textId="77777777" w:rsidR="00FD47AB"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 xml:space="preserve">1% </w:t>
            </w:r>
          </w:p>
          <w:p w14:paraId="122FE381" w14:textId="2CD9B203"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Decrease</w:t>
            </w:r>
            <w:r w:rsidRPr="00B77D08">
              <w:rPr>
                <w:rFonts w:ascii="Calibri" w:eastAsia="Times New Roman" w:hAnsi="Calibri" w:cs="Calibri"/>
                <w:bCs/>
                <w:color w:val="0D0D0D"/>
              </w:rPr>
              <w:br/>
              <w:t>(5.25%)</w:t>
            </w:r>
          </w:p>
        </w:tc>
        <w:tc>
          <w:tcPr>
            <w:tcW w:w="1242" w:type="dxa"/>
            <w:tcBorders>
              <w:top w:val="nil"/>
              <w:left w:val="nil"/>
              <w:bottom w:val="single" w:sz="4" w:space="0" w:color="auto"/>
              <w:right w:val="nil"/>
            </w:tcBorders>
            <w:shd w:val="clear" w:color="000000" w:fill="FFFFFF"/>
            <w:vAlign w:val="bottom"/>
            <w:hideMark/>
          </w:tcPr>
          <w:p w14:paraId="74F76AC7" w14:textId="77777777" w:rsidR="00FD47AB"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 xml:space="preserve">Current Discount </w:t>
            </w:r>
            <w:r w:rsidRPr="00B77D08">
              <w:rPr>
                <w:rFonts w:ascii="Calibri" w:eastAsia="Times New Roman" w:hAnsi="Calibri" w:cs="Calibri"/>
                <w:bCs/>
                <w:color w:val="0D0D0D"/>
              </w:rPr>
              <w:br/>
              <w:t xml:space="preserve">Rate </w:t>
            </w:r>
          </w:p>
          <w:p w14:paraId="523797C4" w14:textId="231197C0"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(6.25%)</w:t>
            </w:r>
          </w:p>
        </w:tc>
        <w:tc>
          <w:tcPr>
            <w:tcW w:w="1146" w:type="dxa"/>
            <w:gridSpan w:val="2"/>
            <w:tcBorders>
              <w:top w:val="nil"/>
              <w:left w:val="nil"/>
              <w:bottom w:val="single" w:sz="4" w:space="0" w:color="auto"/>
              <w:right w:val="nil"/>
            </w:tcBorders>
            <w:shd w:val="clear" w:color="000000" w:fill="FFFFFF"/>
            <w:vAlign w:val="bottom"/>
            <w:hideMark/>
          </w:tcPr>
          <w:p w14:paraId="67450193" w14:textId="77777777" w:rsidR="00FD47AB"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 xml:space="preserve">1% </w:t>
            </w:r>
          </w:p>
          <w:p w14:paraId="39C6141E" w14:textId="52C83FD0"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Increase</w:t>
            </w:r>
            <w:r w:rsidRPr="00B77D08">
              <w:rPr>
                <w:rFonts w:ascii="Calibri" w:eastAsia="Times New Roman" w:hAnsi="Calibri" w:cs="Calibri"/>
                <w:bCs/>
                <w:color w:val="0D0D0D"/>
              </w:rPr>
              <w:br/>
              <w:t>(7.25%)</w:t>
            </w:r>
          </w:p>
        </w:tc>
        <w:tc>
          <w:tcPr>
            <w:tcW w:w="1146" w:type="dxa"/>
            <w:gridSpan w:val="3"/>
            <w:tcBorders>
              <w:top w:val="nil"/>
              <w:left w:val="nil"/>
              <w:bottom w:val="single" w:sz="4" w:space="0" w:color="auto"/>
              <w:right w:val="nil"/>
            </w:tcBorders>
            <w:shd w:val="clear" w:color="auto" w:fill="D9D9D9" w:themeFill="background1" w:themeFillShade="D9"/>
            <w:vAlign w:val="bottom"/>
            <w:hideMark/>
          </w:tcPr>
          <w:p w14:paraId="449227C5" w14:textId="77777777" w:rsidR="00FD47AB"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 xml:space="preserve">1% </w:t>
            </w:r>
          </w:p>
          <w:p w14:paraId="7EFE9B89" w14:textId="652481BD"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Decrease</w:t>
            </w:r>
            <w:r w:rsidRPr="00B77D08">
              <w:rPr>
                <w:rFonts w:ascii="Calibri" w:eastAsia="Times New Roman" w:hAnsi="Calibri" w:cs="Calibri"/>
                <w:bCs/>
                <w:color w:val="0D0D0D"/>
              </w:rPr>
              <w:br/>
              <w:t>(5.25%)</w:t>
            </w:r>
          </w:p>
        </w:tc>
        <w:tc>
          <w:tcPr>
            <w:tcW w:w="1242" w:type="dxa"/>
            <w:tcBorders>
              <w:top w:val="nil"/>
              <w:left w:val="nil"/>
              <w:bottom w:val="single" w:sz="4" w:space="0" w:color="auto"/>
              <w:right w:val="nil"/>
            </w:tcBorders>
            <w:shd w:val="clear" w:color="auto" w:fill="D9D9D9" w:themeFill="background1" w:themeFillShade="D9"/>
            <w:vAlign w:val="bottom"/>
            <w:hideMark/>
          </w:tcPr>
          <w:p w14:paraId="6EC70C01" w14:textId="77777777" w:rsidR="00FD47AB"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 xml:space="preserve">Current Discount </w:t>
            </w:r>
            <w:r w:rsidRPr="00B77D08">
              <w:rPr>
                <w:rFonts w:ascii="Calibri" w:eastAsia="Times New Roman" w:hAnsi="Calibri" w:cs="Calibri"/>
                <w:bCs/>
                <w:color w:val="0D0D0D"/>
              </w:rPr>
              <w:br/>
              <w:t xml:space="preserve">Rate </w:t>
            </w:r>
          </w:p>
          <w:p w14:paraId="08A1D268" w14:textId="5D5A5DA3"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(6.25%)</w:t>
            </w:r>
          </w:p>
        </w:tc>
        <w:tc>
          <w:tcPr>
            <w:tcW w:w="1146" w:type="dxa"/>
            <w:gridSpan w:val="2"/>
            <w:tcBorders>
              <w:top w:val="nil"/>
              <w:left w:val="nil"/>
              <w:bottom w:val="single" w:sz="4" w:space="0" w:color="auto"/>
              <w:right w:val="nil"/>
            </w:tcBorders>
            <w:shd w:val="clear" w:color="auto" w:fill="D9D9D9" w:themeFill="background1" w:themeFillShade="D9"/>
            <w:vAlign w:val="bottom"/>
            <w:hideMark/>
          </w:tcPr>
          <w:p w14:paraId="1B209E34" w14:textId="77777777" w:rsidR="00FD47AB"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 xml:space="preserve">1% </w:t>
            </w:r>
          </w:p>
          <w:p w14:paraId="4311882B" w14:textId="360C90ED"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Increase</w:t>
            </w:r>
            <w:r w:rsidRPr="00B77D08">
              <w:rPr>
                <w:rFonts w:ascii="Calibri" w:eastAsia="Times New Roman" w:hAnsi="Calibri" w:cs="Calibri"/>
                <w:bCs/>
                <w:color w:val="0D0D0D"/>
              </w:rPr>
              <w:br/>
              <w:t>(7.25%)</w:t>
            </w:r>
          </w:p>
        </w:tc>
      </w:tr>
      <w:tr w:rsidR="00721CFD" w:rsidRPr="006539B7" w14:paraId="2009ECC9" w14:textId="77777777" w:rsidTr="000D58D0">
        <w:trPr>
          <w:cantSplit/>
          <w:trHeight w:val="311"/>
          <w:jc w:val="center"/>
        </w:trPr>
        <w:tc>
          <w:tcPr>
            <w:tcW w:w="2292" w:type="dxa"/>
            <w:tcBorders>
              <w:left w:val="nil"/>
              <w:bottom w:val="nil"/>
              <w:right w:val="nil"/>
            </w:tcBorders>
            <w:shd w:val="clear" w:color="000000" w:fill="FFFFFF"/>
            <w:noWrap/>
            <w:vAlign w:val="bottom"/>
            <w:hideMark/>
          </w:tcPr>
          <w:p w14:paraId="5FE1ADE0"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Total pension liability</w:t>
            </w:r>
          </w:p>
        </w:tc>
        <w:tc>
          <w:tcPr>
            <w:tcW w:w="1041" w:type="dxa"/>
            <w:gridSpan w:val="2"/>
            <w:tcBorders>
              <w:top w:val="single" w:sz="4" w:space="0" w:color="auto"/>
              <w:left w:val="nil"/>
              <w:bottom w:val="nil"/>
              <w:right w:val="nil"/>
            </w:tcBorders>
            <w:shd w:val="clear" w:color="000000" w:fill="FFFFFF"/>
            <w:vAlign w:val="bottom"/>
            <w:hideMark/>
          </w:tcPr>
          <w:p w14:paraId="6FD84DE1" w14:textId="73E6022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$ 34,202</w:t>
            </w:r>
          </w:p>
        </w:tc>
        <w:tc>
          <w:tcPr>
            <w:tcW w:w="1242" w:type="dxa"/>
            <w:tcBorders>
              <w:top w:val="single" w:sz="4" w:space="0" w:color="auto"/>
              <w:left w:val="nil"/>
              <w:bottom w:val="nil"/>
              <w:right w:val="nil"/>
            </w:tcBorders>
            <w:shd w:val="clear" w:color="000000" w:fill="FFFFFF"/>
            <w:vAlign w:val="bottom"/>
            <w:hideMark/>
          </w:tcPr>
          <w:p w14:paraId="583092F8" w14:textId="1D4295DB"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$ 32,044</w:t>
            </w:r>
          </w:p>
        </w:tc>
        <w:tc>
          <w:tcPr>
            <w:tcW w:w="1146" w:type="dxa"/>
            <w:gridSpan w:val="2"/>
            <w:tcBorders>
              <w:top w:val="single" w:sz="4" w:space="0" w:color="auto"/>
              <w:left w:val="nil"/>
              <w:bottom w:val="nil"/>
              <w:right w:val="nil"/>
            </w:tcBorders>
            <w:shd w:val="clear" w:color="000000" w:fill="FFFFFF"/>
            <w:vAlign w:val="bottom"/>
            <w:hideMark/>
          </w:tcPr>
          <w:p w14:paraId="5A831307" w14:textId="01DE4D1E"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$ 30,134</w:t>
            </w:r>
          </w:p>
        </w:tc>
        <w:tc>
          <w:tcPr>
            <w:tcW w:w="1146" w:type="dxa"/>
            <w:gridSpan w:val="3"/>
            <w:tcBorders>
              <w:top w:val="single" w:sz="4" w:space="0" w:color="auto"/>
              <w:left w:val="nil"/>
              <w:bottom w:val="nil"/>
              <w:right w:val="nil"/>
            </w:tcBorders>
            <w:shd w:val="clear" w:color="auto" w:fill="D9D9D9" w:themeFill="background1" w:themeFillShade="D9"/>
            <w:vAlign w:val="bottom"/>
            <w:hideMark/>
          </w:tcPr>
          <w:p w14:paraId="717DD2B3" w14:textId="4C1F1F2B" w:rsidR="00721CFD" w:rsidRPr="006539B7" w:rsidRDefault="00721CFD" w:rsidP="007B5BB3">
            <w:pPr>
              <w:jc w:val="right"/>
              <w:rPr>
                <w:rFonts w:ascii="Calibri" w:eastAsia="Times New Roman" w:hAnsi="Calibri" w:cs="Calibri"/>
                <w:color w:val="0D0D0D"/>
              </w:rPr>
            </w:pPr>
            <w:r w:rsidRPr="006539B7">
              <w:rPr>
                <w:rFonts w:ascii="Calibri" w:eastAsia="Times New Roman" w:hAnsi="Calibri" w:cs="Calibri"/>
                <w:color w:val="0D0D0D"/>
              </w:rPr>
              <w:t>$ 3</w:t>
            </w:r>
            <w:r>
              <w:rPr>
                <w:rFonts w:ascii="Calibri" w:eastAsia="Times New Roman" w:hAnsi="Calibri" w:cs="Calibri"/>
                <w:color w:val="0D0D0D"/>
              </w:rPr>
              <w:t>6</w:t>
            </w:r>
            <w:r w:rsidRPr="006539B7">
              <w:rPr>
                <w:rFonts w:ascii="Calibri" w:eastAsia="Times New Roman" w:hAnsi="Calibri" w:cs="Calibri"/>
                <w:color w:val="0D0D0D"/>
              </w:rPr>
              <w:t>,</w:t>
            </w:r>
            <w:r>
              <w:rPr>
                <w:rFonts w:ascii="Calibri" w:eastAsia="Times New Roman" w:hAnsi="Calibri" w:cs="Calibri"/>
                <w:color w:val="0D0D0D"/>
              </w:rPr>
              <w:t>194</w:t>
            </w:r>
          </w:p>
        </w:tc>
        <w:tc>
          <w:tcPr>
            <w:tcW w:w="1242" w:type="dxa"/>
            <w:tcBorders>
              <w:top w:val="single" w:sz="4" w:space="0" w:color="auto"/>
              <w:left w:val="nil"/>
              <w:bottom w:val="nil"/>
              <w:right w:val="nil"/>
            </w:tcBorders>
            <w:shd w:val="clear" w:color="auto" w:fill="D9D9D9" w:themeFill="background1" w:themeFillShade="D9"/>
            <w:vAlign w:val="bottom"/>
            <w:hideMark/>
          </w:tcPr>
          <w:p w14:paraId="03091118" w14:textId="64AB3D57" w:rsidR="00721CFD" w:rsidRPr="006539B7" w:rsidRDefault="00721CFD" w:rsidP="007B5BB3">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 xml:space="preserve"> 33,840</w:t>
            </w:r>
          </w:p>
        </w:tc>
        <w:tc>
          <w:tcPr>
            <w:tcW w:w="1146" w:type="dxa"/>
            <w:gridSpan w:val="2"/>
            <w:tcBorders>
              <w:top w:val="single" w:sz="4" w:space="0" w:color="auto"/>
              <w:left w:val="nil"/>
              <w:bottom w:val="nil"/>
              <w:right w:val="nil"/>
            </w:tcBorders>
            <w:shd w:val="clear" w:color="auto" w:fill="D9D9D9" w:themeFill="background1" w:themeFillShade="D9"/>
            <w:vAlign w:val="bottom"/>
            <w:hideMark/>
          </w:tcPr>
          <w:p w14:paraId="0DE18722" w14:textId="34E7623B" w:rsidR="00721CFD" w:rsidRPr="006539B7" w:rsidRDefault="00721CFD" w:rsidP="007B5BB3">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 xml:space="preserve"> 31,762</w:t>
            </w:r>
          </w:p>
        </w:tc>
      </w:tr>
      <w:tr w:rsidR="00721CFD" w:rsidRPr="006539B7" w14:paraId="7FDDF5B0" w14:textId="77777777" w:rsidTr="000D58D0">
        <w:trPr>
          <w:cantSplit/>
          <w:trHeight w:val="235"/>
          <w:jc w:val="center"/>
        </w:trPr>
        <w:tc>
          <w:tcPr>
            <w:tcW w:w="2292" w:type="dxa"/>
            <w:tcBorders>
              <w:top w:val="nil"/>
              <w:left w:val="nil"/>
              <w:bottom w:val="nil"/>
              <w:right w:val="nil"/>
            </w:tcBorders>
            <w:shd w:val="clear" w:color="000000" w:fill="FFFFFF"/>
            <w:noWrap/>
            <w:vAlign w:val="bottom"/>
            <w:hideMark/>
          </w:tcPr>
          <w:p w14:paraId="37CDA5CC"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Fiduciary net position</w:t>
            </w:r>
          </w:p>
        </w:tc>
        <w:tc>
          <w:tcPr>
            <w:tcW w:w="1041" w:type="dxa"/>
            <w:gridSpan w:val="2"/>
            <w:tcBorders>
              <w:top w:val="nil"/>
              <w:left w:val="nil"/>
              <w:bottom w:val="nil"/>
              <w:right w:val="nil"/>
            </w:tcBorders>
            <w:shd w:val="clear" w:color="000000" w:fill="FFFFFF"/>
            <w:vAlign w:val="bottom"/>
            <w:hideMark/>
          </w:tcPr>
          <w:p w14:paraId="675E6796"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20,392</w:t>
            </w:r>
          </w:p>
        </w:tc>
        <w:tc>
          <w:tcPr>
            <w:tcW w:w="1242" w:type="dxa"/>
            <w:tcBorders>
              <w:top w:val="nil"/>
              <w:left w:val="nil"/>
              <w:bottom w:val="nil"/>
              <w:right w:val="nil"/>
            </w:tcBorders>
            <w:shd w:val="clear" w:color="000000" w:fill="FFFFFF"/>
            <w:vAlign w:val="bottom"/>
            <w:hideMark/>
          </w:tcPr>
          <w:p w14:paraId="2BB8D596"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20,392</w:t>
            </w:r>
          </w:p>
        </w:tc>
        <w:tc>
          <w:tcPr>
            <w:tcW w:w="1146" w:type="dxa"/>
            <w:gridSpan w:val="2"/>
            <w:tcBorders>
              <w:top w:val="nil"/>
              <w:left w:val="nil"/>
              <w:bottom w:val="nil"/>
              <w:right w:val="nil"/>
            </w:tcBorders>
            <w:shd w:val="clear" w:color="000000" w:fill="FFFFFF"/>
            <w:vAlign w:val="bottom"/>
            <w:hideMark/>
          </w:tcPr>
          <w:p w14:paraId="6CE6AB23"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20,392</w:t>
            </w:r>
          </w:p>
        </w:tc>
        <w:tc>
          <w:tcPr>
            <w:tcW w:w="1146" w:type="dxa"/>
            <w:gridSpan w:val="3"/>
            <w:tcBorders>
              <w:top w:val="nil"/>
              <w:left w:val="nil"/>
              <w:bottom w:val="nil"/>
              <w:right w:val="nil"/>
            </w:tcBorders>
            <w:shd w:val="clear" w:color="auto" w:fill="D9D9D9" w:themeFill="background1" w:themeFillShade="D9"/>
            <w:vAlign w:val="bottom"/>
            <w:hideMark/>
          </w:tcPr>
          <w:p w14:paraId="68406123" w14:textId="77777777" w:rsidR="00721CFD" w:rsidRPr="006539B7" w:rsidRDefault="00721CFD" w:rsidP="007B5BB3">
            <w:pPr>
              <w:jc w:val="right"/>
              <w:rPr>
                <w:rFonts w:ascii="Calibri" w:eastAsia="Times New Roman" w:hAnsi="Calibri" w:cs="Calibri"/>
                <w:color w:val="0D0D0D"/>
              </w:rPr>
            </w:pPr>
            <w:r>
              <w:rPr>
                <w:rFonts w:ascii="Calibri" w:eastAsia="Times New Roman" w:hAnsi="Calibri" w:cs="Calibri"/>
                <w:color w:val="0D0D0D"/>
              </w:rPr>
              <w:t>25,291</w:t>
            </w:r>
          </w:p>
        </w:tc>
        <w:tc>
          <w:tcPr>
            <w:tcW w:w="1242" w:type="dxa"/>
            <w:tcBorders>
              <w:top w:val="nil"/>
              <w:left w:val="nil"/>
              <w:bottom w:val="nil"/>
              <w:right w:val="nil"/>
            </w:tcBorders>
            <w:shd w:val="clear" w:color="auto" w:fill="D9D9D9" w:themeFill="background1" w:themeFillShade="D9"/>
            <w:vAlign w:val="bottom"/>
            <w:hideMark/>
          </w:tcPr>
          <w:p w14:paraId="08DB6CA3" w14:textId="77777777" w:rsidR="00721CFD" w:rsidRPr="006539B7" w:rsidRDefault="00721CFD" w:rsidP="007B5BB3">
            <w:pPr>
              <w:jc w:val="right"/>
              <w:rPr>
                <w:rFonts w:ascii="Calibri" w:eastAsia="Times New Roman" w:hAnsi="Calibri" w:cs="Calibri"/>
                <w:color w:val="0D0D0D"/>
              </w:rPr>
            </w:pPr>
            <w:r>
              <w:rPr>
                <w:rFonts w:ascii="Calibri" w:eastAsia="Times New Roman" w:hAnsi="Calibri" w:cs="Calibri"/>
                <w:color w:val="0D0D0D"/>
              </w:rPr>
              <w:t>25,291</w:t>
            </w:r>
          </w:p>
        </w:tc>
        <w:tc>
          <w:tcPr>
            <w:tcW w:w="1146" w:type="dxa"/>
            <w:gridSpan w:val="2"/>
            <w:tcBorders>
              <w:top w:val="nil"/>
              <w:left w:val="nil"/>
              <w:bottom w:val="nil"/>
              <w:right w:val="nil"/>
            </w:tcBorders>
            <w:shd w:val="clear" w:color="auto" w:fill="D9D9D9" w:themeFill="background1" w:themeFillShade="D9"/>
            <w:vAlign w:val="bottom"/>
            <w:hideMark/>
          </w:tcPr>
          <w:p w14:paraId="64E3526C" w14:textId="77777777" w:rsidR="00721CFD" w:rsidRPr="006539B7" w:rsidRDefault="00721CFD" w:rsidP="007B5BB3">
            <w:pPr>
              <w:jc w:val="right"/>
              <w:rPr>
                <w:rFonts w:ascii="Calibri" w:eastAsia="Times New Roman" w:hAnsi="Calibri" w:cs="Calibri"/>
                <w:color w:val="0D0D0D"/>
              </w:rPr>
            </w:pPr>
            <w:r>
              <w:rPr>
                <w:rFonts w:ascii="Calibri" w:eastAsia="Times New Roman" w:hAnsi="Calibri" w:cs="Calibri"/>
                <w:color w:val="0D0D0D"/>
              </w:rPr>
              <w:t>25,291</w:t>
            </w:r>
          </w:p>
        </w:tc>
      </w:tr>
      <w:tr w:rsidR="00721CFD" w:rsidRPr="006539B7" w14:paraId="13E603BA" w14:textId="77777777" w:rsidTr="000D58D0">
        <w:trPr>
          <w:cantSplit/>
          <w:trHeight w:val="244"/>
          <w:jc w:val="center"/>
        </w:trPr>
        <w:tc>
          <w:tcPr>
            <w:tcW w:w="2292" w:type="dxa"/>
            <w:tcBorders>
              <w:top w:val="single" w:sz="12" w:space="0" w:color="00688D"/>
              <w:left w:val="nil"/>
              <w:bottom w:val="single" w:sz="8" w:space="0" w:color="00688D"/>
              <w:right w:val="nil"/>
            </w:tcBorders>
            <w:shd w:val="clear" w:color="000000" w:fill="FFFFFF"/>
            <w:noWrap/>
            <w:vAlign w:val="bottom"/>
            <w:hideMark/>
          </w:tcPr>
          <w:p w14:paraId="012755D4" w14:textId="77777777" w:rsidR="00721CFD" w:rsidRPr="006539B7" w:rsidRDefault="00721CFD" w:rsidP="007B5BB3">
            <w:pPr>
              <w:rPr>
                <w:rFonts w:ascii="Calibri" w:eastAsia="Times New Roman" w:hAnsi="Calibri" w:cs="Calibri"/>
                <w:color w:val="0D0D0D"/>
              </w:rPr>
            </w:pPr>
            <w:r w:rsidRPr="006539B7">
              <w:rPr>
                <w:rFonts w:ascii="Calibri" w:eastAsia="Times New Roman" w:hAnsi="Calibri" w:cs="Calibri"/>
                <w:color w:val="0D0D0D"/>
              </w:rPr>
              <w:t>Net pension liability</w:t>
            </w:r>
          </w:p>
        </w:tc>
        <w:tc>
          <w:tcPr>
            <w:tcW w:w="1041" w:type="dxa"/>
            <w:gridSpan w:val="2"/>
            <w:tcBorders>
              <w:top w:val="single" w:sz="12" w:space="0" w:color="00688D"/>
              <w:left w:val="nil"/>
              <w:bottom w:val="single" w:sz="8" w:space="0" w:color="00688D"/>
              <w:right w:val="nil"/>
            </w:tcBorders>
            <w:shd w:val="clear" w:color="000000" w:fill="FFFFFF"/>
            <w:noWrap/>
            <w:vAlign w:val="bottom"/>
            <w:hideMark/>
          </w:tcPr>
          <w:p w14:paraId="5D146747" w14:textId="0601A722"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$ 13,810</w:t>
            </w:r>
          </w:p>
        </w:tc>
        <w:tc>
          <w:tcPr>
            <w:tcW w:w="1242" w:type="dxa"/>
            <w:tcBorders>
              <w:top w:val="single" w:sz="12" w:space="0" w:color="00688D"/>
              <w:left w:val="nil"/>
              <w:bottom w:val="single" w:sz="8" w:space="0" w:color="00688D"/>
              <w:right w:val="nil"/>
            </w:tcBorders>
            <w:shd w:val="clear" w:color="000000" w:fill="FFFFFF"/>
            <w:noWrap/>
            <w:vAlign w:val="bottom"/>
            <w:hideMark/>
          </w:tcPr>
          <w:p w14:paraId="72CAF0A6" w14:textId="085B5BEB"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$ 11,652</w:t>
            </w:r>
          </w:p>
        </w:tc>
        <w:tc>
          <w:tcPr>
            <w:tcW w:w="1146" w:type="dxa"/>
            <w:gridSpan w:val="2"/>
            <w:tcBorders>
              <w:top w:val="single" w:sz="12" w:space="0" w:color="00688D"/>
              <w:left w:val="nil"/>
              <w:bottom w:val="single" w:sz="8" w:space="0" w:color="00688D"/>
              <w:right w:val="nil"/>
            </w:tcBorders>
            <w:shd w:val="clear" w:color="000000" w:fill="FFFFFF"/>
            <w:noWrap/>
            <w:vAlign w:val="bottom"/>
            <w:hideMark/>
          </w:tcPr>
          <w:p w14:paraId="6E7EFE26" w14:textId="05B1447F"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9,742</w:t>
            </w:r>
          </w:p>
        </w:tc>
        <w:tc>
          <w:tcPr>
            <w:tcW w:w="1146" w:type="dxa"/>
            <w:gridSpan w:val="3"/>
            <w:tcBorders>
              <w:top w:val="single" w:sz="12" w:space="0" w:color="00688D"/>
              <w:left w:val="nil"/>
              <w:bottom w:val="single" w:sz="8" w:space="0" w:color="00688D"/>
              <w:right w:val="nil"/>
            </w:tcBorders>
            <w:shd w:val="clear" w:color="auto" w:fill="D9D9D9" w:themeFill="background1" w:themeFillShade="D9"/>
            <w:noWrap/>
            <w:vAlign w:val="bottom"/>
            <w:hideMark/>
          </w:tcPr>
          <w:p w14:paraId="18E8DCBC" w14:textId="5D481BA1" w:rsidR="00721CFD" w:rsidRPr="006539B7" w:rsidRDefault="00721CFD" w:rsidP="007B5BB3">
            <w:pPr>
              <w:jc w:val="right"/>
              <w:rPr>
                <w:rFonts w:ascii="Calibri" w:eastAsia="Times New Roman" w:hAnsi="Calibri" w:cs="Calibri"/>
                <w:color w:val="0D0D0D"/>
              </w:rPr>
            </w:pPr>
            <w:r w:rsidRPr="006539B7">
              <w:rPr>
                <w:rFonts w:ascii="Calibri" w:eastAsia="Times New Roman" w:hAnsi="Calibri" w:cs="Calibri"/>
                <w:color w:val="0D0D0D"/>
              </w:rPr>
              <w:t xml:space="preserve">$ </w:t>
            </w:r>
            <w:r>
              <w:rPr>
                <w:rFonts w:ascii="Calibri" w:eastAsia="Times New Roman" w:hAnsi="Calibri" w:cs="Calibri"/>
                <w:color w:val="0D0D0D"/>
              </w:rPr>
              <w:t>10,903</w:t>
            </w:r>
          </w:p>
        </w:tc>
        <w:tc>
          <w:tcPr>
            <w:tcW w:w="1242"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3868E58C" w14:textId="45799A2A" w:rsidR="00721CFD" w:rsidRPr="006539B7" w:rsidRDefault="00721CFD" w:rsidP="007B5BB3">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 xml:space="preserve">  8,549</w:t>
            </w:r>
          </w:p>
        </w:tc>
        <w:tc>
          <w:tcPr>
            <w:tcW w:w="1146" w:type="dxa"/>
            <w:gridSpan w:val="2"/>
            <w:tcBorders>
              <w:top w:val="single" w:sz="12" w:space="0" w:color="00688D"/>
              <w:left w:val="nil"/>
              <w:bottom w:val="single" w:sz="8" w:space="0" w:color="00688D"/>
              <w:right w:val="nil"/>
            </w:tcBorders>
            <w:shd w:val="clear" w:color="auto" w:fill="D9D9D9" w:themeFill="background1" w:themeFillShade="D9"/>
            <w:noWrap/>
            <w:vAlign w:val="bottom"/>
            <w:hideMark/>
          </w:tcPr>
          <w:p w14:paraId="2B3B101D" w14:textId="46A2FC74" w:rsidR="00721CFD" w:rsidRPr="006539B7" w:rsidRDefault="00721CFD" w:rsidP="007B5BB3">
            <w:pPr>
              <w:jc w:val="right"/>
              <w:rPr>
                <w:rFonts w:ascii="Calibri" w:eastAsia="Times New Roman" w:hAnsi="Calibri" w:cs="Calibri"/>
                <w:color w:val="0D0D0D"/>
              </w:rPr>
            </w:pPr>
            <w:r w:rsidRPr="006539B7">
              <w:rPr>
                <w:rFonts w:ascii="Calibri" w:eastAsia="Times New Roman" w:hAnsi="Calibri" w:cs="Calibri"/>
                <w:color w:val="0D0D0D"/>
              </w:rPr>
              <w:t>$</w:t>
            </w:r>
            <w:r>
              <w:rPr>
                <w:rFonts w:ascii="Calibri" w:eastAsia="Times New Roman" w:hAnsi="Calibri" w:cs="Calibri"/>
                <w:color w:val="0D0D0D"/>
              </w:rPr>
              <w:t xml:space="preserve">  </w:t>
            </w:r>
            <w:r w:rsidRPr="006539B7">
              <w:rPr>
                <w:rFonts w:ascii="Calibri" w:eastAsia="Times New Roman" w:hAnsi="Calibri" w:cs="Calibri"/>
                <w:color w:val="0D0D0D"/>
              </w:rPr>
              <w:t xml:space="preserve"> </w:t>
            </w:r>
            <w:r>
              <w:rPr>
                <w:rFonts w:ascii="Calibri" w:eastAsia="Times New Roman" w:hAnsi="Calibri" w:cs="Calibri"/>
                <w:color w:val="0D0D0D"/>
              </w:rPr>
              <w:t>6,471</w:t>
            </w:r>
          </w:p>
        </w:tc>
      </w:tr>
    </w:tbl>
    <w:p w14:paraId="43C4D367" w14:textId="77777777" w:rsidR="009D1777" w:rsidRDefault="009D1777">
      <w:pPr>
        <w:spacing w:after="160" w:line="259" w:lineRule="auto"/>
        <w:rPr>
          <w:rFonts w:cstheme="minorHAnsi"/>
          <w:b/>
          <w:i/>
          <w:sz w:val="26"/>
          <w:u w:val="single" w:color="000000" w:themeColor="text1"/>
        </w:rPr>
      </w:pPr>
      <w:r>
        <w:rPr>
          <w:rFonts w:cstheme="minorHAnsi"/>
          <w:b/>
          <w:i/>
          <w:sz w:val="26"/>
          <w:u w:val="single" w:color="000000" w:themeColor="text1"/>
        </w:rPr>
        <w:br w:type="page"/>
      </w:r>
    </w:p>
    <w:p w14:paraId="1C3F1536" w14:textId="6B33F82D" w:rsidR="009D1777" w:rsidRPr="00F54559" w:rsidRDefault="009D1777" w:rsidP="009D1777">
      <w:pPr>
        <w:spacing w:before="240" w:after="120" w:line="259" w:lineRule="auto"/>
        <w:rPr>
          <w:rFonts w:cstheme="minorHAnsi"/>
          <w:b/>
          <w:i/>
          <w:sz w:val="26"/>
          <w:u w:val="single" w:color="000000" w:themeColor="text1"/>
        </w:rPr>
      </w:pPr>
      <w:r w:rsidRPr="00F54559">
        <w:rPr>
          <w:rFonts w:cstheme="minorHAnsi"/>
          <w:b/>
          <w:i/>
          <w:sz w:val="26"/>
          <w:u w:val="single" w:color="000000" w:themeColor="text1"/>
        </w:rPr>
        <w:lastRenderedPageBreak/>
        <w:t>13d. Defined Benefit Plan – Classified Employees - continued</w:t>
      </w:r>
      <w:r w:rsidRPr="00F54559" w:rsidDel="00C6783E">
        <w:rPr>
          <w:rFonts w:cstheme="minorHAnsi"/>
          <w:b/>
          <w:i/>
          <w:sz w:val="26"/>
          <w:u w:val="single" w:color="000000" w:themeColor="text1"/>
        </w:rPr>
        <w:t xml:space="preserve"> </w:t>
      </w:r>
    </w:p>
    <w:p w14:paraId="7A29AC37" w14:textId="77777777" w:rsidR="00721CFD" w:rsidRDefault="00721CFD" w:rsidP="00721CFD">
      <w:pPr>
        <w:widowControl w:val="0"/>
        <w:spacing w:before="240" w:after="240"/>
        <w:rPr>
          <w:rFonts w:cstheme="minorHAnsi"/>
        </w:rPr>
      </w:pPr>
      <w:r w:rsidRPr="00F54559">
        <w:rPr>
          <w:rFonts w:eastAsia="Franklin Gothic Book" w:cstheme="minorHAnsi"/>
          <w:spacing w:val="1"/>
          <w:sz w:val="24"/>
        </w:rPr>
        <w:t>C</w:t>
      </w:r>
      <w:r w:rsidRPr="00F54559">
        <w:rPr>
          <w:rFonts w:eastAsia="Franklin Gothic Book" w:cstheme="minorHAnsi"/>
          <w:spacing w:val="2"/>
          <w:sz w:val="24"/>
        </w:rPr>
        <w:t>hang</w:t>
      </w:r>
      <w:r w:rsidRPr="00F54559">
        <w:rPr>
          <w:rFonts w:eastAsia="Franklin Gothic Book" w:cstheme="minorHAnsi"/>
          <w:spacing w:val="1"/>
          <w:sz w:val="24"/>
        </w:rPr>
        <w:t>e</w:t>
      </w:r>
      <w:r w:rsidRPr="00F54559">
        <w:rPr>
          <w:rFonts w:eastAsia="Franklin Gothic Book" w:cstheme="minorHAnsi"/>
          <w:sz w:val="24"/>
        </w:rPr>
        <w:t>s</w:t>
      </w:r>
      <w:r w:rsidRPr="00F54559">
        <w:rPr>
          <w:rFonts w:eastAsia="Franklin Gothic Book" w:cstheme="minorHAnsi"/>
          <w:spacing w:val="1"/>
          <w:sz w:val="24"/>
        </w:rPr>
        <w:t xml:space="preserve"> </w:t>
      </w:r>
      <w:r w:rsidRPr="00F54559">
        <w:rPr>
          <w:rFonts w:eastAsia="Franklin Gothic Book" w:cstheme="minorHAnsi"/>
          <w:spacing w:val="2"/>
          <w:sz w:val="24"/>
        </w:rPr>
        <w:t>i</w:t>
      </w:r>
      <w:r w:rsidRPr="00F54559">
        <w:rPr>
          <w:rFonts w:eastAsia="Franklin Gothic Book" w:cstheme="minorHAnsi"/>
          <w:sz w:val="24"/>
        </w:rPr>
        <w:t>n</w:t>
      </w:r>
      <w:r w:rsidRPr="00F54559">
        <w:rPr>
          <w:rFonts w:eastAsia="Franklin Gothic Book" w:cstheme="minorHAnsi"/>
          <w:spacing w:val="-1"/>
          <w:sz w:val="24"/>
        </w:rPr>
        <w:t xml:space="preserve"> </w:t>
      </w:r>
      <w:r w:rsidRPr="00F54559">
        <w:rPr>
          <w:rFonts w:eastAsia="Franklin Gothic Book" w:cstheme="minorHAnsi"/>
          <w:spacing w:val="3"/>
          <w:sz w:val="24"/>
        </w:rPr>
        <w:t>N</w:t>
      </w:r>
      <w:r w:rsidRPr="00F54559">
        <w:rPr>
          <w:rFonts w:eastAsia="Franklin Gothic Book" w:cstheme="minorHAnsi"/>
          <w:spacing w:val="1"/>
          <w:sz w:val="24"/>
        </w:rPr>
        <w:t>e</w:t>
      </w:r>
      <w:r w:rsidRPr="00F54559">
        <w:rPr>
          <w:rFonts w:eastAsia="Franklin Gothic Book" w:cstheme="minorHAnsi"/>
          <w:sz w:val="24"/>
        </w:rPr>
        <w:t xml:space="preserve">t </w:t>
      </w:r>
      <w:r w:rsidRPr="00F54559">
        <w:rPr>
          <w:rFonts w:eastAsia="Franklin Gothic Book" w:cstheme="minorHAnsi"/>
          <w:spacing w:val="1"/>
          <w:sz w:val="24"/>
        </w:rPr>
        <w:t>Pe</w:t>
      </w:r>
      <w:r w:rsidRPr="00F54559">
        <w:rPr>
          <w:rFonts w:eastAsia="Franklin Gothic Book" w:cstheme="minorHAnsi"/>
          <w:spacing w:val="2"/>
          <w:sz w:val="24"/>
        </w:rPr>
        <w:t>n</w:t>
      </w:r>
      <w:r w:rsidRPr="00F54559">
        <w:rPr>
          <w:rFonts w:eastAsia="Franklin Gothic Book" w:cstheme="minorHAnsi"/>
          <w:spacing w:val="3"/>
          <w:sz w:val="24"/>
        </w:rPr>
        <w:t>s</w:t>
      </w:r>
      <w:r w:rsidRPr="00F54559">
        <w:rPr>
          <w:rFonts w:eastAsia="Franklin Gothic Book" w:cstheme="minorHAnsi"/>
          <w:spacing w:val="2"/>
          <w:sz w:val="24"/>
        </w:rPr>
        <w:t>i</w:t>
      </w:r>
      <w:r w:rsidRPr="00F54559">
        <w:rPr>
          <w:rFonts w:eastAsia="Franklin Gothic Book" w:cstheme="minorHAnsi"/>
          <w:spacing w:val="1"/>
          <w:sz w:val="24"/>
        </w:rPr>
        <w:t>o</w:t>
      </w:r>
      <w:r w:rsidRPr="00F54559">
        <w:rPr>
          <w:rFonts w:eastAsia="Franklin Gothic Book" w:cstheme="minorHAnsi"/>
          <w:sz w:val="24"/>
        </w:rPr>
        <w:t xml:space="preserve">n Liability for the </w:t>
      </w:r>
      <w:r w:rsidRPr="00F54559">
        <w:rPr>
          <w:rFonts w:eastAsia="Franklin Gothic Book" w:cstheme="minorHAnsi"/>
          <w:b/>
          <w:sz w:val="24"/>
        </w:rPr>
        <w:t>Defined Benefit Pension Plan</w:t>
      </w:r>
      <w:r w:rsidRPr="00F54559">
        <w:rPr>
          <w:rFonts w:eastAsia="Franklin Gothic Book" w:cstheme="minorHAnsi"/>
          <w:sz w:val="24"/>
        </w:rPr>
        <w:t>:</w:t>
      </w:r>
      <w:r>
        <w:rPr>
          <w:rFonts w:cstheme="minorHAnsi"/>
        </w:rPr>
        <w:fldChar w:fldCharType="begin"/>
      </w:r>
      <w:r>
        <w:rPr>
          <w:rFonts w:cstheme="minorHAnsi"/>
        </w:rPr>
        <w:fldChar w:fldCharType="end"/>
      </w:r>
    </w:p>
    <w:tbl>
      <w:tblPr>
        <w:tblW w:w="9090" w:type="dxa"/>
        <w:jc w:val="center"/>
        <w:tblLayout w:type="fixed"/>
        <w:tblLook w:val="04A0" w:firstRow="1" w:lastRow="0" w:firstColumn="1" w:lastColumn="0" w:noHBand="0" w:noVBand="1"/>
      </w:tblPr>
      <w:tblGrid>
        <w:gridCol w:w="6123"/>
        <w:gridCol w:w="1437"/>
        <w:gridCol w:w="1530"/>
      </w:tblGrid>
      <w:tr w:rsidR="00721CFD" w:rsidRPr="00875AA0" w14:paraId="35C1C616" w14:textId="77777777" w:rsidTr="007B5BB3">
        <w:trPr>
          <w:trHeight w:val="324"/>
          <w:tblHeader/>
          <w:jc w:val="center"/>
        </w:trPr>
        <w:tc>
          <w:tcPr>
            <w:tcW w:w="6123" w:type="dxa"/>
            <w:tcBorders>
              <w:top w:val="nil"/>
              <w:left w:val="nil"/>
              <w:bottom w:val="single" w:sz="12" w:space="0" w:color="00688D"/>
              <w:right w:val="nil"/>
            </w:tcBorders>
            <w:shd w:val="clear" w:color="000000" w:fill="FFFFFF"/>
            <w:vAlign w:val="bottom"/>
            <w:hideMark/>
          </w:tcPr>
          <w:p w14:paraId="2BC0BC48" w14:textId="77777777" w:rsidR="00721CFD" w:rsidRPr="00875AA0" w:rsidRDefault="00721CFD" w:rsidP="007B5BB3">
            <w:pPr>
              <w:rPr>
                <w:rFonts w:ascii="Calibri" w:eastAsia="Times New Roman" w:hAnsi="Calibri" w:cs="Calibri"/>
                <w:b/>
                <w:bCs/>
                <w:color w:val="0D0D0D"/>
              </w:rPr>
            </w:pPr>
            <w:r w:rsidRPr="00875AA0">
              <w:rPr>
                <w:rFonts w:ascii="Calibri" w:eastAsia="Times New Roman" w:hAnsi="Calibri" w:cs="Calibri"/>
                <w:b/>
                <w:bCs/>
                <w:color w:val="0D0D0D"/>
              </w:rPr>
              <w:t>Fiscal Year Ended June 30</w:t>
            </w:r>
          </w:p>
        </w:tc>
        <w:tc>
          <w:tcPr>
            <w:tcW w:w="1437" w:type="dxa"/>
            <w:tcBorders>
              <w:top w:val="nil"/>
              <w:left w:val="nil"/>
              <w:bottom w:val="single" w:sz="12" w:space="0" w:color="00688D"/>
              <w:right w:val="nil"/>
            </w:tcBorders>
            <w:shd w:val="clear" w:color="000000" w:fill="FFFFFF"/>
            <w:noWrap/>
            <w:vAlign w:val="bottom"/>
            <w:hideMark/>
          </w:tcPr>
          <w:p w14:paraId="1C03EB34" w14:textId="77777777" w:rsidR="00721CFD" w:rsidRPr="00875AA0" w:rsidRDefault="00721CFD" w:rsidP="007B5BB3">
            <w:pPr>
              <w:jc w:val="center"/>
              <w:rPr>
                <w:rFonts w:ascii="Calibri" w:eastAsia="Times New Roman" w:hAnsi="Calibri" w:cs="Calibri"/>
                <w:b/>
                <w:bCs/>
                <w:color w:val="0D0D0D"/>
              </w:rPr>
            </w:pPr>
            <w:r w:rsidRPr="00875AA0">
              <w:rPr>
                <w:rFonts w:ascii="Calibri" w:eastAsia="Times New Roman" w:hAnsi="Calibri" w:cs="Calibri"/>
                <w:b/>
                <w:bCs/>
                <w:color w:val="0D0D0D"/>
              </w:rPr>
              <w:t>202</w:t>
            </w:r>
            <w:r>
              <w:rPr>
                <w:rFonts w:ascii="Calibri" w:eastAsia="Times New Roman" w:hAnsi="Calibri" w:cs="Calibri"/>
                <w:b/>
                <w:bCs/>
                <w:color w:val="0D0D0D"/>
              </w:rPr>
              <w:t>2</w:t>
            </w:r>
          </w:p>
        </w:tc>
        <w:tc>
          <w:tcPr>
            <w:tcW w:w="1530" w:type="dxa"/>
            <w:tcBorders>
              <w:top w:val="nil"/>
              <w:left w:val="nil"/>
              <w:bottom w:val="single" w:sz="12" w:space="0" w:color="00688D"/>
              <w:right w:val="nil"/>
            </w:tcBorders>
            <w:shd w:val="clear" w:color="auto" w:fill="D9D9D9" w:themeFill="background1" w:themeFillShade="D9"/>
            <w:noWrap/>
            <w:vAlign w:val="bottom"/>
          </w:tcPr>
          <w:p w14:paraId="5D62E395" w14:textId="77777777" w:rsidR="00721CFD" w:rsidRPr="00875AA0" w:rsidRDefault="00721CFD" w:rsidP="007B5BB3">
            <w:pPr>
              <w:jc w:val="center"/>
              <w:rPr>
                <w:rFonts w:ascii="Calibri" w:eastAsia="Times New Roman" w:hAnsi="Calibri" w:cs="Calibri"/>
                <w:b/>
                <w:bCs/>
                <w:color w:val="0D0D0D"/>
              </w:rPr>
            </w:pPr>
            <w:r>
              <w:rPr>
                <w:rFonts w:ascii="Calibri" w:eastAsia="Times New Roman" w:hAnsi="Calibri" w:cs="Calibri"/>
                <w:b/>
                <w:bCs/>
                <w:color w:val="0D0D0D"/>
              </w:rPr>
              <w:t>2021</w:t>
            </w:r>
          </w:p>
        </w:tc>
      </w:tr>
      <w:tr w:rsidR="00721CFD" w:rsidRPr="00875AA0" w14:paraId="397F9E43" w14:textId="77777777" w:rsidTr="007B5BB3">
        <w:trPr>
          <w:trHeight w:val="123"/>
          <w:jc w:val="center"/>
        </w:trPr>
        <w:tc>
          <w:tcPr>
            <w:tcW w:w="6123" w:type="dxa"/>
            <w:tcBorders>
              <w:top w:val="nil"/>
              <w:left w:val="nil"/>
              <w:bottom w:val="nil"/>
              <w:right w:val="nil"/>
            </w:tcBorders>
            <w:shd w:val="clear" w:color="000000" w:fill="FFFFFF"/>
            <w:vAlign w:val="bottom"/>
            <w:hideMark/>
          </w:tcPr>
          <w:p w14:paraId="65D9169A" w14:textId="77777777" w:rsidR="00721CFD" w:rsidRPr="00875AA0" w:rsidRDefault="00721CFD" w:rsidP="007B5BB3">
            <w:pPr>
              <w:spacing w:before="120"/>
              <w:rPr>
                <w:rFonts w:ascii="Calibri" w:eastAsia="Times New Roman" w:hAnsi="Calibri" w:cs="Calibri"/>
                <w:color w:val="0D0D0D"/>
              </w:rPr>
            </w:pPr>
            <w:r w:rsidRPr="00875AA0">
              <w:rPr>
                <w:rFonts w:ascii="Calibri" w:eastAsia="Times New Roman" w:hAnsi="Calibri" w:cs="Calibri"/>
                <w:color w:val="0D0D0D"/>
              </w:rPr>
              <w:t xml:space="preserve">Total pension liability – beginning </w:t>
            </w:r>
          </w:p>
        </w:tc>
        <w:tc>
          <w:tcPr>
            <w:tcW w:w="1437" w:type="dxa"/>
            <w:tcBorders>
              <w:top w:val="nil"/>
              <w:left w:val="nil"/>
              <w:bottom w:val="nil"/>
              <w:right w:val="nil"/>
            </w:tcBorders>
            <w:shd w:val="clear" w:color="000000" w:fill="FFFFFF"/>
            <w:noWrap/>
            <w:vAlign w:val="bottom"/>
            <w:hideMark/>
          </w:tcPr>
          <w:p w14:paraId="5444FF44" w14:textId="77777777" w:rsidR="00721CFD" w:rsidRPr="00A93FB3" w:rsidRDefault="00721CFD" w:rsidP="007B5BB3">
            <w:pPr>
              <w:spacing w:before="120"/>
              <w:ind w:firstLineChars="100" w:firstLine="220"/>
              <w:jc w:val="right"/>
              <w:rPr>
                <w:rFonts w:ascii="Calibri" w:eastAsia="Times New Roman" w:hAnsi="Calibri" w:cs="Calibri"/>
              </w:rPr>
            </w:pPr>
            <w:r w:rsidRPr="00A93FB3">
              <w:rPr>
                <w:rFonts w:ascii="Calibri" w:eastAsia="Times New Roman" w:hAnsi="Calibri" w:cs="Calibri"/>
              </w:rPr>
              <w:t>$    33,840</w:t>
            </w:r>
          </w:p>
        </w:tc>
        <w:tc>
          <w:tcPr>
            <w:tcW w:w="1530" w:type="dxa"/>
            <w:tcBorders>
              <w:top w:val="nil"/>
              <w:left w:val="nil"/>
              <w:bottom w:val="nil"/>
              <w:right w:val="nil"/>
            </w:tcBorders>
            <w:shd w:val="clear" w:color="auto" w:fill="D9D9D9" w:themeFill="background1" w:themeFillShade="D9"/>
            <w:noWrap/>
            <w:vAlign w:val="bottom"/>
          </w:tcPr>
          <w:p w14:paraId="7601AE10" w14:textId="77777777" w:rsidR="00721CFD" w:rsidRPr="00875AA0" w:rsidRDefault="00721CFD" w:rsidP="007B5BB3">
            <w:pPr>
              <w:spacing w:before="120"/>
              <w:jc w:val="right"/>
              <w:rPr>
                <w:rFonts w:ascii="Calibri" w:eastAsia="Times New Roman" w:hAnsi="Calibri" w:cs="Calibri"/>
                <w:color w:val="0D0D0D"/>
              </w:rPr>
            </w:pPr>
            <w:r w:rsidRPr="00875AA0">
              <w:rPr>
                <w:rFonts w:ascii="Calibri" w:eastAsia="Times New Roman" w:hAnsi="Calibri" w:cs="Calibri"/>
                <w:color w:val="0D0D0D"/>
              </w:rPr>
              <w:t xml:space="preserve">$    </w:t>
            </w:r>
            <w:r>
              <w:rPr>
                <w:rFonts w:ascii="Calibri" w:eastAsia="Times New Roman" w:hAnsi="Calibri" w:cs="Calibri"/>
                <w:color w:val="0D0D0D"/>
              </w:rPr>
              <w:t>36,318</w:t>
            </w:r>
          </w:p>
        </w:tc>
      </w:tr>
      <w:tr w:rsidR="00721CFD" w:rsidRPr="00875AA0" w14:paraId="15EDD73D" w14:textId="77777777" w:rsidTr="007B5BB3">
        <w:trPr>
          <w:trHeight w:val="99"/>
          <w:jc w:val="center"/>
        </w:trPr>
        <w:tc>
          <w:tcPr>
            <w:tcW w:w="6123" w:type="dxa"/>
            <w:tcBorders>
              <w:top w:val="nil"/>
              <w:left w:val="nil"/>
              <w:bottom w:val="nil"/>
              <w:right w:val="nil"/>
            </w:tcBorders>
            <w:shd w:val="clear" w:color="000000" w:fill="FFFFFF"/>
            <w:vAlign w:val="bottom"/>
            <w:hideMark/>
          </w:tcPr>
          <w:p w14:paraId="6FE75351" w14:textId="77777777" w:rsidR="00721CFD" w:rsidRPr="00875AA0" w:rsidRDefault="00721CFD" w:rsidP="007B5BB3">
            <w:pPr>
              <w:rPr>
                <w:rFonts w:ascii="Calibri" w:eastAsia="Times New Roman" w:hAnsi="Calibri" w:cs="Calibri"/>
                <w:color w:val="0D0D0D"/>
              </w:rPr>
            </w:pPr>
            <w:r w:rsidRPr="00875AA0">
              <w:rPr>
                <w:rFonts w:ascii="Calibri" w:eastAsia="Times New Roman" w:hAnsi="Calibri" w:cs="Calibri"/>
                <w:color w:val="0D0D0D"/>
              </w:rPr>
              <w:t>Changes for the year:</w:t>
            </w:r>
          </w:p>
        </w:tc>
        <w:tc>
          <w:tcPr>
            <w:tcW w:w="1437" w:type="dxa"/>
            <w:tcBorders>
              <w:top w:val="nil"/>
              <w:left w:val="nil"/>
              <w:bottom w:val="nil"/>
              <w:right w:val="nil"/>
            </w:tcBorders>
            <w:shd w:val="clear" w:color="000000" w:fill="FFFFFF"/>
            <w:noWrap/>
            <w:vAlign w:val="bottom"/>
            <w:hideMark/>
          </w:tcPr>
          <w:p w14:paraId="1874489C"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 </w:t>
            </w:r>
          </w:p>
        </w:tc>
        <w:tc>
          <w:tcPr>
            <w:tcW w:w="1530" w:type="dxa"/>
            <w:tcBorders>
              <w:top w:val="nil"/>
              <w:left w:val="nil"/>
              <w:bottom w:val="nil"/>
              <w:right w:val="nil"/>
            </w:tcBorders>
            <w:shd w:val="clear" w:color="auto" w:fill="D9D9D9" w:themeFill="background1" w:themeFillShade="D9"/>
            <w:noWrap/>
            <w:vAlign w:val="bottom"/>
          </w:tcPr>
          <w:p w14:paraId="401237A7" w14:textId="77777777" w:rsidR="00721CFD" w:rsidRPr="00875AA0" w:rsidRDefault="00721CFD" w:rsidP="007B5BB3">
            <w:pPr>
              <w:jc w:val="right"/>
              <w:rPr>
                <w:rFonts w:ascii="Calibri" w:eastAsia="Times New Roman" w:hAnsi="Calibri" w:cs="Calibri"/>
                <w:color w:val="0D0D0D"/>
              </w:rPr>
            </w:pPr>
            <w:r w:rsidRPr="00875AA0">
              <w:rPr>
                <w:rFonts w:ascii="Calibri" w:eastAsia="Times New Roman" w:hAnsi="Calibri" w:cs="Calibri"/>
                <w:color w:val="0D0D0D"/>
              </w:rPr>
              <w:t> </w:t>
            </w:r>
          </w:p>
        </w:tc>
      </w:tr>
      <w:tr w:rsidR="00721CFD" w:rsidRPr="00875AA0" w14:paraId="2245DDE0" w14:textId="77777777" w:rsidTr="007B5BB3">
        <w:trPr>
          <w:trHeight w:val="99"/>
          <w:jc w:val="center"/>
        </w:trPr>
        <w:tc>
          <w:tcPr>
            <w:tcW w:w="6123" w:type="dxa"/>
            <w:tcBorders>
              <w:top w:val="nil"/>
              <w:left w:val="nil"/>
              <w:bottom w:val="nil"/>
              <w:right w:val="nil"/>
            </w:tcBorders>
            <w:shd w:val="clear" w:color="000000" w:fill="FFFFFF"/>
            <w:vAlign w:val="bottom"/>
            <w:hideMark/>
          </w:tcPr>
          <w:p w14:paraId="60670345" w14:textId="77777777" w:rsidR="00721CFD" w:rsidRPr="00875AA0" w:rsidRDefault="00721CFD" w:rsidP="007B5BB3">
            <w:pPr>
              <w:ind w:firstLineChars="200" w:firstLine="440"/>
              <w:rPr>
                <w:rFonts w:ascii="Calibri" w:eastAsia="Times New Roman" w:hAnsi="Calibri" w:cs="Calibri"/>
                <w:color w:val="0D0D0D"/>
              </w:rPr>
            </w:pPr>
            <w:r w:rsidRPr="00875AA0">
              <w:rPr>
                <w:rFonts w:ascii="Calibri" w:eastAsia="Times New Roman" w:hAnsi="Calibri" w:cs="Calibri"/>
                <w:color w:val="0D0D0D"/>
              </w:rPr>
              <w:t>Service cost</w:t>
            </w:r>
          </w:p>
        </w:tc>
        <w:tc>
          <w:tcPr>
            <w:tcW w:w="1437" w:type="dxa"/>
            <w:tcBorders>
              <w:top w:val="nil"/>
              <w:left w:val="nil"/>
              <w:bottom w:val="nil"/>
              <w:right w:val="nil"/>
            </w:tcBorders>
            <w:shd w:val="clear" w:color="000000" w:fill="FFFFFF"/>
            <w:noWrap/>
            <w:vAlign w:val="bottom"/>
            <w:hideMark/>
          </w:tcPr>
          <w:p w14:paraId="6AF54C2D"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1</w:t>
            </w:r>
          </w:p>
        </w:tc>
        <w:tc>
          <w:tcPr>
            <w:tcW w:w="1530" w:type="dxa"/>
            <w:tcBorders>
              <w:top w:val="nil"/>
              <w:left w:val="nil"/>
              <w:bottom w:val="nil"/>
              <w:right w:val="nil"/>
            </w:tcBorders>
            <w:shd w:val="clear" w:color="auto" w:fill="D9D9D9" w:themeFill="background1" w:themeFillShade="D9"/>
            <w:noWrap/>
            <w:vAlign w:val="bottom"/>
          </w:tcPr>
          <w:p w14:paraId="5F783994" w14:textId="77777777" w:rsidR="00721CFD" w:rsidRPr="00875AA0" w:rsidRDefault="00721CFD" w:rsidP="007B5BB3">
            <w:pPr>
              <w:jc w:val="right"/>
              <w:rPr>
                <w:rFonts w:ascii="Calibri" w:eastAsia="Times New Roman" w:hAnsi="Calibri" w:cs="Calibri"/>
                <w:color w:val="0D0D0D"/>
              </w:rPr>
            </w:pPr>
            <w:r w:rsidRPr="00875AA0">
              <w:rPr>
                <w:rFonts w:ascii="Calibri" w:eastAsia="Times New Roman" w:hAnsi="Calibri" w:cs="Calibri"/>
                <w:color w:val="0D0D0D"/>
              </w:rPr>
              <w:t>1</w:t>
            </w:r>
          </w:p>
        </w:tc>
      </w:tr>
      <w:tr w:rsidR="00721CFD" w:rsidRPr="00875AA0" w14:paraId="11FE0DF3" w14:textId="77777777" w:rsidTr="007B5BB3">
        <w:trPr>
          <w:trHeight w:val="60"/>
          <w:jc w:val="center"/>
        </w:trPr>
        <w:tc>
          <w:tcPr>
            <w:tcW w:w="6123" w:type="dxa"/>
            <w:tcBorders>
              <w:top w:val="nil"/>
              <w:left w:val="nil"/>
              <w:bottom w:val="nil"/>
              <w:right w:val="nil"/>
            </w:tcBorders>
            <w:shd w:val="clear" w:color="000000" w:fill="FFFFFF"/>
            <w:vAlign w:val="bottom"/>
            <w:hideMark/>
          </w:tcPr>
          <w:p w14:paraId="6D5D9E8F" w14:textId="77777777" w:rsidR="00721CFD" w:rsidRPr="00875AA0" w:rsidRDefault="00721CFD" w:rsidP="007B5BB3">
            <w:pPr>
              <w:ind w:firstLineChars="200" w:firstLine="440"/>
              <w:rPr>
                <w:rFonts w:ascii="Calibri" w:eastAsia="Times New Roman" w:hAnsi="Calibri" w:cs="Calibri"/>
                <w:color w:val="0D0D0D"/>
              </w:rPr>
            </w:pPr>
            <w:r w:rsidRPr="00875AA0">
              <w:rPr>
                <w:rFonts w:ascii="Calibri" w:eastAsia="Times New Roman" w:hAnsi="Calibri" w:cs="Calibri"/>
                <w:color w:val="0D0D0D"/>
              </w:rPr>
              <w:t>Interest</w:t>
            </w:r>
          </w:p>
        </w:tc>
        <w:tc>
          <w:tcPr>
            <w:tcW w:w="1437" w:type="dxa"/>
            <w:tcBorders>
              <w:top w:val="nil"/>
              <w:left w:val="nil"/>
              <w:bottom w:val="nil"/>
              <w:right w:val="nil"/>
            </w:tcBorders>
            <w:shd w:val="clear" w:color="000000" w:fill="FFFFFF"/>
            <w:noWrap/>
            <w:vAlign w:val="bottom"/>
            <w:hideMark/>
          </w:tcPr>
          <w:p w14:paraId="3B98B907"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1,996</w:t>
            </w:r>
          </w:p>
        </w:tc>
        <w:tc>
          <w:tcPr>
            <w:tcW w:w="1530" w:type="dxa"/>
            <w:tcBorders>
              <w:top w:val="nil"/>
              <w:left w:val="nil"/>
              <w:bottom w:val="nil"/>
              <w:right w:val="nil"/>
            </w:tcBorders>
            <w:shd w:val="clear" w:color="auto" w:fill="D9D9D9" w:themeFill="background1" w:themeFillShade="D9"/>
            <w:noWrap/>
            <w:vAlign w:val="bottom"/>
          </w:tcPr>
          <w:p w14:paraId="6CFF1CBA" w14:textId="77777777" w:rsidR="00721CFD" w:rsidRPr="00875AA0" w:rsidRDefault="00721CFD" w:rsidP="007B5BB3">
            <w:pPr>
              <w:jc w:val="right"/>
              <w:rPr>
                <w:rFonts w:ascii="Calibri" w:eastAsia="Times New Roman" w:hAnsi="Calibri" w:cs="Calibri"/>
                <w:color w:val="0D0D0D"/>
              </w:rPr>
            </w:pPr>
            <w:r w:rsidRPr="00875AA0">
              <w:rPr>
                <w:rFonts w:ascii="Calibri" w:eastAsia="Times New Roman" w:hAnsi="Calibri" w:cs="Calibri"/>
                <w:color w:val="0D0D0D"/>
              </w:rPr>
              <w:t>2,</w:t>
            </w:r>
            <w:r>
              <w:rPr>
                <w:rFonts w:ascii="Calibri" w:eastAsia="Times New Roman" w:hAnsi="Calibri" w:cs="Calibri"/>
                <w:color w:val="0D0D0D"/>
              </w:rPr>
              <w:t>148</w:t>
            </w:r>
          </w:p>
        </w:tc>
      </w:tr>
      <w:tr w:rsidR="00721CFD" w:rsidRPr="00875AA0" w14:paraId="3370FB0C" w14:textId="77777777" w:rsidTr="007B5BB3">
        <w:trPr>
          <w:trHeight w:val="108"/>
          <w:jc w:val="center"/>
        </w:trPr>
        <w:tc>
          <w:tcPr>
            <w:tcW w:w="6123" w:type="dxa"/>
            <w:tcBorders>
              <w:top w:val="nil"/>
              <w:left w:val="nil"/>
              <w:bottom w:val="nil"/>
              <w:right w:val="nil"/>
            </w:tcBorders>
            <w:shd w:val="clear" w:color="000000" w:fill="FFFFFF"/>
            <w:noWrap/>
            <w:vAlign w:val="bottom"/>
            <w:hideMark/>
          </w:tcPr>
          <w:p w14:paraId="5A69D8DA" w14:textId="77777777" w:rsidR="00721CFD" w:rsidRPr="00875AA0" w:rsidRDefault="00721CFD" w:rsidP="007B5BB3">
            <w:pPr>
              <w:ind w:firstLineChars="200" w:firstLine="440"/>
              <w:rPr>
                <w:rFonts w:ascii="Calibri" w:eastAsia="Times New Roman" w:hAnsi="Calibri" w:cs="Calibri"/>
                <w:color w:val="0D0D0D"/>
              </w:rPr>
            </w:pPr>
            <w:r w:rsidRPr="00875AA0">
              <w:rPr>
                <w:rFonts w:ascii="Calibri" w:eastAsia="Times New Roman" w:hAnsi="Calibri" w:cs="Calibri"/>
                <w:color w:val="0D0D0D"/>
              </w:rPr>
              <w:t xml:space="preserve">Differences between expected and actual experience </w:t>
            </w:r>
          </w:p>
        </w:tc>
        <w:tc>
          <w:tcPr>
            <w:tcW w:w="1437" w:type="dxa"/>
            <w:tcBorders>
              <w:top w:val="nil"/>
              <w:left w:val="nil"/>
              <w:bottom w:val="nil"/>
              <w:right w:val="nil"/>
            </w:tcBorders>
            <w:shd w:val="clear" w:color="000000" w:fill="FFFFFF"/>
            <w:noWrap/>
            <w:vAlign w:val="bottom"/>
            <w:hideMark/>
          </w:tcPr>
          <w:p w14:paraId="29B0F82A"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w:t>
            </w:r>
          </w:p>
        </w:tc>
        <w:tc>
          <w:tcPr>
            <w:tcW w:w="1530" w:type="dxa"/>
            <w:tcBorders>
              <w:top w:val="nil"/>
              <w:left w:val="nil"/>
              <w:bottom w:val="nil"/>
              <w:right w:val="nil"/>
            </w:tcBorders>
            <w:shd w:val="clear" w:color="auto" w:fill="D9D9D9" w:themeFill="background1" w:themeFillShade="D9"/>
            <w:noWrap/>
            <w:vAlign w:val="bottom"/>
          </w:tcPr>
          <w:p w14:paraId="052D3C5A" w14:textId="77777777" w:rsidR="00721CFD" w:rsidRPr="00875AA0" w:rsidRDefault="00721CFD" w:rsidP="007B5BB3">
            <w:pPr>
              <w:jc w:val="right"/>
              <w:rPr>
                <w:rFonts w:ascii="Calibri" w:eastAsia="Times New Roman" w:hAnsi="Calibri" w:cs="Calibri"/>
                <w:color w:val="0D0D0D"/>
              </w:rPr>
            </w:pPr>
            <w:r>
              <w:rPr>
                <w:rFonts w:ascii="Calibri" w:eastAsia="Times New Roman" w:hAnsi="Calibri" w:cs="Calibri"/>
                <w:color w:val="0D0D0D"/>
              </w:rPr>
              <w:t>(285)</w:t>
            </w:r>
          </w:p>
        </w:tc>
      </w:tr>
      <w:tr w:rsidR="00721CFD" w:rsidRPr="00875AA0" w14:paraId="6D1B4415" w14:textId="77777777" w:rsidTr="007B5BB3">
        <w:trPr>
          <w:trHeight w:val="60"/>
          <w:jc w:val="center"/>
        </w:trPr>
        <w:tc>
          <w:tcPr>
            <w:tcW w:w="6123" w:type="dxa"/>
            <w:tcBorders>
              <w:top w:val="nil"/>
              <w:left w:val="nil"/>
              <w:bottom w:val="nil"/>
              <w:right w:val="nil"/>
            </w:tcBorders>
            <w:shd w:val="clear" w:color="000000" w:fill="FFFFFF"/>
            <w:noWrap/>
            <w:vAlign w:val="bottom"/>
            <w:hideMark/>
          </w:tcPr>
          <w:p w14:paraId="105BD799" w14:textId="77777777" w:rsidR="00721CFD" w:rsidRPr="00875AA0" w:rsidRDefault="00721CFD" w:rsidP="007B5BB3">
            <w:pPr>
              <w:ind w:firstLineChars="200" w:firstLine="440"/>
              <w:rPr>
                <w:rFonts w:ascii="Calibri" w:eastAsia="Times New Roman" w:hAnsi="Calibri" w:cs="Calibri"/>
                <w:color w:val="0D0D0D"/>
              </w:rPr>
            </w:pPr>
            <w:r w:rsidRPr="00875AA0">
              <w:rPr>
                <w:rFonts w:ascii="Calibri" w:eastAsia="Times New Roman" w:hAnsi="Calibri" w:cs="Calibri"/>
                <w:color w:val="0D0D0D"/>
              </w:rPr>
              <w:t>Changes of assumptions</w:t>
            </w:r>
          </w:p>
        </w:tc>
        <w:tc>
          <w:tcPr>
            <w:tcW w:w="1437" w:type="dxa"/>
            <w:tcBorders>
              <w:top w:val="nil"/>
              <w:left w:val="nil"/>
              <w:bottom w:val="nil"/>
              <w:right w:val="nil"/>
            </w:tcBorders>
            <w:shd w:val="clear" w:color="000000" w:fill="FFFFFF"/>
            <w:noWrap/>
            <w:vAlign w:val="bottom"/>
            <w:hideMark/>
          </w:tcPr>
          <w:p w14:paraId="2E6AD310"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w:t>
            </w:r>
          </w:p>
        </w:tc>
        <w:tc>
          <w:tcPr>
            <w:tcW w:w="1530" w:type="dxa"/>
            <w:tcBorders>
              <w:top w:val="nil"/>
              <w:left w:val="nil"/>
              <w:bottom w:val="nil"/>
              <w:right w:val="nil"/>
            </w:tcBorders>
            <w:shd w:val="clear" w:color="auto" w:fill="D9D9D9" w:themeFill="background1" w:themeFillShade="D9"/>
            <w:noWrap/>
            <w:vAlign w:val="bottom"/>
          </w:tcPr>
          <w:p w14:paraId="532FD56B" w14:textId="77777777" w:rsidR="00721CFD" w:rsidRPr="00875AA0" w:rsidRDefault="00721CFD" w:rsidP="007B5BB3">
            <w:pPr>
              <w:jc w:val="right"/>
              <w:rPr>
                <w:rFonts w:ascii="Calibri" w:eastAsia="Times New Roman" w:hAnsi="Calibri" w:cs="Calibri"/>
                <w:color w:val="0D0D0D"/>
              </w:rPr>
            </w:pPr>
            <w:r>
              <w:rPr>
                <w:rFonts w:ascii="Calibri" w:eastAsia="Times New Roman" w:hAnsi="Calibri" w:cs="Calibri"/>
                <w:color w:val="0D0D0D"/>
              </w:rPr>
              <w:t>(426)</w:t>
            </w:r>
          </w:p>
        </w:tc>
      </w:tr>
      <w:tr w:rsidR="00721CFD" w:rsidRPr="00875AA0" w14:paraId="1CFF6F06" w14:textId="77777777" w:rsidTr="007B5BB3">
        <w:trPr>
          <w:trHeight w:val="108"/>
          <w:jc w:val="center"/>
        </w:trPr>
        <w:tc>
          <w:tcPr>
            <w:tcW w:w="6123" w:type="dxa"/>
            <w:tcBorders>
              <w:top w:val="nil"/>
              <w:left w:val="nil"/>
              <w:bottom w:val="nil"/>
              <w:right w:val="nil"/>
            </w:tcBorders>
            <w:shd w:val="clear" w:color="000000" w:fill="FFFFFF"/>
            <w:vAlign w:val="bottom"/>
            <w:hideMark/>
          </w:tcPr>
          <w:p w14:paraId="4A0FCE24" w14:textId="77777777" w:rsidR="00721CFD" w:rsidRPr="00875AA0" w:rsidRDefault="00721CFD" w:rsidP="007B5BB3">
            <w:pPr>
              <w:ind w:firstLineChars="200" w:firstLine="440"/>
              <w:rPr>
                <w:rFonts w:ascii="Calibri" w:eastAsia="Times New Roman" w:hAnsi="Calibri" w:cs="Calibri"/>
                <w:color w:val="0D0D0D"/>
              </w:rPr>
            </w:pPr>
            <w:r w:rsidRPr="00875AA0">
              <w:rPr>
                <w:rFonts w:ascii="Calibri" w:eastAsia="Times New Roman" w:hAnsi="Calibri" w:cs="Calibri"/>
                <w:color w:val="0D0D0D"/>
              </w:rPr>
              <w:t>Benefit payments</w:t>
            </w:r>
          </w:p>
        </w:tc>
        <w:tc>
          <w:tcPr>
            <w:tcW w:w="1437" w:type="dxa"/>
            <w:tcBorders>
              <w:top w:val="nil"/>
              <w:left w:val="nil"/>
              <w:bottom w:val="nil"/>
              <w:right w:val="nil"/>
            </w:tcBorders>
            <w:shd w:val="clear" w:color="000000" w:fill="FFFFFF"/>
            <w:noWrap/>
            <w:vAlign w:val="bottom"/>
            <w:hideMark/>
          </w:tcPr>
          <w:p w14:paraId="5B64264D"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(3,793)</w:t>
            </w:r>
          </w:p>
        </w:tc>
        <w:tc>
          <w:tcPr>
            <w:tcW w:w="1530" w:type="dxa"/>
            <w:tcBorders>
              <w:top w:val="nil"/>
              <w:left w:val="nil"/>
              <w:bottom w:val="nil"/>
              <w:right w:val="nil"/>
            </w:tcBorders>
            <w:shd w:val="clear" w:color="auto" w:fill="D9D9D9" w:themeFill="background1" w:themeFillShade="D9"/>
            <w:noWrap/>
            <w:vAlign w:val="bottom"/>
          </w:tcPr>
          <w:p w14:paraId="2C1E2F0A" w14:textId="77777777" w:rsidR="00721CFD" w:rsidRPr="00875AA0" w:rsidRDefault="00721CFD" w:rsidP="007B5BB3">
            <w:pPr>
              <w:jc w:val="right"/>
              <w:rPr>
                <w:rFonts w:ascii="Calibri" w:eastAsia="Times New Roman" w:hAnsi="Calibri" w:cs="Calibri"/>
                <w:color w:val="0D0D0D"/>
              </w:rPr>
            </w:pPr>
            <w:r w:rsidRPr="00875AA0">
              <w:rPr>
                <w:rFonts w:ascii="Calibri" w:eastAsia="Times New Roman" w:hAnsi="Calibri" w:cs="Calibri"/>
                <w:color w:val="0D0D0D"/>
              </w:rPr>
              <w:t>(</w:t>
            </w:r>
            <w:r>
              <w:rPr>
                <w:rFonts w:ascii="Calibri" w:eastAsia="Times New Roman" w:hAnsi="Calibri" w:cs="Calibri"/>
                <w:color w:val="0D0D0D"/>
              </w:rPr>
              <w:t>3,916</w:t>
            </w:r>
            <w:r w:rsidRPr="00875AA0">
              <w:rPr>
                <w:rFonts w:ascii="Calibri" w:eastAsia="Times New Roman" w:hAnsi="Calibri" w:cs="Calibri"/>
                <w:color w:val="0D0D0D"/>
              </w:rPr>
              <w:t>)</w:t>
            </w:r>
          </w:p>
        </w:tc>
      </w:tr>
      <w:tr w:rsidR="00721CFD" w:rsidRPr="00875AA0" w14:paraId="167D2708" w14:textId="77777777" w:rsidTr="007B5BB3">
        <w:trPr>
          <w:trHeight w:val="50"/>
          <w:jc w:val="center"/>
        </w:trPr>
        <w:tc>
          <w:tcPr>
            <w:tcW w:w="6123" w:type="dxa"/>
            <w:tcBorders>
              <w:top w:val="single" w:sz="4" w:space="0" w:color="00688D"/>
              <w:left w:val="nil"/>
              <w:bottom w:val="single" w:sz="4" w:space="0" w:color="00688D"/>
              <w:right w:val="nil"/>
            </w:tcBorders>
            <w:shd w:val="clear" w:color="000000" w:fill="FFFFFF"/>
            <w:vAlign w:val="bottom"/>
            <w:hideMark/>
          </w:tcPr>
          <w:p w14:paraId="0E52EB3C" w14:textId="77777777" w:rsidR="00721CFD" w:rsidRPr="00875AA0" w:rsidRDefault="00721CFD" w:rsidP="007B5BB3">
            <w:pPr>
              <w:rPr>
                <w:rFonts w:ascii="Calibri" w:eastAsia="Times New Roman" w:hAnsi="Calibri" w:cs="Calibri"/>
                <w:color w:val="0D0D0D"/>
              </w:rPr>
            </w:pPr>
            <w:r w:rsidRPr="00875AA0">
              <w:rPr>
                <w:rFonts w:ascii="Calibri" w:eastAsia="Times New Roman" w:hAnsi="Calibri" w:cs="Calibri"/>
                <w:color w:val="0D0D0D"/>
              </w:rPr>
              <w:t>Total pension liability – ending (a)</w:t>
            </w:r>
          </w:p>
        </w:tc>
        <w:tc>
          <w:tcPr>
            <w:tcW w:w="1437" w:type="dxa"/>
            <w:tcBorders>
              <w:top w:val="single" w:sz="4" w:space="0" w:color="00688D"/>
              <w:left w:val="nil"/>
              <w:bottom w:val="single" w:sz="4" w:space="0" w:color="00688D"/>
              <w:right w:val="nil"/>
            </w:tcBorders>
            <w:shd w:val="clear" w:color="000000" w:fill="FFFFFF"/>
            <w:noWrap/>
            <w:vAlign w:val="bottom"/>
            <w:hideMark/>
          </w:tcPr>
          <w:p w14:paraId="1E171D2A"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32,044</w:t>
            </w:r>
          </w:p>
        </w:tc>
        <w:tc>
          <w:tcPr>
            <w:tcW w:w="1530" w:type="dxa"/>
            <w:tcBorders>
              <w:top w:val="single" w:sz="4" w:space="0" w:color="00688D"/>
              <w:left w:val="nil"/>
              <w:bottom w:val="single" w:sz="4" w:space="0" w:color="00688D"/>
              <w:right w:val="nil"/>
            </w:tcBorders>
            <w:shd w:val="clear" w:color="auto" w:fill="D9D9D9" w:themeFill="background1" w:themeFillShade="D9"/>
            <w:noWrap/>
            <w:vAlign w:val="bottom"/>
          </w:tcPr>
          <w:p w14:paraId="77C688DB" w14:textId="77777777" w:rsidR="00721CFD" w:rsidRPr="00875AA0" w:rsidRDefault="00721CFD" w:rsidP="007B5BB3">
            <w:pPr>
              <w:jc w:val="right"/>
              <w:rPr>
                <w:rFonts w:ascii="Calibri" w:eastAsia="Times New Roman" w:hAnsi="Calibri" w:cs="Calibri"/>
                <w:color w:val="0D0D0D"/>
              </w:rPr>
            </w:pPr>
            <w:r>
              <w:rPr>
                <w:rFonts w:ascii="Calibri" w:eastAsia="Times New Roman" w:hAnsi="Calibri" w:cs="Calibri"/>
                <w:color w:val="0D0D0D"/>
              </w:rPr>
              <w:t>33,840</w:t>
            </w:r>
          </w:p>
        </w:tc>
      </w:tr>
      <w:tr w:rsidR="00721CFD" w:rsidRPr="00875AA0" w14:paraId="4AE7E9DA" w14:textId="77777777" w:rsidTr="007B5BB3">
        <w:trPr>
          <w:trHeight w:val="107"/>
          <w:jc w:val="center"/>
        </w:trPr>
        <w:tc>
          <w:tcPr>
            <w:tcW w:w="6123" w:type="dxa"/>
            <w:tcBorders>
              <w:top w:val="nil"/>
              <w:left w:val="nil"/>
              <w:bottom w:val="nil"/>
              <w:right w:val="nil"/>
            </w:tcBorders>
            <w:shd w:val="clear" w:color="000000" w:fill="FFFFFF"/>
            <w:vAlign w:val="bottom"/>
            <w:hideMark/>
          </w:tcPr>
          <w:p w14:paraId="5A4F1FEB" w14:textId="77777777" w:rsidR="00721CFD" w:rsidRPr="00875AA0" w:rsidRDefault="00721CFD" w:rsidP="007B5BB3">
            <w:pPr>
              <w:spacing w:before="120"/>
              <w:rPr>
                <w:rFonts w:ascii="Calibri" w:eastAsia="Times New Roman" w:hAnsi="Calibri" w:cs="Calibri"/>
                <w:color w:val="0D0D0D"/>
              </w:rPr>
            </w:pPr>
            <w:r w:rsidRPr="00875AA0">
              <w:rPr>
                <w:rFonts w:ascii="Calibri" w:eastAsia="Times New Roman" w:hAnsi="Calibri" w:cs="Calibri"/>
                <w:color w:val="0D0D0D"/>
              </w:rPr>
              <w:t xml:space="preserve">Fiduciary net position – beginning </w:t>
            </w:r>
          </w:p>
        </w:tc>
        <w:tc>
          <w:tcPr>
            <w:tcW w:w="1437" w:type="dxa"/>
            <w:tcBorders>
              <w:top w:val="nil"/>
              <w:left w:val="nil"/>
              <w:bottom w:val="nil"/>
              <w:right w:val="nil"/>
            </w:tcBorders>
            <w:shd w:val="clear" w:color="000000" w:fill="FFFFFF"/>
            <w:noWrap/>
            <w:vAlign w:val="bottom"/>
            <w:hideMark/>
          </w:tcPr>
          <w:p w14:paraId="28885530" w14:textId="77777777" w:rsidR="00721CFD" w:rsidRPr="00A93FB3" w:rsidRDefault="00721CFD" w:rsidP="007B5BB3">
            <w:pPr>
              <w:spacing w:before="120"/>
              <w:ind w:firstLineChars="100" w:firstLine="220"/>
              <w:jc w:val="right"/>
              <w:rPr>
                <w:rFonts w:ascii="Calibri" w:eastAsia="Times New Roman" w:hAnsi="Calibri" w:cs="Calibri"/>
              </w:rPr>
            </w:pPr>
            <w:r w:rsidRPr="00A93FB3">
              <w:rPr>
                <w:rFonts w:ascii="Calibri" w:eastAsia="Times New Roman" w:hAnsi="Calibri" w:cs="Calibri"/>
              </w:rPr>
              <w:t>25,291</w:t>
            </w:r>
          </w:p>
        </w:tc>
        <w:tc>
          <w:tcPr>
            <w:tcW w:w="1530" w:type="dxa"/>
            <w:tcBorders>
              <w:top w:val="nil"/>
              <w:left w:val="nil"/>
              <w:bottom w:val="nil"/>
              <w:right w:val="nil"/>
            </w:tcBorders>
            <w:shd w:val="clear" w:color="auto" w:fill="D9D9D9" w:themeFill="background1" w:themeFillShade="D9"/>
            <w:noWrap/>
            <w:vAlign w:val="bottom"/>
          </w:tcPr>
          <w:p w14:paraId="1138CB9C" w14:textId="77777777" w:rsidR="00721CFD" w:rsidRPr="00875AA0" w:rsidRDefault="00721CFD" w:rsidP="007B5BB3">
            <w:pPr>
              <w:spacing w:before="120"/>
              <w:jc w:val="right"/>
              <w:rPr>
                <w:rFonts w:ascii="Calibri" w:eastAsia="Times New Roman" w:hAnsi="Calibri" w:cs="Calibri"/>
                <w:color w:val="0D0D0D"/>
              </w:rPr>
            </w:pPr>
            <w:r>
              <w:rPr>
                <w:rFonts w:ascii="Calibri" w:eastAsia="Times New Roman" w:hAnsi="Calibri" w:cs="Calibri"/>
                <w:color w:val="0D0D0D"/>
              </w:rPr>
              <w:t>24,609</w:t>
            </w:r>
          </w:p>
        </w:tc>
      </w:tr>
      <w:tr w:rsidR="00721CFD" w:rsidRPr="00875AA0" w14:paraId="6DAAE386" w14:textId="77777777" w:rsidTr="007B5BB3">
        <w:trPr>
          <w:trHeight w:val="72"/>
          <w:jc w:val="center"/>
        </w:trPr>
        <w:tc>
          <w:tcPr>
            <w:tcW w:w="6123" w:type="dxa"/>
            <w:tcBorders>
              <w:top w:val="nil"/>
              <w:left w:val="nil"/>
              <w:bottom w:val="nil"/>
              <w:right w:val="nil"/>
            </w:tcBorders>
            <w:shd w:val="clear" w:color="000000" w:fill="FFFFFF"/>
            <w:vAlign w:val="bottom"/>
            <w:hideMark/>
          </w:tcPr>
          <w:p w14:paraId="3E03234B" w14:textId="77777777" w:rsidR="00721CFD" w:rsidRPr="00875AA0" w:rsidRDefault="00721CFD" w:rsidP="007B5BB3">
            <w:pPr>
              <w:ind w:firstLineChars="200" w:firstLine="440"/>
              <w:rPr>
                <w:rFonts w:ascii="Calibri" w:eastAsia="Times New Roman" w:hAnsi="Calibri" w:cs="Calibri"/>
                <w:color w:val="0D0D0D"/>
              </w:rPr>
            </w:pPr>
            <w:r w:rsidRPr="00875AA0">
              <w:rPr>
                <w:rFonts w:ascii="Calibri" w:eastAsia="Times New Roman" w:hAnsi="Calibri" w:cs="Calibri"/>
                <w:color w:val="0D0D0D"/>
              </w:rPr>
              <w:t>Contributions – employer</w:t>
            </w:r>
          </w:p>
        </w:tc>
        <w:tc>
          <w:tcPr>
            <w:tcW w:w="1437" w:type="dxa"/>
            <w:tcBorders>
              <w:top w:val="nil"/>
              <w:left w:val="nil"/>
              <w:bottom w:val="nil"/>
              <w:right w:val="nil"/>
            </w:tcBorders>
            <w:shd w:val="clear" w:color="000000" w:fill="FFFFFF"/>
            <w:noWrap/>
            <w:vAlign w:val="bottom"/>
            <w:hideMark/>
          </w:tcPr>
          <w:p w14:paraId="196DB895"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672</w:t>
            </w:r>
          </w:p>
        </w:tc>
        <w:tc>
          <w:tcPr>
            <w:tcW w:w="1530" w:type="dxa"/>
            <w:tcBorders>
              <w:top w:val="nil"/>
              <w:left w:val="nil"/>
              <w:bottom w:val="nil"/>
              <w:right w:val="nil"/>
            </w:tcBorders>
            <w:shd w:val="clear" w:color="auto" w:fill="D9D9D9" w:themeFill="background1" w:themeFillShade="D9"/>
            <w:noWrap/>
            <w:vAlign w:val="bottom"/>
          </w:tcPr>
          <w:p w14:paraId="214EF8C8" w14:textId="77777777" w:rsidR="00721CFD" w:rsidRPr="00875AA0" w:rsidRDefault="00721CFD" w:rsidP="007B5BB3">
            <w:pPr>
              <w:jc w:val="right"/>
              <w:rPr>
                <w:rFonts w:ascii="Calibri" w:eastAsia="Times New Roman" w:hAnsi="Calibri" w:cs="Calibri"/>
                <w:color w:val="0D0D0D"/>
              </w:rPr>
            </w:pPr>
            <w:r>
              <w:rPr>
                <w:rFonts w:ascii="Calibri" w:eastAsia="Times New Roman" w:hAnsi="Calibri" w:cs="Calibri"/>
                <w:color w:val="0D0D0D"/>
              </w:rPr>
              <w:t>907</w:t>
            </w:r>
          </w:p>
        </w:tc>
      </w:tr>
      <w:tr w:rsidR="00721CFD" w:rsidRPr="00875AA0" w14:paraId="6A6F05F4" w14:textId="77777777" w:rsidTr="007B5BB3">
        <w:trPr>
          <w:trHeight w:val="60"/>
          <w:jc w:val="center"/>
        </w:trPr>
        <w:tc>
          <w:tcPr>
            <w:tcW w:w="6123" w:type="dxa"/>
            <w:tcBorders>
              <w:top w:val="nil"/>
              <w:left w:val="nil"/>
              <w:bottom w:val="nil"/>
              <w:right w:val="nil"/>
            </w:tcBorders>
            <w:shd w:val="clear" w:color="000000" w:fill="FFFFFF"/>
            <w:vAlign w:val="bottom"/>
            <w:hideMark/>
          </w:tcPr>
          <w:p w14:paraId="4FE787D6" w14:textId="77777777" w:rsidR="00721CFD" w:rsidRPr="00875AA0" w:rsidRDefault="00721CFD" w:rsidP="007B5BB3">
            <w:pPr>
              <w:ind w:firstLineChars="200" w:firstLine="440"/>
              <w:rPr>
                <w:rFonts w:ascii="Calibri" w:eastAsia="Times New Roman" w:hAnsi="Calibri" w:cs="Calibri"/>
                <w:color w:val="0D0D0D"/>
              </w:rPr>
            </w:pPr>
            <w:r w:rsidRPr="00875AA0">
              <w:rPr>
                <w:rFonts w:ascii="Calibri" w:eastAsia="Times New Roman" w:hAnsi="Calibri" w:cs="Calibri"/>
                <w:color w:val="0D0D0D"/>
              </w:rPr>
              <w:t>Net investment income</w:t>
            </w:r>
          </w:p>
        </w:tc>
        <w:tc>
          <w:tcPr>
            <w:tcW w:w="1437" w:type="dxa"/>
            <w:tcBorders>
              <w:top w:val="nil"/>
              <w:left w:val="nil"/>
              <w:bottom w:val="nil"/>
              <w:right w:val="nil"/>
            </w:tcBorders>
            <w:shd w:val="clear" w:color="000000" w:fill="FFFFFF"/>
            <w:noWrap/>
            <w:vAlign w:val="bottom"/>
            <w:hideMark/>
          </w:tcPr>
          <w:p w14:paraId="0052F5D6"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(1,760)</w:t>
            </w:r>
          </w:p>
        </w:tc>
        <w:tc>
          <w:tcPr>
            <w:tcW w:w="1530" w:type="dxa"/>
            <w:tcBorders>
              <w:top w:val="nil"/>
              <w:left w:val="nil"/>
              <w:bottom w:val="nil"/>
              <w:right w:val="nil"/>
            </w:tcBorders>
            <w:shd w:val="clear" w:color="auto" w:fill="D9D9D9" w:themeFill="background1" w:themeFillShade="D9"/>
            <w:noWrap/>
            <w:vAlign w:val="bottom"/>
          </w:tcPr>
          <w:p w14:paraId="09ADC519" w14:textId="77777777" w:rsidR="00721CFD" w:rsidRPr="00875AA0" w:rsidRDefault="00721CFD" w:rsidP="007B5BB3">
            <w:pPr>
              <w:jc w:val="right"/>
              <w:rPr>
                <w:rFonts w:ascii="Calibri" w:eastAsia="Times New Roman" w:hAnsi="Calibri" w:cs="Calibri"/>
                <w:color w:val="0D0D0D"/>
              </w:rPr>
            </w:pPr>
            <w:r>
              <w:rPr>
                <w:rFonts w:ascii="Calibri" w:eastAsia="Times New Roman" w:hAnsi="Calibri" w:cs="Calibri"/>
                <w:color w:val="0D0D0D"/>
              </w:rPr>
              <w:t>3,704</w:t>
            </w:r>
          </w:p>
        </w:tc>
      </w:tr>
      <w:tr w:rsidR="00721CFD" w:rsidRPr="00875AA0" w14:paraId="2457E073" w14:textId="77777777" w:rsidTr="007B5BB3">
        <w:trPr>
          <w:trHeight w:val="60"/>
          <w:jc w:val="center"/>
        </w:trPr>
        <w:tc>
          <w:tcPr>
            <w:tcW w:w="6123" w:type="dxa"/>
            <w:tcBorders>
              <w:top w:val="nil"/>
              <w:left w:val="nil"/>
              <w:bottom w:val="nil"/>
              <w:right w:val="nil"/>
            </w:tcBorders>
            <w:shd w:val="clear" w:color="000000" w:fill="FFFFFF"/>
            <w:vAlign w:val="bottom"/>
            <w:hideMark/>
          </w:tcPr>
          <w:p w14:paraId="404460DC" w14:textId="77777777" w:rsidR="00721CFD" w:rsidRPr="00875AA0" w:rsidRDefault="00721CFD" w:rsidP="007B5BB3">
            <w:pPr>
              <w:ind w:firstLineChars="200" w:firstLine="440"/>
              <w:rPr>
                <w:rFonts w:ascii="Calibri" w:eastAsia="Times New Roman" w:hAnsi="Calibri" w:cs="Calibri"/>
                <w:color w:val="0D0D0D"/>
              </w:rPr>
            </w:pPr>
            <w:r w:rsidRPr="00875AA0">
              <w:rPr>
                <w:rFonts w:ascii="Calibri" w:eastAsia="Times New Roman" w:hAnsi="Calibri" w:cs="Calibri"/>
                <w:color w:val="0D0D0D"/>
              </w:rPr>
              <w:t>Benefit payments</w:t>
            </w:r>
          </w:p>
        </w:tc>
        <w:tc>
          <w:tcPr>
            <w:tcW w:w="1437" w:type="dxa"/>
            <w:tcBorders>
              <w:top w:val="nil"/>
              <w:left w:val="nil"/>
              <w:bottom w:val="nil"/>
              <w:right w:val="nil"/>
            </w:tcBorders>
            <w:shd w:val="clear" w:color="000000" w:fill="FFFFFF"/>
            <w:noWrap/>
            <w:vAlign w:val="bottom"/>
            <w:hideMark/>
          </w:tcPr>
          <w:p w14:paraId="1A44B2D0"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(3,793)</w:t>
            </w:r>
          </w:p>
        </w:tc>
        <w:tc>
          <w:tcPr>
            <w:tcW w:w="1530" w:type="dxa"/>
            <w:tcBorders>
              <w:top w:val="nil"/>
              <w:left w:val="nil"/>
              <w:bottom w:val="nil"/>
              <w:right w:val="nil"/>
            </w:tcBorders>
            <w:shd w:val="clear" w:color="auto" w:fill="D9D9D9" w:themeFill="background1" w:themeFillShade="D9"/>
            <w:noWrap/>
            <w:vAlign w:val="bottom"/>
          </w:tcPr>
          <w:p w14:paraId="588C95B3" w14:textId="77777777" w:rsidR="00721CFD" w:rsidRPr="00875AA0" w:rsidRDefault="00721CFD" w:rsidP="007B5BB3">
            <w:pPr>
              <w:jc w:val="right"/>
              <w:rPr>
                <w:rFonts w:ascii="Calibri" w:eastAsia="Times New Roman" w:hAnsi="Calibri" w:cs="Calibri"/>
                <w:color w:val="0D0D0D"/>
              </w:rPr>
            </w:pPr>
            <w:r w:rsidRPr="00875AA0">
              <w:rPr>
                <w:rFonts w:ascii="Calibri" w:eastAsia="Times New Roman" w:hAnsi="Calibri" w:cs="Calibri"/>
                <w:color w:val="0D0D0D"/>
              </w:rPr>
              <w:t>(</w:t>
            </w:r>
            <w:r>
              <w:rPr>
                <w:rFonts w:ascii="Calibri" w:eastAsia="Times New Roman" w:hAnsi="Calibri" w:cs="Calibri"/>
                <w:color w:val="0D0D0D"/>
              </w:rPr>
              <w:t>3,916</w:t>
            </w:r>
            <w:r w:rsidRPr="00875AA0">
              <w:rPr>
                <w:rFonts w:ascii="Calibri" w:eastAsia="Times New Roman" w:hAnsi="Calibri" w:cs="Calibri"/>
                <w:color w:val="0D0D0D"/>
              </w:rPr>
              <w:t>)</w:t>
            </w:r>
          </w:p>
        </w:tc>
      </w:tr>
      <w:tr w:rsidR="00721CFD" w:rsidRPr="00875AA0" w14:paraId="06685674" w14:textId="77777777" w:rsidTr="007B5BB3">
        <w:trPr>
          <w:trHeight w:val="60"/>
          <w:jc w:val="center"/>
        </w:trPr>
        <w:tc>
          <w:tcPr>
            <w:tcW w:w="6123" w:type="dxa"/>
            <w:tcBorders>
              <w:top w:val="nil"/>
              <w:left w:val="nil"/>
              <w:bottom w:val="nil"/>
              <w:right w:val="nil"/>
            </w:tcBorders>
            <w:shd w:val="clear" w:color="000000" w:fill="FFFFFF"/>
            <w:noWrap/>
            <w:vAlign w:val="bottom"/>
            <w:hideMark/>
          </w:tcPr>
          <w:p w14:paraId="5A4A6F3F" w14:textId="77777777" w:rsidR="00721CFD" w:rsidRPr="00875AA0" w:rsidRDefault="00721CFD" w:rsidP="007B5BB3">
            <w:pPr>
              <w:ind w:firstLineChars="200" w:firstLine="440"/>
              <w:rPr>
                <w:rFonts w:ascii="Calibri" w:eastAsia="Times New Roman" w:hAnsi="Calibri" w:cs="Calibri"/>
                <w:color w:val="0D0D0D"/>
              </w:rPr>
            </w:pPr>
            <w:r w:rsidRPr="00875AA0">
              <w:rPr>
                <w:rFonts w:ascii="Calibri" w:eastAsia="Times New Roman" w:hAnsi="Calibri" w:cs="Calibri"/>
                <w:color w:val="0D0D0D"/>
              </w:rPr>
              <w:t xml:space="preserve">Administrative expenses </w:t>
            </w:r>
          </w:p>
        </w:tc>
        <w:tc>
          <w:tcPr>
            <w:tcW w:w="1437" w:type="dxa"/>
            <w:tcBorders>
              <w:top w:val="nil"/>
              <w:left w:val="nil"/>
              <w:bottom w:val="nil"/>
              <w:right w:val="nil"/>
            </w:tcBorders>
            <w:shd w:val="clear" w:color="000000" w:fill="FFFFFF"/>
            <w:noWrap/>
            <w:vAlign w:val="bottom"/>
            <w:hideMark/>
          </w:tcPr>
          <w:p w14:paraId="749AAB0F"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(18)</w:t>
            </w:r>
          </w:p>
        </w:tc>
        <w:tc>
          <w:tcPr>
            <w:tcW w:w="1530" w:type="dxa"/>
            <w:tcBorders>
              <w:top w:val="nil"/>
              <w:left w:val="nil"/>
              <w:bottom w:val="nil"/>
              <w:right w:val="nil"/>
            </w:tcBorders>
            <w:shd w:val="clear" w:color="auto" w:fill="D9D9D9" w:themeFill="background1" w:themeFillShade="D9"/>
            <w:noWrap/>
            <w:vAlign w:val="bottom"/>
          </w:tcPr>
          <w:p w14:paraId="6CA16338" w14:textId="77777777" w:rsidR="00721CFD" w:rsidRPr="00875AA0" w:rsidRDefault="00721CFD" w:rsidP="007B5BB3">
            <w:pPr>
              <w:jc w:val="right"/>
              <w:rPr>
                <w:rFonts w:ascii="Calibri" w:eastAsia="Times New Roman" w:hAnsi="Calibri" w:cs="Calibri"/>
                <w:color w:val="0D0D0D"/>
              </w:rPr>
            </w:pPr>
            <w:r w:rsidRPr="00875AA0">
              <w:rPr>
                <w:rFonts w:ascii="Calibri" w:eastAsia="Times New Roman" w:hAnsi="Calibri" w:cs="Calibri"/>
                <w:color w:val="0D0D0D"/>
              </w:rPr>
              <w:t>(</w:t>
            </w:r>
            <w:r>
              <w:rPr>
                <w:rFonts w:ascii="Calibri" w:eastAsia="Times New Roman" w:hAnsi="Calibri" w:cs="Calibri"/>
                <w:color w:val="0D0D0D"/>
              </w:rPr>
              <w:t>1</w:t>
            </w:r>
            <w:r w:rsidRPr="00875AA0">
              <w:rPr>
                <w:rFonts w:ascii="Calibri" w:eastAsia="Times New Roman" w:hAnsi="Calibri" w:cs="Calibri"/>
                <w:color w:val="0D0D0D"/>
              </w:rPr>
              <w:t>3)</w:t>
            </w:r>
          </w:p>
        </w:tc>
      </w:tr>
      <w:tr w:rsidR="00721CFD" w:rsidRPr="00875AA0" w14:paraId="70753AD8" w14:textId="77777777" w:rsidTr="007B5BB3">
        <w:trPr>
          <w:trHeight w:val="71"/>
          <w:jc w:val="center"/>
        </w:trPr>
        <w:tc>
          <w:tcPr>
            <w:tcW w:w="6123" w:type="dxa"/>
            <w:tcBorders>
              <w:top w:val="single" w:sz="4" w:space="0" w:color="00688D"/>
              <w:left w:val="nil"/>
              <w:bottom w:val="single" w:sz="4" w:space="0" w:color="00688D"/>
              <w:right w:val="nil"/>
            </w:tcBorders>
            <w:shd w:val="clear" w:color="000000" w:fill="FFFFFF"/>
            <w:vAlign w:val="bottom"/>
            <w:hideMark/>
          </w:tcPr>
          <w:p w14:paraId="6BC96466" w14:textId="77777777" w:rsidR="00721CFD" w:rsidRPr="00875AA0" w:rsidRDefault="00721CFD" w:rsidP="007B5BB3">
            <w:pPr>
              <w:rPr>
                <w:rFonts w:ascii="Calibri" w:eastAsia="Times New Roman" w:hAnsi="Calibri" w:cs="Calibri"/>
                <w:color w:val="0D0D0D"/>
              </w:rPr>
            </w:pPr>
            <w:r w:rsidRPr="00875AA0">
              <w:rPr>
                <w:rFonts w:ascii="Calibri" w:eastAsia="Times New Roman" w:hAnsi="Calibri" w:cs="Calibri"/>
                <w:color w:val="0D0D0D"/>
              </w:rPr>
              <w:t>Fiduciary net position – ending (b)</w:t>
            </w:r>
          </w:p>
        </w:tc>
        <w:tc>
          <w:tcPr>
            <w:tcW w:w="1437" w:type="dxa"/>
            <w:tcBorders>
              <w:top w:val="single" w:sz="4" w:space="0" w:color="00688D"/>
              <w:left w:val="nil"/>
              <w:bottom w:val="single" w:sz="4" w:space="0" w:color="00688D"/>
              <w:right w:val="nil"/>
            </w:tcBorders>
            <w:shd w:val="clear" w:color="000000" w:fill="FFFFFF"/>
            <w:noWrap/>
            <w:vAlign w:val="bottom"/>
            <w:hideMark/>
          </w:tcPr>
          <w:p w14:paraId="281D891A" w14:textId="77777777" w:rsidR="00721CFD" w:rsidRPr="00A93FB3" w:rsidRDefault="00721CFD" w:rsidP="007B5BB3">
            <w:pPr>
              <w:ind w:firstLineChars="100" w:firstLine="220"/>
              <w:jc w:val="right"/>
              <w:rPr>
                <w:rFonts w:ascii="Calibri" w:eastAsia="Times New Roman" w:hAnsi="Calibri" w:cs="Calibri"/>
              </w:rPr>
            </w:pPr>
            <w:r>
              <w:rPr>
                <w:rFonts w:ascii="Calibri" w:eastAsia="Times New Roman" w:hAnsi="Calibri" w:cs="Calibri"/>
              </w:rPr>
              <w:t>20,392</w:t>
            </w:r>
          </w:p>
        </w:tc>
        <w:tc>
          <w:tcPr>
            <w:tcW w:w="1530" w:type="dxa"/>
            <w:tcBorders>
              <w:top w:val="single" w:sz="4" w:space="0" w:color="00688D"/>
              <w:left w:val="nil"/>
              <w:bottom w:val="single" w:sz="4" w:space="0" w:color="00688D"/>
              <w:right w:val="nil"/>
            </w:tcBorders>
            <w:shd w:val="clear" w:color="auto" w:fill="D9D9D9" w:themeFill="background1" w:themeFillShade="D9"/>
            <w:noWrap/>
            <w:vAlign w:val="bottom"/>
          </w:tcPr>
          <w:p w14:paraId="10218197" w14:textId="77777777" w:rsidR="00721CFD" w:rsidRPr="00875AA0" w:rsidRDefault="00721CFD" w:rsidP="007B5BB3">
            <w:pPr>
              <w:jc w:val="right"/>
              <w:rPr>
                <w:rFonts w:ascii="Calibri" w:eastAsia="Times New Roman" w:hAnsi="Calibri" w:cs="Calibri"/>
                <w:color w:val="0D0D0D"/>
              </w:rPr>
            </w:pPr>
            <w:r w:rsidRPr="00875AA0">
              <w:rPr>
                <w:rFonts w:ascii="Calibri" w:eastAsia="Times New Roman" w:hAnsi="Calibri" w:cs="Calibri"/>
                <w:color w:val="0D0D0D"/>
              </w:rPr>
              <w:t>2</w:t>
            </w:r>
            <w:r>
              <w:rPr>
                <w:rFonts w:ascii="Calibri" w:eastAsia="Times New Roman" w:hAnsi="Calibri" w:cs="Calibri"/>
                <w:color w:val="0D0D0D"/>
              </w:rPr>
              <w:t>5</w:t>
            </w:r>
            <w:r w:rsidRPr="00875AA0">
              <w:rPr>
                <w:rFonts w:ascii="Calibri" w:eastAsia="Times New Roman" w:hAnsi="Calibri" w:cs="Calibri"/>
                <w:color w:val="0D0D0D"/>
              </w:rPr>
              <w:t>,</w:t>
            </w:r>
            <w:r>
              <w:rPr>
                <w:rFonts w:ascii="Calibri" w:eastAsia="Times New Roman" w:hAnsi="Calibri" w:cs="Calibri"/>
                <w:color w:val="0D0D0D"/>
              </w:rPr>
              <w:t>291</w:t>
            </w:r>
          </w:p>
        </w:tc>
      </w:tr>
      <w:tr w:rsidR="00721CFD" w:rsidRPr="00875AA0" w14:paraId="1C0C09D9" w14:textId="77777777" w:rsidTr="007B5BB3">
        <w:trPr>
          <w:trHeight w:val="50"/>
          <w:jc w:val="center"/>
        </w:trPr>
        <w:tc>
          <w:tcPr>
            <w:tcW w:w="6123" w:type="dxa"/>
            <w:tcBorders>
              <w:top w:val="nil"/>
              <w:left w:val="nil"/>
              <w:bottom w:val="double" w:sz="6" w:space="0" w:color="00688D"/>
              <w:right w:val="nil"/>
            </w:tcBorders>
            <w:shd w:val="clear" w:color="000000" w:fill="FFFFFF"/>
            <w:vAlign w:val="bottom"/>
            <w:hideMark/>
          </w:tcPr>
          <w:p w14:paraId="5C5F6B20" w14:textId="77777777" w:rsidR="00721CFD" w:rsidRPr="00875AA0" w:rsidRDefault="00721CFD" w:rsidP="007B5BB3">
            <w:pPr>
              <w:spacing w:before="120"/>
              <w:rPr>
                <w:rFonts w:ascii="Calibri" w:eastAsia="Times New Roman" w:hAnsi="Calibri" w:cs="Calibri"/>
                <w:color w:val="0D0D0D"/>
              </w:rPr>
            </w:pPr>
            <w:r w:rsidRPr="00875AA0">
              <w:rPr>
                <w:rFonts w:ascii="Calibri" w:eastAsia="Times New Roman" w:hAnsi="Calibri" w:cs="Calibri"/>
                <w:color w:val="0D0D0D"/>
              </w:rPr>
              <w:t>Net pension liability – ending (a)-(b)</w:t>
            </w:r>
          </w:p>
        </w:tc>
        <w:tc>
          <w:tcPr>
            <w:tcW w:w="1437" w:type="dxa"/>
            <w:tcBorders>
              <w:top w:val="nil"/>
              <w:left w:val="nil"/>
              <w:bottom w:val="double" w:sz="6" w:space="0" w:color="00688D"/>
              <w:right w:val="nil"/>
            </w:tcBorders>
            <w:shd w:val="clear" w:color="000000" w:fill="FFFFFF"/>
            <w:noWrap/>
            <w:vAlign w:val="bottom"/>
            <w:hideMark/>
          </w:tcPr>
          <w:p w14:paraId="539D91CD" w14:textId="77777777" w:rsidR="00721CFD" w:rsidRPr="00A93FB3" w:rsidRDefault="00721CFD" w:rsidP="007B5BB3">
            <w:pPr>
              <w:spacing w:before="120"/>
              <w:ind w:firstLineChars="100" w:firstLine="220"/>
              <w:jc w:val="right"/>
              <w:rPr>
                <w:rFonts w:ascii="Calibri" w:eastAsia="Times New Roman" w:hAnsi="Calibri" w:cs="Calibri"/>
              </w:rPr>
            </w:pPr>
            <w:r w:rsidRPr="00A93FB3">
              <w:rPr>
                <w:rFonts w:ascii="Calibri" w:eastAsia="Times New Roman" w:hAnsi="Calibri" w:cs="Calibri"/>
              </w:rPr>
              <w:t>$    11,652</w:t>
            </w:r>
          </w:p>
        </w:tc>
        <w:tc>
          <w:tcPr>
            <w:tcW w:w="1530" w:type="dxa"/>
            <w:tcBorders>
              <w:top w:val="nil"/>
              <w:left w:val="nil"/>
              <w:bottom w:val="double" w:sz="6" w:space="0" w:color="00688D"/>
              <w:right w:val="nil"/>
            </w:tcBorders>
            <w:shd w:val="clear" w:color="auto" w:fill="D9D9D9" w:themeFill="background1" w:themeFillShade="D9"/>
            <w:noWrap/>
            <w:vAlign w:val="bottom"/>
          </w:tcPr>
          <w:p w14:paraId="5EEF43E1" w14:textId="77777777" w:rsidR="00721CFD" w:rsidRPr="00875AA0" w:rsidRDefault="00721CFD" w:rsidP="007B5BB3">
            <w:pPr>
              <w:spacing w:before="120"/>
              <w:jc w:val="right"/>
              <w:rPr>
                <w:rFonts w:ascii="Calibri" w:eastAsia="Times New Roman" w:hAnsi="Calibri" w:cs="Calibri"/>
                <w:color w:val="0D0D0D"/>
              </w:rPr>
            </w:pPr>
            <w:r w:rsidRPr="00875AA0">
              <w:rPr>
                <w:rFonts w:ascii="Calibri" w:eastAsia="Times New Roman" w:hAnsi="Calibri" w:cs="Calibri"/>
                <w:color w:val="0D0D0D"/>
              </w:rPr>
              <w:t xml:space="preserve">$    </w:t>
            </w:r>
            <w:r>
              <w:rPr>
                <w:rFonts w:ascii="Calibri" w:eastAsia="Times New Roman" w:hAnsi="Calibri" w:cs="Calibri"/>
                <w:color w:val="0D0D0D"/>
              </w:rPr>
              <w:t>8</w:t>
            </w:r>
            <w:r w:rsidRPr="00875AA0">
              <w:rPr>
                <w:rFonts w:ascii="Calibri" w:eastAsia="Times New Roman" w:hAnsi="Calibri" w:cs="Calibri"/>
                <w:color w:val="0D0D0D"/>
              </w:rPr>
              <w:t>,</w:t>
            </w:r>
            <w:r>
              <w:rPr>
                <w:rFonts w:ascii="Calibri" w:eastAsia="Times New Roman" w:hAnsi="Calibri" w:cs="Calibri"/>
                <w:color w:val="0D0D0D"/>
              </w:rPr>
              <w:t>549</w:t>
            </w:r>
          </w:p>
        </w:tc>
      </w:tr>
      <w:tr w:rsidR="00721CFD" w:rsidRPr="00875AA0" w14:paraId="0C16435D" w14:textId="77777777" w:rsidTr="007B5BB3">
        <w:trPr>
          <w:trHeight w:val="25"/>
          <w:jc w:val="center"/>
        </w:trPr>
        <w:tc>
          <w:tcPr>
            <w:tcW w:w="6123" w:type="dxa"/>
            <w:tcBorders>
              <w:top w:val="nil"/>
              <w:left w:val="nil"/>
              <w:bottom w:val="nil"/>
              <w:right w:val="nil"/>
            </w:tcBorders>
            <w:shd w:val="clear" w:color="000000" w:fill="FFFFFF"/>
            <w:noWrap/>
            <w:vAlign w:val="bottom"/>
            <w:hideMark/>
          </w:tcPr>
          <w:p w14:paraId="14E28E05" w14:textId="77777777" w:rsidR="00721CFD" w:rsidRPr="00875AA0" w:rsidRDefault="00721CFD" w:rsidP="007B5BB3">
            <w:pPr>
              <w:spacing w:before="120"/>
              <w:rPr>
                <w:rFonts w:ascii="Calibri" w:eastAsia="Times New Roman" w:hAnsi="Calibri" w:cs="Calibri"/>
                <w:color w:val="0D0D0D"/>
              </w:rPr>
            </w:pPr>
            <w:r w:rsidRPr="00875AA0">
              <w:rPr>
                <w:rFonts w:ascii="Calibri" w:eastAsia="Times New Roman" w:hAnsi="Calibri" w:cs="Calibri"/>
                <w:color w:val="0D0D0D"/>
              </w:rPr>
              <w:t>Plan fiduciary net position as a percentage of the total pension liability</w:t>
            </w:r>
          </w:p>
        </w:tc>
        <w:tc>
          <w:tcPr>
            <w:tcW w:w="1437" w:type="dxa"/>
            <w:tcBorders>
              <w:top w:val="nil"/>
              <w:left w:val="nil"/>
              <w:bottom w:val="nil"/>
              <w:right w:val="nil"/>
            </w:tcBorders>
            <w:shd w:val="clear" w:color="000000" w:fill="FFFFFF"/>
            <w:noWrap/>
            <w:vAlign w:val="bottom"/>
            <w:hideMark/>
          </w:tcPr>
          <w:p w14:paraId="526F1488" w14:textId="77777777" w:rsidR="00721CFD" w:rsidRPr="00A93FB3" w:rsidRDefault="00721CFD" w:rsidP="007B5BB3">
            <w:pPr>
              <w:spacing w:before="120"/>
              <w:ind w:firstLineChars="100" w:firstLine="220"/>
              <w:jc w:val="right"/>
              <w:rPr>
                <w:rFonts w:ascii="Calibri" w:eastAsia="Times New Roman" w:hAnsi="Calibri" w:cs="Calibri"/>
              </w:rPr>
            </w:pPr>
            <w:r w:rsidRPr="00A93FB3">
              <w:rPr>
                <w:rFonts w:ascii="Calibri" w:eastAsia="Times New Roman" w:hAnsi="Calibri" w:cs="Calibri"/>
              </w:rPr>
              <w:t>63.64%</w:t>
            </w:r>
          </w:p>
        </w:tc>
        <w:tc>
          <w:tcPr>
            <w:tcW w:w="1530" w:type="dxa"/>
            <w:tcBorders>
              <w:top w:val="nil"/>
              <w:left w:val="nil"/>
              <w:bottom w:val="nil"/>
              <w:right w:val="nil"/>
            </w:tcBorders>
            <w:shd w:val="clear" w:color="auto" w:fill="D9D9D9" w:themeFill="background1" w:themeFillShade="D9"/>
            <w:noWrap/>
            <w:vAlign w:val="bottom"/>
          </w:tcPr>
          <w:p w14:paraId="0A738086" w14:textId="77777777" w:rsidR="00721CFD" w:rsidRPr="00875AA0" w:rsidRDefault="00721CFD" w:rsidP="007B5BB3">
            <w:pPr>
              <w:spacing w:before="120"/>
              <w:jc w:val="right"/>
              <w:rPr>
                <w:rFonts w:ascii="Calibri" w:eastAsia="Times New Roman" w:hAnsi="Calibri" w:cs="Calibri"/>
                <w:color w:val="0D0D0D"/>
              </w:rPr>
            </w:pPr>
            <w:r>
              <w:rPr>
                <w:rFonts w:ascii="Calibri" w:eastAsia="Times New Roman" w:hAnsi="Calibri" w:cs="Calibri"/>
                <w:color w:val="0D0D0D"/>
              </w:rPr>
              <w:t>74.74</w:t>
            </w:r>
            <w:r w:rsidRPr="00875AA0">
              <w:rPr>
                <w:rFonts w:ascii="Calibri" w:eastAsia="Times New Roman" w:hAnsi="Calibri" w:cs="Calibri"/>
                <w:color w:val="0D0D0D"/>
              </w:rPr>
              <w:t>%</w:t>
            </w:r>
          </w:p>
        </w:tc>
      </w:tr>
      <w:tr w:rsidR="00721CFD" w:rsidRPr="00875AA0" w14:paraId="265777BE" w14:textId="77777777" w:rsidTr="007B5BB3">
        <w:trPr>
          <w:trHeight w:val="171"/>
          <w:jc w:val="center"/>
        </w:trPr>
        <w:tc>
          <w:tcPr>
            <w:tcW w:w="6123" w:type="dxa"/>
            <w:tcBorders>
              <w:top w:val="nil"/>
              <w:left w:val="nil"/>
              <w:bottom w:val="nil"/>
              <w:right w:val="nil"/>
            </w:tcBorders>
            <w:shd w:val="clear" w:color="000000" w:fill="FFFFFF"/>
            <w:noWrap/>
            <w:vAlign w:val="bottom"/>
            <w:hideMark/>
          </w:tcPr>
          <w:p w14:paraId="4D23007B" w14:textId="77777777" w:rsidR="00721CFD" w:rsidRPr="00875AA0" w:rsidRDefault="00721CFD" w:rsidP="007B5BB3">
            <w:pPr>
              <w:rPr>
                <w:rFonts w:ascii="Calibri" w:eastAsia="Times New Roman" w:hAnsi="Calibri" w:cs="Calibri"/>
                <w:color w:val="0D0D0D"/>
              </w:rPr>
            </w:pPr>
            <w:r w:rsidRPr="00875AA0">
              <w:rPr>
                <w:rFonts w:ascii="Calibri" w:eastAsia="Times New Roman" w:hAnsi="Calibri" w:cs="Calibri"/>
                <w:color w:val="0D0D0D"/>
              </w:rPr>
              <w:t>Covered payroll</w:t>
            </w:r>
          </w:p>
        </w:tc>
        <w:tc>
          <w:tcPr>
            <w:tcW w:w="1437" w:type="dxa"/>
            <w:tcBorders>
              <w:top w:val="nil"/>
              <w:left w:val="nil"/>
              <w:bottom w:val="nil"/>
              <w:right w:val="nil"/>
            </w:tcBorders>
            <w:shd w:val="clear" w:color="000000" w:fill="FFFFFF"/>
            <w:noWrap/>
            <w:vAlign w:val="bottom"/>
            <w:hideMark/>
          </w:tcPr>
          <w:p w14:paraId="52D64347"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            48</w:t>
            </w:r>
          </w:p>
        </w:tc>
        <w:tc>
          <w:tcPr>
            <w:tcW w:w="1530" w:type="dxa"/>
            <w:tcBorders>
              <w:top w:val="nil"/>
              <w:left w:val="nil"/>
              <w:bottom w:val="nil"/>
              <w:right w:val="nil"/>
            </w:tcBorders>
            <w:shd w:val="clear" w:color="auto" w:fill="D9D9D9" w:themeFill="background1" w:themeFillShade="D9"/>
            <w:noWrap/>
            <w:vAlign w:val="bottom"/>
          </w:tcPr>
          <w:p w14:paraId="00DFD769" w14:textId="77777777" w:rsidR="00721CFD" w:rsidRPr="00875AA0" w:rsidRDefault="00721CFD" w:rsidP="007B5BB3">
            <w:pPr>
              <w:jc w:val="right"/>
              <w:rPr>
                <w:rFonts w:ascii="Calibri" w:eastAsia="Times New Roman" w:hAnsi="Calibri" w:cs="Calibri"/>
                <w:color w:val="0D0D0D"/>
              </w:rPr>
            </w:pPr>
            <w:r w:rsidRPr="00875AA0">
              <w:rPr>
                <w:rFonts w:ascii="Calibri" w:eastAsia="Times New Roman" w:hAnsi="Calibri" w:cs="Calibri"/>
                <w:color w:val="0D0D0D"/>
              </w:rPr>
              <w:t>$            6</w:t>
            </w:r>
            <w:r>
              <w:rPr>
                <w:rFonts w:ascii="Calibri" w:eastAsia="Times New Roman" w:hAnsi="Calibri" w:cs="Calibri"/>
                <w:color w:val="0D0D0D"/>
              </w:rPr>
              <w:t>5</w:t>
            </w:r>
          </w:p>
        </w:tc>
      </w:tr>
      <w:tr w:rsidR="00721CFD" w:rsidRPr="00875AA0" w14:paraId="4AD6F0BC" w14:textId="77777777" w:rsidTr="007B5BB3">
        <w:trPr>
          <w:trHeight w:val="90"/>
          <w:jc w:val="center"/>
        </w:trPr>
        <w:tc>
          <w:tcPr>
            <w:tcW w:w="6123" w:type="dxa"/>
            <w:tcBorders>
              <w:top w:val="nil"/>
              <w:left w:val="nil"/>
              <w:bottom w:val="nil"/>
              <w:right w:val="nil"/>
            </w:tcBorders>
            <w:shd w:val="clear" w:color="000000" w:fill="FFFFFF"/>
            <w:noWrap/>
            <w:vAlign w:val="bottom"/>
            <w:hideMark/>
          </w:tcPr>
          <w:p w14:paraId="04996807" w14:textId="77777777" w:rsidR="00721CFD" w:rsidRPr="00875AA0" w:rsidRDefault="00721CFD" w:rsidP="007B5BB3">
            <w:pPr>
              <w:rPr>
                <w:rFonts w:ascii="Calibri" w:eastAsia="Times New Roman" w:hAnsi="Calibri" w:cs="Calibri"/>
                <w:color w:val="0D0D0D"/>
              </w:rPr>
            </w:pPr>
            <w:r w:rsidRPr="00875AA0">
              <w:rPr>
                <w:rFonts w:ascii="Calibri" w:eastAsia="Times New Roman" w:hAnsi="Calibri" w:cs="Calibri"/>
                <w:color w:val="0D0D0D"/>
              </w:rPr>
              <w:t>Net pension liability as a percentage of covered payroll</w:t>
            </w:r>
          </w:p>
        </w:tc>
        <w:tc>
          <w:tcPr>
            <w:tcW w:w="1437" w:type="dxa"/>
            <w:tcBorders>
              <w:top w:val="nil"/>
              <w:left w:val="nil"/>
              <w:bottom w:val="nil"/>
              <w:right w:val="nil"/>
            </w:tcBorders>
            <w:shd w:val="clear" w:color="000000" w:fill="FFFFFF"/>
            <w:noWrap/>
            <w:vAlign w:val="bottom"/>
            <w:hideMark/>
          </w:tcPr>
          <w:p w14:paraId="0C3895C6"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24138.26%</w:t>
            </w:r>
          </w:p>
        </w:tc>
        <w:tc>
          <w:tcPr>
            <w:tcW w:w="1530" w:type="dxa"/>
            <w:tcBorders>
              <w:top w:val="nil"/>
              <w:left w:val="nil"/>
              <w:bottom w:val="nil"/>
              <w:right w:val="nil"/>
            </w:tcBorders>
            <w:shd w:val="clear" w:color="auto" w:fill="D9D9D9" w:themeFill="background1" w:themeFillShade="D9"/>
            <w:noWrap/>
            <w:vAlign w:val="bottom"/>
          </w:tcPr>
          <w:p w14:paraId="71D671C1" w14:textId="77777777" w:rsidR="00721CFD" w:rsidRPr="00875AA0" w:rsidRDefault="00721CFD" w:rsidP="007B5BB3">
            <w:pPr>
              <w:jc w:val="right"/>
              <w:rPr>
                <w:rFonts w:ascii="Calibri" w:eastAsia="Times New Roman" w:hAnsi="Calibri" w:cs="Calibri"/>
                <w:color w:val="0D0D0D"/>
              </w:rPr>
            </w:pPr>
            <w:r>
              <w:rPr>
                <w:rFonts w:ascii="Calibri" w:eastAsia="Times New Roman" w:hAnsi="Calibri" w:cs="Calibri"/>
                <w:color w:val="0D0D0D"/>
              </w:rPr>
              <w:t>13158</w:t>
            </w:r>
            <w:r w:rsidRPr="00875AA0">
              <w:rPr>
                <w:rFonts w:ascii="Calibri" w:eastAsia="Times New Roman" w:hAnsi="Calibri" w:cs="Calibri"/>
                <w:color w:val="0D0D0D"/>
              </w:rPr>
              <w:t>.</w:t>
            </w:r>
            <w:r>
              <w:rPr>
                <w:rFonts w:ascii="Calibri" w:eastAsia="Times New Roman" w:hAnsi="Calibri" w:cs="Calibri"/>
                <w:color w:val="0D0D0D"/>
              </w:rPr>
              <w:t>91</w:t>
            </w:r>
            <w:r w:rsidRPr="00875AA0">
              <w:rPr>
                <w:rFonts w:ascii="Calibri" w:eastAsia="Times New Roman" w:hAnsi="Calibri" w:cs="Calibri"/>
                <w:color w:val="0D0D0D"/>
              </w:rPr>
              <w:t>%</w:t>
            </w:r>
          </w:p>
        </w:tc>
      </w:tr>
      <w:tr w:rsidR="00721CFD" w:rsidRPr="00875AA0" w14:paraId="70C79561" w14:textId="77777777" w:rsidTr="007B5BB3">
        <w:trPr>
          <w:trHeight w:val="90"/>
          <w:jc w:val="center"/>
        </w:trPr>
        <w:tc>
          <w:tcPr>
            <w:tcW w:w="6123" w:type="dxa"/>
            <w:tcBorders>
              <w:top w:val="nil"/>
              <w:left w:val="nil"/>
              <w:bottom w:val="nil"/>
              <w:right w:val="nil"/>
            </w:tcBorders>
            <w:shd w:val="clear" w:color="000000" w:fill="FFFFFF"/>
            <w:vAlign w:val="bottom"/>
            <w:hideMark/>
          </w:tcPr>
          <w:p w14:paraId="32DE4905" w14:textId="77777777" w:rsidR="00721CFD" w:rsidRPr="00875AA0" w:rsidRDefault="00721CFD" w:rsidP="007B5BB3">
            <w:pPr>
              <w:rPr>
                <w:rFonts w:ascii="Calibri" w:eastAsia="Times New Roman" w:hAnsi="Calibri" w:cs="Calibri"/>
                <w:color w:val="0D0D0D"/>
              </w:rPr>
            </w:pPr>
            <w:r w:rsidRPr="00875AA0">
              <w:rPr>
                <w:rFonts w:ascii="Calibri" w:eastAsia="Times New Roman" w:hAnsi="Calibri" w:cs="Calibri"/>
                <w:color w:val="0D0D0D"/>
              </w:rPr>
              <w:t>Contributions as a percentage of covered payroll</w:t>
            </w:r>
          </w:p>
        </w:tc>
        <w:tc>
          <w:tcPr>
            <w:tcW w:w="1437" w:type="dxa"/>
            <w:tcBorders>
              <w:top w:val="nil"/>
              <w:left w:val="nil"/>
              <w:bottom w:val="nil"/>
              <w:right w:val="nil"/>
            </w:tcBorders>
            <w:shd w:val="clear" w:color="000000" w:fill="FFFFFF"/>
            <w:noWrap/>
            <w:vAlign w:val="bottom"/>
            <w:hideMark/>
          </w:tcPr>
          <w:p w14:paraId="14A40DCD"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1392.86%</w:t>
            </w:r>
          </w:p>
        </w:tc>
        <w:tc>
          <w:tcPr>
            <w:tcW w:w="1530" w:type="dxa"/>
            <w:tcBorders>
              <w:top w:val="nil"/>
              <w:left w:val="nil"/>
              <w:bottom w:val="nil"/>
              <w:right w:val="nil"/>
            </w:tcBorders>
            <w:shd w:val="clear" w:color="auto" w:fill="D9D9D9" w:themeFill="background1" w:themeFillShade="D9"/>
            <w:noWrap/>
            <w:vAlign w:val="bottom"/>
          </w:tcPr>
          <w:p w14:paraId="74B221CC" w14:textId="77777777" w:rsidR="00721CFD" w:rsidRPr="00875AA0" w:rsidRDefault="00721CFD" w:rsidP="007B5BB3">
            <w:pPr>
              <w:jc w:val="right"/>
              <w:rPr>
                <w:rFonts w:ascii="Calibri" w:eastAsia="Times New Roman" w:hAnsi="Calibri" w:cs="Calibri"/>
                <w:color w:val="0D0D0D"/>
              </w:rPr>
            </w:pPr>
            <w:r>
              <w:rPr>
                <w:rFonts w:ascii="Calibri" w:eastAsia="Times New Roman" w:hAnsi="Calibri" w:cs="Calibri"/>
                <w:color w:val="0D0D0D"/>
              </w:rPr>
              <w:t>1396.00</w:t>
            </w:r>
            <w:r w:rsidRPr="00875AA0">
              <w:rPr>
                <w:rFonts w:ascii="Calibri" w:eastAsia="Times New Roman" w:hAnsi="Calibri" w:cs="Calibri"/>
                <w:color w:val="0D0D0D"/>
              </w:rPr>
              <w:t>%</w:t>
            </w:r>
          </w:p>
        </w:tc>
      </w:tr>
      <w:tr w:rsidR="00721CFD" w:rsidRPr="00875AA0" w14:paraId="17140DCB" w14:textId="77777777" w:rsidTr="007B5BB3">
        <w:trPr>
          <w:trHeight w:val="90"/>
          <w:jc w:val="center"/>
        </w:trPr>
        <w:tc>
          <w:tcPr>
            <w:tcW w:w="6123" w:type="dxa"/>
            <w:tcBorders>
              <w:top w:val="nil"/>
              <w:left w:val="nil"/>
              <w:bottom w:val="nil"/>
              <w:right w:val="nil"/>
            </w:tcBorders>
            <w:shd w:val="clear" w:color="000000" w:fill="FFFFFF"/>
            <w:noWrap/>
            <w:vAlign w:val="bottom"/>
            <w:hideMark/>
          </w:tcPr>
          <w:p w14:paraId="33BA9743" w14:textId="77777777" w:rsidR="00721CFD" w:rsidRPr="00875AA0" w:rsidRDefault="00721CFD" w:rsidP="007B5BB3">
            <w:pPr>
              <w:rPr>
                <w:rFonts w:ascii="Calibri" w:eastAsia="Times New Roman" w:hAnsi="Calibri" w:cs="Calibri"/>
                <w:color w:val="0D0D0D"/>
              </w:rPr>
            </w:pPr>
            <w:r w:rsidRPr="00875AA0">
              <w:rPr>
                <w:rFonts w:ascii="Calibri" w:eastAsia="Times New Roman" w:hAnsi="Calibri" w:cs="Calibri"/>
                <w:color w:val="0D0D0D"/>
              </w:rPr>
              <w:t>Plan assets measured at fair value</w:t>
            </w:r>
          </w:p>
        </w:tc>
        <w:tc>
          <w:tcPr>
            <w:tcW w:w="1437" w:type="dxa"/>
            <w:tcBorders>
              <w:top w:val="nil"/>
              <w:left w:val="nil"/>
              <w:bottom w:val="nil"/>
              <w:right w:val="nil"/>
            </w:tcBorders>
            <w:shd w:val="clear" w:color="000000" w:fill="FFFFFF"/>
            <w:noWrap/>
            <w:vAlign w:val="bottom"/>
            <w:hideMark/>
          </w:tcPr>
          <w:p w14:paraId="1849A3E8" w14:textId="77777777" w:rsidR="00721CFD" w:rsidRPr="00A93FB3" w:rsidRDefault="00721CFD" w:rsidP="007B5BB3">
            <w:pPr>
              <w:ind w:firstLineChars="100" w:firstLine="220"/>
              <w:jc w:val="right"/>
              <w:rPr>
                <w:rFonts w:ascii="Calibri" w:eastAsia="Times New Roman" w:hAnsi="Calibri" w:cs="Calibri"/>
              </w:rPr>
            </w:pPr>
            <w:r w:rsidRPr="00A93FB3">
              <w:rPr>
                <w:rFonts w:ascii="Calibri" w:eastAsia="Times New Roman" w:hAnsi="Calibri" w:cs="Calibri"/>
              </w:rPr>
              <w:t>$    20,392</w:t>
            </w:r>
          </w:p>
        </w:tc>
        <w:tc>
          <w:tcPr>
            <w:tcW w:w="1530" w:type="dxa"/>
            <w:tcBorders>
              <w:top w:val="nil"/>
              <w:left w:val="nil"/>
              <w:bottom w:val="nil"/>
              <w:right w:val="nil"/>
            </w:tcBorders>
            <w:shd w:val="clear" w:color="auto" w:fill="D9D9D9" w:themeFill="background1" w:themeFillShade="D9"/>
            <w:noWrap/>
            <w:vAlign w:val="bottom"/>
          </w:tcPr>
          <w:p w14:paraId="5C21C875" w14:textId="77777777" w:rsidR="00721CFD" w:rsidRPr="00875AA0" w:rsidRDefault="00721CFD" w:rsidP="007B5BB3">
            <w:pPr>
              <w:ind w:firstLineChars="100" w:firstLine="220"/>
              <w:jc w:val="right"/>
              <w:rPr>
                <w:rFonts w:ascii="Calibri" w:eastAsia="Times New Roman" w:hAnsi="Calibri" w:cs="Calibri"/>
                <w:color w:val="0D0D0D"/>
              </w:rPr>
            </w:pPr>
            <w:r w:rsidRPr="00875AA0">
              <w:rPr>
                <w:rFonts w:ascii="Calibri" w:eastAsia="Times New Roman" w:hAnsi="Calibri" w:cs="Calibri"/>
                <w:color w:val="0D0D0D"/>
              </w:rPr>
              <w:t xml:space="preserve">$    </w:t>
            </w:r>
            <w:r>
              <w:rPr>
                <w:rFonts w:ascii="Calibri" w:eastAsia="Times New Roman" w:hAnsi="Calibri" w:cs="Calibri"/>
                <w:color w:val="0D0D0D"/>
              </w:rPr>
              <w:t>25,291</w:t>
            </w:r>
          </w:p>
        </w:tc>
      </w:tr>
    </w:tbl>
    <w:p w14:paraId="2FE498B9" w14:textId="77777777" w:rsidR="00721CFD" w:rsidRPr="00F54559" w:rsidRDefault="00721CFD" w:rsidP="00265EC2">
      <w:pPr>
        <w:pStyle w:val="AFR3"/>
        <w:spacing w:after="160"/>
        <w:rPr>
          <w:rFonts w:cstheme="minorHAnsi"/>
        </w:rPr>
      </w:pPr>
      <w:r w:rsidRPr="00F54559">
        <w:rPr>
          <w:rFonts w:cstheme="minorHAnsi"/>
        </w:rPr>
        <w:t>e. Funding of Basic and Defined Benefit Plans – Classified Employees</w:t>
      </w:r>
    </w:p>
    <w:p w14:paraId="702F5AF1" w14:textId="626440B7" w:rsidR="00373110" w:rsidRDefault="00721CFD" w:rsidP="00265EC2">
      <w:pPr>
        <w:tabs>
          <w:tab w:val="left" w:pos="1440"/>
          <w:tab w:val="right" w:pos="4262"/>
          <w:tab w:val="right" w:pos="5220"/>
          <w:tab w:val="right" w:pos="6691"/>
          <w:tab w:val="right" w:pos="7621"/>
          <w:tab w:val="right" w:pos="9187"/>
        </w:tabs>
        <w:suppressAutoHyphens/>
        <w:rPr>
          <w:rFonts w:cstheme="minorHAnsi"/>
          <w:b/>
          <w:i/>
          <w:sz w:val="26"/>
          <w:u w:val="single" w:color="000000" w:themeColor="text1"/>
        </w:rPr>
      </w:pPr>
      <w:r w:rsidRPr="00F54559">
        <w:rPr>
          <w:rFonts w:eastAsia="Times New Roman" w:cstheme="minorHAnsi"/>
          <w:bCs/>
          <w:spacing w:val="-3"/>
          <w:sz w:val="24"/>
        </w:rPr>
        <w:t>While the Basic Plan and Defined Benefit Plan are administratively separate, they are both part of the Retirement Plan for Classified Employees and are covered by the same plan document.  In accordance with Section 414(k) of the Internal Revenue Code, the System may elect to fund employer contributions to the Basic Plan and ORSP from any excess assets in the Defined Benefit Plan, subject to certain limitations</w:t>
      </w:r>
      <w:r w:rsidRPr="00F54559">
        <w:rPr>
          <w:rFonts w:eastAsia="Times New Roman" w:cstheme="minorHAnsi"/>
          <w:bCs/>
          <w:spacing w:val="-3"/>
          <w:sz w:val="24"/>
          <w:szCs w:val="24"/>
        </w:rPr>
        <w:t>.</w:t>
      </w:r>
    </w:p>
    <w:p w14:paraId="13F56862" w14:textId="21E8847C" w:rsidR="00185161" w:rsidRDefault="00185161" w:rsidP="00185161">
      <w:pPr>
        <w:pStyle w:val="AFR3"/>
        <w:spacing w:after="160"/>
        <w:rPr>
          <w:rFonts w:cstheme="minorHAnsi"/>
        </w:rPr>
      </w:pPr>
      <w:r>
        <w:rPr>
          <w:rFonts w:cstheme="minorHAnsi"/>
        </w:rPr>
        <w:t>f</w:t>
      </w:r>
      <w:r w:rsidRPr="00F54559">
        <w:rPr>
          <w:rFonts w:cstheme="minorHAnsi"/>
        </w:rPr>
        <w:t xml:space="preserve">. </w:t>
      </w:r>
      <w:r>
        <w:rPr>
          <w:rFonts w:cstheme="minorHAnsi"/>
        </w:rPr>
        <w:t>Early retirement incentives</w:t>
      </w:r>
    </w:p>
    <w:p w14:paraId="0703F715" w14:textId="4481F77A" w:rsidR="00185161" w:rsidRPr="00265EC2" w:rsidRDefault="00185161" w:rsidP="00185161">
      <w:pPr>
        <w:pStyle w:val="AFR3"/>
        <w:spacing w:after="160"/>
        <w:rPr>
          <w:rFonts w:cstheme="minorHAnsi"/>
          <w:b w:val="0"/>
          <w:i w:val="0"/>
          <w:sz w:val="24"/>
          <w:szCs w:val="24"/>
          <w:u w:val="none"/>
        </w:rPr>
      </w:pPr>
      <w:r w:rsidRPr="00265EC2">
        <w:rPr>
          <w:rFonts w:cstheme="minorHAnsi"/>
          <w:b w:val="0"/>
          <w:i w:val="0"/>
          <w:sz w:val="24"/>
          <w:szCs w:val="24"/>
          <w:u w:val="none"/>
        </w:rPr>
        <w:t>In FY22</w:t>
      </w:r>
      <w:r>
        <w:rPr>
          <w:rFonts w:cstheme="minorHAnsi"/>
          <w:b w:val="0"/>
          <w:i w:val="0"/>
          <w:sz w:val="24"/>
          <w:szCs w:val="24"/>
          <w:u w:val="none"/>
        </w:rPr>
        <w:t xml:space="preserve">, the System offered early retirement incentives to </w:t>
      </w:r>
      <w:r w:rsidR="0075598E">
        <w:rPr>
          <w:rFonts w:cstheme="minorHAnsi"/>
          <w:b w:val="0"/>
          <w:i w:val="0"/>
          <w:sz w:val="24"/>
          <w:szCs w:val="24"/>
          <w:u w:val="none"/>
        </w:rPr>
        <w:t>eligible faculty members</w:t>
      </w:r>
      <w:r>
        <w:rPr>
          <w:rFonts w:cstheme="minorHAnsi"/>
          <w:b w:val="0"/>
          <w:i w:val="0"/>
          <w:sz w:val="24"/>
          <w:szCs w:val="24"/>
          <w:u w:val="none"/>
        </w:rPr>
        <w:t xml:space="preserve"> who </w:t>
      </w:r>
      <w:r w:rsidR="00BB389A">
        <w:rPr>
          <w:rFonts w:cstheme="minorHAnsi"/>
          <w:b w:val="0"/>
          <w:i w:val="0"/>
          <w:sz w:val="24"/>
          <w:szCs w:val="24"/>
          <w:u w:val="none"/>
        </w:rPr>
        <w:t xml:space="preserve">made the election </w:t>
      </w:r>
      <w:r>
        <w:rPr>
          <w:rFonts w:cstheme="minorHAnsi"/>
          <w:b w:val="0"/>
          <w:i w:val="0"/>
          <w:sz w:val="24"/>
          <w:szCs w:val="24"/>
          <w:u w:val="none"/>
        </w:rPr>
        <w:t xml:space="preserve">to retire during FY23. </w:t>
      </w:r>
      <w:r w:rsidR="0075598E">
        <w:rPr>
          <w:rFonts w:cstheme="minorHAnsi"/>
          <w:b w:val="0"/>
          <w:i w:val="0"/>
          <w:sz w:val="24"/>
          <w:szCs w:val="24"/>
          <w:u w:val="none"/>
        </w:rPr>
        <w:t xml:space="preserve">Eligibility was based on the member attaining the age of 62 and having 10 </w:t>
      </w:r>
      <w:r w:rsidR="0081248E">
        <w:rPr>
          <w:rFonts w:cstheme="minorHAnsi"/>
          <w:b w:val="0"/>
          <w:i w:val="0"/>
          <w:sz w:val="24"/>
          <w:szCs w:val="24"/>
          <w:u w:val="none"/>
        </w:rPr>
        <w:t xml:space="preserve">or more </w:t>
      </w:r>
      <w:r w:rsidR="0075598E">
        <w:rPr>
          <w:rFonts w:cstheme="minorHAnsi"/>
          <w:b w:val="0"/>
          <w:i w:val="0"/>
          <w:sz w:val="24"/>
          <w:szCs w:val="24"/>
          <w:u w:val="none"/>
        </w:rPr>
        <w:t xml:space="preserve">years of </w:t>
      </w:r>
      <w:r w:rsidR="0081248E">
        <w:rPr>
          <w:rFonts w:cstheme="minorHAnsi"/>
          <w:b w:val="0"/>
          <w:i w:val="0"/>
          <w:sz w:val="24"/>
          <w:szCs w:val="24"/>
          <w:u w:val="none"/>
        </w:rPr>
        <w:t xml:space="preserve">consecutive </w:t>
      </w:r>
      <w:r w:rsidR="0075598E">
        <w:rPr>
          <w:rFonts w:cstheme="minorHAnsi"/>
          <w:b w:val="0"/>
          <w:i w:val="0"/>
          <w:sz w:val="24"/>
          <w:szCs w:val="24"/>
          <w:u w:val="none"/>
        </w:rPr>
        <w:t xml:space="preserve">service at the </w:t>
      </w:r>
      <w:r w:rsidR="00C97354">
        <w:rPr>
          <w:rFonts w:cstheme="minorHAnsi"/>
          <w:b w:val="0"/>
          <w:i w:val="0"/>
          <w:sz w:val="24"/>
          <w:szCs w:val="24"/>
          <w:u w:val="none"/>
        </w:rPr>
        <w:t>time of retirement</w:t>
      </w:r>
      <w:r w:rsidR="0081248E">
        <w:rPr>
          <w:rFonts w:cstheme="minorHAnsi"/>
          <w:b w:val="0"/>
          <w:i w:val="0"/>
          <w:sz w:val="24"/>
          <w:szCs w:val="24"/>
          <w:u w:val="none"/>
        </w:rPr>
        <w:t xml:space="preserve">; or age 60 or older and having 20 or more years of service. </w:t>
      </w:r>
      <w:r>
        <w:rPr>
          <w:rFonts w:cstheme="minorHAnsi"/>
          <w:b w:val="0"/>
          <w:i w:val="0"/>
          <w:sz w:val="24"/>
          <w:szCs w:val="24"/>
          <w:u w:val="none"/>
        </w:rPr>
        <w:t>The incentives are</w:t>
      </w:r>
      <w:r w:rsidRPr="00265EC2">
        <w:rPr>
          <w:rFonts w:eastAsia="Times New Roman" w:cstheme="minorHAnsi"/>
          <w:b w:val="0"/>
          <w:i w:val="0"/>
          <w:spacing w:val="-3"/>
          <w:sz w:val="24"/>
          <w:szCs w:val="24"/>
          <w:u w:val="none"/>
        </w:rPr>
        <w:t xml:space="preserve"> </w:t>
      </w:r>
      <w:r>
        <w:rPr>
          <w:rFonts w:eastAsia="Times New Roman" w:cstheme="minorHAnsi"/>
          <w:b w:val="0"/>
          <w:i w:val="0"/>
          <w:spacing w:val="-3"/>
          <w:sz w:val="24"/>
          <w:szCs w:val="24"/>
          <w:u w:val="none"/>
        </w:rPr>
        <w:t>equal to 100% of the employee</w:t>
      </w:r>
      <w:r w:rsidR="00D20377">
        <w:rPr>
          <w:rFonts w:eastAsia="Times New Roman" w:cstheme="minorHAnsi"/>
          <w:b w:val="0"/>
          <w:i w:val="0"/>
          <w:spacing w:val="-3"/>
          <w:sz w:val="24"/>
          <w:szCs w:val="24"/>
          <w:u w:val="none"/>
        </w:rPr>
        <w:t xml:space="preserve">’s </w:t>
      </w:r>
      <w:r>
        <w:rPr>
          <w:rFonts w:eastAsia="Times New Roman" w:cstheme="minorHAnsi"/>
          <w:b w:val="0"/>
          <w:i w:val="0"/>
          <w:spacing w:val="-3"/>
          <w:sz w:val="24"/>
          <w:szCs w:val="24"/>
          <w:u w:val="none"/>
        </w:rPr>
        <w:t xml:space="preserve">annual salary and is </w:t>
      </w:r>
      <w:r w:rsidRPr="00265EC2">
        <w:rPr>
          <w:rFonts w:eastAsia="Times New Roman" w:cstheme="minorHAnsi"/>
          <w:b w:val="0"/>
          <w:i w:val="0"/>
          <w:spacing w:val="-3"/>
          <w:sz w:val="24"/>
          <w:szCs w:val="24"/>
          <w:u w:val="none"/>
        </w:rPr>
        <w:t>to be paid as a lump-sum contribution to the p</w:t>
      </w:r>
      <w:r>
        <w:rPr>
          <w:rFonts w:eastAsia="Times New Roman" w:cstheme="minorHAnsi"/>
          <w:b w:val="0"/>
          <w:i w:val="0"/>
          <w:spacing w:val="-3"/>
          <w:sz w:val="24"/>
          <w:szCs w:val="24"/>
          <w:u w:val="none"/>
        </w:rPr>
        <w:t xml:space="preserve">articipant’s retirement account in FY23 unless the retirement date </w:t>
      </w:r>
      <w:r w:rsidR="0075598E">
        <w:rPr>
          <w:rFonts w:eastAsia="Times New Roman" w:cstheme="minorHAnsi"/>
          <w:b w:val="0"/>
          <w:i w:val="0"/>
          <w:spacing w:val="-3"/>
          <w:sz w:val="24"/>
          <w:szCs w:val="24"/>
          <w:u w:val="none"/>
        </w:rPr>
        <w:t>is deferred upon request of the System’s administrators. The estimated cost of the payments, reported in the System’s liabilities, is $9,657.</w:t>
      </w:r>
    </w:p>
    <w:p w14:paraId="42F8A390" w14:textId="4A169B51" w:rsidR="00721CFD" w:rsidRPr="00F54559" w:rsidRDefault="00721CFD" w:rsidP="00721CFD">
      <w:pPr>
        <w:pStyle w:val="AFR2"/>
        <w:rPr>
          <w:rFonts w:cstheme="minorHAnsi"/>
          <w:sz w:val="26"/>
          <w:szCs w:val="26"/>
        </w:rPr>
      </w:pPr>
      <w:r w:rsidRPr="00F54559">
        <w:rPr>
          <w:rFonts w:cstheme="minorHAnsi"/>
          <w:sz w:val="26"/>
          <w:szCs w:val="26"/>
        </w:rPr>
        <w:lastRenderedPageBreak/>
        <w:t>14. POSTEMPLOYMENT HEALTH PLAN</w:t>
      </w:r>
    </w:p>
    <w:p w14:paraId="57A79E68" w14:textId="77777777" w:rsidR="00721CFD" w:rsidRPr="00F54559" w:rsidRDefault="00721CFD" w:rsidP="00721CFD">
      <w:pPr>
        <w:tabs>
          <w:tab w:val="left" w:pos="900"/>
          <w:tab w:val="left" w:pos="10260"/>
        </w:tabs>
        <w:spacing w:after="160"/>
        <w:rPr>
          <w:rFonts w:cstheme="minorHAnsi"/>
          <w:sz w:val="24"/>
        </w:rPr>
      </w:pPr>
      <w:r w:rsidRPr="00F54559">
        <w:rPr>
          <w:rFonts w:eastAsia="Times New Roman" w:cstheme="minorHAnsi"/>
          <w:b/>
          <w:sz w:val="26"/>
          <w:szCs w:val="26"/>
        </w:rPr>
        <w:t>Plan Description</w:t>
      </w:r>
    </w:p>
    <w:p w14:paraId="5474E67A" w14:textId="77777777" w:rsidR="00721CFD" w:rsidRPr="00F54559" w:rsidRDefault="00721CFD" w:rsidP="00721CFD">
      <w:pPr>
        <w:tabs>
          <w:tab w:val="left" w:pos="900"/>
          <w:tab w:val="left" w:pos="10260"/>
        </w:tabs>
        <w:rPr>
          <w:rFonts w:cstheme="minorHAnsi"/>
          <w:sz w:val="24"/>
        </w:rPr>
      </w:pPr>
      <w:r w:rsidRPr="00F54559">
        <w:rPr>
          <w:rFonts w:eastAsia="Franklin Gothic Book" w:cstheme="minorHAnsi"/>
          <w:b/>
          <w:i/>
          <w:sz w:val="24"/>
        </w:rPr>
        <w:t>Plan Administration:</w:t>
      </w:r>
      <w:r w:rsidRPr="00F54559">
        <w:rPr>
          <w:rFonts w:cstheme="minorHAnsi"/>
          <w:sz w:val="24"/>
        </w:rPr>
        <w:t xml:space="preserve">  The Other Postemployment Benefits (OPEB) Health Plan (“OPEB Plan”) is a defined benefit, single employer plan, administered by the System. The OPEB Plan does not produce standalone financial statements.  Within certain limits, the Board of Trustees has authority to establish and amend provisions under the Plan for retirees. This authority is subject to collective bargaining agreements for active employees.</w:t>
      </w:r>
    </w:p>
    <w:p w14:paraId="43FAFC4F" w14:textId="77777777" w:rsidR="00373110" w:rsidRPr="00F54559" w:rsidRDefault="00373110" w:rsidP="00265EC2">
      <w:pPr>
        <w:spacing w:line="259" w:lineRule="auto"/>
        <w:rPr>
          <w:rFonts w:eastAsiaTheme="majorEastAsia" w:cstheme="minorHAnsi"/>
          <w:i/>
          <w:iCs/>
          <w:smallCaps/>
          <w:noProof/>
          <w:color w:val="000000" w:themeColor="text1"/>
          <w:szCs w:val="26"/>
          <w:u w:color="5B9BD5"/>
        </w:rPr>
      </w:pPr>
    </w:p>
    <w:p w14:paraId="4FCABB1D" w14:textId="77777777" w:rsidR="00721CFD" w:rsidRPr="00F54559" w:rsidRDefault="00721CFD" w:rsidP="00721CFD">
      <w:pPr>
        <w:tabs>
          <w:tab w:val="left" w:pos="900"/>
          <w:tab w:val="left" w:pos="10260"/>
        </w:tabs>
        <w:rPr>
          <w:rFonts w:cstheme="minorHAnsi"/>
          <w:sz w:val="24"/>
          <w:szCs w:val="24"/>
        </w:rPr>
      </w:pPr>
      <w:r w:rsidRPr="00F54559">
        <w:rPr>
          <w:rFonts w:eastAsia="Franklin Gothic Book" w:cstheme="minorHAnsi"/>
          <w:b/>
          <w:i/>
          <w:sz w:val="24"/>
        </w:rPr>
        <w:t>Plan Benefits:</w:t>
      </w:r>
      <w:r w:rsidRPr="00F54559">
        <w:rPr>
          <w:rFonts w:cstheme="minorHAnsi"/>
          <w:sz w:val="24"/>
        </w:rPr>
        <w:t xml:space="preserve">  System retirees at or above the normal retirement age of 65 with at least ten years of continuous full-time regular university service immediately prior to retirement, and who are in the System health plan upon retirement, are eligible for </w:t>
      </w:r>
      <w:r>
        <w:rPr>
          <w:rFonts w:cstheme="minorHAnsi"/>
          <w:sz w:val="24"/>
        </w:rPr>
        <w:t xml:space="preserve">post-retirement </w:t>
      </w:r>
      <w:r w:rsidRPr="00F54559">
        <w:rPr>
          <w:rFonts w:cstheme="minorHAnsi"/>
          <w:sz w:val="24"/>
        </w:rPr>
        <w:t xml:space="preserve">health coverage. This coverage is also extended to </w:t>
      </w:r>
      <w:r w:rsidRPr="00F54559">
        <w:rPr>
          <w:rFonts w:cstheme="minorHAnsi"/>
          <w:sz w:val="24"/>
          <w:szCs w:val="24"/>
        </w:rPr>
        <w:t xml:space="preserve">those former </w:t>
      </w:r>
      <w:r>
        <w:rPr>
          <w:rFonts w:cstheme="minorHAnsi"/>
          <w:sz w:val="24"/>
          <w:szCs w:val="24"/>
        </w:rPr>
        <w:t xml:space="preserve">eligible </w:t>
      </w:r>
      <w:r w:rsidRPr="00F54559">
        <w:rPr>
          <w:rFonts w:cstheme="minorHAnsi"/>
          <w:sz w:val="24"/>
          <w:szCs w:val="24"/>
        </w:rPr>
        <w:t xml:space="preserve">employees </w:t>
      </w:r>
      <w:r>
        <w:rPr>
          <w:rFonts w:cstheme="minorHAnsi"/>
          <w:sz w:val="24"/>
          <w:szCs w:val="24"/>
        </w:rPr>
        <w:t xml:space="preserve">who </w:t>
      </w:r>
      <w:r w:rsidRPr="00F54559">
        <w:rPr>
          <w:rFonts w:cstheme="minorHAnsi"/>
          <w:sz w:val="24"/>
          <w:szCs w:val="24"/>
        </w:rPr>
        <w:t>receiv</w:t>
      </w:r>
      <w:r>
        <w:rPr>
          <w:rFonts w:cstheme="minorHAnsi"/>
          <w:sz w:val="24"/>
          <w:szCs w:val="24"/>
        </w:rPr>
        <w:t>e</w:t>
      </w:r>
      <w:r w:rsidRPr="00F54559">
        <w:rPr>
          <w:rFonts w:cstheme="minorHAnsi"/>
          <w:sz w:val="24"/>
          <w:szCs w:val="24"/>
        </w:rPr>
        <w:t xml:space="preserve"> benefits under the System’s long-term disability (LTD) insurance and to widows/widowers of university employees and retirees. Employees who retire on or after April 1, 2008 and former employees receiving LTD benefits will have a one-time election to cease coverage under the System health plan and later reenroll for coverage provided continuous coverage is documented.</w:t>
      </w:r>
    </w:p>
    <w:p w14:paraId="2F791D54" w14:textId="77777777" w:rsidR="00721CFD" w:rsidRPr="00F54559" w:rsidRDefault="00721CFD" w:rsidP="00721CFD">
      <w:pPr>
        <w:tabs>
          <w:tab w:val="left" w:pos="900"/>
          <w:tab w:val="left" w:pos="10260"/>
        </w:tabs>
        <w:rPr>
          <w:rFonts w:cstheme="minorHAnsi"/>
          <w:sz w:val="24"/>
          <w:szCs w:val="24"/>
        </w:rPr>
      </w:pPr>
    </w:p>
    <w:p w14:paraId="5466F888" w14:textId="7092E2AF" w:rsidR="00721CFD" w:rsidRPr="00F54559" w:rsidRDefault="00721CFD" w:rsidP="00721CFD">
      <w:pPr>
        <w:tabs>
          <w:tab w:val="left" w:pos="900"/>
          <w:tab w:val="left" w:pos="10260"/>
        </w:tabs>
        <w:spacing w:after="240"/>
        <w:rPr>
          <w:rFonts w:cstheme="minorHAnsi"/>
          <w:sz w:val="24"/>
          <w:szCs w:val="24"/>
        </w:rPr>
      </w:pPr>
      <w:r w:rsidRPr="00F54559">
        <w:rPr>
          <w:rFonts w:cstheme="minorHAnsi"/>
          <w:sz w:val="24"/>
          <w:szCs w:val="24"/>
        </w:rPr>
        <w:t>The System</w:t>
      </w:r>
      <w:r>
        <w:rPr>
          <w:rFonts w:cstheme="minorHAnsi"/>
          <w:sz w:val="24"/>
          <w:szCs w:val="24"/>
        </w:rPr>
        <w:t xml:space="preserve"> Medicare eligible retiree health plan options include a Medicare Exchange program with an HRA and a group health plan which </w:t>
      </w:r>
      <w:r w:rsidRPr="00F54559">
        <w:rPr>
          <w:rFonts w:cstheme="minorHAnsi"/>
          <w:sz w:val="24"/>
          <w:szCs w:val="24"/>
        </w:rPr>
        <w:t>subsidizes the cost of insurance for eligible persons who are retired from the System and have reached age 65</w:t>
      </w:r>
      <w:r>
        <w:rPr>
          <w:rFonts w:cstheme="minorHAnsi"/>
          <w:sz w:val="24"/>
          <w:szCs w:val="24"/>
        </w:rPr>
        <w:t xml:space="preserve">, who are under age 65 and are part of a special retirement incentive program, </w:t>
      </w:r>
      <w:r w:rsidRPr="00F54559">
        <w:rPr>
          <w:rFonts w:cstheme="minorHAnsi"/>
          <w:sz w:val="24"/>
          <w:szCs w:val="24"/>
        </w:rPr>
        <w:t>and</w:t>
      </w:r>
      <w:r>
        <w:rPr>
          <w:rFonts w:cstheme="minorHAnsi"/>
          <w:sz w:val="24"/>
          <w:szCs w:val="24"/>
        </w:rPr>
        <w:t xml:space="preserve"> who are </w:t>
      </w:r>
      <w:r w:rsidRPr="00F54559">
        <w:rPr>
          <w:rFonts w:cstheme="minorHAnsi"/>
          <w:sz w:val="24"/>
          <w:szCs w:val="24"/>
        </w:rPr>
        <w:t>former employees</w:t>
      </w:r>
      <w:r>
        <w:rPr>
          <w:rFonts w:cstheme="minorHAnsi"/>
          <w:sz w:val="24"/>
          <w:szCs w:val="24"/>
        </w:rPr>
        <w:t xml:space="preserve"> and </w:t>
      </w:r>
      <w:r w:rsidRPr="00F54559">
        <w:rPr>
          <w:rFonts w:cstheme="minorHAnsi"/>
          <w:sz w:val="24"/>
          <w:szCs w:val="24"/>
        </w:rPr>
        <w:t xml:space="preserve">approved for LTD benefits regardless of age or </w:t>
      </w:r>
      <w:r>
        <w:rPr>
          <w:rFonts w:cstheme="minorHAnsi"/>
          <w:sz w:val="24"/>
          <w:szCs w:val="24"/>
        </w:rPr>
        <w:t xml:space="preserve">years of </w:t>
      </w:r>
      <w:r w:rsidRPr="00F54559">
        <w:rPr>
          <w:rFonts w:cstheme="minorHAnsi"/>
          <w:sz w:val="24"/>
          <w:szCs w:val="24"/>
        </w:rPr>
        <w:t>service</w:t>
      </w:r>
      <w:r>
        <w:rPr>
          <w:rFonts w:cstheme="minorHAnsi"/>
          <w:sz w:val="24"/>
          <w:szCs w:val="24"/>
        </w:rPr>
        <w:t xml:space="preserve">. The level of subsidy </w:t>
      </w:r>
      <w:r w:rsidR="00EA1F01">
        <w:rPr>
          <w:rFonts w:cstheme="minorHAnsi"/>
          <w:sz w:val="24"/>
          <w:szCs w:val="24"/>
        </w:rPr>
        <w:t xml:space="preserve">may </w:t>
      </w:r>
      <w:r>
        <w:rPr>
          <w:rFonts w:cstheme="minorHAnsi"/>
          <w:sz w:val="24"/>
          <w:szCs w:val="24"/>
        </w:rPr>
        <w:t>var</w:t>
      </w:r>
      <w:r w:rsidR="00EA1F01">
        <w:rPr>
          <w:rFonts w:cstheme="minorHAnsi"/>
          <w:sz w:val="24"/>
          <w:szCs w:val="24"/>
        </w:rPr>
        <w:t xml:space="preserve">y depending on plan selected, retirement incentive programs, </w:t>
      </w:r>
      <w:r>
        <w:rPr>
          <w:rFonts w:cstheme="minorHAnsi"/>
          <w:sz w:val="24"/>
          <w:szCs w:val="24"/>
        </w:rPr>
        <w:t xml:space="preserve">retirement date and years of service. The System also provides a subsidy for eligible spouses and dependents. </w:t>
      </w:r>
      <w:r w:rsidRPr="00F54559">
        <w:rPr>
          <w:rFonts w:cstheme="minorHAnsi"/>
          <w:sz w:val="24"/>
          <w:szCs w:val="24"/>
        </w:rPr>
        <w:t xml:space="preserve">With certain restrictions, </w:t>
      </w:r>
      <w:r>
        <w:rPr>
          <w:rFonts w:cstheme="minorHAnsi"/>
          <w:sz w:val="24"/>
          <w:szCs w:val="24"/>
        </w:rPr>
        <w:t xml:space="preserve">spouses and </w:t>
      </w:r>
      <w:r w:rsidRPr="00F54559">
        <w:rPr>
          <w:rFonts w:cstheme="minorHAnsi"/>
          <w:sz w:val="24"/>
          <w:szCs w:val="24"/>
        </w:rPr>
        <w:t>dependents are eligible to continue coverage after the death of a retiree meeting the above criteria.</w:t>
      </w:r>
    </w:p>
    <w:p w14:paraId="0D594B28" w14:textId="77777777" w:rsidR="00721CFD" w:rsidRPr="00F54559" w:rsidRDefault="00721CFD" w:rsidP="00721CFD">
      <w:pPr>
        <w:tabs>
          <w:tab w:val="left" w:pos="900"/>
        </w:tabs>
        <w:ind w:right="-7"/>
        <w:rPr>
          <w:rFonts w:cstheme="minorHAnsi"/>
          <w:sz w:val="24"/>
        </w:rPr>
      </w:pPr>
      <w:r w:rsidRPr="00F54559">
        <w:rPr>
          <w:rFonts w:cstheme="minorHAnsi"/>
          <w:sz w:val="24"/>
        </w:rPr>
        <w:t>Persons eligible for a subsidy from the System may not convert their benefit into an in-lieu-of payment to secure coverage under independent plans.</w:t>
      </w:r>
    </w:p>
    <w:p w14:paraId="1BC57BEA" w14:textId="77777777" w:rsidR="009A449F" w:rsidRDefault="009A449F" w:rsidP="00721CFD">
      <w:pPr>
        <w:tabs>
          <w:tab w:val="left" w:pos="900"/>
        </w:tabs>
        <w:ind w:right="-7"/>
        <w:rPr>
          <w:rFonts w:cstheme="minorHAnsi"/>
          <w:sz w:val="24"/>
        </w:rPr>
      </w:pPr>
    </w:p>
    <w:p w14:paraId="14B8C026" w14:textId="7DE02A58" w:rsidR="00721CFD" w:rsidRDefault="00721CFD" w:rsidP="00721CFD">
      <w:pPr>
        <w:tabs>
          <w:tab w:val="left" w:pos="900"/>
        </w:tabs>
        <w:ind w:right="-7"/>
        <w:rPr>
          <w:rFonts w:cstheme="minorHAnsi"/>
          <w:sz w:val="24"/>
        </w:rPr>
      </w:pPr>
      <w:r w:rsidRPr="00F54559">
        <w:rPr>
          <w:rFonts w:cstheme="minorHAnsi"/>
          <w:sz w:val="24"/>
        </w:rPr>
        <w:t xml:space="preserve">The System’s OPEB </w:t>
      </w:r>
      <w:r>
        <w:rPr>
          <w:rFonts w:cstheme="minorHAnsi"/>
          <w:sz w:val="24"/>
        </w:rPr>
        <w:t>(income)/</w:t>
      </w:r>
      <w:r w:rsidRPr="00F54559">
        <w:rPr>
          <w:rFonts w:cstheme="minorHAnsi"/>
          <w:sz w:val="24"/>
        </w:rPr>
        <w:t>expense for June 30, 20</w:t>
      </w:r>
      <w:r>
        <w:rPr>
          <w:rFonts w:cstheme="minorHAnsi"/>
          <w:sz w:val="24"/>
        </w:rPr>
        <w:t>22</w:t>
      </w:r>
      <w:r w:rsidRPr="00F54559">
        <w:rPr>
          <w:rFonts w:cstheme="minorHAnsi"/>
          <w:sz w:val="24"/>
        </w:rPr>
        <w:t xml:space="preserve"> and 20</w:t>
      </w:r>
      <w:r>
        <w:rPr>
          <w:rFonts w:cstheme="minorHAnsi"/>
          <w:sz w:val="24"/>
        </w:rPr>
        <w:t>21</w:t>
      </w:r>
      <w:r w:rsidRPr="00F54559">
        <w:rPr>
          <w:rFonts w:cstheme="minorHAnsi"/>
          <w:sz w:val="24"/>
        </w:rPr>
        <w:t xml:space="preserve"> </w:t>
      </w:r>
      <w:r w:rsidRPr="001D4991">
        <w:rPr>
          <w:rFonts w:cstheme="minorHAnsi"/>
          <w:sz w:val="24"/>
        </w:rPr>
        <w:t xml:space="preserve">was </w:t>
      </w:r>
      <w:r w:rsidRPr="000755A5">
        <w:rPr>
          <w:rFonts w:cstheme="minorHAnsi"/>
          <w:sz w:val="24"/>
        </w:rPr>
        <w:t>$</w:t>
      </w:r>
      <w:r w:rsidRPr="00A93FB3">
        <w:rPr>
          <w:rFonts w:cstheme="minorHAnsi"/>
          <w:sz w:val="24"/>
        </w:rPr>
        <w:t xml:space="preserve">3,444 </w:t>
      </w:r>
      <w:r w:rsidRPr="00F54559">
        <w:rPr>
          <w:rFonts w:cstheme="minorHAnsi"/>
          <w:sz w:val="24"/>
        </w:rPr>
        <w:t>and $</w:t>
      </w:r>
      <w:r>
        <w:rPr>
          <w:rFonts w:cstheme="minorHAnsi"/>
          <w:sz w:val="24"/>
        </w:rPr>
        <w:t>(</w:t>
      </w:r>
      <w:r w:rsidRPr="001D4991">
        <w:rPr>
          <w:rFonts w:cstheme="minorHAnsi"/>
          <w:sz w:val="24"/>
        </w:rPr>
        <w:t>46,390)</w:t>
      </w:r>
      <w:r w:rsidRPr="00F54559">
        <w:rPr>
          <w:rFonts w:cstheme="minorHAnsi"/>
          <w:sz w:val="24"/>
        </w:rPr>
        <w:t>, respectively.</w:t>
      </w:r>
    </w:p>
    <w:p w14:paraId="0EB03DEF" w14:textId="77777777" w:rsidR="00721CFD" w:rsidRPr="00F54559" w:rsidRDefault="00721CFD" w:rsidP="00721CFD">
      <w:pPr>
        <w:tabs>
          <w:tab w:val="left" w:pos="900"/>
        </w:tabs>
        <w:ind w:right="-7"/>
        <w:rPr>
          <w:rFonts w:cstheme="minorHAnsi"/>
          <w:sz w:val="24"/>
        </w:rPr>
      </w:pPr>
    </w:p>
    <w:p w14:paraId="5ADE106F" w14:textId="77777777" w:rsidR="00721CFD" w:rsidRPr="00F54559" w:rsidRDefault="00721CFD" w:rsidP="00721CFD">
      <w:pPr>
        <w:tabs>
          <w:tab w:val="left" w:pos="900"/>
          <w:tab w:val="left" w:pos="10260"/>
        </w:tabs>
        <w:spacing w:after="240"/>
        <w:rPr>
          <w:rFonts w:cstheme="minorHAnsi"/>
          <w:sz w:val="24"/>
        </w:rPr>
      </w:pPr>
      <w:r w:rsidRPr="00F54559">
        <w:rPr>
          <w:rFonts w:eastAsia="Times New Roman" w:cstheme="minorHAnsi"/>
          <w:b/>
          <w:i/>
          <w:spacing w:val="-2"/>
          <w:sz w:val="24"/>
        </w:rPr>
        <w:t>Plan membership:</w:t>
      </w:r>
      <w:r w:rsidRPr="00F54559">
        <w:rPr>
          <w:rFonts w:eastAsia="Times New Roman" w:cstheme="minorHAnsi"/>
          <w:b/>
          <w:spacing w:val="-2"/>
          <w:sz w:val="24"/>
        </w:rPr>
        <w:t xml:space="preserve"> </w:t>
      </w:r>
      <w:r w:rsidRPr="00F54559">
        <w:rPr>
          <w:rFonts w:eastAsia="Times New Roman" w:cstheme="minorHAnsi"/>
          <w:spacing w:val="-2"/>
          <w:sz w:val="24"/>
        </w:rPr>
        <w:t>A</w:t>
      </w:r>
      <w:r w:rsidRPr="00F54559">
        <w:rPr>
          <w:rFonts w:eastAsia="Times New Roman" w:cstheme="minorHAnsi"/>
          <w:sz w:val="24"/>
        </w:rPr>
        <w:t>t</w:t>
      </w:r>
      <w:r w:rsidRPr="00F54559">
        <w:rPr>
          <w:rFonts w:eastAsia="Times New Roman" w:cstheme="minorHAnsi"/>
          <w:spacing w:val="-5"/>
          <w:sz w:val="24"/>
        </w:rPr>
        <w:t xml:space="preserve"> </w:t>
      </w:r>
      <w:r w:rsidRPr="00F54559">
        <w:rPr>
          <w:rFonts w:eastAsia="Times New Roman" w:cstheme="minorHAnsi"/>
          <w:sz w:val="24"/>
        </w:rPr>
        <w:t>June</w:t>
      </w:r>
      <w:r w:rsidRPr="00F54559">
        <w:rPr>
          <w:rFonts w:eastAsia="Times New Roman" w:cstheme="minorHAnsi"/>
          <w:spacing w:val="-7"/>
          <w:sz w:val="24"/>
        </w:rPr>
        <w:t xml:space="preserve"> </w:t>
      </w:r>
      <w:r w:rsidRPr="00F54559">
        <w:rPr>
          <w:rFonts w:eastAsia="Times New Roman" w:cstheme="minorHAnsi"/>
          <w:sz w:val="24"/>
        </w:rPr>
        <w:t xml:space="preserve">30, </w:t>
      </w:r>
      <w:r w:rsidRPr="00F54559">
        <w:rPr>
          <w:rFonts w:eastAsia="Times New Roman" w:cstheme="minorHAnsi"/>
          <w:spacing w:val="-1"/>
          <w:sz w:val="24"/>
        </w:rPr>
        <w:t>OPEB Plan</w:t>
      </w:r>
      <w:r w:rsidRPr="00F54559">
        <w:rPr>
          <w:rFonts w:eastAsia="Times New Roman" w:cstheme="minorHAnsi"/>
          <w:spacing w:val="-6"/>
          <w:sz w:val="24"/>
        </w:rPr>
        <w:t xml:space="preserve"> </w:t>
      </w:r>
      <w:r w:rsidRPr="00F54559">
        <w:rPr>
          <w:rFonts w:eastAsia="Times New Roman" w:cstheme="minorHAnsi"/>
          <w:sz w:val="24"/>
        </w:rPr>
        <w:t>mem</w:t>
      </w:r>
      <w:r w:rsidRPr="00F54559">
        <w:rPr>
          <w:rFonts w:eastAsia="Times New Roman" w:cstheme="minorHAnsi"/>
          <w:spacing w:val="1"/>
          <w:sz w:val="24"/>
        </w:rPr>
        <w:t>b</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pacing w:val="1"/>
          <w:sz w:val="24"/>
        </w:rPr>
        <w:t>s</w:t>
      </w:r>
      <w:r w:rsidRPr="00F54559">
        <w:rPr>
          <w:rFonts w:eastAsia="Times New Roman" w:cstheme="minorHAnsi"/>
          <w:sz w:val="24"/>
        </w:rPr>
        <w:t>hip</w:t>
      </w:r>
      <w:r w:rsidRPr="00F54559">
        <w:rPr>
          <w:rFonts w:eastAsia="Times New Roman" w:cstheme="minorHAnsi"/>
          <w:spacing w:val="-6"/>
          <w:sz w:val="24"/>
        </w:rPr>
        <w:t xml:space="preserve"> </w:t>
      </w:r>
      <w:r w:rsidRPr="00F54559">
        <w:rPr>
          <w:rFonts w:eastAsia="Times New Roman" w:cstheme="minorHAnsi"/>
          <w:sz w:val="24"/>
        </w:rPr>
        <w:t>consisted</w:t>
      </w:r>
      <w:r w:rsidRPr="00F54559">
        <w:rPr>
          <w:rFonts w:eastAsia="Times New Roman" w:cstheme="minorHAnsi"/>
          <w:spacing w:val="-6"/>
          <w:sz w:val="24"/>
        </w:rPr>
        <w:t xml:space="preserve"> </w:t>
      </w:r>
      <w:r w:rsidRPr="00F54559">
        <w:rPr>
          <w:rFonts w:eastAsia="Times New Roman" w:cstheme="minorHAnsi"/>
          <w:sz w:val="24"/>
        </w:rPr>
        <w:t>of</w:t>
      </w:r>
      <w:r w:rsidRPr="00F54559">
        <w:rPr>
          <w:rFonts w:eastAsia="Times New Roman" w:cstheme="minorHAnsi"/>
          <w:spacing w:val="-6"/>
          <w:sz w:val="24"/>
        </w:rPr>
        <w:t xml:space="preserve"> </w:t>
      </w:r>
      <w:r w:rsidRPr="00F54559">
        <w:rPr>
          <w:rFonts w:eastAsia="Times New Roman" w:cstheme="minorHAnsi"/>
          <w:spacing w:val="1"/>
          <w:sz w:val="24"/>
        </w:rPr>
        <w:t>t</w:t>
      </w:r>
      <w:r w:rsidRPr="00F54559">
        <w:rPr>
          <w:rFonts w:eastAsia="Times New Roman" w:cstheme="minorHAnsi"/>
          <w:sz w:val="24"/>
        </w:rPr>
        <w:t>he</w:t>
      </w:r>
      <w:r w:rsidRPr="00F54559">
        <w:rPr>
          <w:rFonts w:eastAsia="Times New Roman" w:cstheme="minorHAnsi"/>
          <w:spacing w:val="-7"/>
          <w:sz w:val="24"/>
        </w:rPr>
        <w:t xml:space="preserve"> </w:t>
      </w:r>
      <w:r w:rsidRPr="00F54559">
        <w:rPr>
          <w:rFonts w:eastAsia="Times New Roman" w:cstheme="minorHAnsi"/>
          <w:sz w:val="24"/>
        </w:rPr>
        <w:t>fo</w:t>
      </w:r>
      <w:r w:rsidRPr="00F54559">
        <w:rPr>
          <w:rFonts w:eastAsia="Times New Roman" w:cstheme="minorHAnsi"/>
          <w:spacing w:val="-1"/>
          <w:sz w:val="24"/>
        </w:rPr>
        <w:t>l</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wing:</w:t>
      </w:r>
      <w:r>
        <w:rPr>
          <w:rFonts w:cstheme="minorHAnsi"/>
          <w:sz w:val="24"/>
        </w:rPr>
        <w:fldChar w:fldCharType="begin"/>
      </w:r>
      <w:r>
        <w:rPr>
          <w:rFonts w:cstheme="minorHAnsi"/>
          <w:sz w:val="24"/>
        </w:rPr>
        <w:fldChar w:fldCharType="end"/>
      </w:r>
    </w:p>
    <w:tbl>
      <w:tblPr>
        <w:tblW w:w="8370" w:type="dxa"/>
        <w:jc w:val="center"/>
        <w:tblLook w:val="04A0" w:firstRow="1" w:lastRow="0" w:firstColumn="1" w:lastColumn="0" w:noHBand="0" w:noVBand="1"/>
      </w:tblPr>
      <w:tblGrid>
        <w:gridCol w:w="6480"/>
        <w:gridCol w:w="774"/>
        <w:gridCol w:w="1116"/>
      </w:tblGrid>
      <w:tr w:rsidR="00721CFD" w:rsidRPr="00875AA0" w14:paraId="25641F18" w14:textId="77777777" w:rsidTr="00FD47AB">
        <w:trPr>
          <w:trHeight w:val="261"/>
          <w:tblHeader/>
          <w:jc w:val="center"/>
        </w:trPr>
        <w:tc>
          <w:tcPr>
            <w:tcW w:w="6480" w:type="dxa"/>
            <w:tcBorders>
              <w:top w:val="nil"/>
              <w:left w:val="nil"/>
              <w:bottom w:val="single" w:sz="12" w:space="0" w:color="44546A"/>
              <w:right w:val="nil"/>
            </w:tcBorders>
            <w:shd w:val="clear" w:color="000000" w:fill="FFFFFF"/>
            <w:noWrap/>
            <w:vAlign w:val="bottom"/>
            <w:hideMark/>
          </w:tcPr>
          <w:p w14:paraId="142948B8" w14:textId="77777777" w:rsidR="00721CFD" w:rsidRPr="00875AA0" w:rsidRDefault="00721CFD" w:rsidP="007B5BB3">
            <w:pPr>
              <w:rPr>
                <w:rFonts w:ascii="Calibri" w:eastAsia="Times New Roman" w:hAnsi="Calibri" w:cs="Calibri"/>
                <w:b/>
                <w:bCs/>
                <w:color w:val="000000"/>
              </w:rPr>
            </w:pPr>
            <w:r w:rsidRPr="00875AA0">
              <w:rPr>
                <w:rFonts w:ascii="Calibri" w:eastAsia="Times New Roman" w:hAnsi="Calibri" w:cs="Calibri"/>
                <w:b/>
                <w:bCs/>
                <w:color w:val="000000"/>
              </w:rPr>
              <w:t> </w:t>
            </w:r>
          </w:p>
        </w:tc>
        <w:tc>
          <w:tcPr>
            <w:tcW w:w="774" w:type="dxa"/>
            <w:tcBorders>
              <w:top w:val="nil"/>
              <w:left w:val="nil"/>
              <w:bottom w:val="single" w:sz="12" w:space="0" w:color="44546A"/>
              <w:right w:val="nil"/>
            </w:tcBorders>
            <w:shd w:val="clear" w:color="000000" w:fill="FFFFFF"/>
            <w:noWrap/>
            <w:vAlign w:val="bottom"/>
            <w:hideMark/>
          </w:tcPr>
          <w:p w14:paraId="0ED77EE2" w14:textId="32B279B5" w:rsidR="00721CFD" w:rsidRPr="00875AA0" w:rsidRDefault="00721CFD" w:rsidP="007B5BB3">
            <w:pPr>
              <w:jc w:val="center"/>
              <w:rPr>
                <w:rFonts w:ascii="Calibri" w:eastAsia="Times New Roman" w:hAnsi="Calibri" w:cs="Calibri"/>
                <w:b/>
                <w:bCs/>
                <w:color w:val="000000"/>
              </w:rPr>
            </w:pPr>
            <w:r w:rsidRPr="00875AA0">
              <w:rPr>
                <w:rFonts w:ascii="Calibri" w:eastAsia="Times New Roman" w:hAnsi="Calibri" w:cs="Calibri"/>
                <w:b/>
                <w:bCs/>
                <w:color w:val="000000"/>
              </w:rPr>
              <w:t>202</w:t>
            </w:r>
            <w:r>
              <w:rPr>
                <w:rFonts w:ascii="Calibri" w:eastAsia="Times New Roman" w:hAnsi="Calibri" w:cs="Calibri"/>
                <w:b/>
                <w:bCs/>
                <w:color w:val="000000"/>
              </w:rPr>
              <w:t>2</w:t>
            </w:r>
          </w:p>
        </w:tc>
        <w:tc>
          <w:tcPr>
            <w:tcW w:w="1116" w:type="dxa"/>
            <w:tcBorders>
              <w:top w:val="nil"/>
              <w:left w:val="nil"/>
              <w:bottom w:val="single" w:sz="12" w:space="0" w:color="44546A"/>
              <w:right w:val="nil"/>
            </w:tcBorders>
            <w:shd w:val="clear" w:color="auto" w:fill="D9D9D9" w:themeFill="background1" w:themeFillShade="D9"/>
            <w:noWrap/>
            <w:vAlign w:val="bottom"/>
            <w:hideMark/>
          </w:tcPr>
          <w:p w14:paraId="7C2B54E0" w14:textId="77777777" w:rsidR="00721CFD" w:rsidRPr="00875AA0" w:rsidRDefault="00721CFD" w:rsidP="007B5BB3">
            <w:pPr>
              <w:jc w:val="center"/>
              <w:rPr>
                <w:rFonts w:ascii="Calibri" w:eastAsia="Times New Roman" w:hAnsi="Calibri" w:cs="Calibri"/>
                <w:b/>
                <w:bCs/>
                <w:color w:val="000000"/>
              </w:rPr>
            </w:pPr>
            <w:r w:rsidRPr="00875AA0">
              <w:rPr>
                <w:rFonts w:ascii="Calibri" w:eastAsia="Times New Roman" w:hAnsi="Calibri" w:cs="Calibri"/>
                <w:b/>
                <w:bCs/>
                <w:color w:val="000000"/>
              </w:rPr>
              <w:t>20</w:t>
            </w:r>
            <w:r>
              <w:rPr>
                <w:rFonts w:ascii="Calibri" w:eastAsia="Times New Roman" w:hAnsi="Calibri" w:cs="Calibri"/>
                <w:b/>
                <w:bCs/>
                <w:color w:val="000000"/>
              </w:rPr>
              <w:t>21</w:t>
            </w:r>
          </w:p>
        </w:tc>
      </w:tr>
      <w:tr w:rsidR="00721CFD" w:rsidRPr="00875AA0" w14:paraId="189BF0CC" w14:textId="77777777" w:rsidTr="007B5BB3">
        <w:trPr>
          <w:trHeight w:val="324"/>
          <w:jc w:val="center"/>
        </w:trPr>
        <w:tc>
          <w:tcPr>
            <w:tcW w:w="6480" w:type="dxa"/>
            <w:tcBorders>
              <w:top w:val="nil"/>
              <w:left w:val="nil"/>
              <w:bottom w:val="nil"/>
              <w:right w:val="nil"/>
            </w:tcBorders>
            <w:shd w:val="clear" w:color="000000" w:fill="FFFFFF"/>
            <w:noWrap/>
            <w:vAlign w:val="bottom"/>
            <w:hideMark/>
          </w:tcPr>
          <w:p w14:paraId="0D09B02B" w14:textId="77777777" w:rsidR="00721CFD" w:rsidRPr="00875AA0" w:rsidRDefault="00721CFD" w:rsidP="007B5BB3">
            <w:pPr>
              <w:rPr>
                <w:rFonts w:ascii="Calibri" w:eastAsia="Times New Roman" w:hAnsi="Calibri" w:cs="Calibri"/>
              </w:rPr>
            </w:pPr>
            <w:r w:rsidRPr="00875AA0">
              <w:rPr>
                <w:rFonts w:ascii="Calibri" w:eastAsia="Times New Roman" w:hAnsi="Calibri" w:cs="Calibri"/>
              </w:rPr>
              <w:t>Inactive plan participants or beneficiaries currently receiving benefits</w:t>
            </w:r>
          </w:p>
        </w:tc>
        <w:tc>
          <w:tcPr>
            <w:tcW w:w="774" w:type="dxa"/>
            <w:tcBorders>
              <w:top w:val="nil"/>
              <w:left w:val="nil"/>
              <w:bottom w:val="nil"/>
              <w:right w:val="nil"/>
            </w:tcBorders>
            <w:shd w:val="clear" w:color="000000" w:fill="FFFFFF"/>
            <w:noWrap/>
            <w:vAlign w:val="bottom"/>
            <w:hideMark/>
          </w:tcPr>
          <w:p w14:paraId="47B809EF" w14:textId="77777777" w:rsidR="00721CFD" w:rsidRPr="00502E4C" w:rsidRDefault="00721CFD" w:rsidP="007B5BB3">
            <w:pPr>
              <w:jc w:val="right"/>
              <w:rPr>
                <w:rFonts w:ascii="Calibri" w:eastAsia="Times New Roman" w:hAnsi="Calibri" w:cs="Calibri"/>
              </w:rPr>
            </w:pPr>
            <w:r w:rsidRPr="00502E4C">
              <w:rPr>
                <w:rFonts w:ascii="Calibri" w:eastAsia="Times New Roman" w:hAnsi="Calibri" w:cs="Calibri"/>
              </w:rPr>
              <w:t>2,1</w:t>
            </w:r>
            <w:r w:rsidRPr="00A93FB3">
              <w:rPr>
                <w:rFonts w:ascii="Calibri" w:eastAsia="Times New Roman" w:hAnsi="Calibri" w:cs="Calibri"/>
              </w:rPr>
              <w:t>66</w:t>
            </w:r>
          </w:p>
        </w:tc>
        <w:tc>
          <w:tcPr>
            <w:tcW w:w="1116" w:type="dxa"/>
            <w:tcBorders>
              <w:top w:val="nil"/>
              <w:left w:val="nil"/>
              <w:bottom w:val="nil"/>
              <w:right w:val="nil"/>
            </w:tcBorders>
            <w:shd w:val="clear" w:color="auto" w:fill="D9D9D9" w:themeFill="background1" w:themeFillShade="D9"/>
            <w:noWrap/>
            <w:vAlign w:val="bottom"/>
            <w:hideMark/>
          </w:tcPr>
          <w:p w14:paraId="7A61E505" w14:textId="77777777" w:rsidR="00721CFD" w:rsidRPr="00875AA0" w:rsidRDefault="00721CFD" w:rsidP="007B5BB3">
            <w:pPr>
              <w:jc w:val="right"/>
              <w:rPr>
                <w:rFonts w:ascii="Calibri" w:eastAsia="Times New Roman" w:hAnsi="Calibri" w:cs="Calibri"/>
              </w:rPr>
            </w:pPr>
            <w:r w:rsidRPr="001D4991">
              <w:rPr>
                <w:rFonts w:ascii="Calibri" w:eastAsia="Times New Roman" w:hAnsi="Calibri" w:cs="Calibri"/>
              </w:rPr>
              <w:t>2,137</w:t>
            </w:r>
          </w:p>
        </w:tc>
      </w:tr>
      <w:tr w:rsidR="00721CFD" w:rsidRPr="00875AA0" w14:paraId="7CDA90AB" w14:textId="77777777" w:rsidTr="007B5BB3">
        <w:trPr>
          <w:trHeight w:val="312"/>
          <w:jc w:val="center"/>
        </w:trPr>
        <w:tc>
          <w:tcPr>
            <w:tcW w:w="6480" w:type="dxa"/>
            <w:tcBorders>
              <w:top w:val="nil"/>
              <w:left w:val="nil"/>
              <w:bottom w:val="nil"/>
              <w:right w:val="nil"/>
            </w:tcBorders>
            <w:shd w:val="clear" w:color="000000" w:fill="FFFFFF"/>
            <w:noWrap/>
            <w:vAlign w:val="bottom"/>
            <w:hideMark/>
          </w:tcPr>
          <w:p w14:paraId="31717EE1" w14:textId="77777777" w:rsidR="00721CFD" w:rsidRPr="00875AA0" w:rsidRDefault="00721CFD" w:rsidP="007B5BB3">
            <w:pPr>
              <w:rPr>
                <w:rFonts w:ascii="Calibri" w:eastAsia="Times New Roman" w:hAnsi="Calibri" w:cs="Calibri"/>
              </w:rPr>
            </w:pPr>
            <w:r w:rsidRPr="00875AA0">
              <w:rPr>
                <w:rFonts w:ascii="Calibri" w:eastAsia="Times New Roman" w:hAnsi="Calibri" w:cs="Calibri"/>
              </w:rPr>
              <w:t>Active plan participants</w:t>
            </w:r>
          </w:p>
        </w:tc>
        <w:tc>
          <w:tcPr>
            <w:tcW w:w="774" w:type="dxa"/>
            <w:tcBorders>
              <w:top w:val="nil"/>
              <w:left w:val="nil"/>
              <w:bottom w:val="nil"/>
              <w:right w:val="nil"/>
            </w:tcBorders>
            <w:shd w:val="clear" w:color="000000" w:fill="FFFFFF"/>
            <w:noWrap/>
            <w:vAlign w:val="bottom"/>
            <w:hideMark/>
          </w:tcPr>
          <w:p w14:paraId="6A1D3D20" w14:textId="77777777" w:rsidR="00721CFD" w:rsidRPr="00502E4C" w:rsidRDefault="00721CFD" w:rsidP="007B5BB3">
            <w:pPr>
              <w:jc w:val="right"/>
              <w:rPr>
                <w:rFonts w:ascii="Calibri" w:eastAsia="Times New Roman" w:hAnsi="Calibri" w:cs="Calibri"/>
              </w:rPr>
            </w:pPr>
            <w:r w:rsidRPr="00502E4C">
              <w:rPr>
                <w:rFonts w:ascii="Calibri" w:eastAsia="Times New Roman" w:hAnsi="Calibri" w:cs="Calibri"/>
              </w:rPr>
              <w:t>4,0</w:t>
            </w:r>
            <w:r w:rsidRPr="00A93FB3">
              <w:rPr>
                <w:rFonts w:ascii="Calibri" w:eastAsia="Times New Roman" w:hAnsi="Calibri" w:cs="Calibri"/>
              </w:rPr>
              <w:t>36</w:t>
            </w:r>
          </w:p>
        </w:tc>
        <w:tc>
          <w:tcPr>
            <w:tcW w:w="1116" w:type="dxa"/>
            <w:tcBorders>
              <w:top w:val="nil"/>
              <w:left w:val="nil"/>
              <w:bottom w:val="nil"/>
              <w:right w:val="nil"/>
            </w:tcBorders>
            <w:shd w:val="clear" w:color="auto" w:fill="D9D9D9" w:themeFill="background1" w:themeFillShade="D9"/>
            <w:noWrap/>
            <w:vAlign w:val="bottom"/>
            <w:hideMark/>
          </w:tcPr>
          <w:p w14:paraId="7EBEE816" w14:textId="77777777" w:rsidR="00721CFD" w:rsidRPr="00875AA0" w:rsidRDefault="00721CFD" w:rsidP="007B5BB3">
            <w:pPr>
              <w:jc w:val="right"/>
              <w:rPr>
                <w:rFonts w:ascii="Calibri" w:eastAsia="Times New Roman" w:hAnsi="Calibri" w:cs="Calibri"/>
              </w:rPr>
            </w:pPr>
            <w:r w:rsidRPr="001D4991">
              <w:rPr>
                <w:rFonts w:ascii="Calibri" w:eastAsia="Times New Roman" w:hAnsi="Calibri" w:cs="Calibri"/>
              </w:rPr>
              <w:t>4,014</w:t>
            </w:r>
          </w:p>
        </w:tc>
      </w:tr>
      <w:tr w:rsidR="0007776B" w:rsidRPr="00875AA0" w14:paraId="50656F4A" w14:textId="77777777" w:rsidTr="0007776B">
        <w:trPr>
          <w:trHeight w:val="324"/>
          <w:jc w:val="center"/>
        </w:trPr>
        <w:tc>
          <w:tcPr>
            <w:tcW w:w="6480" w:type="dxa"/>
            <w:tcBorders>
              <w:top w:val="single" w:sz="4" w:space="0" w:color="44546A"/>
              <w:left w:val="nil"/>
              <w:bottom w:val="single" w:sz="4" w:space="0" w:color="44546A"/>
              <w:right w:val="nil"/>
            </w:tcBorders>
            <w:shd w:val="clear" w:color="000000" w:fill="FFFFFF"/>
            <w:noWrap/>
            <w:vAlign w:val="bottom"/>
          </w:tcPr>
          <w:p w14:paraId="5BB89588" w14:textId="18C03BD7" w:rsidR="0007776B" w:rsidRPr="00875AA0" w:rsidRDefault="0007776B" w:rsidP="0007776B">
            <w:pPr>
              <w:rPr>
                <w:rFonts w:ascii="Calibri" w:eastAsia="Times New Roman" w:hAnsi="Calibri" w:cs="Calibri"/>
              </w:rPr>
            </w:pPr>
            <w:r w:rsidRPr="00875AA0">
              <w:rPr>
                <w:rFonts w:ascii="Calibri" w:eastAsia="Times New Roman" w:hAnsi="Calibri" w:cs="Calibri"/>
              </w:rPr>
              <w:t>Total plan participants</w:t>
            </w:r>
          </w:p>
        </w:tc>
        <w:tc>
          <w:tcPr>
            <w:tcW w:w="774" w:type="dxa"/>
            <w:tcBorders>
              <w:top w:val="single" w:sz="4" w:space="0" w:color="44546A"/>
              <w:left w:val="nil"/>
              <w:bottom w:val="single" w:sz="4" w:space="0" w:color="44546A"/>
              <w:right w:val="nil"/>
            </w:tcBorders>
            <w:shd w:val="clear" w:color="000000" w:fill="FFFFFF"/>
            <w:noWrap/>
            <w:vAlign w:val="bottom"/>
          </w:tcPr>
          <w:p w14:paraId="534D7652" w14:textId="21C4793B" w:rsidR="0007776B" w:rsidRPr="00502E4C" w:rsidRDefault="0007776B" w:rsidP="0007776B">
            <w:pPr>
              <w:jc w:val="right"/>
              <w:rPr>
                <w:rFonts w:ascii="Calibri" w:eastAsia="Times New Roman" w:hAnsi="Calibri" w:cs="Calibri"/>
              </w:rPr>
            </w:pPr>
            <w:r w:rsidRPr="00502E4C">
              <w:rPr>
                <w:rFonts w:ascii="Calibri" w:eastAsia="Times New Roman" w:hAnsi="Calibri" w:cs="Calibri"/>
              </w:rPr>
              <w:t>6,</w:t>
            </w:r>
            <w:r w:rsidRPr="003959B0">
              <w:rPr>
                <w:rFonts w:ascii="Calibri" w:eastAsia="Times New Roman" w:hAnsi="Calibri" w:cs="Calibri"/>
              </w:rPr>
              <w:t>202</w:t>
            </w:r>
          </w:p>
        </w:tc>
        <w:tc>
          <w:tcPr>
            <w:tcW w:w="1116" w:type="dxa"/>
            <w:tcBorders>
              <w:top w:val="single" w:sz="4" w:space="0" w:color="44546A"/>
              <w:left w:val="nil"/>
              <w:bottom w:val="single" w:sz="4" w:space="0" w:color="44546A"/>
              <w:right w:val="nil"/>
            </w:tcBorders>
            <w:shd w:val="clear" w:color="auto" w:fill="D9D9D9" w:themeFill="background1" w:themeFillShade="D9"/>
            <w:noWrap/>
            <w:vAlign w:val="bottom"/>
          </w:tcPr>
          <w:p w14:paraId="5DC1018D" w14:textId="096B82E9" w:rsidR="0007776B" w:rsidRPr="001D4991" w:rsidRDefault="0007776B" w:rsidP="0007776B">
            <w:pPr>
              <w:jc w:val="right"/>
              <w:rPr>
                <w:rFonts w:ascii="Calibri" w:eastAsia="Times New Roman" w:hAnsi="Calibri" w:cs="Calibri"/>
              </w:rPr>
            </w:pPr>
            <w:r w:rsidRPr="001D4991">
              <w:rPr>
                <w:rFonts w:ascii="Calibri" w:eastAsia="Times New Roman" w:hAnsi="Calibri" w:cs="Calibri"/>
              </w:rPr>
              <w:t>6,151</w:t>
            </w:r>
          </w:p>
        </w:tc>
      </w:tr>
    </w:tbl>
    <w:p w14:paraId="71185090" w14:textId="77777777" w:rsidR="0007776B" w:rsidRDefault="0007776B" w:rsidP="009A449F">
      <w:pPr>
        <w:spacing w:before="240" w:after="120" w:line="259" w:lineRule="auto"/>
        <w:rPr>
          <w:rFonts w:cstheme="minorHAnsi"/>
          <w:b/>
          <w:i/>
          <w:sz w:val="26"/>
          <w:u w:val="single" w:color="000000" w:themeColor="text1"/>
        </w:rPr>
      </w:pPr>
    </w:p>
    <w:p w14:paraId="2D3B697A" w14:textId="33983439" w:rsidR="009A449F" w:rsidRPr="009A7150" w:rsidRDefault="009A449F" w:rsidP="009A449F">
      <w:pPr>
        <w:spacing w:before="240" w:after="120" w:line="259" w:lineRule="auto"/>
        <w:rPr>
          <w:rFonts w:cstheme="minorHAnsi"/>
          <w:b/>
          <w:i/>
          <w:sz w:val="26"/>
        </w:rPr>
      </w:pPr>
      <w:r w:rsidRPr="009A7150">
        <w:rPr>
          <w:rFonts w:cstheme="minorHAnsi"/>
          <w:b/>
          <w:i/>
          <w:sz w:val="26"/>
        </w:rPr>
        <w:lastRenderedPageBreak/>
        <w:t>14. POSTEMPLOYMENT HEALTH PLAN - CONTINUED</w:t>
      </w:r>
    </w:p>
    <w:p w14:paraId="1D0DE6F9" w14:textId="1BE81BD1" w:rsidR="00721CFD" w:rsidRPr="00F54559" w:rsidRDefault="00721CFD" w:rsidP="00721CFD">
      <w:pPr>
        <w:tabs>
          <w:tab w:val="left" w:pos="900"/>
        </w:tabs>
        <w:spacing w:before="240"/>
        <w:ind w:right="-7"/>
        <w:rPr>
          <w:rFonts w:eastAsia="Times New Roman" w:cstheme="minorHAnsi"/>
          <w:spacing w:val="-1"/>
          <w:sz w:val="24"/>
        </w:rPr>
      </w:pPr>
      <w:r w:rsidRPr="00F54559">
        <w:rPr>
          <w:rFonts w:eastAsia="Times New Roman" w:cstheme="minorHAnsi"/>
          <w:b/>
          <w:i/>
          <w:spacing w:val="-1"/>
          <w:sz w:val="24"/>
        </w:rPr>
        <w:t>Contributions:</w:t>
      </w:r>
      <w:r w:rsidRPr="00F54559">
        <w:rPr>
          <w:rFonts w:eastAsia="Times New Roman" w:cstheme="minorHAnsi"/>
          <w:spacing w:val="-1"/>
          <w:sz w:val="24"/>
        </w:rPr>
        <w:t xml:space="preserve"> The System annually contributes an actuarially determined contribution to a Trust, based on the results of the most recent actuarial valuation.</w:t>
      </w:r>
    </w:p>
    <w:p w14:paraId="3962911C" w14:textId="77777777" w:rsidR="00721CFD" w:rsidRPr="00735A4C" w:rsidRDefault="00721CFD" w:rsidP="00721CFD">
      <w:pPr>
        <w:rPr>
          <w:rFonts w:cstheme="minorHAnsi"/>
          <w:sz w:val="20"/>
          <w:szCs w:val="20"/>
        </w:rPr>
      </w:pPr>
    </w:p>
    <w:p w14:paraId="7CE750A2" w14:textId="4D7563E7" w:rsidR="00C959E4" w:rsidRDefault="00721CFD">
      <w:pPr>
        <w:spacing w:after="160" w:line="259" w:lineRule="auto"/>
        <w:rPr>
          <w:rFonts w:eastAsiaTheme="majorEastAsia" w:cstheme="minorHAnsi"/>
          <w:b/>
          <w:i/>
          <w:iCs/>
          <w:smallCaps/>
          <w:noProof/>
          <w:color w:val="000000" w:themeColor="text1"/>
          <w:sz w:val="26"/>
          <w:szCs w:val="26"/>
          <w:u w:color="5B9BD5"/>
        </w:rPr>
      </w:pPr>
      <w:r w:rsidRPr="00F54559">
        <w:rPr>
          <w:rFonts w:eastAsia="Times New Roman" w:cstheme="minorHAnsi"/>
          <w:spacing w:val="-1"/>
          <w:sz w:val="24"/>
        </w:rPr>
        <w:t>Funding the OPEB Plan over the long-term allows the System to smooth market impacts, limiting contribution volatility. The required contribution amount will be re-determined with each actuarial valuation as market performance and other factors will impact the required future funding.</w:t>
      </w:r>
    </w:p>
    <w:p w14:paraId="4ED25B09" w14:textId="77777777" w:rsidR="00721CFD" w:rsidRPr="00F54559" w:rsidRDefault="00721CFD" w:rsidP="00721CFD">
      <w:pPr>
        <w:tabs>
          <w:tab w:val="left" w:pos="900"/>
        </w:tabs>
        <w:spacing w:after="160"/>
        <w:ind w:right="-7"/>
        <w:rPr>
          <w:rFonts w:eastAsia="Times New Roman" w:cstheme="minorHAnsi"/>
          <w:b/>
          <w:sz w:val="26"/>
          <w:szCs w:val="26"/>
        </w:rPr>
      </w:pPr>
      <w:r w:rsidRPr="00F54559">
        <w:rPr>
          <w:rFonts w:eastAsia="Times New Roman" w:cstheme="minorHAnsi"/>
          <w:b/>
          <w:sz w:val="26"/>
          <w:szCs w:val="26"/>
        </w:rPr>
        <w:t>Plan Investments</w:t>
      </w:r>
    </w:p>
    <w:p w14:paraId="76FB5AD5" w14:textId="12A912AB" w:rsidR="00721CFD" w:rsidRPr="00F54559" w:rsidRDefault="00721CFD" w:rsidP="00721CFD">
      <w:pPr>
        <w:tabs>
          <w:tab w:val="left" w:pos="900"/>
        </w:tabs>
        <w:ind w:right="-7"/>
        <w:rPr>
          <w:rFonts w:eastAsia="Times New Roman" w:cstheme="minorHAnsi"/>
          <w:spacing w:val="-1"/>
          <w:sz w:val="24"/>
        </w:rPr>
      </w:pPr>
      <w:r w:rsidRPr="00F54559">
        <w:rPr>
          <w:rFonts w:eastAsia="Times New Roman" w:cstheme="minorHAnsi"/>
          <w:spacing w:val="-1"/>
          <w:sz w:val="24"/>
        </w:rPr>
        <w:t>Assets of the OPEB Plan are invested in the System’s managed investment pool.  See Notes 1</w:t>
      </w:r>
      <w:r>
        <w:rPr>
          <w:rFonts w:eastAsia="Times New Roman" w:cstheme="minorHAnsi"/>
          <w:spacing w:val="-1"/>
          <w:sz w:val="24"/>
        </w:rPr>
        <w:t>f</w:t>
      </w:r>
      <w:r w:rsidRPr="00F54559">
        <w:rPr>
          <w:rFonts w:eastAsia="Times New Roman" w:cstheme="minorHAnsi"/>
          <w:spacing w:val="-1"/>
          <w:sz w:val="24"/>
        </w:rPr>
        <w:t xml:space="preserve"> and 3 for more information on the pool and the OPEB Plan’s share.</w:t>
      </w:r>
    </w:p>
    <w:p w14:paraId="77341F4A" w14:textId="77777777" w:rsidR="005B6CCB" w:rsidRPr="00C95891" w:rsidRDefault="005B6CCB" w:rsidP="00C95891">
      <w:pPr>
        <w:tabs>
          <w:tab w:val="left" w:pos="900"/>
        </w:tabs>
        <w:ind w:right="-7"/>
        <w:rPr>
          <w:rFonts w:eastAsia="Times New Roman" w:cstheme="minorHAnsi"/>
          <w:bCs/>
        </w:rPr>
      </w:pPr>
    </w:p>
    <w:p w14:paraId="4692A0C7" w14:textId="69E4523F" w:rsidR="00721CFD" w:rsidRPr="00F54559" w:rsidRDefault="00721CFD" w:rsidP="00721CFD">
      <w:pPr>
        <w:tabs>
          <w:tab w:val="left" w:pos="900"/>
        </w:tabs>
        <w:spacing w:after="160"/>
        <w:ind w:right="-7"/>
        <w:rPr>
          <w:rFonts w:eastAsia="Times New Roman" w:cstheme="minorHAnsi"/>
          <w:b/>
          <w:sz w:val="26"/>
          <w:szCs w:val="26"/>
        </w:rPr>
      </w:pPr>
      <w:r w:rsidRPr="00F54559">
        <w:rPr>
          <w:rFonts w:eastAsia="Times New Roman" w:cstheme="minorHAnsi"/>
          <w:b/>
          <w:sz w:val="26"/>
          <w:szCs w:val="26"/>
        </w:rPr>
        <w:t>Net OPEB Liability</w:t>
      </w:r>
    </w:p>
    <w:p w14:paraId="022EC910" w14:textId="77777777" w:rsidR="00721CFD" w:rsidRPr="00F54559" w:rsidRDefault="00721CFD" w:rsidP="00721CFD">
      <w:pPr>
        <w:tabs>
          <w:tab w:val="left" w:pos="900"/>
        </w:tabs>
        <w:spacing w:after="240"/>
        <w:ind w:right="-7"/>
        <w:rPr>
          <w:rFonts w:eastAsia="Times New Roman" w:cstheme="minorHAnsi"/>
          <w:spacing w:val="-1"/>
          <w:sz w:val="24"/>
        </w:rPr>
      </w:pPr>
      <w:r w:rsidRPr="00F54559">
        <w:rPr>
          <w:rFonts w:eastAsia="Times New Roman" w:cstheme="minorHAnsi"/>
          <w:spacing w:val="-1"/>
          <w:sz w:val="24"/>
        </w:rPr>
        <w:t>The components of the net OPEB liability at June 30 were as follows:</w:t>
      </w:r>
      <w:r>
        <w:rPr>
          <w:rFonts w:eastAsia="Times New Roman" w:cstheme="minorHAnsi"/>
          <w:spacing w:val="-1"/>
          <w:sz w:val="24"/>
        </w:rPr>
        <w:fldChar w:fldCharType="begin"/>
      </w:r>
      <w:r>
        <w:rPr>
          <w:rFonts w:eastAsia="Times New Roman" w:cstheme="minorHAnsi"/>
          <w:spacing w:val="-1"/>
          <w:sz w:val="24"/>
        </w:rPr>
        <w:fldChar w:fldCharType="end"/>
      </w:r>
    </w:p>
    <w:tbl>
      <w:tblPr>
        <w:tblW w:w="8364" w:type="dxa"/>
        <w:jc w:val="center"/>
        <w:tblLook w:val="04A0" w:firstRow="1" w:lastRow="0" w:firstColumn="1" w:lastColumn="0" w:noHBand="0" w:noVBand="1"/>
      </w:tblPr>
      <w:tblGrid>
        <w:gridCol w:w="6028"/>
        <w:gridCol w:w="1262"/>
        <w:gridCol w:w="1074"/>
      </w:tblGrid>
      <w:tr w:rsidR="00721CFD" w:rsidRPr="00F65869" w14:paraId="759A9E9F" w14:textId="77777777" w:rsidTr="007B5BB3">
        <w:trPr>
          <w:trHeight w:val="324"/>
          <w:tblHeader/>
          <w:jc w:val="center"/>
        </w:trPr>
        <w:tc>
          <w:tcPr>
            <w:tcW w:w="6028" w:type="dxa"/>
            <w:tcBorders>
              <w:top w:val="nil"/>
              <w:left w:val="nil"/>
              <w:bottom w:val="single" w:sz="12" w:space="0" w:color="44546A"/>
              <w:right w:val="nil"/>
            </w:tcBorders>
            <w:shd w:val="clear" w:color="000000" w:fill="FFFFFF"/>
            <w:noWrap/>
            <w:vAlign w:val="bottom"/>
            <w:hideMark/>
          </w:tcPr>
          <w:p w14:paraId="57E42B53" w14:textId="77777777" w:rsidR="00721CFD" w:rsidRPr="00F65869" w:rsidRDefault="00721CFD" w:rsidP="007B5BB3">
            <w:pPr>
              <w:rPr>
                <w:rFonts w:ascii="Calibri" w:eastAsia="Times New Roman" w:hAnsi="Calibri" w:cs="Calibri"/>
                <w:b/>
                <w:bCs/>
                <w:color w:val="0D0D0D"/>
              </w:rPr>
            </w:pPr>
            <w:r w:rsidRPr="00F65869">
              <w:rPr>
                <w:rFonts w:ascii="Calibri" w:eastAsia="Times New Roman" w:hAnsi="Calibri" w:cs="Calibri"/>
                <w:b/>
                <w:bCs/>
                <w:color w:val="0D0D0D"/>
              </w:rPr>
              <w:t> </w:t>
            </w:r>
          </w:p>
        </w:tc>
        <w:tc>
          <w:tcPr>
            <w:tcW w:w="1262" w:type="dxa"/>
            <w:tcBorders>
              <w:top w:val="nil"/>
              <w:left w:val="nil"/>
              <w:bottom w:val="single" w:sz="12" w:space="0" w:color="44546A"/>
              <w:right w:val="nil"/>
            </w:tcBorders>
            <w:shd w:val="clear" w:color="000000" w:fill="FFFFFF"/>
            <w:noWrap/>
            <w:vAlign w:val="bottom"/>
            <w:hideMark/>
          </w:tcPr>
          <w:p w14:paraId="675EF80D" w14:textId="77777777" w:rsidR="00721CFD" w:rsidRPr="00F65869" w:rsidRDefault="00721CFD" w:rsidP="007B5BB3">
            <w:pPr>
              <w:jc w:val="center"/>
              <w:rPr>
                <w:rFonts w:ascii="Calibri" w:eastAsia="Times New Roman" w:hAnsi="Calibri" w:cs="Calibri"/>
                <w:b/>
                <w:bCs/>
                <w:color w:val="0D0D0D"/>
              </w:rPr>
            </w:pPr>
            <w:r w:rsidRPr="00F65869">
              <w:rPr>
                <w:rFonts w:ascii="Calibri" w:eastAsia="Times New Roman" w:hAnsi="Calibri" w:cs="Calibri"/>
                <w:b/>
                <w:bCs/>
                <w:color w:val="0D0D0D"/>
              </w:rPr>
              <w:t>202</w:t>
            </w:r>
            <w:r>
              <w:rPr>
                <w:rFonts w:ascii="Calibri" w:eastAsia="Times New Roman" w:hAnsi="Calibri" w:cs="Calibri"/>
                <w:b/>
                <w:bCs/>
                <w:color w:val="0D0D0D"/>
              </w:rPr>
              <w:t>2</w:t>
            </w:r>
          </w:p>
        </w:tc>
        <w:tc>
          <w:tcPr>
            <w:tcW w:w="1074" w:type="dxa"/>
            <w:tcBorders>
              <w:top w:val="nil"/>
              <w:left w:val="nil"/>
              <w:bottom w:val="single" w:sz="12" w:space="0" w:color="44546A"/>
              <w:right w:val="nil"/>
            </w:tcBorders>
            <w:shd w:val="clear" w:color="auto" w:fill="D9D9D9" w:themeFill="background1" w:themeFillShade="D9"/>
            <w:noWrap/>
            <w:vAlign w:val="bottom"/>
            <w:hideMark/>
          </w:tcPr>
          <w:p w14:paraId="415F06F4" w14:textId="77777777" w:rsidR="00721CFD" w:rsidRPr="00F65869" w:rsidRDefault="00721CFD" w:rsidP="007B5BB3">
            <w:pPr>
              <w:jc w:val="center"/>
              <w:rPr>
                <w:rFonts w:ascii="Calibri" w:eastAsia="Times New Roman" w:hAnsi="Calibri" w:cs="Calibri"/>
                <w:b/>
                <w:bCs/>
                <w:color w:val="0D0D0D"/>
              </w:rPr>
            </w:pPr>
            <w:r w:rsidRPr="00F65869">
              <w:rPr>
                <w:rFonts w:ascii="Calibri" w:eastAsia="Times New Roman" w:hAnsi="Calibri" w:cs="Calibri"/>
                <w:b/>
                <w:bCs/>
                <w:color w:val="0D0D0D"/>
              </w:rPr>
              <w:t>20</w:t>
            </w:r>
            <w:r>
              <w:rPr>
                <w:rFonts w:ascii="Calibri" w:eastAsia="Times New Roman" w:hAnsi="Calibri" w:cs="Calibri"/>
                <w:b/>
                <w:bCs/>
                <w:color w:val="0D0D0D"/>
              </w:rPr>
              <w:t>21</w:t>
            </w:r>
          </w:p>
        </w:tc>
      </w:tr>
      <w:tr w:rsidR="00721CFD" w:rsidRPr="00F65869" w14:paraId="4B494460" w14:textId="77777777" w:rsidTr="007B5BB3">
        <w:trPr>
          <w:trHeight w:val="324"/>
          <w:jc w:val="center"/>
        </w:trPr>
        <w:tc>
          <w:tcPr>
            <w:tcW w:w="6028" w:type="dxa"/>
            <w:tcBorders>
              <w:top w:val="nil"/>
              <w:left w:val="nil"/>
              <w:bottom w:val="nil"/>
              <w:right w:val="nil"/>
            </w:tcBorders>
            <w:shd w:val="clear" w:color="000000" w:fill="FFFFFF"/>
            <w:noWrap/>
            <w:vAlign w:val="bottom"/>
            <w:hideMark/>
          </w:tcPr>
          <w:p w14:paraId="47C42DC0"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Total OPEB liability</w:t>
            </w:r>
          </w:p>
        </w:tc>
        <w:tc>
          <w:tcPr>
            <w:tcW w:w="1262" w:type="dxa"/>
            <w:tcBorders>
              <w:top w:val="nil"/>
              <w:left w:val="nil"/>
              <w:bottom w:val="nil"/>
              <w:right w:val="nil"/>
            </w:tcBorders>
            <w:shd w:val="clear" w:color="000000" w:fill="FFFFFF"/>
            <w:noWrap/>
            <w:vAlign w:val="bottom"/>
            <w:hideMark/>
          </w:tcPr>
          <w:p w14:paraId="4C1BFF7B" w14:textId="77777777" w:rsidR="00721CFD" w:rsidRPr="002E65F6" w:rsidRDefault="00721CFD" w:rsidP="007B5BB3">
            <w:pPr>
              <w:jc w:val="right"/>
              <w:rPr>
                <w:rFonts w:ascii="Calibri" w:eastAsia="Times New Roman" w:hAnsi="Calibri" w:cs="Calibri"/>
              </w:rPr>
            </w:pPr>
            <w:r w:rsidRPr="002E65F6">
              <w:rPr>
                <w:rFonts w:ascii="Calibri" w:eastAsia="Times New Roman" w:hAnsi="Calibri" w:cs="Calibri"/>
              </w:rPr>
              <w:t>$</w:t>
            </w:r>
            <w:r w:rsidRPr="003959B0">
              <w:rPr>
                <w:rFonts w:ascii="Calibri" w:eastAsia="Times New Roman" w:hAnsi="Calibri" w:cs="Calibri"/>
              </w:rPr>
              <w:t>173,794</w:t>
            </w:r>
          </w:p>
        </w:tc>
        <w:tc>
          <w:tcPr>
            <w:tcW w:w="1074" w:type="dxa"/>
            <w:tcBorders>
              <w:top w:val="nil"/>
              <w:left w:val="nil"/>
              <w:bottom w:val="nil"/>
              <w:right w:val="nil"/>
            </w:tcBorders>
            <w:shd w:val="clear" w:color="auto" w:fill="D9D9D9" w:themeFill="background1" w:themeFillShade="D9"/>
            <w:noWrap/>
            <w:vAlign w:val="bottom"/>
            <w:hideMark/>
          </w:tcPr>
          <w:p w14:paraId="6924FEA1" w14:textId="77777777" w:rsidR="00721CFD" w:rsidRPr="00F65869" w:rsidRDefault="00721CFD" w:rsidP="007B5BB3">
            <w:pPr>
              <w:jc w:val="right"/>
              <w:rPr>
                <w:rFonts w:ascii="Calibri" w:eastAsia="Times New Roman" w:hAnsi="Calibri" w:cs="Calibri"/>
                <w:color w:val="0D0D0D"/>
              </w:rPr>
            </w:pPr>
            <w:r w:rsidRPr="00920295">
              <w:rPr>
                <w:rFonts w:ascii="Calibri" w:eastAsia="Times New Roman" w:hAnsi="Calibri" w:cs="Calibri"/>
              </w:rPr>
              <w:t>$162,212</w:t>
            </w:r>
          </w:p>
        </w:tc>
      </w:tr>
      <w:tr w:rsidR="00721CFD" w:rsidRPr="00F65869" w14:paraId="0A710D5B" w14:textId="77777777" w:rsidTr="007B5BB3">
        <w:trPr>
          <w:trHeight w:val="312"/>
          <w:jc w:val="center"/>
        </w:trPr>
        <w:tc>
          <w:tcPr>
            <w:tcW w:w="6028" w:type="dxa"/>
            <w:tcBorders>
              <w:top w:val="nil"/>
              <w:left w:val="nil"/>
              <w:bottom w:val="nil"/>
              <w:right w:val="nil"/>
            </w:tcBorders>
            <w:shd w:val="clear" w:color="000000" w:fill="FFFFFF"/>
            <w:noWrap/>
            <w:vAlign w:val="bottom"/>
            <w:hideMark/>
          </w:tcPr>
          <w:p w14:paraId="54D0E134"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Fiduciary net position</w:t>
            </w:r>
          </w:p>
        </w:tc>
        <w:tc>
          <w:tcPr>
            <w:tcW w:w="1262" w:type="dxa"/>
            <w:tcBorders>
              <w:top w:val="nil"/>
              <w:left w:val="nil"/>
              <w:bottom w:val="nil"/>
              <w:right w:val="nil"/>
            </w:tcBorders>
            <w:shd w:val="clear" w:color="000000" w:fill="FFFFFF"/>
            <w:noWrap/>
            <w:vAlign w:val="bottom"/>
            <w:hideMark/>
          </w:tcPr>
          <w:p w14:paraId="6C5C68EC" w14:textId="77777777" w:rsidR="00721CFD" w:rsidRPr="002E65F6" w:rsidRDefault="00721CFD" w:rsidP="007B5BB3">
            <w:pPr>
              <w:jc w:val="right"/>
              <w:rPr>
                <w:rFonts w:ascii="Calibri" w:eastAsia="Times New Roman" w:hAnsi="Calibri" w:cs="Calibri"/>
              </w:rPr>
            </w:pPr>
            <w:r w:rsidRPr="002E65F6">
              <w:rPr>
                <w:rFonts w:ascii="Calibri" w:eastAsia="Times New Roman" w:hAnsi="Calibri" w:cs="Calibri"/>
              </w:rPr>
              <w:t>(</w:t>
            </w:r>
            <w:r w:rsidRPr="003959B0">
              <w:rPr>
                <w:rFonts w:ascii="Calibri" w:eastAsia="Times New Roman" w:hAnsi="Calibri" w:cs="Calibri"/>
              </w:rPr>
              <w:t>156,012</w:t>
            </w:r>
            <w:r w:rsidRPr="002E65F6">
              <w:rPr>
                <w:rFonts w:ascii="Calibri" w:eastAsia="Times New Roman" w:hAnsi="Calibri" w:cs="Calibri"/>
              </w:rPr>
              <w:t>)</w:t>
            </w:r>
          </w:p>
        </w:tc>
        <w:tc>
          <w:tcPr>
            <w:tcW w:w="1074" w:type="dxa"/>
            <w:tcBorders>
              <w:top w:val="nil"/>
              <w:left w:val="nil"/>
              <w:bottom w:val="nil"/>
              <w:right w:val="nil"/>
            </w:tcBorders>
            <w:shd w:val="clear" w:color="auto" w:fill="D9D9D9" w:themeFill="background1" w:themeFillShade="D9"/>
            <w:noWrap/>
            <w:vAlign w:val="bottom"/>
            <w:hideMark/>
          </w:tcPr>
          <w:p w14:paraId="30320831" w14:textId="77777777" w:rsidR="00721CFD" w:rsidRPr="00F65869" w:rsidRDefault="00721CFD" w:rsidP="007B5BB3">
            <w:pPr>
              <w:jc w:val="right"/>
              <w:rPr>
                <w:rFonts w:ascii="Calibri" w:eastAsia="Times New Roman" w:hAnsi="Calibri" w:cs="Calibri"/>
                <w:color w:val="0D0D0D"/>
              </w:rPr>
            </w:pPr>
            <w:r w:rsidRPr="00920295">
              <w:rPr>
                <w:rFonts w:ascii="Calibri" w:eastAsia="Times New Roman" w:hAnsi="Calibri" w:cs="Calibri"/>
              </w:rPr>
              <w:t>(180,270)</w:t>
            </w:r>
          </w:p>
        </w:tc>
      </w:tr>
      <w:tr w:rsidR="00721CFD" w:rsidRPr="00F65869" w14:paraId="4F714113" w14:textId="77777777" w:rsidTr="007B5BB3">
        <w:trPr>
          <w:trHeight w:val="324"/>
          <w:jc w:val="center"/>
        </w:trPr>
        <w:tc>
          <w:tcPr>
            <w:tcW w:w="6028" w:type="dxa"/>
            <w:tcBorders>
              <w:top w:val="single" w:sz="4" w:space="0" w:color="44546A"/>
              <w:left w:val="nil"/>
              <w:bottom w:val="double" w:sz="6" w:space="0" w:color="44546A"/>
              <w:right w:val="nil"/>
            </w:tcBorders>
            <w:shd w:val="clear" w:color="000000" w:fill="FFFFFF"/>
            <w:noWrap/>
            <w:vAlign w:val="bottom"/>
            <w:hideMark/>
          </w:tcPr>
          <w:p w14:paraId="2E1A0F76"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Net OPEB liability</w:t>
            </w:r>
            <w:r>
              <w:rPr>
                <w:rFonts w:ascii="Calibri" w:eastAsia="Times New Roman" w:hAnsi="Calibri" w:cs="Calibri"/>
                <w:color w:val="0D0D0D"/>
              </w:rPr>
              <w:t xml:space="preserve"> (asset)</w:t>
            </w:r>
          </w:p>
        </w:tc>
        <w:tc>
          <w:tcPr>
            <w:tcW w:w="1262" w:type="dxa"/>
            <w:tcBorders>
              <w:top w:val="single" w:sz="4" w:space="0" w:color="44546A"/>
              <w:left w:val="nil"/>
              <w:bottom w:val="double" w:sz="6" w:space="0" w:color="44546A"/>
              <w:right w:val="nil"/>
            </w:tcBorders>
            <w:shd w:val="clear" w:color="000000" w:fill="FFFFFF"/>
            <w:noWrap/>
            <w:vAlign w:val="bottom"/>
            <w:hideMark/>
          </w:tcPr>
          <w:p w14:paraId="38CFEC92" w14:textId="77777777" w:rsidR="00721CFD" w:rsidRPr="002E65F6" w:rsidRDefault="00721CFD" w:rsidP="007B5BB3">
            <w:pPr>
              <w:jc w:val="right"/>
              <w:rPr>
                <w:rFonts w:ascii="Calibri" w:eastAsia="Times New Roman" w:hAnsi="Calibri" w:cs="Calibri"/>
              </w:rPr>
            </w:pPr>
            <w:r w:rsidRPr="002E65F6">
              <w:rPr>
                <w:rFonts w:ascii="Calibri" w:eastAsia="Times New Roman" w:hAnsi="Calibri" w:cs="Calibri"/>
              </w:rPr>
              <w:t xml:space="preserve">$  </w:t>
            </w:r>
            <w:r w:rsidRPr="003959B0">
              <w:rPr>
                <w:rFonts w:ascii="Calibri" w:eastAsia="Times New Roman" w:hAnsi="Calibri" w:cs="Calibri"/>
              </w:rPr>
              <w:t>17,782</w:t>
            </w:r>
          </w:p>
        </w:tc>
        <w:tc>
          <w:tcPr>
            <w:tcW w:w="1074" w:type="dxa"/>
            <w:tcBorders>
              <w:top w:val="single" w:sz="4" w:space="0" w:color="44546A"/>
              <w:left w:val="nil"/>
              <w:bottom w:val="double" w:sz="6" w:space="0" w:color="44546A"/>
              <w:right w:val="nil"/>
            </w:tcBorders>
            <w:shd w:val="clear" w:color="auto" w:fill="D9D9D9" w:themeFill="background1" w:themeFillShade="D9"/>
            <w:noWrap/>
            <w:vAlign w:val="bottom"/>
            <w:hideMark/>
          </w:tcPr>
          <w:p w14:paraId="1BB37A8D" w14:textId="77777777" w:rsidR="00721CFD" w:rsidRPr="00F65869" w:rsidRDefault="00721CFD" w:rsidP="007B5BB3">
            <w:pPr>
              <w:jc w:val="right"/>
              <w:rPr>
                <w:rFonts w:ascii="Calibri" w:eastAsia="Times New Roman" w:hAnsi="Calibri" w:cs="Calibri"/>
                <w:color w:val="0D0D0D"/>
              </w:rPr>
            </w:pPr>
            <w:r w:rsidRPr="00920295">
              <w:rPr>
                <w:rFonts w:ascii="Calibri" w:eastAsia="Times New Roman" w:hAnsi="Calibri" w:cs="Calibri"/>
              </w:rPr>
              <w:t>$(18,058)</w:t>
            </w:r>
          </w:p>
        </w:tc>
      </w:tr>
      <w:tr w:rsidR="00721CFD" w:rsidRPr="00F65869" w14:paraId="174F0DB9" w14:textId="77777777" w:rsidTr="007B5BB3">
        <w:trPr>
          <w:trHeight w:val="336"/>
          <w:jc w:val="center"/>
        </w:trPr>
        <w:tc>
          <w:tcPr>
            <w:tcW w:w="6028" w:type="dxa"/>
            <w:tcBorders>
              <w:top w:val="nil"/>
              <w:left w:val="nil"/>
              <w:bottom w:val="single" w:sz="8" w:space="0" w:color="44546A"/>
              <w:right w:val="nil"/>
            </w:tcBorders>
            <w:shd w:val="clear" w:color="000000" w:fill="FFFFFF"/>
            <w:vAlign w:val="bottom"/>
            <w:hideMark/>
          </w:tcPr>
          <w:p w14:paraId="46DA452D"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Fiduciary net position as a percentage of the total OPEB liability</w:t>
            </w:r>
          </w:p>
        </w:tc>
        <w:tc>
          <w:tcPr>
            <w:tcW w:w="1262" w:type="dxa"/>
            <w:tcBorders>
              <w:top w:val="nil"/>
              <w:left w:val="nil"/>
              <w:bottom w:val="single" w:sz="8" w:space="0" w:color="44546A"/>
              <w:right w:val="nil"/>
            </w:tcBorders>
            <w:shd w:val="clear" w:color="000000" w:fill="FFFFFF"/>
            <w:noWrap/>
            <w:vAlign w:val="bottom"/>
            <w:hideMark/>
          </w:tcPr>
          <w:p w14:paraId="3E9CAFEE" w14:textId="77777777" w:rsidR="00721CFD" w:rsidRPr="002E65F6" w:rsidRDefault="00721CFD" w:rsidP="007B5BB3">
            <w:pPr>
              <w:jc w:val="right"/>
              <w:rPr>
                <w:rFonts w:ascii="Calibri" w:eastAsia="Times New Roman" w:hAnsi="Calibri" w:cs="Calibri"/>
              </w:rPr>
            </w:pPr>
            <w:r w:rsidRPr="003959B0">
              <w:rPr>
                <w:rFonts w:ascii="Calibri" w:eastAsia="Times New Roman" w:hAnsi="Calibri" w:cs="Calibri"/>
              </w:rPr>
              <w:t>89.77</w:t>
            </w:r>
            <w:r w:rsidRPr="002E65F6">
              <w:rPr>
                <w:rFonts w:ascii="Calibri" w:eastAsia="Times New Roman" w:hAnsi="Calibri" w:cs="Calibri"/>
              </w:rPr>
              <w:t>%</w:t>
            </w:r>
          </w:p>
        </w:tc>
        <w:tc>
          <w:tcPr>
            <w:tcW w:w="1074" w:type="dxa"/>
            <w:tcBorders>
              <w:top w:val="nil"/>
              <w:left w:val="nil"/>
              <w:bottom w:val="single" w:sz="8" w:space="0" w:color="44546A"/>
              <w:right w:val="nil"/>
            </w:tcBorders>
            <w:shd w:val="clear" w:color="auto" w:fill="D9D9D9" w:themeFill="background1" w:themeFillShade="D9"/>
            <w:noWrap/>
            <w:vAlign w:val="bottom"/>
            <w:hideMark/>
          </w:tcPr>
          <w:p w14:paraId="1C161C79" w14:textId="77777777" w:rsidR="00721CFD" w:rsidRPr="00F65869" w:rsidRDefault="00721CFD" w:rsidP="007B5BB3">
            <w:pPr>
              <w:jc w:val="right"/>
              <w:rPr>
                <w:rFonts w:ascii="Calibri" w:eastAsia="Times New Roman" w:hAnsi="Calibri" w:cs="Calibri"/>
                <w:color w:val="0D0D0D"/>
              </w:rPr>
            </w:pPr>
            <w:r w:rsidRPr="00920295">
              <w:rPr>
                <w:rFonts w:ascii="Calibri" w:eastAsia="Times New Roman" w:hAnsi="Calibri" w:cs="Calibri"/>
              </w:rPr>
              <w:t>111.13%</w:t>
            </w:r>
          </w:p>
        </w:tc>
      </w:tr>
    </w:tbl>
    <w:p w14:paraId="5D74CCCF" w14:textId="77777777" w:rsidR="00373110" w:rsidRDefault="00373110" w:rsidP="00721CFD">
      <w:pPr>
        <w:tabs>
          <w:tab w:val="left" w:pos="900"/>
        </w:tabs>
        <w:spacing w:before="240"/>
        <w:ind w:right="-7"/>
        <w:rPr>
          <w:rFonts w:eastAsia="Times New Roman" w:cstheme="minorHAnsi"/>
          <w:b/>
          <w:i/>
          <w:spacing w:val="-1"/>
          <w:sz w:val="24"/>
        </w:rPr>
      </w:pPr>
    </w:p>
    <w:p w14:paraId="50E36CB4" w14:textId="088DC1D3" w:rsidR="00373110" w:rsidRDefault="00373110">
      <w:pPr>
        <w:spacing w:after="160" w:line="259" w:lineRule="auto"/>
        <w:rPr>
          <w:rFonts w:eastAsia="Times New Roman" w:cstheme="minorHAnsi"/>
          <w:b/>
          <w:i/>
          <w:spacing w:val="-1"/>
          <w:sz w:val="24"/>
        </w:rPr>
      </w:pPr>
      <w:r>
        <w:rPr>
          <w:rFonts w:eastAsia="Times New Roman" w:cstheme="minorHAnsi"/>
          <w:b/>
          <w:i/>
          <w:spacing w:val="-1"/>
          <w:sz w:val="24"/>
        </w:rPr>
        <w:br w:type="page"/>
      </w:r>
    </w:p>
    <w:p w14:paraId="1FCB35D9" w14:textId="77777777" w:rsidR="00373110" w:rsidRPr="00F54559" w:rsidRDefault="00373110" w:rsidP="00373110">
      <w:pPr>
        <w:spacing w:after="160" w:line="259" w:lineRule="auto"/>
        <w:rPr>
          <w:rFonts w:eastAsiaTheme="majorEastAsia" w:cstheme="minorHAnsi"/>
          <w:i/>
          <w:iCs/>
          <w:smallCaps/>
          <w:noProof/>
          <w:color w:val="000000" w:themeColor="text1"/>
          <w:szCs w:val="26"/>
          <w:u w:color="5B9BD5"/>
        </w:rPr>
      </w:pPr>
      <w:r w:rsidRPr="00F54559">
        <w:rPr>
          <w:rFonts w:eastAsiaTheme="majorEastAsia" w:cstheme="minorHAnsi"/>
          <w:b/>
          <w:i/>
          <w:iCs/>
          <w:smallCaps/>
          <w:noProof/>
          <w:color w:val="000000" w:themeColor="text1"/>
          <w:sz w:val="26"/>
          <w:szCs w:val="26"/>
          <w:u w:color="5B9BD5"/>
        </w:rPr>
        <w:lastRenderedPageBreak/>
        <w:t>14. POSTEMPLOYMENT HEALTH PLAN - CONTINUED</w:t>
      </w:r>
    </w:p>
    <w:p w14:paraId="4ECE3BC9" w14:textId="2E274D4D" w:rsidR="00721CFD" w:rsidRPr="00F54559" w:rsidRDefault="00721CFD" w:rsidP="00721CFD">
      <w:pPr>
        <w:tabs>
          <w:tab w:val="left" w:pos="900"/>
        </w:tabs>
        <w:spacing w:before="240"/>
        <w:ind w:right="-7"/>
        <w:rPr>
          <w:rFonts w:eastAsia="Times New Roman" w:cstheme="minorHAnsi"/>
          <w:spacing w:val="-1"/>
          <w:sz w:val="24"/>
        </w:rPr>
      </w:pPr>
      <w:r w:rsidRPr="00F54559">
        <w:rPr>
          <w:rFonts w:eastAsia="Times New Roman" w:cstheme="minorHAnsi"/>
          <w:b/>
          <w:i/>
          <w:spacing w:val="-1"/>
          <w:sz w:val="24"/>
        </w:rPr>
        <w:t>Actuarial Assumptions:</w:t>
      </w:r>
      <w:r w:rsidRPr="00F54559">
        <w:rPr>
          <w:rFonts w:eastAsia="Franklin Gothic Book" w:cstheme="minorHAnsi"/>
          <w:spacing w:val="-1"/>
          <w:sz w:val="24"/>
        </w:rPr>
        <w:t xml:space="preserve"> </w:t>
      </w:r>
      <w:r w:rsidRPr="00F54559">
        <w:rPr>
          <w:rFonts w:eastAsia="Times New Roman" w:cstheme="minorHAnsi"/>
          <w:spacing w:val="-1"/>
          <w:sz w:val="24"/>
        </w:rPr>
        <w:t xml:space="preserve">The total OPEB liability as of </w:t>
      </w:r>
      <w:r w:rsidRPr="00F54559">
        <w:rPr>
          <w:rFonts w:eastAsia="Franklin Gothic Book" w:cstheme="minorHAnsi"/>
          <w:spacing w:val="-1"/>
          <w:sz w:val="24"/>
        </w:rPr>
        <w:t>June 30, 20</w:t>
      </w:r>
      <w:r>
        <w:rPr>
          <w:rFonts w:eastAsia="Franklin Gothic Book" w:cstheme="minorHAnsi"/>
          <w:spacing w:val="-1"/>
          <w:sz w:val="24"/>
        </w:rPr>
        <w:t>21</w:t>
      </w:r>
      <w:r w:rsidRPr="00F54559">
        <w:rPr>
          <w:rFonts w:eastAsia="Franklin Gothic Book" w:cstheme="minorHAnsi"/>
          <w:spacing w:val="-1"/>
          <w:sz w:val="24"/>
        </w:rPr>
        <w:t xml:space="preserve"> was determined by an actuarial valuation as of </w:t>
      </w:r>
      <w:r w:rsidRPr="002F393E">
        <w:rPr>
          <w:rFonts w:eastAsia="Franklin Gothic Book" w:cstheme="minorHAnsi"/>
          <w:spacing w:val="-1"/>
          <w:sz w:val="24"/>
        </w:rPr>
        <w:t>July 1, 2021</w:t>
      </w:r>
      <w:r w:rsidR="00117563">
        <w:rPr>
          <w:rFonts w:eastAsia="Franklin Gothic Book" w:cstheme="minorHAnsi"/>
          <w:spacing w:val="-1"/>
          <w:sz w:val="24"/>
        </w:rPr>
        <w:t>. The</w:t>
      </w:r>
      <w:r w:rsidR="00D2701E">
        <w:rPr>
          <w:rFonts w:eastAsia="Franklin Gothic Book" w:cstheme="minorHAnsi"/>
          <w:spacing w:val="-1"/>
          <w:sz w:val="24"/>
        </w:rPr>
        <w:t xml:space="preserve"> results of the June 30, 2022</w:t>
      </w:r>
      <w:r w:rsidRPr="00363A68">
        <w:rPr>
          <w:rFonts w:eastAsia="Franklin Gothic Book" w:cstheme="minorHAnsi"/>
          <w:spacing w:val="-1"/>
          <w:sz w:val="24"/>
        </w:rPr>
        <w:t xml:space="preserve"> measurement date </w:t>
      </w:r>
      <w:r w:rsidR="00D2701E">
        <w:rPr>
          <w:rFonts w:eastAsia="Franklin Gothic Book" w:cstheme="minorHAnsi"/>
          <w:spacing w:val="-1"/>
          <w:sz w:val="24"/>
        </w:rPr>
        <w:t>are based on a roll forward of the liabilities developed for the June 30, 2021 valuation.</w:t>
      </w:r>
      <w:r w:rsidRPr="002F393E">
        <w:rPr>
          <w:rFonts w:eastAsia="Franklin Gothic Book" w:cstheme="minorHAnsi"/>
          <w:spacing w:val="-1"/>
          <w:sz w:val="24"/>
        </w:rPr>
        <w:t xml:space="preserve"> </w:t>
      </w:r>
      <w:r w:rsidR="00D2701E">
        <w:rPr>
          <w:rFonts w:eastAsia="Franklin Gothic Book" w:cstheme="minorHAnsi"/>
          <w:spacing w:val="-1"/>
          <w:sz w:val="24"/>
        </w:rPr>
        <w:t>T</w:t>
      </w:r>
      <w:r w:rsidRPr="002F393E">
        <w:rPr>
          <w:rFonts w:eastAsia="Franklin Gothic Book" w:cstheme="minorHAnsi"/>
          <w:spacing w:val="-1"/>
          <w:sz w:val="24"/>
        </w:rPr>
        <w:t xml:space="preserve">he following actuarial </w:t>
      </w:r>
      <w:r w:rsidRPr="00F54559">
        <w:rPr>
          <w:rFonts w:eastAsia="Franklin Gothic Book" w:cstheme="minorHAnsi"/>
          <w:spacing w:val="-1"/>
          <w:sz w:val="24"/>
        </w:rPr>
        <w:t>assumptions, applied to all periods included in the measurement</w:t>
      </w:r>
      <w:r w:rsidR="00A16F53">
        <w:rPr>
          <w:rFonts w:eastAsia="Franklin Gothic Book" w:cstheme="minorHAnsi"/>
          <w:spacing w:val="-1"/>
          <w:sz w:val="24"/>
        </w:rPr>
        <w:t>.</w:t>
      </w:r>
    </w:p>
    <w:p w14:paraId="58D87618" w14:textId="77777777" w:rsidR="00721CFD" w:rsidRPr="00F54559" w:rsidRDefault="00721CFD" w:rsidP="00721CFD">
      <w:pPr>
        <w:tabs>
          <w:tab w:val="left" w:pos="900"/>
        </w:tabs>
        <w:ind w:right="-7"/>
        <w:rPr>
          <w:rFonts w:eastAsia="Times New Roman" w:cstheme="minorHAnsi"/>
          <w:spacing w:val="-1"/>
          <w:sz w:val="24"/>
        </w:rPr>
      </w:pPr>
    </w:p>
    <w:p w14:paraId="03375C07" w14:textId="77777777" w:rsidR="00721CFD" w:rsidRPr="000E648A" w:rsidRDefault="00721CFD" w:rsidP="00721CFD">
      <w:pPr>
        <w:widowControl w:val="0"/>
        <w:pBdr>
          <w:top w:val="single" w:sz="4" w:space="1" w:color="00688D"/>
        </w:pBdr>
        <w:tabs>
          <w:tab w:val="left" w:pos="3510"/>
        </w:tabs>
        <w:ind w:left="540" w:right="360"/>
        <w:rPr>
          <w:rFonts w:eastAsia="Franklin Gothic Book" w:cstheme="minorHAnsi"/>
          <w:sz w:val="24"/>
          <w:szCs w:val="24"/>
        </w:rPr>
      </w:pPr>
      <w:r w:rsidRPr="000E648A">
        <w:rPr>
          <w:rFonts w:eastAsia="Franklin Gothic Book" w:cstheme="minorHAnsi"/>
          <w:sz w:val="24"/>
          <w:szCs w:val="24"/>
        </w:rPr>
        <w:t>Actuarial cost method</w:t>
      </w:r>
      <w:r w:rsidRPr="000E648A">
        <w:rPr>
          <w:rFonts w:eastAsia="Franklin Gothic Book" w:cstheme="minorHAnsi"/>
          <w:sz w:val="24"/>
          <w:szCs w:val="24"/>
        </w:rPr>
        <w:tab/>
        <w:t>Entry age normal</w:t>
      </w:r>
    </w:p>
    <w:p w14:paraId="7DD21BD5" w14:textId="77777777" w:rsidR="00721CFD" w:rsidRPr="000E648A" w:rsidRDefault="00721CFD" w:rsidP="00721CFD">
      <w:pPr>
        <w:widowControl w:val="0"/>
        <w:pBdr>
          <w:top w:val="single" w:sz="4" w:space="1" w:color="00688D"/>
        </w:pBdr>
        <w:tabs>
          <w:tab w:val="left" w:pos="3510"/>
        </w:tabs>
        <w:ind w:left="540" w:right="360"/>
        <w:rPr>
          <w:rFonts w:eastAsia="Franklin Gothic Book" w:cstheme="minorHAnsi"/>
          <w:sz w:val="24"/>
          <w:szCs w:val="24"/>
        </w:rPr>
      </w:pPr>
      <w:r w:rsidRPr="000E648A">
        <w:rPr>
          <w:rFonts w:eastAsia="Franklin Gothic Book" w:cstheme="minorHAnsi"/>
          <w:sz w:val="24"/>
          <w:szCs w:val="24"/>
        </w:rPr>
        <w:t>Actuarial asset method</w:t>
      </w:r>
      <w:r w:rsidRPr="000E648A">
        <w:rPr>
          <w:rFonts w:eastAsia="Franklin Gothic Book" w:cstheme="minorHAnsi"/>
          <w:sz w:val="24"/>
          <w:szCs w:val="24"/>
        </w:rPr>
        <w:tab/>
        <w:t>Market value</w:t>
      </w:r>
    </w:p>
    <w:p w14:paraId="0082A96E" w14:textId="77777777" w:rsidR="00721CFD" w:rsidRPr="00D36698" w:rsidRDefault="00721CFD" w:rsidP="00721CFD">
      <w:pPr>
        <w:widowControl w:val="0"/>
        <w:tabs>
          <w:tab w:val="left" w:pos="3510"/>
        </w:tabs>
        <w:ind w:left="540" w:right="360"/>
        <w:rPr>
          <w:rFonts w:eastAsia="Franklin Gothic Book" w:cstheme="minorHAnsi"/>
          <w:sz w:val="24"/>
          <w:szCs w:val="24"/>
        </w:rPr>
      </w:pPr>
      <w:r w:rsidRPr="00D36698">
        <w:rPr>
          <w:rFonts w:eastAsia="Franklin Gothic Book" w:cstheme="minorHAnsi"/>
          <w:sz w:val="24"/>
          <w:szCs w:val="24"/>
        </w:rPr>
        <w:t>Inflation</w:t>
      </w:r>
      <w:r w:rsidRPr="00D36698">
        <w:rPr>
          <w:rFonts w:eastAsia="Franklin Gothic Book" w:cstheme="minorHAnsi"/>
          <w:sz w:val="24"/>
          <w:szCs w:val="24"/>
        </w:rPr>
        <w:tab/>
      </w:r>
      <w:r w:rsidRPr="00A93FB3">
        <w:rPr>
          <w:rFonts w:eastAsia="Franklin Gothic Book" w:cstheme="minorHAnsi"/>
          <w:sz w:val="24"/>
          <w:szCs w:val="24"/>
        </w:rPr>
        <w:t>2.4% as of June 30, 2022;</w:t>
      </w:r>
      <w:r w:rsidRPr="00D36698">
        <w:rPr>
          <w:rFonts w:eastAsia="Franklin Gothic Book" w:cstheme="minorHAnsi"/>
          <w:sz w:val="24"/>
          <w:szCs w:val="24"/>
        </w:rPr>
        <w:t xml:space="preserve"> 2.2% as of June 30, 2021 </w:t>
      </w:r>
    </w:p>
    <w:p w14:paraId="2FAA8C7F" w14:textId="77777777" w:rsidR="00721CFD" w:rsidRPr="00D36698" w:rsidRDefault="00721CFD" w:rsidP="00721CFD">
      <w:pPr>
        <w:widowControl w:val="0"/>
        <w:tabs>
          <w:tab w:val="left" w:pos="3510"/>
        </w:tabs>
        <w:ind w:left="3510" w:right="360" w:hanging="2970"/>
        <w:rPr>
          <w:rFonts w:eastAsia="Franklin Gothic Book" w:cstheme="minorHAnsi"/>
          <w:sz w:val="24"/>
          <w:szCs w:val="24"/>
        </w:rPr>
      </w:pPr>
      <w:r w:rsidRPr="00D36698">
        <w:rPr>
          <w:rFonts w:eastAsia="Franklin Gothic Book" w:cstheme="minorHAnsi"/>
          <w:sz w:val="24"/>
          <w:szCs w:val="24"/>
        </w:rPr>
        <w:t>Investment rate of return</w:t>
      </w:r>
      <w:r w:rsidRPr="00D36698">
        <w:rPr>
          <w:rFonts w:eastAsia="Franklin Gothic Book" w:cstheme="minorHAnsi"/>
          <w:sz w:val="24"/>
          <w:szCs w:val="24"/>
        </w:rPr>
        <w:tab/>
        <w:t>7.25% net of investment expenses, including inflation as of June 30, 202</w:t>
      </w:r>
      <w:r w:rsidRPr="00A93FB3">
        <w:rPr>
          <w:rFonts w:eastAsia="Franklin Gothic Book" w:cstheme="minorHAnsi"/>
          <w:sz w:val="24"/>
          <w:szCs w:val="24"/>
        </w:rPr>
        <w:t>2</w:t>
      </w:r>
      <w:r w:rsidRPr="00D36698">
        <w:rPr>
          <w:rFonts w:eastAsia="Franklin Gothic Book" w:cstheme="minorHAnsi"/>
          <w:sz w:val="24"/>
          <w:szCs w:val="24"/>
        </w:rPr>
        <w:t xml:space="preserve"> and 202</w:t>
      </w:r>
      <w:r w:rsidRPr="00A93FB3">
        <w:rPr>
          <w:rFonts w:eastAsia="Franklin Gothic Book" w:cstheme="minorHAnsi"/>
          <w:sz w:val="24"/>
          <w:szCs w:val="24"/>
        </w:rPr>
        <w:t>1</w:t>
      </w:r>
    </w:p>
    <w:p w14:paraId="3253D12D" w14:textId="77777777" w:rsidR="00DE3919" w:rsidRDefault="00721CFD" w:rsidP="00721CFD">
      <w:pPr>
        <w:widowControl w:val="0"/>
        <w:tabs>
          <w:tab w:val="left" w:pos="3510"/>
        </w:tabs>
        <w:ind w:left="3510" w:right="360" w:hanging="2970"/>
        <w:rPr>
          <w:rFonts w:eastAsia="Franklin Gothic Book" w:cstheme="minorHAnsi"/>
          <w:spacing w:val="-1"/>
          <w:sz w:val="24"/>
          <w:szCs w:val="24"/>
        </w:rPr>
      </w:pPr>
      <w:r w:rsidRPr="000E648A">
        <w:rPr>
          <w:rFonts w:eastAsia="Franklin Gothic Book" w:cstheme="minorHAnsi"/>
          <w:sz w:val="24"/>
          <w:szCs w:val="24"/>
        </w:rPr>
        <w:t>Healthcare cost trend rate</w:t>
      </w:r>
      <w:r w:rsidRPr="000E648A">
        <w:rPr>
          <w:rFonts w:eastAsia="Franklin Gothic Book" w:cstheme="minorHAnsi"/>
          <w:sz w:val="24"/>
          <w:szCs w:val="24"/>
        </w:rPr>
        <w:tab/>
      </w:r>
      <w:r w:rsidRPr="000E648A">
        <w:rPr>
          <w:rFonts w:eastAsia="Franklin Gothic Book" w:cstheme="minorHAnsi"/>
          <w:spacing w:val="-1"/>
          <w:sz w:val="24"/>
          <w:szCs w:val="24"/>
        </w:rPr>
        <w:t xml:space="preserve">6% for 2021 decreasing .25% per year to 5.25%, then grading down to an ultimate trend rate of 4%, utilizing </w:t>
      </w:r>
    </w:p>
    <w:p w14:paraId="3CDCAC12" w14:textId="7CF12A2D" w:rsidR="00721CFD" w:rsidRPr="00A93FB3" w:rsidRDefault="00DE3919" w:rsidP="00721CFD">
      <w:pPr>
        <w:widowControl w:val="0"/>
        <w:tabs>
          <w:tab w:val="left" w:pos="3510"/>
        </w:tabs>
        <w:ind w:left="3510" w:right="360" w:hanging="2970"/>
        <w:rPr>
          <w:rFonts w:eastAsia="Franklin Gothic Book" w:cstheme="minorHAnsi"/>
          <w:color w:val="FF0000"/>
          <w:spacing w:val="-1"/>
          <w:sz w:val="24"/>
        </w:rPr>
      </w:pPr>
      <w:r>
        <w:rPr>
          <w:rFonts w:eastAsia="Franklin Gothic Book" w:cstheme="minorHAnsi"/>
          <w:spacing w:val="-1"/>
          <w:sz w:val="24"/>
          <w:szCs w:val="24"/>
        </w:rPr>
        <w:tab/>
      </w:r>
      <w:r w:rsidR="00721CFD" w:rsidRPr="000E648A">
        <w:rPr>
          <w:rFonts w:eastAsia="Franklin Gothic Book" w:cstheme="minorHAnsi"/>
          <w:spacing w:val="-1"/>
          <w:sz w:val="24"/>
          <w:szCs w:val="24"/>
        </w:rPr>
        <w:t>the Society of Actuaries Getzen Medical Trend Model. The ultimate medical inflation rate is reached in 2075</w:t>
      </w:r>
    </w:p>
    <w:p w14:paraId="78C1FBE6" w14:textId="77777777" w:rsidR="00721CFD" w:rsidRPr="00BC6B2E" w:rsidRDefault="00721CFD" w:rsidP="00721CFD">
      <w:pPr>
        <w:widowControl w:val="0"/>
        <w:tabs>
          <w:tab w:val="left" w:pos="3510"/>
        </w:tabs>
        <w:ind w:left="3510" w:right="360" w:hanging="2970"/>
        <w:rPr>
          <w:rFonts w:eastAsia="Franklin Gothic Book" w:cstheme="minorHAnsi"/>
          <w:spacing w:val="-1"/>
          <w:sz w:val="24"/>
          <w:szCs w:val="24"/>
        </w:rPr>
      </w:pPr>
      <w:r w:rsidRPr="00BC6B2E">
        <w:rPr>
          <w:rFonts w:eastAsia="Franklin Gothic Book" w:cstheme="minorHAnsi"/>
          <w:spacing w:val="-1"/>
          <w:sz w:val="24"/>
          <w:szCs w:val="24"/>
        </w:rPr>
        <w:t>Prescription drug trend rates</w:t>
      </w:r>
      <w:r w:rsidRPr="00BC6B2E">
        <w:rPr>
          <w:rFonts w:eastAsia="Franklin Gothic Book" w:cstheme="minorHAnsi"/>
          <w:spacing w:val="-1"/>
          <w:sz w:val="24"/>
          <w:szCs w:val="24"/>
        </w:rPr>
        <w:tab/>
        <w:t xml:space="preserve">6.5% for 2021, decreasing .25% per year to an ultimate </w:t>
      </w:r>
    </w:p>
    <w:p w14:paraId="44E9A87B" w14:textId="00A58FA2" w:rsidR="00721CFD" w:rsidRPr="00BC6B2E" w:rsidRDefault="00721CFD" w:rsidP="00721CFD">
      <w:pPr>
        <w:widowControl w:val="0"/>
        <w:tabs>
          <w:tab w:val="left" w:pos="3510"/>
        </w:tabs>
        <w:ind w:left="3510" w:right="360" w:hanging="2970"/>
        <w:rPr>
          <w:rFonts w:eastAsia="Franklin Gothic Book" w:cstheme="minorHAnsi"/>
          <w:spacing w:val="-1"/>
          <w:sz w:val="24"/>
          <w:szCs w:val="24"/>
        </w:rPr>
      </w:pPr>
      <w:r w:rsidRPr="00BC6B2E">
        <w:rPr>
          <w:rFonts w:eastAsia="Franklin Gothic Book" w:cstheme="minorHAnsi"/>
          <w:spacing w:val="-1"/>
          <w:sz w:val="24"/>
          <w:szCs w:val="24"/>
        </w:rPr>
        <w:t>(Catastrophic prescription</w:t>
      </w:r>
      <w:r w:rsidRPr="00BC6B2E">
        <w:rPr>
          <w:rFonts w:eastAsia="Franklin Gothic Book" w:cstheme="minorHAnsi"/>
          <w:spacing w:val="-1"/>
          <w:sz w:val="24"/>
          <w:szCs w:val="24"/>
        </w:rPr>
        <w:tab/>
        <w:t>trend rate of 5 percent.</w:t>
      </w:r>
    </w:p>
    <w:p w14:paraId="52F14F53" w14:textId="77777777" w:rsidR="00721CFD" w:rsidRPr="00BC1813" w:rsidRDefault="00721CFD" w:rsidP="00721CFD">
      <w:pPr>
        <w:widowControl w:val="0"/>
        <w:tabs>
          <w:tab w:val="left" w:pos="3510"/>
        </w:tabs>
        <w:ind w:left="3510" w:right="360" w:hanging="2970"/>
        <w:rPr>
          <w:rFonts w:eastAsia="Franklin Gothic Book" w:cstheme="minorHAnsi"/>
          <w:sz w:val="24"/>
          <w:szCs w:val="24"/>
        </w:rPr>
      </w:pPr>
      <w:r>
        <w:rPr>
          <w:rFonts w:eastAsia="Franklin Gothic Book" w:cstheme="minorHAnsi"/>
          <w:spacing w:val="-1"/>
          <w:sz w:val="24"/>
          <w:szCs w:val="24"/>
        </w:rPr>
        <w:t>Drug HRA)</w:t>
      </w:r>
      <w:r>
        <w:rPr>
          <w:rFonts w:eastAsia="Franklin Gothic Book" w:cstheme="minorHAnsi"/>
          <w:spacing w:val="-1"/>
          <w:sz w:val="24"/>
          <w:szCs w:val="24"/>
        </w:rPr>
        <w:tab/>
      </w:r>
    </w:p>
    <w:p w14:paraId="0E7CF86D" w14:textId="77777777" w:rsidR="00721CFD" w:rsidRPr="00BC6B2E" w:rsidRDefault="00721CFD" w:rsidP="00721CFD">
      <w:pPr>
        <w:widowControl w:val="0"/>
        <w:pBdr>
          <w:bottom w:val="single" w:sz="4" w:space="1" w:color="00688D"/>
        </w:pBdr>
        <w:tabs>
          <w:tab w:val="left" w:pos="3510"/>
        </w:tabs>
        <w:ind w:left="3510" w:right="360" w:hanging="2970"/>
        <w:rPr>
          <w:rFonts w:eastAsia="Franklin Gothic Book" w:cstheme="minorHAnsi"/>
          <w:spacing w:val="-1"/>
          <w:sz w:val="24"/>
          <w:szCs w:val="24"/>
        </w:rPr>
      </w:pPr>
      <w:r w:rsidRPr="00BC1813">
        <w:rPr>
          <w:rFonts w:eastAsia="Franklin Gothic Book" w:cstheme="minorHAnsi"/>
          <w:sz w:val="24"/>
          <w:szCs w:val="24"/>
        </w:rPr>
        <w:t>Life expectancy</w:t>
      </w:r>
      <w:r>
        <w:rPr>
          <w:rFonts w:eastAsia="Franklin Gothic Book" w:cstheme="minorHAnsi"/>
          <w:sz w:val="24"/>
          <w:szCs w:val="24"/>
        </w:rPr>
        <w:tab/>
      </w:r>
      <w:r w:rsidRPr="00BC6B2E">
        <w:rPr>
          <w:rFonts w:eastAsia="Franklin Gothic Book" w:cstheme="minorHAnsi"/>
          <w:sz w:val="24"/>
          <w:szCs w:val="24"/>
        </w:rPr>
        <w:t xml:space="preserve">Pre-retirement and post-retirement mortality rates were based on the </w:t>
      </w:r>
      <w:r w:rsidRPr="00BC6B2E">
        <w:rPr>
          <w:rFonts w:eastAsia="Franklin Gothic Book" w:cstheme="minorHAnsi"/>
          <w:spacing w:val="-1"/>
          <w:sz w:val="24"/>
          <w:szCs w:val="24"/>
        </w:rPr>
        <w:t>Pub-2010 headcount-weighted Mortality Table projected with fully generational mortality improvement using Scale MP-2020.</w:t>
      </w:r>
    </w:p>
    <w:p w14:paraId="6B5315D5" w14:textId="77777777" w:rsidR="00721CFD" w:rsidRPr="00BC6B2E" w:rsidRDefault="00721CFD" w:rsidP="00721CFD">
      <w:pPr>
        <w:widowControl w:val="0"/>
        <w:pBdr>
          <w:bottom w:val="single" w:sz="4" w:space="1" w:color="00688D"/>
        </w:pBdr>
        <w:tabs>
          <w:tab w:val="left" w:pos="3510"/>
        </w:tabs>
        <w:ind w:left="3510" w:right="360" w:hanging="2970"/>
        <w:rPr>
          <w:rFonts w:eastAsia="Franklin Gothic Book" w:cstheme="minorHAnsi"/>
          <w:spacing w:val="-1"/>
          <w:sz w:val="24"/>
          <w:szCs w:val="24"/>
        </w:rPr>
      </w:pPr>
      <w:r w:rsidRPr="00BC6B2E">
        <w:rPr>
          <w:rFonts w:eastAsia="Franklin Gothic Book" w:cstheme="minorHAnsi"/>
          <w:spacing w:val="-1"/>
          <w:sz w:val="24"/>
          <w:szCs w:val="24"/>
        </w:rPr>
        <w:tab/>
        <w:t>For disabled lives, the mortality rates were based on the Pub-2010 headcount-weighted Disabled Mortality Table projected with fully generational mortality improvement using Scale MP-2020.</w:t>
      </w:r>
    </w:p>
    <w:p w14:paraId="1895BAA2" w14:textId="77777777" w:rsidR="00721CFD" w:rsidRPr="00F54559" w:rsidRDefault="00721CFD" w:rsidP="0007776B">
      <w:pPr>
        <w:spacing w:before="160" w:after="160" w:line="259" w:lineRule="auto"/>
        <w:rPr>
          <w:rFonts w:eastAsia="Times New Roman" w:cstheme="minorHAnsi"/>
          <w:b/>
          <w:i/>
          <w:spacing w:val="-1"/>
          <w:sz w:val="24"/>
        </w:rPr>
      </w:pPr>
      <w:r w:rsidRPr="00F54559">
        <w:rPr>
          <w:rFonts w:eastAsia="Franklin Gothic Book" w:cstheme="minorHAnsi"/>
          <w:spacing w:val="-1"/>
          <w:sz w:val="24"/>
        </w:rPr>
        <w:t>T</w:t>
      </w:r>
      <w:r w:rsidRPr="00F54559">
        <w:rPr>
          <w:rFonts w:eastAsia="Franklin Gothic Book" w:cstheme="minorHAnsi"/>
          <w:sz w:val="24"/>
        </w:rPr>
        <w:t>he</w:t>
      </w:r>
      <w:r w:rsidRPr="00F54559">
        <w:rPr>
          <w:rFonts w:eastAsia="Franklin Gothic Book" w:cstheme="minorHAnsi"/>
          <w:spacing w:val="11"/>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1"/>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2"/>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9"/>
          <w:sz w:val="24"/>
        </w:rPr>
        <w:t xml:space="preserve"> </w:t>
      </w:r>
      <w:r w:rsidRPr="00F54559">
        <w:rPr>
          <w:rFonts w:eastAsia="Franklin Gothic Book" w:cstheme="minorHAnsi"/>
          <w:spacing w:val="-1"/>
          <w:sz w:val="24"/>
        </w:rPr>
        <w:t>o</w:t>
      </w:r>
      <w:r w:rsidRPr="00F54559">
        <w:rPr>
          <w:rFonts w:eastAsia="Franklin Gothic Book" w:cstheme="minorHAnsi"/>
          <w:sz w:val="24"/>
        </w:rPr>
        <w:t>n</w:t>
      </w:r>
      <w:r w:rsidRPr="00F54559">
        <w:rPr>
          <w:rFonts w:eastAsia="Franklin Gothic Book" w:cstheme="minorHAnsi"/>
          <w:spacing w:val="11"/>
          <w:sz w:val="24"/>
        </w:rPr>
        <w:t xml:space="preserve"> </w:t>
      </w:r>
      <w:r w:rsidRPr="00F54559">
        <w:rPr>
          <w:rFonts w:eastAsia="Franklin Gothic Book" w:cstheme="minorHAnsi"/>
          <w:spacing w:val="-1"/>
          <w:sz w:val="24"/>
        </w:rPr>
        <w:t>OPEB</w:t>
      </w:r>
      <w:r w:rsidRPr="00F54559">
        <w:rPr>
          <w:rFonts w:eastAsia="Franklin Gothic Book" w:cstheme="minorHAnsi"/>
          <w:spacing w:val="9"/>
          <w:sz w:val="24"/>
        </w:rPr>
        <w:t xml:space="preserve"> </w:t>
      </w:r>
      <w:r w:rsidRPr="00F54559">
        <w:rPr>
          <w:rFonts w:eastAsia="Franklin Gothic Book" w:cstheme="minorHAnsi"/>
          <w:spacing w:val="-1"/>
          <w:sz w:val="24"/>
        </w:rPr>
        <w:t>P</w:t>
      </w:r>
      <w:r w:rsidRPr="00F54559">
        <w:rPr>
          <w:rFonts w:eastAsia="Franklin Gothic Book" w:cstheme="minorHAnsi"/>
          <w:sz w:val="24"/>
        </w:rPr>
        <w:t>lan</w:t>
      </w:r>
      <w:r w:rsidRPr="00F54559">
        <w:rPr>
          <w:rFonts w:eastAsia="Franklin Gothic Book" w:cstheme="minorHAnsi"/>
          <w:spacing w:val="11"/>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ments</w:t>
      </w:r>
      <w:r w:rsidRPr="00F54559">
        <w:rPr>
          <w:rFonts w:eastAsia="Franklin Gothic Book" w:cstheme="minorHAnsi"/>
          <w:spacing w:val="12"/>
          <w:sz w:val="24"/>
        </w:rPr>
        <w:t xml:space="preserve"> </w:t>
      </w:r>
      <w:r w:rsidRPr="00F54559">
        <w:rPr>
          <w:rFonts w:eastAsia="Franklin Gothic Book" w:cstheme="minorHAnsi"/>
          <w:sz w:val="24"/>
        </w:rPr>
        <w:t>was</w:t>
      </w:r>
      <w:r w:rsidRPr="00F54559">
        <w:rPr>
          <w:rFonts w:eastAsia="Franklin Gothic Book" w:cstheme="minorHAnsi"/>
          <w:spacing w:val="12"/>
          <w:sz w:val="24"/>
        </w:rPr>
        <w:t xml:space="preserve"> </w:t>
      </w:r>
      <w:r w:rsidRPr="00F54559">
        <w:rPr>
          <w:rFonts w:eastAsia="Franklin Gothic Book" w:cstheme="minorHAnsi"/>
          <w:sz w:val="24"/>
        </w:rPr>
        <w:t>dete</w:t>
      </w:r>
      <w:r w:rsidRPr="00F54559">
        <w:rPr>
          <w:rFonts w:eastAsia="Franklin Gothic Book" w:cstheme="minorHAnsi"/>
          <w:spacing w:val="-1"/>
          <w:sz w:val="24"/>
        </w:rPr>
        <w:t>r</w:t>
      </w:r>
      <w:r w:rsidRPr="00F54559">
        <w:rPr>
          <w:rFonts w:eastAsia="Franklin Gothic Book" w:cstheme="minorHAnsi"/>
          <w:sz w:val="24"/>
        </w:rPr>
        <w:t>mined</w:t>
      </w:r>
      <w:r w:rsidRPr="00F54559">
        <w:rPr>
          <w:rFonts w:eastAsia="Franklin Gothic Book" w:cstheme="minorHAnsi"/>
          <w:spacing w:val="10"/>
          <w:sz w:val="24"/>
        </w:rPr>
        <w:t xml:space="preserve"> </w:t>
      </w:r>
      <w:r w:rsidRPr="00F54559">
        <w:rPr>
          <w:rFonts w:eastAsia="Franklin Gothic Book" w:cstheme="minorHAnsi"/>
          <w:sz w:val="24"/>
        </w:rPr>
        <w:t>u</w:t>
      </w:r>
      <w:r w:rsidRPr="00F54559">
        <w:rPr>
          <w:rFonts w:eastAsia="Franklin Gothic Book" w:cstheme="minorHAnsi"/>
          <w:spacing w:val="1"/>
          <w:sz w:val="24"/>
        </w:rPr>
        <w:t>s</w:t>
      </w:r>
      <w:r w:rsidRPr="00F54559">
        <w:rPr>
          <w:rFonts w:eastAsia="Franklin Gothic Book" w:cstheme="minorHAnsi"/>
          <w:sz w:val="24"/>
        </w:rPr>
        <w:t>ing</w:t>
      </w:r>
      <w:r w:rsidRPr="00F54559">
        <w:rPr>
          <w:rFonts w:eastAsia="Franklin Gothic Book" w:cstheme="minorHAnsi"/>
          <w:spacing w:val="11"/>
          <w:sz w:val="24"/>
        </w:rPr>
        <w:t xml:space="preserve"> </w:t>
      </w:r>
      <w:r w:rsidRPr="00F54559">
        <w:rPr>
          <w:rFonts w:eastAsia="Franklin Gothic Book" w:cstheme="minorHAnsi"/>
          <w:sz w:val="24"/>
        </w:rPr>
        <w:t>a</w:t>
      </w:r>
      <w:r w:rsidRPr="00F54559">
        <w:rPr>
          <w:rFonts w:eastAsia="Franklin Gothic Book" w:cstheme="minorHAnsi"/>
          <w:spacing w:val="10"/>
          <w:sz w:val="24"/>
        </w:rPr>
        <w:t xml:space="preserve"> </w:t>
      </w:r>
      <w:r w:rsidRPr="00F54559">
        <w:rPr>
          <w:rFonts w:eastAsia="Franklin Gothic Book" w:cstheme="minorHAnsi"/>
          <w:sz w:val="24"/>
        </w:rPr>
        <w:t>building-bl</w:t>
      </w:r>
      <w:r w:rsidRPr="00F54559">
        <w:rPr>
          <w:rFonts w:eastAsia="Franklin Gothic Book" w:cstheme="minorHAnsi"/>
          <w:spacing w:val="-1"/>
          <w:sz w:val="24"/>
        </w:rPr>
        <w:t>o</w:t>
      </w:r>
      <w:r w:rsidRPr="00F54559">
        <w:rPr>
          <w:rFonts w:eastAsia="Franklin Gothic Book" w:cstheme="minorHAnsi"/>
          <w:sz w:val="24"/>
        </w:rPr>
        <w:t>ck</w:t>
      </w:r>
      <w:r w:rsidRPr="00F54559">
        <w:rPr>
          <w:rFonts w:eastAsia="Franklin Gothic Book" w:cstheme="minorHAnsi"/>
          <w:w w:val="99"/>
          <w:sz w:val="24"/>
        </w:rPr>
        <w:t xml:space="preserve"> </w:t>
      </w:r>
      <w:r w:rsidRPr="00F54559">
        <w:rPr>
          <w:rFonts w:eastAsia="Franklin Gothic Book" w:cstheme="minorHAnsi"/>
          <w:sz w:val="24"/>
        </w:rPr>
        <w:t>method</w:t>
      </w:r>
      <w:r w:rsidRPr="00F54559">
        <w:rPr>
          <w:rFonts w:eastAsia="Franklin Gothic Book" w:cstheme="minorHAnsi"/>
          <w:spacing w:val="34"/>
          <w:sz w:val="24"/>
        </w:rPr>
        <w:t xml:space="preserve"> </w:t>
      </w:r>
      <w:r w:rsidRPr="00F54559">
        <w:rPr>
          <w:rFonts w:eastAsia="Franklin Gothic Book" w:cstheme="minorHAnsi"/>
          <w:sz w:val="24"/>
        </w:rPr>
        <w:t>in</w:t>
      </w:r>
      <w:r w:rsidRPr="00F54559">
        <w:rPr>
          <w:rFonts w:eastAsia="Franklin Gothic Book" w:cstheme="minorHAnsi"/>
          <w:spacing w:val="33"/>
          <w:sz w:val="24"/>
        </w:rPr>
        <w:t xml:space="preserve"> </w:t>
      </w:r>
      <w:r w:rsidRPr="00F54559">
        <w:rPr>
          <w:rFonts w:eastAsia="Franklin Gothic Book" w:cstheme="minorHAnsi"/>
          <w:sz w:val="24"/>
        </w:rPr>
        <w:t>which</w:t>
      </w:r>
      <w:r w:rsidRPr="00F54559">
        <w:rPr>
          <w:rFonts w:eastAsia="Franklin Gothic Book" w:cstheme="minorHAnsi"/>
          <w:spacing w:val="34"/>
          <w:sz w:val="24"/>
        </w:rPr>
        <w:t xml:space="preserve"> </w:t>
      </w:r>
      <w:r w:rsidRPr="00F54559">
        <w:rPr>
          <w:rFonts w:eastAsia="Franklin Gothic Book" w:cstheme="minorHAnsi"/>
          <w:sz w:val="24"/>
        </w:rPr>
        <w:t>bes</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35"/>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3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34"/>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Pr>
          <w:rFonts w:eastAsia="Franklin Gothic Book" w:cstheme="minorHAnsi"/>
          <w:sz w:val="24"/>
        </w:rPr>
        <w:t xml:space="preserve"> </w:t>
      </w:r>
      <w:r w:rsidRPr="00F54559">
        <w:rPr>
          <w:rFonts w:eastAsia="Franklin Gothic Book" w:cstheme="minorHAnsi"/>
          <w:spacing w:val="-1"/>
          <w:sz w:val="24"/>
        </w:rPr>
        <w:t>(</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3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
          <w:sz w:val="24"/>
        </w:rPr>
        <w:t>s</w:t>
      </w:r>
      <w:r w:rsidRPr="00F54559">
        <w:rPr>
          <w:rFonts w:eastAsia="Franklin Gothic Book" w:cstheme="minorHAnsi"/>
          <w:sz w:val="24"/>
        </w:rPr>
        <w:t>,</w:t>
      </w:r>
      <w:r w:rsidRPr="00F54559">
        <w:rPr>
          <w:rFonts w:eastAsia="Franklin Gothic Book" w:cstheme="minorHAnsi"/>
          <w:spacing w:val="34"/>
          <w:sz w:val="24"/>
        </w:rPr>
        <w:t xml:space="preserve"> </w:t>
      </w:r>
      <w:r w:rsidRPr="00F54559">
        <w:rPr>
          <w:rFonts w:eastAsia="Franklin Gothic Book" w:cstheme="minorHAnsi"/>
          <w:sz w:val="24"/>
        </w:rPr>
        <w:t>net</w:t>
      </w:r>
      <w:r w:rsidRPr="00F54559">
        <w:rPr>
          <w:rFonts w:eastAsia="Franklin Gothic Book" w:cstheme="minorHAnsi"/>
          <w:spacing w:val="32"/>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OPEB Pl</w:t>
      </w:r>
      <w:r w:rsidRPr="00F54559">
        <w:rPr>
          <w:rFonts w:eastAsia="Franklin Gothic Book" w:cstheme="minorHAnsi"/>
          <w:sz w:val="24"/>
        </w:rPr>
        <w:t>an</w:t>
      </w:r>
      <w:r w:rsidRPr="00F54559">
        <w:rPr>
          <w:rFonts w:eastAsia="Franklin Gothic Book" w:cstheme="minorHAnsi"/>
          <w:spacing w:val="-5"/>
          <w:sz w:val="24"/>
        </w:rPr>
        <w:t xml:space="preserve"> </w:t>
      </w: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ense</w:t>
      </w:r>
      <w:r w:rsidRPr="00F54559">
        <w:rPr>
          <w:rFonts w:eastAsia="Franklin Gothic Book" w:cstheme="minorHAnsi"/>
          <w:spacing w:val="-4"/>
          <w:sz w:val="24"/>
        </w:rPr>
        <w:t xml:space="preserve"> </w:t>
      </w:r>
      <w:r w:rsidRPr="00F54559">
        <w:rPr>
          <w:rFonts w:eastAsia="Franklin Gothic Book" w:cstheme="minorHAnsi"/>
          <w:sz w:val="24"/>
        </w:rPr>
        <w:t>and</w:t>
      </w:r>
      <w:r w:rsidRPr="00F54559">
        <w:rPr>
          <w:rFonts w:eastAsia="Franklin Gothic Book" w:cstheme="minorHAnsi"/>
          <w:spacing w:val="-5"/>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4"/>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5"/>
          <w:sz w:val="24"/>
        </w:rPr>
        <w:t xml:space="preserve"> </w:t>
      </w:r>
      <w:r w:rsidRPr="00F54559">
        <w:rPr>
          <w:rFonts w:eastAsia="Franklin Gothic Book" w:cstheme="minorHAnsi"/>
          <w:sz w:val="24"/>
        </w:rPr>
        <w:t>de</w:t>
      </w:r>
      <w:r w:rsidRPr="00F54559">
        <w:rPr>
          <w:rFonts w:eastAsia="Franklin Gothic Book" w:cstheme="minorHAnsi"/>
          <w:spacing w:val="-2"/>
          <w:sz w:val="24"/>
        </w:rPr>
        <w:t>v</w:t>
      </w:r>
      <w:r w:rsidRPr="00F54559">
        <w:rPr>
          <w:rFonts w:eastAsia="Franklin Gothic Book" w:cstheme="minorHAnsi"/>
          <w:sz w:val="24"/>
        </w:rPr>
        <w:t>e</w:t>
      </w:r>
      <w:r w:rsidRPr="00F54559">
        <w:rPr>
          <w:rFonts w:eastAsia="Franklin Gothic Book" w:cstheme="minorHAnsi"/>
          <w:spacing w:val="-1"/>
          <w:sz w:val="24"/>
        </w:rPr>
        <w:t>l</w:t>
      </w:r>
      <w:r w:rsidRPr="00F54559">
        <w:rPr>
          <w:rFonts w:eastAsia="Franklin Gothic Book" w:cstheme="minorHAnsi"/>
          <w:sz w:val="24"/>
        </w:rPr>
        <w:t>o</w:t>
      </w:r>
      <w:r w:rsidRPr="00F54559">
        <w:rPr>
          <w:rFonts w:eastAsia="Franklin Gothic Book" w:cstheme="minorHAnsi"/>
          <w:spacing w:val="-2"/>
          <w:sz w:val="24"/>
        </w:rPr>
        <w:t>p</w:t>
      </w:r>
      <w:r w:rsidRPr="00F54559">
        <w:rPr>
          <w:rFonts w:eastAsia="Franklin Gothic Book" w:cstheme="minorHAnsi"/>
          <w:sz w:val="24"/>
        </w:rPr>
        <w:t>ed</w:t>
      </w:r>
      <w:r w:rsidRPr="00F54559">
        <w:rPr>
          <w:rFonts w:eastAsia="Franklin Gothic Book" w:cstheme="minorHAnsi"/>
          <w:spacing w:val="-2"/>
          <w:sz w:val="24"/>
        </w:rPr>
        <w:t xml:space="preserve"> </w:t>
      </w:r>
      <w:r w:rsidRPr="00F54559">
        <w:rPr>
          <w:rFonts w:eastAsia="Franklin Gothic Book" w:cstheme="minorHAnsi"/>
          <w:sz w:val="24"/>
        </w:rPr>
        <w:t>for</w:t>
      </w:r>
      <w:r w:rsidRPr="00F54559">
        <w:rPr>
          <w:rFonts w:eastAsia="Franklin Gothic Book" w:cstheme="minorHAnsi"/>
          <w:spacing w:val="-5"/>
          <w:sz w:val="24"/>
        </w:rPr>
        <w:t xml:space="preserve"> </w:t>
      </w:r>
      <w:r w:rsidRPr="00F54559">
        <w:rPr>
          <w:rFonts w:eastAsia="Franklin Gothic Book" w:cstheme="minorHAnsi"/>
          <w:sz w:val="24"/>
        </w:rPr>
        <w:t>each</w:t>
      </w:r>
      <w:r w:rsidRPr="00F54559">
        <w:rPr>
          <w:rFonts w:eastAsia="Franklin Gothic Book" w:cstheme="minorHAnsi"/>
          <w:spacing w:val="-2"/>
          <w:sz w:val="24"/>
        </w:rPr>
        <w:t xml:space="preserve"> </w:t>
      </w:r>
      <w:r w:rsidRPr="00F54559">
        <w:rPr>
          <w:rFonts w:eastAsia="Franklin Gothic Book" w:cstheme="minorHAnsi"/>
          <w:sz w:val="24"/>
        </w:rPr>
        <w:t>major</w:t>
      </w:r>
      <w:r w:rsidRPr="00F54559">
        <w:rPr>
          <w:rFonts w:eastAsia="Franklin Gothic Book" w:cstheme="minorHAnsi"/>
          <w:spacing w:val="-6"/>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w:t>
      </w:r>
      <w:r w:rsidRPr="00F54559">
        <w:rPr>
          <w:rFonts w:eastAsia="Franklin Gothic Book" w:cstheme="minorHAnsi"/>
          <w:sz w:val="24"/>
        </w:rPr>
        <w:t>cla</w:t>
      </w:r>
      <w:r w:rsidRPr="00F54559">
        <w:rPr>
          <w:rFonts w:eastAsia="Franklin Gothic Book" w:cstheme="minorHAnsi"/>
          <w:spacing w:val="1"/>
          <w:sz w:val="24"/>
        </w:rPr>
        <w:t>ss</w:t>
      </w:r>
      <w:r w:rsidRPr="00F54559">
        <w:rPr>
          <w:rFonts w:eastAsia="Franklin Gothic Book" w:cstheme="minorHAnsi"/>
          <w:sz w:val="24"/>
        </w:rPr>
        <w:t>.</w:t>
      </w:r>
      <w:r w:rsidRPr="00F54559">
        <w:rPr>
          <w:rFonts w:eastAsia="Franklin Gothic Book" w:cstheme="minorHAnsi"/>
          <w:spacing w:val="41"/>
          <w:sz w:val="24"/>
        </w:rPr>
        <w:t xml:space="preserve"> </w:t>
      </w:r>
      <w:r w:rsidRPr="00F54559">
        <w:rPr>
          <w:rFonts w:eastAsia="Franklin Gothic Book" w:cstheme="minorHAnsi"/>
          <w:spacing w:val="-1"/>
          <w:sz w:val="24"/>
        </w:rPr>
        <w:t>T</w:t>
      </w:r>
      <w:r w:rsidRPr="00F54559">
        <w:rPr>
          <w:rFonts w:eastAsia="Franklin Gothic Book" w:cstheme="minorHAnsi"/>
          <w:sz w:val="24"/>
        </w:rPr>
        <w:t>hese</w:t>
      </w:r>
      <w:r w:rsidRPr="00F54559">
        <w:rPr>
          <w:rFonts w:eastAsia="Franklin Gothic Book" w:cstheme="minorHAnsi"/>
          <w:spacing w:val="-3"/>
          <w:sz w:val="24"/>
        </w:rPr>
        <w:t xml:space="preserve"> </w:t>
      </w:r>
      <w:r w:rsidRPr="00F54559">
        <w:rPr>
          <w:rFonts w:eastAsia="Franklin Gothic Book" w:cstheme="minorHAnsi"/>
          <w:spacing w:val="-1"/>
          <w:sz w:val="24"/>
        </w:rPr>
        <w:t>r</w:t>
      </w:r>
      <w:r w:rsidRPr="00F54559">
        <w:rPr>
          <w:rFonts w:eastAsia="Franklin Gothic Book" w:cstheme="minorHAnsi"/>
          <w:sz w:val="24"/>
        </w:rPr>
        <w:t>anges</w:t>
      </w:r>
      <w:r w:rsidRPr="00F54559">
        <w:rPr>
          <w:rFonts w:eastAsia="Franklin Gothic Book" w:cstheme="minorHAnsi"/>
          <w:spacing w:val="-3"/>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w w:val="99"/>
          <w:sz w:val="24"/>
        </w:rPr>
        <w:t xml:space="preserve"> </w:t>
      </w:r>
      <w:r w:rsidRPr="00F54559">
        <w:rPr>
          <w:rFonts w:eastAsia="Franklin Gothic Book" w:cstheme="minorHAnsi"/>
          <w:sz w:val="24"/>
        </w:rPr>
        <w:t>combined</w:t>
      </w:r>
      <w:r w:rsidRPr="00F54559">
        <w:rPr>
          <w:rFonts w:eastAsia="Franklin Gothic Book" w:cstheme="minorHAnsi"/>
          <w:spacing w:val="15"/>
          <w:sz w:val="24"/>
        </w:rPr>
        <w:t xml:space="preserve"> </w:t>
      </w:r>
      <w:r w:rsidRPr="00F54559">
        <w:rPr>
          <w:rFonts w:eastAsia="Franklin Gothic Book" w:cstheme="minorHAnsi"/>
          <w:spacing w:val="1"/>
          <w:sz w:val="24"/>
        </w:rPr>
        <w:t>t</w:t>
      </w:r>
      <w:r w:rsidRPr="00F54559">
        <w:rPr>
          <w:rFonts w:eastAsia="Franklin Gothic Book" w:cstheme="minorHAnsi"/>
          <w:sz w:val="24"/>
        </w:rPr>
        <w:t>o</w:t>
      </w:r>
      <w:r w:rsidRPr="00F54559">
        <w:rPr>
          <w:rFonts w:eastAsia="Franklin Gothic Book" w:cstheme="minorHAnsi"/>
          <w:spacing w:val="14"/>
          <w:sz w:val="24"/>
        </w:rPr>
        <w:t xml:space="preserve"> </w:t>
      </w:r>
      <w:r w:rsidRPr="00F54559">
        <w:rPr>
          <w:rFonts w:eastAsia="Franklin Gothic Book" w:cstheme="minorHAnsi"/>
          <w:spacing w:val="-1"/>
          <w:sz w:val="24"/>
        </w:rPr>
        <w:t>pr</w:t>
      </w:r>
      <w:r w:rsidRPr="00F54559">
        <w:rPr>
          <w:rFonts w:eastAsia="Franklin Gothic Book" w:cstheme="minorHAnsi"/>
          <w:sz w:val="24"/>
        </w:rPr>
        <w:t>odu</w:t>
      </w:r>
      <w:r w:rsidRPr="00F54559">
        <w:rPr>
          <w:rFonts w:eastAsia="Franklin Gothic Book" w:cstheme="minorHAnsi"/>
          <w:spacing w:val="1"/>
          <w:sz w:val="24"/>
        </w:rPr>
        <w:t>c</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z w:val="24"/>
        </w:rPr>
        <w:t>the</w:t>
      </w:r>
      <w:r w:rsidRPr="00F54559">
        <w:rPr>
          <w:rFonts w:eastAsia="Franklin Gothic Book" w:cstheme="minorHAnsi"/>
          <w:spacing w:val="15"/>
          <w:sz w:val="24"/>
        </w:rPr>
        <w:t xml:space="preserve"> </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ng-te</w:t>
      </w:r>
      <w:r w:rsidRPr="00F54559">
        <w:rPr>
          <w:rFonts w:eastAsia="Franklin Gothic Book" w:cstheme="minorHAnsi"/>
          <w:spacing w:val="-2"/>
          <w:sz w:val="24"/>
        </w:rPr>
        <w:t>r</w:t>
      </w:r>
      <w:r w:rsidRPr="00F54559">
        <w:rPr>
          <w:rFonts w:eastAsia="Franklin Gothic Book" w:cstheme="minorHAnsi"/>
          <w:sz w:val="24"/>
        </w:rPr>
        <w:t>m</w:t>
      </w:r>
      <w:r w:rsidRPr="00F54559">
        <w:rPr>
          <w:rFonts w:eastAsia="Franklin Gothic Book" w:cstheme="minorHAnsi"/>
          <w:spacing w:val="19"/>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16"/>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15"/>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17"/>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13"/>
          <w:sz w:val="24"/>
        </w:rPr>
        <w:t xml:space="preserve"> </w:t>
      </w:r>
      <w:r w:rsidRPr="00F54559">
        <w:rPr>
          <w:rFonts w:eastAsia="Franklin Gothic Book" w:cstheme="minorHAnsi"/>
          <w:sz w:val="24"/>
        </w:rPr>
        <w:t>w</w:t>
      </w:r>
      <w:r w:rsidRPr="00F54559">
        <w:rPr>
          <w:rFonts w:eastAsia="Franklin Gothic Book" w:cstheme="minorHAnsi"/>
          <w:spacing w:val="-1"/>
          <w:sz w:val="24"/>
        </w:rPr>
        <w:t>e</w:t>
      </w:r>
      <w:r w:rsidRPr="00F54559">
        <w:rPr>
          <w:rFonts w:eastAsia="Franklin Gothic Book" w:cstheme="minorHAnsi"/>
          <w:sz w:val="24"/>
        </w:rPr>
        <w:t>ighting</w:t>
      </w:r>
      <w:r w:rsidRPr="00F54559">
        <w:rPr>
          <w:rFonts w:eastAsia="Franklin Gothic Book" w:cstheme="minorHAnsi"/>
          <w:spacing w:val="18"/>
          <w:sz w:val="24"/>
        </w:rPr>
        <w:t xml:space="preserve"> </w:t>
      </w:r>
      <w:r w:rsidRPr="00F54559">
        <w:rPr>
          <w:rFonts w:eastAsia="Franklin Gothic Book" w:cstheme="minorHAnsi"/>
          <w:sz w:val="24"/>
        </w:rPr>
        <w:t>the</w:t>
      </w:r>
      <w:r w:rsidRPr="00F54559">
        <w:rPr>
          <w:rFonts w:eastAsia="Franklin Gothic Book" w:cstheme="minorHAnsi"/>
          <w:spacing w:val="1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18"/>
          <w:sz w:val="24"/>
        </w:rPr>
        <w:t xml:space="preserve"> </w:t>
      </w:r>
      <w:r w:rsidRPr="00F54559">
        <w:rPr>
          <w:rFonts w:eastAsia="Franklin Gothic Book" w:cstheme="minorHAnsi"/>
          <w:sz w:val="24"/>
        </w:rPr>
        <w:t>fu</w:t>
      </w:r>
      <w:r w:rsidRPr="00F54559">
        <w:rPr>
          <w:rFonts w:eastAsia="Franklin Gothic Book" w:cstheme="minorHAnsi"/>
          <w:spacing w:val="1"/>
          <w:sz w:val="24"/>
        </w:rPr>
        <w:t>t</w:t>
      </w:r>
      <w:r w:rsidRPr="00F54559">
        <w:rPr>
          <w:rFonts w:eastAsia="Franklin Gothic Book" w:cstheme="minorHAnsi"/>
          <w:sz w:val="24"/>
        </w:rPr>
        <w:t>u</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14"/>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17"/>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15"/>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the</w:t>
      </w:r>
      <w:r w:rsidRPr="00F54559">
        <w:rPr>
          <w:rFonts w:eastAsia="Franklin Gothic Book" w:cstheme="minorHAnsi"/>
          <w:spacing w:val="46"/>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7"/>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6"/>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46"/>
          <w:sz w:val="24"/>
        </w:rPr>
        <w:t xml:space="preserve"> </w:t>
      </w:r>
      <w:r w:rsidRPr="00F54559">
        <w:rPr>
          <w:rFonts w:eastAsia="Franklin Gothic Book" w:cstheme="minorHAnsi"/>
          <w:spacing w:val="-1"/>
          <w:sz w:val="24"/>
        </w:rPr>
        <w:t>p</w:t>
      </w:r>
      <w:r w:rsidRPr="00F54559">
        <w:rPr>
          <w:rFonts w:eastAsia="Franklin Gothic Book" w:cstheme="minorHAnsi"/>
          <w:sz w:val="24"/>
        </w:rPr>
        <w:t>e</w:t>
      </w:r>
      <w:r w:rsidRPr="00F54559">
        <w:rPr>
          <w:rFonts w:eastAsia="Franklin Gothic Book" w:cstheme="minorHAnsi"/>
          <w:spacing w:val="-2"/>
          <w:sz w:val="24"/>
        </w:rPr>
        <w:t>r</w:t>
      </w:r>
      <w:r w:rsidRPr="00F54559">
        <w:rPr>
          <w:rFonts w:eastAsia="Franklin Gothic Book" w:cstheme="minorHAnsi"/>
          <w:sz w:val="24"/>
        </w:rPr>
        <w:t>centage</w:t>
      </w:r>
      <w:r w:rsidRPr="00F54559">
        <w:rPr>
          <w:rFonts w:eastAsia="Franklin Gothic Book" w:cstheme="minorHAnsi"/>
          <w:spacing w:val="46"/>
          <w:sz w:val="24"/>
        </w:rPr>
        <w:t xml:space="preserve"> </w:t>
      </w:r>
      <w:r w:rsidRPr="00F54559">
        <w:rPr>
          <w:rFonts w:eastAsia="Franklin Gothic Book" w:cstheme="minorHAnsi"/>
          <w:sz w:val="24"/>
        </w:rPr>
        <w:t>and</w:t>
      </w:r>
      <w:r w:rsidRPr="00F54559">
        <w:rPr>
          <w:rFonts w:eastAsia="Franklin Gothic Book" w:cstheme="minorHAnsi"/>
          <w:spacing w:val="46"/>
          <w:sz w:val="24"/>
        </w:rPr>
        <w:t xml:space="preserve"> </w:t>
      </w:r>
      <w:r w:rsidRPr="00F54559">
        <w:rPr>
          <w:rFonts w:eastAsia="Franklin Gothic Book" w:cstheme="minorHAnsi"/>
          <w:spacing w:val="1"/>
          <w:sz w:val="24"/>
        </w:rPr>
        <w:t>b</w:t>
      </w:r>
      <w:r w:rsidRPr="00F54559">
        <w:rPr>
          <w:rFonts w:eastAsia="Franklin Gothic Book" w:cstheme="minorHAnsi"/>
          <w:sz w:val="24"/>
        </w:rPr>
        <w:t>y</w:t>
      </w:r>
      <w:r w:rsidRPr="00F54559">
        <w:rPr>
          <w:rFonts w:eastAsia="Franklin Gothic Book" w:cstheme="minorHAnsi"/>
          <w:spacing w:val="44"/>
          <w:sz w:val="24"/>
        </w:rPr>
        <w:t xml:space="preserve"> </w:t>
      </w:r>
      <w:r w:rsidRPr="00F54559">
        <w:rPr>
          <w:rFonts w:eastAsia="Franklin Gothic Book" w:cstheme="minorHAnsi"/>
          <w:sz w:val="24"/>
        </w:rPr>
        <w:t>adding</w:t>
      </w:r>
      <w:r w:rsidRPr="00F54559">
        <w:rPr>
          <w:rFonts w:eastAsia="Franklin Gothic Book" w:cstheme="minorHAnsi"/>
          <w:spacing w:val="44"/>
          <w:sz w:val="24"/>
        </w:rPr>
        <w:t xml:space="preserve"> </w:t>
      </w:r>
      <w:r w:rsidRPr="00F54559">
        <w:rPr>
          <w:rFonts w:eastAsia="Franklin Gothic Book" w:cstheme="minorHAnsi"/>
          <w:sz w:val="24"/>
        </w:rPr>
        <w:t>e</w:t>
      </w:r>
      <w:r w:rsidRPr="00F54559">
        <w:rPr>
          <w:rFonts w:eastAsia="Franklin Gothic Book" w:cstheme="minorHAnsi"/>
          <w:spacing w:val="-1"/>
          <w:sz w:val="24"/>
        </w:rPr>
        <w:t>xp</w:t>
      </w:r>
      <w:r w:rsidRPr="00F54559">
        <w:rPr>
          <w:rFonts w:eastAsia="Franklin Gothic Book" w:cstheme="minorHAnsi"/>
          <w:sz w:val="24"/>
        </w:rPr>
        <w:t>ec</w:t>
      </w:r>
      <w:r w:rsidRPr="00F54559">
        <w:rPr>
          <w:rFonts w:eastAsia="Franklin Gothic Book" w:cstheme="minorHAnsi"/>
          <w:spacing w:val="1"/>
          <w:sz w:val="24"/>
        </w:rPr>
        <w:t>t</w:t>
      </w:r>
      <w:r w:rsidRPr="00F54559">
        <w:rPr>
          <w:rFonts w:eastAsia="Franklin Gothic Book" w:cstheme="minorHAnsi"/>
          <w:sz w:val="24"/>
        </w:rPr>
        <w:t>ed</w:t>
      </w:r>
      <w:r w:rsidRPr="00F54559">
        <w:rPr>
          <w:rFonts w:eastAsia="Franklin Gothic Book" w:cstheme="minorHAnsi"/>
          <w:spacing w:val="46"/>
          <w:sz w:val="24"/>
        </w:rPr>
        <w:t xml:space="preserve"> </w:t>
      </w: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p w14:paraId="35601AC0" w14:textId="77777777" w:rsidR="00373110" w:rsidRDefault="00373110" w:rsidP="00721CFD">
      <w:pPr>
        <w:widowControl w:val="0"/>
        <w:spacing w:after="240"/>
        <w:ind w:right="-7"/>
        <w:rPr>
          <w:rFonts w:eastAsia="Franklin Gothic Book" w:cstheme="minorHAnsi"/>
          <w:sz w:val="24"/>
        </w:rPr>
      </w:pPr>
      <w:r>
        <w:rPr>
          <w:rFonts w:eastAsia="Franklin Gothic Book" w:cstheme="minorHAnsi"/>
          <w:sz w:val="24"/>
        </w:rPr>
        <w:br w:type="page"/>
      </w:r>
    </w:p>
    <w:p w14:paraId="4EC7A243" w14:textId="77777777" w:rsidR="00373110" w:rsidRPr="00F54559" w:rsidRDefault="00373110" w:rsidP="00674D4D">
      <w:pPr>
        <w:tabs>
          <w:tab w:val="left" w:pos="900"/>
        </w:tabs>
        <w:spacing w:before="240" w:after="240"/>
        <w:ind w:right="-7"/>
        <w:rPr>
          <w:rFonts w:cstheme="minorHAnsi"/>
          <w:color w:val="222222"/>
          <w:sz w:val="24"/>
          <w:shd w:val="clear" w:color="auto" w:fill="FFFFFF"/>
        </w:rPr>
      </w:pPr>
      <w:r w:rsidRPr="00F54559">
        <w:rPr>
          <w:rFonts w:eastAsiaTheme="majorEastAsia" w:cstheme="minorHAnsi"/>
          <w:b/>
          <w:i/>
          <w:iCs/>
          <w:smallCaps/>
          <w:noProof/>
          <w:color w:val="000000" w:themeColor="text1"/>
          <w:sz w:val="26"/>
          <w:szCs w:val="26"/>
          <w:u w:color="5B9BD5"/>
        </w:rPr>
        <w:lastRenderedPageBreak/>
        <w:t>14. POSTEMPLOYMENT HEALTH PLAN - CONTINUED</w:t>
      </w:r>
    </w:p>
    <w:p w14:paraId="4325A2BB" w14:textId="22B5D95A" w:rsidR="00721CFD" w:rsidRPr="00F54559" w:rsidRDefault="00721CFD" w:rsidP="00721CFD">
      <w:pPr>
        <w:widowControl w:val="0"/>
        <w:spacing w:after="240"/>
        <w:ind w:right="-7"/>
        <w:rPr>
          <w:rFonts w:eastAsia="Franklin Gothic Book" w:cstheme="minorHAnsi"/>
          <w:sz w:val="24"/>
        </w:rPr>
      </w:pPr>
      <w:r w:rsidRPr="00F54559">
        <w:rPr>
          <w:rFonts w:eastAsia="Franklin Gothic Book" w:cstheme="minorHAnsi"/>
          <w:sz w:val="24"/>
        </w:rPr>
        <w:t>B</w:t>
      </w:r>
      <w:r w:rsidRPr="00F54559">
        <w:rPr>
          <w:rFonts w:eastAsia="Franklin Gothic Book" w:cstheme="minorHAnsi"/>
          <w:spacing w:val="-1"/>
          <w:sz w:val="24"/>
        </w:rPr>
        <w:t>e</w:t>
      </w:r>
      <w:r w:rsidRPr="00F54559">
        <w:rPr>
          <w:rFonts w:eastAsia="Franklin Gothic Book" w:cstheme="minorHAnsi"/>
          <w:spacing w:val="1"/>
          <w:sz w:val="24"/>
        </w:rPr>
        <w:t>s</w:t>
      </w:r>
      <w:r w:rsidRPr="00F54559">
        <w:rPr>
          <w:rFonts w:eastAsia="Franklin Gothic Book" w:cstheme="minorHAnsi"/>
          <w:sz w:val="24"/>
        </w:rPr>
        <w:t>t</w:t>
      </w:r>
      <w:r w:rsidRPr="00F54559">
        <w:rPr>
          <w:rFonts w:eastAsia="Franklin Gothic Book" w:cstheme="minorHAnsi"/>
          <w:spacing w:val="47"/>
          <w:sz w:val="24"/>
        </w:rPr>
        <w:t xml:space="preserve"> </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ima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4"/>
          <w:sz w:val="24"/>
        </w:rPr>
        <w:t xml:space="preserve"> </w:t>
      </w:r>
      <w:r w:rsidRPr="00F54559">
        <w:rPr>
          <w:rFonts w:eastAsia="Franklin Gothic Book" w:cstheme="minorHAnsi"/>
          <w:spacing w:val="-1"/>
          <w:sz w:val="24"/>
        </w:rPr>
        <w:t>of</w:t>
      </w:r>
      <w:r w:rsidRPr="00F54559">
        <w:rPr>
          <w:rFonts w:eastAsia="Franklin Gothic Book" w:cstheme="minorHAnsi"/>
          <w:spacing w:val="-1"/>
          <w:w w:val="99"/>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ith</w:t>
      </w:r>
      <w:r w:rsidRPr="00F54559">
        <w:rPr>
          <w:rFonts w:eastAsia="Franklin Gothic Book" w:cstheme="minorHAnsi"/>
          <w:spacing w:val="1"/>
          <w:sz w:val="24"/>
        </w:rPr>
        <w:t>m</w:t>
      </w:r>
      <w:r w:rsidRPr="00F54559">
        <w:rPr>
          <w:rFonts w:eastAsia="Franklin Gothic Book" w:cstheme="minorHAnsi"/>
          <w:sz w:val="24"/>
        </w:rPr>
        <w:t>etic</w:t>
      </w:r>
      <w:r w:rsidRPr="00F54559">
        <w:rPr>
          <w:rFonts w:eastAsia="Franklin Gothic Book" w:cstheme="minorHAnsi"/>
          <w:spacing w:val="45"/>
          <w:sz w:val="24"/>
        </w:rPr>
        <w:t xml:space="preserve"> </w:t>
      </w:r>
      <w:r w:rsidRPr="00F54559">
        <w:rPr>
          <w:rFonts w:eastAsia="Franklin Gothic Book" w:cstheme="minorHAnsi"/>
          <w:spacing w:val="-1"/>
          <w:sz w:val="24"/>
        </w:rPr>
        <w:t>r</w:t>
      </w:r>
      <w:r w:rsidRPr="00F54559">
        <w:rPr>
          <w:rFonts w:eastAsia="Franklin Gothic Book" w:cstheme="minorHAnsi"/>
          <w:sz w:val="24"/>
        </w:rPr>
        <w:t>eal</w:t>
      </w:r>
      <w:r w:rsidRPr="00F54559">
        <w:rPr>
          <w:rFonts w:eastAsia="Franklin Gothic Book" w:cstheme="minorHAnsi"/>
          <w:spacing w:val="40"/>
          <w:sz w:val="24"/>
        </w:rPr>
        <w:t xml:space="preserve"> </w:t>
      </w:r>
      <w:r w:rsidRPr="00F54559">
        <w:rPr>
          <w:rFonts w:eastAsia="Franklin Gothic Book" w:cstheme="minorHAnsi"/>
          <w:spacing w:val="-1"/>
          <w:sz w:val="24"/>
        </w:rPr>
        <w:t>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es</w:t>
      </w:r>
      <w:r w:rsidRPr="00F54559">
        <w:rPr>
          <w:rFonts w:eastAsia="Franklin Gothic Book" w:cstheme="minorHAnsi"/>
          <w:spacing w:val="45"/>
          <w:sz w:val="24"/>
        </w:rPr>
        <w:t xml:space="preserve"> </w:t>
      </w:r>
      <w:r w:rsidRPr="00F54559">
        <w:rPr>
          <w:rFonts w:eastAsia="Franklin Gothic Book" w:cstheme="minorHAnsi"/>
          <w:spacing w:val="-1"/>
          <w:sz w:val="24"/>
        </w:rPr>
        <w:t>o</w:t>
      </w:r>
      <w:r w:rsidRPr="00F54559">
        <w:rPr>
          <w:rFonts w:eastAsia="Franklin Gothic Book" w:cstheme="minorHAnsi"/>
          <w:sz w:val="24"/>
        </w:rPr>
        <w:t>f</w:t>
      </w:r>
      <w:r w:rsidRPr="00F54559">
        <w:rPr>
          <w:rFonts w:eastAsia="Franklin Gothic Book" w:cstheme="minorHAnsi"/>
          <w:spacing w:val="41"/>
          <w:sz w:val="24"/>
        </w:rPr>
        <w:t xml:space="preserve"> </w:t>
      </w:r>
      <w:r w:rsidRPr="00F54559">
        <w:rPr>
          <w:rFonts w:eastAsia="Franklin Gothic Book" w:cstheme="minorHAnsi"/>
          <w:spacing w:val="-1"/>
          <w:sz w:val="24"/>
        </w:rPr>
        <w:t>r</w:t>
      </w:r>
      <w:r w:rsidRPr="00F54559">
        <w:rPr>
          <w:rFonts w:eastAsia="Franklin Gothic Book" w:cstheme="minorHAnsi"/>
          <w:sz w:val="24"/>
        </w:rPr>
        <w:t>eturn</w:t>
      </w:r>
      <w:r w:rsidRPr="00F54559">
        <w:rPr>
          <w:rFonts w:eastAsia="Franklin Gothic Book" w:cstheme="minorHAnsi"/>
          <w:spacing w:val="45"/>
          <w:sz w:val="24"/>
        </w:rPr>
        <w:t xml:space="preserve"> </w:t>
      </w:r>
      <w:r w:rsidRPr="00F54559">
        <w:rPr>
          <w:rFonts w:eastAsia="Franklin Gothic Book" w:cstheme="minorHAnsi"/>
          <w:sz w:val="24"/>
        </w:rPr>
        <w:t>for</w:t>
      </w:r>
      <w:r w:rsidRPr="00F54559">
        <w:rPr>
          <w:rFonts w:eastAsia="Franklin Gothic Book" w:cstheme="minorHAnsi"/>
          <w:spacing w:val="40"/>
          <w:sz w:val="24"/>
        </w:rPr>
        <w:t xml:space="preserve"> </w:t>
      </w:r>
      <w:r w:rsidRPr="00F54559">
        <w:rPr>
          <w:rFonts w:eastAsia="Franklin Gothic Book" w:cstheme="minorHAnsi"/>
          <w:sz w:val="24"/>
        </w:rPr>
        <w:t>each</w:t>
      </w:r>
      <w:r w:rsidRPr="00F54559">
        <w:rPr>
          <w:rFonts w:eastAsia="Franklin Gothic Book" w:cstheme="minorHAnsi"/>
          <w:spacing w:val="45"/>
          <w:sz w:val="24"/>
        </w:rPr>
        <w:t xml:space="preserve"> </w:t>
      </w:r>
      <w:r w:rsidRPr="00F54559">
        <w:rPr>
          <w:rFonts w:eastAsia="Franklin Gothic Book" w:cstheme="minorHAnsi"/>
          <w:sz w:val="24"/>
        </w:rPr>
        <w:t>major</w:t>
      </w:r>
      <w:r w:rsidRPr="00F54559">
        <w:rPr>
          <w:rFonts w:eastAsia="Franklin Gothic Book" w:cstheme="minorHAnsi"/>
          <w:spacing w:val="40"/>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44"/>
          <w:sz w:val="24"/>
        </w:rPr>
        <w:t xml:space="preserve"> </w:t>
      </w:r>
      <w:r w:rsidRPr="00F54559">
        <w:rPr>
          <w:rFonts w:eastAsia="Franklin Gothic Book" w:cstheme="minorHAnsi"/>
          <w:sz w:val="24"/>
        </w:rPr>
        <w:t>cla</w:t>
      </w:r>
      <w:r w:rsidRPr="00F54559">
        <w:rPr>
          <w:rFonts w:eastAsia="Franklin Gothic Book" w:cstheme="minorHAnsi"/>
          <w:spacing w:val="1"/>
          <w:sz w:val="24"/>
        </w:rPr>
        <w:t>s</w:t>
      </w:r>
      <w:r w:rsidRPr="00F54559">
        <w:rPr>
          <w:rFonts w:eastAsia="Franklin Gothic Book" w:cstheme="minorHAnsi"/>
          <w:sz w:val="24"/>
        </w:rPr>
        <w:t>s</w:t>
      </w:r>
      <w:r w:rsidRPr="00F54559">
        <w:rPr>
          <w:rFonts w:eastAsia="Franklin Gothic Book" w:cstheme="minorHAnsi"/>
          <w:spacing w:val="43"/>
          <w:sz w:val="24"/>
        </w:rPr>
        <w:t xml:space="preserve"> </w:t>
      </w:r>
      <w:r w:rsidRPr="00F54559">
        <w:rPr>
          <w:rFonts w:eastAsia="Franklin Gothic Book" w:cstheme="minorHAnsi"/>
          <w:sz w:val="24"/>
        </w:rPr>
        <w:t>included</w:t>
      </w:r>
      <w:r w:rsidRPr="00F54559">
        <w:rPr>
          <w:rFonts w:eastAsia="Franklin Gothic Book" w:cstheme="minorHAnsi"/>
          <w:spacing w:val="44"/>
          <w:sz w:val="24"/>
        </w:rPr>
        <w:t xml:space="preserve"> </w:t>
      </w:r>
      <w:r w:rsidRPr="00F54559">
        <w:rPr>
          <w:rFonts w:eastAsia="Franklin Gothic Book" w:cstheme="minorHAnsi"/>
          <w:sz w:val="24"/>
        </w:rPr>
        <w:t>in</w:t>
      </w:r>
      <w:r w:rsidRPr="00F54559">
        <w:rPr>
          <w:rFonts w:eastAsia="Franklin Gothic Book" w:cstheme="minorHAnsi"/>
          <w:spacing w:val="41"/>
          <w:sz w:val="24"/>
        </w:rPr>
        <w:t xml:space="preserve"> </w:t>
      </w:r>
      <w:r w:rsidRPr="00F54559">
        <w:rPr>
          <w:rFonts w:eastAsia="Franklin Gothic Book" w:cstheme="minorHAnsi"/>
          <w:sz w:val="24"/>
        </w:rPr>
        <w:t>the</w:t>
      </w:r>
      <w:r w:rsidRPr="00F54559">
        <w:rPr>
          <w:rFonts w:eastAsia="Franklin Gothic Book" w:cstheme="minorHAnsi"/>
          <w:spacing w:val="43"/>
          <w:sz w:val="24"/>
        </w:rPr>
        <w:t xml:space="preserve"> </w:t>
      </w:r>
      <w:r w:rsidRPr="00F54559">
        <w:rPr>
          <w:rFonts w:eastAsia="Franklin Gothic Book" w:cstheme="minorHAnsi"/>
          <w:spacing w:val="-1"/>
          <w:sz w:val="24"/>
        </w:rPr>
        <w:t>OPEB</w:t>
      </w:r>
      <w:r w:rsidRPr="00F54559">
        <w:rPr>
          <w:rFonts w:eastAsia="Franklin Gothic Book" w:cstheme="minorHAnsi"/>
          <w:spacing w:val="42"/>
          <w:sz w:val="24"/>
        </w:rPr>
        <w:t xml:space="preserve"> </w:t>
      </w:r>
      <w:r w:rsidRPr="00F54559">
        <w:rPr>
          <w:rFonts w:eastAsia="Franklin Gothic Book" w:cstheme="minorHAnsi"/>
          <w:spacing w:val="-1"/>
          <w:sz w:val="24"/>
        </w:rPr>
        <w:t>P</w:t>
      </w:r>
      <w:r w:rsidRPr="00F54559">
        <w:rPr>
          <w:rFonts w:eastAsia="Franklin Gothic Book" w:cstheme="minorHAnsi"/>
          <w:sz w:val="24"/>
        </w:rPr>
        <w:t>lan's</w:t>
      </w:r>
      <w:r w:rsidRPr="00F54559">
        <w:rPr>
          <w:rFonts w:eastAsia="Franklin Gothic Book" w:cstheme="minorHAnsi"/>
          <w:spacing w:val="44"/>
          <w:sz w:val="24"/>
        </w:rPr>
        <w:t xml:space="preserve"> </w:t>
      </w:r>
      <w:r w:rsidRPr="00F54559">
        <w:rPr>
          <w:rFonts w:eastAsia="Franklin Gothic Book" w:cstheme="minorHAnsi"/>
          <w:sz w:val="24"/>
        </w:rPr>
        <w:t>ta</w:t>
      </w:r>
      <w:r w:rsidRPr="00F54559">
        <w:rPr>
          <w:rFonts w:eastAsia="Franklin Gothic Book" w:cstheme="minorHAnsi"/>
          <w:spacing w:val="-1"/>
          <w:sz w:val="24"/>
        </w:rPr>
        <w:t>r</w:t>
      </w:r>
      <w:r w:rsidRPr="00F54559">
        <w:rPr>
          <w:rFonts w:eastAsia="Franklin Gothic Book" w:cstheme="minorHAnsi"/>
          <w:sz w:val="24"/>
        </w:rPr>
        <w:t>get</w:t>
      </w:r>
      <w:r w:rsidRPr="00F54559">
        <w:rPr>
          <w:rFonts w:eastAsia="Franklin Gothic Book" w:cstheme="minorHAnsi"/>
          <w:spacing w:val="43"/>
          <w:sz w:val="24"/>
        </w:rPr>
        <w:t xml:space="preserve"> </w:t>
      </w:r>
      <w:r w:rsidRPr="00F54559">
        <w:rPr>
          <w:rFonts w:eastAsia="Franklin Gothic Book" w:cstheme="minorHAnsi"/>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w w:val="99"/>
          <w:sz w:val="24"/>
        </w:rPr>
        <w:t xml:space="preserve"> </w:t>
      </w:r>
      <w:r w:rsidRPr="00F54559">
        <w:rPr>
          <w:rFonts w:eastAsia="Franklin Gothic Book" w:cstheme="minorHAnsi"/>
          <w:sz w:val="24"/>
        </w:rPr>
        <w:t>alloca</w:t>
      </w:r>
      <w:r w:rsidRPr="00F54559">
        <w:rPr>
          <w:rFonts w:eastAsia="Franklin Gothic Book" w:cstheme="minorHAnsi"/>
          <w:spacing w:val="1"/>
          <w:sz w:val="24"/>
        </w:rPr>
        <w:t>t</w:t>
      </w:r>
      <w:r w:rsidRPr="00F54559">
        <w:rPr>
          <w:rFonts w:eastAsia="Franklin Gothic Book" w:cstheme="minorHAnsi"/>
          <w:sz w:val="24"/>
        </w:rPr>
        <w:t>ion as</w:t>
      </w:r>
      <w:r w:rsidRPr="00F54559">
        <w:rPr>
          <w:rFonts w:eastAsia="Franklin Gothic Book" w:cstheme="minorHAnsi"/>
          <w:spacing w:val="1"/>
          <w:sz w:val="24"/>
        </w:rPr>
        <w:t xml:space="preserve"> </w:t>
      </w:r>
      <w:r w:rsidRPr="00F54559">
        <w:rPr>
          <w:rFonts w:eastAsia="Franklin Gothic Book" w:cstheme="minorHAnsi"/>
          <w:spacing w:val="-1"/>
          <w:sz w:val="24"/>
        </w:rPr>
        <w:t>o</w:t>
      </w:r>
      <w:r w:rsidRPr="00F54559">
        <w:rPr>
          <w:rFonts w:eastAsia="Franklin Gothic Book" w:cstheme="minorHAnsi"/>
          <w:sz w:val="24"/>
        </w:rPr>
        <w:t xml:space="preserve">f </w:t>
      </w:r>
      <w:r w:rsidRPr="00F54559">
        <w:rPr>
          <w:rFonts w:eastAsia="Franklin Gothic Book" w:cstheme="minorHAnsi"/>
          <w:spacing w:val="-1"/>
          <w:sz w:val="24"/>
        </w:rPr>
        <w:t>Jun</w:t>
      </w:r>
      <w:r w:rsidRPr="00F54559">
        <w:rPr>
          <w:rFonts w:eastAsia="Franklin Gothic Book" w:cstheme="minorHAnsi"/>
          <w:sz w:val="24"/>
        </w:rPr>
        <w:t>e 30</w:t>
      </w:r>
      <w:r w:rsidRPr="00F54559">
        <w:rPr>
          <w:rFonts w:eastAsia="Franklin Gothic Book" w:cstheme="minorHAnsi"/>
          <w:spacing w:val="1"/>
          <w:sz w:val="24"/>
        </w:rPr>
        <w:t xml:space="preserve"> </w:t>
      </w:r>
      <w:r w:rsidRPr="00F54559">
        <w:rPr>
          <w:rFonts w:eastAsia="Franklin Gothic Book" w:cstheme="minorHAnsi"/>
          <w:sz w:val="24"/>
        </w:rPr>
        <w:t>a</w:t>
      </w:r>
      <w:r w:rsidRPr="00F54559">
        <w:rPr>
          <w:rFonts w:eastAsia="Franklin Gothic Book" w:cstheme="minorHAnsi"/>
          <w:spacing w:val="-1"/>
          <w:sz w:val="24"/>
        </w:rPr>
        <w:t>r</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pacing w:val="1"/>
          <w:sz w:val="24"/>
        </w:rPr>
        <w:t>s</w:t>
      </w:r>
      <w:r w:rsidRPr="00F54559">
        <w:rPr>
          <w:rFonts w:eastAsia="Franklin Gothic Book" w:cstheme="minorHAnsi"/>
          <w:sz w:val="24"/>
        </w:rPr>
        <w:t>umma</w:t>
      </w:r>
      <w:r w:rsidRPr="00F54559">
        <w:rPr>
          <w:rFonts w:eastAsia="Franklin Gothic Book" w:cstheme="minorHAnsi"/>
          <w:spacing w:val="-1"/>
          <w:sz w:val="24"/>
        </w:rPr>
        <w:t>r</w:t>
      </w:r>
      <w:r w:rsidRPr="00F54559">
        <w:rPr>
          <w:rFonts w:eastAsia="Franklin Gothic Book" w:cstheme="minorHAnsi"/>
          <w:sz w:val="24"/>
        </w:rPr>
        <w:t>iz</w:t>
      </w:r>
      <w:r w:rsidRPr="00F54559">
        <w:rPr>
          <w:rFonts w:eastAsia="Franklin Gothic Book" w:cstheme="minorHAnsi"/>
          <w:spacing w:val="-1"/>
          <w:sz w:val="24"/>
        </w:rPr>
        <w:t>e</w:t>
      </w:r>
      <w:r w:rsidRPr="00F54559">
        <w:rPr>
          <w:rFonts w:eastAsia="Franklin Gothic Book" w:cstheme="minorHAnsi"/>
          <w:sz w:val="24"/>
        </w:rPr>
        <w:t>d</w:t>
      </w:r>
      <w:r w:rsidRPr="00F54559">
        <w:rPr>
          <w:rFonts w:eastAsia="Franklin Gothic Book" w:cstheme="minorHAnsi"/>
          <w:w w:val="99"/>
          <w:sz w:val="24"/>
        </w:rPr>
        <w:t xml:space="preserve"> </w:t>
      </w:r>
      <w:r w:rsidRPr="00F54559">
        <w:rPr>
          <w:rFonts w:eastAsia="Franklin Gothic Book" w:cstheme="minorHAnsi"/>
          <w:sz w:val="24"/>
        </w:rPr>
        <w:t>in</w:t>
      </w:r>
      <w:r w:rsidRPr="00F54559">
        <w:rPr>
          <w:rFonts w:eastAsia="Franklin Gothic Book" w:cstheme="minorHAnsi"/>
          <w:spacing w:val="-6"/>
          <w:sz w:val="24"/>
        </w:rPr>
        <w:t xml:space="preserve"> </w:t>
      </w:r>
      <w:r w:rsidRPr="00F54559">
        <w:rPr>
          <w:rFonts w:eastAsia="Franklin Gothic Book" w:cstheme="minorHAnsi"/>
          <w:sz w:val="24"/>
        </w:rPr>
        <w:t>the</w:t>
      </w:r>
      <w:r w:rsidRPr="00F54559">
        <w:rPr>
          <w:rFonts w:eastAsia="Franklin Gothic Book" w:cstheme="minorHAnsi"/>
          <w:spacing w:val="-6"/>
          <w:sz w:val="24"/>
        </w:rPr>
        <w:t xml:space="preserve"> </w:t>
      </w:r>
      <w:r w:rsidRPr="00F54559">
        <w:rPr>
          <w:rFonts w:eastAsia="Franklin Gothic Book" w:cstheme="minorHAnsi"/>
          <w:sz w:val="24"/>
        </w:rPr>
        <w:t>fo</w:t>
      </w:r>
      <w:r w:rsidRPr="00F54559">
        <w:rPr>
          <w:rFonts w:eastAsia="Franklin Gothic Book" w:cstheme="minorHAnsi"/>
          <w:spacing w:val="-1"/>
          <w:sz w:val="24"/>
        </w:rPr>
        <w:t>l</w:t>
      </w:r>
      <w:r w:rsidRPr="00F54559">
        <w:rPr>
          <w:rFonts w:eastAsia="Franklin Gothic Book" w:cstheme="minorHAnsi"/>
          <w:sz w:val="24"/>
        </w:rPr>
        <w:t>l</w:t>
      </w:r>
      <w:r w:rsidRPr="00F54559">
        <w:rPr>
          <w:rFonts w:eastAsia="Franklin Gothic Book" w:cstheme="minorHAnsi"/>
          <w:spacing w:val="-1"/>
          <w:sz w:val="24"/>
        </w:rPr>
        <w:t>o</w:t>
      </w:r>
      <w:r w:rsidRPr="00F54559">
        <w:rPr>
          <w:rFonts w:eastAsia="Franklin Gothic Book" w:cstheme="minorHAnsi"/>
          <w:sz w:val="24"/>
        </w:rPr>
        <w:t>wing</w:t>
      </w:r>
      <w:r w:rsidRPr="00F54559">
        <w:rPr>
          <w:rFonts w:eastAsia="Franklin Gothic Book" w:cstheme="minorHAnsi"/>
          <w:spacing w:val="-6"/>
          <w:sz w:val="24"/>
        </w:rPr>
        <w:t xml:space="preserve"> </w:t>
      </w:r>
      <w:r w:rsidRPr="00F54559">
        <w:rPr>
          <w:rFonts w:eastAsia="Franklin Gothic Book" w:cstheme="minorHAnsi"/>
          <w:sz w:val="24"/>
        </w:rPr>
        <w:t>ta</w:t>
      </w:r>
      <w:r w:rsidRPr="00F54559">
        <w:rPr>
          <w:rFonts w:eastAsia="Franklin Gothic Book" w:cstheme="minorHAnsi"/>
          <w:spacing w:val="1"/>
          <w:sz w:val="24"/>
        </w:rPr>
        <w:t>b</w:t>
      </w:r>
      <w:r w:rsidRPr="00F54559">
        <w:rPr>
          <w:rFonts w:eastAsia="Franklin Gothic Book" w:cstheme="minorHAnsi"/>
          <w:sz w:val="24"/>
        </w:rPr>
        <w:t>l</w:t>
      </w:r>
      <w:r w:rsidRPr="00F54559">
        <w:rPr>
          <w:rFonts w:eastAsia="Franklin Gothic Book" w:cstheme="minorHAnsi"/>
          <w:spacing w:val="-1"/>
          <w:sz w:val="24"/>
        </w:rPr>
        <w:t>e</w:t>
      </w:r>
      <w:r w:rsidRPr="00F54559">
        <w:rPr>
          <w:rFonts w:eastAsia="Franklin Gothic Book" w:cstheme="minorHAnsi"/>
          <w:sz w:val="24"/>
        </w:rPr>
        <w:t>:</w:t>
      </w:r>
      <w:r>
        <w:rPr>
          <w:rFonts w:eastAsia="Franklin Gothic Book" w:cstheme="minorHAnsi"/>
          <w:sz w:val="24"/>
        </w:rPr>
        <w:fldChar w:fldCharType="begin"/>
      </w:r>
      <w:r>
        <w:rPr>
          <w:rFonts w:eastAsia="Franklin Gothic Book" w:cstheme="minorHAnsi"/>
          <w:sz w:val="24"/>
        </w:rPr>
        <w:fldChar w:fldCharType="end"/>
      </w:r>
    </w:p>
    <w:tbl>
      <w:tblPr>
        <w:tblW w:w="9360" w:type="dxa"/>
        <w:jc w:val="center"/>
        <w:tblLook w:val="04A0" w:firstRow="1" w:lastRow="0" w:firstColumn="1" w:lastColumn="0" w:noHBand="0" w:noVBand="1"/>
      </w:tblPr>
      <w:tblGrid>
        <w:gridCol w:w="3529"/>
        <w:gridCol w:w="1305"/>
        <w:gridCol w:w="1593"/>
        <w:gridCol w:w="1305"/>
        <w:gridCol w:w="1628"/>
      </w:tblGrid>
      <w:tr w:rsidR="00721CFD" w:rsidRPr="00F65869" w14:paraId="55682A5F" w14:textId="77777777" w:rsidTr="00FD47AB">
        <w:trPr>
          <w:trHeight w:val="116"/>
          <w:tblHeader/>
          <w:jc w:val="center"/>
        </w:trPr>
        <w:tc>
          <w:tcPr>
            <w:tcW w:w="3529" w:type="dxa"/>
            <w:tcBorders>
              <w:top w:val="nil"/>
              <w:left w:val="nil"/>
              <w:bottom w:val="nil"/>
              <w:right w:val="nil"/>
            </w:tcBorders>
            <w:shd w:val="clear" w:color="auto" w:fill="auto"/>
            <w:noWrap/>
            <w:vAlign w:val="bottom"/>
            <w:hideMark/>
          </w:tcPr>
          <w:p w14:paraId="15E0BD86" w14:textId="77777777" w:rsidR="00721CFD" w:rsidRPr="00F65869" w:rsidRDefault="00721CFD" w:rsidP="007B5BB3">
            <w:pPr>
              <w:rPr>
                <w:rFonts w:ascii="Times New Roman" w:eastAsia="Times New Roman" w:hAnsi="Times New Roman" w:cs="Times New Roman"/>
                <w:sz w:val="24"/>
                <w:szCs w:val="24"/>
              </w:rPr>
            </w:pPr>
          </w:p>
        </w:tc>
        <w:tc>
          <w:tcPr>
            <w:tcW w:w="1305" w:type="dxa"/>
            <w:tcBorders>
              <w:top w:val="nil"/>
              <w:left w:val="nil"/>
              <w:bottom w:val="single" w:sz="12" w:space="0" w:color="44546A"/>
              <w:right w:val="nil"/>
            </w:tcBorders>
            <w:shd w:val="clear" w:color="000000" w:fill="FFFFFF"/>
            <w:vAlign w:val="bottom"/>
            <w:hideMark/>
          </w:tcPr>
          <w:p w14:paraId="69D36C22" w14:textId="77777777" w:rsidR="00721CFD" w:rsidRPr="00F65869" w:rsidRDefault="00721CFD" w:rsidP="007B5BB3">
            <w:pPr>
              <w:jc w:val="center"/>
              <w:rPr>
                <w:rFonts w:ascii="Calibri" w:eastAsia="Times New Roman" w:hAnsi="Calibri" w:cs="Calibri"/>
                <w:b/>
                <w:bCs/>
                <w:color w:val="0D0D0D"/>
              </w:rPr>
            </w:pPr>
          </w:p>
        </w:tc>
        <w:tc>
          <w:tcPr>
            <w:tcW w:w="1593" w:type="dxa"/>
            <w:tcBorders>
              <w:top w:val="nil"/>
              <w:left w:val="nil"/>
              <w:bottom w:val="single" w:sz="12" w:space="0" w:color="44546A"/>
              <w:right w:val="nil"/>
            </w:tcBorders>
            <w:shd w:val="clear" w:color="000000" w:fill="FFFFFF"/>
            <w:vAlign w:val="bottom"/>
          </w:tcPr>
          <w:p w14:paraId="6EE845DE" w14:textId="77777777" w:rsidR="00721CFD" w:rsidRPr="00F65869" w:rsidRDefault="00721CFD" w:rsidP="007B5BB3">
            <w:pPr>
              <w:rPr>
                <w:rFonts w:ascii="Calibri" w:eastAsia="Times New Roman" w:hAnsi="Calibri" w:cs="Calibri"/>
                <w:b/>
                <w:bCs/>
                <w:color w:val="0D0D0D"/>
              </w:rPr>
            </w:pPr>
            <w:r w:rsidRPr="00F65869">
              <w:rPr>
                <w:rFonts w:ascii="Calibri" w:eastAsia="Times New Roman" w:hAnsi="Calibri" w:cs="Calibri"/>
                <w:b/>
                <w:bCs/>
                <w:color w:val="0D0D0D"/>
              </w:rPr>
              <w:t>202</w:t>
            </w:r>
            <w:r>
              <w:rPr>
                <w:rFonts w:ascii="Calibri" w:eastAsia="Times New Roman" w:hAnsi="Calibri" w:cs="Calibri"/>
                <w:b/>
                <w:bCs/>
                <w:color w:val="0D0D0D"/>
              </w:rPr>
              <w:t>2</w:t>
            </w:r>
          </w:p>
        </w:tc>
        <w:tc>
          <w:tcPr>
            <w:tcW w:w="1305" w:type="dxa"/>
            <w:tcBorders>
              <w:top w:val="nil"/>
              <w:left w:val="nil"/>
              <w:bottom w:val="single" w:sz="12" w:space="0" w:color="44546A"/>
              <w:right w:val="nil"/>
            </w:tcBorders>
            <w:shd w:val="clear" w:color="auto" w:fill="D9D9D9" w:themeFill="background1" w:themeFillShade="D9"/>
            <w:vAlign w:val="bottom"/>
            <w:hideMark/>
          </w:tcPr>
          <w:p w14:paraId="5FCD369B" w14:textId="77777777" w:rsidR="00721CFD" w:rsidRPr="00F65869" w:rsidRDefault="00721CFD" w:rsidP="007B5BB3">
            <w:pPr>
              <w:jc w:val="center"/>
              <w:rPr>
                <w:rFonts w:ascii="Calibri" w:eastAsia="Times New Roman" w:hAnsi="Calibri" w:cs="Calibri"/>
                <w:b/>
                <w:bCs/>
                <w:color w:val="0D0D0D"/>
              </w:rPr>
            </w:pPr>
          </w:p>
        </w:tc>
        <w:tc>
          <w:tcPr>
            <w:tcW w:w="1628" w:type="dxa"/>
            <w:tcBorders>
              <w:top w:val="nil"/>
              <w:left w:val="nil"/>
              <w:bottom w:val="single" w:sz="12" w:space="0" w:color="44546A"/>
              <w:right w:val="nil"/>
            </w:tcBorders>
            <w:shd w:val="clear" w:color="auto" w:fill="D9D9D9" w:themeFill="background1" w:themeFillShade="D9"/>
            <w:vAlign w:val="bottom"/>
          </w:tcPr>
          <w:p w14:paraId="5EB4B3F2" w14:textId="77777777" w:rsidR="00721CFD" w:rsidRPr="00F65869" w:rsidRDefault="00721CFD" w:rsidP="007B5BB3">
            <w:pPr>
              <w:rPr>
                <w:rFonts w:ascii="Calibri" w:eastAsia="Times New Roman" w:hAnsi="Calibri" w:cs="Calibri"/>
                <w:b/>
                <w:bCs/>
                <w:color w:val="0D0D0D"/>
              </w:rPr>
            </w:pPr>
            <w:r w:rsidRPr="00F65869">
              <w:rPr>
                <w:rFonts w:ascii="Calibri" w:eastAsia="Times New Roman" w:hAnsi="Calibri" w:cs="Calibri"/>
                <w:b/>
                <w:bCs/>
                <w:color w:val="0D0D0D"/>
              </w:rPr>
              <w:t>20</w:t>
            </w:r>
            <w:r>
              <w:rPr>
                <w:rFonts w:ascii="Calibri" w:eastAsia="Times New Roman" w:hAnsi="Calibri" w:cs="Calibri"/>
                <w:b/>
                <w:bCs/>
                <w:color w:val="0D0D0D"/>
              </w:rPr>
              <w:t>21</w:t>
            </w:r>
          </w:p>
        </w:tc>
      </w:tr>
      <w:tr w:rsidR="00721CFD" w:rsidRPr="00F65869" w14:paraId="1434BAAE" w14:textId="77777777" w:rsidTr="007B5BB3">
        <w:trPr>
          <w:trHeight w:val="888"/>
          <w:tblHeader/>
          <w:jc w:val="center"/>
        </w:trPr>
        <w:tc>
          <w:tcPr>
            <w:tcW w:w="3529" w:type="dxa"/>
            <w:tcBorders>
              <w:top w:val="nil"/>
              <w:left w:val="nil"/>
              <w:bottom w:val="single" w:sz="12" w:space="0" w:color="44546A"/>
              <w:right w:val="nil"/>
            </w:tcBorders>
            <w:shd w:val="clear" w:color="000000" w:fill="FFFFFF"/>
            <w:noWrap/>
            <w:vAlign w:val="bottom"/>
            <w:hideMark/>
          </w:tcPr>
          <w:p w14:paraId="182E6817" w14:textId="77777777" w:rsidR="00721CFD" w:rsidRPr="00F65869" w:rsidRDefault="00721CFD" w:rsidP="007B5BB3">
            <w:pPr>
              <w:rPr>
                <w:rFonts w:ascii="Calibri" w:eastAsia="Times New Roman" w:hAnsi="Calibri" w:cs="Calibri"/>
                <w:b/>
                <w:bCs/>
                <w:color w:val="0D0D0D"/>
              </w:rPr>
            </w:pPr>
            <w:r w:rsidRPr="00F65869">
              <w:rPr>
                <w:rFonts w:ascii="Calibri" w:eastAsia="Times New Roman" w:hAnsi="Calibri" w:cs="Calibri"/>
                <w:b/>
                <w:bCs/>
                <w:color w:val="0D0D0D"/>
              </w:rPr>
              <w:t>Asset Class</w:t>
            </w:r>
          </w:p>
        </w:tc>
        <w:tc>
          <w:tcPr>
            <w:tcW w:w="1305" w:type="dxa"/>
            <w:tcBorders>
              <w:top w:val="nil"/>
              <w:left w:val="nil"/>
              <w:bottom w:val="single" w:sz="12" w:space="0" w:color="44546A"/>
              <w:right w:val="nil"/>
            </w:tcBorders>
            <w:shd w:val="clear" w:color="000000" w:fill="FFFFFF"/>
            <w:vAlign w:val="bottom"/>
            <w:hideMark/>
          </w:tcPr>
          <w:p w14:paraId="475BEB35" w14:textId="77777777" w:rsidR="00721CFD" w:rsidRPr="00F65869" w:rsidRDefault="00721CFD" w:rsidP="007B5BB3">
            <w:pPr>
              <w:jc w:val="center"/>
              <w:rPr>
                <w:rFonts w:ascii="Calibri" w:eastAsia="Times New Roman" w:hAnsi="Calibri" w:cs="Calibri"/>
                <w:b/>
                <w:bCs/>
                <w:color w:val="0D0D0D"/>
              </w:rPr>
            </w:pPr>
            <w:r w:rsidRPr="00F65869">
              <w:rPr>
                <w:rFonts w:ascii="Calibri" w:eastAsia="Times New Roman" w:hAnsi="Calibri" w:cs="Calibri"/>
                <w:b/>
                <w:bCs/>
                <w:color w:val="0D0D0D"/>
              </w:rPr>
              <w:t>Target</w:t>
            </w:r>
            <w:r>
              <w:rPr>
                <w:rFonts w:ascii="Calibri" w:eastAsia="Times New Roman" w:hAnsi="Calibri" w:cs="Calibri"/>
                <w:b/>
                <w:bCs/>
                <w:color w:val="0D0D0D"/>
              </w:rPr>
              <w:t xml:space="preserve"> </w:t>
            </w:r>
            <w:r w:rsidRPr="00F65869">
              <w:rPr>
                <w:rFonts w:ascii="Calibri" w:eastAsia="Times New Roman" w:hAnsi="Calibri" w:cs="Calibri"/>
                <w:b/>
                <w:bCs/>
                <w:color w:val="0D0D0D"/>
              </w:rPr>
              <w:t>Allocation</w:t>
            </w:r>
          </w:p>
        </w:tc>
        <w:tc>
          <w:tcPr>
            <w:tcW w:w="1593" w:type="dxa"/>
            <w:tcBorders>
              <w:top w:val="nil"/>
              <w:left w:val="nil"/>
              <w:bottom w:val="single" w:sz="12" w:space="0" w:color="44546A"/>
              <w:right w:val="nil"/>
            </w:tcBorders>
            <w:shd w:val="clear" w:color="000000" w:fill="FFFFFF"/>
            <w:vAlign w:val="bottom"/>
            <w:hideMark/>
          </w:tcPr>
          <w:p w14:paraId="2C5B3A94" w14:textId="77777777" w:rsidR="00721CFD" w:rsidRPr="00F65869" w:rsidRDefault="00721CFD" w:rsidP="007B5BB3">
            <w:pPr>
              <w:jc w:val="center"/>
              <w:rPr>
                <w:rFonts w:ascii="Calibri" w:eastAsia="Times New Roman" w:hAnsi="Calibri" w:cs="Calibri"/>
                <w:b/>
                <w:bCs/>
                <w:color w:val="0D0D0D"/>
              </w:rPr>
            </w:pPr>
            <w:r w:rsidRPr="00F65869">
              <w:rPr>
                <w:rFonts w:ascii="Calibri" w:eastAsia="Times New Roman" w:hAnsi="Calibri" w:cs="Calibri"/>
                <w:b/>
                <w:bCs/>
                <w:color w:val="0D0D0D"/>
              </w:rPr>
              <w:t>Long-Term Expected Real Rate of Return</w:t>
            </w:r>
          </w:p>
        </w:tc>
        <w:tc>
          <w:tcPr>
            <w:tcW w:w="1305" w:type="dxa"/>
            <w:tcBorders>
              <w:top w:val="nil"/>
              <w:left w:val="nil"/>
              <w:bottom w:val="single" w:sz="12" w:space="0" w:color="44546A"/>
              <w:right w:val="nil"/>
            </w:tcBorders>
            <w:shd w:val="clear" w:color="auto" w:fill="D9D9D9" w:themeFill="background1" w:themeFillShade="D9"/>
            <w:vAlign w:val="bottom"/>
            <w:hideMark/>
          </w:tcPr>
          <w:p w14:paraId="42E30FF0" w14:textId="77777777" w:rsidR="00721CFD" w:rsidRPr="00F65869" w:rsidRDefault="00721CFD" w:rsidP="007B5BB3">
            <w:pPr>
              <w:jc w:val="center"/>
              <w:rPr>
                <w:rFonts w:ascii="Calibri" w:eastAsia="Times New Roman" w:hAnsi="Calibri" w:cs="Calibri"/>
                <w:b/>
                <w:bCs/>
                <w:color w:val="0D0D0D"/>
              </w:rPr>
            </w:pPr>
            <w:r w:rsidRPr="00F65869">
              <w:rPr>
                <w:rFonts w:ascii="Calibri" w:eastAsia="Times New Roman" w:hAnsi="Calibri" w:cs="Calibri"/>
                <w:b/>
                <w:bCs/>
                <w:color w:val="0D0D0D"/>
              </w:rPr>
              <w:t>Target</w:t>
            </w:r>
            <w:r>
              <w:rPr>
                <w:rFonts w:ascii="Calibri" w:eastAsia="Times New Roman" w:hAnsi="Calibri" w:cs="Calibri"/>
                <w:b/>
                <w:bCs/>
                <w:color w:val="0D0D0D"/>
              </w:rPr>
              <w:t xml:space="preserve"> </w:t>
            </w:r>
            <w:r w:rsidRPr="00F65869">
              <w:rPr>
                <w:rFonts w:ascii="Calibri" w:eastAsia="Times New Roman" w:hAnsi="Calibri" w:cs="Calibri"/>
                <w:b/>
                <w:bCs/>
                <w:color w:val="0D0D0D"/>
              </w:rPr>
              <w:t>Allocation</w:t>
            </w:r>
          </w:p>
        </w:tc>
        <w:tc>
          <w:tcPr>
            <w:tcW w:w="1628" w:type="dxa"/>
            <w:tcBorders>
              <w:top w:val="nil"/>
              <w:left w:val="nil"/>
              <w:bottom w:val="single" w:sz="12" w:space="0" w:color="44546A"/>
              <w:right w:val="nil"/>
            </w:tcBorders>
            <w:shd w:val="clear" w:color="auto" w:fill="D9D9D9" w:themeFill="background1" w:themeFillShade="D9"/>
            <w:vAlign w:val="bottom"/>
            <w:hideMark/>
          </w:tcPr>
          <w:p w14:paraId="1BE751AA" w14:textId="77777777" w:rsidR="00721CFD" w:rsidRPr="00F65869" w:rsidRDefault="00721CFD" w:rsidP="007B5BB3">
            <w:pPr>
              <w:jc w:val="center"/>
              <w:rPr>
                <w:rFonts w:ascii="Calibri" w:eastAsia="Times New Roman" w:hAnsi="Calibri" w:cs="Calibri"/>
                <w:b/>
                <w:bCs/>
                <w:color w:val="0D0D0D"/>
              </w:rPr>
            </w:pPr>
            <w:r w:rsidRPr="00F65869">
              <w:rPr>
                <w:rFonts w:ascii="Calibri" w:eastAsia="Times New Roman" w:hAnsi="Calibri" w:cs="Calibri"/>
                <w:b/>
                <w:bCs/>
                <w:color w:val="0D0D0D"/>
              </w:rPr>
              <w:t>Long-Term Expected Real Rate of Return</w:t>
            </w:r>
          </w:p>
        </w:tc>
      </w:tr>
      <w:tr w:rsidR="00721CFD" w:rsidRPr="00F65869" w14:paraId="018BDAFD" w14:textId="77777777" w:rsidTr="007B5BB3">
        <w:trPr>
          <w:trHeight w:val="480"/>
          <w:jc w:val="center"/>
        </w:trPr>
        <w:tc>
          <w:tcPr>
            <w:tcW w:w="3529" w:type="dxa"/>
            <w:tcBorders>
              <w:top w:val="nil"/>
              <w:left w:val="nil"/>
              <w:bottom w:val="nil"/>
              <w:right w:val="nil"/>
            </w:tcBorders>
            <w:shd w:val="clear" w:color="000000" w:fill="FFFFFF"/>
            <w:noWrap/>
            <w:vAlign w:val="bottom"/>
            <w:hideMark/>
          </w:tcPr>
          <w:p w14:paraId="45EA6978"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Large Cap Equities</w:t>
            </w:r>
          </w:p>
        </w:tc>
        <w:tc>
          <w:tcPr>
            <w:tcW w:w="1305" w:type="dxa"/>
            <w:tcBorders>
              <w:top w:val="nil"/>
              <w:left w:val="nil"/>
              <w:bottom w:val="nil"/>
              <w:right w:val="nil"/>
            </w:tcBorders>
            <w:shd w:val="clear" w:color="000000" w:fill="FFFFFF"/>
            <w:noWrap/>
            <w:vAlign w:val="bottom"/>
            <w:hideMark/>
          </w:tcPr>
          <w:p w14:paraId="4CDD0CA4" w14:textId="77777777" w:rsidR="00721CFD" w:rsidRPr="00A93FB3" w:rsidRDefault="00721CFD" w:rsidP="007B5BB3">
            <w:pPr>
              <w:jc w:val="center"/>
              <w:rPr>
                <w:rFonts w:ascii="Calibri" w:eastAsia="Times New Roman" w:hAnsi="Calibri" w:cs="Calibri"/>
              </w:rPr>
            </w:pPr>
            <w:r w:rsidRPr="005554D7">
              <w:rPr>
                <w:rFonts w:ascii="Calibri" w:hAnsi="Calibri" w:cs="Calibri"/>
              </w:rPr>
              <w:t>22.0%</w:t>
            </w:r>
          </w:p>
        </w:tc>
        <w:tc>
          <w:tcPr>
            <w:tcW w:w="1593" w:type="dxa"/>
            <w:tcBorders>
              <w:top w:val="nil"/>
              <w:left w:val="nil"/>
              <w:bottom w:val="nil"/>
              <w:right w:val="nil"/>
            </w:tcBorders>
            <w:shd w:val="clear" w:color="000000" w:fill="FFFFFF"/>
            <w:noWrap/>
            <w:vAlign w:val="bottom"/>
            <w:hideMark/>
          </w:tcPr>
          <w:p w14:paraId="573AC692" w14:textId="77777777" w:rsidR="00721CFD" w:rsidRPr="001D107F" w:rsidRDefault="00721CFD" w:rsidP="007B5BB3">
            <w:pPr>
              <w:jc w:val="center"/>
              <w:rPr>
                <w:rFonts w:ascii="Calibri" w:eastAsia="Times New Roman" w:hAnsi="Calibri" w:cs="Calibri"/>
                <w:color w:val="FF0000"/>
              </w:rPr>
            </w:pPr>
            <w:r>
              <w:rPr>
                <w:rFonts w:ascii="Calibri" w:hAnsi="Calibri" w:cs="Calibri"/>
              </w:rPr>
              <w:t>4.40%</w:t>
            </w:r>
          </w:p>
        </w:tc>
        <w:tc>
          <w:tcPr>
            <w:tcW w:w="1305" w:type="dxa"/>
            <w:tcBorders>
              <w:top w:val="nil"/>
              <w:left w:val="nil"/>
              <w:bottom w:val="nil"/>
              <w:right w:val="nil"/>
            </w:tcBorders>
            <w:shd w:val="clear" w:color="auto" w:fill="D9D9D9" w:themeFill="background1" w:themeFillShade="D9"/>
            <w:noWrap/>
            <w:vAlign w:val="bottom"/>
          </w:tcPr>
          <w:p w14:paraId="04E0A476" w14:textId="77777777" w:rsidR="00721CFD" w:rsidRPr="004A41D4" w:rsidRDefault="00721CFD" w:rsidP="007B5BB3">
            <w:pPr>
              <w:jc w:val="center"/>
              <w:rPr>
                <w:rFonts w:ascii="Calibri" w:eastAsia="Times New Roman" w:hAnsi="Calibri" w:cs="Calibri"/>
              </w:rPr>
            </w:pPr>
            <w:r>
              <w:rPr>
                <w:rFonts w:ascii="Calibri" w:hAnsi="Calibri" w:cs="Calibri"/>
              </w:rPr>
              <w:t>22.0%</w:t>
            </w:r>
          </w:p>
        </w:tc>
        <w:tc>
          <w:tcPr>
            <w:tcW w:w="1628" w:type="dxa"/>
            <w:tcBorders>
              <w:top w:val="nil"/>
              <w:left w:val="nil"/>
              <w:bottom w:val="nil"/>
              <w:right w:val="nil"/>
            </w:tcBorders>
            <w:shd w:val="clear" w:color="auto" w:fill="D9D9D9" w:themeFill="background1" w:themeFillShade="D9"/>
            <w:noWrap/>
            <w:vAlign w:val="bottom"/>
          </w:tcPr>
          <w:p w14:paraId="3911F90B" w14:textId="77777777" w:rsidR="00721CFD" w:rsidRPr="004A41D4" w:rsidRDefault="00721CFD" w:rsidP="007B5BB3">
            <w:pPr>
              <w:jc w:val="center"/>
              <w:rPr>
                <w:rFonts w:ascii="Calibri" w:eastAsia="Times New Roman" w:hAnsi="Calibri" w:cs="Calibri"/>
              </w:rPr>
            </w:pPr>
            <w:r>
              <w:rPr>
                <w:rFonts w:ascii="Calibri" w:hAnsi="Calibri" w:cs="Calibri"/>
              </w:rPr>
              <w:t>3.80%</w:t>
            </w:r>
          </w:p>
        </w:tc>
      </w:tr>
      <w:tr w:rsidR="00721CFD" w:rsidRPr="00F65869" w14:paraId="618B1B15"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6D5CD407"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Domestic Small/Mid Cap</w:t>
            </w:r>
          </w:p>
        </w:tc>
        <w:tc>
          <w:tcPr>
            <w:tcW w:w="1305" w:type="dxa"/>
            <w:tcBorders>
              <w:top w:val="nil"/>
              <w:left w:val="nil"/>
              <w:bottom w:val="nil"/>
              <w:right w:val="nil"/>
            </w:tcBorders>
            <w:shd w:val="clear" w:color="000000" w:fill="FFFFFF"/>
            <w:noWrap/>
            <w:vAlign w:val="bottom"/>
            <w:hideMark/>
          </w:tcPr>
          <w:p w14:paraId="1D3F129F" w14:textId="77777777" w:rsidR="00721CFD" w:rsidRPr="00A93FB3" w:rsidRDefault="00721CFD" w:rsidP="007B5BB3">
            <w:pPr>
              <w:jc w:val="center"/>
              <w:rPr>
                <w:rFonts w:ascii="Calibri" w:eastAsia="Times New Roman" w:hAnsi="Calibri" w:cs="Calibri"/>
              </w:rPr>
            </w:pPr>
            <w:r w:rsidRPr="005554D7">
              <w:rPr>
                <w:rFonts w:ascii="Calibri" w:hAnsi="Calibri" w:cs="Calibri"/>
              </w:rPr>
              <w:t>6.0%</w:t>
            </w:r>
          </w:p>
        </w:tc>
        <w:tc>
          <w:tcPr>
            <w:tcW w:w="1593" w:type="dxa"/>
            <w:tcBorders>
              <w:top w:val="nil"/>
              <w:left w:val="nil"/>
              <w:bottom w:val="nil"/>
              <w:right w:val="nil"/>
            </w:tcBorders>
            <w:shd w:val="clear" w:color="000000" w:fill="FFFFFF"/>
            <w:noWrap/>
            <w:vAlign w:val="bottom"/>
            <w:hideMark/>
          </w:tcPr>
          <w:p w14:paraId="17BA295E" w14:textId="77777777" w:rsidR="00721CFD" w:rsidRPr="001D107F" w:rsidRDefault="00721CFD" w:rsidP="007B5BB3">
            <w:pPr>
              <w:jc w:val="center"/>
              <w:rPr>
                <w:rFonts w:ascii="Calibri" w:eastAsia="Times New Roman" w:hAnsi="Calibri" w:cs="Calibri"/>
                <w:color w:val="FF0000"/>
              </w:rPr>
            </w:pPr>
            <w:r>
              <w:rPr>
                <w:rFonts w:ascii="Calibri" w:hAnsi="Calibri" w:cs="Calibri"/>
              </w:rPr>
              <w:t>5.00%</w:t>
            </w:r>
          </w:p>
        </w:tc>
        <w:tc>
          <w:tcPr>
            <w:tcW w:w="1305" w:type="dxa"/>
            <w:tcBorders>
              <w:top w:val="nil"/>
              <w:left w:val="nil"/>
              <w:bottom w:val="nil"/>
              <w:right w:val="nil"/>
            </w:tcBorders>
            <w:shd w:val="clear" w:color="auto" w:fill="D9D9D9" w:themeFill="background1" w:themeFillShade="D9"/>
            <w:noWrap/>
            <w:vAlign w:val="bottom"/>
            <w:hideMark/>
          </w:tcPr>
          <w:p w14:paraId="5BD1B930" w14:textId="77777777" w:rsidR="00721CFD" w:rsidRPr="004A41D4" w:rsidRDefault="00721CFD" w:rsidP="007B5BB3">
            <w:pPr>
              <w:jc w:val="center"/>
              <w:rPr>
                <w:rFonts w:ascii="Calibri" w:eastAsia="Times New Roman" w:hAnsi="Calibri" w:cs="Calibri"/>
              </w:rPr>
            </w:pPr>
            <w:r>
              <w:rPr>
                <w:rFonts w:ascii="Calibri" w:hAnsi="Calibri" w:cs="Calibri"/>
              </w:rPr>
              <w:t>6.0%</w:t>
            </w:r>
          </w:p>
        </w:tc>
        <w:tc>
          <w:tcPr>
            <w:tcW w:w="1628" w:type="dxa"/>
            <w:tcBorders>
              <w:top w:val="nil"/>
              <w:left w:val="nil"/>
              <w:bottom w:val="nil"/>
              <w:right w:val="nil"/>
            </w:tcBorders>
            <w:shd w:val="clear" w:color="auto" w:fill="D9D9D9" w:themeFill="background1" w:themeFillShade="D9"/>
            <w:noWrap/>
            <w:vAlign w:val="bottom"/>
            <w:hideMark/>
          </w:tcPr>
          <w:p w14:paraId="17BA4F91" w14:textId="77777777" w:rsidR="00721CFD" w:rsidRPr="004A41D4" w:rsidRDefault="00721CFD" w:rsidP="007B5BB3">
            <w:pPr>
              <w:jc w:val="center"/>
              <w:rPr>
                <w:rFonts w:ascii="Calibri" w:eastAsia="Times New Roman" w:hAnsi="Calibri" w:cs="Calibri"/>
              </w:rPr>
            </w:pPr>
            <w:r>
              <w:rPr>
                <w:rFonts w:ascii="Calibri" w:hAnsi="Calibri" w:cs="Calibri"/>
              </w:rPr>
              <w:t>3.90%</w:t>
            </w:r>
          </w:p>
        </w:tc>
      </w:tr>
      <w:tr w:rsidR="00721CFD" w:rsidRPr="00F65869" w14:paraId="190B288C"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309AD151"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International Equities</w:t>
            </w:r>
          </w:p>
        </w:tc>
        <w:tc>
          <w:tcPr>
            <w:tcW w:w="1305" w:type="dxa"/>
            <w:tcBorders>
              <w:top w:val="nil"/>
              <w:left w:val="nil"/>
              <w:bottom w:val="nil"/>
              <w:right w:val="nil"/>
            </w:tcBorders>
            <w:shd w:val="clear" w:color="000000" w:fill="FFFFFF"/>
            <w:noWrap/>
            <w:vAlign w:val="bottom"/>
            <w:hideMark/>
          </w:tcPr>
          <w:p w14:paraId="3E5CDE5A" w14:textId="77777777" w:rsidR="00721CFD" w:rsidRPr="00A93FB3" w:rsidRDefault="00721CFD" w:rsidP="007B5BB3">
            <w:pPr>
              <w:jc w:val="center"/>
              <w:rPr>
                <w:rFonts w:ascii="Calibri" w:eastAsia="Times New Roman" w:hAnsi="Calibri" w:cs="Calibri"/>
              </w:rPr>
            </w:pPr>
            <w:r w:rsidRPr="005554D7">
              <w:rPr>
                <w:rFonts w:ascii="Calibri" w:hAnsi="Calibri" w:cs="Calibri"/>
              </w:rPr>
              <w:t>10.0%</w:t>
            </w:r>
          </w:p>
        </w:tc>
        <w:tc>
          <w:tcPr>
            <w:tcW w:w="1593" w:type="dxa"/>
            <w:tcBorders>
              <w:top w:val="nil"/>
              <w:left w:val="nil"/>
              <w:bottom w:val="nil"/>
              <w:right w:val="nil"/>
            </w:tcBorders>
            <w:shd w:val="clear" w:color="000000" w:fill="FFFFFF"/>
            <w:noWrap/>
            <w:vAlign w:val="bottom"/>
            <w:hideMark/>
          </w:tcPr>
          <w:p w14:paraId="0BCAF8F1" w14:textId="77777777" w:rsidR="00721CFD" w:rsidRPr="001D107F" w:rsidRDefault="00721CFD" w:rsidP="007B5BB3">
            <w:pPr>
              <w:jc w:val="center"/>
              <w:rPr>
                <w:rFonts w:ascii="Calibri" w:eastAsia="Times New Roman" w:hAnsi="Calibri" w:cs="Calibri"/>
                <w:color w:val="FF0000"/>
              </w:rPr>
            </w:pPr>
            <w:r>
              <w:rPr>
                <w:rFonts w:ascii="Calibri" w:hAnsi="Calibri" w:cs="Calibri"/>
              </w:rPr>
              <w:t>4.50%</w:t>
            </w:r>
          </w:p>
        </w:tc>
        <w:tc>
          <w:tcPr>
            <w:tcW w:w="1305" w:type="dxa"/>
            <w:tcBorders>
              <w:top w:val="nil"/>
              <w:left w:val="nil"/>
              <w:bottom w:val="nil"/>
              <w:right w:val="nil"/>
            </w:tcBorders>
            <w:shd w:val="clear" w:color="auto" w:fill="D9D9D9" w:themeFill="background1" w:themeFillShade="D9"/>
            <w:noWrap/>
            <w:vAlign w:val="bottom"/>
            <w:hideMark/>
          </w:tcPr>
          <w:p w14:paraId="04BCEBA7" w14:textId="77777777" w:rsidR="00721CFD" w:rsidRPr="004A41D4" w:rsidRDefault="00721CFD" w:rsidP="007B5BB3">
            <w:pPr>
              <w:jc w:val="center"/>
              <w:rPr>
                <w:rFonts w:ascii="Calibri" w:eastAsia="Times New Roman" w:hAnsi="Calibri" w:cs="Calibri"/>
              </w:rPr>
            </w:pPr>
            <w:r>
              <w:rPr>
                <w:rFonts w:ascii="Calibri" w:hAnsi="Calibri" w:cs="Calibri"/>
              </w:rPr>
              <w:t>10.0%</w:t>
            </w:r>
          </w:p>
        </w:tc>
        <w:tc>
          <w:tcPr>
            <w:tcW w:w="1628" w:type="dxa"/>
            <w:tcBorders>
              <w:top w:val="nil"/>
              <w:left w:val="nil"/>
              <w:bottom w:val="nil"/>
              <w:right w:val="nil"/>
            </w:tcBorders>
            <w:shd w:val="clear" w:color="auto" w:fill="D9D9D9" w:themeFill="background1" w:themeFillShade="D9"/>
            <w:noWrap/>
            <w:vAlign w:val="bottom"/>
            <w:hideMark/>
          </w:tcPr>
          <w:p w14:paraId="5EA91EB0" w14:textId="77777777" w:rsidR="00721CFD" w:rsidRPr="004A41D4" w:rsidRDefault="00721CFD" w:rsidP="007B5BB3">
            <w:pPr>
              <w:jc w:val="center"/>
              <w:rPr>
                <w:rFonts w:ascii="Calibri" w:eastAsia="Times New Roman" w:hAnsi="Calibri" w:cs="Calibri"/>
              </w:rPr>
            </w:pPr>
            <w:r>
              <w:rPr>
                <w:rFonts w:ascii="Calibri" w:hAnsi="Calibri" w:cs="Calibri"/>
              </w:rPr>
              <w:t>3.80%</w:t>
            </w:r>
          </w:p>
        </w:tc>
      </w:tr>
      <w:tr w:rsidR="00721CFD" w:rsidRPr="00F65869" w14:paraId="7E99A4BF"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5C1F37D5"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International Small Cap Equities</w:t>
            </w:r>
          </w:p>
        </w:tc>
        <w:tc>
          <w:tcPr>
            <w:tcW w:w="1305" w:type="dxa"/>
            <w:tcBorders>
              <w:top w:val="nil"/>
              <w:left w:val="nil"/>
              <w:bottom w:val="nil"/>
              <w:right w:val="nil"/>
            </w:tcBorders>
            <w:shd w:val="clear" w:color="000000" w:fill="FFFFFF"/>
            <w:noWrap/>
            <w:vAlign w:val="bottom"/>
            <w:hideMark/>
          </w:tcPr>
          <w:p w14:paraId="34ADD054" w14:textId="77777777" w:rsidR="00721CFD" w:rsidRPr="00A93FB3" w:rsidRDefault="00721CFD" w:rsidP="007B5BB3">
            <w:pPr>
              <w:jc w:val="center"/>
              <w:rPr>
                <w:rFonts w:ascii="Calibri" w:eastAsia="Times New Roman" w:hAnsi="Calibri" w:cs="Calibri"/>
              </w:rPr>
            </w:pPr>
            <w:r w:rsidRPr="005554D7">
              <w:rPr>
                <w:rFonts w:ascii="Calibri" w:hAnsi="Calibri" w:cs="Calibri"/>
              </w:rPr>
              <w:t>4.0%</w:t>
            </w:r>
          </w:p>
        </w:tc>
        <w:tc>
          <w:tcPr>
            <w:tcW w:w="1593" w:type="dxa"/>
            <w:tcBorders>
              <w:top w:val="nil"/>
              <w:left w:val="nil"/>
              <w:bottom w:val="nil"/>
              <w:right w:val="nil"/>
            </w:tcBorders>
            <w:shd w:val="clear" w:color="000000" w:fill="FFFFFF"/>
            <w:noWrap/>
            <w:vAlign w:val="bottom"/>
            <w:hideMark/>
          </w:tcPr>
          <w:p w14:paraId="0B1DFA37" w14:textId="77777777" w:rsidR="00721CFD" w:rsidRPr="001D107F" w:rsidRDefault="00721CFD" w:rsidP="007B5BB3">
            <w:pPr>
              <w:jc w:val="center"/>
              <w:rPr>
                <w:rFonts w:ascii="Calibri" w:eastAsia="Times New Roman" w:hAnsi="Calibri" w:cs="Calibri"/>
                <w:color w:val="FF0000"/>
              </w:rPr>
            </w:pPr>
            <w:r>
              <w:rPr>
                <w:rFonts w:ascii="Calibri" w:hAnsi="Calibri" w:cs="Calibri"/>
              </w:rPr>
              <w:t>5.30%</w:t>
            </w:r>
          </w:p>
        </w:tc>
        <w:tc>
          <w:tcPr>
            <w:tcW w:w="1305" w:type="dxa"/>
            <w:tcBorders>
              <w:top w:val="nil"/>
              <w:left w:val="nil"/>
              <w:bottom w:val="nil"/>
              <w:right w:val="nil"/>
            </w:tcBorders>
            <w:shd w:val="clear" w:color="auto" w:fill="D9D9D9" w:themeFill="background1" w:themeFillShade="D9"/>
            <w:noWrap/>
            <w:vAlign w:val="bottom"/>
            <w:hideMark/>
          </w:tcPr>
          <w:p w14:paraId="1814BF57" w14:textId="77777777" w:rsidR="00721CFD" w:rsidRPr="004A41D4" w:rsidRDefault="00721CFD" w:rsidP="007B5BB3">
            <w:pPr>
              <w:jc w:val="center"/>
              <w:rPr>
                <w:rFonts w:ascii="Calibri" w:eastAsia="Times New Roman" w:hAnsi="Calibri" w:cs="Calibri"/>
              </w:rPr>
            </w:pPr>
            <w:r>
              <w:rPr>
                <w:rFonts w:ascii="Calibri" w:hAnsi="Calibri" w:cs="Calibri"/>
              </w:rPr>
              <w:t>4.0%</w:t>
            </w:r>
          </w:p>
        </w:tc>
        <w:tc>
          <w:tcPr>
            <w:tcW w:w="1628" w:type="dxa"/>
            <w:tcBorders>
              <w:top w:val="nil"/>
              <w:left w:val="nil"/>
              <w:bottom w:val="nil"/>
              <w:right w:val="nil"/>
            </w:tcBorders>
            <w:shd w:val="clear" w:color="auto" w:fill="D9D9D9" w:themeFill="background1" w:themeFillShade="D9"/>
            <w:noWrap/>
            <w:vAlign w:val="bottom"/>
            <w:hideMark/>
          </w:tcPr>
          <w:p w14:paraId="6EFD1849" w14:textId="77777777" w:rsidR="00721CFD" w:rsidRPr="004A41D4" w:rsidRDefault="00721CFD" w:rsidP="007B5BB3">
            <w:pPr>
              <w:jc w:val="center"/>
              <w:rPr>
                <w:rFonts w:ascii="Calibri" w:eastAsia="Times New Roman" w:hAnsi="Calibri" w:cs="Calibri"/>
              </w:rPr>
            </w:pPr>
            <w:r>
              <w:rPr>
                <w:rFonts w:ascii="Calibri" w:hAnsi="Calibri" w:cs="Calibri"/>
              </w:rPr>
              <w:t>4.10%</w:t>
            </w:r>
          </w:p>
        </w:tc>
      </w:tr>
      <w:tr w:rsidR="00721CFD" w:rsidRPr="00F65869" w14:paraId="12296750"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675239E2"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Emerging Market Equities</w:t>
            </w:r>
          </w:p>
        </w:tc>
        <w:tc>
          <w:tcPr>
            <w:tcW w:w="1305" w:type="dxa"/>
            <w:tcBorders>
              <w:top w:val="nil"/>
              <w:left w:val="nil"/>
              <w:bottom w:val="nil"/>
              <w:right w:val="nil"/>
            </w:tcBorders>
            <w:shd w:val="clear" w:color="000000" w:fill="FFFFFF"/>
            <w:noWrap/>
            <w:vAlign w:val="bottom"/>
            <w:hideMark/>
          </w:tcPr>
          <w:p w14:paraId="58836EBD" w14:textId="77777777" w:rsidR="00721CFD" w:rsidRPr="00A93FB3" w:rsidRDefault="00721CFD" w:rsidP="007B5BB3">
            <w:pPr>
              <w:jc w:val="center"/>
              <w:rPr>
                <w:rFonts w:ascii="Calibri" w:eastAsia="Times New Roman" w:hAnsi="Calibri" w:cs="Calibri"/>
              </w:rPr>
            </w:pPr>
            <w:r w:rsidRPr="005554D7">
              <w:rPr>
                <w:rFonts w:ascii="Calibri" w:hAnsi="Calibri" w:cs="Calibri"/>
              </w:rPr>
              <w:t>3.5%</w:t>
            </w:r>
          </w:p>
        </w:tc>
        <w:tc>
          <w:tcPr>
            <w:tcW w:w="1593" w:type="dxa"/>
            <w:tcBorders>
              <w:top w:val="nil"/>
              <w:left w:val="nil"/>
              <w:bottom w:val="nil"/>
              <w:right w:val="nil"/>
            </w:tcBorders>
            <w:shd w:val="clear" w:color="000000" w:fill="FFFFFF"/>
            <w:noWrap/>
            <w:vAlign w:val="bottom"/>
            <w:hideMark/>
          </w:tcPr>
          <w:p w14:paraId="453C281E" w14:textId="77777777" w:rsidR="00721CFD" w:rsidRPr="001D107F" w:rsidRDefault="00721CFD" w:rsidP="007B5BB3">
            <w:pPr>
              <w:jc w:val="center"/>
              <w:rPr>
                <w:rFonts w:ascii="Calibri" w:eastAsia="Times New Roman" w:hAnsi="Calibri" w:cs="Calibri"/>
                <w:color w:val="FF0000"/>
              </w:rPr>
            </w:pPr>
            <w:r>
              <w:rPr>
                <w:rFonts w:ascii="Calibri" w:hAnsi="Calibri" w:cs="Calibri"/>
              </w:rPr>
              <w:t>7.00%</w:t>
            </w:r>
          </w:p>
        </w:tc>
        <w:tc>
          <w:tcPr>
            <w:tcW w:w="1305" w:type="dxa"/>
            <w:tcBorders>
              <w:top w:val="nil"/>
              <w:left w:val="nil"/>
              <w:bottom w:val="nil"/>
              <w:right w:val="nil"/>
            </w:tcBorders>
            <w:shd w:val="clear" w:color="auto" w:fill="D9D9D9" w:themeFill="background1" w:themeFillShade="D9"/>
            <w:noWrap/>
            <w:vAlign w:val="bottom"/>
            <w:hideMark/>
          </w:tcPr>
          <w:p w14:paraId="2FDBF079" w14:textId="77777777" w:rsidR="00721CFD" w:rsidRPr="004A41D4" w:rsidRDefault="00721CFD" w:rsidP="007B5BB3">
            <w:pPr>
              <w:jc w:val="center"/>
              <w:rPr>
                <w:rFonts w:ascii="Calibri" w:eastAsia="Times New Roman" w:hAnsi="Calibri" w:cs="Calibri"/>
              </w:rPr>
            </w:pPr>
            <w:r>
              <w:rPr>
                <w:rFonts w:ascii="Calibri" w:hAnsi="Calibri" w:cs="Calibri"/>
              </w:rPr>
              <w:t>3.5%</w:t>
            </w:r>
          </w:p>
        </w:tc>
        <w:tc>
          <w:tcPr>
            <w:tcW w:w="1628" w:type="dxa"/>
            <w:tcBorders>
              <w:top w:val="nil"/>
              <w:left w:val="nil"/>
              <w:bottom w:val="nil"/>
              <w:right w:val="nil"/>
            </w:tcBorders>
            <w:shd w:val="clear" w:color="auto" w:fill="D9D9D9" w:themeFill="background1" w:themeFillShade="D9"/>
            <w:noWrap/>
            <w:vAlign w:val="bottom"/>
            <w:hideMark/>
          </w:tcPr>
          <w:p w14:paraId="23A5292D" w14:textId="77777777" w:rsidR="00721CFD" w:rsidRPr="004A41D4" w:rsidRDefault="00721CFD" w:rsidP="007B5BB3">
            <w:pPr>
              <w:jc w:val="center"/>
              <w:rPr>
                <w:rFonts w:ascii="Calibri" w:eastAsia="Times New Roman" w:hAnsi="Calibri" w:cs="Calibri"/>
              </w:rPr>
            </w:pPr>
            <w:r>
              <w:rPr>
                <w:rFonts w:ascii="Calibri" w:hAnsi="Calibri" w:cs="Calibri"/>
              </w:rPr>
              <w:t>5.90%</w:t>
            </w:r>
          </w:p>
        </w:tc>
      </w:tr>
      <w:tr w:rsidR="00721CFD" w:rsidRPr="00F65869" w14:paraId="0DDC14D6"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596D11DF"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Emerging Small Cap Market Equities</w:t>
            </w:r>
          </w:p>
        </w:tc>
        <w:tc>
          <w:tcPr>
            <w:tcW w:w="1305" w:type="dxa"/>
            <w:tcBorders>
              <w:top w:val="nil"/>
              <w:left w:val="nil"/>
              <w:bottom w:val="nil"/>
              <w:right w:val="nil"/>
            </w:tcBorders>
            <w:shd w:val="clear" w:color="000000" w:fill="FFFFFF"/>
            <w:noWrap/>
            <w:vAlign w:val="bottom"/>
            <w:hideMark/>
          </w:tcPr>
          <w:p w14:paraId="48537F7D" w14:textId="77777777" w:rsidR="00721CFD" w:rsidRPr="00A93FB3" w:rsidRDefault="00721CFD" w:rsidP="007B5BB3">
            <w:pPr>
              <w:jc w:val="center"/>
              <w:rPr>
                <w:rFonts w:ascii="Calibri" w:eastAsia="Times New Roman" w:hAnsi="Calibri" w:cs="Calibri"/>
              </w:rPr>
            </w:pPr>
            <w:r w:rsidRPr="005554D7">
              <w:rPr>
                <w:rFonts w:ascii="Calibri" w:hAnsi="Calibri" w:cs="Calibri"/>
              </w:rPr>
              <w:t>3.5%</w:t>
            </w:r>
          </w:p>
        </w:tc>
        <w:tc>
          <w:tcPr>
            <w:tcW w:w="1593" w:type="dxa"/>
            <w:tcBorders>
              <w:top w:val="nil"/>
              <w:left w:val="nil"/>
              <w:bottom w:val="nil"/>
              <w:right w:val="nil"/>
            </w:tcBorders>
            <w:shd w:val="clear" w:color="000000" w:fill="FFFFFF"/>
            <w:noWrap/>
            <w:vAlign w:val="bottom"/>
            <w:hideMark/>
          </w:tcPr>
          <w:p w14:paraId="464EB254" w14:textId="77777777" w:rsidR="00721CFD" w:rsidRPr="001D107F" w:rsidRDefault="00721CFD" w:rsidP="007B5BB3">
            <w:pPr>
              <w:jc w:val="center"/>
              <w:rPr>
                <w:rFonts w:ascii="Calibri" w:eastAsia="Times New Roman" w:hAnsi="Calibri" w:cs="Calibri"/>
                <w:color w:val="FF0000"/>
              </w:rPr>
            </w:pPr>
            <w:r>
              <w:rPr>
                <w:rFonts w:ascii="Calibri" w:hAnsi="Calibri" w:cs="Calibri"/>
              </w:rPr>
              <w:t>7.10%</w:t>
            </w:r>
          </w:p>
        </w:tc>
        <w:tc>
          <w:tcPr>
            <w:tcW w:w="1305" w:type="dxa"/>
            <w:tcBorders>
              <w:top w:val="nil"/>
              <w:left w:val="nil"/>
              <w:bottom w:val="nil"/>
              <w:right w:val="nil"/>
            </w:tcBorders>
            <w:shd w:val="clear" w:color="auto" w:fill="D9D9D9" w:themeFill="background1" w:themeFillShade="D9"/>
            <w:noWrap/>
            <w:vAlign w:val="bottom"/>
            <w:hideMark/>
          </w:tcPr>
          <w:p w14:paraId="541C2B23" w14:textId="77777777" w:rsidR="00721CFD" w:rsidRPr="004A41D4" w:rsidRDefault="00721CFD" w:rsidP="007B5BB3">
            <w:pPr>
              <w:jc w:val="center"/>
              <w:rPr>
                <w:rFonts w:ascii="Calibri" w:eastAsia="Times New Roman" w:hAnsi="Calibri" w:cs="Calibri"/>
              </w:rPr>
            </w:pPr>
            <w:r>
              <w:rPr>
                <w:rFonts w:ascii="Calibri" w:hAnsi="Calibri" w:cs="Calibri"/>
              </w:rPr>
              <w:t>3.5%</w:t>
            </w:r>
          </w:p>
        </w:tc>
        <w:tc>
          <w:tcPr>
            <w:tcW w:w="1628" w:type="dxa"/>
            <w:tcBorders>
              <w:top w:val="nil"/>
              <w:left w:val="nil"/>
              <w:bottom w:val="nil"/>
              <w:right w:val="nil"/>
            </w:tcBorders>
            <w:shd w:val="clear" w:color="auto" w:fill="D9D9D9" w:themeFill="background1" w:themeFillShade="D9"/>
            <w:noWrap/>
            <w:vAlign w:val="bottom"/>
            <w:hideMark/>
          </w:tcPr>
          <w:p w14:paraId="57AFC9C3" w14:textId="77777777" w:rsidR="00721CFD" w:rsidRPr="004A41D4" w:rsidRDefault="00721CFD" w:rsidP="007B5BB3">
            <w:pPr>
              <w:jc w:val="center"/>
              <w:rPr>
                <w:rFonts w:ascii="Calibri" w:eastAsia="Times New Roman" w:hAnsi="Calibri" w:cs="Calibri"/>
              </w:rPr>
            </w:pPr>
            <w:r>
              <w:rPr>
                <w:rFonts w:ascii="Calibri" w:hAnsi="Calibri" w:cs="Calibri"/>
              </w:rPr>
              <w:t>6.10%</w:t>
            </w:r>
          </w:p>
        </w:tc>
      </w:tr>
      <w:tr w:rsidR="00721CFD" w:rsidRPr="00F65869" w14:paraId="09E0325F"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4F1804CC"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Global Equity</w:t>
            </w:r>
          </w:p>
        </w:tc>
        <w:tc>
          <w:tcPr>
            <w:tcW w:w="1305" w:type="dxa"/>
            <w:tcBorders>
              <w:top w:val="nil"/>
              <w:left w:val="nil"/>
              <w:bottom w:val="nil"/>
              <w:right w:val="nil"/>
            </w:tcBorders>
            <w:shd w:val="clear" w:color="000000" w:fill="FFFFFF"/>
            <w:noWrap/>
            <w:vAlign w:val="bottom"/>
            <w:hideMark/>
          </w:tcPr>
          <w:p w14:paraId="677CE2A5" w14:textId="77777777" w:rsidR="00721CFD" w:rsidRPr="00A93FB3" w:rsidRDefault="00721CFD" w:rsidP="007B5BB3">
            <w:pPr>
              <w:jc w:val="center"/>
              <w:rPr>
                <w:rFonts w:ascii="Calibri" w:eastAsia="Times New Roman" w:hAnsi="Calibri" w:cs="Calibri"/>
              </w:rPr>
            </w:pPr>
            <w:r w:rsidRPr="005554D7">
              <w:rPr>
                <w:rFonts w:ascii="Calibri" w:hAnsi="Calibri" w:cs="Calibri"/>
              </w:rPr>
              <w:t>10.0%</w:t>
            </w:r>
          </w:p>
        </w:tc>
        <w:tc>
          <w:tcPr>
            <w:tcW w:w="1593" w:type="dxa"/>
            <w:tcBorders>
              <w:top w:val="nil"/>
              <w:left w:val="nil"/>
              <w:bottom w:val="nil"/>
              <w:right w:val="nil"/>
            </w:tcBorders>
            <w:shd w:val="clear" w:color="000000" w:fill="FFFFFF"/>
            <w:noWrap/>
            <w:vAlign w:val="bottom"/>
            <w:hideMark/>
          </w:tcPr>
          <w:p w14:paraId="3D0FBA4B" w14:textId="77777777" w:rsidR="00721CFD" w:rsidRPr="001D107F" w:rsidRDefault="00721CFD" w:rsidP="007B5BB3">
            <w:pPr>
              <w:jc w:val="center"/>
              <w:rPr>
                <w:rFonts w:ascii="Calibri" w:eastAsia="Times New Roman" w:hAnsi="Calibri" w:cs="Calibri"/>
                <w:color w:val="FF0000"/>
              </w:rPr>
            </w:pPr>
            <w:r>
              <w:rPr>
                <w:rFonts w:ascii="Calibri" w:hAnsi="Calibri" w:cs="Calibri"/>
              </w:rPr>
              <w:t>5.20%</w:t>
            </w:r>
          </w:p>
        </w:tc>
        <w:tc>
          <w:tcPr>
            <w:tcW w:w="1305" w:type="dxa"/>
            <w:tcBorders>
              <w:top w:val="nil"/>
              <w:left w:val="nil"/>
              <w:bottom w:val="nil"/>
              <w:right w:val="nil"/>
            </w:tcBorders>
            <w:shd w:val="clear" w:color="auto" w:fill="D9D9D9" w:themeFill="background1" w:themeFillShade="D9"/>
            <w:noWrap/>
            <w:vAlign w:val="bottom"/>
            <w:hideMark/>
          </w:tcPr>
          <w:p w14:paraId="1F6AADBC" w14:textId="77777777" w:rsidR="00721CFD" w:rsidRPr="004A41D4" w:rsidRDefault="00721CFD" w:rsidP="007B5BB3">
            <w:pPr>
              <w:jc w:val="center"/>
              <w:rPr>
                <w:rFonts w:ascii="Calibri" w:eastAsia="Times New Roman" w:hAnsi="Calibri" w:cs="Calibri"/>
              </w:rPr>
            </w:pPr>
            <w:r>
              <w:rPr>
                <w:rFonts w:ascii="Calibri" w:hAnsi="Calibri" w:cs="Calibri"/>
              </w:rPr>
              <w:t>10.0%</w:t>
            </w:r>
          </w:p>
        </w:tc>
        <w:tc>
          <w:tcPr>
            <w:tcW w:w="1628" w:type="dxa"/>
            <w:tcBorders>
              <w:top w:val="nil"/>
              <w:left w:val="nil"/>
              <w:bottom w:val="nil"/>
              <w:right w:val="nil"/>
            </w:tcBorders>
            <w:shd w:val="clear" w:color="auto" w:fill="D9D9D9" w:themeFill="background1" w:themeFillShade="D9"/>
            <w:noWrap/>
            <w:vAlign w:val="bottom"/>
            <w:hideMark/>
          </w:tcPr>
          <w:p w14:paraId="5A97BAA5" w14:textId="77777777" w:rsidR="00721CFD" w:rsidRPr="004A41D4" w:rsidRDefault="00721CFD" w:rsidP="007B5BB3">
            <w:pPr>
              <w:jc w:val="center"/>
              <w:rPr>
                <w:rFonts w:ascii="Calibri" w:eastAsia="Times New Roman" w:hAnsi="Calibri" w:cs="Calibri"/>
              </w:rPr>
            </w:pPr>
            <w:r>
              <w:rPr>
                <w:rFonts w:ascii="Calibri" w:hAnsi="Calibri" w:cs="Calibri"/>
              </w:rPr>
              <w:t>4.40%</w:t>
            </w:r>
          </w:p>
        </w:tc>
      </w:tr>
      <w:tr w:rsidR="00721CFD" w:rsidRPr="00F65869" w14:paraId="0B3BA2EF"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78F92599"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Domestic Core Bonds</w:t>
            </w:r>
          </w:p>
        </w:tc>
        <w:tc>
          <w:tcPr>
            <w:tcW w:w="1305" w:type="dxa"/>
            <w:tcBorders>
              <w:top w:val="nil"/>
              <w:left w:val="nil"/>
              <w:bottom w:val="nil"/>
              <w:right w:val="nil"/>
            </w:tcBorders>
            <w:shd w:val="clear" w:color="000000" w:fill="FFFFFF"/>
            <w:noWrap/>
            <w:vAlign w:val="bottom"/>
            <w:hideMark/>
          </w:tcPr>
          <w:p w14:paraId="09245C8A" w14:textId="77777777" w:rsidR="00721CFD" w:rsidRPr="00A93FB3" w:rsidRDefault="00721CFD" w:rsidP="007B5BB3">
            <w:pPr>
              <w:jc w:val="center"/>
              <w:rPr>
                <w:rFonts w:ascii="Calibri" w:eastAsia="Times New Roman" w:hAnsi="Calibri" w:cs="Calibri"/>
              </w:rPr>
            </w:pPr>
            <w:r w:rsidRPr="005554D7">
              <w:rPr>
                <w:rFonts w:ascii="Calibri" w:hAnsi="Calibri" w:cs="Calibri"/>
              </w:rPr>
              <w:t>9.5%</w:t>
            </w:r>
          </w:p>
        </w:tc>
        <w:tc>
          <w:tcPr>
            <w:tcW w:w="1593" w:type="dxa"/>
            <w:tcBorders>
              <w:top w:val="nil"/>
              <w:left w:val="nil"/>
              <w:bottom w:val="nil"/>
              <w:right w:val="nil"/>
            </w:tcBorders>
            <w:shd w:val="clear" w:color="000000" w:fill="FFFFFF"/>
            <w:noWrap/>
            <w:vAlign w:val="bottom"/>
            <w:hideMark/>
          </w:tcPr>
          <w:p w14:paraId="52FEDAA5" w14:textId="77777777" w:rsidR="00721CFD" w:rsidRPr="001D107F" w:rsidRDefault="00721CFD" w:rsidP="007B5BB3">
            <w:pPr>
              <w:jc w:val="center"/>
              <w:rPr>
                <w:rFonts w:ascii="Calibri" w:eastAsia="Times New Roman" w:hAnsi="Calibri" w:cs="Calibri"/>
                <w:color w:val="FF0000"/>
              </w:rPr>
            </w:pPr>
            <w:r>
              <w:rPr>
                <w:rFonts w:ascii="Calibri" w:hAnsi="Calibri" w:cs="Calibri"/>
              </w:rPr>
              <w:t>1.50%</w:t>
            </w:r>
          </w:p>
        </w:tc>
        <w:tc>
          <w:tcPr>
            <w:tcW w:w="1305" w:type="dxa"/>
            <w:tcBorders>
              <w:top w:val="nil"/>
              <w:left w:val="nil"/>
              <w:bottom w:val="nil"/>
              <w:right w:val="nil"/>
            </w:tcBorders>
            <w:shd w:val="clear" w:color="auto" w:fill="D9D9D9" w:themeFill="background1" w:themeFillShade="D9"/>
            <w:noWrap/>
            <w:vAlign w:val="bottom"/>
            <w:hideMark/>
          </w:tcPr>
          <w:p w14:paraId="1616D4D8" w14:textId="77777777" w:rsidR="00721CFD" w:rsidRPr="004A41D4" w:rsidRDefault="00721CFD" w:rsidP="007B5BB3">
            <w:pPr>
              <w:jc w:val="center"/>
              <w:rPr>
                <w:rFonts w:ascii="Calibri" w:eastAsia="Times New Roman" w:hAnsi="Calibri" w:cs="Calibri"/>
              </w:rPr>
            </w:pPr>
            <w:r>
              <w:rPr>
                <w:rFonts w:ascii="Calibri" w:hAnsi="Calibri" w:cs="Calibri"/>
              </w:rPr>
              <w:t>9.5%</w:t>
            </w:r>
          </w:p>
        </w:tc>
        <w:tc>
          <w:tcPr>
            <w:tcW w:w="1628" w:type="dxa"/>
            <w:tcBorders>
              <w:top w:val="nil"/>
              <w:left w:val="nil"/>
              <w:bottom w:val="nil"/>
              <w:right w:val="nil"/>
            </w:tcBorders>
            <w:shd w:val="clear" w:color="auto" w:fill="D9D9D9" w:themeFill="background1" w:themeFillShade="D9"/>
            <w:noWrap/>
            <w:vAlign w:val="bottom"/>
            <w:hideMark/>
          </w:tcPr>
          <w:p w14:paraId="04F02156" w14:textId="77777777" w:rsidR="00721CFD" w:rsidRPr="004A41D4" w:rsidRDefault="00721CFD" w:rsidP="007B5BB3">
            <w:pPr>
              <w:jc w:val="center"/>
              <w:rPr>
                <w:rFonts w:ascii="Calibri" w:eastAsia="Times New Roman" w:hAnsi="Calibri" w:cs="Calibri"/>
              </w:rPr>
            </w:pPr>
            <w:r>
              <w:rPr>
                <w:rFonts w:ascii="Calibri" w:hAnsi="Calibri" w:cs="Calibri"/>
              </w:rPr>
              <w:t>0.70%</w:t>
            </w:r>
          </w:p>
        </w:tc>
      </w:tr>
      <w:tr w:rsidR="00721CFD" w:rsidRPr="00F65869" w14:paraId="24B65492"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09E65144"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TIPS</w:t>
            </w:r>
          </w:p>
        </w:tc>
        <w:tc>
          <w:tcPr>
            <w:tcW w:w="1305" w:type="dxa"/>
            <w:tcBorders>
              <w:top w:val="nil"/>
              <w:left w:val="nil"/>
              <w:bottom w:val="nil"/>
              <w:right w:val="nil"/>
            </w:tcBorders>
            <w:shd w:val="clear" w:color="000000" w:fill="FFFFFF"/>
            <w:noWrap/>
            <w:vAlign w:val="bottom"/>
            <w:hideMark/>
          </w:tcPr>
          <w:p w14:paraId="63C85825" w14:textId="77777777" w:rsidR="00721CFD" w:rsidRPr="00A93FB3" w:rsidRDefault="00721CFD" w:rsidP="007B5BB3">
            <w:pPr>
              <w:jc w:val="center"/>
              <w:rPr>
                <w:rFonts w:ascii="Calibri" w:eastAsia="Times New Roman" w:hAnsi="Calibri" w:cs="Calibri"/>
              </w:rPr>
            </w:pPr>
            <w:r w:rsidRPr="005554D7">
              <w:rPr>
                <w:rFonts w:ascii="Calibri" w:hAnsi="Calibri" w:cs="Calibri"/>
              </w:rPr>
              <w:t>3.5%</w:t>
            </w:r>
          </w:p>
        </w:tc>
        <w:tc>
          <w:tcPr>
            <w:tcW w:w="1593" w:type="dxa"/>
            <w:tcBorders>
              <w:top w:val="nil"/>
              <w:left w:val="nil"/>
              <w:bottom w:val="nil"/>
              <w:right w:val="nil"/>
            </w:tcBorders>
            <w:shd w:val="clear" w:color="000000" w:fill="FFFFFF"/>
            <w:noWrap/>
            <w:vAlign w:val="bottom"/>
            <w:hideMark/>
          </w:tcPr>
          <w:p w14:paraId="17EA775C" w14:textId="77777777" w:rsidR="00721CFD" w:rsidRPr="001D107F" w:rsidRDefault="00721CFD" w:rsidP="007B5BB3">
            <w:pPr>
              <w:jc w:val="center"/>
              <w:rPr>
                <w:rFonts w:ascii="Calibri" w:eastAsia="Times New Roman" w:hAnsi="Calibri" w:cs="Calibri"/>
                <w:color w:val="FF0000"/>
              </w:rPr>
            </w:pPr>
            <w:r>
              <w:rPr>
                <w:rFonts w:ascii="Calibri" w:hAnsi="Calibri" w:cs="Calibri"/>
              </w:rPr>
              <w:t>1.10%</w:t>
            </w:r>
          </w:p>
        </w:tc>
        <w:tc>
          <w:tcPr>
            <w:tcW w:w="1305" w:type="dxa"/>
            <w:tcBorders>
              <w:top w:val="nil"/>
              <w:left w:val="nil"/>
              <w:bottom w:val="nil"/>
              <w:right w:val="nil"/>
            </w:tcBorders>
            <w:shd w:val="clear" w:color="auto" w:fill="D9D9D9" w:themeFill="background1" w:themeFillShade="D9"/>
            <w:noWrap/>
            <w:vAlign w:val="bottom"/>
            <w:hideMark/>
          </w:tcPr>
          <w:p w14:paraId="18F1B7D3" w14:textId="77777777" w:rsidR="00721CFD" w:rsidRPr="004A41D4" w:rsidRDefault="00721CFD" w:rsidP="007B5BB3">
            <w:pPr>
              <w:jc w:val="center"/>
              <w:rPr>
                <w:rFonts w:ascii="Calibri" w:eastAsia="Times New Roman" w:hAnsi="Calibri" w:cs="Calibri"/>
              </w:rPr>
            </w:pPr>
            <w:r>
              <w:rPr>
                <w:rFonts w:ascii="Calibri" w:hAnsi="Calibri" w:cs="Calibri"/>
              </w:rPr>
              <w:t>3.5%</w:t>
            </w:r>
          </w:p>
        </w:tc>
        <w:tc>
          <w:tcPr>
            <w:tcW w:w="1628" w:type="dxa"/>
            <w:tcBorders>
              <w:top w:val="nil"/>
              <w:left w:val="nil"/>
              <w:bottom w:val="nil"/>
              <w:right w:val="nil"/>
            </w:tcBorders>
            <w:shd w:val="clear" w:color="auto" w:fill="D9D9D9" w:themeFill="background1" w:themeFillShade="D9"/>
            <w:noWrap/>
            <w:vAlign w:val="bottom"/>
            <w:hideMark/>
          </w:tcPr>
          <w:p w14:paraId="0C25E45C" w14:textId="77777777" w:rsidR="00721CFD" w:rsidRPr="004A41D4" w:rsidRDefault="00721CFD" w:rsidP="007B5BB3">
            <w:pPr>
              <w:jc w:val="center"/>
              <w:rPr>
                <w:rFonts w:ascii="Calibri" w:eastAsia="Times New Roman" w:hAnsi="Calibri" w:cs="Calibri"/>
              </w:rPr>
            </w:pPr>
            <w:r>
              <w:rPr>
                <w:rFonts w:ascii="Calibri" w:hAnsi="Calibri" w:cs="Calibri"/>
              </w:rPr>
              <w:t>0.20%</w:t>
            </w:r>
          </w:p>
        </w:tc>
      </w:tr>
      <w:tr w:rsidR="00721CFD" w:rsidRPr="00F65869" w14:paraId="004392B6" w14:textId="77777777" w:rsidTr="007B5BB3">
        <w:trPr>
          <w:trHeight w:val="288"/>
          <w:jc w:val="center"/>
        </w:trPr>
        <w:tc>
          <w:tcPr>
            <w:tcW w:w="3529" w:type="dxa"/>
            <w:tcBorders>
              <w:top w:val="nil"/>
              <w:left w:val="nil"/>
              <w:bottom w:val="nil"/>
              <w:right w:val="nil"/>
            </w:tcBorders>
            <w:shd w:val="clear" w:color="000000" w:fill="FFFFFF"/>
            <w:noWrap/>
            <w:vAlign w:val="center"/>
          </w:tcPr>
          <w:p w14:paraId="01D732E5" w14:textId="77777777" w:rsidR="00721CFD" w:rsidRPr="00F65869" w:rsidRDefault="00721CFD" w:rsidP="007B5BB3">
            <w:pPr>
              <w:rPr>
                <w:rFonts w:ascii="Calibri" w:eastAsia="Times New Roman" w:hAnsi="Calibri" w:cs="Calibri"/>
                <w:color w:val="0D0D0D"/>
              </w:rPr>
            </w:pPr>
            <w:r>
              <w:rPr>
                <w:rFonts w:ascii="Calibri" w:eastAsia="Times New Roman" w:hAnsi="Calibri" w:cs="Calibri"/>
                <w:color w:val="0D0D0D"/>
              </w:rPr>
              <w:t>Short-term TIPS</w:t>
            </w:r>
          </w:p>
        </w:tc>
        <w:tc>
          <w:tcPr>
            <w:tcW w:w="1305" w:type="dxa"/>
            <w:tcBorders>
              <w:top w:val="nil"/>
              <w:left w:val="nil"/>
              <w:bottom w:val="nil"/>
              <w:right w:val="nil"/>
            </w:tcBorders>
            <w:shd w:val="clear" w:color="000000" w:fill="FFFFFF"/>
            <w:noWrap/>
            <w:vAlign w:val="bottom"/>
          </w:tcPr>
          <w:p w14:paraId="37C8241A" w14:textId="77777777" w:rsidR="00721CFD" w:rsidRPr="00A93FB3" w:rsidRDefault="00721CFD" w:rsidP="007B5BB3">
            <w:pPr>
              <w:jc w:val="center"/>
              <w:rPr>
                <w:rFonts w:ascii="Calibri" w:eastAsia="Times New Roman" w:hAnsi="Calibri" w:cs="Calibri"/>
              </w:rPr>
            </w:pPr>
            <w:r w:rsidRPr="005554D7">
              <w:rPr>
                <w:rFonts w:ascii="Calibri" w:hAnsi="Calibri" w:cs="Calibri"/>
              </w:rPr>
              <w:t>3.5%</w:t>
            </w:r>
          </w:p>
        </w:tc>
        <w:tc>
          <w:tcPr>
            <w:tcW w:w="1593" w:type="dxa"/>
            <w:tcBorders>
              <w:top w:val="nil"/>
              <w:left w:val="nil"/>
              <w:bottom w:val="nil"/>
              <w:right w:val="nil"/>
            </w:tcBorders>
            <w:shd w:val="clear" w:color="000000" w:fill="FFFFFF"/>
            <w:noWrap/>
            <w:vAlign w:val="bottom"/>
          </w:tcPr>
          <w:p w14:paraId="141DDA09" w14:textId="77777777" w:rsidR="00721CFD" w:rsidRPr="001D107F" w:rsidRDefault="00721CFD" w:rsidP="007B5BB3">
            <w:pPr>
              <w:jc w:val="center"/>
              <w:rPr>
                <w:rFonts w:ascii="Calibri" w:eastAsia="Times New Roman" w:hAnsi="Calibri" w:cs="Calibri"/>
                <w:color w:val="FF0000"/>
              </w:rPr>
            </w:pPr>
            <w:r>
              <w:rPr>
                <w:rFonts w:ascii="Calibri" w:hAnsi="Calibri" w:cs="Calibri"/>
              </w:rPr>
              <w:t>0.70%</w:t>
            </w:r>
          </w:p>
        </w:tc>
        <w:tc>
          <w:tcPr>
            <w:tcW w:w="1305" w:type="dxa"/>
            <w:tcBorders>
              <w:top w:val="nil"/>
              <w:left w:val="nil"/>
              <w:bottom w:val="nil"/>
              <w:right w:val="nil"/>
            </w:tcBorders>
            <w:shd w:val="clear" w:color="auto" w:fill="D9D9D9" w:themeFill="background1" w:themeFillShade="D9"/>
            <w:noWrap/>
            <w:vAlign w:val="bottom"/>
          </w:tcPr>
          <w:p w14:paraId="5842348E" w14:textId="77777777" w:rsidR="00721CFD" w:rsidRPr="004A41D4" w:rsidRDefault="00721CFD" w:rsidP="007B5BB3">
            <w:pPr>
              <w:jc w:val="center"/>
              <w:rPr>
                <w:rFonts w:ascii="Calibri" w:eastAsia="Times New Roman" w:hAnsi="Calibri" w:cs="Calibri"/>
              </w:rPr>
            </w:pPr>
            <w:r>
              <w:rPr>
                <w:rFonts w:ascii="Calibri" w:hAnsi="Calibri" w:cs="Calibri"/>
              </w:rPr>
              <w:t>3.5%</w:t>
            </w:r>
          </w:p>
        </w:tc>
        <w:tc>
          <w:tcPr>
            <w:tcW w:w="1628" w:type="dxa"/>
            <w:tcBorders>
              <w:top w:val="nil"/>
              <w:left w:val="nil"/>
              <w:bottom w:val="nil"/>
              <w:right w:val="nil"/>
            </w:tcBorders>
            <w:shd w:val="clear" w:color="auto" w:fill="D9D9D9" w:themeFill="background1" w:themeFillShade="D9"/>
            <w:noWrap/>
            <w:vAlign w:val="bottom"/>
          </w:tcPr>
          <w:p w14:paraId="7EE708A5" w14:textId="77777777" w:rsidR="00721CFD" w:rsidRPr="004A41D4" w:rsidRDefault="00721CFD" w:rsidP="007B5BB3">
            <w:pPr>
              <w:jc w:val="center"/>
              <w:rPr>
                <w:rFonts w:ascii="Calibri" w:eastAsia="Times New Roman" w:hAnsi="Calibri" w:cs="Calibri"/>
              </w:rPr>
            </w:pPr>
            <w:r>
              <w:rPr>
                <w:rFonts w:ascii="Calibri" w:hAnsi="Calibri" w:cs="Calibri"/>
              </w:rPr>
              <w:t>0.00%</w:t>
            </w:r>
          </w:p>
        </w:tc>
      </w:tr>
      <w:tr w:rsidR="00721CFD" w:rsidRPr="00F65869" w14:paraId="049B21C6"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3B6011D4"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Bank Loans</w:t>
            </w:r>
          </w:p>
        </w:tc>
        <w:tc>
          <w:tcPr>
            <w:tcW w:w="1305" w:type="dxa"/>
            <w:tcBorders>
              <w:top w:val="nil"/>
              <w:left w:val="nil"/>
              <w:bottom w:val="nil"/>
              <w:right w:val="nil"/>
            </w:tcBorders>
            <w:shd w:val="clear" w:color="000000" w:fill="FFFFFF"/>
            <w:noWrap/>
            <w:vAlign w:val="bottom"/>
            <w:hideMark/>
          </w:tcPr>
          <w:p w14:paraId="6F98D751" w14:textId="77777777" w:rsidR="00721CFD" w:rsidRPr="00A93FB3" w:rsidRDefault="00721CFD" w:rsidP="007B5BB3">
            <w:pPr>
              <w:jc w:val="center"/>
              <w:rPr>
                <w:rFonts w:ascii="Calibri" w:eastAsia="Times New Roman" w:hAnsi="Calibri" w:cs="Calibri"/>
              </w:rPr>
            </w:pPr>
            <w:r w:rsidRPr="005554D7">
              <w:rPr>
                <w:rFonts w:ascii="Calibri" w:hAnsi="Calibri" w:cs="Calibri"/>
              </w:rPr>
              <w:t>5.0%</w:t>
            </w:r>
          </w:p>
        </w:tc>
        <w:tc>
          <w:tcPr>
            <w:tcW w:w="1593" w:type="dxa"/>
            <w:tcBorders>
              <w:top w:val="nil"/>
              <w:left w:val="nil"/>
              <w:bottom w:val="nil"/>
              <w:right w:val="nil"/>
            </w:tcBorders>
            <w:shd w:val="clear" w:color="000000" w:fill="FFFFFF"/>
            <w:noWrap/>
            <w:vAlign w:val="bottom"/>
            <w:hideMark/>
          </w:tcPr>
          <w:p w14:paraId="55893CD4" w14:textId="77777777" w:rsidR="00721CFD" w:rsidRPr="001D107F" w:rsidRDefault="00721CFD" w:rsidP="007B5BB3">
            <w:pPr>
              <w:jc w:val="center"/>
              <w:rPr>
                <w:rFonts w:ascii="Calibri" w:eastAsia="Times New Roman" w:hAnsi="Calibri" w:cs="Calibri"/>
                <w:color w:val="FF0000"/>
              </w:rPr>
            </w:pPr>
            <w:r>
              <w:rPr>
                <w:rFonts w:ascii="Calibri" w:hAnsi="Calibri" w:cs="Calibri"/>
              </w:rPr>
              <w:t>3.80%</w:t>
            </w:r>
          </w:p>
        </w:tc>
        <w:tc>
          <w:tcPr>
            <w:tcW w:w="1305" w:type="dxa"/>
            <w:tcBorders>
              <w:top w:val="nil"/>
              <w:left w:val="nil"/>
              <w:bottom w:val="nil"/>
              <w:right w:val="nil"/>
            </w:tcBorders>
            <w:shd w:val="clear" w:color="auto" w:fill="D9D9D9" w:themeFill="background1" w:themeFillShade="D9"/>
            <w:noWrap/>
            <w:vAlign w:val="bottom"/>
            <w:hideMark/>
          </w:tcPr>
          <w:p w14:paraId="0CEF7B58" w14:textId="77777777" w:rsidR="00721CFD" w:rsidRPr="004A41D4" w:rsidRDefault="00721CFD" w:rsidP="007B5BB3">
            <w:pPr>
              <w:jc w:val="center"/>
              <w:rPr>
                <w:rFonts w:ascii="Calibri" w:eastAsia="Times New Roman" w:hAnsi="Calibri" w:cs="Calibri"/>
              </w:rPr>
            </w:pPr>
            <w:r>
              <w:rPr>
                <w:rFonts w:ascii="Calibri" w:hAnsi="Calibri" w:cs="Calibri"/>
              </w:rPr>
              <w:t>5.0%</w:t>
            </w:r>
          </w:p>
        </w:tc>
        <w:tc>
          <w:tcPr>
            <w:tcW w:w="1628" w:type="dxa"/>
            <w:tcBorders>
              <w:top w:val="nil"/>
              <w:left w:val="nil"/>
              <w:bottom w:val="nil"/>
              <w:right w:val="nil"/>
            </w:tcBorders>
            <w:shd w:val="clear" w:color="auto" w:fill="D9D9D9" w:themeFill="background1" w:themeFillShade="D9"/>
            <w:noWrap/>
            <w:vAlign w:val="bottom"/>
            <w:hideMark/>
          </w:tcPr>
          <w:p w14:paraId="5A5B88C7" w14:textId="77777777" w:rsidR="00721CFD" w:rsidRPr="004A41D4" w:rsidRDefault="00721CFD" w:rsidP="007B5BB3">
            <w:pPr>
              <w:jc w:val="center"/>
              <w:rPr>
                <w:rFonts w:ascii="Calibri" w:eastAsia="Times New Roman" w:hAnsi="Calibri" w:cs="Calibri"/>
              </w:rPr>
            </w:pPr>
            <w:r>
              <w:rPr>
                <w:rFonts w:ascii="Calibri" w:hAnsi="Calibri" w:cs="Calibri"/>
              </w:rPr>
              <w:t>2.80%</w:t>
            </w:r>
          </w:p>
        </w:tc>
      </w:tr>
      <w:tr w:rsidR="00721CFD" w:rsidRPr="00F65869" w14:paraId="2DBE3BAE"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4E6B567C"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Absolute Return Fixed Income</w:t>
            </w:r>
          </w:p>
        </w:tc>
        <w:tc>
          <w:tcPr>
            <w:tcW w:w="1305" w:type="dxa"/>
            <w:tcBorders>
              <w:top w:val="nil"/>
              <w:left w:val="nil"/>
              <w:bottom w:val="nil"/>
              <w:right w:val="nil"/>
            </w:tcBorders>
            <w:shd w:val="clear" w:color="000000" w:fill="FFFFFF"/>
            <w:noWrap/>
            <w:vAlign w:val="bottom"/>
            <w:hideMark/>
          </w:tcPr>
          <w:p w14:paraId="06E1BDAC" w14:textId="77777777" w:rsidR="00721CFD" w:rsidRPr="00A93FB3" w:rsidRDefault="00721CFD" w:rsidP="007B5BB3">
            <w:pPr>
              <w:jc w:val="center"/>
              <w:rPr>
                <w:rFonts w:ascii="Calibri" w:eastAsia="Times New Roman" w:hAnsi="Calibri" w:cs="Calibri"/>
              </w:rPr>
            </w:pPr>
            <w:r w:rsidRPr="005554D7">
              <w:rPr>
                <w:rFonts w:ascii="Calibri" w:hAnsi="Calibri" w:cs="Calibri"/>
              </w:rPr>
              <w:t>5.0%</w:t>
            </w:r>
          </w:p>
        </w:tc>
        <w:tc>
          <w:tcPr>
            <w:tcW w:w="1593" w:type="dxa"/>
            <w:tcBorders>
              <w:top w:val="nil"/>
              <w:left w:val="nil"/>
              <w:bottom w:val="nil"/>
              <w:right w:val="nil"/>
            </w:tcBorders>
            <w:shd w:val="clear" w:color="000000" w:fill="FFFFFF"/>
            <w:noWrap/>
            <w:vAlign w:val="bottom"/>
            <w:hideMark/>
          </w:tcPr>
          <w:p w14:paraId="1D36352C" w14:textId="77777777" w:rsidR="00721CFD" w:rsidRPr="001D107F" w:rsidRDefault="00721CFD" w:rsidP="007B5BB3">
            <w:pPr>
              <w:jc w:val="center"/>
              <w:rPr>
                <w:rFonts w:ascii="Calibri" w:eastAsia="Times New Roman" w:hAnsi="Calibri" w:cs="Calibri"/>
                <w:color w:val="FF0000"/>
              </w:rPr>
            </w:pPr>
            <w:r>
              <w:rPr>
                <w:rFonts w:ascii="Calibri" w:hAnsi="Calibri" w:cs="Calibri"/>
              </w:rPr>
              <w:t>2.80%</w:t>
            </w:r>
          </w:p>
        </w:tc>
        <w:tc>
          <w:tcPr>
            <w:tcW w:w="1305" w:type="dxa"/>
            <w:tcBorders>
              <w:top w:val="nil"/>
              <w:left w:val="nil"/>
              <w:bottom w:val="nil"/>
              <w:right w:val="nil"/>
            </w:tcBorders>
            <w:shd w:val="clear" w:color="auto" w:fill="D9D9D9" w:themeFill="background1" w:themeFillShade="D9"/>
            <w:noWrap/>
            <w:vAlign w:val="bottom"/>
            <w:hideMark/>
          </w:tcPr>
          <w:p w14:paraId="43A2899D" w14:textId="77777777" w:rsidR="00721CFD" w:rsidRPr="004A41D4" w:rsidRDefault="00721CFD" w:rsidP="007B5BB3">
            <w:pPr>
              <w:jc w:val="center"/>
              <w:rPr>
                <w:rFonts w:ascii="Calibri" w:eastAsia="Times New Roman" w:hAnsi="Calibri" w:cs="Calibri"/>
              </w:rPr>
            </w:pPr>
            <w:r>
              <w:rPr>
                <w:rFonts w:ascii="Calibri" w:hAnsi="Calibri" w:cs="Calibri"/>
              </w:rPr>
              <w:t>5.0%</w:t>
            </w:r>
          </w:p>
        </w:tc>
        <w:tc>
          <w:tcPr>
            <w:tcW w:w="1628" w:type="dxa"/>
            <w:tcBorders>
              <w:top w:val="nil"/>
              <w:left w:val="nil"/>
              <w:bottom w:val="nil"/>
              <w:right w:val="nil"/>
            </w:tcBorders>
            <w:shd w:val="clear" w:color="auto" w:fill="D9D9D9" w:themeFill="background1" w:themeFillShade="D9"/>
            <w:noWrap/>
            <w:vAlign w:val="bottom"/>
            <w:hideMark/>
          </w:tcPr>
          <w:p w14:paraId="4D862174" w14:textId="77777777" w:rsidR="00721CFD" w:rsidRPr="004A41D4" w:rsidRDefault="00721CFD" w:rsidP="007B5BB3">
            <w:pPr>
              <w:jc w:val="center"/>
              <w:rPr>
                <w:rFonts w:ascii="Calibri" w:eastAsia="Times New Roman" w:hAnsi="Calibri" w:cs="Calibri"/>
              </w:rPr>
            </w:pPr>
            <w:r>
              <w:rPr>
                <w:rFonts w:ascii="Calibri" w:hAnsi="Calibri" w:cs="Calibri"/>
              </w:rPr>
              <w:t>1.80%</w:t>
            </w:r>
          </w:p>
        </w:tc>
      </w:tr>
      <w:tr w:rsidR="00721CFD" w:rsidRPr="00F65869" w14:paraId="2250DE86"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76044232"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Global Asset Allocation</w:t>
            </w:r>
          </w:p>
        </w:tc>
        <w:tc>
          <w:tcPr>
            <w:tcW w:w="1305" w:type="dxa"/>
            <w:tcBorders>
              <w:top w:val="nil"/>
              <w:left w:val="nil"/>
              <w:bottom w:val="nil"/>
              <w:right w:val="nil"/>
            </w:tcBorders>
            <w:shd w:val="clear" w:color="000000" w:fill="FFFFFF"/>
            <w:noWrap/>
            <w:vAlign w:val="bottom"/>
            <w:hideMark/>
          </w:tcPr>
          <w:p w14:paraId="1C6C7D04" w14:textId="77777777" w:rsidR="00721CFD" w:rsidRPr="00A93FB3" w:rsidRDefault="00721CFD" w:rsidP="007B5BB3">
            <w:pPr>
              <w:jc w:val="center"/>
              <w:rPr>
                <w:rFonts w:ascii="Calibri" w:eastAsia="Times New Roman" w:hAnsi="Calibri" w:cs="Calibri"/>
              </w:rPr>
            </w:pPr>
            <w:r w:rsidRPr="005554D7">
              <w:rPr>
                <w:rFonts w:ascii="Calibri" w:hAnsi="Calibri" w:cs="Calibri"/>
              </w:rPr>
              <w:t>7.5%</w:t>
            </w:r>
          </w:p>
        </w:tc>
        <w:tc>
          <w:tcPr>
            <w:tcW w:w="1593" w:type="dxa"/>
            <w:tcBorders>
              <w:top w:val="nil"/>
              <w:left w:val="nil"/>
              <w:bottom w:val="nil"/>
              <w:right w:val="nil"/>
            </w:tcBorders>
            <w:shd w:val="clear" w:color="000000" w:fill="FFFFFF"/>
            <w:noWrap/>
            <w:vAlign w:val="bottom"/>
            <w:hideMark/>
          </w:tcPr>
          <w:p w14:paraId="0904B7E1" w14:textId="77777777" w:rsidR="00721CFD" w:rsidRPr="001D107F" w:rsidRDefault="00721CFD" w:rsidP="007B5BB3">
            <w:pPr>
              <w:jc w:val="center"/>
              <w:rPr>
                <w:rFonts w:ascii="Calibri" w:eastAsia="Times New Roman" w:hAnsi="Calibri" w:cs="Calibri"/>
                <w:color w:val="FF0000"/>
              </w:rPr>
            </w:pPr>
            <w:r>
              <w:rPr>
                <w:rFonts w:ascii="Calibri" w:hAnsi="Calibri" w:cs="Calibri"/>
              </w:rPr>
              <w:t>3.60%</w:t>
            </w:r>
          </w:p>
        </w:tc>
        <w:tc>
          <w:tcPr>
            <w:tcW w:w="1305" w:type="dxa"/>
            <w:tcBorders>
              <w:top w:val="nil"/>
              <w:left w:val="nil"/>
              <w:bottom w:val="nil"/>
              <w:right w:val="nil"/>
            </w:tcBorders>
            <w:shd w:val="clear" w:color="auto" w:fill="D9D9D9" w:themeFill="background1" w:themeFillShade="D9"/>
            <w:noWrap/>
            <w:vAlign w:val="bottom"/>
            <w:hideMark/>
          </w:tcPr>
          <w:p w14:paraId="150EF9C6" w14:textId="77777777" w:rsidR="00721CFD" w:rsidRPr="004A41D4" w:rsidRDefault="00721CFD" w:rsidP="007B5BB3">
            <w:pPr>
              <w:jc w:val="center"/>
              <w:rPr>
                <w:rFonts w:ascii="Calibri" w:eastAsia="Times New Roman" w:hAnsi="Calibri" w:cs="Calibri"/>
              </w:rPr>
            </w:pPr>
            <w:r>
              <w:rPr>
                <w:rFonts w:ascii="Calibri" w:hAnsi="Calibri" w:cs="Calibri"/>
              </w:rPr>
              <w:t>7.5%</w:t>
            </w:r>
          </w:p>
        </w:tc>
        <w:tc>
          <w:tcPr>
            <w:tcW w:w="1628" w:type="dxa"/>
            <w:tcBorders>
              <w:top w:val="nil"/>
              <w:left w:val="nil"/>
              <w:bottom w:val="nil"/>
              <w:right w:val="nil"/>
            </w:tcBorders>
            <w:shd w:val="clear" w:color="auto" w:fill="D9D9D9" w:themeFill="background1" w:themeFillShade="D9"/>
            <w:noWrap/>
            <w:vAlign w:val="bottom"/>
            <w:hideMark/>
          </w:tcPr>
          <w:p w14:paraId="7A90DBE5" w14:textId="77777777" w:rsidR="00721CFD" w:rsidRPr="004A41D4" w:rsidRDefault="00721CFD" w:rsidP="007B5BB3">
            <w:pPr>
              <w:jc w:val="center"/>
              <w:rPr>
                <w:rFonts w:ascii="Calibri" w:eastAsia="Times New Roman" w:hAnsi="Calibri" w:cs="Calibri"/>
              </w:rPr>
            </w:pPr>
            <w:r>
              <w:rPr>
                <w:rFonts w:ascii="Calibri" w:hAnsi="Calibri" w:cs="Calibri"/>
              </w:rPr>
              <w:t>2.30%</w:t>
            </w:r>
          </w:p>
        </w:tc>
      </w:tr>
      <w:tr w:rsidR="00721CFD" w:rsidRPr="00F65869" w14:paraId="5849C40F" w14:textId="77777777" w:rsidTr="007B5BB3">
        <w:trPr>
          <w:trHeight w:val="288"/>
          <w:jc w:val="center"/>
        </w:trPr>
        <w:tc>
          <w:tcPr>
            <w:tcW w:w="3529" w:type="dxa"/>
            <w:tcBorders>
              <w:top w:val="nil"/>
              <w:left w:val="nil"/>
              <w:bottom w:val="nil"/>
              <w:right w:val="nil"/>
            </w:tcBorders>
            <w:shd w:val="clear" w:color="000000" w:fill="FFFFFF"/>
            <w:noWrap/>
            <w:vAlign w:val="center"/>
            <w:hideMark/>
          </w:tcPr>
          <w:p w14:paraId="137577C0"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Hedge Funds</w:t>
            </w:r>
          </w:p>
        </w:tc>
        <w:tc>
          <w:tcPr>
            <w:tcW w:w="1305" w:type="dxa"/>
            <w:tcBorders>
              <w:top w:val="nil"/>
              <w:left w:val="nil"/>
              <w:bottom w:val="nil"/>
              <w:right w:val="nil"/>
            </w:tcBorders>
            <w:shd w:val="clear" w:color="000000" w:fill="FFFFFF"/>
            <w:noWrap/>
            <w:vAlign w:val="bottom"/>
            <w:hideMark/>
          </w:tcPr>
          <w:p w14:paraId="1C7FB5A7" w14:textId="77777777" w:rsidR="00721CFD" w:rsidRPr="00A93FB3" w:rsidRDefault="00721CFD" w:rsidP="007B5BB3">
            <w:pPr>
              <w:jc w:val="center"/>
              <w:rPr>
                <w:rFonts w:ascii="Calibri" w:eastAsia="Times New Roman" w:hAnsi="Calibri" w:cs="Calibri"/>
              </w:rPr>
            </w:pPr>
            <w:r w:rsidRPr="005554D7">
              <w:rPr>
                <w:rFonts w:ascii="Calibri" w:hAnsi="Calibri" w:cs="Calibri"/>
              </w:rPr>
              <w:t>7.0%</w:t>
            </w:r>
          </w:p>
        </w:tc>
        <w:tc>
          <w:tcPr>
            <w:tcW w:w="1593" w:type="dxa"/>
            <w:tcBorders>
              <w:top w:val="nil"/>
              <w:left w:val="nil"/>
              <w:bottom w:val="nil"/>
              <w:right w:val="nil"/>
            </w:tcBorders>
            <w:shd w:val="clear" w:color="000000" w:fill="FFFFFF"/>
            <w:noWrap/>
            <w:vAlign w:val="bottom"/>
            <w:hideMark/>
          </w:tcPr>
          <w:p w14:paraId="6A688448" w14:textId="77777777" w:rsidR="00721CFD" w:rsidRPr="001D107F" w:rsidRDefault="00721CFD" w:rsidP="007B5BB3">
            <w:pPr>
              <w:jc w:val="center"/>
              <w:rPr>
                <w:rFonts w:ascii="Calibri" w:eastAsia="Times New Roman" w:hAnsi="Calibri" w:cs="Calibri"/>
                <w:color w:val="FF0000"/>
              </w:rPr>
            </w:pPr>
            <w:r>
              <w:rPr>
                <w:rFonts w:ascii="Calibri" w:hAnsi="Calibri" w:cs="Calibri"/>
              </w:rPr>
              <w:t>3.80%</w:t>
            </w:r>
          </w:p>
        </w:tc>
        <w:tc>
          <w:tcPr>
            <w:tcW w:w="1305" w:type="dxa"/>
            <w:tcBorders>
              <w:top w:val="nil"/>
              <w:left w:val="nil"/>
              <w:bottom w:val="nil"/>
              <w:right w:val="nil"/>
            </w:tcBorders>
            <w:shd w:val="clear" w:color="auto" w:fill="D9D9D9" w:themeFill="background1" w:themeFillShade="D9"/>
            <w:noWrap/>
            <w:vAlign w:val="bottom"/>
            <w:hideMark/>
          </w:tcPr>
          <w:p w14:paraId="46A7BC56" w14:textId="77777777" w:rsidR="00721CFD" w:rsidRPr="004A41D4" w:rsidRDefault="00721CFD" w:rsidP="007B5BB3">
            <w:pPr>
              <w:jc w:val="center"/>
              <w:rPr>
                <w:rFonts w:ascii="Calibri" w:eastAsia="Times New Roman" w:hAnsi="Calibri" w:cs="Calibri"/>
              </w:rPr>
            </w:pPr>
            <w:r>
              <w:rPr>
                <w:rFonts w:ascii="Calibri" w:hAnsi="Calibri" w:cs="Calibri"/>
              </w:rPr>
              <w:t>7.0%</w:t>
            </w:r>
          </w:p>
        </w:tc>
        <w:tc>
          <w:tcPr>
            <w:tcW w:w="1628" w:type="dxa"/>
            <w:tcBorders>
              <w:top w:val="nil"/>
              <w:left w:val="nil"/>
              <w:bottom w:val="nil"/>
              <w:right w:val="nil"/>
            </w:tcBorders>
            <w:shd w:val="clear" w:color="auto" w:fill="D9D9D9" w:themeFill="background1" w:themeFillShade="D9"/>
            <w:noWrap/>
            <w:vAlign w:val="bottom"/>
            <w:hideMark/>
          </w:tcPr>
          <w:p w14:paraId="2BF10496" w14:textId="77777777" w:rsidR="00721CFD" w:rsidRPr="004A41D4" w:rsidRDefault="00721CFD" w:rsidP="007B5BB3">
            <w:pPr>
              <w:jc w:val="center"/>
              <w:rPr>
                <w:rFonts w:ascii="Calibri" w:eastAsia="Times New Roman" w:hAnsi="Calibri" w:cs="Calibri"/>
              </w:rPr>
            </w:pPr>
            <w:r>
              <w:rPr>
                <w:rFonts w:ascii="Calibri" w:hAnsi="Calibri" w:cs="Calibri"/>
              </w:rPr>
              <w:t>3.10%</w:t>
            </w:r>
          </w:p>
        </w:tc>
      </w:tr>
      <w:tr w:rsidR="00721CFD" w:rsidRPr="00F65869" w14:paraId="2656DFBF" w14:textId="77777777" w:rsidTr="007B5BB3">
        <w:trPr>
          <w:trHeight w:val="300"/>
          <w:jc w:val="center"/>
        </w:trPr>
        <w:tc>
          <w:tcPr>
            <w:tcW w:w="3529" w:type="dxa"/>
            <w:tcBorders>
              <w:top w:val="single" w:sz="4" w:space="0" w:color="44546A"/>
              <w:left w:val="nil"/>
              <w:bottom w:val="double" w:sz="6" w:space="0" w:color="44546A"/>
              <w:right w:val="nil"/>
            </w:tcBorders>
            <w:shd w:val="clear" w:color="000000" w:fill="FFFFFF"/>
            <w:noWrap/>
            <w:vAlign w:val="bottom"/>
            <w:hideMark/>
          </w:tcPr>
          <w:p w14:paraId="20F35DED"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Total</w:t>
            </w:r>
          </w:p>
        </w:tc>
        <w:tc>
          <w:tcPr>
            <w:tcW w:w="1305" w:type="dxa"/>
            <w:tcBorders>
              <w:top w:val="single" w:sz="4" w:space="0" w:color="44546A"/>
              <w:left w:val="nil"/>
              <w:bottom w:val="double" w:sz="6" w:space="0" w:color="44546A"/>
              <w:right w:val="nil"/>
            </w:tcBorders>
            <w:shd w:val="clear" w:color="000000" w:fill="FFFFFF"/>
            <w:noWrap/>
            <w:vAlign w:val="bottom"/>
            <w:hideMark/>
          </w:tcPr>
          <w:p w14:paraId="336704D8" w14:textId="77777777" w:rsidR="00721CFD" w:rsidRPr="00F65869" w:rsidRDefault="00721CFD" w:rsidP="007B5BB3">
            <w:pPr>
              <w:jc w:val="center"/>
              <w:rPr>
                <w:rFonts w:ascii="Calibri" w:eastAsia="Times New Roman" w:hAnsi="Calibri" w:cs="Calibri"/>
                <w:color w:val="0D0D0D"/>
              </w:rPr>
            </w:pPr>
            <w:r w:rsidRPr="00F65869">
              <w:rPr>
                <w:rFonts w:ascii="Calibri" w:eastAsia="Times New Roman" w:hAnsi="Calibri" w:cs="Calibri"/>
                <w:color w:val="0D0D0D"/>
              </w:rPr>
              <w:t>100%</w:t>
            </w:r>
          </w:p>
        </w:tc>
        <w:tc>
          <w:tcPr>
            <w:tcW w:w="1593" w:type="dxa"/>
            <w:tcBorders>
              <w:top w:val="nil"/>
              <w:left w:val="nil"/>
              <w:bottom w:val="nil"/>
              <w:right w:val="nil"/>
            </w:tcBorders>
            <w:shd w:val="clear" w:color="000000" w:fill="FFFFFF"/>
            <w:noWrap/>
            <w:vAlign w:val="bottom"/>
            <w:hideMark/>
          </w:tcPr>
          <w:p w14:paraId="1231B1B5" w14:textId="77777777" w:rsidR="00721CFD" w:rsidRPr="00F65869" w:rsidRDefault="00721CFD" w:rsidP="007B5BB3">
            <w:pPr>
              <w:jc w:val="center"/>
              <w:rPr>
                <w:rFonts w:ascii="Calibri" w:eastAsia="Times New Roman" w:hAnsi="Calibri" w:cs="Calibri"/>
                <w:color w:val="0D0D0D"/>
              </w:rPr>
            </w:pPr>
            <w:r w:rsidRPr="00F65869">
              <w:rPr>
                <w:rFonts w:ascii="Calibri" w:eastAsia="Times New Roman" w:hAnsi="Calibri" w:cs="Calibri"/>
                <w:color w:val="0D0D0D"/>
              </w:rPr>
              <w:t> </w:t>
            </w:r>
          </w:p>
        </w:tc>
        <w:tc>
          <w:tcPr>
            <w:tcW w:w="1305" w:type="dxa"/>
            <w:tcBorders>
              <w:top w:val="single" w:sz="4" w:space="0" w:color="44546A"/>
              <w:left w:val="nil"/>
              <w:bottom w:val="double" w:sz="6" w:space="0" w:color="44546A"/>
              <w:right w:val="nil"/>
            </w:tcBorders>
            <w:shd w:val="clear" w:color="auto" w:fill="D9D9D9" w:themeFill="background1" w:themeFillShade="D9"/>
            <w:noWrap/>
            <w:vAlign w:val="bottom"/>
            <w:hideMark/>
          </w:tcPr>
          <w:p w14:paraId="177B1B10" w14:textId="77777777" w:rsidR="00721CFD" w:rsidRPr="00F65869" w:rsidRDefault="00721CFD" w:rsidP="007B5BB3">
            <w:pPr>
              <w:jc w:val="center"/>
              <w:rPr>
                <w:rFonts w:ascii="Calibri" w:eastAsia="Times New Roman" w:hAnsi="Calibri" w:cs="Calibri"/>
                <w:color w:val="0D0D0D"/>
              </w:rPr>
            </w:pPr>
            <w:r w:rsidRPr="00F65869">
              <w:rPr>
                <w:rFonts w:ascii="Calibri" w:eastAsia="Times New Roman" w:hAnsi="Calibri" w:cs="Calibri"/>
                <w:color w:val="0D0D0D"/>
              </w:rPr>
              <w:t>100%</w:t>
            </w:r>
          </w:p>
        </w:tc>
        <w:tc>
          <w:tcPr>
            <w:tcW w:w="1628" w:type="dxa"/>
            <w:tcBorders>
              <w:top w:val="nil"/>
              <w:left w:val="nil"/>
              <w:bottom w:val="nil"/>
              <w:right w:val="nil"/>
            </w:tcBorders>
            <w:shd w:val="clear" w:color="auto" w:fill="D9D9D9" w:themeFill="background1" w:themeFillShade="D9"/>
            <w:noWrap/>
            <w:vAlign w:val="bottom"/>
            <w:hideMark/>
          </w:tcPr>
          <w:p w14:paraId="68C9F207" w14:textId="77777777" w:rsidR="00721CFD" w:rsidRPr="00F65869" w:rsidRDefault="00721CFD" w:rsidP="007B5BB3">
            <w:pPr>
              <w:jc w:val="center"/>
              <w:rPr>
                <w:rFonts w:ascii="Calibri" w:eastAsia="Times New Roman" w:hAnsi="Calibri" w:cs="Calibri"/>
                <w:color w:val="0D0D0D"/>
              </w:rPr>
            </w:pPr>
            <w:r w:rsidRPr="00F65869">
              <w:rPr>
                <w:rFonts w:ascii="Calibri" w:eastAsia="Times New Roman" w:hAnsi="Calibri" w:cs="Calibri"/>
                <w:color w:val="0D0D0D"/>
              </w:rPr>
              <w:t> </w:t>
            </w:r>
          </w:p>
        </w:tc>
      </w:tr>
    </w:tbl>
    <w:p w14:paraId="6DD256C2" w14:textId="75A9143F" w:rsidR="00721CFD" w:rsidRDefault="00721CFD" w:rsidP="00721CFD">
      <w:pPr>
        <w:spacing w:before="240" w:line="259" w:lineRule="auto"/>
        <w:rPr>
          <w:rFonts w:eastAsiaTheme="majorEastAsia" w:cstheme="minorHAnsi"/>
          <w:b/>
          <w:i/>
          <w:iCs/>
          <w:smallCaps/>
          <w:noProof/>
          <w:color w:val="000000" w:themeColor="text1"/>
          <w:sz w:val="26"/>
          <w:szCs w:val="26"/>
          <w:u w:color="5B9BD5"/>
        </w:rPr>
      </w:pPr>
      <w:r w:rsidRPr="00F54559">
        <w:rPr>
          <w:rFonts w:eastAsia="Times New Roman" w:cstheme="minorHAnsi"/>
          <w:b/>
          <w:i/>
          <w:spacing w:val="-1"/>
          <w:sz w:val="24"/>
        </w:rPr>
        <w:t>Discount Rate</w:t>
      </w:r>
      <w:r w:rsidRPr="00F54559">
        <w:rPr>
          <w:rFonts w:eastAsia="Times New Roman" w:cstheme="minorHAnsi"/>
          <w:b/>
          <w:spacing w:val="-1"/>
          <w:sz w:val="24"/>
        </w:rPr>
        <w:t>:</w:t>
      </w:r>
      <w:r w:rsidRPr="00F54559">
        <w:rPr>
          <w:rFonts w:eastAsia="Times New Roman" w:cstheme="minorHAnsi"/>
          <w:spacing w:val="-1"/>
          <w:sz w:val="24"/>
          <w:szCs w:val="24"/>
        </w:rPr>
        <w:t xml:space="preserve"> </w:t>
      </w:r>
      <w:r w:rsidRPr="00F54559">
        <w:rPr>
          <w:rFonts w:cstheme="minorHAnsi"/>
          <w:sz w:val="24"/>
          <w:szCs w:val="24"/>
        </w:rPr>
        <w:t>Projected benefit payments are required to be discounted to their actuarial present value using the single rate that reflects (1) a long-term expected rate of return on OPEB Plan investments to the extent that the OPEB Plan’s fiduciary net position is projected to be sufficient to make projected benefit payments and OPEB Plan assets are expected to be invested using a strategy to achieve that return and (2) a tax-exempt, high-quality municipal bond rate to the extent that the conditions for use of the long-term expected rate of return are not met.</w:t>
      </w:r>
    </w:p>
    <w:p w14:paraId="2B7F7E79" w14:textId="77777777" w:rsidR="00B4145F" w:rsidRPr="00F54559" w:rsidDel="00B4145F" w:rsidRDefault="00B4145F" w:rsidP="00C95891">
      <w:pPr>
        <w:tabs>
          <w:tab w:val="left" w:pos="900"/>
        </w:tabs>
        <w:ind w:right="-7"/>
        <w:rPr>
          <w:rFonts w:cstheme="minorHAnsi"/>
          <w:color w:val="222222"/>
          <w:sz w:val="24"/>
          <w:shd w:val="clear" w:color="auto" w:fill="FFFFFF"/>
        </w:rPr>
      </w:pPr>
    </w:p>
    <w:p w14:paraId="658E173B" w14:textId="67BA8052" w:rsidR="00721CFD" w:rsidRPr="00F54559" w:rsidRDefault="00721CFD" w:rsidP="0007776B">
      <w:pPr>
        <w:spacing w:after="160" w:line="259" w:lineRule="auto"/>
        <w:rPr>
          <w:rFonts w:eastAsia="Times New Roman" w:cstheme="minorHAnsi"/>
          <w:spacing w:val="-1"/>
          <w:sz w:val="24"/>
        </w:rPr>
      </w:pPr>
      <w:r w:rsidRPr="00F54559">
        <w:rPr>
          <w:rFonts w:eastAsia="Times New Roman" w:cstheme="minorHAnsi"/>
          <w:spacing w:val="-1"/>
          <w:sz w:val="24"/>
        </w:rPr>
        <w:t>The discount rate used to measure the total OPEB liability at the measurement date</w:t>
      </w:r>
      <w:r>
        <w:rPr>
          <w:rFonts w:eastAsia="Times New Roman" w:cstheme="minorHAnsi"/>
          <w:spacing w:val="-1"/>
          <w:sz w:val="24"/>
        </w:rPr>
        <w:t>s of June 30, 2022 and 2021 was</w:t>
      </w:r>
      <w:r w:rsidRPr="00F54559">
        <w:rPr>
          <w:rFonts w:eastAsia="Times New Roman" w:cstheme="minorHAnsi"/>
          <w:spacing w:val="-1"/>
          <w:sz w:val="24"/>
        </w:rPr>
        <w:t xml:space="preserve"> 7.</w:t>
      </w:r>
      <w:r>
        <w:rPr>
          <w:rFonts w:eastAsia="Times New Roman" w:cstheme="minorHAnsi"/>
          <w:spacing w:val="-1"/>
          <w:sz w:val="24"/>
        </w:rPr>
        <w:t>2</w:t>
      </w:r>
      <w:r w:rsidRPr="00F54559">
        <w:rPr>
          <w:rFonts w:eastAsia="Times New Roman" w:cstheme="minorHAnsi"/>
          <w:spacing w:val="-1"/>
          <w:sz w:val="24"/>
        </w:rPr>
        <w:t>5%</w:t>
      </w:r>
      <w:r>
        <w:rPr>
          <w:rFonts w:eastAsia="Times New Roman" w:cstheme="minorHAnsi"/>
          <w:spacing w:val="-1"/>
          <w:sz w:val="24"/>
        </w:rPr>
        <w:t>.</w:t>
      </w:r>
      <w:r w:rsidRPr="00F54559">
        <w:rPr>
          <w:rFonts w:eastAsia="Times New Roman" w:cstheme="minorHAnsi"/>
          <w:spacing w:val="-1"/>
          <w:sz w:val="24"/>
        </w:rPr>
        <w:t xml:space="preserve"> The projection of cash flows used to determine the discount rate assumed that contributions from the System will be made in accordance with the OPEB Plan’s funding policy. Based on those assumptions, the OPEB Plan's fiduciary net position was projected to be available to make all projected future benefit payments of current plan members. Therefore, the long-term expected rate </w:t>
      </w:r>
      <w:r w:rsidRPr="004C21B8">
        <w:rPr>
          <w:rFonts w:eastAsia="Times New Roman" w:cstheme="minorHAnsi"/>
          <w:spacing w:val="-1"/>
          <w:sz w:val="24"/>
        </w:rPr>
        <w:t xml:space="preserve">of return </w:t>
      </w:r>
      <w:r w:rsidRPr="00F54559">
        <w:rPr>
          <w:rFonts w:eastAsia="Times New Roman" w:cstheme="minorHAnsi"/>
          <w:spacing w:val="-1"/>
          <w:sz w:val="24"/>
        </w:rPr>
        <w:t>on OPEB Plan investments was applied to all periods of projected benefit payments to determine the total OPEB liability.</w:t>
      </w:r>
    </w:p>
    <w:p w14:paraId="171E1318" w14:textId="55832218" w:rsidR="00373110" w:rsidRDefault="00373110" w:rsidP="00721CFD">
      <w:pPr>
        <w:tabs>
          <w:tab w:val="left" w:pos="900"/>
        </w:tabs>
        <w:ind w:right="-7"/>
        <w:rPr>
          <w:rFonts w:cstheme="minorHAnsi"/>
          <w:sz w:val="24"/>
        </w:rPr>
      </w:pPr>
      <w:r>
        <w:rPr>
          <w:rFonts w:cstheme="minorHAnsi"/>
          <w:sz w:val="24"/>
        </w:rPr>
        <w:br w:type="page"/>
      </w:r>
    </w:p>
    <w:p w14:paraId="2DF0BF90" w14:textId="77777777" w:rsidR="00373110" w:rsidRPr="00F54559" w:rsidRDefault="00373110" w:rsidP="00674D4D">
      <w:pPr>
        <w:spacing w:after="240" w:line="259" w:lineRule="auto"/>
        <w:rPr>
          <w:rFonts w:eastAsiaTheme="majorEastAsia" w:cstheme="minorHAnsi"/>
          <w:i/>
          <w:iCs/>
          <w:smallCaps/>
          <w:noProof/>
          <w:color w:val="000000" w:themeColor="text1"/>
          <w:szCs w:val="26"/>
          <w:u w:color="5B9BD5"/>
        </w:rPr>
      </w:pPr>
      <w:r w:rsidRPr="00F54559">
        <w:rPr>
          <w:rFonts w:eastAsiaTheme="majorEastAsia" w:cstheme="minorHAnsi"/>
          <w:b/>
          <w:i/>
          <w:iCs/>
          <w:smallCaps/>
          <w:noProof/>
          <w:color w:val="000000" w:themeColor="text1"/>
          <w:sz w:val="26"/>
          <w:szCs w:val="26"/>
          <w:u w:color="5B9BD5"/>
        </w:rPr>
        <w:lastRenderedPageBreak/>
        <w:t>14. POSTEMPLOYMENT HEALTH PLAN - CONTINUED</w:t>
      </w:r>
    </w:p>
    <w:p w14:paraId="77CF3F54" w14:textId="77777777" w:rsidR="00721CFD" w:rsidRPr="00F54559" w:rsidRDefault="00721CFD" w:rsidP="00721CFD">
      <w:pPr>
        <w:tabs>
          <w:tab w:val="left" w:pos="1080"/>
        </w:tabs>
        <w:spacing w:after="240"/>
        <w:ind w:right="-7"/>
        <w:rPr>
          <w:rFonts w:eastAsia="Times New Roman" w:cstheme="minorHAnsi"/>
          <w:sz w:val="24"/>
        </w:rPr>
      </w:pPr>
      <w:r w:rsidRPr="00F54559">
        <w:rPr>
          <w:rFonts w:eastAsia="Franklin Gothic Book" w:cstheme="minorHAnsi"/>
          <w:b/>
          <w:i/>
          <w:spacing w:val="-2"/>
          <w:sz w:val="24"/>
        </w:rPr>
        <w:t>S</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2"/>
          <w:sz w:val="24"/>
        </w:rPr>
        <w:t>t</w:t>
      </w:r>
      <w:r w:rsidRPr="00F54559">
        <w:rPr>
          <w:rFonts w:eastAsia="Franklin Gothic Book" w:cstheme="minorHAnsi"/>
          <w:b/>
          <w:i/>
          <w:sz w:val="24"/>
        </w:rPr>
        <w:t>ivi</w:t>
      </w:r>
      <w:r w:rsidRPr="00F54559">
        <w:rPr>
          <w:rFonts w:eastAsia="Franklin Gothic Book" w:cstheme="minorHAnsi"/>
          <w:b/>
          <w:i/>
          <w:spacing w:val="-1"/>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z w:val="24"/>
        </w:rPr>
        <w:t>of</w:t>
      </w:r>
      <w:r w:rsidRPr="00F54559">
        <w:rPr>
          <w:rFonts w:eastAsia="Franklin Gothic Book" w:cstheme="minorHAnsi"/>
          <w:b/>
          <w:i/>
          <w:spacing w:val="-6"/>
          <w:sz w:val="24"/>
        </w:rPr>
        <w:t xml:space="preserve"> </w:t>
      </w:r>
      <w:r w:rsidRPr="00F54559">
        <w:rPr>
          <w:rFonts w:eastAsia="Franklin Gothic Book" w:cstheme="minorHAnsi"/>
          <w:b/>
          <w:i/>
          <w:spacing w:val="-1"/>
          <w:sz w:val="24"/>
        </w:rPr>
        <w:t>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OPEB</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d</w:t>
      </w:r>
      <w:r w:rsidRPr="00F54559">
        <w:rPr>
          <w:rFonts w:eastAsia="Franklin Gothic Book" w:cstheme="minorHAnsi"/>
          <w:b/>
          <w:i/>
          <w:sz w:val="24"/>
        </w:rPr>
        <w:t>i</w:t>
      </w:r>
      <w:r w:rsidRPr="00F54559">
        <w:rPr>
          <w:rFonts w:eastAsia="Franklin Gothic Book" w:cstheme="minorHAnsi"/>
          <w:b/>
          <w:i/>
          <w:spacing w:val="-1"/>
          <w:sz w:val="24"/>
        </w:rPr>
        <w:t>sc</w:t>
      </w:r>
      <w:r w:rsidRPr="00F54559">
        <w:rPr>
          <w:rFonts w:eastAsia="Franklin Gothic Book" w:cstheme="minorHAnsi"/>
          <w:b/>
          <w:i/>
          <w:sz w:val="24"/>
        </w:rPr>
        <w:t>ou</w:t>
      </w:r>
      <w:r w:rsidRPr="00F54559">
        <w:rPr>
          <w:rFonts w:eastAsia="Franklin Gothic Book" w:cstheme="minorHAnsi"/>
          <w:b/>
          <w:i/>
          <w:spacing w:val="-2"/>
          <w:sz w:val="24"/>
        </w:rPr>
        <w:t>n</w:t>
      </w:r>
      <w:r w:rsidRPr="00F54559">
        <w:rPr>
          <w:rFonts w:eastAsia="Franklin Gothic Book" w:cstheme="minorHAnsi"/>
          <w:b/>
          <w:i/>
          <w:sz w:val="24"/>
        </w:rPr>
        <w:t>t</w:t>
      </w:r>
      <w:r w:rsidRPr="00F54559">
        <w:rPr>
          <w:rFonts w:eastAsia="Franklin Gothic Book" w:cstheme="minorHAnsi"/>
          <w:b/>
          <w:i/>
          <w:spacing w:val="-6"/>
          <w:sz w:val="24"/>
        </w:rPr>
        <w:t xml:space="preserve"> </w:t>
      </w:r>
      <w:r w:rsidRPr="00F54559">
        <w:rPr>
          <w:rFonts w:eastAsia="Franklin Gothic Book" w:cstheme="minorHAnsi"/>
          <w:b/>
          <w:i/>
          <w:sz w:val="24"/>
        </w:rPr>
        <w:t>r</w:t>
      </w:r>
      <w:r w:rsidRPr="00F54559">
        <w:rPr>
          <w:rFonts w:eastAsia="Franklin Gothic Book" w:cstheme="minorHAnsi"/>
          <w:b/>
          <w:i/>
          <w:spacing w:val="-2"/>
          <w:sz w:val="24"/>
        </w:rPr>
        <w:t>at</w:t>
      </w:r>
      <w:r w:rsidRPr="00F54559">
        <w:rPr>
          <w:rFonts w:eastAsia="Franklin Gothic Book" w:cstheme="minorHAnsi"/>
          <w:b/>
          <w:i/>
          <w:sz w:val="24"/>
        </w:rPr>
        <w:t>e:</w:t>
      </w:r>
      <w:r w:rsidRPr="00F54559">
        <w:rPr>
          <w:rFonts w:eastAsia="Franklin Gothic Book" w:cstheme="minorHAnsi"/>
          <w:i/>
          <w:sz w:val="24"/>
        </w:rPr>
        <w:t xml:space="preserve">  </w:t>
      </w:r>
      <w:r w:rsidRPr="00F54559">
        <w:rPr>
          <w:rFonts w:eastAsia="Times New Roman" w:cstheme="minorHAnsi"/>
          <w:spacing w:val="-1"/>
          <w:sz w:val="24"/>
        </w:rPr>
        <w:t>T</w:t>
      </w:r>
      <w:r w:rsidRPr="00F54559">
        <w:rPr>
          <w:rFonts w:eastAsia="Times New Roman" w:cstheme="minorHAnsi"/>
          <w:sz w:val="24"/>
        </w:rPr>
        <w:t>he 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
          <w:sz w:val="24"/>
        </w:rPr>
        <w:t xml:space="preserv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z w:val="24"/>
        </w:rPr>
        <w:t xml:space="preserve">net </w:t>
      </w:r>
      <w:r w:rsidRPr="00F54559">
        <w:rPr>
          <w:rFonts w:eastAsia="Times New Roman" w:cstheme="minorHAnsi"/>
          <w:spacing w:val="-1"/>
          <w:sz w:val="24"/>
        </w:rPr>
        <w:t>OPEB</w:t>
      </w:r>
      <w:r w:rsidRPr="00F54559">
        <w:rPr>
          <w:rFonts w:eastAsia="Times New Roman" w:cstheme="minorHAnsi"/>
          <w:spacing w:val="1"/>
          <w:sz w:val="24"/>
        </w:rPr>
        <w:t xml:space="preserve"> </w:t>
      </w:r>
      <w:r w:rsidRPr="00F54559">
        <w:rPr>
          <w:rFonts w:eastAsia="Times New Roman" w:cstheme="minorHAnsi"/>
          <w:sz w:val="24"/>
        </w:rPr>
        <w:t>liability</w:t>
      </w:r>
      <w:r w:rsidRPr="00F54559">
        <w:rPr>
          <w:rFonts w:eastAsia="Times New Roman" w:cstheme="minorHAnsi"/>
          <w:spacing w:val="-1"/>
          <w:sz w:val="24"/>
        </w:rPr>
        <w:t xml:space="preserve"> as of June 30, </w:t>
      </w:r>
      <w:r w:rsidRPr="00F54559">
        <w:rPr>
          <w:rFonts w:eastAsia="Times New Roman" w:cstheme="minorHAnsi"/>
          <w:sz w:val="24"/>
        </w:rPr>
        <w:t>calcula</w:t>
      </w:r>
      <w:r w:rsidRPr="00F54559">
        <w:rPr>
          <w:rFonts w:eastAsia="Times New Roman" w:cstheme="minorHAnsi"/>
          <w:spacing w:val="1"/>
          <w:sz w:val="24"/>
        </w:rPr>
        <w:t>t</w:t>
      </w:r>
      <w:r w:rsidRPr="00F54559">
        <w:rPr>
          <w:rFonts w:eastAsia="Times New Roman" w:cstheme="minorHAnsi"/>
          <w:sz w:val="24"/>
        </w:rPr>
        <w:t>ed</w:t>
      </w:r>
      <w:r w:rsidRPr="00F54559">
        <w:rPr>
          <w:rFonts w:eastAsia="Times New Roman" w:cstheme="minorHAnsi"/>
          <w:spacing w:val="2"/>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 the</w:t>
      </w:r>
      <w:r w:rsidRPr="00F54559">
        <w:rPr>
          <w:rFonts w:eastAsia="Times New Roman" w:cstheme="minorHAnsi"/>
          <w:spacing w:val="1"/>
          <w:sz w:val="24"/>
        </w:rPr>
        <w:t xml:space="preserve"> respective current </w:t>
      </w:r>
      <w:r w:rsidRPr="00F54559">
        <w:rPr>
          <w:rFonts w:eastAsia="Times New Roman" w:cstheme="minorHAnsi"/>
          <w:sz w:val="24"/>
        </w:rPr>
        <w:t>discount</w:t>
      </w:r>
      <w:r w:rsidRPr="00F54559">
        <w:rPr>
          <w:rFonts w:eastAsia="Times New Roman" w:cstheme="minorHAnsi"/>
          <w:spacing w:val="1"/>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 as</w:t>
      </w:r>
      <w:r w:rsidRPr="00F54559">
        <w:rPr>
          <w:rFonts w:eastAsia="Times New Roman" w:cstheme="minorHAnsi"/>
          <w:spacing w:val="1"/>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 as</w:t>
      </w:r>
      <w:r w:rsidRPr="00F54559">
        <w:rPr>
          <w:rFonts w:eastAsia="Times New Roman" w:cstheme="minorHAnsi"/>
          <w:spacing w:val="1"/>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w:t>
      </w:r>
      <w:r w:rsidRPr="00F54559">
        <w:rPr>
          <w:rFonts w:eastAsia="Times New Roman" w:cstheme="minorHAnsi"/>
          <w:spacing w:val="41"/>
          <w:sz w:val="24"/>
        </w:rPr>
        <w:t xml:space="preserve"> </w:t>
      </w:r>
      <w:r w:rsidRPr="00F54559">
        <w:rPr>
          <w:rFonts w:eastAsia="Times New Roman" w:cstheme="minorHAnsi"/>
          <w:sz w:val="24"/>
        </w:rPr>
        <w:t>a</w:t>
      </w:r>
      <w:r w:rsidRPr="00F54559">
        <w:rPr>
          <w:rFonts w:eastAsia="Times New Roman" w:cstheme="minorHAnsi"/>
          <w:spacing w:val="39"/>
          <w:sz w:val="24"/>
        </w:rPr>
        <w:t xml:space="preserve"> </w:t>
      </w:r>
      <w:r w:rsidRPr="00F54559">
        <w:rPr>
          <w:rFonts w:eastAsia="Times New Roman" w:cstheme="minorHAnsi"/>
          <w:sz w:val="24"/>
        </w:rPr>
        <w:t>discount</w:t>
      </w:r>
      <w:r w:rsidRPr="00F54559">
        <w:rPr>
          <w:rFonts w:eastAsia="Times New Roman" w:cstheme="minorHAnsi"/>
          <w:spacing w:val="42"/>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sidRPr="00F54559">
        <w:rPr>
          <w:rFonts w:eastAsia="Times New Roman" w:cstheme="minorHAnsi"/>
          <w:spacing w:val="40"/>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41"/>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39"/>
          <w:sz w:val="24"/>
        </w:rPr>
        <w:t xml:space="preserve"> </w:t>
      </w:r>
      <w:r w:rsidRPr="00F54559">
        <w:rPr>
          <w:rFonts w:eastAsia="Times New Roman" w:cstheme="minorHAnsi"/>
          <w:sz w:val="24"/>
        </w:rPr>
        <w:t>l</w:t>
      </w:r>
      <w:r w:rsidRPr="00F54559">
        <w:rPr>
          <w:rFonts w:eastAsia="Times New Roman" w:cstheme="minorHAnsi"/>
          <w:spacing w:val="-1"/>
          <w:sz w:val="24"/>
        </w:rPr>
        <w:t>o</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r</w:t>
      </w:r>
      <w:r w:rsidRPr="00F54559">
        <w:rPr>
          <w:rFonts w:eastAsia="Times New Roman" w:cstheme="minorHAnsi"/>
          <w:w w:val="99"/>
          <w:sz w:val="24"/>
        </w:rPr>
        <w:t xml:space="preserve"> </w:t>
      </w:r>
      <w:r w:rsidRPr="00F54559">
        <w:rPr>
          <w:rFonts w:eastAsia="Times New Roman" w:cstheme="minorHAnsi"/>
          <w:sz w:val="24"/>
        </w:rPr>
        <w:t>or</w:t>
      </w:r>
      <w:r w:rsidRPr="00F54559">
        <w:rPr>
          <w:rFonts w:eastAsia="Times New Roman" w:cstheme="minorHAnsi"/>
          <w:spacing w:val="-7"/>
          <w:sz w:val="24"/>
        </w:rPr>
        <w:t xml:space="preserve"> </w:t>
      </w:r>
      <w:r w:rsidRPr="00F54559">
        <w:rPr>
          <w:rFonts w:eastAsia="Times New Roman" w:cstheme="minorHAnsi"/>
          <w:sz w:val="24"/>
        </w:rPr>
        <w:t>1-</w:t>
      </w:r>
      <w:r w:rsidRPr="00F54559">
        <w:rPr>
          <w:rFonts w:eastAsia="Times New Roman" w:cstheme="minorHAnsi"/>
          <w:spacing w:val="-1"/>
          <w:sz w:val="24"/>
        </w:rPr>
        <w:t>p</w:t>
      </w:r>
      <w:r w:rsidRPr="00F54559">
        <w:rPr>
          <w:rFonts w:eastAsia="Times New Roman" w:cstheme="minorHAnsi"/>
          <w:sz w:val="24"/>
        </w:rPr>
        <w:t>e</w:t>
      </w:r>
      <w:r w:rsidRPr="00F54559">
        <w:rPr>
          <w:rFonts w:eastAsia="Times New Roman" w:cstheme="minorHAnsi"/>
          <w:spacing w:val="-2"/>
          <w:sz w:val="24"/>
        </w:rPr>
        <w:t>r</w:t>
      </w:r>
      <w:r w:rsidRPr="00F54559">
        <w:rPr>
          <w:rFonts w:eastAsia="Times New Roman" w:cstheme="minorHAnsi"/>
          <w:sz w:val="24"/>
        </w:rPr>
        <w:t>centage</w:t>
      </w:r>
      <w:r w:rsidRPr="00F54559">
        <w:rPr>
          <w:rFonts w:eastAsia="Times New Roman" w:cstheme="minorHAnsi"/>
          <w:spacing w:val="-6"/>
          <w:sz w:val="24"/>
        </w:rPr>
        <w:t xml:space="preserve"> </w:t>
      </w:r>
      <w:r w:rsidRPr="00F54559">
        <w:rPr>
          <w:rFonts w:eastAsia="Times New Roman" w:cstheme="minorHAnsi"/>
          <w:spacing w:val="-1"/>
          <w:sz w:val="24"/>
        </w:rPr>
        <w:t>p</w:t>
      </w:r>
      <w:r w:rsidRPr="00F54559">
        <w:rPr>
          <w:rFonts w:eastAsia="Times New Roman" w:cstheme="minorHAnsi"/>
          <w:sz w:val="24"/>
        </w:rPr>
        <w:t>oint</w:t>
      </w:r>
      <w:r w:rsidRPr="00F54559">
        <w:rPr>
          <w:rFonts w:eastAsia="Times New Roman" w:cstheme="minorHAnsi"/>
          <w:spacing w:val="-6"/>
          <w:sz w:val="24"/>
        </w:rPr>
        <w:t xml:space="preserve"> </w:t>
      </w:r>
      <w:r w:rsidRPr="00F54559">
        <w:rPr>
          <w:rFonts w:eastAsia="Times New Roman" w:cstheme="minorHAnsi"/>
          <w:sz w:val="24"/>
        </w:rPr>
        <w:t xml:space="preserve">higher </w:t>
      </w:r>
      <w:r w:rsidRPr="00F54559">
        <w:rPr>
          <w:rFonts w:eastAsia="Times New Roman" w:cstheme="minorHAnsi"/>
          <w:spacing w:val="1"/>
          <w:sz w:val="24"/>
        </w:rPr>
        <w:t>t</w:t>
      </w:r>
      <w:r w:rsidRPr="00F54559">
        <w:rPr>
          <w:rFonts w:eastAsia="Times New Roman" w:cstheme="minorHAnsi"/>
          <w:sz w:val="24"/>
        </w:rPr>
        <w:t>han</w:t>
      </w:r>
      <w:r w:rsidRPr="00F54559">
        <w:rPr>
          <w:rFonts w:eastAsia="Times New Roman" w:cstheme="minorHAnsi"/>
          <w:spacing w:val="-6"/>
          <w:sz w:val="24"/>
        </w:rPr>
        <w:t xml:space="preserve"> </w:t>
      </w:r>
      <w:r w:rsidRPr="00F54559">
        <w:rPr>
          <w:rFonts w:eastAsia="Times New Roman" w:cstheme="minorHAnsi"/>
          <w:sz w:val="24"/>
        </w:rPr>
        <w:t>the</w:t>
      </w:r>
      <w:r w:rsidRPr="00F54559">
        <w:rPr>
          <w:rFonts w:eastAsia="Times New Roman" w:cstheme="minorHAnsi"/>
          <w:spacing w:val="-7"/>
          <w:sz w:val="24"/>
        </w:rPr>
        <w:t xml:space="preserve"> </w:t>
      </w:r>
      <w:r w:rsidRPr="00F54559">
        <w:rPr>
          <w:rFonts w:eastAsia="Times New Roman" w:cstheme="minorHAnsi"/>
          <w:spacing w:val="1"/>
          <w:sz w:val="24"/>
        </w:rPr>
        <w:t>c</w:t>
      </w:r>
      <w:r w:rsidRPr="00F54559">
        <w:rPr>
          <w:rFonts w:eastAsia="Times New Roman" w:cstheme="minorHAnsi"/>
          <w:sz w:val="24"/>
        </w:rPr>
        <w:t>u</w:t>
      </w:r>
      <w:r w:rsidRPr="00F54559">
        <w:rPr>
          <w:rFonts w:eastAsia="Times New Roman" w:cstheme="minorHAnsi"/>
          <w:spacing w:val="-1"/>
          <w:sz w:val="24"/>
        </w:rPr>
        <w:t>rr</w:t>
      </w:r>
      <w:r w:rsidRPr="00F54559">
        <w:rPr>
          <w:rFonts w:eastAsia="Times New Roman" w:cstheme="minorHAnsi"/>
          <w:sz w:val="24"/>
        </w:rPr>
        <w:t>ent</w:t>
      </w:r>
      <w:r w:rsidRPr="00F54559">
        <w:rPr>
          <w:rFonts w:eastAsia="Times New Roman" w:cstheme="minorHAnsi"/>
          <w:spacing w:val="-6"/>
          <w:sz w:val="24"/>
        </w:rPr>
        <w:t xml:space="preserve"> </w:t>
      </w:r>
      <w:r w:rsidRPr="00F54559">
        <w:rPr>
          <w:rFonts w:eastAsia="Times New Roman" w:cstheme="minorHAnsi"/>
          <w:spacing w:val="-1"/>
          <w:sz w:val="24"/>
        </w:rPr>
        <w:t>r</w:t>
      </w:r>
      <w:r w:rsidRPr="00F54559">
        <w:rPr>
          <w:rFonts w:eastAsia="Times New Roman" w:cstheme="minorHAnsi"/>
          <w:sz w:val="24"/>
        </w:rPr>
        <w:t>a</w:t>
      </w:r>
      <w:r w:rsidRPr="00F54559">
        <w:rPr>
          <w:rFonts w:eastAsia="Times New Roman" w:cstheme="minorHAnsi"/>
          <w:spacing w:val="1"/>
          <w:sz w:val="24"/>
        </w:rPr>
        <w:t>t</w:t>
      </w:r>
      <w:r w:rsidRPr="00F54559">
        <w:rPr>
          <w:rFonts w:eastAsia="Times New Roman" w:cstheme="minorHAnsi"/>
          <w:sz w:val="24"/>
        </w:rPr>
        <w:t>e:</w:t>
      </w:r>
      <w:r>
        <w:rPr>
          <w:rFonts w:eastAsia="Times New Roman" w:cstheme="minorHAnsi"/>
          <w:sz w:val="24"/>
        </w:rPr>
        <w:fldChar w:fldCharType="begin"/>
      </w:r>
      <w:r>
        <w:rPr>
          <w:rFonts w:eastAsia="Times New Roman" w:cstheme="minorHAnsi"/>
          <w:sz w:val="24"/>
        </w:rPr>
        <w:fldChar w:fldCharType="end"/>
      </w:r>
    </w:p>
    <w:tbl>
      <w:tblPr>
        <w:tblW w:w="9090" w:type="dxa"/>
        <w:tblLayout w:type="fixed"/>
        <w:tblLook w:val="04A0" w:firstRow="1" w:lastRow="0" w:firstColumn="1" w:lastColumn="0" w:noHBand="0" w:noVBand="1"/>
      </w:tblPr>
      <w:tblGrid>
        <w:gridCol w:w="2160"/>
        <w:gridCol w:w="270"/>
        <w:gridCol w:w="900"/>
        <w:gridCol w:w="1080"/>
        <w:gridCol w:w="990"/>
        <w:gridCol w:w="270"/>
        <w:gridCol w:w="270"/>
        <w:gridCol w:w="810"/>
        <w:gridCol w:w="1170"/>
        <w:gridCol w:w="900"/>
        <w:gridCol w:w="270"/>
      </w:tblGrid>
      <w:tr w:rsidR="000D58D0" w:rsidRPr="00F65869" w14:paraId="2F1E824C" w14:textId="77777777" w:rsidTr="00286FC6">
        <w:trPr>
          <w:trHeight w:val="288"/>
          <w:tblHeader/>
        </w:trPr>
        <w:tc>
          <w:tcPr>
            <w:tcW w:w="2160" w:type="dxa"/>
            <w:tcBorders>
              <w:top w:val="nil"/>
              <w:left w:val="nil"/>
              <w:bottom w:val="nil"/>
              <w:right w:val="nil"/>
            </w:tcBorders>
            <w:shd w:val="clear" w:color="auto" w:fill="auto"/>
            <w:noWrap/>
            <w:vAlign w:val="bottom"/>
            <w:hideMark/>
          </w:tcPr>
          <w:p w14:paraId="64BD81E2" w14:textId="77777777" w:rsidR="000D58D0" w:rsidRPr="00F65869" w:rsidRDefault="000D58D0" w:rsidP="007B5BB3">
            <w:pPr>
              <w:rPr>
                <w:rFonts w:ascii="Times New Roman" w:eastAsia="Times New Roman" w:hAnsi="Times New Roman" w:cs="Times New Roman"/>
                <w:sz w:val="24"/>
                <w:szCs w:val="24"/>
              </w:rPr>
            </w:pPr>
          </w:p>
        </w:tc>
        <w:tc>
          <w:tcPr>
            <w:tcW w:w="270" w:type="dxa"/>
            <w:tcBorders>
              <w:top w:val="nil"/>
              <w:left w:val="nil"/>
              <w:bottom w:val="single" w:sz="4" w:space="0" w:color="auto"/>
              <w:right w:val="nil"/>
            </w:tcBorders>
            <w:shd w:val="clear" w:color="auto" w:fill="auto"/>
            <w:noWrap/>
            <w:vAlign w:val="bottom"/>
            <w:hideMark/>
          </w:tcPr>
          <w:p w14:paraId="181D4021" w14:textId="3233D2CD" w:rsidR="000D58D0" w:rsidRPr="00F65869" w:rsidRDefault="000D58D0" w:rsidP="007B5BB3">
            <w:pPr>
              <w:jc w:val="center"/>
              <w:rPr>
                <w:rFonts w:ascii="Calibri" w:eastAsia="Times New Roman" w:hAnsi="Calibri" w:cs="Calibri"/>
                <w:b/>
                <w:bCs/>
                <w:color w:val="0D0D0D"/>
              </w:rPr>
            </w:pPr>
          </w:p>
        </w:tc>
        <w:tc>
          <w:tcPr>
            <w:tcW w:w="2970" w:type="dxa"/>
            <w:gridSpan w:val="3"/>
            <w:tcBorders>
              <w:top w:val="nil"/>
              <w:left w:val="nil"/>
              <w:bottom w:val="single" w:sz="4" w:space="0" w:color="auto"/>
              <w:right w:val="nil"/>
            </w:tcBorders>
            <w:shd w:val="clear" w:color="auto" w:fill="auto"/>
            <w:vAlign w:val="bottom"/>
          </w:tcPr>
          <w:p w14:paraId="3531FAD2" w14:textId="092ADDE4" w:rsidR="000D58D0" w:rsidRPr="00F65869" w:rsidRDefault="000D58D0" w:rsidP="007B5BB3">
            <w:pPr>
              <w:jc w:val="center"/>
              <w:rPr>
                <w:rFonts w:ascii="Calibri" w:eastAsia="Times New Roman" w:hAnsi="Calibri" w:cs="Calibri"/>
                <w:b/>
                <w:bCs/>
                <w:color w:val="0D0D0D"/>
              </w:rPr>
            </w:pPr>
            <w:r w:rsidRPr="00F65869">
              <w:rPr>
                <w:rFonts w:ascii="Calibri" w:eastAsia="Times New Roman" w:hAnsi="Calibri" w:cs="Calibri"/>
                <w:b/>
                <w:bCs/>
                <w:color w:val="0D0D0D"/>
              </w:rPr>
              <w:t>June 30, 202</w:t>
            </w:r>
            <w:r>
              <w:rPr>
                <w:rFonts w:ascii="Calibri" w:eastAsia="Times New Roman" w:hAnsi="Calibri" w:cs="Calibri"/>
                <w:b/>
                <w:bCs/>
                <w:color w:val="0D0D0D"/>
              </w:rPr>
              <w:t>2</w:t>
            </w:r>
          </w:p>
        </w:tc>
        <w:tc>
          <w:tcPr>
            <w:tcW w:w="270" w:type="dxa"/>
            <w:tcBorders>
              <w:top w:val="nil"/>
              <w:left w:val="nil"/>
              <w:bottom w:val="single" w:sz="4" w:space="0" w:color="auto"/>
              <w:right w:val="nil"/>
            </w:tcBorders>
            <w:shd w:val="clear" w:color="auto" w:fill="auto"/>
            <w:vAlign w:val="bottom"/>
          </w:tcPr>
          <w:p w14:paraId="552CAB6B" w14:textId="08B4B8AB" w:rsidR="000D58D0" w:rsidRPr="00F65869" w:rsidRDefault="000D58D0" w:rsidP="007B5BB3">
            <w:pPr>
              <w:jc w:val="center"/>
              <w:rPr>
                <w:rFonts w:ascii="Calibri" w:eastAsia="Times New Roman" w:hAnsi="Calibri" w:cs="Calibri"/>
                <w:b/>
                <w:bCs/>
                <w:color w:val="0D0D0D"/>
              </w:rPr>
            </w:pPr>
          </w:p>
        </w:tc>
        <w:tc>
          <w:tcPr>
            <w:tcW w:w="270" w:type="dxa"/>
            <w:tcBorders>
              <w:top w:val="nil"/>
              <w:left w:val="nil"/>
              <w:bottom w:val="single" w:sz="4" w:space="0" w:color="auto"/>
              <w:right w:val="nil"/>
            </w:tcBorders>
            <w:shd w:val="clear" w:color="auto" w:fill="D9D9D9" w:themeFill="background1" w:themeFillShade="D9"/>
            <w:noWrap/>
            <w:vAlign w:val="bottom"/>
            <w:hideMark/>
          </w:tcPr>
          <w:p w14:paraId="79100CE2" w14:textId="51CB8F81" w:rsidR="000D58D0" w:rsidRPr="00F65869" w:rsidRDefault="000D58D0" w:rsidP="007B5BB3">
            <w:pPr>
              <w:jc w:val="center"/>
              <w:rPr>
                <w:rFonts w:ascii="Calibri" w:eastAsia="Times New Roman" w:hAnsi="Calibri" w:cs="Calibri"/>
                <w:b/>
                <w:bCs/>
                <w:color w:val="0D0D0D"/>
              </w:rPr>
            </w:pPr>
          </w:p>
        </w:tc>
        <w:tc>
          <w:tcPr>
            <w:tcW w:w="2880" w:type="dxa"/>
            <w:gridSpan w:val="3"/>
            <w:tcBorders>
              <w:top w:val="nil"/>
              <w:left w:val="nil"/>
              <w:bottom w:val="single" w:sz="4" w:space="0" w:color="auto"/>
              <w:right w:val="nil"/>
            </w:tcBorders>
            <w:shd w:val="clear" w:color="auto" w:fill="D9D9D9" w:themeFill="background1" w:themeFillShade="D9"/>
            <w:vAlign w:val="bottom"/>
          </w:tcPr>
          <w:p w14:paraId="77CB3C40" w14:textId="094D1EDC" w:rsidR="000D58D0" w:rsidRPr="00F65869" w:rsidRDefault="000D58D0" w:rsidP="007B5BB3">
            <w:pPr>
              <w:jc w:val="center"/>
              <w:rPr>
                <w:rFonts w:ascii="Calibri" w:eastAsia="Times New Roman" w:hAnsi="Calibri" w:cs="Calibri"/>
                <w:b/>
                <w:bCs/>
                <w:color w:val="0D0D0D"/>
              </w:rPr>
            </w:pPr>
            <w:r w:rsidRPr="00F65869">
              <w:rPr>
                <w:rFonts w:ascii="Calibri" w:eastAsia="Times New Roman" w:hAnsi="Calibri" w:cs="Calibri"/>
                <w:b/>
                <w:bCs/>
                <w:color w:val="0D0D0D"/>
              </w:rPr>
              <w:t>June 30, 20</w:t>
            </w:r>
            <w:r>
              <w:rPr>
                <w:rFonts w:ascii="Calibri" w:eastAsia="Times New Roman" w:hAnsi="Calibri" w:cs="Calibri"/>
                <w:b/>
                <w:bCs/>
                <w:color w:val="0D0D0D"/>
              </w:rPr>
              <w:t>21</w:t>
            </w:r>
          </w:p>
        </w:tc>
        <w:tc>
          <w:tcPr>
            <w:tcW w:w="270" w:type="dxa"/>
            <w:tcBorders>
              <w:top w:val="nil"/>
              <w:left w:val="nil"/>
              <w:bottom w:val="single" w:sz="4" w:space="0" w:color="auto"/>
              <w:right w:val="nil"/>
            </w:tcBorders>
            <w:shd w:val="clear" w:color="auto" w:fill="D9D9D9" w:themeFill="background1" w:themeFillShade="D9"/>
            <w:vAlign w:val="bottom"/>
          </w:tcPr>
          <w:p w14:paraId="2DB90C6D" w14:textId="08CB4483" w:rsidR="000D58D0" w:rsidRPr="00F65869" w:rsidRDefault="000D58D0" w:rsidP="007B5BB3">
            <w:pPr>
              <w:jc w:val="center"/>
              <w:rPr>
                <w:rFonts w:ascii="Calibri" w:eastAsia="Times New Roman" w:hAnsi="Calibri" w:cs="Calibri"/>
                <w:b/>
                <w:bCs/>
                <w:color w:val="0D0D0D"/>
              </w:rPr>
            </w:pPr>
          </w:p>
        </w:tc>
      </w:tr>
      <w:tr w:rsidR="00721CFD" w:rsidRPr="00F65869" w14:paraId="7CD009D4" w14:textId="77777777" w:rsidTr="00B57583">
        <w:trPr>
          <w:trHeight w:val="845"/>
          <w:tblHeader/>
        </w:trPr>
        <w:tc>
          <w:tcPr>
            <w:tcW w:w="2160" w:type="dxa"/>
            <w:tcBorders>
              <w:top w:val="nil"/>
              <w:left w:val="nil"/>
              <w:bottom w:val="nil"/>
              <w:right w:val="nil"/>
            </w:tcBorders>
            <w:shd w:val="clear" w:color="000000" w:fill="FFFFFF"/>
            <w:noWrap/>
            <w:vAlign w:val="bottom"/>
            <w:hideMark/>
          </w:tcPr>
          <w:p w14:paraId="40796923" w14:textId="77777777" w:rsidR="00721CFD" w:rsidRPr="00F65869" w:rsidRDefault="00721CFD" w:rsidP="007B5BB3">
            <w:pPr>
              <w:rPr>
                <w:rFonts w:ascii="Calibri" w:eastAsia="Times New Roman" w:hAnsi="Calibri" w:cs="Calibri"/>
                <w:b/>
                <w:bCs/>
                <w:color w:val="0D0D0D"/>
              </w:rPr>
            </w:pPr>
            <w:r w:rsidRPr="00F65869">
              <w:rPr>
                <w:rFonts w:ascii="Calibri" w:eastAsia="Times New Roman" w:hAnsi="Calibri" w:cs="Calibri"/>
                <w:b/>
                <w:bCs/>
                <w:color w:val="0D0D0D"/>
              </w:rPr>
              <w:t> </w:t>
            </w:r>
          </w:p>
        </w:tc>
        <w:tc>
          <w:tcPr>
            <w:tcW w:w="1170" w:type="dxa"/>
            <w:gridSpan w:val="2"/>
            <w:tcBorders>
              <w:top w:val="nil"/>
              <w:left w:val="nil"/>
              <w:bottom w:val="nil"/>
              <w:right w:val="nil"/>
            </w:tcBorders>
            <w:shd w:val="clear" w:color="000000" w:fill="FFFFFF"/>
            <w:vAlign w:val="bottom"/>
            <w:hideMark/>
          </w:tcPr>
          <w:p w14:paraId="0CC34127" w14:textId="77777777"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 xml:space="preserve">1% Decrease </w:t>
            </w:r>
          </w:p>
        </w:tc>
        <w:tc>
          <w:tcPr>
            <w:tcW w:w="1080" w:type="dxa"/>
            <w:tcBorders>
              <w:top w:val="nil"/>
              <w:left w:val="nil"/>
              <w:bottom w:val="nil"/>
              <w:right w:val="nil"/>
            </w:tcBorders>
            <w:shd w:val="clear" w:color="000000" w:fill="FFFFFF"/>
            <w:vAlign w:val="bottom"/>
            <w:hideMark/>
          </w:tcPr>
          <w:p w14:paraId="39A73C0D" w14:textId="77777777"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 xml:space="preserve">Current Discount Rate </w:t>
            </w:r>
          </w:p>
        </w:tc>
        <w:tc>
          <w:tcPr>
            <w:tcW w:w="1260" w:type="dxa"/>
            <w:gridSpan w:val="2"/>
            <w:tcBorders>
              <w:top w:val="nil"/>
              <w:left w:val="nil"/>
              <w:bottom w:val="nil"/>
              <w:right w:val="nil"/>
            </w:tcBorders>
            <w:shd w:val="clear" w:color="000000" w:fill="FFFFFF"/>
            <w:vAlign w:val="bottom"/>
            <w:hideMark/>
          </w:tcPr>
          <w:p w14:paraId="5FB7921E" w14:textId="77777777"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 xml:space="preserve">1% Increase </w:t>
            </w:r>
          </w:p>
        </w:tc>
        <w:tc>
          <w:tcPr>
            <w:tcW w:w="1080" w:type="dxa"/>
            <w:gridSpan w:val="2"/>
            <w:tcBorders>
              <w:top w:val="nil"/>
              <w:left w:val="nil"/>
              <w:bottom w:val="nil"/>
              <w:right w:val="nil"/>
            </w:tcBorders>
            <w:shd w:val="clear" w:color="auto" w:fill="D9D9D9" w:themeFill="background1" w:themeFillShade="D9"/>
            <w:vAlign w:val="bottom"/>
            <w:hideMark/>
          </w:tcPr>
          <w:p w14:paraId="206D691C" w14:textId="77777777" w:rsidR="00721CFD"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1%</w:t>
            </w:r>
          </w:p>
          <w:p w14:paraId="20661357" w14:textId="77777777"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Decrease</w:t>
            </w:r>
          </w:p>
        </w:tc>
        <w:tc>
          <w:tcPr>
            <w:tcW w:w="1170" w:type="dxa"/>
            <w:tcBorders>
              <w:top w:val="nil"/>
              <w:left w:val="nil"/>
              <w:bottom w:val="nil"/>
              <w:right w:val="nil"/>
            </w:tcBorders>
            <w:shd w:val="clear" w:color="auto" w:fill="D9D9D9" w:themeFill="background1" w:themeFillShade="D9"/>
            <w:vAlign w:val="bottom"/>
            <w:hideMark/>
          </w:tcPr>
          <w:p w14:paraId="0700C4FB" w14:textId="77777777" w:rsidR="00721CFD"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Current Discount</w:t>
            </w:r>
          </w:p>
          <w:p w14:paraId="43917287" w14:textId="77777777"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Rate</w:t>
            </w:r>
          </w:p>
        </w:tc>
        <w:tc>
          <w:tcPr>
            <w:tcW w:w="1170" w:type="dxa"/>
            <w:gridSpan w:val="2"/>
            <w:tcBorders>
              <w:top w:val="nil"/>
              <w:left w:val="nil"/>
              <w:bottom w:val="nil"/>
              <w:right w:val="nil"/>
            </w:tcBorders>
            <w:shd w:val="clear" w:color="auto" w:fill="D9D9D9" w:themeFill="background1" w:themeFillShade="D9"/>
            <w:vAlign w:val="bottom"/>
            <w:hideMark/>
          </w:tcPr>
          <w:p w14:paraId="3DE3785D" w14:textId="77777777" w:rsidR="00721CFD"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1%</w:t>
            </w:r>
          </w:p>
          <w:p w14:paraId="5A8D6106" w14:textId="77777777" w:rsidR="00721CFD" w:rsidRPr="00B77D08" w:rsidRDefault="00721CFD" w:rsidP="007B5BB3">
            <w:pPr>
              <w:jc w:val="center"/>
              <w:rPr>
                <w:rFonts w:ascii="Calibri" w:eastAsia="Times New Roman" w:hAnsi="Calibri" w:cs="Calibri"/>
                <w:bCs/>
                <w:color w:val="0D0D0D"/>
              </w:rPr>
            </w:pPr>
            <w:r w:rsidRPr="00B77D08">
              <w:rPr>
                <w:rFonts w:ascii="Calibri" w:eastAsia="Times New Roman" w:hAnsi="Calibri" w:cs="Calibri"/>
                <w:bCs/>
                <w:color w:val="0D0D0D"/>
              </w:rPr>
              <w:t xml:space="preserve"> Increase</w:t>
            </w:r>
          </w:p>
        </w:tc>
      </w:tr>
      <w:tr w:rsidR="00721CFD" w:rsidRPr="00F65869" w14:paraId="3D345C27" w14:textId="77777777" w:rsidTr="00B57583">
        <w:trPr>
          <w:trHeight w:val="270"/>
        </w:trPr>
        <w:tc>
          <w:tcPr>
            <w:tcW w:w="2160" w:type="dxa"/>
            <w:tcBorders>
              <w:top w:val="nil"/>
              <w:left w:val="nil"/>
              <w:bottom w:val="nil"/>
              <w:right w:val="nil"/>
            </w:tcBorders>
            <w:shd w:val="clear" w:color="000000" w:fill="FFFFFF"/>
            <w:noWrap/>
            <w:vAlign w:val="bottom"/>
          </w:tcPr>
          <w:p w14:paraId="5416045F" w14:textId="77777777" w:rsidR="00721CFD" w:rsidRPr="00F65869" w:rsidRDefault="00721CFD" w:rsidP="007B5BB3">
            <w:pPr>
              <w:rPr>
                <w:rFonts w:ascii="Calibri" w:eastAsia="Times New Roman" w:hAnsi="Calibri" w:cs="Calibri"/>
                <w:color w:val="0D0D0D"/>
              </w:rPr>
            </w:pPr>
          </w:p>
        </w:tc>
        <w:tc>
          <w:tcPr>
            <w:tcW w:w="1170" w:type="dxa"/>
            <w:gridSpan w:val="2"/>
            <w:tcBorders>
              <w:top w:val="nil"/>
              <w:left w:val="nil"/>
              <w:bottom w:val="nil"/>
              <w:right w:val="nil"/>
            </w:tcBorders>
            <w:shd w:val="clear" w:color="000000" w:fill="FFFFFF"/>
            <w:vAlign w:val="bottom"/>
          </w:tcPr>
          <w:p w14:paraId="6BB2A22D"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(6.25%)</w:t>
            </w:r>
          </w:p>
        </w:tc>
        <w:tc>
          <w:tcPr>
            <w:tcW w:w="1080" w:type="dxa"/>
            <w:tcBorders>
              <w:top w:val="nil"/>
              <w:left w:val="nil"/>
              <w:bottom w:val="nil"/>
              <w:right w:val="nil"/>
            </w:tcBorders>
            <w:shd w:val="clear" w:color="000000" w:fill="FFFFFF"/>
            <w:vAlign w:val="bottom"/>
          </w:tcPr>
          <w:p w14:paraId="3F04873E"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(7.25%)</w:t>
            </w:r>
          </w:p>
        </w:tc>
        <w:tc>
          <w:tcPr>
            <w:tcW w:w="1260" w:type="dxa"/>
            <w:gridSpan w:val="2"/>
            <w:tcBorders>
              <w:top w:val="nil"/>
              <w:left w:val="nil"/>
              <w:bottom w:val="nil"/>
              <w:right w:val="nil"/>
            </w:tcBorders>
            <w:shd w:val="clear" w:color="000000" w:fill="FFFFFF"/>
            <w:vAlign w:val="bottom"/>
          </w:tcPr>
          <w:p w14:paraId="2BC528C5" w14:textId="77777777" w:rsidR="00721CFD" w:rsidRPr="00A93FB3" w:rsidRDefault="00721CFD" w:rsidP="007B5BB3">
            <w:pPr>
              <w:jc w:val="center"/>
              <w:rPr>
                <w:rFonts w:ascii="Calibri" w:eastAsia="Times New Roman" w:hAnsi="Calibri" w:cs="Calibri"/>
              </w:rPr>
            </w:pPr>
            <w:r w:rsidRPr="00A93FB3">
              <w:rPr>
                <w:rFonts w:ascii="Calibri" w:eastAsia="Times New Roman" w:hAnsi="Calibri" w:cs="Calibri"/>
              </w:rPr>
              <w:t>(8.25%)</w:t>
            </w:r>
          </w:p>
        </w:tc>
        <w:tc>
          <w:tcPr>
            <w:tcW w:w="1080" w:type="dxa"/>
            <w:gridSpan w:val="2"/>
            <w:tcBorders>
              <w:top w:val="nil"/>
              <w:left w:val="nil"/>
              <w:bottom w:val="nil"/>
              <w:right w:val="nil"/>
            </w:tcBorders>
            <w:shd w:val="clear" w:color="auto" w:fill="D9D9D9" w:themeFill="background1" w:themeFillShade="D9"/>
            <w:vAlign w:val="bottom"/>
          </w:tcPr>
          <w:p w14:paraId="45B9DFD6" w14:textId="77777777" w:rsidR="00721CFD" w:rsidRPr="00F65869" w:rsidRDefault="00721CFD" w:rsidP="007B5BB3">
            <w:pPr>
              <w:jc w:val="center"/>
              <w:rPr>
                <w:rFonts w:ascii="Calibri" w:eastAsia="Times New Roman" w:hAnsi="Calibri" w:cs="Calibri"/>
                <w:color w:val="0D0D0D"/>
              </w:rPr>
            </w:pPr>
            <w:r>
              <w:rPr>
                <w:rFonts w:ascii="Calibri" w:eastAsia="Times New Roman" w:hAnsi="Calibri" w:cs="Calibri"/>
                <w:color w:val="0D0D0D"/>
              </w:rPr>
              <w:t>(6.25%)</w:t>
            </w:r>
          </w:p>
        </w:tc>
        <w:tc>
          <w:tcPr>
            <w:tcW w:w="1170" w:type="dxa"/>
            <w:tcBorders>
              <w:top w:val="nil"/>
              <w:left w:val="nil"/>
              <w:bottom w:val="nil"/>
              <w:right w:val="nil"/>
            </w:tcBorders>
            <w:shd w:val="clear" w:color="auto" w:fill="D9D9D9" w:themeFill="background1" w:themeFillShade="D9"/>
            <w:vAlign w:val="bottom"/>
          </w:tcPr>
          <w:p w14:paraId="06CCFF85" w14:textId="77777777" w:rsidR="00721CFD" w:rsidRPr="00F65869" w:rsidRDefault="00721CFD" w:rsidP="007B5BB3">
            <w:pPr>
              <w:jc w:val="center"/>
              <w:rPr>
                <w:rFonts w:ascii="Calibri" w:eastAsia="Times New Roman" w:hAnsi="Calibri" w:cs="Calibri"/>
                <w:color w:val="0D0D0D"/>
              </w:rPr>
            </w:pPr>
            <w:r>
              <w:rPr>
                <w:rFonts w:ascii="Calibri" w:eastAsia="Times New Roman" w:hAnsi="Calibri" w:cs="Calibri"/>
                <w:color w:val="0D0D0D"/>
              </w:rPr>
              <w:t>(7.25%)</w:t>
            </w:r>
          </w:p>
        </w:tc>
        <w:tc>
          <w:tcPr>
            <w:tcW w:w="1170" w:type="dxa"/>
            <w:gridSpan w:val="2"/>
            <w:tcBorders>
              <w:top w:val="nil"/>
              <w:left w:val="nil"/>
              <w:bottom w:val="nil"/>
              <w:right w:val="nil"/>
            </w:tcBorders>
            <w:shd w:val="clear" w:color="auto" w:fill="D9D9D9" w:themeFill="background1" w:themeFillShade="D9"/>
            <w:vAlign w:val="bottom"/>
          </w:tcPr>
          <w:p w14:paraId="01733E94" w14:textId="77777777" w:rsidR="00721CFD" w:rsidRPr="00F65869" w:rsidRDefault="00721CFD" w:rsidP="007B5BB3">
            <w:pPr>
              <w:jc w:val="center"/>
              <w:rPr>
                <w:rFonts w:ascii="Calibri" w:eastAsia="Times New Roman" w:hAnsi="Calibri" w:cs="Calibri"/>
                <w:color w:val="0D0D0D"/>
              </w:rPr>
            </w:pPr>
            <w:r>
              <w:rPr>
                <w:rFonts w:ascii="Calibri" w:eastAsia="Times New Roman" w:hAnsi="Calibri" w:cs="Calibri"/>
                <w:color w:val="0D0D0D"/>
              </w:rPr>
              <w:t>(8.25%)</w:t>
            </w:r>
          </w:p>
        </w:tc>
      </w:tr>
      <w:tr w:rsidR="00721CFD" w:rsidRPr="00F65869" w14:paraId="035BFFF9" w14:textId="77777777" w:rsidTr="00B57583">
        <w:trPr>
          <w:trHeight w:val="396"/>
        </w:trPr>
        <w:tc>
          <w:tcPr>
            <w:tcW w:w="2160" w:type="dxa"/>
            <w:tcBorders>
              <w:top w:val="nil"/>
              <w:left w:val="nil"/>
              <w:bottom w:val="nil"/>
              <w:right w:val="nil"/>
            </w:tcBorders>
            <w:shd w:val="clear" w:color="000000" w:fill="FFFFFF"/>
            <w:noWrap/>
            <w:vAlign w:val="bottom"/>
            <w:hideMark/>
          </w:tcPr>
          <w:p w14:paraId="1CC01A57"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Total OPEB liability</w:t>
            </w:r>
          </w:p>
        </w:tc>
        <w:tc>
          <w:tcPr>
            <w:tcW w:w="1170" w:type="dxa"/>
            <w:gridSpan w:val="2"/>
            <w:tcBorders>
              <w:top w:val="nil"/>
              <w:left w:val="nil"/>
              <w:bottom w:val="nil"/>
              <w:right w:val="nil"/>
            </w:tcBorders>
            <w:shd w:val="clear" w:color="000000" w:fill="FFFFFF"/>
            <w:vAlign w:val="bottom"/>
            <w:hideMark/>
          </w:tcPr>
          <w:p w14:paraId="10BF3634"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$194,701</w:t>
            </w:r>
          </w:p>
        </w:tc>
        <w:tc>
          <w:tcPr>
            <w:tcW w:w="1080" w:type="dxa"/>
            <w:tcBorders>
              <w:top w:val="nil"/>
              <w:left w:val="nil"/>
              <w:bottom w:val="nil"/>
              <w:right w:val="nil"/>
            </w:tcBorders>
            <w:shd w:val="clear" w:color="000000" w:fill="FFFFFF"/>
            <w:vAlign w:val="bottom"/>
            <w:hideMark/>
          </w:tcPr>
          <w:p w14:paraId="128F1E05"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$173,794</w:t>
            </w:r>
          </w:p>
        </w:tc>
        <w:tc>
          <w:tcPr>
            <w:tcW w:w="1260" w:type="dxa"/>
            <w:gridSpan w:val="2"/>
            <w:tcBorders>
              <w:top w:val="nil"/>
              <w:left w:val="nil"/>
              <w:bottom w:val="nil"/>
              <w:right w:val="nil"/>
            </w:tcBorders>
            <w:shd w:val="clear" w:color="000000" w:fill="FFFFFF"/>
            <w:vAlign w:val="bottom"/>
            <w:hideMark/>
          </w:tcPr>
          <w:p w14:paraId="177F50FA"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$156,357</w:t>
            </w:r>
          </w:p>
        </w:tc>
        <w:tc>
          <w:tcPr>
            <w:tcW w:w="1080" w:type="dxa"/>
            <w:gridSpan w:val="2"/>
            <w:tcBorders>
              <w:top w:val="nil"/>
              <w:left w:val="nil"/>
              <w:bottom w:val="nil"/>
              <w:right w:val="nil"/>
            </w:tcBorders>
            <w:shd w:val="clear" w:color="auto" w:fill="D9D9D9" w:themeFill="background1" w:themeFillShade="D9"/>
            <w:vAlign w:val="bottom"/>
            <w:hideMark/>
          </w:tcPr>
          <w:p w14:paraId="0A525247" w14:textId="77777777" w:rsidR="00721CFD" w:rsidRPr="00F65869" w:rsidRDefault="00721CFD" w:rsidP="007B5BB3">
            <w:pPr>
              <w:jc w:val="right"/>
              <w:rPr>
                <w:rFonts w:ascii="Calibri" w:eastAsia="Times New Roman" w:hAnsi="Calibri" w:cs="Calibri"/>
                <w:color w:val="0D0D0D"/>
              </w:rPr>
            </w:pPr>
            <w:r>
              <w:rPr>
                <w:rFonts w:ascii="Calibri" w:eastAsia="Times New Roman" w:hAnsi="Calibri" w:cs="Calibri"/>
                <w:color w:val="0D0D0D"/>
              </w:rPr>
              <w:t>$182,043</w:t>
            </w:r>
          </w:p>
        </w:tc>
        <w:tc>
          <w:tcPr>
            <w:tcW w:w="1170" w:type="dxa"/>
            <w:tcBorders>
              <w:top w:val="nil"/>
              <w:left w:val="nil"/>
              <w:bottom w:val="nil"/>
              <w:right w:val="nil"/>
            </w:tcBorders>
            <w:shd w:val="clear" w:color="auto" w:fill="D9D9D9" w:themeFill="background1" w:themeFillShade="D9"/>
            <w:vAlign w:val="bottom"/>
            <w:hideMark/>
          </w:tcPr>
          <w:p w14:paraId="132B1DE6" w14:textId="77777777" w:rsidR="00721CFD" w:rsidRPr="00F65869" w:rsidRDefault="00721CFD" w:rsidP="007B5BB3">
            <w:pPr>
              <w:jc w:val="right"/>
              <w:rPr>
                <w:rFonts w:ascii="Calibri" w:eastAsia="Times New Roman" w:hAnsi="Calibri" w:cs="Calibri"/>
                <w:color w:val="0D0D0D"/>
              </w:rPr>
            </w:pPr>
            <w:r>
              <w:rPr>
                <w:rFonts w:ascii="Calibri" w:eastAsia="Times New Roman" w:hAnsi="Calibri" w:cs="Calibri"/>
                <w:color w:val="0D0D0D"/>
              </w:rPr>
              <w:t>$162,212</w:t>
            </w:r>
          </w:p>
        </w:tc>
        <w:tc>
          <w:tcPr>
            <w:tcW w:w="1170" w:type="dxa"/>
            <w:gridSpan w:val="2"/>
            <w:tcBorders>
              <w:top w:val="nil"/>
              <w:left w:val="nil"/>
              <w:bottom w:val="nil"/>
              <w:right w:val="nil"/>
            </w:tcBorders>
            <w:shd w:val="clear" w:color="auto" w:fill="D9D9D9" w:themeFill="background1" w:themeFillShade="D9"/>
            <w:vAlign w:val="bottom"/>
            <w:hideMark/>
          </w:tcPr>
          <w:p w14:paraId="7826CB8E" w14:textId="77777777" w:rsidR="00721CFD" w:rsidRPr="00F65869" w:rsidRDefault="00721CFD" w:rsidP="007B5BB3">
            <w:pPr>
              <w:jc w:val="right"/>
              <w:rPr>
                <w:rFonts w:ascii="Calibri" w:eastAsia="Times New Roman" w:hAnsi="Calibri" w:cs="Calibri"/>
                <w:color w:val="0D0D0D"/>
              </w:rPr>
            </w:pPr>
            <w:r w:rsidRPr="00F65869">
              <w:rPr>
                <w:rFonts w:ascii="Calibri" w:eastAsia="Times New Roman" w:hAnsi="Calibri" w:cs="Calibri"/>
                <w:color w:val="0D0D0D"/>
              </w:rPr>
              <w:t>$</w:t>
            </w:r>
            <w:r>
              <w:rPr>
                <w:rFonts w:ascii="Calibri" w:eastAsia="Times New Roman" w:hAnsi="Calibri" w:cs="Calibri"/>
                <w:color w:val="0D0D0D"/>
              </w:rPr>
              <w:t>145,667</w:t>
            </w:r>
          </w:p>
        </w:tc>
      </w:tr>
      <w:tr w:rsidR="00721CFD" w:rsidRPr="00F65869" w14:paraId="6AA64FAC" w14:textId="77777777" w:rsidTr="00B57583">
        <w:trPr>
          <w:trHeight w:val="300"/>
        </w:trPr>
        <w:tc>
          <w:tcPr>
            <w:tcW w:w="2160" w:type="dxa"/>
            <w:tcBorders>
              <w:top w:val="nil"/>
              <w:left w:val="nil"/>
              <w:bottom w:val="nil"/>
              <w:right w:val="nil"/>
            </w:tcBorders>
            <w:shd w:val="clear" w:color="000000" w:fill="FFFFFF"/>
            <w:noWrap/>
            <w:vAlign w:val="bottom"/>
            <w:hideMark/>
          </w:tcPr>
          <w:p w14:paraId="7B77B0D2"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Fiduciary net position</w:t>
            </w:r>
          </w:p>
        </w:tc>
        <w:tc>
          <w:tcPr>
            <w:tcW w:w="1170" w:type="dxa"/>
            <w:gridSpan w:val="2"/>
            <w:tcBorders>
              <w:top w:val="nil"/>
              <w:left w:val="nil"/>
              <w:bottom w:val="nil"/>
              <w:right w:val="nil"/>
            </w:tcBorders>
            <w:shd w:val="clear" w:color="000000" w:fill="FFFFFF"/>
            <w:vAlign w:val="bottom"/>
            <w:hideMark/>
          </w:tcPr>
          <w:p w14:paraId="39C75F6D"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156,012</w:t>
            </w:r>
          </w:p>
        </w:tc>
        <w:tc>
          <w:tcPr>
            <w:tcW w:w="1080" w:type="dxa"/>
            <w:tcBorders>
              <w:top w:val="nil"/>
              <w:left w:val="nil"/>
              <w:bottom w:val="nil"/>
              <w:right w:val="nil"/>
            </w:tcBorders>
            <w:shd w:val="clear" w:color="000000" w:fill="FFFFFF"/>
            <w:vAlign w:val="bottom"/>
            <w:hideMark/>
          </w:tcPr>
          <w:p w14:paraId="30A4AB3F"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156,012</w:t>
            </w:r>
          </w:p>
        </w:tc>
        <w:tc>
          <w:tcPr>
            <w:tcW w:w="1260" w:type="dxa"/>
            <w:gridSpan w:val="2"/>
            <w:tcBorders>
              <w:top w:val="nil"/>
              <w:left w:val="nil"/>
              <w:bottom w:val="nil"/>
              <w:right w:val="nil"/>
            </w:tcBorders>
            <w:shd w:val="clear" w:color="000000" w:fill="FFFFFF"/>
            <w:vAlign w:val="bottom"/>
            <w:hideMark/>
          </w:tcPr>
          <w:p w14:paraId="384A50C7"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156,012</w:t>
            </w:r>
          </w:p>
        </w:tc>
        <w:tc>
          <w:tcPr>
            <w:tcW w:w="1080" w:type="dxa"/>
            <w:gridSpan w:val="2"/>
            <w:tcBorders>
              <w:top w:val="nil"/>
              <w:left w:val="nil"/>
              <w:bottom w:val="nil"/>
              <w:right w:val="nil"/>
            </w:tcBorders>
            <w:shd w:val="clear" w:color="auto" w:fill="D9D9D9" w:themeFill="background1" w:themeFillShade="D9"/>
            <w:vAlign w:val="bottom"/>
            <w:hideMark/>
          </w:tcPr>
          <w:p w14:paraId="1609A150" w14:textId="77777777" w:rsidR="00721CFD" w:rsidRPr="00F65869" w:rsidRDefault="00721CFD" w:rsidP="007B5BB3">
            <w:pPr>
              <w:jc w:val="right"/>
              <w:rPr>
                <w:rFonts w:ascii="Calibri" w:eastAsia="Times New Roman" w:hAnsi="Calibri" w:cs="Calibri"/>
                <w:color w:val="0D0D0D"/>
              </w:rPr>
            </w:pPr>
            <w:r w:rsidRPr="00BF66AC">
              <w:rPr>
                <w:rFonts w:ascii="Calibri" w:eastAsia="Times New Roman" w:hAnsi="Calibri" w:cs="Calibri"/>
              </w:rPr>
              <w:t>180,270</w:t>
            </w:r>
          </w:p>
        </w:tc>
        <w:tc>
          <w:tcPr>
            <w:tcW w:w="1170" w:type="dxa"/>
            <w:tcBorders>
              <w:top w:val="nil"/>
              <w:left w:val="nil"/>
              <w:bottom w:val="nil"/>
              <w:right w:val="nil"/>
            </w:tcBorders>
            <w:shd w:val="clear" w:color="auto" w:fill="D9D9D9" w:themeFill="background1" w:themeFillShade="D9"/>
            <w:vAlign w:val="bottom"/>
            <w:hideMark/>
          </w:tcPr>
          <w:p w14:paraId="0A7E2453" w14:textId="77777777" w:rsidR="00721CFD" w:rsidRPr="00F65869" w:rsidRDefault="00721CFD" w:rsidP="007B5BB3">
            <w:pPr>
              <w:jc w:val="right"/>
              <w:rPr>
                <w:rFonts w:ascii="Calibri" w:eastAsia="Times New Roman" w:hAnsi="Calibri" w:cs="Calibri"/>
                <w:color w:val="0D0D0D"/>
              </w:rPr>
            </w:pPr>
            <w:r w:rsidRPr="00BF66AC">
              <w:rPr>
                <w:rFonts w:ascii="Calibri" w:eastAsia="Times New Roman" w:hAnsi="Calibri" w:cs="Calibri"/>
              </w:rPr>
              <w:t>180,270</w:t>
            </w:r>
          </w:p>
        </w:tc>
        <w:tc>
          <w:tcPr>
            <w:tcW w:w="1170" w:type="dxa"/>
            <w:gridSpan w:val="2"/>
            <w:tcBorders>
              <w:top w:val="nil"/>
              <w:left w:val="nil"/>
              <w:bottom w:val="nil"/>
              <w:right w:val="nil"/>
            </w:tcBorders>
            <w:shd w:val="clear" w:color="auto" w:fill="D9D9D9" w:themeFill="background1" w:themeFillShade="D9"/>
            <w:vAlign w:val="bottom"/>
            <w:hideMark/>
          </w:tcPr>
          <w:p w14:paraId="244448B7" w14:textId="77777777" w:rsidR="00721CFD" w:rsidRPr="00F65869" w:rsidRDefault="00721CFD" w:rsidP="007B5BB3">
            <w:pPr>
              <w:jc w:val="right"/>
              <w:rPr>
                <w:rFonts w:ascii="Calibri" w:eastAsia="Times New Roman" w:hAnsi="Calibri" w:cs="Calibri"/>
                <w:color w:val="0D0D0D"/>
              </w:rPr>
            </w:pPr>
            <w:r w:rsidRPr="00BF66AC">
              <w:rPr>
                <w:rFonts w:ascii="Calibri" w:eastAsia="Times New Roman" w:hAnsi="Calibri" w:cs="Calibri"/>
              </w:rPr>
              <w:t>180,270</w:t>
            </w:r>
          </w:p>
        </w:tc>
      </w:tr>
      <w:tr w:rsidR="00721CFD" w:rsidRPr="00F65869" w14:paraId="508092D4" w14:textId="77777777" w:rsidTr="00B57583">
        <w:trPr>
          <w:trHeight w:val="312"/>
        </w:trPr>
        <w:tc>
          <w:tcPr>
            <w:tcW w:w="2160" w:type="dxa"/>
            <w:tcBorders>
              <w:top w:val="single" w:sz="12" w:space="0" w:color="44546A"/>
              <w:left w:val="nil"/>
              <w:bottom w:val="single" w:sz="8" w:space="0" w:color="44546A"/>
              <w:right w:val="nil"/>
            </w:tcBorders>
            <w:shd w:val="clear" w:color="000000" w:fill="FFFFFF"/>
            <w:noWrap/>
            <w:vAlign w:val="bottom"/>
            <w:hideMark/>
          </w:tcPr>
          <w:p w14:paraId="094B665C" w14:textId="77777777" w:rsidR="00721CFD" w:rsidRPr="00F65869" w:rsidRDefault="00721CFD" w:rsidP="007B5BB3">
            <w:pPr>
              <w:rPr>
                <w:rFonts w:ascii="Calibri" w:eastAsia="Times New Roman" w:hAnsi="Calibri" w:cs="Calibri"/>
                <w:color w:val="0D0D0D"/>
              </w:rPr>
            </w:pPr>
            <w:r w:rsidRPr="00F65869">
              <w:rPr>
                <w:rFonts w:ascii="Calibri" w:eastAsia="Times New Roman" w:hAnsi="Calibri" w:cs="Calibri"/>
                <w:color w:val="0D0D0D"/>
              </w:rPr>
              <w:t>Net OPEB liability</w:t>
            </w:r>
            <w:r>
              <w:rPr>
                <w:rFonts w:ascii="Calibri" w:eastAsia="Times New Roman" w:hAnsi="Calibri" w:cs="Calibri"/>
                <w:color w:val="0D0D0D"/>
              </w:rPr>
              <w:t xml:space="preserve"> (asset)</w:t>
            </w:r>
          </w:p>
        </w:tc>
        <w:tc>
          <w:tcPr>
            <w:tcW w:w="1170" w:type="dxa"/>
            <w:gridSpan w:val="2"/>
            <w:tcBorders>
              <w:top w:val="single" w:sz="12" w:space="0" w:color="00688D"/>
              <w:left w:val="nil"/>
              <w:bottom w:val="single" w:sz="8" w:space="0" w:color="00688D"/>
              <w:right w:val="nil"/>
            </w:tcBorders>
            <w:shd w:val="clear" w:color="000000" w:fill="FFFFFF"/>
            <w:noWrap/>
            <w:vAlign w:val="bottom"/>
            <w:hideMark/>
          </w:tcPr>
          <w:p w14:paraId="2CA287FA" w14:textId="7CF06E85" w:rsidR="00721CFD" w:rsidRPr="00A93FB3" w:rsidRDefault="00721CFD">
            <w:pPr>
              <w:jc w:val="right"/>
              <w:rPr>
                <w:rFonts w:ascii="Calibri" w:eastAsia="Times New Roman" w:hAnsi="Calibri" w:cs="Calibri"/>
              </w:rPr>
            </w:pPr>
            <w:r w:rsidRPr="00A93FB3">
              <w:rPr>
                <w:rFonts w:ascii="Calibri" w:eastAsia="Times New Roman" w:hAnsi="Calibri" w:cs="Calibri"/>
              </w:rPr>
              <w:t>$  38,689</w:t>
            </w:r>
          </w:p>
        </w:tc>
        <w:tc>
          <w:tcPr>
            <w:tcW w:w="1080" w:type="dxa"/>
            <w:tcBorders>
              <w:top w:val="single" w:sz="12" w:space="0" w:color="00688D"/>
              <w:left w:val="nil"/>
              <w:bottom w:val="single" w:sz="8" w:space="0" w:color="00688D"/>
              <w:right w:val="nil"/>
            </w:tcBorders>
            <w:shd w:val="clear" w:color="000000" w:fill="FFFFFF"/>
            <w:noWrap/>
            <w:vAlign w:val="bottom"/>
            <w:hideMark/>
          </w:tcPr>
          <w:p w14:paraId="72475044" w14:textId="078DFA7E"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r w:rsidR="00427065">
              <w:rPr>
                <w:rFonts w:ascii="Calibri" w:eastAsia="Times New Roman" w:hAnsi="Calibri" w:cs="Calibri"/>
              </w:rPr>
              <w:t xml:space="preserve">  </w:t>
            </w:r>
            <w:r w:rsidRPr="00A93FB3">
              <w:rPr>
                <w:rFonts w:ascii="Calibri" w:eastAsia="Times New Roman" w:hAnsi="Calibri" w:cs="Calibri"/>
              </w:rPr>
              <w:t>17,782</w:t>
            </w:r>
          </w:p>
        </w:tc>
        <w:tc>
          <w:tcPr>
            <w:tcW w:w="1260" w:type="dxa"/>
            <w:gridSpan w:val="2"/>
            <w:tcBorders>
              <w:top w:val="single" w:sz="12" w:space="0" w:color="00688D"/>
              <w:left w:val="nil"/>
              <w:bottom w:val="single" w:sz="8" w:space="0" w:color="00688D"/>
              <w:right w:val="nil"/>
            </w:tcBorders>
            <w:shd w:val="clear" w:color="000000" w:fill="FFFFFF"/>
            <w:noWrap/>
            <w:vAlign w:val="bottom"/>
            <w:hideMark/>
          </w:tcPr>
          <w:p w14:paraId="34DF47BA" w14:textId="2F230E91"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r w:rsidR="00427065">
              <w:rPr>
                <w:rFonts w:ascii="Calibri" w:eastAsia="Times New Roman" w:hAnsi="Calibri" w:cs="Calibri"/>
              </w:rPr>
              <w:t xml:space="preserve">       </w:t>
            </w:r>
            <w:r w:rsidRPr="00A93FB3">
              <w:rPr>
                <w:rFonts w:ascii="Calibri" w:eastAsia="Times New Roman" w:hAnsi="Calibri" w:cs="Calibri"/>
              </w:rPr>
              <w:t>345</w:t>
            </w:r>
          </w:p>
        </w:tc>
        <w:tc>
          <w:tcPr>
            <w:tcW w:w="1080" w:type="dxa"/>
            <w:gridSpan w:val="2"/>
            <w:tcBorders>
              <w:top w:val="single" w:sz="12" w:space="0" w:color="00688D"/>
              <w:left w:val="nil"/>
              <w:bottom w:val="single" w:sz="8" w:space="0" w:color="00688D"/>
              <w:right w:val="nil"/>
            </w:tcBorders>
            <w:shd w:val="clear" w:color="auto" w:fill="D9D9D9" w:themeFill="background1" w:themeFillShade="D9"/>
            <w:noWrap/>
            <w:vAlign w:val="bottom"/>
            <w:hideMark/>
          </w:tcPr>
          <w:p w14:paraId="74CF6A55" w14:textId="77777777" w:rsidR="00721CFD" w:rsidRPr="00F65869" w:rsidRDefault="00721CFD" w:rsidP="007B5BB3">
            <w:pPr>
              <w:jc w:val="right"/>
              <w:rPr>
                <w:rFonts w:ascii="Calibri" w:eastAsia="Times New Roman" w:hAnsi="Calibri" w:cs="Calibri"/>
                <w:color w:val="0D0D0D"/>
              </w:rPr>
            </w:pPr>
            <w:r>
              <w:rPr>
                <w:rFonts w:ascii="Calibri" w:eastAsia="Times New Roman" w:hAnsi="Calibri" w:cs="Calibri"/>
                <w:color w:val="0D0D0D"/>
              </w:rPr>
              <w:t>$    1,773</w:t>
            </w:r>
          </w:p>
        </w:tc>
        <w:tc>
          <w:tcPr>
            <w:tcW w:w="1170"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542F2ED2" w14:textId="77777777" w:rsidR="00721CFD" w:rsidRPr="00F65869" w:rsidRDefault="00721CFD" w:rsidP="007B5BB3">
            <w:pPr>
              <w:jc w:val="right"/>
              <w:rPr>
                <w:rFonts w:ascii="Calibri" w:eastAsia="Times New Roman" w:hAnsi="Calibri" w:cs="Calibri"/>
                <w:color w:val="0D0D0D"/>
              </w:rPr>
            </w:pPr>
            <w:r>
              <w:rPr>
                <w:rFonts w:ascii="Calibri" w:eastAsia="Times New Roman" w:hAnsi="Calibri" w:cs="Calibri"/>
                <w:color w:val="0D0D0D"/>
              </w:rPr>
              <w:t>$(18,058)</w:t>
            </w:r>
          </w:p>
        </w:tc>
        <w:tc>
          <w:tcPr>
            <w:tcW w:w="1170" w:type="dxa"/>
            <w:gridSpan w:val="2"/>
            <w:tcBorders>
              <w:top w:val="single" w:sz="12" w:space="0" w:color="00688D"/>
              <w:left w:val="nil"/>
              <w:bottom w:val="single" w:sz="8" w:space="0" w:color="00688D"/>
              <w:right w:val="nil"/>
            </w:tcBorders>
            <w:shd w:val="clear" w:color="auto" w:fill="D9D9D9" w:themeFill="background1" w:themeFillShade="D9"/>
            <w:noWrap/>
            <w:vAlign w:val="bottom"/>
            <w:hideMark/>
          </w:tcPr>
          <w:p w14:paraId="31241684" w14:textId="0E516E89" w:rsidR="00721CFD" w:rsidRPr="00F65869" w:rsidRDefault="00721CFD" w:rsidP="007B5BB3">
            <w:pPr>
              <w:jc w:val="right"/>
              <w:rPr>
                <w:rFonts w:ascii="Calibri" w:eastAsia="Times New Roman" w:hAnsi="Calibri" w:cs="Calibri"/>
                <w:color w:val="0D0D0D"/>
              </w:rPr>
            </w:pPr>
            <w:r>
              <w:rPr>
                <w:rFonts w:ascii="Calibri" w:eastAsia="Times New Roman" w:hAnsi="Calibri" w:cs="Calibri"/>
                <w:color w:val="0D0D0D"/>
              </w:rPr>
              <w:t>$(34,603)</w:t>
            </w:r>
          </w:p>
        </w:tc>
      </w:tr>
    </w:tbl>
    <w:p w14:paraId="6F8DB6CA" w14:textId="286782E7" w:rsidR="00721CFD" w:rsidRPr="00F54559" w:rsidRDefault="00721CFD" w:rsidP="0007776B">
      <w:pPr>
        <w:tabs>
          <w:tab w:val="left" w:pos="900"/>
        </w:tabs>
        <w:spacing w:before="240" w:after="160"/>
        <w:ind w:right="-7"/>
        <w:rPr>
          <w:rFonts w:cstheme="minorHAnsi"/>
          <w:color w:val="222222"/>
          <w:sz w:val="24"/>
          <w:shd w:val="clear" w:color="auto" w:fill="FFFFFF"/>
        </w:rPr>
      </w:pPr>
      <w:r w:rsidRPr="00F54559">
        <w:rPr>
          <w:rFonts w:eastAsia="Franklin Gothic Book" w:cstheme="minorHAnsi"/>
          <w:b/>
          <w:i/>
          <w:spacing w:val="-2"/>
          <w:sz w:val="24"/>
        </w:rPr>
        <w:t>S</w:t>
      </w:r>
      <w:r w:rsidRPr="00F54559">
        <w:rPr>
          <w:rFonts w:eastAsia="Franklin Gothic Book" w:cstheme="minorHAnsi"/>
          <w:b/>
          <w:i/>
          <w:sz w:val="24"/>
        </w:rPr>
        <w:t>e</w:t>
      </w:r>
      <w:r w:rsidRPr="00F54559">
        <w:rPr>
          <w:rFonts w:eastAsia="Franklin Gothic Book" w:cstheme="minorHAnsi"/>
          <w:b/>
          <w:i/>
          <w:spacing w:val="-2"/>
          <w:sz w:val="24"/>
        </w:rPr>
        <w:t>n</w:t>
      </w:r>
      <w:r w:rsidRPr="00F54559">
        <w:rPr>
          <w:rFonts w:eastAsia="Franklin Gothic Book" w:cstheme="minorHAnsi"/>
          <w:b/>
          <w:i/>
          <w:spacing w:val="-1"/>
          <w:sz w:val="24"/>
        </w:rPr>
        <w:t>s</w:t>
      </w:r>
      <w:r w:rsidRPr="00F54559">
        <w:rPr>
          <w:rFonts w:eastAsia="Franklin Gothic Book" w:cstheme="minorHAnsi"/>
          <w:b/>
          <w:i/>
          <w:sz w:val="24"/>
        </w:rPr>
        <w:t>i</w:t>
      </w:r>
      <w:r w:rsidRPr="00F54559">
        <w:rPr>
          <w:rFonts w:eastAsia="Franklin Gothic Book" w:cstheme="minorHAnsi"/>
          <w:b/>
          <w:i/>
          <w:spacing w:val="-2"/>
          <w:sz w:val="24"/>
        </w:rPr>
        <w:t>t</w:t>
      </w:r>
      <w:r w:rsidRPr="00F54559">
        <w:rPr>
          <w:rFonts w:eastAsia="Franklin Gothic Book" w:cstheme="minorHAnsi"/>
          <w:b/>
          <w:i/>
          <w:sz w:val="24"/>
        </w:rPr>
        <w:t>ivi</w:t>
      </w:r>
      <w:r w:rsidRPr="00F54559">
        <w:rPr>
          <w:rFonts w:eastAsia="Franklin Gothic Book" w:cstheme="minorHAnsi"/>
          <w:b/>
          <w:i/>
          <w:spacing w:val="-1"/>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z w:val="24"/>
        </w:rPr>
        <w:t>of</w:t>
      </w:r>
      <w:r w:rsidRPr="00F54559">
        <w:rPr>
          <w:rFonts w:eastAsia="Franklin Gothic Book" w:cstheme="minorHAnsi"/>
          <w:b/>
          <w:i/>
          <w:spacing w:val="-6"/>
          <w:sz w:val="24"/>
        </w:rPr>
        <w:t xml:space="preserve"> </w:t>
      </w:r>
      <w:r w:rsidRPr="00F54559">
        <w:rPr>
          <w:rFonts w:eastAsia="Franklin Gothic Book" w:cstheme="minorHAnsi"/>
          <w:b/>
          <w:i/>
          <w:spacing w:val="-1"/>
          <w:sz w:val="24"/>
        </w:rPr>
        <w:t>t</w:t>
      </w:r>
      <w:r w:rsidRPr="00F54559">
        <w:rPr>
          <w:rFonts w:eastAsia="Franklin Gothic Book" w:cstheme="minorHAnsi"/>
          <w:b/>
          <w:i/>
          <w:sz w:val="24"/>
        </w:rPr>
        <w:t>he</w:t>
      </w:r>
      <w:r w:rsidRPr="00F54559">
        <w:rPr>
          <w:rFonts w:eastAsia="Franklin Gothic Book" w:cstheme="minorHAnsi"/>
          <w:b/>
          <w:i/>
          <w:spacing w:val="-6"/>
          <w:sz w:val="24"/>
        </w:rPr>
        <w:t xml:space="preserve"> </w:t>
      </w:r>
      <w:r w:rsidRPr="00F54559">
        <w:rPr>
          <w:rFonts w:eastAsia="Franklin Gothic Book" w:cstheme="minorHAnsi"/>
          <w:b/>
          <w:i/>
          <w:spacing w:val="-2"/>
          <w:sz w:val="24"/>
        </w:rPr>
        <w:t>n</w:t>
      </w:r>
      <w:r w:rsidRPr="00F54559">
        <w:rPr>
          <w:rFonts w:eastAsia="Franklin Gothic Book" w:cstheme="minorHAnsi"/>
          <w:b/>
          <w:i/>
          <w:sz w:val="24"/>
        </w:rPr>
        <w:t>et</w:t>
      </w:r>
      <w:r w:rsidRPr="00F54559">
        <w:rPr>
          <w:rFonts w:eastAsia="Franklin Gothic Book" w:cstheme="minorHAnsi"/>
          <w:b/>
          <w:i/>
          <w:spacing w:val="-7"/>
          <w:sz w:val="24"/>
        </w:rPr>
        <w:t xml:space="preserve"> </w:t>
      </w:r>
      <w:r w:rsidRPr="00F54559">
        <w:rPr>
          <w:rFonts w:eastAsia="Franklin Gothic Book" w:cstheme="minorHAnsi"/>
          <w:b/>
          <w:i/>
          <w:spacing w:val="-2"/>
          <w:sz w:val="24"/>
        </w:rPr>
        <w:t>OPEB</w:t>
      </w:r>
      <w:r w:rsidRPr="00F54559">
        <w:rPr>
          <w:rFonts w:eastAsia="Franklin Gothic Book" w:cstheme="minorHAnsi"/>
          <w:b/>
          <w:i/>
          <w:spacing w:val="-5"/>
          <w:sz w:val="24"/>
        </w:rPr>
        <w:t xml:space="preserve"> </w:t>
      </w:r>
      <w:r w:rsidRPr="00F54559">
        <w:rPr>
          <w:rFonts w:eastAsia="Franklin Gothic Book" w:cstheme="minorHAnsi"/>
          <w:b/>
          <w:i/>
          <w:sz w:val="24"/>
        </w:rPr>
        <w:t>li</w:t>
      </w:r>
      <w:r w:rsidRPr="00F54559">
        <w:rPr>
          <w:rFonts w:eastAsia="Franklin Gothic Book" w:cstheme="minorHAnsi"/>
          <w:b/>
          <w:i/>
          <w:spacing w:val="-2"/>
          <w:sz w:val="24"/>
        </w:rPr>
        <w:t>a</w:t>
      </w:r>
      <w:r w:rsidRPr="00F54559">
        <w:rPr>
          <w:rFonts w:eastAsia="Franklin Gothic Book" w:cstheme="minorHAnsi"/>
          <w:b/>
          <w:i/>
          <w:sz w:val="24"/>
        </w:rPr>
        <w:t>bili</w:t>
      </w:r>
      <w:r w:rsidRPr="00F54559">
        <w:rPr>
          <w:rFonts w:eastAsia="Franklin Gothic Book" w:cstheme="minorHAnsi"/>
          <w:b/>
          <w:i/>
          <w:spacing w:val="-2"/>
          <w:sz w:val="24"/>
        </w:rPr>
        <w:t>t</w:t>
      </w:r>
      <w:r w:rsidRPr="00F54559">
        <w:rPr>
          <w:rFonts w:eastAsia="Franklin Gothic Book" w:cstheme="minorHAnsi"/>
          <w:b/>
          <w:i/>
          <w:sz w:val="24"/>
        </w:rPr>
        <w:t>y</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o</w:t>
      </w:r>
      <w:r w:rsidRPr="00F54559">
        <w:rPr>
          <w:rFonts w:eastAsia="Franklin Gothic Book" w:cstheme="minorHAnsi"/>
          <w:b/>
          <w:i/>
          <w:spacing w:val="-6"/>
          <w:sz w:val="24"/>
        </w:rPr>
        <w:t xml:space="preserve"> </w:t>
      </w:r>
      <w:r w:rsidRPr="00F54559">
        <w:rPr>
          <w:rFonts w:eastAsia="Franklin Gothic Book" w:cstheme="minorHAnsi"/>
          <w:b/>
          <w:i/>
          <w:spacing w:val="-1"/>
          <w:sz w:val="24"/>
        </w:rPr>
        <w:t>c</w:t>
      </w:r>
      <w:r w:rsidRPr="00F54559">
        <w:rPr>
          <w:rFonts w:eastAsia="Franklin Gothic Book" w:cstheme="minorHAnsi"/>
          <w:b/>
          <w:i/>
          <w:sz w:val="24"/>
        </w:rPr>
        <w:t>h</w:t>
      </w:r>
      <w:r w:rsidRPr="00F54559">
        <w:rPr>
          <w:rFonts w:eastAsia="Franklin Gothic Book" w:cstheme="minorHAnsi"/>
          <w:b/>
          <w:i/>
          <w:spacing w:val="-2"/>
          <w:sz w:val="24"/>
        </w:rPr>
        <w:t>an</w:t>
      </w:r>
      <w:r w:rsidRPr="00F54559">
        <w:rPr>
          <w:rFonts w:eastAsia="Franklin Gothic Book" w:cstheme="minorHAnsi"/>
          <w:b/>
          <w:i/>
          <w:sz w:val="24"/>
        </w:rPr>
        <w:t>ges</w:t>
      </w:r>
      <w:r w:rsidRPr="00F54559">
        <w:rPr>
          <w:rFonts w:eastAsia="Franklin Gothic Book" w:cstheme="minorHAnsi"/>
          <w:b/>
          <w:i/>
          <w:spacing w:val="-6"/>
          <w:sz w:val="24"/>
        </w:rPr>
        <w:t xml:space="preserve"> </w:t>
      </w:r>
      <w:r w:rsidRPr="00F54559">
        <w:rPr>
          <w:rFonts w:eastAsia="Franklin Gothic Book" w:cstheme="minorHAnsi"/>
          <w:b/>
          <w:i/>
          <w:sz w:val="24"/>
        </w:rPr>
        <w:t>in</w:t>
      </w:r>
      <w:r w:rsidRPr="00F54559">
        <w:rPr>
          <w:rFonts w:eastAsia="Franklin Gothic Book" w:cstheme="minorHAnsi"/>
          <w:b/>
          <w:i/>
          <w:spacing w:val="-6"/>
          <w:sz w:val="24"/>
        </w:rPr>
        <w:t xml:space="preserve"> </w:t>
      </w:r>
      <w:r w:rsidRPr="00F54559">
        <w:rPr>
          <w:rFonts w:eastAsia="Franklin Gothic Book" w:cstheme="minorHAnsi"/>
          <w:b/>
          <w:i/>
          <w:spacing w:val="-2"/>
          <w:sz w:val="24"/>
        </w:rPr>
        <w:t>t</w:t>
      </w:r>
      <w:r w:rsidRPr="00F54559">
        <w:rPr>
          <w:rFonts w:eastAsia="Franklin Gothic Book" w:cstheme="minorHAnsi"/>
          <w:b/>
          <w:i/>
          <w:sz w:val="24"/>
        </w:rPr>
        <w:t>he</w:t>
      </w:r>
      <w:r w:rsidRPr="00F54559">
        <w:rPr>
          <w:rFonts w:eastAsia="Franklin Gothic Book" w:cstheme="minorHAnsi"/>
          <w:b/>
          <w:i/>
          <w:spacing w:val="-6"/>
          <w:sz w:val="24"/>
        </w:rPr>
        <w:t xml:space="preserve"> healthcare cost trend rates</w:t>
      </w:r>
      <w:r w:rsidRPr="00F54559">
        <w:rPr>
          <w:rFonts w:eastAsia="Franklin Gothic Book" w:cstheme="minorHAnsi"/>
          <w:b/>
          <w:i/>
          <w:sz w:val="24"/>
        </w:rPr>
        <w:t>:</w:t>
      </w:r>
      <w:r w:rsidRPr="00F54559">
        <w:rPr>
          <w:rFonts w:eastAsia="Franklin Gothic Book" w:cstheme="minorHAnsi"/>
          <w:i/>
          <w:sz w:val="24"/>
        </w:rPr>
        <w:t xml:space="preserve">  </w:t>
      </w:r>
      <w:r w:rsidRPr="00F54559">
        <w:rPr>
          <w:rFonts w:eastAsia="Times New Roman" w:cstheme="minorHAnsi"/>
          <w:spacing w:val="-1"/>
          <w:sz w:val="24"/>
        </w:rPr>
        <w:t>T</w:t>
      </w:r>
      <w:r w:rsidRPr="00F54559">
        <w:rPr>
          <w:rFonts w:eastAsia="Times New Roman" w:cstheme="minorHAnsi"/>
          <w:sz w:val="24"/>
        </w:rPr>
        <w:t>he foll</w:t>
      </w:r>
      <w:r w:rsidRPr="00F54559">
        <w:rPr>
          <w:rFonts w:eastAsia="Times New Roman" w:cstheme="minorHAnsi"/>
          <w:spacing w:val="-1"/>
          <w:sz w:val="24"/>
        </w:rPr>
        <w:t>o</w:t>
      </w:r>
      <w:r w:rsidRPr="00F54559">
        <w:rPr>
          <w:rFonts w:eastAsia="Times New Roman" w:cstheme="minorHAnsi"/>
          <w:sz w:val="24"/>
        </w:rPr>
        <w:t>wing</w:t>
      </w:r>
      <w:r w:rsidRPr="00F54559">
        <w:rPr>
          <w:rFonts w:eastAsia="Times New Roman" w:cstheme="minorHAnsi"/>
          <w:spacing w:val="1"/>
          <w:sz w:val="24"/>
        </w:rPr>
        <w:t xml:space="preserve"> </w:t>
      </w:r>
      <w:r w:rsidRPr="00F54559">
        <w:rPr>
          <w:rFonts w:eastAsia="Times New Roman" w:cstheme="minorHAnsi"/>
          <w:spacing w:val="-1"/>
          <w:sz w:val="24"/>
        </w:rPr>
        <w:t>pr</w:t>
      </w:r>
      <w:r w:rsidRPr="00F54559">
        <w:rPr>
          <w:rFonts w:eastAsia="Times New Roman" w:cstheme="minorHAnsi"/>
          <w:sz w:val="24"/>
        </w:rPr>
        <w:t>esen</w:t>
      </w:r>
      <w:r w:rsidRPr="00F54559">
        <w:rPr>
          <w:rFonts w:eastAsia="Times New Roman" w:cstheme="minorHAnsi"/>
          <w:spacing w:val="1"/>
          <w:sz w:val="24"/>
        </w:rPr>
        <w:t>t</w:t>
      </w:r>
      <w:r w:rsidRPr="00F54559">
        <w:rPr>
          <w:rFonts w:eastAsia="Times New Roman" w:cstheme="minorHAnsi"/>
          <w:sz w:val="24"/>
        </w:rPr>
        <w:t>s</w:t>
      </w:r>
      <w:r w:rsidRPr="00F54559">
        <w:rPr>
          <w:rFonts w:eastAsia="Times New Roman" w:cstheme="minorHAnsi"/>
          <w:spacing w:val="1"/>
          <w:sz w:val="24"/>
        </w:rPr>
        <w:t xml:space="preserve"> </w:t>
      </w:r>
      <w:r w:rsidRPr="00F54559">
        <w:rPr>
          <w:rFonts w:eastAsia="Times New Roman" w:cstheme="minorHAnsi"/>
          <w:sz w:val="24"/>
        </w:rPr>
        <w:t>the</w:t>
      </w:r>
      <w:r w:rsidRPr="00F54559">
        <w:rPr>
          <w:rFonts w:eastAsia="Times New Roman" w:cstheme="minorHAnsi"/>
          <w:spacing w:val="1"/>
          <w:sz w:val="24"/>
        </w:rPr>
        <w:t xml:space="preserve"> </w:t>
      </w:r>
      <w:r w:rsidRPr="00F54559">
        <w:rPr>
          <w:rFonts w:eastAsia="Times New Roman" w:cstheme="minorHAnsi"/>
          <w:sz w:val="24"/>
        </w:rPr>
        <w:t xml:space="preserve">net </w:t>
      </w:r>
      <w:r w:rsidRPr="00F54559">
        <w:rPr>
          <w:rFonts w:eastAsia="Times New Roman" w:cstheme="minorHAnsi"/>
          <w:spacing w:val="-1"/>
          <w:sz w:val="24"/>
        </w:rPr>
        <w:t>OPEB</w:t>
      </w:r>
      <w:r w:rsidRPr="00F54559">
        <w:rPr>
          <w:rFonts w:eastAsia="Times New Roman" w:cstheme="minorHAnsi"/>
          <w:spacing w:val="1"/>
          <w:sz w:val="24"/>
        </w:rPr>
        <w:t xml:space="preserve"> </w:t>
      </w:r>
      <w:r w:rsidRPr="00F54559">
        <w:rPr>
          <w:rFonts w:eastAsia="Times New Roman" w:cstheme="minorHAnsi"/>
          <w:sz w:val="24"/>
        </w:rPr>
        <w:t>liability</w:t>
      </w:r>
      <w:r w:rsidRPr="00F54559">
        <w:rPr>
          <w:rFonts w:eastAsia="Times New Roman" w:cstheme="minorHAnsi"/>
          <w:spacing w:val="-1"/>
          <w:sz w:val="24"/>
        </w:rPr>
        <w:t xml:space="preserve"> as of June 30, </w:t>
      </w:r>
      <w:r w:rsidRPr="00F54559">
        <w:rPr>
          <w:rFonts w:eastAsia="Times New Roman" w:cstheme="minorHAnsi"/>
          <w:sz w:val="24"/>
        </w:rPr>
        <w:t>calcula</w:t>
      </w:r>
      <w:r w:rsidRPr="00F54559">
        <w:rPr>
          <w:rFonts w:eastAsia="Times New Roman" w:cstheme="minorHAnsi"/>
          <w:spacing w:val="1"/>
          <w:sz w:val="24"/>
        </w:rPr>
        <w:t>t</w:t>
      </w:r>
      <w:r w:rsidRPr="00F54559">
        <w:rPr>
          <w:rFonts w:eastAsia="Times New Roman" w:cstheme="minorHAnsi"/>
          <w:sz w:val="24"/>
        </w:rPr>
        <w:t>ed</w:t>
      </w:r>
      <w:r w:rsidRPr="00F54559">
        <w:rPr>
          <w:rFonts w:eastAsia="Times New Roman" w:cstheme="minorHAnsi"/>
          <w:spacing w:val="2"/>
          <w:sz w:val="24"/>
        </w:rPr>
        <w:t xml:space="preserve"> </w:t>
      </w:r>
      <w:r w:rsidRPr="00F54559">
        <w:rPr>
          <w:rFonts w:eastAsia="Times New Roman" w:cstheme="minorHAnsi"/>
          <w:sz w:val="24"/>
        </w:rPr>
        <w:t>u</w:t>
      </w:r>
      <w:r w:rsidRPr="00F54559">
        <w:rPr>
          <w:rFonts w:eastAsia="Times New Roman" w:cstheme="minorHAnsi"/>
          <w:spacing w:val="1"/>
          <w:sz w:val="24"/>
        </w:rPr>
        <w:t>s</w:t>
      </w:r>
      <w:r w:rsidRPr="00F54559">
        <w:rPr>
          <w:rFonts w:eastAsia="Times New Roman" w:cstheme="minorHAnsi"/>
          <w:sz w:val="24"/>
        </w:rPr>
        <w:t>ing the</w:t>
      </w:r>
      <w:r w:rsidRPr="00F54559">
        <w:rPr>
          <w:rFonts w:eastAsia="Times New Roman" w:cstheme="minorHAnsi"/>
          <w:spacing w:val="1"/>
          <w:sz w:val="24"/>
        </w:rPr>
        <w:t xml:space="preserve"> respective current </w:t>
      </w:r>
      <w:r w:rsidRPr="00F54559">
        <w:rPr>
          <w:rFonts w:eastAsia="Times New Roman" w:cstheme="minorHAnsi"/>
          <w:sz w:val="24"/>
        </w:rPr>
        <w:t>healthcare cost trend rates</w:t>
      </w:r>
      <w:r w:rsidRPr="00F54559">
        <w:rPr>
          <w:rFonts w:eastAsia="Times New Roman" w:cstheme="minorHAnsi"/>
          <w:spacing w:val="3"/>
          <w:sz w:val="24"/>
        </w:rPr>
        <w:t xml:space="preserve"> </w:t>
      </w:r>
      <w:r w:rsidRPr="00F54559">
        <w:rPr>
          <w:rFonts w:eastAsia="Times New Roman" w:cstheme="minorHAnsi"/>
          <w:sz w:val="24"/>
        </w:rPr>
        <w:t>as</w:t>
      </w:r>
      <w:r w:rsidRPr="00F54559">
        <w:rPr>
          <w:rFonts w:eastAsia="Times New Roman" w:cstheme="minorHAnsi"/>
          <w:spacing w:val="1"/>
          <w:sz w:val="24"/>
        </w:rPr>
        <w:t xml:space="preserve"> </w:t>
      </w:r>
      <w:r w:rsidRPr="00F54559">
        <w:rPr>
          <w:rFonts w:eastAsia="Times New Roman" w:cstheme="minorHAnsi"/>
          <w:sz w:val="24"/>
        </w:rPr>
        <w:t>w</w:t>
      </w:r>
      <w:r w:rsidRPr="00F54559">
        <w:rPr>
          <w:rFonts w:eastAsia="Times New Roman" w:cstheme="minorHAnsi"/>
          <w:spacing w:val="-1"/>
          <w:sz w:val="24"/>
        </w:rPr>
        <w:t>e</w:t>
      </w:r>
      <w:r w:rsidRPr="00F54559">
        <w:rPr>
          <w:rFonts w:eastAsia="Times New Roman" w:cstheme="minorHAnsi"/>
          <w:sz w:val="24"/>
        </w:rPr>
        <w:t>ll as</w:t>
      </w:r>
      <w:r w:rsidRPr="00F54559">
        <w:rPr>
          <w:rFonts w:eastAsia="Times New Roman" w:cstheme="minorHAnsi"/>
          <w:spacing w:val="1"/>
          <w:sz w:val="24"/>
        </w:rPr>
        <w:t xml:space="preserve"> </w:t>
      </w:r>
      <w:r w:rsidRPr="00F54559">
        <w:rPr>
          <w:rFonts w:eastAsia="Times New Roman" w:cstheme="minorHAnsi"/>
          <w:spacing w:val="-1"/>
          <w:sz w:val="24"/>
        </w:rPr>
        <w:t>using healthcare cost trend rates that are 1-percentage point lower or 1-percentage point higher than the current healthcare cost trend rates:</w:t>
      </w:r>
    </w:p>
    <w:tbl>
      <w:tblPr>
        <w:tblW w:w="9180" w:type="dxa"/>
        <w:tblLayout w:type="fixed"/>
        <w:tblCellMar>
          <w:left w:w="72" w:type="dxa"/>
          <w:right w:w="72" w:type="dxa"/>
        </w:tblCellMar>
        <w:tblLook w:val="04A0" w:firstRow="1" w:lastRow="0" w:firstColumn="1" w:lastColumn="0" w:noHBand="0" w:noVBand="1"/>
      </w:tblPr>
      <w:tblGrid>
        <w:gridCol w:w="2160"/>
        <w:gridCol w:w="180"/>
        <w:gridCol w:w="990"/>
        <w:gridCol w:w="1170"/>
        <w:gridCol w:w="990"/>
        <w:gridCol w:w="180"/>
        <w:gridCol w:w="180"/>
        <w:gridCol w:w="990"/>
        <w:gridCol w:w="1182"/>
        <w:gridCol w:w="978"/>
        <w:gridCol w:w="180"/>
      </w:tblGrid>
      <w:tr w:rsidR="000D58D0" w:rsidRPr="00CE7B7D" w14:paraId="13A7C121" w14:textId="77777777" w:rsidTr="000D58D0">
        <w:trPr>
          <w:trHeight w:val="288"/>
          <w:tblHeader/>
        </w:trPr>
        <w:tc>
          <w:tcPr>
            <w:tcW w:w="2160" w:type="dxa"/>
            <w:tcBorders>
              <w:top w:val="nil"/>
              <w:left w:val="nil"/>
              <w:bottom w:val="nil"/>
              <w:right w:val="nil"/>
            </w:tcBorders>
            <w:shd w:val="clear" w:color="auto" w:fill="auto"/>
            <w:noWrap/>
            <w:vAlign w:val="bottom"/>
            <w:hideMark/>
          </w:tcPr>
          <w:p w14:paraId="2AAA532D" w14:textId="77777777" w:rsidR="000D58D0" w:rsidRPr="00CE7B7D" w:rsidRDefault="000D58D0" w:rsidP="007B5BB3">
            <w:pPr>
              <w:rPr>
                <w:rFonts w:ascii="Times New Roman" w:eastAsia="Times New Roman" w:hAnsi="Times New Roman" w:cs="Times New Roman"/>
                <w:sz w:val="24"/>
                <w:szCs w:val="24"/>
              </w:rPr>
            </w:pPr>
          </w:p>
        </w:tc>
        <w:tc>
          <w:tcPr>
            <w:tcW w:w="180" w:type="dxa"/>
            <w:tcBorders>
              <w:top w:val="nil"/>
              <w:left w:val="nil"/>
              <w:bottom w:val="single" w:sz="4" w:space="0" w:color="auto"/>
              <w:right w:val="nil"/>
            </w:tcBorders>
            <w:shd w:val="clear" w:color="auto" w:fill="auto"/>
            <w:noWrap/>
            <w:vAlign w:val="bottom"/>
            <w:hideMark/>
          </w:tcPr>
          <w:p w14:paraId="3FB69806" w14:textId="7CB29E33" w:rsidR="000D58D0" w:rsidRPr="00CE7B7D" w:rsidRDefault="000D58D0" w:rsidP="007B5BB3">
            <w:pPr>
              <w:jc w:val="center"/>
              <w:rPr>
                <w:rFonts w:ascii="Calibri" w:eastAsia="Times New Roman" w:hAnsi="Calibri" w:cs="Calibri"/>
                <w:b/>
                <w:bCs/>
              </w:rPr>
            </w:pPr>
          </w:p>
        </w:tc>
        <w:tc>
          <w:tcPr>
            <w:tcW w:w="3150" w:type="dxa"/>
            <w:gridSpan w:val="3"/>
            <w:tcBorders>
              <w:top w:val="nil"/>
              <w:left w:val="nil"/>
              <w:bottom w:val="single" w:sz="4" w:space="0" w:color="auto"/>
              <w:right w:val="nil"/>
            </w:tcBorders>
            <w:shd w:val="clear" w:color="auto" w:fill="auto"/>
            <w:vAlign w:val="bottom"/>
          </w:tcPr>
          <w:p w14:paraId="5AF304C1" w14:textId="6B6C14D8" w:rsidR="000D58D0" w:rsidRPr="00CE7B7D" w:rsidRDefault="000D58D0" w:rsidP="007B5BB3">
            <w:pPr>
              <w:jc w:val="center"/>
              <w:rPr>
                <w:rFonts w:ascii="Calibri" w:eastAsia="Times New Roman" w:hAnsi="Calibri" w:cs="Calibri"/>
                <w:b/>
                <w:bCs/>
              </w:rPr>
            </w:pPr>
            <w:r w:rsidRPr="00CE7B7D">
              <w:rPr>
                <w:rFonts w:ascii="Calibri" w:eastAsia="Times New Roman" w:hAnsi="Calibri" w:cs="Calibri"/>
                <w:b/>
                <w:bCs/>
              </w:rPr>
              <w:t>June 30, 202</w:t>
            </w:r>
            <w:r>
              <w:rPr>
                <w:rFonts w:ascii="Calibri" w:eastAsia="Times New Roman" w:hAnsi="Calibri" w:cs="Calibri"/>
                <w:b/>
                <w:bCs/>
              </w:rPr>
              <w:t>2</w:t>
            </w:r>
          </w:p>
        </w:tc>
        <w:tc>
          <w:tcPr>
            <w:tcW w:w="180" w:type="dxa"/>
            <w:tcBorders>
              <w:top w:val="nil"/>
              <w:left w:val="nil"/>
              <w:bottom w:val="single" w:sz="4" w:space="0" w:color="auto"/>
              <w:right w:val="nil"/>
            </w:tcBorders>
            <w:shd w:val="clear" w:color="auto" w:fill="auto"/>
            <w:vAlign w:val="bottom"/>
          </w:tcPr>
          <w:p w14:paraId="6345BF7C" w14:textId="56A62A6E" w:rsidR="000D58D0" w:rsidRPr="00CE7B7D" w:rsidRDefault="000D58D0" w:rsidP="007B5BB3">
            <w:pPr>
              <w:jc w:val="center"/>
              <w:rPr>
                <w:rFonts w:ascii="Calibri" w:eastAsia="Times New Roman" w:hAnsi="Calibri" w:cs="Calibri"/>
                <w:b/>
                <w:bCs/>
              </w:rPr>
            </w:pPr>
          </w:p>
        </w:tc>
        <w:tc>
          <w:tcPr>
            <w:tcW w:w="180" w:type="dxa"/>
            <w:tcBorders>
              <w:top w:val="nil"/>
              <w:left w:val="nil"/>
              <w:bottom w:val="single" w:sz="4" w:space="0" w:color="auto"/>
              <w:right w:val="nil"/>
            </w:tcBorders>
            <w:shd w:val="clear" w:color="auto" w:fill="D9D9D9" w:themeFill="background1" w:themeFillShade="D9"/>
            <w:noWrap/>
            <w:vAlign w:val="bottom"/>
            <w:hideMark/>
          </w:tcPr>
          <w:p w14:paraId="65FEBEC5" w14:textId="2FAC330D" w:rsidR="000D58D0" w:rsidRPr="00CE7B7D" w:rsidRDefault="000D58D0" w:rsidP="007B5BB3">
            <w:pPr>
              <w:jc w:val="center"/>
              <w:rPr>
                <w:rFonts w:ascii="Calibri" w:eastAsia="Times New Roman" w:hAnsi="Calibri" w:cs="Calibri"/>
                <w:b/>
                <w:bCs/>
              </w:rPr>
            </w:pPr>
          </w:p>
        </w:tc>
        <w:tc>
          <w:tcPr>
            <w:tcW w:w="3150" w:type="dxa"/>
            <w:gridSpan w:val="3"/>
            <w:tcBorders>
              <w:top w:val="nil"/>
              <w:left w:val="nil"/>
              <w:bottom w:val="single" w:sz="4" w:space="0" w:color="auto"/>
              <w:right w:val="nil"/>
            </w:tcBorders>
            <w:shd w:val="clear" w:color="auto" w:fill="D9D9D9" w:themeFill="background1" w:themeFillShade="D9"/>
            <w:vAlign w:val="bottom"/>
          </w:tcPr>
          <w:p w14:paraId="78E98625" w14:textId="7C2F3DC1" w:rsidR="000D58D0" w:rsidRPr="00CE7B7D" w:rsidRDefault="000D58D0" w:rsidP="007B5BB3">
            <w:pPr>
              <w:jc w:val="center"/>
              <w:rPr>
                <w:rFonts w:ascii="Calibri" w:eastAsia="Times New Roman" w:hAnsi="Calibri" w:cs="Calibri"/>
                <w:b/>
                <w:bCs/>
              </w:rPr>
            </w:pPr>
            <w:r w:rsidRPr="00CE7B7D">
              <w:rPr>
                <w:rFonts w:ascii="Calibri" w:eastAsia="Times New Roman" w:hAnsi="Calibri" w:cs="Calibri"/>
                <w:b/>
                <w:bCs/>
              </w:rPr>
              <w:t>June 30, 20</w:t>
            </w:r>
            <w:r>
              <w:rPr>
                <w:rFonts w:ascii="Calibri" w:eastAsia="Times New Roman" w:hAnsi="Calibri" w:cs="Calibri"/>
                <w:b/>
                <w:bCs/>
              </w:rPr>
              <w:t>21</w:t>
            </w:r>
          </w:p>
        </w:tc>
        <w:tc>
          <w:tcPr>
            <w:tcW w:w="180" w:type="dxa"/>
            <w:tcBorders>
              <w:top w:val="nil"/>
              <w:left w:val="nil"/>
              <w:bottom w:val="single" w:sz="4" w:space="0" w:color="auto"/>
              <w:right w:val="nil"/>
            </w:tcBorders>
            <w:shd w:val="clear" w:color="auto" w:fill="D9D9D9" w:themeFill="background1" w:themeFillShade="D9"/>
            <w:vAlign w:val="bottom"/>
          </w:tcPr>
          <w:p w14:paraId="05CFE599" w14:textId="6AC36B78" w:rsidR="000D58D0" w:rsidRPr="00CE7B7D" w:rsidRDefault="000D58D0" w:rsidP="007B5BB3">
            <w:pPr>
              <w:jc w:val="center"/>
              <w:rPr>
                <w:rFonts w:ascii="Calibri" w:eastAsia="Times New Roman" w:hAnsi="Calibri" w:cs="Calibri"/>
                <w:b/>
                <w:bCs/>
              </w:rPr>
            </w:pPr>
          </w:p>
        </w:tc>
      </w:tr>
      <w:tr w:rsidR="00721CFD" w:rsidRPr="00CE7B7D" w14:paraId="620B9507" w14:textId="77777777" w:rsidTr="007B5BB3">
        <w:trPr>
          <w:trHeight w:val="1728"/>
          <w:tblHeader/>
        </w:trPr>
        <w:tc>
          <w:tcPr>
            <w:tcW w:w="2160" w:type="dxa"/>
            <w:tcBorders>
              <w:top w:val="nil"/>
              <w:left w:val="nil"/>
              <w:bottom w:val="nil"/>
              <w:right w:val="nil"/>
            </w:tcBorders>
            <w:shd w:val="clear" w:color="000000" w:fill="FFFFFF"/>
            <w:noWrap/>
            <w:vAlign w:val="bottom"/>
            <w:hideMark/>
          </w:tcPr>
          <w:p w14:paraId="25A8B85A" w14:textId="77777777" w:rsidR="00721CFD" w:rsidRPr="00CE7B7D" w:rsidRDefault="00721CFD" w:rsidP="007B5BB3">
            <w:pPr>
              <w:rPr>
                <w:rFonts w:ascii="Calibri" w:eastAsia="Times New Roman" w:hAnsi="Calibri" w:cs="Calibri"/>
                <w:b/>
                <w:bCs/>
                <w:color w:val="FF0000"/>
              </w:rPr>
            </w:pPr>
            <w:r w:rsidRPr="00D2701E">
              <w:rPr>
                <w:rFonts w:ascii="Calibri" w:eastAsia="Times New Roman" w:hAnsi="Calibri" w:cs="Calibri"/>
                <w:b/>
                <w:bCs/>
              </w:rPr>
              <w:t> </w:t>
            </w:r>
          </w:p>
        </w:tc>
        <w:tc>
          <w:tcPr>
            <w:tcW w:w="1170" w:type="dxa"/>
            <w:gridSpan w:val="2"/>
            <w:tcBorders>
              <w:top w:val="nil"/>
              <w:left w:val="nil"/>
              <w:bottom w:val="nil"/>
              <w:right w:val="nil"/>
            </w:tcBorders>
            <w:shd w:val="clear" w:color="000000" w:fill="FFFFFF"/>
            <w:vAlign w:val="bottom"/>
            <w:hideMark/>
          </w:tcPr>
          <w:p w14:paraId="54B5125C" w14:textId="77777777" w:rsidR="00721CFD" w:rsidRPr="000B39D1" w:rsidRDefault="00721CFD" w:rsidP="007B5BB3">
            <w:pPr>
              <w:jc w:val="center"/>
              <w:rPr>
                <w:rFonts w:ascii="Calibri" w:hAnsi="Calibri" w:cs="Calibri"/>
                <w:bCs/>
              </w:rPr>
            </w:pPr>
            <w:r w:rsidRPr="000B39D1">
              <w:rPr>
                <w:rFonts w:ascii="Calibri" w:hAnsi="Calibri" w:cs="Calibri"/>
                <w:bCs/>
              </w:rPr>
              <w:t>1%</w:t>
            </w:r>
          </w:p>
          <w:p w14:paraId="418E4011" w14:textId="77777777" w:rsidR="00721CFD" w:rsidRPr="000B39D1" w:rsidRDefault="00721CFD" w:rsidP="007B5BB3">
            <w:pPr>
              <w:jc w:val="center"/>
              <w:rPr>
                <w:rFonts w:ascii="Calibri" w:eastAsia="Times New Roman" w:hAnsi="Calibri" w:cs="Calibri"/>
                <w:bCs/>
              </w:rPr>
            </w:pPr>
            <w:r w:rsidRPr="000B39D1">
              <w:rPr>
                <w:rFonts w:ascii="Calibri" w:hAnsi="Calibri" w:cs="Calibri"/>
                <w:bCs/>
              </w:rPr>
              <w:t xml:space="preserve">Decrease </w:t>
            </w:r>
            <w:r w:rsidRPr="000B39D1">
              <w:rPr>
                <w:rFonts w:ascii="Calibri" w:hAnsi="Calibri" w:cs="Calibri"/>
                <w:bCs/>
              </w:rPr>
              <w:br/>
              <w:t>5% Year 1 Decreasing to 3%</w:t>
            </w:r>
          </w:p>
        </w:tc>
        <w:tc>
          <w:tcPr>
            <w:tcW w:w="1170" w:type="dxa"/>
            <w:tcBorders>
              <w:top w:val="nil"/>
              <w:left w:val="nil"/>
              <w:bottom w:val="nil"/>
              <w:right w:val="nil"/>
            </w:tcBorders>
            <w:shd w:val="clear" w:color="000000" w:fill="FFFFFF"/>
            <w:vAlign w:val="bottom"/>
            <w:hideMark/>
          </w:tcPr>
          <w:p w14:paraId="093CB48E" w14:textId="77777777" w:rsidR="00721CFD" w:rsidRPr="000B39D1" w:rsidRDefault="00721CFD" w:rsidP="007B5BB3">
            <w:pPr>
              <w:jc w:val="center"/>
              <w:rPr>
                <w:rFonts w:ascii="Calibri" w:eastAsia="Times New Roman" w:hAnsi="Calibri" w:cs="Calibri"/>
                <w:bCs/>
              </w:rPr>
            </w:pPr>
            <w:r w:rsidRPr="000B39D1">
              <w:rPr>
                <w:rFonts w:ascii="Calibri" w:hAnsi="Calibri" w:cs="Calibri"/>
                <w:bCs/>
              </w:rPr>
              <w:t>Healthcare Cost TrendRates6%  Year 1 Decreasing to 4%</w:t>
            </w:r>
          </w:p>
        </w:tc>
        <w:tc>
          <w:tcPr>
            <w:tcW w:w="1170" w:type="dxa"/>
            <w:gridSpan w:val="2"/>
            <w:tcBorders>
              <w:top w:val="nil"/>
              <w:left w:val="nil"/>
              <w:bottom w:val="nil"/>
              <w:right w:val="nil"/>
            </w:tcBorders>
            <w:shd w:val="clear" w:color="000000" w:fill="FFFFFF"/>
            <w:vAlign w:val="bottom"/>
            <w:hideMark/>
          </w:tcPr>
          <w:p w14:paraId="78E76008" w14:textId="77777777" w:rsidR="00721CFD" w:rsidRPr="000B39D1" w:rsidRDefault="00721CFD" w:rsidP="007B5BB3">
            <w:pPr>
              <w:jc w:val="center"/>
              <w:rPr>
                <w:rFonts w:ascii="Calibri" w:hAnsi="Calibri" w:cs="Calibri"/>
                <w:bCs/>
              </w:rPr>
            </w:pPr>
            <w:r w:rsidRPr="000B39D1">
              <w:rPr>
                <w:rFonts w:ascii="Calibri" w:hAnsi="Calibri" w:cs="Calibri"/>
                <w:bCs/>
              </w:rPr>
              <w:t>1%</w:t>
            </w:r>
          </w:p>
          <w:p w14:paraId="5F5C18CD" w14:textId="77777777" w:rsidR="00721CFD" w:rsidRPr="000B39D1" w:rsidRDefault="00721CFD" w:rsidP="007B5BB3">
            <w:pPr>
              <w:jc w:val="center"/>
              <w:rPr>
                <w:rFonts w:ascii="Calibri" w:eastAsia="Times New Roman" w:hAnsi="Calibri" w:cs="Calibri"/>
                <w:bCs/>
              </w:rPr>
            </w:pPr>
            <w:r w:rsidRPr="000B39D1">
              <w:rPr>
                <w:rFonts w:ascii="Calibri" w:hAnsi="Calibri" w:cs="Calibri"/>
                <w:bCs/>
              </w:rPr>
              <w:t xml:space="preserve">Increase </w:t>
            </w:r>
            <w:r w:rsidRPr="000B39D1">
              <w:rPr>
                <w:rFonts w:ascii="Calibri" w:hAnsi="Calibri" w:cs="Calibri"/>
                <w:bCs/>
              </w:rPr>
              <w:br/>
              <w:t>7% Year 1 Decreasing to 5%</w:t>
            </w:r>
          </w:p>
        </w:tc>
        <w:tc>
          <w:tcPr>
            <w:tcW w:w="1170" w:type="dxa"/>
            <w:gridSpan w:val="2"/>
            <w:tcBorders>
              <w:top w:val="nil"/>
              <w:left w:val="nil"/>
              <w:bottom w:val="nil"/>
              <w:right w:val="nil"/>
            </w:tcBorders>
            <w:shd w:val="clear" w:color="auto" w:fill="D9D9D9" w:themeFill="background1" w:themeFillShade="D9"/>
            <w:vAlign w:val="bottom"/>
            <w:hideMark/>
          </w:tcPr>
          <w:p w14:paraId="6B306116" w14:textId="77777777" w:rsidR="00721CFD" w:rsidRDefault="00721CFD" w:rsidP="007B5BB3">
            <w:pPr>
              <w:jc w:val="center"/>
              <w:rPr>
                <w:rFonts w:ascii="Calibri" w:hAnsi="Calibri" w:cs="Calibri"/>
                <w:bCs/>
              </w:rPr>
            </w:pPr>
            <w:r w:rsidRPr="00BF66AC">
              <w:rPr>
                <w:rFonts w:ascii="Calibri" w:hAnsi="Calibri" w:cs="Calibri"/>
                <w:bCs/>
              </w:rPr>
              <w:t>1%</w:t>
            </w:r>
          </w:p>
          <w:p w14:paraId="3A09896C" w14:textId="77777777" w:rsidR="00721CFD" w:rsidRPr="00B77D08" w:rsidRDefault="00721CFD" w:rsidP="007B5BB3">
            <w:pPr>
              <w:jc w:val="center"/>
              <w:rPr>
                <w:rFonts w:ascii="Calibri" w:eastAsia="Times New Roman" w:hAnsi="Calibri" w:cs="Calibri"/>
                <w:bCs/>
              </w:rPr>
            </w:pPr>
            <w:r w:rsidRPr="00BF66AC">
              <w:rPr>
                <w:rFonts w:ascii="Calibri" w:hAnsi="Calibri" w:cs="Calibri"/>
                <w:bCs/>
              </w:rPr>
              <w:t xml:space="preserve">Decrease </w:t>
            </w:r>
            <w:r w:rsidRPr="00BF66AC">
              <w:rPr>
                <w:rFonts w:ascii="Calibri" w:hAnsi="Calibri" w:cs="Calibri"/>
                <w:bCs/>
              </w:rPr>
              <w:br/>
              <w:t>5% Year 1 Decreasing to 3%</w:t>
            </w:r>
          </w:p>
        </w:tc>
        <w:tc>
          <w:tcPr>
            <w:tcW w:w="1182" w:type="dxa"/>
            <w:tcBorders>
              <w:top w:val="nil"/>
              <w:left w:val="nil"/>
              <w:bottom w:val="nil"/>
              <w:right w:val="nil"/>
            </w:tcBorders>
            <w:shd w:val="clear" w:color="auto" w:fill="D9D9D9" w:themeFill="background1" w:themeFillShade="D9"/>
            <w:vAlign w:val="bottom"/>
            <w:hideMark/>
          </w:tcPr>
          <w:p w14:paraId="1AE9B49A" w14:textId="77777777" w:rsidR="00721CFD" w:rsidRPr="00B77D08" w:rsidRDefault="00721CFD" w:rsidP="007B5BB3">
            <w:pPr>
              <w:jc w:val="center"/>
              <w:rPr>
                <w:rFonts w:ascii="Calibri" w:eastAsia="Times New Roman" w:hAnsi="Calibri" w:cs="Calibri"/>
                <w:bCs/>
              </w:rPr>
            </w:pPr>
            <w:r w:rsidRPr="00BF66AC">
              <w:rPr>
                <w:rFonts w:ascii="Calibri" w:hAnsi="Calibri" w:cs="Calibri"/>
                <w:bCs/>
              </w:rPr>
              <w:t>Healthcare Cost TrendRates6%</w:t>
            </w:r>
            <w:r>
              <w:rPr>
                <w:rFonts w:ascii="Calibri" w:hAnsi="Calibri" w:cs="Calibri"/>
                <w:bCs/>
              </w:rPr>
              <w:t xml:space="preserve"> </w:t>
            </w:r>
            <w:r w:rsidRPr="00BF66AC">
              <w:rPr>
                <w:rFonts w:ascii="Calibri" w:hAnsi="Calibri" w:cs="Calibri"/>
                <w:bCs/>
              </w:rPr>
              <w:t xml:space="preserve"> Year 1 Decreasing to 4%</w:t>
            </w:r>
          </w:p>
        </w:tc>
        <w:tc>
          <w:tcPr>
            <w:tcW w:w="1158" w:type="dxa"/>
            <w:gridSpan w:val="2"/>
            <w:tcBorders>
              <w:top w:val="nil"/>
              <w:left w:val="nil"/>
              <w:bottom w:val="nil"/>
              <w:right w:val="nil"/>
            </w:tcBorders>
            <w:shd w:val="clear" w:color="auto" w:fill="D9D9D9" w:themeFill="background1" w:themeFillShade="D9"/>
            <w:vAlign w:val="bottom"/>
            <w:hideMark/>
          </w:tcPr>
          <w:p w14:paraId="12C22C8C" w14:textId="77777777" w:rsidR="00721CFD" w:rsidRDefault="00721CFD" w:rsidP="007B5BB3">
            <w:pPr>
              <w:jc w:val="center"/>
              <w:rPr>
                <w:rFonts w:ascii="Calibri" w:hAnsi="Calibri" w:cs="Calibri"/>
                <w:bCs/>
              </w:rPr>
            </w:pPr>
            <w:r w:rsidRPr="00BF66AC">
              <w:rPr>
                <w:rFonts w:ascii="Calibri" w:hAnsi="Calibri" w:cs="Calibri"/>
                <w:bCs/>
              </w:rPr>
              <w:t>1%</w:t>
            </w:r>
          </w:p>
          <w:p w14:paraId="3E33BDF7" w14:textId="77777777" w:rsidR="00721CFD" w:rsidRPr="00B77D08" w:rsidRDefault="00721CFD" w:rsidP="007B5BB3">
            <w:pPr>
              <w:jc w:val="center"/>
              <w:rPr>
                <w:rFonts w:ascii="Calibri" w:eastAsia="Times New Roman" w:hAnsi="Calibri" w:cs="Calibri"/>
                <w:bCs/>
              </w:rPr>
            </w:pPr>
            <w:r w:rsidRPr="00BF66AC">
              <w:rPr>
                <w:rFonts w:ascii="Calibri" w:hAnsi="Calibri" w:cs="Calibri"/>
                <w:bCs/>
              </w:rPr>
              <w:t xml:space="preserve">Increase </w:t>
            </w:r>
            <w:r w:rsidRPr="00BF66AC">
              <w:rPr>
                <w:rFonts w:ascii="Calibri" w:hAnsi="Calibri" w:cs="Calibri"/>
                <w:bCs/>
              </w:rPr>
              <w:br/>
              <w:t>7% Year 1 Decreasing to 5%</w:t>
            </w:r>
          </w:p>
        </w:tc>
      </w:tr>
      <w:tr w:rsidR="00721CFD" w:rsidRPr="00CE7B7D" w14:paraId="4FAB2B97" w14:textId="77777777" w:rsidTr="007B5BB3">
        <w:trPr>
          <w:trHeight w:val="396"/>
        </w:trPr>
        <w:tc>
          <w:tcPr>
            <w:tcW w:w="2160" w:type="dxa"/>
            <w:tcBorders>
              <w:top w:val="nil"/>
              <w:left w:val="nil"/>
              <w:bottom w:val="nil"/>
              <w:right w:val="nil"/>
            </w:tcBorders>
            <w:shd w:val="clear" w:color="000000" w:fill="FFFFFF"/>
            <w:noWrap/>
            <w:vAlign w:val="bottom"/>
            <w:hideMark/>
          </w:tcPr>
          <w:p w14:paraId="716127C0" w14:textId="77777777" w:rsidR="00721CFD" w:rsidRPr="00CE7B7D" w:rsidRDefault="00721CFD" w:rsidP="007B5BB3">
            <w:pPr>
              <w:rPr>
                <w:rFonts w:ascii="Calibri" w:eastAsia="Times New Roman" w:hAnsi="Calibri" w:cs="Calibri"/>
              </w:rPr>
            </w:pPr>
            <w:r w:rsidRPr="00CE7B7D">
              <w:rPr>
                <w:rFonts w:ascii="Calibri" w:eastAsia="Times New Roman" w:hAnsi="Calibri" w:cs="Calibri"/>
              </w:rPr>
              <w:t>Total OPEB liability</w:t>
            </w:r>
          </w:p>
        </w:tc>
        <w:tc>
          <w:tcPr>
            <w:tcW w:w="1170" w:type="dxa"/>
            <w:gridSpan w:val="2"/>
            <w:tcBorders>
              <w:top w:val="nil"/>
              <w:left w:val="nil"/>
              <w:bottom w:val="nil"/>
              <w:right w:val="nil"/>
            </w:tcBorders>
            <w:shd w:val="clear" w:color="000000" w:fill="FFFFFF"/>
            <w:vAlign w:val="bottom"/>
            <w:hideMark/>
          </w:tcPr>
          <w:p w14:paraId="373ED468" w14:textId="77777777" w:rsidR="00721CFD" w:rsidRPr="000B39D1" w:rsidRDefault="00721CFD" w:rsidP="007B5BB3">
            <w:pPr>
              <w:jc w:val="right"/>
              <w:rPr>
                <w:rFonts w:ascii="Calibri" w:eastAsia="Times New Roman" w:hAnsi="Calibri" w:cs="Calibri"/>
              </w:rPr>
            </w:pPr>
            <w:r w:rsidRPr="000B39D1">
              <w:rPr>
                <w:rFonts w:ascii="Calibri" w:eastAsia="Times New Roman" w:hAnsi="Calibri" w:cs="Calibri"/>
              </w:rPr>
              <w:t>$</w:t>
            </w:r>
            <w:r w:rsidRPr="003959B0">
              <w:rPr>
                <w:rFonts w:ascii="Calibri" w:eastAsia="Times New Roman" w:hAnsi="Calibri" w:cs="Calibri"/>
              </w:rPr>
              <w:t>153,076</w:t>
            </w:r>
          </w:p>
        </w:tc>
        <w:tc>
          <w:tcPr>
            <w:tcW w:w="1170" w:type="dxa"/>
            <w:tcBorders>
              <w:top w:val="nil"/>
              <w:left w:val="nil"/>
              <w:bottom w:val="nil"/>
              <w:right w:val="nil"/>
            </w:tcBorders>
            <w:shd w:val="clear" w:color="000000" w:fill="FFFFFF"/>
            <w:vAlign w:val="bottom"/>
            <w:hideMark/>
          </w:tcPr>
          <w:p w14:paraId="006763BD" w14:textId="77777777" w:rsidR="00721CFD" w:rsidRPr="000B39D1" w:rsidRDefault="00721CFD" w:rsidP="007B5BB3">
            <w:pPr>
              <w:jc w:val="right"/>
              <w:rPr>
                <w:rFonts w:ascii="Calibri" w:eastAsia="Times New Roman" w:hAnsi="Calibri" w:cs="Calibri"/>
              </w:rPr>
            </w:pPr>
            <w:r w:rsidRPr="000B39D1">
              <w:rPr>
                <w:rFonts w:ascii="Calibri" w:eastAsia="Times New Roman" w:hAnsi="Calibri" w:cs="Calibri"/>
              </w:rPr>
              <w:t>$</w:t>
            </w:r>
            <w:r w:rsidRPr="003959B0">
              <w:rPr>
                <w:rFonts w:ascii="Calibri" w:eastAsia="Times New Roman" w:hAnsi="Calibri" w:cs="Calibri"/>
              </w:rPr>
              <w:t>173,794</w:t>
            </w:r>
          </w:p>
        </w:tc>
        <w:tc>
          <w:tcPr>
            <w:tcW w:w="1170" w:type="dxa"/>
            <w:gridSpan w:val="2"/>
            <w:tcBorders>
              <w:top w:val="nil"/>
              <w:left w:val="nil"/>
              <w:bottom w:val="nil"/>
              <w:right w:val="nil"/>
            </w:tcBorders>
            <w:shd w:val="clear" w:color="000000" w:fill="FFFFFF"/>
            <w:vAlign w:val="bottom"/>
            <w:hideMark/>
          </w:tcPr>
          <w:p w14:paraId="196A07DA" w14:textId="77777777" w:rsidR="00721CFD" w:rsidRPr="000B39D1" w:rsidRDefault="00721CFD" w:rsidP="007B5BB3">
            <w:pPr>
              <w:jc w:val="right"/>
              <w:rPr>
                <w:rFonts w:ascii="Calibri" w:eastAsia="Times New Roman" w:hAnsi="Calibri" w:cs="Calibri"/>
              </w:rPr>
            </w:pPr>
            <w:r w:rsidRPr="000B39D1">
              <w:rPr>
                <w:rFonts w:ascii="Calibri" w:eastAsia="Times New Roman" w:hAnsi="Calibri" w:cs="Calibri"/>
              </w:rPr>
              <w:t>$</w:t>
            </w:r>
            <w:r w:rsidRPr="003959B0">
              <w:rPr>
                <w:rFonts w:ascii="Calibri" w:eastAsia="Times New Roman" w:hAnsi="Calibri" w:cs="Calibri"/>
              </w:rPr>
              <w:t>199,108</w:t>
            </w:r>
          </w:p>
        </w:tc>
        <w:tc>
          <w:tcPr>
            <w:tcW w:w="1170" w:type="dxa"/>
            <w:gridSpan w:val="2"/>
            <w:tcBorders>
              <w:top w:val="nil"/>
              <w:left w:val="nil"/>
              <w:bottom w:val="nil"/>
              <w:right w:val="nil"/>
            </w:tcBorders>
            <w:shd w:val="clear" w:color="auto" w:fill="D9D9D9" w:themeFill="background1" w:themeFillShade="D9"/>
            <w:vAlign w:val="bottom"/>
            <w:hideMark/>
          </w:tcPr>
          <w:p w14:paraId="13BC06E6" w14:textId="77777777" w:rsidR="00721CFD" w:rsidRPr="00CE7B7D" w:rsidRDefault="00721CFD" w:rsidP="007B5BB3">
            <w:pPr>
              <w:jc w:val="right"/>
              <w:rPr>
                <w:rFonts w:ascii="Calibri" w:eastAsia="Times New Roman" w:hAnsi="Calibri" w:cs="Calibri"/>
              </w:rPr>
            </w:pPr>
            <w:r w:rsidRPr="00BF66AC">
              <w:rPr>
                <w:rFonts w:ascii="Calibri" w:eastAsia="Times New Roman" w:hAnsi="Calibri" w:cs="Calibri"/>
              </w:rPr>
              <w:t>$143,919</w:t>
            </w:r>
          </w:p>
        </w:tc>
        <w:tc>
          <w:tcPr>
            <w:tcW w:w="1182" w:type="dxa"/>
            <w:tcBorders>
              <w:top w:val="nil"/>
              <w:left w:val="nil"/>
              <w:bottom w:val="nil"/>
              <w:right w:val="nil"/>
            </w:tcBorders>
            <w:shd w:val="clear" w:color="auto" w:fill="D9D9D9" w:themeFill="background1" w:themeFillShade="D9"/>
            <w:vAlign w:val="bottom"/>
            <w:hideMark/>
          </w:tcPr>
          <w:p w14:paraId="2F615917" w14:textId="77777777" w:rsidR="00721CFD" w:rsidRPr="00CE7B7D" w:rsidRDefault="00721CFD" w:rsidP="007B5BB3">
            <w:pPr>
              <w:jc w:val="right"/>
              <w:rPr>
                <w:rFonts w:ascii="Calibri" w:eastAsia="Times New Roman" w:hAnsi="Calibri" w:cs="Calibri"/>
              </w:rPr>
            </w:pPr>
            <w:r w:rsidRPr="00BF66AC">
              <w:rPr>
                <w:rFonts w:ascii="Calibri" w:eastAsia="Times New Roman" w:hAnsi="Calibri" w:cs="Calibri"/>
              </w:rPr>
              <w:t>$162,212</w:t>
            </w:r>
          </w:p>
        </w:tc>
        <w:tc>
          <w:tcPr>
            <w:tcW w:w="1158" w:type="dxa"/>
            <w:gridSpan w:val="2"/>
            <w:tcBorders>
              <w:top w:val="nil"/>
              <w:left w:val="nil"/>
              <w:bottom w:val="nil"/>
              <w:right w:val="nil"/>
            </w:tcBorders>
            <w:shd w:val="clear" w:color="auto" w:fill="D9D9D9" w:themeFill="background1" w:themeFillShade="D9"/>
            <w:vAlign w:val="bottom"/>
            <w:hideMark/>
          </w:tcPr>
          <w:p w14:paraId="44A3817B" w14:textId="77777777" w:rsidR="00721CFD" w:rsidRPr="00CE7B7D" w:rsidRDefault="00721CFD" w:rsidP="007B5BB3">
            <w:pPr>
              <w:jc w:val="right"/>
              <w:rPr>
                <w:rFonts w:ascii="Calibri" w:eastAsia="Times New Roman" w:hAnsi="Calibri" w:cs="Calibri"/>
              </w:rPr>
            </w:pPr>
            <w:r w:rsidRPr="00BF66AC">
              <w:rPr>
                <w:rFonts w:ascii="Calibri" w:eastAsia="Times New Roman" w:hAnsi="Calibri" w:cs="Calibri"/>
              </w:rPr>
              <w:t>$184,474</w:t>
            </w:r>
          </w:p>
        </w:tc>
      </w:tr>
      <w:tr w:rsidR="00721CFD" w:rsidRPr="00CE7B7D" w14:paraId="7C1DA922" w14:textId="77777777" w:rsidTr="007B5BB3">
        <w:trPr>
          <w:trHeight w:val="300"/>
        </w:trPr>
        <w:tc>
          <w:tcPr>
            <w:tcW w:w="2160" w:type="dxa"/>
            <w:tcBorders>
              <w:top w:val="nil"/>
              <w:left w:val="nil"/>
              <w:bottom w:val="nil"/>
              <w:right w:val="nil"/>
            </w:tcBorders>
            <w:shd w:val="clear" w:color="000000" w:fill="FFFFFF"/>
            <w:noWrap/>
            <w:vAlign w:val="bottom"/>
            <w:hideMark/>
          </w:tcPr>
          <w:p w14:paraId="74B42CE0" w14:textId="77777777" w:rsidR="00721CFD" w:rsidRPr="00CE7B7D" w:rsidRDefault="00721CFD" w:rsidP="007B5BB3">
            <w:pPr>
              <w:rPr>
                <w:rFonts w:ascii="Calibri" w:eastAsia="Times New Roman" w:hAnsi="Calibri" w:cs="Calibri"/>
              </w:rPr>
            </w:pPr>
            <w:r w:rsidRPr="00CE7B7D">
              <w:rPr>
                <w:rFonts w:ascii="Calibri" w:eastAsia="Times New Roman" w:hAnsi="Calibri" w:cs="Calibri"/>
              </w:rPr>
              <w:t>Fiduciary net position</w:t>
            </w:r>
          </w:p>
        </w:tc>
        <w:tc>
          <w:tcPr>
            <w:tcW w:w="1170" w:type="dxa"/>
            <w:gridSpan w:val="2"/>
            <w:tcBorders>
              <w:top w:val="nil"/>
              <w:left w:val="nil"/>
              <w:bottom w:val="nil"/>
              <w:right w:val="nil"/>
            </w:tcBorders>
            <w:shd w:val="clear" w:color="000000" w:fill="FFFFFF"/>
            <w:vAlign w:val="bottom"/>
            <w:hideMark/>
          </w:tcPr>
          <w:p w14:paraId="3F2A723B" w14:textId="77777777" w:rsidR="00721CFD" w:rsidRPr="000B39D1" w:rsidRDefault="00721CFD" w:rsidP="007B5BB3">
            <w:pPr>
              <w:jc w:val="right"/>
              <w:rPr>
                <w:rFonts w:ascii="Calibri" w:eastAsia="Times New Roman" w:hAnsi="Calibri" w:cs="Calibri"/>
              </w:rPr>
            </w:pPr>
            <w:r w:rsidRPr="003959B0">
              <w:rPr>
                <w:rFonts w:ascii="Calibri" w:eastAsia="Times New Roman" w:hAnsi="Calibri" w:cs="Calibri"/>
              </w:rPr>
              <w:t>156,012</w:t>
            </w:r>
          </w:p>
        </w:tc>
        <w:tc>
          <w:tcPr>
            <w:tcW w:w="1170" w:type="dxa"/>
            <w:tcBorders>
              <w:top w:val="nil"/>
              <w:left w:val="nil"/>
              <w:bottom w:val="nil"/>
              <w:right w:val="nil"/>
            </w:tcBorders>
            <w:shd w:val="clear" w:color="000000" w:fill="FFFFFF"/>
            <w:vAlign w:val="bottom"/>
            <w:hideMark/>
          </w:tcPr>
          <w:p w14:paraId="5A6D07CA" w14:textId="0442CC16" w:rsidR="00721CFD" w:rsidRPr="000B39D1" w:rsidRDefault="00721CFD" w:rsidP="007B5BB3">
            <w:pPr>
              <w:jc w:val="right"/>
              <w:rPr>
                <w:rFonts w:ascii="Calibri" w:eastAsia="Times New Roman" w:hAnsi="Calibri" w:cs="Calibri"/>
              </w:rPr>
            </w:pPr>
            <w:r w:rsidRPr="003959B0">
              <w:rPr>
                <w:rFonts w:ascii="Calibri" w:eastAsia="Times New Roman" w:hAnsi="Calibri" w:cs="Calibri"/>
              </w:rPr>
              <w:t>156,012</w:t>
            </w:r>
          </w:p>
        </w:tc>
        <w:tc>
          <w:tcPr>
            <w:tcW w:w="1170" w:type="dxa"/>
            <w:gridSpan w:val="2"/>
            <w:tcBorders>
              <w:top w:val="nil"/>
              <w:left w:val="nil"/>
              <w:bottom w:val="nil"/>
              <w:right w:val="nil"/>
            </w:tcBorders>
            <w:shd w:val="clear" w:color="000000" w:fill="FFFFFF"/>
            <w:vAlign w:val="bottom"/>
            <w:hideMark/>
          </w:tcPr>
          <w:p w14:paraId="23D0BFBA" w14:textId="2C5B01D4" w:rsidR="00721CFD" w:rsidRPr="000B39D1" w:rsidRDefault="00721CFD" w:rsidP="007B5BB3">
            <w:pPr>
              <w:jc w:val="right"/>
              <w:rPr>
                <w:rFonts w:ascii="Calibri" w:eastAsia="Times New Roman" w:hAnsi="Calibri" w:cs="Calibri"/>
              </w:rPr>
            </w:pPr>
            <w:r w:rsidRPr="003959B0">
              <w:rPr>
                <w:rFonts w:ascii="Calibri" w:eastAsia="Times New Roman" w:hAnsi="Calibri" w:cs="Calibri"/>
              </w:rPr>
              <w:t>156,012</w:t>
            </w:r>
          </w:p>
        </w:tc>
        <w:tc>
          <w:tcPr>
            <w:tcW w:w="1170" w:type="dxa"/>
            <w:gridSpan w:val="2"/>
            <w:tcBorders>
              <w:top w:val="nil"/>
              <w:left w:val="nil"/>
              <w:bottom w:val="nil"/>
              <w:right w:val="nil"/>
            </w:tcBorders>
            <w:shd w:val="clear" w:color="auto" w:fill="D9D9D9" w:themeFill="background1" w:themeFillShade="D9"/>
            <w:vAlign w:val="bottom"/>
            <w:hideMark/>
          </w:tcPr>
          <w:p w14:paraId="1A581944" w14:textId="77777777" w:rsidR="00721CFD" w:rsidRPr="00CE7B7D" w:rsidRDefault="00721CFD" w:rsidP="007B5BB3">
            <w:pPr>
              <w:jc w:val="right"/>
              <w:rPr>
                <w:rFonts w:ascii="Calibri" w:eastAsia="Times New Roman" w:hAnsi="Calibri" w:cs="Calibri"/>
                <w:color w:val="000000"/>
              </w:rPr>
            </w:pPr>
            <w:r w:rsidRPr="00BF66AC">
              <w:rPr>
                <w:rFonts w:ascii="Calibri" w:eastAsia="Times New Roman" w:hAnsi="Calibri" w:cs="Calibri"/>
              </w:rPr>
              <w:t>180,270</w:t>
            </w:r>
          </w:p>
        </w:tc>
        <w:tc>
          <w:tcPr>
            <w:tcW w:w="1182" w:type="dxa"/>
            <w:tcBorders>
              <w:top w:val="nil"/>
              <w:left w:val="nil"/>
              <w:bottom w:val="nil"/>
              <w:right w:val="nil"/>
            </w:tcBorders>
            <w:shd w:val="clear" w:color="auto" w:fill="D9D9D9" w:themeFill="background1" w:themeFillShade="D9"/>
            <w:vAlign w:val="bottom"/>
            <w:hideMark/>
          </w:tcPr>
          <w:p w14:paraId="40CDFF40" w14:textId="3A61ECCB" w:rsidR="00721CFD" w:rsidRPr="00CE7B7D" w:rsidRDefault="00721CFD" w:rsidP="007B5BB3">
            <w:pPr>
              <w:jc w:val="right"/>
              <w:rPr>
                <w:rFonts w:ascii="Calibri" w:eastAsia="Times New Roman" w:hAnsi="Calibri" w:cs="Calibri"/>
                <w:color w:val="000000"/>
              </w:rPr>
            </w:pPr>
            <w:r w:rsidRPr="00BF66AC">
              <w:rPr>
                <w:rFonts w:ascii="Calibri" w:eastAsia="Times New Roman" w:hAnsi="Calibri" w:cs="Calibri"/>
              </w:rPr>
              <w:t>180,270</w:t>
            </w:r>
          </w:p>
        </w:tc>
        <w:tc>
          <w:tcPr>
            <w:tcW w:w="1158" w:type="dxa"/>
            <w:gridSpan w:val="2"/>
            <w:tcBorders>
              <w:top w:val="nil"/>
              <w:left w:val="nil"/>
              <w:bottom w:val="nil"/>
              <w:right w:val="nil"/>
            </w:tcBorders>
            <w:shd w:val="clear" w:color="auto" w:fill="D9D9D9" w:themeFill="background1" w:themeFillShade="D9"/>
            <w:vAlign w:val="bottom"/>
            <w:hideMark/>
          </w:tcPr>
          <w:p w14:paraId="39C600E8" w14:textId="1DCFD6CD" w:rsidR="00721CFD" w:rsidRPr="00CE7B7D" w:rsidRDefault="00721CFD" w:rsidP="007B5BB3">
            <w:pPr>
              <w:jc w:val="right"/>
              <w:rPr>
                <w:rFonts w:ascii="Calibri" w:eastAsia="Times New Roman" w:hAnsi="Calibri" w:cs="Calibri"/>
                <w:color w:val="000000"/>
              </w:rPr>
            </w:pPr>
            <w:r w:rsidRPr="00BF66AC">
              <w:rPr>
                <w:rFonts w:ascii="Calibri" w:eastAsia="Times New Roman" w:hAnsi="Calibri" w:cs="Calibri"/>
              </w:rPr>
              <w:t>180,270</w:t>
            </w:r>
          </w:p>
        </w:tc>
      </w:tr>
      <w:tr w:rsidR="00721CFD" w:rsidRPr="00CE7B7D" w14:paraId="2C4BF23A" w14:textId="77777777" w:rsidTr="007B5BB3">
        <w:trPr>
          <w:trHeight w:val="312"/>
        </w:trPr>
        <w:tc>
          <w:tcPr>
            <w:tcW w:w="2160" w:type="dxa"/>
            <w:tcBorders>
              <w:top w:val="single" w:sz="12" w:space="0" w:color="44546A"/>
              <w:left w:val="nil"/>
              <w:bottom w:val="single" w:sz="8" w:space="0" w:color="44546A"/>
              <w:right w:val="nil"/>
            </w:tcBorders>
            <w:shd w:val="clear" w:color="000000" w:fill="FFFFFF"/>
            <w:noWrap/>
            <w:vAlign w:val="bottom"/>
            <w:hideMark/>
          </w:tcPr>
          <w:p w14:paraId="18EE69ED" w14:textId="77777777" w:rsidR="00721CFD" w:rsidRPr="00CE7B7D" w:rsidRDefault="00721CFD" w:rsidP="007B5BB3">
            <w:pPr>
              <w:rPr>
                <w:rFonts w:ascii="Calibri" w:eastAsia="Times New Roman" w:hAnsi="Calibri" w:cs="Calibri"/>
              </w:rPr>
            </w:pPr>
            <w:r w:rsidRPr="00CE7B7D">
              <w:rPr>
                <w:rFonts w:ascii="Calibri" w:eastAsia="Times New Roman" w:hAnsi="Calibri" w:cs="Calibri"/>
              </w:rPr>
              <w:t>Net OPEB liability</w:t>
            </w:r>
            <w:r>
              <w:rPr>
                <w:rFonts w:ascii="Calibri" w:eastAsia="Times New Roman" w:hAnsi="Calibri" w:cs="Calibri"/>
              </w:rPr>
              <w:t xml:space="preserve"> (asset)</w:t>
            </w:r>
          </w:p>
        </w:tc>
        <w:tc>
          <w:tcPr>
            <w:tcW w:w="1170" w:type="dxa"/>
            <w:gridSpan w:val="2"/>
            <w:tcBorders>
              <w:top w:val="single" w:sz="12" w:space="0" w:color="00688D"/>
              <w:left w:val="nil"/>
              <w:bottom w:val="single" w:sz="8" w:space="0" w:color="00688D"/>
              <w:right w:val="nil"/>
            </w:tcBorders>
            <w:shd w:val="clear" w:color="000000" w:fill="FFFFFF"/>
            <w:noWrap/>
            <w:vAlign w:val="bottom"/>
            <w:hideMark/>
          </w:tcPr>
          <w:p w14:paraId="0D626438" w14:textId="2FF98790" w:rsidR="00721CFD" w:rsidRPr="000B39D1" w:rsidRDefault="00721CFD" w:rsidP="007B5BB3">
            <w:pPr>
              <w:jc w:val="right"/>
              <w:rPr>
                <w:rFonts w:ascii="Calibri" w:eastAsia="Times New Roman" w:hAnsi="Calibri" w:cs="Calibri"/>
              </w:rPr>
            </w:pPr>
            <w:r w:rsidRPr="000B39D1">
              <w:rPr>
                <w:rFonts w:ascii="Calibri" w:eastAsia="Times New Roman" w:hAnsi="Calibri" w:cs="Calibri"/>
              </w:rPr>
              <w:t>$</w:t>
            </w:r>
            <w:r>
              <w:rPr>
                <w:rFonts w:ascii="Calibri" w:eastAsia="Times New Roman" w:hAnsi="Calibri" w:cs="Calibri"/>
              </w:rPr>
              <w:t xml:space="preserve"> </w:t>
            </w:r>
            <w:r w:rsidRPr="000B39D1">
              <w:rPr>
                <w:rFonts w:ascii="Calibri" w:eastAsia="Times New Roman" w:hAnsi="Calibri" w:cs="Calibri"/>
              </w:rPr>
              <w:t>(</w:t>
            </w:r>
            <w:r w:rsidRPr="003959B0">
              <w:rPr>
                <w:rFonts w:ascii="Calibri" w:eastAsia="Times New Roman" w:hAnsi="Calibri" w:cs="Calibri"/>
              </w:rPr>
              <w:t>2,936</w:t>
            </w:r>
            <w:r w:rsidRPr="000B39D1">
              <w:rPr>
                <w:rFonts w:ascii="Calibri" w:eastAsia="Times New Roman" w:hAnsi="Calibri" w:cs="Calibri"/>
              </w:rPr>
              <w:t>)</w:t>
            </w:r>
          </w:p>
        </w:tc>
        <w:tc>
          <w:tcPr>
            <w:tcW w:w="1170" w:type="dxa"/>
            <w:tcBorders>
              <w:top w:val="single" w:sz="12" w:space="0" w:color="00688D"/>
              <w:left w:val="nil"/>
              <w:bottom w:val="single" w:sz="8" w:space="0" w:color="00688D"/>
              <w:right w:val="nil"/>
            </w:tcBorders>
            <w:shd w:val="clear" w:color="000000" w:fill="FFFFFF"/>
            <w:noWrap/>
            <w:vAlign w:val="bottom"/>
            <w:hideMark/>
          </w:tcPr>
          <w:p w14:paraId="12AB77E3" w14:textId="12D27B1A" w:rsidR="00721CFD" w:rsidRPr="000B39D1" w:rsidRDefault="00721CFD" w:rsidP="007B5BB3">
            <w:pPr>
              <w:jc w:val="right"/>
              <w:rPr>
                <w:rFonts w:ascii="Calibri" w:eastAsia="Times New Roman" w:hAnsi="Calibri" w:cs="Calibri"/>
              </w:rPr>
            </w:pPr>
            <w:r w:rsidRPr="000B39D1">
              <w:rPr>
                <w:rFonts w:ascii="Calibri" w:eastAsia="Times New Roman" w:hAnsi="Calibri" w:cs="Calibri"/>
              </w:rPr>
              <w:t>$</w:t>
            </w:r>
            <w:r>
              <w:rPr>
                <w:rFonts w:ascii="Calibri" w:eastAsia="Times New Roman" w:hAnsi="Calibri" w:cs="Calibri"/>
              </w:rPr>
              <w:t xml:space="preserve"> </w:t>
            </w:r>
            <w:r w:rsidRPr="003959B0">
              <w:rPr>
                <w:rFonts w:ascii="Calibri" w:eastAsia="Times New Roman" w:hAnsi="Calibri" w:cs="Calibri"/>
              </w:rPr>
              <w:t>17,782</w:t>
            </w:r>
          </w:p>
        </w:tc>
        <w:tc>
          <w:tcPr>
            <w:tcW w:w="1170" w:type="dxa"/>
            <w:gridSpan w:val="2"/>
            <w:tcBorders>
              <w:top w:val="single" w:sz="12" w:space="0" w:color="00688D"/>
              <w:left w:val="nil"/>
              <w:bottom w:val="single" w:sz="8" w:space="0" w:color="00688D"/>
              <w:right w:val="nil"/>
            </w:tcBorders>
            <w:shd w:val="clear" w:color="000000" w:fill="FFFFFF"/>
            <w:noWrap/>
            <w:vAlign w:val="bottom"/>
            <w:hideMark/>
          </w:tcPr>
          <w:p w14:paraId="5722F423" w14:textId="46F590CA" w:rsidR="00721CFD" w:rsidRPr="000B39D1" w:rsidRDefault="00721CFD" w:rsidP="007B5BB3">
            <w:pPr>
              <w:jc w:val="right"/>
              <w:rPr>
                <w:rFonts w:ascii="Calibri" w:eastAsia="Times New Roman" w:hAnsi="Calibri" w:cs="Calibri"/>
              </w:rPr>
            </w:pPr>
            <w:r w:rsidRPr="000B39D1">
              <w:rPr>
                <w:rFonts w:ascii="Calibri" w:eastAsia="Times New Roman" w:hAnsi="Calibri" w:cs="Calibri"/>
              </w:rPr>
              <w:t>$</w:t>
            </w:r>
            <w:r w:rsidR="00427065">
              <w:rPr>
                <w:rFonts w:ascii="Calibri" w:eastAsia="Times New Roman" w:hAnsi="Calibri" w:cs="Calibri"/>
              </w:rPr>
              <w:t xml:space="preserve"> </w:t>
            </w:r>
            <w:r w:rsidRPr="000B39D1">
              <w:rPr>
                <w:rFonts w:ascii="Calibri" w:eastAsia="Times New Roman" w:hAnsi="Calibri" w:cs="Calibri"/>
              </w:rPr>
              <w:t xml:space="preserve"> </w:t>
            </w:r>
            <w:r w:rsidRPr="003959B0">
              <w:rPr>
                <w:rFonts w:ascii="Calibri" w:eastAsia="Times New Roman" w:hAnsi="Calibri" w:cs="Calibri"/>
              </w:rPr>
              <w:t>43,096</w:t>
            </w:r>
          </w:p>
        </w:tc>
        <w:tc>
          <w:tcPr>
            <w:tcW w:w="1170" w:type="dxa"/>
            <w:gridSpan w:val="2"/>
            <w:tcBorders>
              <w:top w:val="single" w:sz="12" w:space="0" w:color="00688D"/>
              <w:left w:val="nil"/>
              <w:bottom w:val="single" w:sz="8" w:space="0" w:color="00688D"/>
              <w:right w:val="nil"/>
            </w:tcBorders>
            <w:shd w:val="clear" w:color="auto" w:fill="D9D9D9" w:themeFill="background1" w:themeFillShade="D9"/>
            <w:noWrap/>
            <w:vAlign w:val="bottom"/>
            <w:hideMark/>
          </w:tcPr>
          <w:p w14:paraId="72FCD727" w14:textId="77777777" w:rsidR="00721CFD" w:rsidRPr="00CE7B7D" w:rsidRDefault="00721CFD" w:rsidP="007B5BB3">
            <w:pPr>
              <w:jc w:val="right"/>
              <w:rPr>
                <w:rFonts w:ascii="Calibri" w:eastAsia="Times New Roman" w:hAnsi="Calibri" w:cs="Calibri"/>
              </w:rPr>
            </w:pPr>
            <w:r w:rsidRPr="00BF66AC">
              <w:rPr>
                <w:rFonts w:ascii="Calibri" w:eastAsia="Times New Roman" w:hAnsi="Calibri" w:cs="Calibri"/>
              </w:rPr>
              <w:t>$(36,351)</w:t>
            </w:r>
          </w:p>
        </w:tc>
        <w:tc>
          <w:tcPr>
            <w:tcW w:w="1182" w:type="dxa"/>
            <w:tcBorders>
              <w:top w:val="single" w:sz="12" w:space="0" w:color="00688D"/>
              <w:left w:val="nil"/>
              <w:bottom w:val="single" w:sz="8" w:space="0" w:color="00688D"/>
              <w:right w:val="nil"/>
            </w:tcBorders>
            <w:shd w:val="clear" w:color="auto" w:fill="D9D9D9" w:themeFill="background1" w:themeFillShade="D9"/>
            <w:noWrap/>
            <w:vAlign w:val="bottom"/>
            <w:hideMark/>
          </w:tcPr>
          <w:p w14:paraId="68D6D758" w14:textId="77777777" w:rsidR="00721CFD" w:rsidRPr="00CE7B7D" w:rsidRDefault="00721CFD" w:rsidP="007B5BB3">
            <w:pPr>
              <w:jc w:val="right"/>
              <w:rPr>
                <w:rFonts w:ascii="Calibri" w:eastAsia="Times New Roman" w:hAnsi="Calibri" w:cs="Calibri"/>
              </w:rPr>
            </w:pPr>
            <w:r w:rsidRPr="00BF66AC">
              <w:rPr>
                <w:rFonts w:ascii="Calibri" w:eastAsia="Times New Roman" w:hAnsi="Calibri" w:cs="Calibri"/>
              </w:rPr>
              <w:t>$(18,058)</w:t>
            </w:r>
          </w:p>
        </w:tc>
        <w:tc>
          <w:tcPr>
            <w:tcW w:w="1158" w:type="dxa"/>
            <w:gridSpan w:val="2"/>
            <w:tcBorders>
              <w:top w:val="single" w:sz="12" w:space="0" w:color="00688D"/>
              <w:left w:val="nil"/>
              <w:bottom w:val="single" w:sz="8" w:space="0" w:color="00688D"/>
              <w:right w:val="nil"/>
            </w:tcBorders>
            <w:shd w:val="clear" w:color="auto" w:fill="D9D9D9" w:themeFill="background1" w:themeFillShade="D9"/>
            <w:noWrap/>
            <w:vAlign w:val="bottom"/>
            <w:hideMark/>
          </w:tcPr>
          <w:p w14:paraId="151045A1" w14:textId="77777777" w:rsidR="00721CFD" w:rsidRPr="00CE7B7D" w:rsidRDefault="00721CFD" w:rsidP="007B5BB3">
            <w:pPr>
              <w:jc w:val="right"/>
              <w:rPr>
                <w:rFonts w:ascii="Calibri" w:eastAsia="Times New Roman" w:hAnsi="Calibri" w:cs="Calibri"/>
              </w:rPr>
            </w:pPr>
            <w:r w:rsidRPr="00BF66AC">
              <w:rPr>
                <w:rFonts w:ascii="Calibri" w:eastAsia="Times New Roman" w:hAnsi="Calibri" w:cs="Calibri"/>
              </w:rPr>
              <w:t>$</w:t>
            </w:r>
            <w:r>
              <w:rPr>
                <w:rFonts w:ascii="Calibri" w:eastAsia="Times New Roman" w:hAnsi="Calibri" w:cs="Calibri"/>
              </w:rPr>
              <w:t xml:space="preserve"> </w:t>
            </w:r>
            <w:r w:rsidRPr="00BF66AC">
              <w:rPr>
                <w:rFonts w:ascii="Calibri" w:eastAsia="Times New Roman" w:hAnsi="Calibri" w:cs="Calibri"/>
              </w:rPr>
              <w:t xml:space="preserve">   4,204</w:t>
            </w:r>
          </w:p>
        </w:tc>
      </w:tr>
    </w:tbl>
    <w:p w14:paraId="455D21C1" w14:textId="77777777" w:rsidR="00C959E4" w:rsidRDefault="00C959E4">
      <w:pPr>
        <w:spacing w:after="160" w:line="259" w:lineRule="auto"/>
        <w:rPr>
          <w:rFonts w:cstheme="minorHAnsi"/>
          <w:color w:val="222222"/>
          <w:sz w:val="24"/>
          <w:shd w:val="clear" w:color="auto" w:fill="FFFFFF"/>
        </w:rPr>
      </w:pPr>
      <w:r>
        <w:rPr>
          <w:rFonts w:cstheme="minorHAnsi"/>
          <w:color w:val="222222"/>
          <w:sz w:val="24"/>
          <w:shd w:val="clear" w:color="auto" w:fill="FFFFFF"/>
        </w:rPr>
        <w:br w:type="page"/>
      </w:r>
    </w:p>
    <w:p w14:paraId="4CE2174D" w14:textId="77777777" w:rsidR="00C959E4" w:rsidRPr="00F54559" w:rsidRDefault="00C959E4" w:rsidP="00C959E4">
      <w:pPr>
        <w:tabs>
          <w:tab w:val="left" w:pos="1080"/>
        </w:tabs>
        <w:spacing w:before="240" w:after="240"/>
        <w:rPr>
          <w:rFonts w:cstheme="minorHAnsi"/>
          <w:color w:val="222222"/>
          <w:sz w:val="24"/>
          <w:shd w:val="clear" w:color="auto" w:fill="FFFFFF"/>
        </w:rPr>
      </w:pPr>
      <w:r w:rsidRPr="00F54559">
        <w:rPr>
          <w:rFonts w:eastAsiaTheme="majorEastAsia" w:cstheme="minorHAnsi"/>
          <w:b/>
          <w:i/>
          <w:iCs/>
          <w:smallCaps/>
          <w:noProof/>
          <w:color w:val="000000" w:themeColor="text1"/>
          <w:sz w:val="26"/>
          <w:szCs w:val="26"/>
          <w:u w:color="5B9BD5"/>
        </w:rPr>
        <w:lastRenderedPageBreak/>
        <w:t>14. POSTEMPLOYMENT HEALTH PLAN - CONTINUED</w:t>
      </w:r>
    </w:p>
    <w:p w14:paraId="11E22078" w14:textId="77777777" w:rsidR="00721CFD" w:rsidRPr="00F54559" w:rsidRDefault="00721CFD" w:rsidP="00721CFD">
      <w:pPr>
        <w:tabs>
          <w:tab w:val="left" w:pos="900"/>
        </w:tabs>
        <w:spacing w:after="240"/>
        <w:ind w:right="-7"/>
        <w:rPr>
          <w:rFonts w:cstheme="minorHAnsi"/>
        </w:rPr>
      </w:pPr>
      <w:r w:rsidRPr="00F54559">
        <w:rPr>
          <w:rFonts w:cstheme="minorHAnsi"/>
          <w:color w:val="222222"/>
          <w:sz w:val="24"/>
          <w:shd w:val="clear" w:color="auto" w:fill="FFFFFF"/>
        </w:rPr>
        <w:t>Changes in the net OPEB liability:</w:t>
      </w:r>
      <w:r>
        <w:rPr>
          <w:rFonts w:cstheme="minorHAnsi"/>
        </w:rPr>
        <w:fldChar w:fldCharType="begin"/>
      </w:r>
      <w:r>
        <w:rPr>
          <w:rFonts w:cstheme="minorHAnsi"/>
        </w:rPr>
        <w:fldChar w:fldCharType="end"/>
      </w:r>
    </w:p>
    <w:tbl>
      <w:tblPr>
        <w:tblW w:w="9360" w:type="dxa"/>
        <w:jc w:val="center"/>
        <w:tblLook w:val="04A0" w:firstRow="1" w:lastRow="0" w:firstColumn="1" w:lastColumn="0" w:noHBand="0" w:noVBand="1"/>
      </w:tblPr>
      <w:tblGrid>
        <w:gridCol w:w="6771"/>
        <w:gridCol w:w="1345"/>
        <w:gridCol w:w="1244"/>
      </w:tblGrid>
      <w:tr w:rsidR="00721CFD" w:rsidRPr="00413B6F" w14:paraId="656A6CCB" w14:textId="77777777" w:rsidTr="007B5BB3">
        <w:trPr>
          <w:trHeight w:val="324"/>
          <w:tblHeader/>
          <w:jc w:val="center"/>
        </w:trPr>
        <w:tc>
          <w:tcPr>
            <w:tcW w:w="6771" w:type="dxa"/>
            <w:tcBorders>
              <w:top w:val="nil"/>
              <w:left w:val="nil"/>
              <w:bottom w:val="single" w:sz="12" w:space="0" w:color="44546A"/>
              <w:right w:val="nil"/>
            </w:tcBorders>
            <w:shd w:val="clear" w:color="000000" w:fill="FFFFFF"/>
            <w:vAlign w:val="bottom"/>
            <w:hideMark/>
          </w:tcPr>
          <w:p w14:paraId="2B044568" w14:textId="77777777" w:rsidR="00721CFD" w:rsidRPr="00413B6F" w:rsidRDefault="00721CFD" w:rsidP="007B5BB3">
            <w:pPr>
              <w:rPr>
                <w:rFonts w:ascii="Calibri" w:eastAsia="Times New Roman" w:hAnsi="Calibri" w:cs="Calibri"/>
                <w:b/>
                <w:bCs/>
                <w:color w:val="0D0D0D"/>
              </w:rPr>
            </w:pPr>
            <w:r w:rsidRPr="00413B6F">
              <w:rPr>
                <w:rFonts w:ascii="Calibri" w:eastAsia="Times New Roman" w:hAnsi="Calibri" w:cs="Calibri"/>
                <w:b/>
                <w:bCs/>
                <w:color w:val="0D0D0D"/>
              </w:rPr>
              <w:t>Fiscal Year Ended June 30</w:t>
            </w:r>
          </w:p>
        </w:tc>
        <w:tc>
          <w:tcPr>
            <w:tcW w:w="1345" w:type="dxa"/>
            <w:tcBorders>
              <w:top w:val="nil"/>
              <w:left w:val="nil"/>
              <w:bottom w:val="single" w:sz="12" w:space="0" w:color="44546A"/>
              <w:right w:val="nil"/>
            </w:tcBorders>
            <w:shd w:val="clear" w:color="000000" w:fill="FFFFFF"/>
            <w:noWrap/>
            <w:vAlign w:val="bottom"/>
            <w:hideMark/>
          </w:tcPr>
          <w:p w14:paraId="5DE767E4" w14:textId="77777777" w:rsidR="00721CFD" w:rsidRPr="00413B6F" w:rsidRDefault="00721CFD" w:rsidP="007B5BB3">
            <w:pPr>
              <w:jc w:val="center"/>
              <w:rPr>
                <w:rFonts w:ascii="Calibri" w:eastAsia="Times New Roman" w:hAnsi="Calibri" w:cs="Calibri"/>
                <w:b/>
                <w:bCs/>
                <w:color w:val="0D0D0D"/>
              </w:rPr>
            </w:pPr>
            <w:r w:rsidRPr="00413B6F">
              <w:rPr>
                <w:rFonts w:ascii="Calibri" w:eastAsia="Times New Roman" w:hAnsi="Calibri" w:cs="Calibri"/>
                <w:b/>
                <w:bCs/>
                <w:color w:val="0D0D0D"/>
              </w:rPr>
              <w:t>202</w:t>
            </w:r>
            <w:r>
              <w:rPr>
                <w:rFonts w:ascii="Calibri" w:eastAsia="Times New Roman" w:hAnsi="Calibri" w:cs="Calibri"/>
                <w:b/>
                <w:bCs/>
                <w:color w:val="0D0D0D"/>
              </w:rPr>
              <w:t>2</w:t>
            </w:r>
          </w:p>
        </w:tc>
        <w:tc>
          <w:tcPr>
            <w:tcW w:w="1244" w:type="dxa"/>
            <w:tcBorders>
              <w:top w:val="nil"/>
              <w:left w:val="nil"/>
              <w:bottom w:val="single" w:sz="12" w:space="0" w:color="44546A"/>
              <w:right w:val="nil"/>
            </w:tcBorders>
            <w:shd w:val="clear" w:color="auto" w:fill="D9D9D9" w:themeFill="background1" w:themeFillShade="D9"/>
            <w:noWrap/>
            <w:vAlign w:val="bottom"/>
            <w:hideMark/>
          </w:tcPr>
          <w:p w14:paraId="1189901D" w14:textId="77777777" w:rsidR="00721CFD" w:rsidRPr="00413B6F" w:rsidRDefault="00721CFD" w:rsidP="007B5BB3">
            <w:pPr>
              <w:jc w:val="center"/>
              <w:rPr>
                <w:rFonts w:ascii="Calibri" w:eastAsia="Times New Roman" w:hAnsi="Calibri" w:cs="Calibri"/>
                <w:b/>
                <w:bCs/>
                <w:color w:val="0D0D0D"/>
              </w:rPr>
            </w:pPr>
            <w:r w:rsidRPr="00413B6F">
              <w:rPr>
                <w:rFonts w:ascii="Calibri" w:eastAsia="Times New Roman" w:hAnsi="Calibri" w:cs="Calibri"/>
                <w:b/>
                <w:bCs/>
                <w:color w:val="0D0D0D"/>
              </w:rPr>
              <w:t>20</w:t>
            </w:r>
            <w:r>
              <w:rPr>
                <w:rFonts w:ascii="Calibri" w:eastAsia="Times New Roman" w:hAnsi="Calibri" w:cs="Calibri"/>
                <w:b/>
                <w:bCs/>
                <w:color w:val="0D0D0D"/>
              </w:rPr>
              <w:t>21</w:t>
            </w:r>
          </w:p>
        </w:tc>
      </w:tr>
      <w:tr w:rsidR="00721CFD" w:rsidRPr="00413B6F" w14:paraId="4DCB14CD" w14:textId="77777777" w:rsidTr="007B5BB3">
        <w:trPr>
          <w:trHeight w:val="69"/>
          <w:jc w:val="center"/>
        </w:trPr>
        <w:tc>
          <w:tcPr>
            <w:tcW w:w="6771" w:type="dxa"/>
            <w:tcBorders>
              <w:top w:val="nil"/>
              <w:left w:val="nil"/>
              <w:bottom w:val="nil"/>
              <w:right w:val="nil"/>
            </w:tcBorders>
            <w:shd w:val="clear" w:color="000000" w:fill="FFFFFF"/>
            <w:vAlign w:val="bottom"/>
            <w:hideMark/>
          </w:tcPr>
          <w:p w14:paraId="3EDC93CB" w14:textId="77777777" w:rsidR="00721CFD" w:rsidRPr="00413B6F" w:rsidRDefault="00721CFD" w:rsidP="007B5BB3">
            <w:pPr>
              <w:rPr>
                <w:rFonts w:ascii="Calibri" w:eastAsia="Times New Roman" w:hAnsi="Calibri" w:cs="Calibri"/>
                <w:color w:val="0D0D0D"/>
              </w:rPr>
            </w:pPr>
            <w:r w:rsidRPr="00413B6F">
              <w:rPr>
                <w:rFonts w:ascii="Calibri" w:eastAsia="Times New Roman" w:hAnsi="Calibri" w:cs="Calibri"/>
                <w:color w:val="0D0D0D"/>
              </w:rPr>
              <w:t xml:space="preserve">Total OPEB liability – beginning </w:t>
            </w:r>
          </w:p>
        </w:tc>
        <w:tc>
          <w:tcPr>
            <w:tcW w:w="1345" w:type="dxa"/>
            <w:tcBorders>
              <w:top w:val="nil"/>
              <w:left w:val="nil"/>
              <w:bottom w:val="nil"/>
              <w:right w:val="nil"/>
            </w:tcBorders>
            <w:shd w:val="clear" w:color="000000" w:fill="FFFFFF"/>
            <w:noWrap/>
            <w:vAlign w:val="bottom"/>
            <w:hideMark/>
          </w:tcPr>
          <w:p w14:paraId="2F1EA9BD" w14:textId="77777777" w:rsidR="00721CFD" w:rsidRPr="0066736F" w:rsidRDefault="00721CFD" w:rsidP="007B5BB3">
            <w:pPr>
              <w:tabs>
                <w:tab w:val="left" w:pos="587"/>
              </w:tabs>
              <w:jc w:val="right"/>
              <w:rPr>
                <w:rFonts w:ascii="Calibri" w:eastAsia="Times New Roman" w:hAnsi="Calibri" w:cs="Calibri"/>
              </w:rPr>
            </w:pPr>
            <w:r w:rsidRPr="0066736F">
              <w:rPr>
                <w:rFonts w:ascii="Calibri" w:eastAsia="Times New Roman" w:hAnsi="Calibri" w:cs="Calibri"/>
              </w:rPr>
              <w:t xml:space="preserve">$  </w:t>
            </w:r>
            <w:r w:rsidRPr="003959B0">
              <w:rPr>
                <w:rFonts w:ascii="Calibri" w:eastAsia="Times New Roman" w:hAnsi="Calibri" w:cs="Calibri"/>
              </w:rPr>
              <w:t>162,212</w:t>
            </w:r>
          </w:p>
        </w:tc>
        <w:tc>
          <w:tcPr>
            <w:tcW w:w="1244" w:type="dxa"/>
            <w:tcBorders>
              <w:top w:val="nil"/>
              <w:left w:val="nil"/>
              <w:bottom w:val="nil"/>
              <w:right w:val="nil"/>
            </w:tcBorders>
            <w:shd w:val="clear" w:color="auto" w:fill="D9D9D9" w:themeFill="background1" w:themeFillShade="D9"/>
            <w:noWrap/>
            <w:vAlign w:val="bottom"/>
            <w:hideMark/>
          </w:tcPr>
          <w:p w14:paraId="46628D14" w14:textId="77777777" w:rsidR="00721CFD" w:rsidRPr="00413B6F" w:rsidRDefault="00721CFD" w:rsidP="007B5BB3">
            <w:pPr>
              <w:jc w:val="right"/>
              <w:rPr>
                <w:rFonts w:ascii="Calibri" w:eastAsia="Times New Roman" w:hAnsi="Calibri" w:cs="Calibri"/>
                <w:color w:val="0D0D0D"/>
              </w:rPr>
            </w:pPr>
            <w:r w:rsidRPr="00653F35">
              <w:rPr>
                <w:rFonts w:ascii="Calibri" w:eastAsia="Times New Roman" w:hAnsi="Calibri" w:cs="Calibri"/>
              </w:rPr>
              <w:t>$  213,431</w:t>
            </w:r>
          </w:p>
        </w:tc>
      </w:tr>
      <w:tr w:rsidR="00721CFD" w:rsidRPr="00413B6F" w14:paraId="1EE55408" w14:textId="77777777" w:rsidTr="007B5BB3">
        <w:trPr>
          <w:trHeight w:val="68"/>
          <w:jc w:val="center"/>
        </w:trPr>
        <w:tc>
          <w:tcPr>
            <w:tcW w:w="6771" w:type="dxa"/>
            <w:tcBorders>
              <w:top w:val="nil"/>
              <w:left w:val="nil"/>
              <w:bottom w:val="nil"/>
              <w:right w:val="nil"/>
            </w:tcBorders>
            <w:shd w:val="clear" w:color="000000" w:fill="FFFFFF"/>
            <w:vAlign w:val="bottom"/>
            <w:hideMark/>
          </w:tcPr>
          <w:p w14:paraId="02E9E2D4" w14:textId="77777777" w:rsidR="00721CFD" w:rsidRPr="00413B6F" w:rsidRDefault="00721CFD" w:rsidP="007B5BB3">
            <w:pPr>
              <w:spacing w:before="120"/>
              <w:rPr>
                <w:rFonts w:ascii="Calibri" w:eastAsia="Times New Roman" w:hAnsi="Calibri" w:cs="Calibri"/>
                <w:color w:val="0D0D0D"/>
              </w:rPr>
            </w:pPr>
            <w:r w:rsidRPr="00413B6F">
              <w:rPr>
                <w:rFonts w:ascii="Calibri" w:eastAsia="Times New Roman" w:hAnsi="Calibri" w:cs="Calibri"/>
                <w:color w:val="0D0D0D"/>
              </w:rPr>
              <w:t>Changes for the year:</w:t>
            </w:r>
          </w:p>
        </w:tc>
        <w:tc>
          <w:tcPr>
            <w:tcW w:w="1345" w:type="dxa"/>
            <w:tcBorders>
              <w:top w:val="nil"/>
              <w:left w:val="nil"/>
              <w:bottom w:val="nil"/>
              <w:right w:val="nil"/>
            </w:tcBorders>
            <w:shd w:val="clear" w:color="000000" w:fill="FFFFFF"/>
            <w:noWrap/>
            <w:vAlign w:val="bottom"/>
            <w:hideMark/>
          </w:tcPr>
          <w:p w14:paraId="61AF9723" w14:textId="77777777" w:rsidR="00721CFD" w:rsidRPr="0066736F" w:rsidRDefault="00721CFD" w:rsidP="007B5BB3">
            <w:pPr>
              <w:spacing w:before="120"/>
              <w:jc w:val="right"/>
              <w:rPr>
                <w:rFonts w:ascii="Calibri" w:eastAsia="Times New Roman" w:hAnsi="Calibri" w:cs="Calibri"/>
              </w:rPr>
            </w:pPr>
            <w:r w:rsidRPr="0066736F">
              <w:rPr>
                <w:rFonts w:ascii="Calibri" w:eastAsia="Times New Roman" w:hAnsi="Calibri" w:cs="Calibri"/>
              </w:rPr>
              <w:t> </w:t>
            </w:r>
          </w:p>
        </w:tc>
        <w:tc>
          <w:tcPr>
            <w:tcW w:w="1244" w:type="dxa"/>
            <w:tcBorders>
              <w:top w:val="nil"/>
              <w:left w:val="nil"/>
              <w:bottom w:val="nil"/>
              <w:right w:val="nil"/>
            </w:tcBorders>
            <w:shd w:val="clear" w:color="auto" w:fill="D9D9D9" w:themeFill="background1" w:themeFillShade="D9"/>
            <w:noWrap/>
            <w:vAlign w:val="bottom"/>
            <w:hideMark/>
          </w:tcPr>
          <w:p w14:paraId="2845F56E" w14:textId="77777777" w:rsidR="00721CFD" w:rsidRPr="00413B6F" w:rsidRDefault="00721CFD" w:rsidP="007B5BB3">
            <w:pPr>
              <w:spacing w:before="120"/>
              <w:jc w:val="right"/>
              <w:rPr>
                <w:rFonts w:ascii="Calibri" w:eastAsia="Times New Roman" w:hAnsi="Calibri" w:cs="Calibri"/>
                <w:color w:val="0D0D0D"/>
              </w:rPr>
            </w:pPr>
            <w:r w:rsidRPr="00653F35">
              <w:rPr>
                <w:rFonts w:ascii="Calibri" w:eastAsia="Times New Roman" w:hAnsi="Calibri" w:cs="Calibri"/>
              </w:rPr>
              <w:t> </w:t>
            </w:r>
          </w:p>
        </w:tc>
      </w:tr>
      <w:tr w:rsidR="00721CFD" w:rsidRPr="00413B6F" w14:paraId="225D8669" w14:textId="77777777" w:rsidTr="007B5BB3">
        <w:trPr>
          <w:trHeight w:val="68"/>
          <w:jc w:val="center"/>
        </w:trPr>
        <w:tc>
          <w:tcPr>
            <w:tcW w:w="6771" w:type="dxa"/>
            <w:tcBorders>
              <w:top w:val="nil"/>
              <w:left w:val="nil"/>
              <w:bottom w:val="nil"/>
              <w:right w:val="nil"/>
            </w:tcBorders>
            <w:shd w:val="clear" w:color="000000" w:fill="FFFFFF"/>
            <w:vAlign w:val="bottom"/>
            <w:hideMark/>
          </w:tcPr>
          <w:p w14:paraId="5ED56CEE" w14:textId="77777777" w:rsidR="00721CFD" w:rsidRPr="00413B6F" w:rsidRDefault="00721CFD" w:rsidP="007B5BB3">
            <w:pPr>
              <w:ind w:left="252"/>
              <w:rPr>
                <w:rFonts w:ascii="Calibri" w:eastAsia="Times New Roman" w:hAnsi="Calibri" w:cs="Calibri"/>
                <w:color w:val="0D0D0D"/>
              </w:rPr>
            </w:pPr>
            <w:r w:rsidRPr="00413B6F">
              <w:rPr>
                <w:rFonts w:ascii="Calibri" w:eastAsia="Times New Roman" w:hAnsi="Calibri" w:cs="Calibri"/>
                <w:color w:val="0D0D0D"/>
              </w:rPr>
              <w:t>Service cost</w:t>
            </w:r>
          </w:p>
        </w:tc>
        <w:tc>
          <w:tcPr>
            <w:tcW w:w="1345" w:type="dxa"/>
            <w:tcBorders>
              <w:top w:val="nil"/>
              <w:left w:val="nil"/>
              <w:bottom w:val="nil"/>
              <w:right w:val="nil"/>
            </w:tcBorders>
            <w:shd w:val="clear" w:color="000000" w:fill="FFFFFF"/>
            <w:noWrap/>
            <w:vAlign w:val="bottom"/>
            <w:hideMark/>
          </w:tcPr>
          <w:p w14:paraId="3CC0BEE0" w14:textId="77777777" w:rsidR="00721CFD" w:rsidRPr="0066736F" w:rsidRDefault="00721CFD" w:rsidP="007B5BB3">
            <w:pPr>
              <w:jc w:val="right"/>
              <w:rPr>
                <w:rFonts w:ascii="Calibri" w:eastAsia="Times New Roman" w:hAnsi="Calibri" w:cs="Calibri"/>
              </w:rPr>
            </w:pPr>
            <w:r w:rsidRPr="003959B0">
              <w:rPr>
                <w:rFonts w:ascii="Calibri" w:hAnsi="Calibri" w:cs="Calibri"/>
              </w:rPr>
              <w:t>6,150</w:t>
            </w:r>
            <w:r w:rsidRPr="0066736F">
              <w:rPr>
                <w:rFonts w:ascii="Calibri" w:hAnsi="Calibri" w:cs="Calibri"/>
              </w:rPr>
              <w:t xml:space="preserve"> </w:t>
            </w:r>
          </w:p>
        </w:tc>
        <w:tc>
          <w:tcPr>
            <w:tcW w:w="1244" w:type="dxa"/>
            <w:tcBorders>
              <w:top w:val="nil"/>
              <w:left w:val="nil"/>
              <w:bottom w:val="nil"/>
              <w:right w:val="nil"/>
            </w:tcBorders>
            <w:shd w:val="clear" w:color="auto" w:fill="D9D9D9" w:themeFill="background1" w:themeFillShade="D9"/>
            <w:noWrap/>
            <w:vAlign w:val="bottom"/>
            <w:hideMark/>
          </w:tcPr>
          <w:p w14:paraId="49677E1A" w14:textId="77777777" w:rsidR="00721CFD" w:rsidRPr="00413B6F" w:rsidRDefault="00721CFD" w:rsidP="007B5BB3">
            <w:pPr>
              <w:jc w:val="right"/>
              <w:rPr>
                <w:rFonts w:ascii="Calibri" w:eastAsia="Times New Roman" w:hAnsi="Calibri" w:cs="Calibri"/>
                <w:color w:val="0D0D0D"/>
              </w:rPr>
            </w:pPr>
            <w:r w:rsidRPr="00653F35">
              <w:rPr>
                <w:rFonts w:ascii="Calibri" w:hAnsi="Calibri" w:cs="Calibri"/>
              </w:rPr>
              <w:t xml:space="preserve">6,964 </w:t>
            </w:r>
          </w:p>
        </w:tc>
      </w:tr>
      <w:tr w:rsidR="00721CFD" w:rsidRPr="00413B6F" w14:paraId="585B1CD4" w14:textId="77777777" w:rsidTr="007B5BB3">
        <w:trPr>
          <w:trHeight w:val="72"/>
          <w:jc w:val="center"/>
        </w:trPr>
        <w:tc>
          <w:tcPr>
            <w:tcW w:w="6771" w:type="dxa"/>
            <w:tcBorders>
              <w:top w:val="nil"/>
              <w:left w:val="nil"/>
              <w:bottom w:val="nil"/>
              <w:right w:val="nil"/>
            </w:tcBorders>
            <w:shd w:val="clear" w:color="000000" w:fill="FFFFFF"/>
            <w:vAlign w:val="bottom"/>
            <w:hideMark/>
          </w:tcPr>
          <w:p w14:paraId="78FA3140" w14:textId="77777777" w:rsidR="00721CFD" w:rsidRPr="00413B6F" w:rsidRDefault="00721CFD" w:rsidP="007B5BB3">
            <w:pPr>
              <w:ind w:left="252"/>
              <w:rPr>
                <w:rFonts w:ascii="Calibri" w:eastAsia="Times New Roman" w:hAnsi="Calibri" w:cs="Calibri"/>
                <w:color w:val="0D0D0D"/>
              </w:rPr>
            </w:pPr>
            <w:r w:rsidRPr="00413B6F">
              <w:rPr>
                <w:rFonts w:ascii="Calibri" w:eastAsia="Times New Roman" w:hAnsi="Calibri" w:cs="Calibri"/>
                <w:color w:val="0D0D0D"/>
              </w:rPr>
              <w:t>Interest</w:t>
            </w:r>
          </w:p>
        </w:tc>
        <w:tc>
          <w:tcPr>
            <w:tcW w:w="1345" w:type="dxa"/>
            <w:tcBorders>
              <w:top w:val="nil"/>
              <w:left w:val="nil"/>
              <w:bottom w:val="nil"/>
              <w:right w:val="nil"/>
            </w:tcBorders>
            <w:shd w:val="clear" w:color="000000" w:fill="FFFFFF"/>
            <w:noWrap/>
            <w:vAlign w:val="bottom"/>
            <w:hideMark/>
          </w:tcPr>
          <w:p w14:paraId="31404C8D" w14:textId="77777777" w:rsidR="00721CFD" w:rsidRPr="0066736F" w:rsidRDefault="00721CFD" w:rsidP="007B5BB3">
            <w:pPr>
              <w:jc w:val="right"/>
              <w:rPr>
                <w:rFonts w:ascii="Calibri" w:eastAsia="Times New Roman" w:hAnsi="Calibri" w:cs="Calibri"/>
              </w:rPr>
            </w:pPr>
            <w:r w:rsidRPr="003959B0">
              <w:rPr>
                <w:rFonts w:ascii="Calibri" w:hAnsi="Calibri" w:cs="Calibri"/>
              </w:rPr>
              <w:t>11,969</w:t>
            </w:r>
            <w:r w:rsidRPr="0066736F">
              <w:rPr>
                <w:rFonts w:ascii="Calibri" w:hAnsi="Calibri" w:cs="Calibri"/>
              </w:rPr>
              <w:t xml:space="preserve"> </w:t>
            </w:r>
          </w:p>
        </w:tc>
        <w:tc>
          <w:tcPr>
            <w:tcW w:w="1244" w:type="dxa"/>
            <w:tcBorders>
              <w:top w:val="nil"/>
              <w:left w:val="nil"/>
              <w:bottom w:val="nil"/>
              <w:right w:val="nil"/>
            </w:tcBorders>
            <w:shd w:val="clear" w:color="auto" w:fill="D9D9D9" w:themeFill="background1" w:themeFillShade="D9"/>
            <w:noWrap/>
            <w:vAlign w:val="bottom"/>
            <w:hideMark/>
          </w:tcPr>
          <w:p w14:paraId="0AC59112" w14:textId="77777777" w:rsidR="00721CFD" w:rsidRPr="00413B6F" w:rsidRDefault="00721CFD" w:rsidP="007B5BB3">
            <w:pPr>
              <w:jc w:val="right"/>
              <w:rPr>
                <w:rFonts w:ascii="Calibri" w:eastAsia="Times New Roman" w:hAnsi="Calibri" w:cs="Calibri"/>
                <w:color w:val="0D0D0D"/>
              </w:rPr>
            </w:pPr>
            <w:r w:rsidRPr="00653F35">
              <w:rPr>
                <w:rFonts w:ascii="Calibri" w:hAnsi="Calibri" w:cs="Calibri"/>
              </w:rPr>
              <w:t xml:space="preserve">15,725 </w:t>
            </w:r>
          </w:p>
        </w:tc>
      </w:tr>
      <w:tr w:rsidR="00721CFD" w:rsidRPr="00413B6F" w14:paraId="0E23A64E" w14:textId="77777777" w:rsidTr="007B5BB3">
        <w:trPr>
          <w:trHeight w:val="81"/>
          <w:jc w:val="center"/>
        </w:trPr>
        <w:tc>
          <w:tcPr>
            <w:tcW w:w="6771" w:type="dxa"/>
            <w:tcBorders>
              <w:top w:val="nil"/>
              <w:left w:val="nil"/>
              <w:bottom w:val="nil"/>
              <w:right w:val="nil"/>
            </w:tcBorders>
            <w:shd w:val="clear" w:color="000000" w:fill="FFFFFF"/>
            <w:vAlign w:val="bottom"/>
            <w:hideMark/>
          </w:tcPr>
          <w:p w14:paraId="3A6DE12F" w14:textId="77777777" w:rsidR="00721CFD" w:rsidRPr="00413B6F" w:rsidRDefault="00721CFD" w:rsidP="007B5BB3">
            <w:pPr>
              <w:ind w:left="252"/>
              <w:rPr>
                <w:rFonts w:ascii="Calibri" w:eastAsia="Times New Roman" w:hAnsi="Calibri" w:cs="Calibri"/>
                <w:color w:val="0D0D0D"/>
              </w:rPr>
            </w:pPr>
            <w:r w:rsidRPr="00413B6F">
              <w:rPr>
                <w:rFonts w:ascii="Calibri" w:eastAsia="Times New Roman" w:hAnsi="Calibri" w:cs="Calibri"/>
                <w:color w:val="0D0D0D"/>
              </w:rPr>
              <w:t>Changes of benefit terms</w:t>
            </w:r>
          </w:p>
        </w:tc>
        <w:tc>
          <w:tcPr>
            <w:tcW w:w="1345" w:type="dxa"/>
            <w:tcBorders>
              <w:top w:val="nil"/>
              <w:left w:val="nil"/>
              <w:bottom w:val="nil"/>
              <w:right w:val="nil"/>
            </w:tcBorders>
            <w:shd w:val="clear" w:color="000000" w:fill="FFFFFF"/>
            <w:noWrap/>
            <w:vAlign w:val="bottom"/>
            <w:hideMark/>
          </w:tcPr>
          <w:p w14:paraId="24649EB1" w14:textId="77777777" w:rsidR="00721CFD" w:rsidRPr="0066736F" w:rsidRDefault="00721CFD" w:rsidP="007B5BB3">
            <w:pPr>
              <w:jc w:val="right"/>
              <w:rPr>
                <w:rFonts w:ascii="Calibri" w:eastAsia="Times New Roman" w:hAnsi="Calibri" w:cs="Calibri"/>
              </w:rPr>
            </w:pPr>
            <w:r w:rsidRPr="003959B0">
              <w:rPr>
                <w:rFonts w:ascii="Calibri" w:hAnsi="Calibri" w:cs="Calibri"/>
              </w:rPr>
              <w:t>-</w:t>
            </w:r>
          </w:p>
        </w:tc>
        <w:tc>
          <w:tcPr>
            <w:tcW w:w="1244" w:type="dxa"/>
            <w:tcBorders>
              <w:top w:val="nil"/>
              <w:left w:val="nil"/>
              <w:bottom w:val="nil"/>
              <w:right w:val="nil"/>
            </w:tcBorders>
            <w:shd w:val="clear" w:color="auto" w:fill="D9D9D9" w:themeFill="background1" w:themeFillShade="D9"/>
            <w:noWrap/>
            <w:vAlign w:val="bottom"/>
            <w:hideMark/>
          </w:tcPr>
          <w:p w14:paraId="4328C53E" w14:textId="77777777" w:rsidR="00721CFD" w:rsidRPr="00413B6F" w:rsidRDefault="00721CFD" w:rsidP="007B5BB3">
            <w:pPr>
              <w:jc w:val="right"/>
              <w:rPr>
                <w:rFonts w:ascii="Calibri" w:eastAsia="Times New Roman" w:hAnsi="Calibri" w:cs="Calibri"/>
                <w:color w:val="0D0D0D"/>
              </w:rPr>
            </w:pPr>
            <w:r w:rsidRPr="00653F35">
              <w:rPr>
                <w:rFonts w:ascii="Calibri" w:hAnsi="Calibri" w:cs="Calibri"/>
              </w:rPr>
              <w:t>(49,469)</w:t>
            </w:r>
          </w:p>
        </w:tc>
      </w:tr>
      <w:tr w:rsidR="00721CFD" w:rsidRPr="00413B6F" w14:paraId="674AB174" w14:textId="77777777" w:rsidTr="007B5BB3">
        <w:trPr>
          <w:trHeight w:val="81"/>
          <w:jc w:val="center"/>
        </w:trPr>
        <w:tc>
          <w:tcPr>
            <w:tcW w:w="6771" w:type="dxa"/>
            <w:tcBorders>
              <w:top w:val="nil"/>
              <w:left w:val="nil"/>
              <w:bottom w:val="nil"/>
              <w:right w:val="nil"/>
            </w:tcBorders>
            <w:shd w:val="clear" w:color="000000" w:fill="FFFFFF"/>
            <w:noWrap/>
            <w:vAlign w:val="bottom"/>
            <w:hideMark/>
          </w:tcPr>
          <w:p w14:paraId="08AFBC75" w14:textId="77777777" w:rsidR="00721CFD" w:rsidRPr="00413B6F" w:rsidRDefault="00721CFD" w:rsidP="007B5BB3">
            <w:pPr>
              <w:ind w:left="252"/>
              <w:rPr>
                <w:rFonts w:ascii="Calibri" w:eastAsia="Times New Roman" w:hAnsi="Calibri" w:cs="Calibri"/>
                <w:color w:val="0D0D0D"/>
              </w:rPr>
            </w:pPr>
            <w:r w:rsidRPr="00413B6F">
              <w:rPr>
                <w:rFonts w:ascii="Calibri" w:eastAsia="Times New Roman" w:hAnsi="Calibri" w:cs="Calibri"/>
                <w:color w:val="0D0D0D"/>
              </w:rPr>
              <w:t xml:space="preserve">Differences between expected and actual experience </w:t>
            </w:r>
          </w:p>
        </w:tc>
        <w:tc>
          <w:tcPr>
            <w:tcW w:w="1345" w:type="dxa"/>
            <w:tcBorders>
              <w:top w:val="nil"/>
              <w:left w:val="nil"/>
              <w:bottom w:val="nil"/>
              <w:right w:val="nil"/>
            </w:tcBorders>
            <w:shd w:val="clear" w:color="000000" w:fill="FFFFFF"/>
            <w:noWrap/>
            <w:vAlign w:val="bottom"/>
            <w:hideMark/>
          </w:tcPr>
          <w:p w14:paraId="58DD77DE" w14:textId="77777777" w:rsidR="00721CFD" w:rsidRPr="0066736F" w:rsidRDefault="00721CFD" w:rsidP="007B5BB3">
            <w:pPr>
              <w:jc w:val="right"/>
              <w:rPr>
                <w:rFonts w:ascii="Calibri" w:eastAsia="Times New Roman" w:hAnsi="Calibri" w:cs="Calibri"/>
              </w:rPr>
            </w:pPr>
            <w:r w:rsidRPr="003959B0">
              <w:rPr>
                <w:rFonts w:ascii="Calibri" w:hAnsi="Calibri" w:cs="Calibri"/>
              </w:rPr>
              <w:t>-</w:t>
            </w:r>
          </w:p>
        </w:tc>
        <w:tc>
          <w:tcPr>
            <w:tcW w:w="1244" w:type="dxa"/>
            <w:tcBorders>
              <w:top w:val="nil"/>
              <w:left w:val="nil"/>
              <w:bottom w:val="nil"/>
              <w:right w:val="nil"/>
            </w:tcBorders>
            <w:shd w:val="clear" w:color="auto" w:fill="D9D9D9" w:themeFill="background1" w:themeFillShade="D9"/>
            <w:noWrap/>
            <w:vAlign w:val="bottom"/>
            <w:hideMark/>
          </w:tcPr>
          <w:p w14:paraId="434C75A9" w14:textId="77777777" w:rsidR="00721CFD" w:rsidRPr="00413B6F" w:rsidRDefault="00721CFD" w:rsidP="007B5BB3">
            <w:pPr>
              <w:jc w:val="right"/>
              <w:rPr>
                <w:rFonts w:ascii="Calibri" w:eastAsia="Times New Roman" w:hAnsi="Calibri" w:cs="Calibri"/>
                <w:color w:val="0D0D0D"/>
              </w:rPr>
            </w:pPr>
            <w:r w:rsidRPr="00653F35">
              <w:rPr>
                <w:rFonts w:ascii="Calibri" w:hAnsi="Calibri" w:cs="Calibri"/>
              </w:rPr>
              <w:t>(8,908)</w:t>
            </w:r>
          </w:p>
        </w:tc>
      </w:tr>
      <w:tr w:rsidR="00721CFD" w:rsidRPr="00413B6F" w14:paraId="22EADE8D" w14:textId="77777777" w:rsidTr="007B5BB3">
        <w:trPr>
          <w:trHeight w:val="81"/>
          <w:jc w:val="center"/>
        </w:trPr>
        <w:tc>
          <w:tcPr>
            <w:tcW w:w="6771" w:type="dxa"/>
            <w:tcBorders>
              <w:top w:val="nil"/>
              <w:left w:val="nil"/>
              <w:bottom w:val="nil"/>
              <w:right w:val="nil"/>
            </w:tcBorders>
            <w:shd w:val="clear" w:color="000000" w:fill="FFFFFF"/>
            <w:noWrap/>
            <w:vAlign w:val="bottom"/>
            <w:hideMark/>
          </w:tcPr>
          <w:p w14:paraId="37869FE9" w14:textId="77777777" w:rsidR="00721CFD" w:rsidRPr="00413B6F" w:rsidRDefault="00721CFD" w:rsidP="007B5BB3">
            <w:pPr>
              <w:ind w:left="252"/>
              <w:rPr>
                <w:rFonts w:ascii="Calibri" w:eastAsia="Times New Roman" w:hAnsi="Calibri" w:cs="Calibri"/>
                <w:color w:val="0D0D0D"/>
              </w:rPr>
            </w:pPr>
            <w:r w:rsidRPr="00413B6F">
              <w:rPr>
                <w:rFonts w:ascii="Calibri" w:eastAsia="Times New Roman" w:hAnsi="Calibri" w:cs="Calibri"/>
                <w:color w:val="0D0D0D"/>
              </w:rPr>
              <w:t>Changes of assumptions</w:t>
            </w:r>
          </w:p>
        </w:tc>
        <w:tc>
          <w:tcPr>
            <w:tcW w:w="1345" w:type="dxa"/>
            <w:tcBorders>
              <w:top w:val="nil"/>
              <w:left w:val="nil"/>
              <w:bottom w:val="nil"/>
              <w:right w:val="nil"/>
            </w:tcBorders>
            <w:shd w:val="clear" w:color="000000" w:fill="FFFFFF"/>
            <w:noWrap/>
            <w:vAlign w:val="bottom"/>
            <w:hideMark/>
          </w:tcPr>
          <w:p w14:paraId="42B16F48" w14:textId="77777777" w:rsidR="00721CFD" w:rsidRPr="0066736F" w:rsidRDefault="00721CFD" w:rsidP="007B5BB3">
            <w:pPr>
              <w:jc w:val="right"/>
              <w:rPr>
                <w:rFonts w:ascii="Calibri" w:eastAsia="Times New Roman" w:hAnsi="Calibri" w:cs="Calibri"/>
              </w:rPr>
            </w:pPr>
            <w:r w:rsidRPr="003959B0">
              <w:rPr>
                <w:rFonts w:ascii="Calibri" w:hAnsi="Calibri" w:cs="Calibri"/>
              </w:rPr>
              <w:t>-</w:t>
            </w:r>
          </w:p>
        </w:tc>
        <w:tc>
          <w:tcPr>
            <w:tcW w:w="1244" w:type="dxa"/>
            <w:tcBorders>
              <w:top w:val="nil"/>
              <w:left w:val="nil"/>
              <w:bottom w:val="nil"/>
              <w:right w:val="nil"/>
            </w:tcBorders>
            <w:shd w:val="clear" w:color="auto" w:fill="D9D9D9" w:themeFill="background1" w:themeFillShade="D9"/>
            <w:noWrap/>
            <w:vAlign w:val="bottom"/>
            <w:hideMark/>
          </w:tcPr>
          <w:p w14:paraId="2C06FB7E" w14:textId="77777777" w:rsidR="00721CFD" w:rsidRPr="00413B6F" w:rsidRDefault="00721CFD" w:rsidP="007B5BB3">
            <w:pPr>
              <w:jc w:val="right"/>
              <w:rPr>
                <w:rFonts w:ascii="Calibri" w:eastAsia="Times New Roman" w:hAnsi="Calibri" w:cs="Calibri"/>
                <w:color w:val="0D0D0D"/>
              </w:rPr>
            </w:pPr>
            <w:r w:rsidRPr="00653F35">
              <w:rPr>
                <w:rFonts w:ascii="Calibri" w:hAnsi="Calibri" w:cs="Calibri"/>
              </w:rPr>
              <w:t>(8,539)</w:t>
            </w:r>
          </w:p>
        </w:tc>
      </w:tr>
      <w:tr w:rsidR="00721CFD" w:rsidRPr="00413B6F" w14:paraId="557B918A" w14:textId="77777777" w:rsidTr="007B5BB3">
        <w:trPr>
          <w:trHeight w:val="81"/>
          <w:jc w:val="center"/>
        </w:trPr>
        <w:tc>
          <w:tcPr>
            <w:tcW w:w="6771" w:type="dxa"/>
            <w:tcBorders>
              <w:top w:val="nil"/>
              <w:left w:val="nil"/>
              <w:bottom w:val="nil"/>
              <w:right w:val="nil"/>
            </w:tcBorders>
            <w:shd w:val="clear" w:color="000000" w:fill="FFFFFF"/>
            <w:vAlign w:val="bottom"/>
            <w:hideMark/>
          </w:tcPr>
          <w:p w14:paraId="27688F88" w14:textId="77777777" w:rsidR="00721CFD" w:rsidRPr="00413B6F" w:rsidRDefault="00721CFD" w:rsidP="007B5BB3">
            <w:pPr>
              <w:ind w:left="252"/>
              <w:rPr>
                <w:rFonts w:ascii="Calibri" w:eastAsia="Times New Roman" w:hAnsi="Calibri" w:cs="Calibri"/>
                <w:color w:val="0D0D0D"/>
              </w:rPr>
            </w:pPr>
            <w:r w:rsidRPr="00413B6F">
              <w:rPr>
                <w:rFonts w:ascii="Calibri" w:eastAsia="Times New Roman" w:hAnsi="Calibri" w:cs="Calibri"/>
                <w:color w:val="0D0D0D"/>
              </w:rPr>
              <w:t>Benefit payments</w:t>
            </w:r>
          </w:p>
        </w:tc>
        <w:tc>
          <w:tcPr>
            <w:tcW w:w="1345" w:type="dxa"/>
            <w:tcBorders>
              <w:top w:val="nil"/>
              <w:left w:val="nil"/>
              <w:bottom w:val="nil"/>
              <w:right w:val="nil"/>
            </w:tcBorders>
            <w:shd w:val="clear" w:color="000000" w:fill="FFFFFF"/>
            <w:noWrap/>
            <w:vAlign w:val="bottom"/>
            <w:hideMark/>
          </w:tcPr>
          <w:p w14:paraId="715712BE" w14:textId="5525E63F" w:rsidR="00721CFD" w:rsidRPr="0066736F" w:rsidRDefault="00EC2CD8" w:rsidP="007B5BB3">
            <w:pPr>
              <w:jc w:val="right"/>
              <w:rPr>
                <w:rFonts w:ascii="Calibri" w:eastAsia="Times New Roman" w:hAnsi="Calibri" w:cs="Calibri"/>
              </w:rPr>
            </w:pPr>
            <w:r>
              <w:rPr>
                <w:rFonts w:ascii="Calibri" w:hAnsi="Calibri" w:cs="Calibri"/>
              </w:rPr>
              <w:t>(6,537)</w:t>
            </w:r>
          </w:p>
        </w:tc>
        <w:tc>
          <w:tcPr>
            <w:tcW w:w="1244" w:type="dxa"/>
            <w:tcBorders>
              <w:top w:val="nil"/>
              <w:left w:val="nil"/>
              <w:bottom w:val="nil"/>
              <w:right w:val="nil"/>
            </w:tcBorders>
            <w:shd w:val="clear" w:color="auto" w:fill="D9D9D9" w:themeFill="background1" w:themeFillShade="D9"/>
            <w:noWrap/>
            <w:vAlign w:val="bottom"/>
            <w:hideMark/>
          </w:tcPr>
          <w:p w14:paraId="34770806" w14:textId="77777777" w:rsidR="00721CFD" w:rsidRPr="00413B6F" w:rsidRDefault="00721CFD" w:rsidP="007B5BB3">
            <w:pPr>
              <w:jc w:val="right"/>
              <w:rPr>
                <w:rFonts w:ascii="Calibri" w:eastAsia="Times New Roman" w:hAnsi="Calibri" w:cs="Calibri"/>
                <w:color w:val="0D0D0D"/>
              </w:rPr>
            </w:pPr>
            <w:r w:rsidRPr="00653F35">
              <w:rPr>
                <w:rFonts w:ascii="Calibri" w:hAnsi="Calibri" w:cs="Calibri"/>
              </w:rPr>
              <w:t>(6,992)</w:t>
            </w:r>
          </w:p>
        </w:tc>
      </w:tr>
      <w:tr w:rsidR="00721CFD" w:rsidRPr="00413B6F" w14:paraId="6186269E" w14:textId="77777777" w:rsidTr="007B5BB3">
        <w:trPr>
          <w:trHeight w:val="71"/>
          <w:jc w:val="center"/>
        </w:trPr>
        <w:tc>
          <w:tcPr>
            <w:tcW w:w="6771" w:type="dxa"/>
            <w:tcBorders>
              <w:top w:val="single" w:sz="4" w:space="0" w:color="44546A"/>
              <w:left w:val="nil"/>
              <w:bottom w:val="single" w:sz="4" w:space="0" w:color="44546A"/>
              <w:right w:val="nil"/>
            </w:tcBorders>
            <w:shd w:val="clear" w:color="000000" w:fill="FFFFFF"/>
            <w:vAlign w:val="bottom"/>
            <w:hideMark/>
          </w:tcPr>
          <w:p w14:paraId="008B404A" w14:textId="77777777" w:rsidR="00721CFD" w:rsidRPr="00413B6F" w:rsidRDefault="00721CFD" w:rsidP="007B5BB3">
            <w:pPr>
              <w:rPr>
                <w:rFonts w:ascii="Calibri" w:eastAsia="Times New Roman" w:hAnsi="Calibri" w:cs="Calibri"/>
                <w:color w:val="0D0D0D"/>
              </w:rPr>
            </w:pPr>
            <w:r w:rsidRPr="00413B6F">
              <w:rPr>
                <w:rFonts w:ascii="Calibri" w:eastAsia="Times New Roman" w:hAnsi="Calibri" w:cs="Calibri"/>
                <w:color w:val="0D0D0D"/>
              </w:rPr>
              <w:t>Total OPEB liability</w:t>
            </w:r>
            <w:r>
              <w:rPr>
                <w:rFonts w:ascii="Calibri" w:eastAsia="Times New Roman" w:hAnsi="Calibri" w:cs="Calibri"/>
                <w:color w:val="0D0D0D"/>
              </w:rPr>
              <w:t xml:space="preserve"> (asset)</w:t>
            </w:r>
            <w:r w:rsidRPr="00413B6F">
              <w:rPr>
                <w:rFonts w:ascii="Calibri" w:eastAsia="Times New Roman" w:hAnsi="Calibri" w:cs="Calibri"/>
                <w:color w:val="0D0D0D"/>
              </w:rPr>
              <w:t xml:space="preserve"> – ending (a)</w:t>
            </w:r>
          </w:p>
        </w:tc>
        <w:tc>
          <w:tcPr>
            <w:tcW w:w="1345" w:type="dxa"/>
            <w:tcBorders>
              <w:top w:val="single" w:sz="4" w:space="0" w:color="44546A"/>
              <w:left w:val="nil"/>
              <w:bottom w:val="single" w:sz="4" w:space="0" w:color="44546A"/>
              <w:right w:val="nil"/>
            </w:tcBorders>
            <w:shd w:val="clear" w:color="000000" w:fill="FFFFFF"/>
            <w:noWrap/>
            <w:vAlign w:val="bottom"/>
            <w:hideMark/>
          </w:tcPr>
          <w:p w14:paraId="792E1299" w14:textId="77777777" w:rsidR="00721CFD" w:rsidRPr="0066736F" w:rsidRDefault="00721CFD" w:rsidP="007B5BB3">
            <w:pPr>
              <w:jc w:val="right"/>
              <w:rPr>
                <w:rFonts w:ascii="Calibri" w:eastAsia="Times New Roman" w:hAnsi="Calibri" w:cs="Calibri"/>
              </w:rPr>
            </w:pPr>
            <w:r w:rsidRPr="003959B0">
              <w:rPr>
                <w:rFonts w:ascii="Calibri" w:eastAsia="Times New Roman" w:hAnsi="Calibri" w:cs="Calibri"/>
              </w:rPr>
              <w:t>173,794</w:t>
            </w:r>
          </w:p>
        </w:tc>
        <w:tc>
          <w:tcPr>
            <w:tcW w:w="1244" w:type="dxa"/>
            <w:tcBorders>
              <w:top w:val="single" w:sz="4" w:space="0" w:color="44546A"/>
              <w:left w:val="nil"/>
              <w:bottom w:val="single" w:sz="4" w:space="0" w:color="44546A"/>
              <w:right w:val="nil"/>
            </w:tcBorders>
            <w:shd w:val="clear" w:color="auto" w:fill="D9D9D9" w:themeFill="background1" w:themeFillShade="D9"/>
            <w:noWrap/>
            <w:vAlign w:val="bottom"/>
            <w:hideMark/>
          </w:tcPr>
          <w:p w14:paraId="778C6EDE" w14:textId="77777777" w:rsidR="00721CFD" w:rsidRPr="00413B6F" w:rsidRDefault="00721CFD" w:rsidP="007B5BB3">
            <w:pPr>
              <w:jc w:val="right"/>
              <w:rPr>
                <w:rFonts w:ascii="Calibri" w:eastAsia="Times New Roman" w:hAnsi="Calibri" w:cs="Calibri"/>
                <w:color w:val="0D0D0D"/>
              </w:rPr>
            </w:pPr>
            <w:r w:rsidRPr="00653F35">
              <w:rPr>
                <w:rFonts w:ascii="Calibri" w:eastAsia="Times New Roman" w:hAnsi="Calibri" w:cs="Calibri"/>
              </w:rPr>
              <w:t>162,212</w:t>
            </w:r>
          </w:p>
        </w:tc>
      </w:tr>
      <w:tr w:rsidR="00721CFD" w:rsidRPr="00413B6F" w14:paraId="7E813B3F" w14:textId="77777777" w:rsidTr="007B5BB3">
        <w:trPr>
          <w:trHeight w:val="152"/>
          <w:jc w:val="center"/>
        </w:trPr>
        <w:tc>
          <w:tcPr>
            <w:tcW w:w="6771" w:type="dxa"/>
            <w:tcBorders>
              <w:top w:val="nil"/>
              <w:left w:val="nil"/>
              <w:bottom w:val="nil"/>
              <w:right w:val="nil"/>
            </w:tcBorders>
            <w:shd w:val="clear" w:color="000000" w:fill="FFFFFF"/>
            <w:vAlign w:val="bottom"/>
            <w:hideMark/>
          </w:tcPr>
          <w:p w14:paraId="728471DB" w14:textId="77777777" w:rsidR="00721CFD" w:rsidRPr="00413B6F" w:rsidRDefault="00721CFD" w:rsidP="007B5BB3">
            <w:pPr>
              <w:spacing w:before="120"/>
              <w:rPr>
                <w:rFonts w:ascii="Calibri" w:eastAsia="Times New Roman" w:hAnsi="Calibri" w:cs="Calibri"/>
                <w:color w:val="0D0D0D"/>
              </w:rPr>
            </w:pPr>
            <w:r w:rsidRPr="00413B6F">
              <w:rPr>
                <w:rFonts w:ascii="Calibri" w:eastAsia="Times New Roman" w:hAnsi="Calibri" w:cs="Calibri"/>
                <w:color w:val="0D0D0D"/>
              </w:rPr>
              <w:t xml:space="preserve">Fiduciary net position – beginning </w:t>
            </w:r>
          </w:p>
        </w:tc>
        <w:tc>
          <w:tcPr>
            <w:tcW w:w="1345" w:type="dxa"/>
            <w:tcBorders>
              <w:top w:val="nil"/>
              <w:left w:val="nil"/>
              <w:bottom w:val="nil"/>
              <w:right w:val="nil"/>
            </w:tcBorders>
            <w:shd w:val="clear" w:color="000000" w:fill="FFFFFF"/>
            <w:noWrap/>
            <w:vAlign w:val="bottom"/>
            <w:hideMark/>
          </w:tcPr>
          <w:p w14:paraId="5E10E56E" w14:textId="77777777" w:rsidR="00721CFD" w:rsidRPr="0066736F" w:rsidRDefault="00721CFD" w:rsidP="007B5BB3">
            <w:pPr>
              <w:spacing w:before="120"/>
              <w:jc w:val="right"/>
              <w:rPr>
                <w:rFonts w:ascii="Calibri" w:eastAsia="Times New Roman" w:hAnsi="Calibri" w:cs="Calibri"/>
              </w:rPr>
            </w:pPr>
            <w:r w:rsidRPr="003959B0">
              <w:rPr>
                <w:rFonts w:ascii="Calibri" w:hAnsi="Calibri" w:cs="Calibri"/>
              </w:rPr>
              <w:t>180,270</w:t>
            </w:r>
            <w:r w:rsidRPr="0066736F">
              <w:rPr>
                <w:rFonts w:ascii="Calibri" w:hAnsi="Calibri" w:cs="Calibri"/>
              </w:rPr>
              <w:t xml:space="preserve"> </w:t>
            </w:r>
          </w:p>
        </w:tc>
        <w:tc>
          <w:tcPr>
            <w:tcW w:w="1244" w:type="dxa"/>
            <w:tcBorders>
              <w:top w:val="nil"/>
              <w:left w:val="nil"/>
              <w:bottom w:val="nil"/>
              <w:right w:val="nil"/>
            </w:tcBorders>
            <w:shd w:val="clear" w:color="auto" w:fill="D9D9D9" w:themeFill="background1" w:themeFillShade="D9"/>
            <w:noWrap/>
            <w:vAlign w:val="bottom"/>
            <w:hideMark/>
          </w:tcPr>
          <w:p w14:paraId="493E8500" w14:textId="77777777" w:rsidR="00721CFD" w:rsidRPr="00413B6F" w:rsidRDefault="00721CFD" w:rsidP="007B5BB3">
            <w:pPr>
              <w:spacing w:before="120"/>
              <w:jc w:val="right"/>
              <w:rPr>
                <w:rFonts w:ascii="Calibri" w:eastAsia="Times New Roman" w:hAnsi="Calibri" w:cs="Calibri"/>
                <w:color w:val="0D0D0D"/>
              </w:rPr>
            </w:pPr>
            <w:r w:rsidRPr="00653F35">
              <w:rPr>
                <w:rFonts w:ascii="Calibri" w:hAnsi="Calibri" w:cs="Calibri"/>
              </w:rPr>
              <w:t xml:space="preserve">137,400 </w:t>
            </w:r>
          </w:p>
        </w:tc>
      </w:tr>
      <w:tr w:rsidR="00721CFD" w:rsidRPr="00413B6F" w14:paraId="684370EC" w14:textId="77777777" w:rsidTr="007B5BB3">
        <w:trPr>
          <w:trHeight w:val="68"/>
          <w:jc w:val="center"/>
        </w:trPr>
        <w:tc>
          <w:tcPr>
            <w:tcW w:w="6771" w:type="dxa"/>
            <w:tcBorders>
              <w:top w:val="nil"/>
              <w:left w:val="nil"/>
              <w:bottom w:val="nil"/>
              <w:right w:val="nil"/>
            </w:tcBorders>
            <w:shd w:val="clear" w:color="000000" w:fill="FFFFFF"/>
            <w:vAlign w:val="bottom"/>
            <w:hideMark/>
          </w:tcPr>
          <w:p w14:paraId="3ECACF75" w14:textId="77777777" w:rsidR="00721CFD" w:rsidRPr="00413B6F" w:rsidRDefault="00721CFD" w:rsidP="007B5BB3">
            <w:pPr>
              <w:ind w:left="252"/>
              <w:rPr>
                <w:rFonts w:ascii="Calibri" w:eastAsia="Times New Roman" w:hAnsi="Calibri" w:cs="Calibri"/>
                <w:color w:val="0D0D0D"/>
              </w:rPr>
            </w:pPr>
            <w:r w:rsidRPr="00413B6F">
              <w:rPr>
                <w:rFonts w:ascii="Calibri" w:eastAsia="Times New Roman" w:hAnsi="Calibri" w:cs="Calibri"/>
                <w:color w:val="0D0D0D"/>
              </w:rPr>
              <w:t>Contributions – employer</w:t>
            </w:r>
          </w:p>
        </w:tc>
        <w:tc>
          <w:tcPr>
            <w:tcW w:w="1345" w:type="dxa"/>
            <w:tcBorders>
              <w:top w:val="nil"/>
              <w:left w:val="nil"/>
              <w:bottom w:val="nil"/>
              <w:right w:val="nil"/>
            </w:tcBorders>
            <w:shd w:val="clear" w:color="000000" w:fill="FFFFFF"/>
            <w:noWrap/>
            <w:vAlign w:val="bottom"/>
            <w:hideMark/>
          </w:tcPr>
          <w:p w14:paraId="058580D1" w14:textId="77777777" w:rsidR="00721CFD" w:rsidRPr="0066736F" w:rsidRDefault="00721CFD" w:rsidP="007B5BB3">
            <w:pPr>
              <w:jc w:val="right"/>
              <w:rPr>
                <w:rFonts w:ascii="Calibri" w:eastAsia="Times New Roman" w:hAnsi="Calibri" w:cs="Calibri"/>
              </w:rPr>
            </w:pPr>
            <w:r w:rsidRPr="003959B0">
              <w:rPr>
                <w:rFonts w:ascii="Calibri" w:hAnsi="Calibri" w:cs="Calibri"/>
              </w:rPr>
              <w:t>4,937</w:t>
            </w:r>
            <w:r w:rsidRPr="0066736F">
              <w:rPr>
                <w:rFonts w:ascii="Calibri" w:hAnsi="Calibri" w:cs="Calibri"/>
              </w:rPr>
              <w:t xml:space="preserve"> </w:t>
            </w:r>
          </w:p>
        </w:tc>
        <w:tc>
          <w:tcPr>
            <w:tcW w:w="1244" w:type="dxa"/>
            <w:tcBorders>
              <w:top w:val="nil"/>
              <w:left w:val="nil"/>
              <w:bottom w:val="nil"/>
              <w:right w:val="nil"/>
            </w:tcBorders>
            <w:shd w:val="clear" w:color="auto" w:fill="D9D9D9" w:themeFill="background1" w:themeFillShade="D9"/>
            <w:noWrap/>
            <w:vAlign w:val="bottom"/>
            <w:hideMark/>
          </w:tcPr>
          <w:p w14:paraId="6DAB8613" w14:textId="77777777" w:rsidR="00721CFD" w:rsidRPr="00413B6F" w:rsidRDefault="00721CFD" w:rsidP="007B5BB3">
            <w:pPr>
              <w:jc w:val="right"/>
              <w:rPr>
                <w:rFonts w:ascii="Calibri" w:eastAsia="Times New Roman" w:hAnsi="Calibri" w:cs="Calibri"/>
                <w:color w:val="0D0D0D"/>
              </w:rPr>
            </w:pPr>
            <w:r w:rsidRPr="00653F35">
              <w:rPr>
                <w:rFonts w:ascii="Calibri" w:hAnsi="Calibri" w:cs="Calibri"/>
              </w:rPr>
              <w:t xml:space="preserve">12,473 </w:t>
            </w:r>
          </w:p>
        </w:tc>
      </w:tr>
      <w:tr w:rsidR="00721CFD" w:rsidRPr="00413B6F" w14:paraId="3D0A8376" w14:textId="77777777" w:rsidTr="007B5BB3">
        <w:trPr>
          <w:trHeight w:val="72"/>
          <w:jc w:val="center"/>
        </w:trPr>
        <w:tc>
          <w:tcPr>
            <w:tcW w:w="6771" w:type="dxa"/>
            <w:tcBorders>
              <w:top w:val="nil"/>
              <w:left w:val="nil"/>
              <w:bottom w:val="nil"/>
              <w:right w:val="nil"/>
            </w:tcBorders>
            <w:shd w:val="clear" w:color="000000" w:fill="FFFFFF"/>
            <w:vAlign w:val="bottom"/>
            <w:hideMark/>
          </w:tcPr>
          <w:p w14:paraId="7E500ED5" w14:textId="197646A6" w:rsidR="00721CFD" w:rsidRPr="00413B6F" w:rsidRDefault="00721CFD" w:rsidP="007B5BB3">
            <w:pPr>
              <w:ind w:left="252"/>
              <w:rPr>
                <w:rFonts w:ascii="Calibri" w:eastAsia="Times New Roman" w:hAnsi="Calibri" w:cs="Calibri"/>
                <w:color w:val="0D0D0D"/>
              </w:rPr>
            </w:pPr>
            <w:r w:rsidRPr="00413B6F">
              <w:rPr>
                <w:rFonts w:ascii="Calibri" w:eastAsia="Times New Roman" w:hAnsi="Calibri" w:cs="Calibri"/>
                <w:color w:val="0D0D0D"/>
              </w:rPr>
              <w:t>Net investment income</w:t>
            </w:r>
            <w:r w:rsidR="00D2701E">
              <w:rPr>
                <w:rFonts w:ascii="Calibri" w:eastAsia="Times New Roman" w:hAnsi="Calibri" w:cs="Calibri"/>
                <w:color w:val="0D0D0D"/>
              </w:rPr>
              <w:t xml:space="preserve"> (loss)</w:t>
            </w:r>
          </w:p>
        </w:tc>
        <w:tc>
          <w:tcPr>
            <w:tcW w:w="1345" w:type="dxa"/>
            <w:tcBorders>
              <w:top w:val="nil"/>
              <w:left w:val="nil"/>
              <w:bottom w:val="nil"/>
              <w:right w:val="nil"/>
            </w:tcBorders>
            <w:shd w:val="clear" w:color="000000" w:fill="FFFFFF"/>
            <w:noWrap/>
            <w:vAlign w:val="bottom"/>
            <w:hideMark/>
          </w:tcPr>
          <w:p w14:paraId="6056004E" w14:textId="77777777" w:rsidR="00721CFD" w:rsidRPr="0066736F" w:rsidRDefault="00721CFD" w:rsidP="007B5BB3">
            <w:pPr>
              <w:jc w:val="right"/>
              <w:rPr>
                <w:rFonts w:ascii="Calibri" w:eastAsia="Times New Roman" w:hAnsi="Calibri" w:cs="Calibri"/>
              </w:rPr>
            </w:pPr>
            <w:r w:rsidRPr="003959B0">
              <w:rPr>
                <w:rFonts w:ascii="Calibri" w:hAnsi="Calibri" w:cs="Calibri"/>
              </w:rPr>
              <w:t>(22,658)</w:t>
            </w:r>
            <w:r w:rsidRPr="0066736F">
              <w:rPr>
                <w:rFonts w:ascii="Calibri" w:hAnsi="Calibri" w:cs="Calibri"/>
              </w:rPr>
              <w:t xml:space="preserve"> </w:t>
            </w:r>
          </w:p>
        </w:tc>
        <w:tc>
          <w:tcPr>
            <w:tcW w:w="1244" w:type="dxa"/>
            <w:tcBorders>
              <w:top w:val="nil"/>
              <w:left w:val="nil"/>
              <w:bottom w:val="nil"/>
              <w:right w:val="nil"/>
            </w:tcBorders>
            <w:shd w:val="clear" w:color="auto" w:fill="D9D9D9" w:themeFill="background1" w:themeFillShade="D9"/>
            <w:noWrap/>
            <w:vAlign w:val="bottom"/>
            <w:hideMark/>
          </w:tcPr>
          <w:p w14:paraId="5E56A526" w14:textId="77777777" w:rsidR="00721CFD" w:rsidRPr="00413B6F" w:rsidRDefault="00721CFD" w:rsidP="007B5BB3">
            <w:pPr>
              <w:jc w:val="right"/>
              <w:rPr>
                <w:rFonts w:ascii="Calibri" w:eastAsia="Times New Roman" w:hAnsi="Calibri" w:cs="Calibri"/>
                <w:color w:val="0D0D0D"/>
              </w:rPr>
            </w:pPr>
            <w:r w:rsidRPr="00653F35">
              <w:rPr>
                <w:rFonts w:ascii="Calibri" w:hAnsi="Calibri" w:cs="Calibri"/>
              </w:rPr>
              <w:t xml:space="preserve">37,389 </w:t>
            </w:r>
          </w:p>
        </w:tc>
      </w:tr>
      <w:tr w:rsidR="00721CFD" w:rsidRPr="00413B6F" w14:paraId="6857030E" w14:textId="77777777" w:rsidTr="007B5BB3">
        <w:trPr>
          <w:trHeight w:val="68"/>
          <w:jc w:val="center"/>
        </w:trPr>
        <w:tc>
          <w:tcPr>
            <w:tcW w:w="6771" w:type="dxa"/>
            <w:tcBorders>
              <w:top w:val="nil"/>
              <w:left w:val="nil"/>
              <w:bottom w:val="nil"/>
              <w:right w:val="nil"/>
            </w:tcBorders>
            <w:shd w:val="clear" w:color="000000" w:fill="FFFFFF"/>
            <w:vAlign w:val="bottom"/>
            <w:hideMark/>
          </w:tcPr>
          <w:p w14:paraId="57622BD8" w14:textId="77777777" w:rsidR="00721CFD" w:rsidRPr="00413B6F" w:rsidRDefault="00721CFD" w:rsidP="007B5BB3">
            <w:pPr>
              <w:ind w:left="252"/>
              <w:rPr>
                <w:rFonts w:ascii="Calibri" w:eastAsia="Times New Roman" w:hAnsi="Calibri" w:cs="Calibri"/>
                <w:color w:val="0D0D0D"/>
              </w:rPr>
            </w:pPr>
            <w:r w:rsidRPr="00413B6F">
              <w:rPr>
                <w:rFonts w:ascii="Calibri" w:eastAsia="Times New Roman" w:hAnsi="Calibri" w:cs="Calibri"/>
                <w:color w:val="0D0D0D"/>
              </w:rPr>
              <w:t>Benefit payments</w:t>
            </w:r>
          </w:p>
        </w:tc>
        <w:tc>
          <w:tcPr>
            <w:tcW w:w="1345" w:type="dxa"/>
            <w:tcBorders>
              <w:top w:val="nil"/>
              <w:left w:val="nil"/>
              <w:bottom w:val="nil"/>
              <w:right w:val="nil"/>
            </w:tcBorders>
            <w:shd w:val="clear" w:color="000000" w:fill="FFFFFF"/>
            <w:noWrap/>
            <w:vAlign w:val="bottom"/>
            <w:hideMark/>
          </w:tcPr>
          <w:p w14:paraId="6C38DF79" w14:textId="77777777" w:rsidR="00721CFD" w:rsidRPr="0066736F" w:rsidRDefault="00721CFD" w:rsidP="007B5BB3">
            <w:pPr>
              <w:jc w:val="right"/>
              <w:rPr>
                <w:rFonts w:ascii="Calibri" w:eastAsia="Times New Roman" w:hAnsi="Calibri" w:cs="Calibri"/>
              </w:rPr>
            </w:pPr>
            <w:r w:rsidRPr="0066736F">
              <w:rPr>
                <w:rFonts w:ascii="Calibri" w:hAnsi="Calibri" w:cs="Calibri"/>
              </w:rPr>
              <w:t xml:space="preserve"> (6,</w:t>
            </w:r>
            <w:r w:rsidRPr="003959B0">
              <w:rPr>
                <w:rFonts w:ascii="Calibri" w:hAnsi="Calibri" w:cs="Calibri"/>
              </w:rPr>
              <w:t>537</w:t>
            </w:r>
            <w:r w:rsidRPr="0066736F">
              <w:rPr>
                <w:rFonts w:ascii="Calibri" w:hAnsi="Calibri" w:cs="Calibri"/>
              </w:rPr>
              <w:t>)</w:t>
            </w:r>
          </w:p>
        </w:tc>
        <w:tc>
          <w:tcPr>
            <w:tcW w:w="1244" w:type="dxa"/>
            <w:tcBorders>
              <w:top w:val="nil"/>
              <w:left w:val="nil"/>
              <w:bottom w:val="nil"/>
              <w:right w:val="nil"/>
            </w:tcBorders>
            <w:shd w:val="clear" w:color="auto" w:fill="D9D9D9" w:themeFill="background1" w:themeFillShade="D9"/>
            <w:noWrap/>
            <w:vAlign w:val="bottom"/>
            <w:hideMark/>
          </w:tcPr>
          <w:p w14:paraId="5CE21546" w14:textId="77777777" w:rsidR="00721CFD" w:rsidRPr="00413B6F" w:rsidRDefault="00721CFD" w:rsidP="007B5BB3">
            <w:pPr>
              <w:jc w:val="right"/>
              <w:rPr>
                <w:rFonts w:ascii="Calibri" w:eastAsia="Times New Roman" w:hAnsi="Calibri" w:cs="Calibri"/>
                <w:color w:val="0D0D0D"/>
              </w:rPr>
            </w:pPr>
            <w:r w:rsidRPr="00653F35">
              <w:rPr>
                <w:rFonts w:ascii="Calibri" w:hAnsi="Calibri" w:cs="Calibri"/>
              </w:rPr>
              <w:t xml:space="preserve"> (6,992)</w:t>
            </w:r>
          </w:p>
        </w:tc>
      </w:tr>
      <w:tr w:rsidR="00721CFD" w:rsidRPr="00413B6F" w14:paraId="2AD4C70A" w14:textId="77777777" w:rsidTr="007B5BB3">
        <w:trPr>
          <w:trHeight w:val="62"/>
          <w:jc w:val="center"/>
        </w:trPr>
        <w:tc>
          <w:tcPr>
            <w:tcW w:w="6771" w:type="dxa"/>
            <w:tcBorders>
              <w:top w:val="single" w:sz="4" w:space="0" w:color="44546A"/>
              <w:left w:val="nil"/>
              <w:bottom w:val="single" w:sz="4" w:space="0" w:color="44546A"/>
              <w:right w:val="nil"/>
            </w:tcBorders>
            <w:shd w:val="clear" w:color="000000" w:fill="FFFFFF"/>
            <w:vAlign w:val="bottom"/>
            <w:hideMark/>
          </w:tcPr>
          <w:p w14:paraId="6D1D2E1D" w14:textId="77777777" w:rsidR="00721CFD" w:rsidRPr="00413B6F" w:rsidRDefault="00721CFD" w:rsidP="007B5BB3">
            <w:pPr>
              <w:rPr>
                <w:rFonts w:ascii="Calibri" w:eastAsia="Times New Roman" w:hAnsi="Calibri" w:cs="Calibri"/>
                <w:color w:val="0D0D0D"/>
              </w:rPr>
            </w:pPr>
            <w:r w:rsidRPr="00413B6F">
              <w:rPr>
                <w:rFonts w:ascii="Calibri" w:eastAsia="Times New Roman" w:hAnsi="Calibri" w:cs="Calibri"/>
                <w:color w:val="0D0D0D"/>
              </w:rPr>
              <w:t>Fiduciary net position – ending (b)</w:t>
            </w:r>
          </w:p>
        </w:tc>
        <w:tc>
          <w:tcPr>
            <w:tcW w:w="1345" w:type="dxa"/>
            <w:tcBorders>
              <w:top w:val="single" w:sz="4" w:space="0" w:color="44546A"/>
              <w:left w:val="nil"/>
              <w:bottom w:val="single" w:sz="4" w:space="0" w:color="44546A"/>
              <w:right w:val="nil"/>
            </w:tcBorders>
            <w:shd w:val="clear" w:color="000000" w:fill="FFFFFF"/>
            <w:noWrap/>
            <w:vAlign w:val="bottom"/>
            <w:hideMark/>
          </w:tcPr>
          <w:p w14:paraId="137EFC4F" w14:textId="77777777" w:rsidR="00721CFD" w:rsidRPr="0066736F" w:rsidRDefault="00721CFD" w:rsidP="007B5BB3">
            <w:pPr>
              <w:jc w:val="right"/>
              <w:rPr>
                <w:rFonts w:ascii="Calibri" w:eastAsia="Times New Roman" w:hAnsi="Calibri" w:cs="Calibri"/>
              </w:rPr>
            </w:pPr>
            <w:r w:rsidRPr="003959B0">
              <w:rPr>
                <w:rFonts w:ascii="Calibri" w:eastAsia="Times New Roman" w:hAnsi="Calibri" w:cs="Calibri"/>
              </w:rPr>
              <w:t>156,012</w:t>
            </w:r>
          </w:p>
        </w:tc>
        <w:tc>
          <w:tcPr>
            <w:tcW w:w="1244" w:type="dxa"/>
            <w:tcBorders>
              <w:top w:val="single" w:sz="4" w:space="0" w:color="44546A"/>
              <w:left w:val="nil"/>
              <w:bottom w:val="single" w:sz="4" w:space="0" w:color="44546A"/>
              <w:right w:val="nil"/>
            </w:tcBorders>
            <w:shd w:val="clear" w:color="auto" w:fill="D9D9D9" w:themeFill="background1" w:themeFillShade="D9"/>
            <w:noWrap/>
            <w:vAlign w:val="bottom"/>
            <w:hideMark/>
          </w:tcPr>
          <w:p w14:paraId="09A21A3A" w14:textId="77777777" w:rsidR="00721CFD" w:rsidRPr="00413B6F" w:rsidRDefault="00721CFD" w:rsidP="007B5BB3">
            <w:pPr>
              <w:jc w:val="right"/>
              <w:rPr>
                <w:rFonts w:ascii="Calibri" w:eastAsia="Times New Roman" w:hAnsi="Calibri" w:cs="Calibri"/>
                <w:color w:val="0D0D0D"/>
              </w:rPr>
            </w:pPr>
            <w:r w:rsidRPr="00653F35">
              <w:rPr>
                <w:rFonts w:ascii="Calibri" w:eastAsia="Times New Roman" w:hAnsi="Calibri" w:cs="Calibri"/>
              </w:rPr>
              <w:t>180,270</w:t>
            </w:r>
          </w:p>
        </w:tc>
      </w:tr>
      <w:tr w:rsidR="00721CFD" w:rsidRPr="00413B6F" w14:paraId="15DBA59E" w14:textId="77777777" w:rsidTr="007B5BB3">
        <w:trPr>
          <w:trHeight w:val="58"/>
          <w:jc w:val="center"/>
        </w:trPr>
        <w:tc>
          <w:tcPr>
            <w:tcW w:w="6771" w:type="dxa"/>
            <w:tcBorders>
              <w:top w:val="nil"/>
              <w:left w:val="nil"/>
              <w:bottom w:val="double" w:sz="6" w:space="0" w:color="44546A"/>
              <w:right w:val="nil"/>
            </w:tcBorders>
            <w:shd w:val="clear" w:color="000000" w:fill="FFFFFF"/>
            <w:vAlign w:val="bottom"/>
            <w:hideMark/>
          </w:tcPr>
          <w:p w14:paraId="3FE4854D" w14:textId="77777777" w:rsidR="00721CFD" w:rsidRPr="00413B6F" w:rsidRDefault="00721CFD" w:rsidP="007B5BB3">
            <w:pPr>
              <w:spacing w:before="120"/>
              <w:rPr>
                <w:rFonts w:ascii="Calibri" w:eastAsia="Times New Roman" w:hAnsi="Calibri" w:cs="Calibri"/>
                <w:color w:val="0D0D0D"/>
              </w:rPr>
            </w:pPr>
            <w:r w:rsidRPr="00413B6F">
              <w:rPr>
                <w:rFonts w:ascii="Calibri" w:eastAsia="Times New Roman" w:hAnsi="Calibri" w:cs="Calibri"/>
                <w:color w:val="0D0D0D"/>
              </w:rPr>
              <w:t xml:space="preserve">Net OPEB liability </w:t>
            </w:r>
            <w:r>
              <w:rPr>
                <w:rFonts w:ascii="Calibri" w:eastAsia="Times New Roman" w:hAnsi="Calibri" w:cs="Calibri"/>
                <w:color w:val="0D0D0D"/>
              </w:rPr>
              <w:t>(asset)</w:t>
            </w:r>
            <w:r w:rsidRPr="00413B6F">
              <w:rPr>
                <w:rFonts w:ascii="Calibri" w:eastAsia="Times New Roman" w:hAnsi="Calibri" w:cs="Calibri"/>
                <w:color w:val="0D0D0D"/>
              </w:rPr>
              <w:t>– ending (a)-(b)</w:t>
            </w:r>
          </w:p>
        </w:tc>
        <w:tc>
          <w:tcPr>
            <w:tcW w:w="1345" w:type="dxa"/>
            <w:tcBorders>
              <w:top w:val="nil"/>
              <w:left w:val="nil"/>
              <w:bottom w:val="double" w:sz="6" w:space="0" w:color="44546A"/>
              <w:right w:val="nil"/>
            </w:tcBorders>
            <w:shd w:val="clear" w:color="000000" w:fill="FFFFFF"/>
            <w:noWrap/>
            <w:vAlign w:val="bottom"/>
            <w:hideMark/>
          </w:tcPr>
          <w:p w14:paraId="3CDABD6E" w14:textId="77777777" w:rsidR="00721CFD" w:rsidRPr="0066736F" w:rsidRDefault="00721CFD" w:rsidP="007B5BB3">
            <w:pPr>
              <w:spacing w:before="120"/>
              <w:jc w:val="right"/>
              <w:rPr>
                <w:rFonts w:ascii="Calibri" w:eastAsia="Times New Roman" w:hAnsi="Calibri" w:cs="Calibri"/>
              </w:rPr>
            </w:pPr>
            <w:r w:rsidRPr="0066736F">
              <w:rPr>
                <w:rFonts w:ascii="Calibri" w:eastAsia="Times New Roman" w:hAnsi="Calibri" w:cs="Calibri"/>
              </w:rPr>
              <w:t xml:space="preserve">$  </w:t>
            </w:r>
            <w:r w:rsidRPr="003959B0">
              <w:rPr>
                <w:rFonts w:ascii="Calibri" w:eastAsia="Times New Roman" w:hAnsi="Calibri" w:cs="Calibri"/>
              </w:rPr>
              <w:t>17,782</w:t>
            </w:r>
          </w:p>
        </w:tc>
        <w:tc>
          <w:tcPr>
            <w:tcW w:w="1244" w:type="dxa"/>
            <w:tcBorders>
              <w:top w:val="nil"/>
              <w:left w:val="nil"/>
              <w:bottom w:val="double" w:sz="6" w:space="0" w:color="44546A"/>
              <w:right w:val="nil"/>
            </w:tcBorders>
            <w:shd w:val="clear" w:color="auto" w:fill="D9D9D9" w:themeFill="background1" w:themeFillShade="D9"/>
            <w:noWrap/>
            <w:vAlign w:val="bottom"/>
            <w:hideMark/>
          </w:tcPr>
          <w:p w14:paraId="2EA1F25D" w14:textId="77777777" w:rsidR="00721CFD" w:rsidRPr="00413B6F" w:rsidRDefault="00721CFD" w:rsidP="007B5BB3">
            <w:pPr>
              <w:spacing w:before="120"/>
              <w:jc w:val="right"/>
              <w:rPr>
                <w:rFonts w:ascii="Calibri" w:eastAsia="Times New Roman" w:hAnsi="Calibri" w:cs="Calibri"/>
                <w:color w:val="0D0D0D"/>
              </w:rPr>
            </w:pPr>
            <w:r w:rsidRPr="00653F35">
              <w:rPr>
                <w:rFonts w:ascii="Calibri" w:eastAsia="Times New Roman" w:hAnsi="Calibri" w:cs="Calibri"/>
              </w:rPr>
              <w:t>$  (18,058)</w:t>
            </w:r>
          </w:p>
        </w:tc>
      </w:tr>
      <w:tr w:rsidR="00721CFD" w:rsidRPr="00413B6F" w14:paraId="4A7A0252" w14:textId="77777777" w:rsidTr="007B5BB3">
        <w:trPr>
          <w:trHeight w:val="23"/>
          <w:jc w:val="center"/>
        </w:trPr>
        <w:tc>
          <w:tcPr>
            <w:tcW w:w="6771" w:type="dxa"/>
            <w:tcBorders>
              <w:top w:val="nil"/>
              <w:left w:val="nil"/>
              <w:bottom w:val="nil"/>
              <w:right w:val="nil"/>
            </w:tcBorders>
            <w:shd w:val="clear" w:color="000000" w:fill="FFFFFF"/>
            <w:vAlign w:val="bottom"/>
            <w:hideMark/>
          </w:tcPr>
          <w:p w14:paraId="266D4AFC" w14:textId="77777777" w:rsidR="00721CFD" w:rsidRPr="00413B6F" w:rsidRDefault="00721CFD" w:rsidP="007B5BB3">
            <w:pPr>
              <w:spacing w:before="120"/>
              <w:rPr>
                <w:rFonts w:ascii="Calibri" w:eastAsia="Times New Roman" w:hAnsi="Calibri" w:cs="Calibri"/>
                <w:color w:val="0D0D0D"/>
              </w:rPr>
            </w:pPr>
            <w:r w:rsidRPr="00413B6F">
              <w:rPr>
                <w:rFonts w:ascii="Calibri" w:eastAsia="Times New Roman" w:hAnsi="Calibri" w:cs="Calibri"/>
                <w:color w:val="0D0D0D"/>
              </w:rPr>
              <w:t>Plan fiduciary net position as a percentage of the total OPEB liability</w:t>
            </w:r>
            <w:r>
              <w:rPr>
                <w:rFonts w:ascii="Calibri" w:eastAsia="Times New Roman" w:hAnsi="Calibri" w:cs="Calibri"/>
                <w:color w:val="0D0D0D"/>
              </w:rPr>
              <w:t xml:space="preserve"> (asset)</w:t>
            </w:r>
          </w:p>
        </w:tc>
        <w:tc>
          <w:tcPr>
            <w:tcW w:w="1345" w:type="dxa"/>
            <w:tcBorders>
              <w:top w:val="nil"/>
              <w:left w:val="nil"/>
              <w:bottom w:val="nil"/>
              <w:right w:val="nil"/>
            </w:tcBorders>
            <w:shd w:val="clear" w:color="000000" w:fill="FFFFFF"/>
            <w:noWrap/>
            <w:vAlign w:val="bottom"/>
            <w:hideMark/>
          </w:tcPr>
          <w:p w14:paraId="49E25BF2" w14:textId="77777777" w:rsidR="00721CFD" w:rsidRPr="0066736F" w:rsidRDefault="00721CFD" w:rsidP="007B5BB3">
            <w:pPr>
              <w:spacing w:before="120"/>
              <w:jc w:val="right"/>
              <w:rPr>
                <w:rFonts w:ascii="Calibri" w:eastAsia="Times New Roman" w:hAnsi="Calibri" w:cs="Calibri"/>
              </w:rPr>
            </w:pPr>
            <w:r w:rsidRPr="00A93FB3">
              <w:rPr>
                <w:rFonts w:ascii="Calibri" w:eastAsia="Times New Roman" w:hAnsi="Calibri" w:cs="Calibri"/>
              </w:rPr>
              <w:t>8</w:t>
            </w:r>
            <w:r>
              <w:rPr>
                <w:rFonts w:ascii="Calibri" w:eastAsia="Times New Roman" w:hAnsi="Calibri" w:cs="Calibri"/>
              </w:rPr>
              <w:t>9.</w:t>
            </w:r>
            <w:r w:rsidRPr="00A93FB3">
              <w:rPr>
                <w:rFonts w:ascii="Calibri" w:eastAsia="Times New Roman" w:hAnsi="Calibri" w:cs="Calibri"/>
              </w:rPr>
              <w:t>77</w:t>
            </w:r>
            <w:r w:rsidRPr="0066736F">
              <w:rPr>
                <w:rFonts w:ascii="Calibri" w:eastAsia="Times New Roman" w:hAnsi="Calibri" w:cs="Calibri"/>
              </w:rPr>
              <w:t>%</w:t>
            </w:r>
          </w:p>
        </w:tc>
        <w:tc>
          <w:tcPr>
            <w:tcW w:w="1244" w:type="dxa"/>
            <w:tcBorders>
              <w:top w:val="nil"/>
              <w:left w:val="nil"/>
              <w:bottom w:val="nil"/>
              <w:right w:val="nil"/>
            </w:tcBorders>
            <w:shd w:val="clear" w:color="auto" w:fill="D9D9D9" w:themeFill="background1" w:themeFillShade="D9"/>
            <w:noWrap/>
            <w:vAlign w:val="bottom"/>
            <w:hideMark/>
          </w:tcPr>
          <w:p w14:paraId="0BEE27D0" w14:textId="77777777" w:rsidR="00721CFD" w:rsidRPr="00413B6F" w:rsidRDefault="00721CFD" w:rsidP="007B5BB3">
            <w:pPr>
              <w:spacing w:before="120"/>
              <w:jc w:val="right"/>
              <w:rPr>
                <w:rFonts w:ascii="Calibri" w:eastAsia="Times New Roman" w:hAnsi="Calibri" w:cs="Calibri"/>
                <w:color w:val="0D0D0D"/>
              </w:rPr>
            </w:pPr>
            <w:r w:rsidRPr="00653F35">
              <w:rPr>
                <w:rFonts w:ascii="Calibri" w:eastAsia="Times New Roman" w:hAnsi="Calibri" w:cs="Calibri"/>
              </w:rPr>
              <w:t>111.13%</w:t>
            </w:r>
          </w:p>
        </w:tc>
      </w:tr>
      <w:tr w:rsidR="00721CFD" w:rsidRPr="00413B6F" w14:paraId="1389DFDC" w14:textId="77777777" w:rsidTr="007B5BB3">
        <w:trPr>
          <w:trHeight w:val="68"/>
          <w:jc w:val="center"/>
        </w:trPr>
        <w:tc>
          <w:tcPr>
            <w:tcW w:w="6771" w:type="dxa"/>
            <w:tcBorders>
              <w:top w:val="nil"/>
              <w:left w:val="nil"/>
              <w:bottom w:val="nil"/>
              <w:right w:val="nil"/>
            </w:tcBorders>
            <w:shd w:val="clear" w:color="000000" w:fill="FFFFFF"/>
            <w:noWrap/>
            <w:vAlign w:val="bottom"/>
            <w:hideMark/>
          </w:tcPr>
          <w:p w14:paraId="45B7E0A0" w14:textId="77777777" w:rsidR="00721CFD" w:rsidRPr="00413B6F" w:rsidRDefault="00721CFD" w:rsidP="007B5BB3">
            <w:pPr>
              <w:spacing w:before="120"/>
              <w:rPr>
                <w:rFonts w:ascii="Calibri" w:eastAsia="Times New Roman" w:hAnsi="Calibri" w:cs="Calibri"/>
                <w:color w:val="0D0D0D"/>
              </w:rPr>
            </w:pPr>
            <w:r w:rsidRPr="00413B6F">
              <w:rPr>
                <w:rFonts w:ascii="Calibri" w:eastAsia="Times New Roman" w:hAnsi="Calibri" w:cs="Calibri"/>
                <w:color w:val="0D0D0D"/>
              </w:rPr>
              <w:t>Covered payroll</w:t>
            </w:r>
          </w:p>
        </w:tc>
        <w:tc>
          <w:tcPr>
            <w:tcW w:w="1345" w:type="dxa"/>
            <w:tcBorders>
              <w:top w:val="nil"/>
              <w:left w:val="nil"/>
              <w:bottom w:val="nil"/>
              <w:right w:val="nil"/>
            </w:tcBorders>
            <w:shd w:val="clear" w:color="000000" w:fill="FFFFFF"/>
            <w:noWrap/>
            <w:vAlign w:val="bottom"/>
            <w:hideMark/>
          </w:tcPr>
          <w:p w14:paraId="3A3135FD" w14:textId="77777777" w:rsidR="00721CFD" w:rsidRPr="0066736F" w:rsidRDefault="00721CFD" w:rsidP="007B5BB3">
            <w:pPr>
              <w:spacing w:before="120"/>
              <w:jc w:val="right"/>
              <w:rPr>
                <w:rFonts w:ascii="Calibri" w:eastAsia="Times New Roman" w:hAnsi="Calibri" w:cs="Calibri"/>
              </w:rPr>
            </w:pPr>
            <w:r w:rsidRPr="0066736F">
              <w:rPr>
                <w:rFonts w:ascii="Calibri" w:eastAsia="Times New Roman" w:hAnsi="Calibri" w:cs="Calibri"/>
              </w:rPr>
              <w:t xml:space="preserve">$  </w:t>
            </w:r>
            <w:r w:rsidRPr="003959B0">
              <w:rPr>
                <w:rFonts w:ascii="Calibri" w:eastAsia="Times New Roman" w:hAnsi="Calibri" w:cs="Calibri"/>
              </w:rPr>
              <w:t>267,061</w:t>
            </w:r>
          </w:p>
        </w:tc>
        <w:tc>
          <w:tcPr>
            <w:tcW w:w="1244" w:type="dxa"/>
            <w:tcBorders>
              <w:top w:val="nil"/>
              <w:left w:val="nil"/>
              <w:bottom w:val="nil"/>
              <w:right w:val="nil"/>
            </w:tcBorders>
            <w:shd w:val="clear" w:color="auto" w:fill="D9D9D9" w:themeFill="background1" w:themeFillShade="D9"/>
            <w:noWrap/>
            <w:vAlign w:val="bottom"/>
            <w:hideMark/>
          </w:tcPr>
          <w:p w14:paraId="0CF0F8EA" w14:textId="77777777" w:rsidR="00721CFD" w:rsidRPr="00413B6F" w:rsidRDefault="00721CFD" w:rsidP="007B5BB3">
            <w:pPr>
              <w:spacing w:before="120"/>
              <w:jc w:val="right"/>
              <w:rPr>
                <w:rFonts w:ascii="Calibri" w:eastAsia="Times New Roman" w:hAnsi="Calibri" w:cs="Calibri"/>
                <w:color w:val="0D0D0D"/>
              </w:rPr>
            </w:pPr>
            <w:r w:rsidRPr="00653F35">
              <w:rPr>
                <w:rFonts w:ascii="Calibri" w:eastAsia="Times New Roman" w:hAnsi="Calibri" w:cs="Calibri"/>
              </w:rPr>
              <w:t>$  258,827</w:t>
            </w:r>
          </w:p>
        </w:tc>
      </w:tr>
      <w:tr w:rsidR="00721CFD" w:rsidRPr="00413B6F" w14:paraId="235D0F8A" w14:textId="77777777" w:rsidTr="007B5BB3">
        <w:trPr>
          <w:trHeight w:val="99"/>
          <w:jc w:val="center"/>
        </w:trPr>
        <w:tc>
          <w:tcPr>
            <w:tcW w:w="6771" w:type="dxa"/>
            <w:tcBorders>
              <w:top w:val="nil"/>
              <w:left w:val="nil"/>
              <w:bottom w:val="nil"/>
              <w:right w:val="nil"/>
            </w:tcBorders>
            <w:shd w:val="clear" w:color="000000" w:fill="FFFFFF"/>
            <w:vAlign w:val="bottom"/>
            <w:hideMark/>
          </w:tcPr>
          <w:p w14:paraId="2B5DACE7" w14:textId="77777777" w:rsidR="00721CFD" w:rsidRPr="00413B6F" w:rsidRDefault="00721CFD" w:rsidP="007B5BB3">
            <w:pPr>
              <w:spacing w:before="120"/>
              <w:rPr>
                <w:rFonts w:ascii="Calibri" w:eastAsia="Times New Roman" w:hAnsi="Calibri" w:cs="Calibri"/>
                <w:color w:val="0D0D0D"/>
              </w:rPr>
            </w:pPr>
            <w:r w:rsidRPr="00413B6F">
              <w:rPr>
                <w:rFonts w:ascii="Calibri" w:eastAsia="Times New Roman" w:hAnsi="Calibri" w:cs="Calibri"/>
                <w:color w:val="0D0D0D"/>
              </w:rPr>
              <w:t>Net OPEB liability</w:t>
            </w:r>
            <w:r>
              <w:rPr>
                <w:rFonts w:ascii="Calibri" w:eastAsia="Times New Roman" w:hAnsi="Calibri" w:cs="Calibri"/>
                <w:color w:val="0D0D0D"/>
              </w:rPr>
              <w:t xml:space="preserve"> (asset)</w:t>
            </w:r>
            <w:r w:rsidRPr="00413B6F">
              <w:rPr>
                <w:rFonts w:ascii="Calibri" w:eastAsia="Times New Roman" w:hAnsi="Calibri" w:cs="Calibri"/>
                <w:color w:val="0D0D0D"/>
              </w:rPr>
              <w:t xml:space="preserve"> as a percentage of covered employee payroll</w:t>
            </w:r>
          </w:p>
        </w:tc>
        <w:tc>
          <w:tcPr>
            <w:tcW w:w="1345" w:type="dxa"/>
            <w:tcBorders>
              <w:top w:val="nil"/>
              <w:left w:val="nil"/>
              <w:bottom w:val="nil"/>
              <w:right w:val="nil"/>
            </w:tcBorders>
            <w:shd w:val="clear" w:color="000000" w:fill="FFFFFF"/>
            <w:noWrap/>
            <w:vAlign w:val="bottom"/>
            <w:hideMark/>
          </w:tcPr>
          <w:p w14:paraId="43BED350" w14:textId="77777777" w:rsidR="00721CFD" w:rsidRPr="0066736F" w:rsidRDefault="00721CFD" w:rsidP="007B5BB3">
            <w:pPr>
              <w:spacing w:before="120"/>
              <w:jc w:val="right"/>
              <w:rPr>
                <w:rFonts w:ascii="Calibri" w:eastAsia="Times New Roman" w:hAnsi="Calibri" w:cs="Calibri"/>
              </w:rPr>
            </w:pPr>
            <w:r w:rsidRPr="003959B0">
              <w:rPr>
                <w:rFonts w:ascii="Calibri" w:eastAsia="Times New Roman" w:hAnsi="Calibri" w:cs="Calibri"/>
              </w:rPr>
              <w:t>6.66</w:t>
            </w:r>
            <w:r w:rsidRPr="0066736F">
              <w:rPr>
                <w:rFonts w:ascii="Calibri" w:eastAsia="Times New Roman" w:hAnsi="Calibri" w:cs="Calibri"/>
              </w:rPr>
              <w:t>%</w:t>
            </w:r>
          </w:p>
        </w:tc>
        <w:tc>
          <w:tcPr>
            <w:tcW w:w="1244" w:type="dxa"/>
            <w:tcBorders>
              <w:top w:val="nil"/>
              <w:left w:val="nil"/>
              <w:bottom w:val="nil"/>
              <w:right w:val="nil"/>
            </w:tcBorders>
            <w:shd w:val="clear" w:color="auto" w:fill="D9D9D9" w:themeFill="background1" w:themeFillShade="D9"/>
            <w:noWrap/>
            <w:vAlign w:val="bottom"/>
            <w:hideMark/>
          </w:tcPr>
          <w:p w14:paraId="0ABD8326" w14:textId="77777777" w:rsidR="00721CFD" w:rsidRPr="00413B6F" w:rsidRDefault="00721CFD" w:rsidP="007B5BB3">
            <w:pPr>
              <w:spacing w:before="120"/>
              <w:jc w:val="right"/>
              <w:rPr>
                <w:rFonts w:ascii="Calibri" w:eastAsia="Times New Roman" w:hAnsi="Calibri" w:cs="Calibri"/>
                <w:color w:val="0D0D0D"/>
              </w:rPr>
            </w:pPr>
            <w:r w:rsidRPr="00653F35">
              <w:rPr>
                <w:rFonts w:ascii="Calibri" w:eastAsia="Times New Roman" w:hAnsi="Calibri" w:cs="Calibri"/>
              </w:rPr>
              <w:t>-6.98%</w:t>
            </w:r>
          </w:p>
        </w:tc>
      </w:tr>
      <w:tr w:rsidR="00721CFD" w:rsidRPr="00413B6F" w14:paraId="7D37734F" w14:textId="77777777" w:rsidTr="007B5BB3">
        <w:trPr>
          <w:trHeight w:val="108"/>
          <w:jc w:val="center"/>
        </w:trPr>
        <w:tc>
          <w:tcPr>
            <w:tcW w:w="6771" w:type="dxa"/>
            <w:tcBorders>
              <w:top w:val="nil"/>
              <w:left w:val="nil"/>
              <w:bottom w:val="nil"/>
              <w:right w:val="nil"/>
            </w:tcBorders>
            <w:shd w:val="clear" w:color="000000" w:fill="FFFFFF"/>
            <w:vAlign w:val="bottom"/>
            <w:hideMark/>
          </w:tcPr>
          <w:p w14:paraId="4429E697" w14:textId="77777777" w:rsidR="00721CFD" w:rsidRPr="00413B6F" w:rsidRDefault="00721CFD" w:rsidP="007B5BB3">
            <w:pPr>
              <w:spacing w:before="120"/>
              <w:rPr>
                <w:rFonts w:ascii="Calibri" w:eastAsia="Times New Roman" w:hAnsi="Calibri" w:cs="Calibri"/>
                <w:color w:val="0D0D0D"/>
              </w:rPr>
            </w:pPr>
            <w:r w:rsidRPr="00413B6F">
              <w:rPr>
                <w:rFonts w:ascii="Calibri" w:eastAsia="Times New Roman" w:hAnsi="Calibri" w:cs="Calibri"/>
                <w:color w:val="0D0D0D"/>
              </w:rPr>
              <w:t>Contributions as a percentage of covered payroll</w:t>
            </w:r>
          </w:p>
        </w:tc>
        <w:tc>
          <w:tcPr>
            <w:tcW w:w="1345" w:type="dxa"/>
            <w:tcBorders>
              <w:top w:val="nil"/>
              <w:left w:val="nil"/>
              <w:bottom w:val="nil"/>
              <w:right w:val="nil"/>
            </w:tcBorders>
            <w:shd w:val="clear" w:color="000000" w:fill="FFFFFF"/>
            <w:noWrap/>
            <w:vAlign w:val="bottom"/>
            <w:hideMark/>
          </w:tcPr>
          <w:p w14:paraId="1680174F" w14:textId="77777777" w:rsidR="00721CFD" w:rsidRPr="0066736F" w:rsidRDefault="00721CFD" w:rsidP="007B5BB3">
            <w:pPr>
              <w:spacing w:before="120"/>
              <w:jc w:val="right"/>
              <w:rPr>
                <w:rFonts w:ascii="Calibri" w:eastAsia="Times New Roman" w:hAnsi="Calibri" w:cs="Calibri"/>
              </w:rPr>
            </w:pPr>
            <w:r w:rsidRPr="003959B0">
              <w:rPr>
                <w:rFonts w:ascii="Calibri" w:eastAsia="Times New Roman" w:hAnsi="Calibri" w:cs="Calibri"/>
              </w:rPr>
              <w:t>1.85</w:t>
            </w:r>
            <w:r w:rsidRPr="0066736F">
              <w:rPr>
                <w:rFonts w:ascii="Calibri" w:eastAsia="Times New Roman" w:hAnsi="Calibri" w:cs="Calibri"/>
              </w:rPr>
              <w:t>%</w:t>
            </w:r>
          </w:p>
        </w:tc>
        <w:tc>
          <w:tcPr>
            <w:tcW w:w="1244" w:type="dxa"/>
            <w:tcBorders>
              <w:top w:val="nil"/>
              <w:left w:val="nil"/>
              <w:bottom w:val="nil"/>
              <w:right w:val="nil"/>
            </w:tcBorders>
            <w:shd w:val="clear" w:color="auto" w:fill="D9D9D9" w:themeFill="background1" w:themeFillShade="D9"/>
            <w:noWrap/>
            <w:vAlign w:val="bottom"/>
            <w:hideMark/>
          </w:tcPr>
          <w:p w14:paraId="4B0AED1E" w14:textId="77777777" w:rsidR="00721CFD" w:rsidRPr="00413B6F" w:rsidRDefault="00721CFD" w:rsidP="007B5BB3">
            <w:pPr>
              <w:spacing w:before="120"/>
              <w:jc w:val="right"/>
              <w:rPr>
                <w:rFonts w:ascii="Calibri" w:eastAsia="Times New Roman" w:hAnsi="Calibri" w:cs="Calibri"/>
                <w:color w:val="0D0D0D"/>
              </w:rPr>
            </w:pPr>
            <w:r w:rsidRPr="00653F35">
              <w:rPr>
                <w:rFonts w:ascii="Calibri" w:eastAsia="Times New Roman" w:hAnsi="Calibri" w:cs="Calibri"/>
              </w:rPr>
              <w:t>4.82%</w:t>
            </w:r>
          </w:p>
        </w:tc>
      </w:tr>
      <w:tr w:rsidR="00721CFD" w:rsidRPr="00413B6F" w14:paraId="70F349A3" w14:textId="77777777" w:rsidTr="007B5BB3">
        <w:trPr>
          <w:trHeight w:val="99"/>
          <w:jc w:val="center"/>
        </w:trPr>
        <w:tc>
          <w:tcPr>
            <w:tcW w:w="6771" w:type="dxa"/>
            <w:tcBorders>
              <w:top w:val="nil"/>
              <w:left w:val="nil"/>
              <w:bottom w:val="nil"/>
              <w:right w:val="nil"/>
            </w:tcBorders>
            <w:shd w:val="clear" w:color="000000" w:fill="FFFFFF"/>
            <w:noWrap/>
            <w:vAlign w:val="bottom"/>
            <w:hideMark/>
          </w:tcPr>
          <w:p w14:paraId="534F8E9E" w14:textId="77777777" w:rsidR="00721CFD" w:rsidRPr="00413B6F" w:rsidRDefault="00721CFD" w:rsidP="007B5BB3">
            <w:pPr>
              <w:spacing w:before="120"/>
              <w:rPr>
                <w:rFonts w:ascii="Calibri" w:eastAsia="Times New Roman" w:hAnsi="Calibri" w:cs="Calibri"/>
                <w:color w:val="0D0D0D"/>
              </w:rPr>
            </w:pPr>
            <w:r w:rsidRPr="00413B6F">
              <w:rPr>
                <w:rFonts w:ascii="Calibri" w:eastAsia="Times New Roman" w:hAnsi="Calibri" w:cs="Calibri"/>
                <w:color w:val="0D0D0D"/>
              </w:rPr>
              <w:t>Plan assets measured at fair value</w:t>
            </w:r>
          </w:p>
        </w:tc>
        <w:tc>
          <w:tcPr>
            <w:tcW w:w="1345" w:type="dxa"/>
            <w:tcBorders>
              <w:top w:val="nil"/>
              <w:left w:val="nil"/>
              <w:bottom w:val="nil"/>
              <w:right w:val="nil"/>
            </w:tcBorders>
            <w:shd w:val="clear" w:color="000000" w:fill="FFFFFF"/>
            <w:noWrap/>
            <w:vAlign w:val="bottom"/>
            <w:hideMark/>
          </w:tcPr>
          <w:p w14:paraId="2E1F130C" w14:textId="77777777" w:rsidR="00721CFD" w:rsidRPr="0066736F" w:rsidRDefault="00721CFD" w:rsidP="007B5BB3">
            <w:pPr>
              <w:spacing w:before="120"/>
              <w:jc w:val="right"/>
              <w:rPr>
                <w:rFonts w:ascii="Calibri" w:eastAsia="Times New Roman" w:hAnsi="Calibri" w:cs="Calibri"/>
              </w:rPr>
            </w:pPr>
            <w:r w:rsidRPr="0066736F">
              <w:rPr>
                <w:rFonts w:ascii="Calibri" w:eastAsia="Times New Roman" w:hAnsi="Calibri" w:cs="Calibri"/>
              </w:rPr>
              <w:t xml:space="preserve">$  </w:t>
            </w:r>
            <w:r w:rsidRPr="003959B0">
              <w:rPr>
                <w:rFonts w:ascii="Calibri" w:eastAsia="Times New Roman" w:hAnsi="Calibri" w:cs="Calibri"/>
              </w:rPr>
              <w:t>156,012</w:t>
            </w:r>
          </w:p>
        </w:tc>
        <w:tc>
          <w:tcPr>
            <w:tcW w:w="1244" w:type="dxa"/>
            <w:tcBorders>
              <w:top w:val="nil"/>
              <w:left w:val="nil"/>
              <w:bottom w:val="nil"/>
              <w:right w:val="nil"/>
            </w:tcBorders>
            <w:shd w:val="clear" w:color="auto" w:fill="D9D9D9" w:themeFill="background1" w:themeFillShade="D9"/>
            <w:noWrap/>
            <w:vAlign w:val="bottom"/>
            <w:hideMark/>
          </w:tcPr>
          <w:p w14:paraId="792A906B" w14:textId="77777777" w:rsidR="00721CFD" w:rsidRPr="00413B6F" w:rsidRDefault="00721CFD" w:rsidP="007B5BB3">
            <w:pPr>
              <w:spacing w:before="120"/>
              <w:jc w:val="right"/>
              <w:rPr>
                <w:rFonts w:ascii="Calibri" w:eastAsia="Times New Roman" w:hAnsi="Calibri" w:cs="Calibri"/>
                <w:color w:val="0D0D0D"/>
              </w:rPr>
            </w:pPr>
            <w:r w:rsidRPr="00653F35">
              <w:rPr>
                <w:rFonts w:ascii="Calibri" w:eastAsia="Times New Roman" w:hAnsi="Calibri" w:cs="Calibri"/>
              </w:rPr>
              <w:t>$  180,270</w:t>
            </w:r>
          </w:p>
        </w:tc>
      </w:tr>
    </w:tbl>
    <w:p w14:paraId="405CDA4A" w14:textId="77777777" w:rsidR="00721CFD" w:rsidRPr="00F54559" w:rsidRDefault="00721CFD" w:rsidP="00721CFD">
      <w:pPr>
        <w:tabs>
          <w:tab w:val="left" w:pos="900"/>
        </w:tabs>
        <w:spacing w:before="120" w:after="120"/>
        <w:ind w:right="-7"/>
        <w:rPr>
          <w:rFonts w:eastAsiaTheme="majorEastAsia" w:cstheme="minorHAnsi"/>
          <w:b/>
          <w:i/>
          <w:iCs/>
          <w:smallCaps/>
          <w:noProof/>
          <w:color w:val="000000" w:themeColor="text1"/>
          <w:sz w:val="32"/>
          <w:szCs w:val="28"/>
          <w:u w:color="5B9BD5"/>
        </w:rPr>
      </w:pPr>
      <w:r w:rsidRPr="00F54559">
        <w:rPr>
          <w:rFonts w:cstheme="minorHAnsi"/>
        </w:rPr>
        <w:br w:type="page"/>
      </w:r>
    </w:p>
    <w:p w14:paraId="452F2E43" w14:textId="77777777" w:rsidR="00721CFD" w:rsidRPr="00F54559" w:rsidRDefault="00721CFD" w:rsidP="00721CFD">
      <w:pPr>
        <w:pStyle w:val="AFR2"/>
        <w:rPr>
          <w:rFonts w:cstheme="minorHAnsi"/>
          <w:sz w:val="26"/>
          <w:szCs w:val="26"/>
        </w:rPr>
      </w:pPr>
      <w:r w:rsidRPr="00F54559">
        <w:rPr>
          <w:rFonts w:cstheme="minorHAnsi"/>
          <w:sz w:val="26"/>
          <w:szCs w:val="26"/>
        </w:rPr>
        <w:lastRenderedPageBreak/>
        <w:t>15. DEFERRED OUTFLOWS OF RESOURCES AND DEFERRED INFLOWS OF RESOURCES</w:t>
      </w:r>
    </w:p>
    <w:p w14:paraId="3E0E90F7" w14:textId="77777777" w:rsidR="00721CFD" w:rsidRDefault="00721CFD" w:rsidP="00721CFD">
      <w:pPr>
        <w:tabs>
          <w:tab w:val="left" w:pos="900"/>
        </w:tabs>
        <w:spacing w:before="120" w:after="120"/>
        <w:ind w:right="-7"/>
        <w:rPr>
          <w:rFonts w:cstheme="minorHAnsi"/>
          <w:sz w:val="24"/>
        </w:rPr>
      </w:pPr>
      <w:r w:rsidRPr="00F54559">
        <w:rPr>
          <w:rFonts w:cstheme="minorHAnsi"/>
          <w:sz w:val="24"/>
        </w:rPr>
        <w:t>The composition of deferred outflows and inflows of resources at June 30 is summarized as follows:</w:t>
      </w:r>
      <w:r w:rsidRPr="00396223">
        <w:rPr>
          <w:rFonts w:cstheme="minorHAnsi"/>
          <w:sz w:val="24"/>
        </w:rPr>
        <w:t xml:space="preserve"> </w:t>
      </w:r>
    </w:p>
    <w:p w14:paraId="4FDC184A" w14:textId="77777777" w:rsidR="00721CFD" w:rsidRDefault="00721CFD" w:rsidP="00721CFD">
      <w:pPr>
        <w:tabs>
          <w:tab w:val="left" w:pos="900"/>
        </w:tabs>
        <w:spacing w:before="120" w:after="120"/>
        <w:ind w:right="-7"/>
        <w:rPr>
          <w:rFonts w:cstheme="minorHAnsi"/>
          <w:sz w:val="24"/>
        </w:rPr>
      </w:pPr>
      <w:r w:rsidRPr="00AF716B">
        <w:rPr>
          <w:noProof/>
        </w:rPr>
        <w:drawing>
          <wp:inline distT="0" distB="0" distL="0" distR="0" wp14:anchorId="43307797" wp14:editId="6B9899D6">
            <wp:extent cx="5943600" cy="2579404"/>
            <wp:effectExtent l="0" t="0" r="0" b="0"/>
            <wp:docPr id="6" name="Picture 6" descr="2022       &#10; &quot;Pension&#10;Liability&quot; OPEB &quot;Deferred&#10;Amount&#10;on Debt&#10;Refunding&quot; &quot;Irrevocable &#10;Split-Interest &#10;Agreements&quot; &quot;Service &#10;Concession &#10;Arrangement&quot; Leases Total&#10;Deferred outflows of resources  $3,456   $25,070   $3,181   $-   $-   $-   $31,707 &#10;Deferred inflows of resources  $993   $27,319   $-   $470   $4,196   $3,759   $36,737 &#10;2021 Restated       &#10; &quot;Pension&#10;Liability&quot; OPEB &quot;Deferred&#10;Amount&#10;on Debt&#10;Refunding&quot; &quot;Irrevocable &#10;Split-Interest &#10;Agreements&quot; &quot;Service &#10;Concession &#10;Arrangement&quot; Leases Total&#10;Deferred outflows of resources  $2,662   $11,514   $3,460   $-   $-   $-   $17,636 &#10;Deferred inflows of resources  $1,916   $51,094   $-   $847   $4,708   $3,700   $6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2       &#10; &quot;Pension&#10;Liability&quot; OPEB &quot;Deferred&#10;Amount&#10;on Debt&#10;Refunding&quot; &quot;Irrevocable &#10;Split-Interest &#10;Agreements&quot; &quot;Service &#10;Concession &#10;Arrangement&quot; Leases Total&#10;Deferred outflows of resources  $3,456   $25,070   $3,181   $-   $-   $-   $31,707 &#10;Deferred inflows of resources  $993   $27,319   $-   $470   $4,196   $3,759   $36,737 &#10;2021 Restated       &#10; &quot;Pension&#10;Liability&quot; OPEB &quot;Deferred&#10;Amount&#10;on Debt&#10;Refunding&quot; &quot;Irrevocable &#10;Split-Interest &#10;Agreements&quot; &quot;Service &#10;Concession &#10;Arrangement&quot; Leases Total&#10;Deferred outflows of resources  $2,662   $11,514   $3,460   $-   $-   $-   $17,636 &#10;Deferred inflows of resources  $1,916   $51,094   $-   $847   $4,708   $3,700   $62,2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579404"/>
                    </a:xfrm>
                    <a:prstGeom prst="rect">
                      <a:avLst/>
                    </a:prstGeom>
                    <a:noFill/>
                    <a:ln>
                      <a:noFill/>
                    </a:ln>
                  </pic:spPr>
                </pic:pic>
              </a:graphicData>
            </a:graphic>
          </wp:inline>
        </w:drawing>
      </w:r>
    </w:p>
    <w:p w14:paraId="499CB070" w14:textId="77777777" w:rsidR="00721CFD" w:rsidRDefault="00721CFD" w:rsidP="00721CFD">
      <w:pPr>
        <w:tabs>
          <w:tab w:val="left" w:pos="900"/>
        </w:tabs>
        <w:spacing w:before="240" w:after="240"/>
        <w:ind w:right="-7"/>
        <w:rPr>
          <w:rFonts w:cstheme="minorHAnsi"/>
          <w:sz w:val="24"/>
        </w:rPr>
      </w:pPr>
      <w:r w:rsidRPr="00F54559">
        <w:rPr>
          <w:rFonts w:cstheme="minorHAnsi"/>
          <w:sz w:val="24"/>
        </w:rPr>
        <w:t>Deferred outflows of resources and deferred inflows of resources for pensions and OPEB were related to the following sources for the year ended June 30:</w:t>
      </w:r>
    </w:p>
    <w:p w14:paraId="1B29A590" w14:textId="77777777" w:rsidR="00721CFD" w:rsidRPr="00A93FB3" w:rsidRDefault="00721CFD" w:rsidP="00721CFD">
      <w:pPr>
        <w:tabs>
          <w:tab w:val="left" w:pos="900"/>
        </w:tabs>
        <w:spacing w:before="240"/>
        <w:ind w:right="-7"/>
        <w:jc w:val="center"/>
        <w:rPr>
          <w:rFonts w:eastAsiaTheme="majorEastAsia" w:cstheme="minorHAnsi"/>
          <w:iCs/>
          <w:smallCaps/>
          <w:noProof/>
          <w:sz w:val="24"/>
          <w:szCs w:val="26"/>
          <w:u w:color="5B9BD5"/>
        </w:rPr>
      </w:pPr>
      <w:r w:rsidRPr="00A93FB3">
        <w:rPr>
          <w:rFonts w:ascii="Calibri" w:eastAsia="Times New Roman" w:hAnsi="Calibri" w:cs="Calibri"/>
          <w:b/>
          <w:bCs/>
        </w:rPr>
        <w:t>2022</w:t>
      </w:r>
      <w:r w:rsidRPr="00A93FB3">
        <w:rPr>
          <w:rFonts w:ascii="Calibri" w:eastAsia="Times New Roman" w:hAnsi="Calibri" w:cs="Calibri"/>
          <w:b/>
          <w:bCs/>
        </w:rPr>
        <w:fldChar w:fldCharType="begin"/>
      </w:r>
      <w:r w:rsidRPr="00A93FB3">
        <w:rPr>
          <w:rFonts w:ascii="Calibri" w:eastAsia="Times New Roman" w:hAnsi="Calibri" w:cs="Calibri"/>
          <w:b/>
          <w:bCs/>
        </w:rPr>
        <w:fldChar w:fldCharType="end"/>
      </w:r>
    </w:p>
    <w:tbl>
      <w:tblPr>
        <w:tblW w:w="9360" w:type="dxa"/>
        <w:tblLook w:val="04A0" w:firstRow="1" w:lastRow="0" w:firstColumn="1" w:lastColumn="0" w:noHBand="0" w:noVBand="1"/>
      </w:tblPr>
      <w:tblGrid>
        <w:gridCol w:w="5244"/>
        <w:gridCol w:w="1260"/>
        <w:gridCol w:w="940"/>
        <w:gridCol w:w="945"/>
        <w:gridCol w:w="971"/>
      </w:tblGrid>
      <w:tr w:rsidR="00721CFD" w:rsidRPr="00C830C0" w14:paraId="6CA9AEA9" w14:textId="77777777" w:rsidTr="007B5BB3">
        <w:trPr>
          <w:trHeight w:val="888"/>
          <w:tblHeader/>
        </w:trPr>
        <w:tc>
          <w:tcPr>
            <w:tcW w:w="5244" w:type="dxa"/>
            <w:tcBorders>
              <w:top w:val="single" w:sz="12" w:space="0" w:color="00688D"/>
              <w:left w:val="nil"/>
              <w:bottom w:val="single" w:sz="8" w:space="0" w:color="00688D"/>
              <w:right w:val="nil"/>
            </w:tcBorders>
            <w:shd w:val="clear" w:color="000000" w:fill="FFFFFF"/>
            <w:noWrap/>
            <w:vAlign w:val="bottom"/>
            <w:hideMark/>
          </w:tcPr>
          <w:p w14:paraId="27C135DE" w14:textId="77777777" w:rsidR="00721CFD" w:rsidRPr="00202648" w:rsidRDefault="00721CFD" w:rsidP="007B5BB3">
            <w:pPr>
              <w:jc w:val="center"/>
              <w:rPr>
                <w:rFonts w:ascii="Calibri" w:eastAsia="Times New Roman" w:hAnsi="Calibri" w:cs="Calibri"/>
                <w:b/>
                <w:bCs/>
                <w:color w:val="FF0000"/>
              </w:rPr>
            </w:pPr>
            <w:r w:rsidRPr="00753E47">
              <w:rPr>
                <w:rFonts w:ascii="Calibri" w:eastAsia="Times New Roman" w:hAnsi="Calibri" w:cs="Calibri"/>
                <w:b/>
                <w:bCs/>
              </w:rPr>
              <w:t> </w:t>
            </w:r>
          </w:p>
        </w:tc>
        <w:tc>
          <w:tcPr>
            <w:tcW w:w="1260" w:type="dxa"/>
            <w:tcBorders>
              <w:top w:val="single" w:sz="12" w:space="0" w:color="00688D"/>
              <w:left w:val="nil"/>
              <w:bottom w:val="single" w:sz="8" w:space="0" w:color="00688D"/>
              <w:right w:val="nil"/>
            </w:tcBorders>
            <w:shd w:val="clear" w:color="000000" w:fill="FFFFFF"/>
            <w:vAlign w:val="bottom"/>
            <w:hideMark/>
          </w:tcPr>
          <w:p w14:paraId="3A3C5419" w14:textId="77777777" w:rsidR="00721CFD" w:rsidRPr="00A93FB3" w:rsidRDefault="00721CFD" w:rsidP="007B5BB3">
            <w:pPr>
              <w:jc w:val="center"/>
              <w:rPr>
                <w:rFonts w:ascii="Calibri" w:eastAsia="Times New Roman" w:hAnsi="Calibri" w:cs="Calibri"/>
                <w:bCs/>
              </w:rPr>
            </w:pPr>
            <w:r w:rsidRPr="009D2325">
              <w:rPr>
                <w:rFonts w:ascii="Calibri" w:eastAsia="Times New Roman" w:hAnsi="Calibri" w:cs="Calibri"/>
                <w:bCs/>
              </w:rPr>
              <w:t>Incentive Retirement Plan</w:t>
            </w:r>
            <w:r>
              <w:rPr>
                <w:rFonts w:ascii="Calibri" w:eastAsia="Times New Roman" w:hAnsi="Calibri" w:cs="Calibri"/>
                <w:bCs/>
              </w:rPr>
              <w:t xml:space="preserve"> </w:t>
            </w:r>
          </w:p>
        </w:tc>
        <w:tc>
          <w:tcPr>
            <w:tcW w:w="940" w:type="dxa"/>
            <w:tcBorders>
              <w:top w:val="single" w:sz="12" w:space="0" w:color="00688D"/>
              <w:left w:val="nil"/>
              <w:bottom w:val="single" w:sz="8" w:space="0" w:color="00688D"/>
              <w:right w:val="nil"/>
            </w:tcBorders>
            <w:shd w:val="clear" w:color="000000" w:fill="FFFFFF"/>
            <w:vAlign w:val="bottom"/>
            <w:hideMark/>
          </w:tcPr>
          <w:p w14:paraId="377323BE" w14:textId="77777777" w:rsidR="00721CFD" w:rsidRPr="00A93FB3" w:rsidRDefault="00721CFD" w:rsidP="007B5BB3">
            <w:pPr>
              <w:jc w:val="center"/>
              <w:rPr>
                <w:rFonts w:ascii="Calibri" w:eastAsia="Times New Roman" w:hAnsi="Calibri" w:cs="Calibri"/>
                <w:bCs/>
              </w:rPr>
            </w:pPr>
            <w:r w:rsidRPr="00A93FB3">
              <w:rPr>
                <w:rFonts w:ascii="Calibri" w:eastAsia="Times New Roman" w:hAnsi="Calibri" w:cs="Calibri"/>
                <w:bCs/>
              </w:rPr>
              <w:t>Defined Benefit Plan</w:t>
            </w:r>
          </w:p>
        </w:tc>
        <w:tc>
          <w:tcPr>
            <w:tcW w:w="945" w:type="dxa"/>
            <w:tcBorders>
              <w:top w:val="single" w:sz="12" w:space="0" w:color="00688D"/>
              <w:left w:val="nil"/>
              <w:bottom w:val="single" w:sz="8" w:space="0" w:color="00688D"/>
              <w:right w:val="nil"/>
            </w:tcBorders>
            <w:shd w:val="clear" w:color="000000" w:fill="FFFFFF"/>
            <w:vAlign w:val="bottom"/>
            <w:hideMark/>
          </w:tcPr>
          <w:p w14:paraId="572EEFA3" w14:textId="77777777" w:rsidR="00721CFD" w:rsidRPr="00A93FB3" w:rsidRDefault="00721CFD" w:rsidP="007B5BB3">
            <w:pPr>
              <w:jc w:val="center"/>
              <w:rPr>
                <w:rFonts w:ascii="Calibri" w:eastAsia="Times New Roman" w:hAnsi="Calibri" w:cs="Calibri"/>
                <w:bCs/>
              </w:rPr>
            </w:pPr>
            <w:r w:rsidRPr="00A93FB3">
              <w:rPr>
                <w:rFonts w:ascii="Calibri" w:eastAsia="Times New Roman" w:hAnsi="Calibri" w:cs="Calibri"/>
                <w:bCs/>
              </w:rPr>
              <w:t xml:space="preserve">Total Pension </w:t>
            </w:r>
          </w:p>
        </w:tc>
        <w:tc>
          <w:tcPr>
            <w:tcW w:w="971" w:type="dxa"/>
            <w:tcBorders>
              <w:top w:val="single" w:sz="12" w:space="0" w:color="00688D"/>
              <w:left w:val="nil"/>
              <w:bottom w:val="single" w:sz="8" w:space="0" w:color="00688D"/>
              <w:right w:val="nil"/>
            </w:tcBorders>
            <w:shd w:val="clear" w:color="000000" w:fill="FFFFFF"/>
            <w:vAlign w:val="bottom"/>
            <w:hideMark/>
          </w:tcPr>
          <w:p w14:paraId="3EAC2239" w14:textId="77777777" w:rsidR="00721CFD" w:rsidRPr="00A93FB3" w:rsidRDefault="00721CFD" w:rsidP="007B5BB3">
            <w:pPr>
              <w:jc w:val="center"/>
              <w:rPr>
                <w:rFonts w:ascii="Calibri" w:eastAsia="Times New Roman" w:hAnsi="Calibri" w:cs="Calibri"/>
                <w:bCs/>
              </w:rPr>
            </w:pPr>
            <w:r w:rsidRPr="00A93FB3">
              <w:rPr>
                <w:rFonts w:ascii="Calibri" w:eastAsia="Times New Roman" w:hAnsi="Calibri" w:cs="Calibri"/>
                <w:bCs/>
              </w:rPr>
              <w:t xml:space="preserve">OPEB </w:t>
            </w:r>
          </w:p>
        </w:tc>
      </w:tr>
      <w:tr w:rsidR="00721CFD" w:rsidRPr="00C830C0" w14:paraId="6209D1C8" w14:textId="77777777" w:rsidTr="007B5BB3">
        <w:trPr>
          <w:trHeight w:val="288"/>
        </w:trPr>
        <w:tc>
          <w:tcPr>
            <w:tcW w:w="5244" w:type="dxa"/>
            <w:tcBorders>
              <w:top w:val="nil"/>
              <w:left w:val="nil"/>
              <w:bottom w:val="nil"/>
              <w:right w:val="nil"/>
            </w:tcBorders>
            <w:shd w:val="clear" w:color="000000" w:fill="FFFFFF"/>
            <w:noWrap/>
            <w:vAlign w:val="bottom"/>
            <w:hideMark/>
          </w:tcPr>
          <w:p w14:paraId="449E6DF3"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Deferred outflows of resources</w:t>
            </w:r>
          </w:p>
        </w:tc>
        <w:tc>
          <w:tcPr>
            <w:tcW w:w="1260" w:type="dxa"/>
            <w:tcBorders>
              <w:top w:val="nil"/>
              <w:left w:val="nil"/>
              <w:bottom w:val="nil"/>
              <w:right w:val="nil"/>
            </w:tcBorders>
            <w:shd w:val="clear" w:color="000000" w:fill="FFFFFF"/>
            <w:noWrap/>
            <w:vAlign w:val="bottom"/>
            <w:hideMark/>
          </w:tcPr>
          <w:p w14:paraId="0CECD421"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 </w:t>
            </w:r>
          </w:p>
        </w:tc>
        <w:tc>
          <w:tcPr>
            <w:tcW w:w="940" w:type="dxa"/>
            <w:tcBorders>
              <w:top w:val="nil"/>
              <w:left w:val="nil"/>
              <w:bottom w:val="nil"/>
              <w:right w:val="nil"/>
            </w:tcBorders>
            <w:shd w:val="clear" w:color="000000" w:fill="FFFFFF"/>
            <w:noWrap/>
            <w:vAlign w:val="bottom"/>
            <w:hideMark/>
          </w:tcPr>
          <w:p w14:paraId="7492A916"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 </w:t>
            </w:r>
          </w:p>
        </w:tc>
        <w:tc>
          <w:tcPr>
            <w:tcW w:w="945" w:type="dxa"/>
            <w:tcBorders>
              <w:top w:val="nil"/>
              <w:left w:val="nil"/>
              <w:bottom w:val="nil"/>
              <w:right w:val="nil"/>
            </w:tcBorders>
            <w:shd w:val="clear" w:color="000000" w:fill="FFFFFF"/>
            <w:noWrap/>
            <w:vAlign w:val="bottom"/>
            <w:hideMark/>
          </w:tcPr>
          <w:p w14:paraId="396DAC8D"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 </w:t>
            </w:r>
          </w:p>
        </w:tc>
        <w:tc>
          <w:tcPr>
            <w:tcW w:w="971" w:type="dxa"/>
            <w:tcBorders>
              <w:top w:val="nil"/>
              <w:left w:val="nil"/>
              <w:bottom w:val="nil"/>
              <w:right w:val="nil"/>
            </w:tcBorders>
            <w:shd w:val="clear" w:color="000000" w:fill="FFFFFF"/>
            <w:noWrap/>
            <w:vAlign w:val="bottom"/>
            <w:hideMark/>
          </w:tcPr>
          <w:p w14:paraId="3F8164EE"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 </w:t>
            </w:r>
          </w:p>
        </w:tc>
      </w:tr>
      <w:tr w:rsidR="00721CFD" w:rsidRPr="00C830C0" w14:paraId="14C1D439" w14:textId="77777777" w:rsidTr="007B5BB3">
        <w:trPr>
          <w:trHeight w:val="288"/>
        </w:trPr>
        <w:tc>
          <w:tcPr>
            <w:tcW w:w="5244" w:type="dxa"/>
            <w:tcBorders>
              <w:top w:val="nil"/>
              <w:left w:val="nil"/>
              <w:bottom w:val="nil"/>
              <w:right w:val="nil"/>
            </w:tcBorders>
            <w:shd w:val="clear" w:color="000000" w:fill="FFFFFF"/>
            <w:noWrap/>
            <w:vAlign w:val="bottom"/>
            <w:hideMark/>
          </w:tcPr>
          <w:p w14:paraId="2DC1BEE6" w14:textId="77777777" w:rsidR="00721CFD" w:rsidRPr="00A93FB3" w:rsidRDefault="00721CFD" w:rsidP="007B5BB3">
            <w:pPr>
              <w:ind w:leftChars="106" w:left="251" w:hangingChars="8" w:hanging="18"/>
              <w:rPr>
                <w:rFonts w:ascii="Calibri" w:eastAsia="Times New Roman" w:hAnsi="Calibri" w:cs="Calibri"/>
              </w:rPr>
            </w:pPr>
            <w:r w:rsidRPr="00A93FB3">
              <w:rPr>
                <w:rFonts w:ascii="Calibri" w:eastAsia="Times New Roman" w:hAnsi="Calibri" w:cs="Calibri"/>
              </w:rPr>
              <w:t>Changes of assumption or other inputs</w:t>
            </w:r>
          </w:p>
        </w:tc>
        <w:tc>
          <w:tcPr>
            <w:tcW w:w="1260" w:type="dxa"/>
            <w:tcBorders>
              <w:top w:val="nil"/>
              <w:left w:val="nil"/>
              <w:bottom w:val="nil"/>
              <w:right w:val="nil"/>
            </w:tcBorders>
            <w:shd w:val="clear" w:color="000000" w:fill="FFFFFF"/>
            <w:noWrap/>
            <w:vAlign w:val="bottom"/>
            <w:hideMark/>
          </w:tcPr>
          <w:p w14:paraId="7CC53DD7"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1,120</w:t>
            </w:r>
          </w:p>
        </w:tc>
        <w:tc>
          <w:tcPr>
            <w:tcW w:w="940" w:type="dxa"/>
            <w:tcBorders>
              <w:top w:val="nil"/>
              <w:left w:val="nil"/>
              <w:bottom w:val="nil"/>
              <w:right w:val="nil"/>
            </w:tcBorders>
            <w:shd w:val="clear" w:color="000000" w:fill="FFFFFF"/>
            <w:noWrap/>
            <w:vAlign w:val="bottom"/>
            <w:hideMark/>
          </w:tcPr>
          <w:p w14:paraId="35E25B77"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w:t>
            </w:r>
          </w:p>
        </w:tc>
        <w:tc>
          <w:tcPr>
            <w:tcW w:w="945" w:type="dxa"/>
            <w:tcBorders>
              <w:top w:val="nil"/>
              <w:left w:val="nil"/>
              <w:bottom w:val="nil"/>
              <w:right w:val="nil"/>
            </w:tcBorders>
            <w:shd w:val="clear" w:color="000000" w:fill="FFFFFF"/>
            <w:noWrap/>
            <w:vAlign w:val="bottom"/>
            <w:hideMark/>
          </w:tcPr>
          <w:p w14:paraId="47DBAF89"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1,120</w:t>
            </w:r>
          </w:p>
        </w:tc>
        <w:tc>
          <w:tcPr>
            <w:tcW w:w="971" w:type="dxa"/>
            <w:tcBorders>
              <w:top w:val="nil"/>
              <w:left w:val="nil"/>
              <w:bottom w:val="nil"/>
              <w:right w:val="nil"/>
            </w:tcBorders>
            <w:shd w:val="clear" w:color="000000" w:fill="FFFFFF"/>
            <w:noWrap/>
            <w:vAlign w:val="bottom"/>
            <w:hideMark/>
          </w:tcPr>
          <w:p w14:paraId="51E9E34D" w14:textId="163831B1"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r w:rsidR="00CC6081">
              <w:rPr>
                <w:rFonts w:ascii="Calibri" w:eastAsia="Times New Roman" w:hAnsi="Calibri" w:cs="Calibri"/>
              </w:rPr>
              <w:t xml:space="preserve">  </w:t>
            </w:r>
            <w:r w:rsidRPr="00A93FB3">
              <w:rPr>
                <w:rFonts w:ascii="Calibri" w:eastAsia="Times New Roman" w:hAnsi="Calibri" w:cs="Calibri"/>
              </w:rPr>
              <w:t>8,290</w:t>
            </w:r>
          </w:p>
        </w:tc>
      </w:tr>
      <w:tr w:rsidR="00721CFD" w:rsidRPr="00C830C0" w14:paraId="56C4A92B" w14:textId="77777777" w:rsidTr="007B5BB3">
        <w:trPr>
          <w:trHeight w:val="144"/>
        </w:trPr>
        <w:tc>
          <w:tcPr>
            <w:tcW w:w="5244" w:type="dxa"/>
            <w:tcBorders>
              <w:top w:val="nil"/>
              <w:left w:val="nil"/>
              <w:bottom w:val="nil"/>
              <w:right w:val="nil"/>
            </w:tcBorders>
            <w:shd w:val="clear" w:color="000000" w:fill="FFFFFF"/>
            <w:vAlign w:val="bottom"/>
            <w:hideMark/>
          </w:tcPr>
          <w:p w14:paraId="6AF73A9D" w14:textId="77777777" w:rsidR="00721CFD" w:rsidRPr="00A93FB3" w:rsidRDefault="00721CFD" w:rsidP="007B5BB3">
            <w:pPr>
              <w:ind w:leftChars="106" w:left="251" w:hangingChars="8" w:hanging="18"/>
              <w:rPr>
                <w:rFonts w:ascii="Calibri" w:eastAsia="Times New Roman" w:hAnsi="Calibri" w:cs="Calibri"/>
              </w:rPr>
            </w:pPr>
            <w:r w:rsidRPr="00A93FB3">
              <w:rPr>
                <w:rFonts w:ascii="Calibri" w:eastAsia="Times New Roman" w:hAnsi="Calibri" w:cs="Calibri"/>
              </w:rPr>
              <w:t>Difference between expected and actual experience</w:t>
            </w:r>
          </w:p>
        </w:tc>
        <w:tc>
          <w:tcPr>
            <w:tcW w:w="1260" w:type="dxa"/>
            <w:tcBorders>
              <w:top w:val="nil"/>
              <w:left w:val="nil"/>
              <w:bottom w:val="nil"/>
              <w:right w:val="nil"/>
            </w:tcBorders>
            <w:shd w:val="clear" w:color="000000" w:fill="FFFFFF"/>
            <w:noWrap/>
            <w:vAlign w:val="bottom"/>
            <w:hideMark/>
          </w:tcPr>
          <w:p w14:paraId="299083CF"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794</w:t>
            </w:r>
          </w:p>
        </w:tc>
        <w:tc>
          <w:tcPr>
            <w:tcW w:w="940" w:type="dxa"/>
            <w:tcBorders>
              <w:top w:val="nil"/>
              <w:left w:val="nil"/>
              <w:bottom w:val="nil"/>
              <w:right w:val="nil"/>
            </w:tcBorders>
            <w:shd w:val="clear" w:color="000000" w:fill="FFFFFF"/>
            <w:noWrap/>
            <w:vAlign w:val="bottom"/>
            <w:hideMark/>
          </w:tcPr>
          <w:p w14:paraId="281D6FE5"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c>
          <w:tcPr>
            <w:tcW w:w="945" w:type="dxa"/>
            <w:tcBorders>
              <w:top w:val="nil"/>
              <w:left w:val="nil"/>
              <w:bottom w:val="nil"/>
              <w:right w:val="nil"/>
            </w:tcBorders>
            <w:shd w:val="clear" w:color="000000" w:fill="FFFFFF"/>
            <w:noWrap/>
            <w:vAlign w:val="bottom"/>
            <w:hideMark/>
          </w:tcPr>
          <w:p w14:paraId="0C5A79EA"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794</w:t>
            </w:r>
          </w:p>
        </w:tc>
        <w:tc>
          <w:tcPr>
            <w:tcW w:w="971" w:type="dxa"/>
            <w:tcBorders>
              <w:top w:val="nil"/>
              <w:left w:val="nil"/>
              <w:bottom w:val="nil"/>
              <w:right w:val="nil"/>
            </w:tcBorders>
            <w:shd w:val="clear" w:color="000000" w:fill="FFFFFF"/>
            <w:noWrap/>
            <w:vAlign w:val="bottom"/>
            <w:hideMark/>
          </w:tcPr>
          <w:p w14:paraId="0603B1B2"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r>
      <w:tr w:rsidR="00721CFD" w:rsidRPr="00C830C0" w14:paraId="1A1D6894" w14:textId="77777777" w:rsidTr="007B5BB3">
        <w:trPr>
          <w:trHeight w:val="576"/>
        </w:trPr>
        <w:tc>
          <w:tcPr>
            <w:tcW w:w="5244" w:type="dxa"/>
            <w:tcBorders>
              <w:top w:val="nil"/>
              <w:left w:val="nil"/>
              <w:bottom w:val="nil"/>
              <w:right w:val="nil"/>
            </w:tcBorders>
            <w:shd w:val="clear" w:color="000000" w:fill="FFFFFF"/>
            <w:vAlign w:val="bottom"/>
            <w:hideMark/>
          </w:tcPr>
          <w:p w14:paraId="519AB69A" w14:textId="77777777" w:rsidR="00721CFD" w:rsidRPr="00A93FB3" w:rsidRDefault="00721CFD" w:rsidP="007B5BB3">
            <w:pPr>
              <w:ind w:leftChars="106" w:left="251" w:hangingChars="8" w:hanging="18"/>
              <w:rPr>
                <w:rFonts w:ascii="Calibri" w:eastAsia="Times New Roman" w:hAnsi="Calibri" w:cs="Calibri"/>
              </w:rPr>
            </w:pPr>
            <w:r w:rsidRPr="00A93FB3">
              <w:rPr>
                <w:rFonts w:ascii="Calibri" w:eastAsia="Times New Roman" w:hAnsi="Calibri" w:cs="Calibri"/>
              </w:rPr>
              <w:t>Net difference between projected and actual earnings on plan investments</w:t>
            </w:r>
          </w:p>
        </w:tc>
        <w:tc>
          <w:tcPr>
            <w:tcW w:w="1260" w:type="dxa"/>
            <w:tcBorders>
              <w:top w:val="nil"/>
              <w:left w:val="nil"/>
              <w:bottom w:val="nil"/>
              <w:right w:val="nil"/>
            </w:tcBorders>
            <w:shd w:val="clear" w:color="000000" w:fill="FFFFFF"/>
            <w:noWrap/>
            <w:vAlign w:val="bottom"/>
            <w:hideMark/>
          </w:tcPr>
          <w:p w14:paraId="375C25EF"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c>
          <w:tcPr>
            <w:tcW w:w="940" w:type="dxa"/>
            <w:tcBorders>
              <w:top w:val="nil"/>
              <w:left w:val="nil"/>
              <w:bottom w:val="nil"/>
              <w:right w:val="nil"/>
            </w:tcBorders>
            <w:shd w:val="clear" w:color="000000" w:fill="FFFFFF"/>
            <w:noWrap/>
            <w:vAlign w:val="bottom"/>
            <w:hideMark/>
          </w:tcPr>
          <w:p w14:paraId="6528228E" w14:textId="77777777" w:rsidR="00721CFD" w:rsidRPr="00A93FB3" w:rsidRDefault="00721CFD" w:rsidP="007B5BB3">
            <w:pPr>
              <w:jc w:val="right"/>
              <w:rPr>
                <w:rFonts w:ascii="Calibri" w:eastAsia="Times New Roman" w:hAnsi="Calibri" w:cs="Calibri"/>
              </w:rPr>
            </w:pPr>
            <w:r>
              <w:rPr>
                <w:rFonts w:ascii="Calibri" w:eastAsia="Times New Roman" w:hAnsi="Calibri" w:cs="Calibri"/>
              </w:rPr>
              <w:t>1,542</w:t>
            </w:r>
          </w:p>
        </w:tc>
        <w:tc>
          <w:tcPr>
            <w:tcW w:w="945" w:type="dxa"/>
            <w:tcBorders>
              <w:top w:val="nil"/>
              <w:left w:val="nil"/>
              <w:bottom w:val="nil"/>
              <w:right w:val="nil"/>
            </w:tcBorders>
            <w:shd w:val="clear" w:color="000000" w:fill="FFFFFF"/>
            <w:noWrap/>
            <w:vAlign w:val="bottom"/>
            <w:hideMark/>
          </w:tcPr>
          <w:p w14:paraId="4FC28E88"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1,542</w:t>
            </w:r>
          </w:p>
        </w:tc>
        <w:tc>
          <w:tcPr>
            <w:tcW w:w="971" w:type="dxa"/>
            <w:tcBorders>
              <w:top w:val="nil"/>
              <w:left w:val="nil"/>
              <w:bottom w:val="nil"/>
              <w:right w:val="nil"/>
            </w:tcBorders>
            <w:shd w:val="clear" w:color="000000" w:fill="FFFFFF"/>
            <w:noWrap/>
            <w:vAlign w:val="bottom"/>
            <w:hideMark/>
          </w:tcPr>
          <w:p w14:paraId="75E2D54A"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16,780</w:t>
            </w:r>
          </w:p>
        </w:tc>
      </w:tr>
      <w:tr w:rsidR="00721CFD" w:rsidRPr="00C830C0" w14:paraId="04CB4CB9" w14:textId="77777777" w:rsidTr="007B5BB3">
        <w:trPr>
          <w:trHeight w:val="288"/>
        </w:trPr>
        <w:tc>
          <w:tcPr>
            <w:tcW w:w="5244" w:type="dxa"/>
            <w:tcBorders>
              <w:top w:val="single" w:sz="4" w:space="0" w:color="00688D"/>
              <w:left w:val="nil"/>
              <w:bottom w:val="single" w:sz="4" w:space="0" w:color="00688D"/>
              <w:right w:val="nil"/>
            </w:tcBorders>
            <w:shd w:val="clear" w:color="000000" w:fill="FFFFFF"/>
            <w:noWrap/>
            <w:vAlign w:val="bottom"/>
            <w:hideMark/>
          </w:tcPr>
          <w:p w14:paraId="7541B06E" w14:textId="77777777" w:rsidR="00721CFD" w:rsidRPr="00A93FB3" w:rsidRDefault="00721CFD" w:rsidP="007B5BB3">
            <w:pPr>
              <w:ind w:firstLineChars="200" w:firstLine="440"/>
              <w:rPr>
                <w:rFonts w:ascii="Calibri" w:eastAsia="Times New Roman" w:hAnsi="Calibri" w:cs="Calibri"/>
              </w:rPr>
            </w:pPr>
            <w:r w:rsidRPr="00A93FB3">
              <w:rPr>
                <w:rFonts w:ascii="Calibri" w:eastAsia="Times New Roman" w:hAnsi="Calibri" w:cs="Calibri"/>
              </w:rPr>
              <w:t>Total deferred outflows of resources</w:t>
            </w:r>
          </w:p>
        </w:tc>
        <w:tc>
          <w:tcPr>
            <w:tcW w:w="1260" w:type="dxa"/>
            <w:tcBorders>
              <w:top w:val="single" w:sz="4" w:space="0" w:color="00688D"/>
              <w:left w:val="nil"/>
              <w:bottom w:val="single" w:sz="4" w:space="0" w:color="00688D"/>
              <w:right w:val="nil"/>
            </w:tcBorders>
            <w:shd w:val="clear" w:color="000000" w:fill="FFFFFF"/>
            <w:noWrap/>
            <w:vAlign w:val="bottom"/>
            <w:hideMark/>
          </w:tcPr>
          <w:p w14:paraId="741A74C7"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1,914</w:t>
            </w:r>
          </w:p>
        </w:tc>
        <w:tc>
          <w:tcPr>
            <w:tcW w:w="940" w:type="dxa"/>
            <w:tcBorders>
              <w:top w:val="single" w:sz="4" w:space="0" w:color="00688D"/>
              <w:left w:val="nil"/>
              <w:bottom w:val="single" w:sz="4" w:space="0" w:color="00688D"/>
              <w:right w:val="nil"/>
            </w:tcBorders>
            <w:shd w:val="clear" w:color="000000" w:fill="FFFFFF"/>
            <w:noWrap/>
            <w:vAlign w:val="bottom"/>
            <w:hideMark/>
          </w:tcPr>
          <w:p w14:paraId="35FEEA35" w14:textId="77777777" w:rsidR="00721CFD" w:rsidRPr="00A93FB3" w:rsidRDefault="00721CFD" w:rsidP="007B5BB3">
            <w:pPr>
              <w:jc w:val="right"/>
              <w:rPr>
                <w:rFonts w:ascii="Calibri" w:eastAsia="Times New Roman" w:hAnsi="Calibri" w:cs="Calibri"/>
              </w:rPr>
            </w:pPr>
            <w:r>
              <w:rPr>
                <w:rFonts w:ascii="Calibri" w:eastAsia="Times New Roman" w:hAnsi="Calibri" w:cs="Calibri"/>
              </w:rPr>
              <w:t>1,542</w:t>
            </w:r>
          </w:p>
        </w:tc>
        <w:tc>
          <w:tcPr>
            <w:tcW w:w="945" w:type="dxa"/>
            <w:tcBorders>
              <w:top w:val="single" w:sz="4" w:space="0" w:color="00688D"/>
              <w:left w:val="nil"/>
              <w:bottom w:val="single" w:sz="4" w:space="0" w:color="00688D"/>
              <w:right w:val="nil"/>
            </w:tcBorders>
            <w:shd w:val="clear" w:color="000000" w:fill="FFFFFF"/>
            <w:noWrap/>
            <w:vAlign w:val="bottom"/>
            <w:hideMark/>
          </w:tcPr>
          <w:p w14:paraId="0F6BCD19"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3,456</w:t>
            </w:r>
          </w:p>
        </w:tc>
        <w:tc>
          <w:tcPr>
            <w:tcW w:w="971" w:type="dxa"/>
            <w:tcBorders>
              <w:top w:val="single" w:sz="4" w:space="0" w:color="00688D"/>
              <w:left w:val="nil"/>
              <w:bottom w:val="single" w:sz="4" w:space="0" w:color="00688D"/>
              <w:right w:val="nil"/>
            </w:tcBorders>
            <w:shd w:val="clear" w:color="000000" w:fill="FFFFFF"/>
            <w:noWrap/>
            <w:vAlign w:val="bottom"/>
            <w:hideMark/>
          </w:tcPr>
          <w:p w14:paraId="35A7E364"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25,070</w:t>
            </w:r>
          </w:p>
        </w:tc>
      </w:tr>
      <w:tr w:rsidR="00721CFD" w:rsidRPr="00C830C0" w14:paraId="4B3B0085" w14:textId="77777777" w:rsidTr="007B5BB3">
        <w:trPr>
          <w:trHeight w:val="288"/>
        </w:trPr>
        <w:tc>
          <w:tcPr>
            <w:tcW w:w="5244" w:type="dxa"/>
            <w:tcBorders>
              <w:top w:val="nil"/>
              <w:left w:val="nil"/>
              <w:bottom w:val="nil"/>
              <w:right w:val="nil"/>
            </w:tcBorders>
            <w:shd w:val="clear" w:color="000000" w:fill="FFFFFF"/>
            <w:noWrap/>
            <w:vAlign w:val="bottom"/>
            <w:hideMark/>
          </w:tcPr>
          <w:p w14:paraId="064AFD13"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Deferred inflows of resources</w:t>
            </w:r>
          </w:p>
        </w:tc>
        <w:tc>
          <w:tcPr>
            <w:tcW w:w="1260" w:type="dxa"/>
            <w:tcBorders>
              <w:top w:val="nil"/>
              <w:left w:val="nil"/>
              <w:bottom w:val="nil"/>
              <w:right w:val="nil"/>
            </w:tcBorders>
            <w:shd w:val="clear" w:color="000000" w:fill="FFFFFF"/>
            <w:noWrap/>
            <w:vAlign w:val="bottom"/>
            <w:hideMark/>
          </w:tcPr>
          <w:p w14:paraId="05DB674C"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w:t>
            </w:r>
          </w:p>
        </w:tc>
        <w:tc>
          <w:tcPr>
            <w:tcW w:w="940" w:type="dxa"/>
            <w:tcBorders>
              <w:top w:val="nil"/>
              <w:left w:val="nil"/>
              <w:bottom w:val="nil"/>
              <w:right w:val="nil"/>
            </w:tcBorders>
            <w:shd w:val="clear" w:color="000000" w:fill="FFFFFF"/>
            <w:noWrap/>
            <w:vAlign w:val="bottom"/>
            <w:hideMark/>
          </w:tcPr>
          <w:p w14:paraId="4D167439"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w:t>
            </w:r>
          </w:p>
        </w:tc>
        <w:tc>
          <w:tcPr>
            <w:tcW w:w="945" w:type="dxa"/>
            <w:tcBorders>
              <w:top w:val="nil"/>
              <w:left w:val="nil"/>
              <w:bottom w:val="nil"/>
              <w:right w:val="nil"/>
            </w:tcBorders>
            <w:shd w:val="clear" w:color="000000" w:fill="FFFFFF"/>
            <w:noWrap/>
            <w:vAlign w:val="bottom"/>
            <w:hideMark/>
          </w:tcPr>
          <w:p w14:paraId="71758F96"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w:t>
            </w:r>
          </w:p>
        </w:tc>
        <w:tc>
          <w:tcPr>
            <w:tcW w:w="971" w:type="dxa"/>
            <w:tcBorders>
              <w:top w:val="nil"/>
              <w:left w:val="nil"/>
              <w:bottom w:val="nil"/>
              <w:right w:val="nil"/>
            </w:tcBorders>
            <w:shd w:val="clear" w:color="000000" w:fill="FFFFFF"/>
            <w:noWrap/>
            <w:vAlign w:val="bottom"/>
            <w:hideMark/>
          </w:tcPr>
          <w:p w14:paraId="46126860"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w:t>
            </w:r>
          </w:p>
        </w:tc>
      </w:tr>
      <w:tr w:rsidR="00721CFD" w:rsidRPr="00C830C0" w14:paraId="52F4259E" w14:textId="77777777" w:rsidTr="007B5BB3">
        <w:trPr>
          <w:trHeight w:val="288"/>
        </w:trPr>
        <w:tc>
          <w:tcPr>
            <w:tcW w:w="5244" w:type="dxa"/>
            <w:tcBorders>
              <w:top w:val="nil"/>
              <w:left w:val="nil"/>
              <w:bottom w:val="nil"/>
              <w:right w:val="nil"/>
            </w:tcBorders>
            <w:shd w:val="clear" w:color="000000" w:fill="FFFFFF"/>
            <w:noWrap/>
            <w:vAlign w:val="bottom"/>
            <w:hideMark/>
          </w:tcPr>
          <w:p w14:paraId="318FB965" w14:textId="77777777" w:rsidR="00721CFD" w:rsidRPr="00A93FB3" w:rsidRDefault="00721CFD" w:rsidP="007B5BB3">
            <w:pPr>
              <w:ind w:firstLineChars="100" w:firstLine="220"/>
              <w:rPr>
                <w:rFonts w:ascii="Calibri" w:eastAsia="Times New Roman" w:hAnsi="Calibri" w:cs="Calibri"/>
              </w:rPr>
            </w:pPr>
            <w:r w:rsidRPr="00A93FB3">
              <w:rPr>
                <w:rFonts w:ascii="Calibri" w:eastAsia="Times New Roman" w:hAnsi="Calibri" w:cs="Calibri"/>
              </w:rPr>
              <w:t>Changes of assumption or other inputs</w:t>
            </w:r>
          </w:p>
        </w:tc>
        <w:tc>
          <w:tcPr>
            <w:tcW w:w="1260" w:type="dxa"/>
            <w:tcBorders>
              <w:top w:val="nil"/>
              <w:left w:val="nil"/>
              <w:bottom w:val="nil"/>
              <w:right w:val="nil"/>
            </w:tcBorders>
            <w:shd w:val="clear" w:color="000000" w:fill="FFFFFF"/>
            <w:noWrap/>
            <w:vAlign w:val="bottom"/>
            <w:hideMark/>
          </w:tcPr>
          <w:p w14:paraId="71C831AD"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846</w:t>
            </w:r>
          </w:p>
        </w:tc>
        <w:tc>
          <w:tcPr>
            <w:tcW w:w="940" w:type="dxa"/>
            <w:tcBorders>
              <w:top w:val="nil"/>
              <w:left w:val="nil"/>
              <w:bottom w:val="nil"/>
              <w:right w:val="nil"/>
            </w:tcBorders>
            <w:shd w:val="clear" w:color="000000" w:fill="FFFFFF"/>
            <w:noWrap/>
            <w:vAlign w:val="bottom"/>
            <w:hideMark/>
          </w:tcPr>
          <w:p w14:paraId="2826BFD2"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c>
          <w:tcPr>
            <w:tcW w:w="945" w:type="dxa"/>
            <w:tcBorders>
              <w:top w:val="nil"/>
              <w:left w:val="nil"/>
              <w:bottom w:val="nil"/>
              <w:right w:val="nil"/>
            </w:tcBorders>
            <w:shd w:val="clear" w:color="000000" w:fill="FFFFFF"/>
            <w:noWrap/>
            <w:vAlign w:val="bottom"/>
            <w:hideMark/>
          </w:tcPr>
          <w:p w14:paraId="7199AC6F"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846</w:t>
            </w:r>
          </w:p>
        </w:tc>
        <w:tc>
          <w:tcPr>
            <w:tcW w:w="971" w:type="dxa"/>
            <w:tcBorders>
              <w:top w:val="nil"/>
              <w:left w:val="nil"/>
              <w:bottom w:val="nil"/>
              <w:right w:val="nil"/>
            </w:tcBorders>
            <w:shd w:val="clear" w:color="000000" w:fill="FFFFFF"/>
            <w:noWrap/>
            <w:vAlign w:val="bottom"/>
            <w:hideMark/>
          </w:tcPr>
          <w:p w14:paraId="2F7913AA"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6,035</w:t>
            </w:r>
          </w:p>
        </w:tc>
      </w:tr>
      <w:tr w:rsidR="00721CFD" w:rsidRPr="00C830C0" w14:paraId="77603624" w14:textId="77777777" w:rsidTr="007B5BB3">
        <w:trPr>
          <w:trHeight w:val="306"/>
        </w:trPr>
        <w:tc>
          <w:tcPr>
            <w:tcW w:w="5244" w:type="dxa"/>
            <w:tcBorders>
              <w:top w:val="nil"/>
              <w:left w:val="nil"/>
              <w:bottom w:val="nil"/>
              <w:right w:val="nil"/>
            </w:tcBorders>
            <w:shd w:val="clear" w:color="000000" w:fill="FFFFFF"/>
            <w:vAlign w:val="bottom"/>
            <w:hideMark/>
          </w:tcPr>
          <w:p w14:paraId="7B53F576" w14:textId="77777777" w:rsidR="00721CFD" w:rsidRPr="00A93FB3" w:rsidRDefault="00721CFD" w:rsidP="007B5BB3">
            <w:pPr>
              <w:ind w:firstLineChars="100" w:firstLine="220"/>
              <w:rPr>
                <w:rFonts w:ascii="Calibri" w:eastAsia="Times New Roman" w:hAnsi="Calibri" w:cs="Calibri"/>
              </w:rPr>
            </w:pPr>
            <w:r w:rsidRPr="00A93FB3">
              <w:rPr>
                <w:rFonts w:ascii="Calibri" w:eastAsia="Times New Roman" w:hAnsi="Calibri" w:cs="Calibri"/>
              </w:rPr>
              <w:t>Difference between expected and actual experience</w:t>
            </w:r>
          </w:p>
        </w:tc>
        <w:tc>
          <w:tcPr>
            <w:tcW w:w="1260" w:type="dxa"/>
            <w:tcBorders>
              <w:top w:val="nil"/>
              <w:left w:val="nil"/>
              <w:bottom w:val="nil"/>
              <w:right w:val="nil"/>
            </w:tcBorders>
            <w:shd w:val="clear" w:color="000000" w:fill="FFFFFF"/>
            <w:noWrap/>
            <w:vAlign w:val="bottom"/>
            <w:hideMark/>
          </w:tcPr>
          <w:p w14:paraId="5EFCB29E"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147</w:t>
            </w:r>
          </w:p>
        </w:tc>
        <w:tc>
          <w:tcPr>
            <w:tcW w:w="940" w:type="dxa"/>
            <w:tcBorders>
              <w:top w:val="nil"/>
              <w:left w:val="nil"/>
              <w:bottom w:val="nil"/>
              <w:right w:val="nil"/>
            </w:tcBorders>
            <w:shd w:val="clear" w:color="000000" w:fill="FFFFFF"/>
            <w:noWrap/>
            <w:vAlign w:val="bottom"/>
            <w:hideMark/>
          </w:tcPr>
          <w:p w14:paraId="1F5D2FE4"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c>
          <w:tcPr>
            <w:tcW w:w="945" w:type="dxa"/>
            <w:tcBorders>
              <w:top w:val="nil"/>
              <w:left w:val="nil"/>
              <w:bottom w:val="nil"/>
              <w:right w:val="nil"/>
            </w:tcBorders>
            <w:shd w:val="clear" w:color="000000" w:fill="FFFFFF"/>
            <w:noWrap/>
            <w:vAlign w:val="bottom"/>
            <w:hideMark/>
          </w:tcPr>
          <w:p w14:paraId="55030529"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147</w:t>
            </w:r>
          </w:p>
        </w:tc>
        <w:tc>
          <w:tcPr>
            <w:tcW w:w="971" w:type="dxa"/>
            <w:tcBorders>
              <w:top w:val="nil"/>
              <w:left w:val="nil"/>
              <w:bottom w:val="nil"/>
              <w:right w:val="nil"/>
            </w:tcBorders>
            <w:shd w:val="clear" w:color="000000" w:fill="FFFFFF"/>
            <w:noWrap/>
            <w:vAlign w:val="bottom"/>
            <w:hideMark/>
          </w:tcPr>
          <w:p w14:paraId="6FE9CCBC"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21,284</w:t>
            </w:r>
          </w:p>
        </w:tc>
      </w:tr>
      <w:tr w:rsidR="00721CFD" w:rsidRPr="00C830C0" w14:paraId="06339417" w14:textId="77777777" w:rsidTr="007B5BB3">
        <w:trPr>
          <w:trHeight w:val="288"/>
        </w:trPr>
        <w:tc>
          <w:tcPr>
            <w:tcW w:w="5244" w:type="dxa"/>
            <w:tcBorders>
              <w:top w:val="single" w:sz="4" w:space="0" w:color="00688D"/>
              <w:left w:val="nil"/>
              <w:bottom w:val="single" w:sz="4" w:space="0" w:color="00688D"/>
              <w:right w:val="nil"/>
            </w:tcBorders>
            <w:shd w:val="clear" w:color="000000" w:fill="FFFFFF"/>
            <w:noWrap/>
            <w:vAlign w:val="bottom"/>
            <w:hideMark/>
          </w:tcPr>
          <w:p w14:paraId="4109E802" w14:textId="77777777" w:rsidR="00721CFD" w:rsidRPr="00A93FB3" w:rsidRDefault="00721CFD" w:rsidP="007B5BB3">
            <w:pPr>
              <w:ind w:firstLineChars="200" w:firstLine="440"/>
              <w:rPr>
                <w:rFonts w:ascii="Calibri" w:eastAsia="Times New Roman" w:hAnsi="Calibri" w:cs="Calibri"/>
              </w:rPr>
            </w:pPr>
            <w:r w:rsidRPr="00A93FB3">
              <w:rPr>
                <w:rFonts w:ascii="Calibri" w:eastAsia="Times New Roman" w:hAnsi="Calibri" w:cs="Calibri"/>
              </w:rPr>
              <w:t>Total deferred inflows of resources</w:t>
            </w:r>
          </w:p>
        </w:tc>
        <w:tc>
          <w:tcPr>
            <w:tcW w:w="1260" w:type="dxa"/>
            <w:tcBorders>
              <w:top w:val="single" w:sz="4" w:space="0" w:color="00688D"/>
              <w:left w:val="nil"/>
              <w:bottom w:val="single" w:sz="4" w:space="0" w:color="00688D"/>
              <w:right w:val="nil"/>
            </w:tcBorders>
            <w:shd w:val="clear" w:color="000000" w:fill="FFFFFF"/>
            <w:noWrap/>
            <w:vAlign w:val="bottom"/>
            <w:hideMark/>
          </w:tcPr>
          <w:p w14:paraId="341661FB"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993</w:t>
            </w:r>
          </w:p>
        </w:tc>
        <w:tc>
          <w:tcPr>
            <w:tcW w:w="940" w:type="dxa"/>
            <w:tcBorders>
              <w:top w:val="single" w:sz="4" w:space="0" w:color="00688D"/>
              <w:left w:val="nil"/>
              <w:bottom w:val="single" w:sz="4" w:space="0" w:color="00688D"/>
              <w:right w:val="nil"/>
            </w:tcBorders>
            <w:shd w:val="clear" w:color="000000" w:fill="FFFFFF"/>
            <w:noWrap/>
            <w:vAlign w:val="bottom"/>
            <w:hideMark/>
          </w:tcPr>
          <w:p w14:paraId="59B99813"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c>
          <w:tcPr>
            <w:tcW w:w="945" w:type="dxa"/>
            <w:tcBorders>
              <w:top w:val="single" w:sz="4" w:space="0" w:color="00688D"/>
              <w:left w:val="nil"/>
              <w:bottom w:val="single" w:sz="4" w:space="0" w:color="00688D"/>
              <w:right w:val="nil"/>
            </w:tcBorders>
            <w:shd w:val="clear" w:color="000000" w:fill="FFFFFF"/>
            <w:noWrap/>
            <w:vAlign w:val="bottom"/>
            <w:hideMark/>
          </w:tcPr>
          <w:p w14:paraId="400BEC17" w14:textId="77777777" w:rsidR="00721CFD" w:rsidRPr="00A93FB3" w:rsidRDefault="00721CFD" w:rsidP="007B5BB3">
            <w:pPr>
              <w:jc w:val="right"/>
              <w:rPr>
                <w:rFonts w:ascii="Calibri" w:eastAsia="Times New Roman" w:hAnsi="Calibri" w:cs="Calibri"/>
              </w:rPr>
            </w:pPr>
            <w:r>
              <w:rPr>
                <w:rFonts w:ascii="Calibri" w:eastAsia="Times New Roman" w:hAnsi="Calibri" w:cs="Calibri"/>
              </w:rPr>
              <w:t>993</w:t>
            </w:r>
          </w:p>
        </w:tc>
        <w:tc>
          <w:tcPr>
            <w:tcW w:w="971" w:type="dxa"/>
            <w:tcBorders>
              <w:top w:val="single" w:sz="4" w:space="0" w:color="00688D"/>
              <w:left w:val="nil"/>
              <w:bottom w:val="single" w:sz="4" w:space="0" w:color="00688D"/>
              <w:right w:val="nil"/>
            </w:tcBorders>
            <w:shd w:val="clear" w:color="000000" w:fill="FFFFFF"/>
            <w:noWrap/>
            <w:vAlign w:val="bottom"/>
            <w:hideMark/>
          </w:tcPr>
          <w:p w14:paraId="246D0A5F"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27,319</w:t>
            </w:r>
          </w:p>
        </w:tc>
      </w:tr>
      <w:tr w:rsidR="00721CFD" w:rsidRPr="00C830C0" w14:paraId="182FDE48" w14:textId="77777777" w:rsidTr="007B5BB3">
        <w:trPr>
          <w:trHeight w:val="395"/>
        </w:trPr>
        <w:tc>
          <w:tcPr>
            <w:tcW w:w="5244" w:type="dxa"/>
            <w:tcBorders>
              <w:top w:val="nil"/>
              <w:left w:val="nil"/>
              <w:bottom w:val="double" w:sz="6" w:space="0" w:color="00688D"/>
              <w:right w:val="nil"/>
            </w:tcBorders>
            <w:shd w:val="clear" w:color="000000" w:fill="FFFFFF"/>
            <w:noWrap/>
            <w:vAlign w:val="bottom"/>
            <w:hideMark/>
          </w:tcPr>
          <w:p w14:paraId="03C4E4F7"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Net deferred outflows (inflows)</w:t>
            </w:r>
          </w:p>
        </w:tc>
        <w:tc>
          <w:tcPr>
            <w:tcW w:w="1260" w:type="dxa"/>
            <w:tcBorders>
              <w:top w:val="nil"/>
              <w:left w:val="nil"/>
              <w:bottom w:val="double" w:sz="6" w:space="0" w:color="00688D"/>
              <w:right w:val="nil"/>
            </w:tcBorders>
            <w:shd w:val="clear" w:color="000000" w:fill="FFFFFF"/>
            <w:noWrap/>
            <w:vAlign w:val="bottom"/>
            <w:hideMark/>
          </w:tcPr>
          <w:p w14:paraId="33908A75" w14:textId="7EF054F6"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xml:space="preserve">$ </w:t>
            </w:r>
            <w:r w:rsidR="00CC6081">
              <w:rPr>
                <w:rFonts w:ascii="Calibri" w:eastAsia="Times New Roman" w:hAnsi="Calibri" w:cs="Calibri"/>
              </w:rPr>
              <w:t xml:space="preserve">  </w:t>
            </w:r>
            <w:r w:rsidRPr="00A93FB3">
              <w:rPr>
                <w:rFonts w:ascii="Calibri" w:eastAsia="Times New Roman" w:hAnsi="Calibri" w:cs="Calibri"/>
              </w:rPr>
              <w:t xml:space="preserve">       921</w:t>
            </w:r>
          </w:p>
        </w:tc>
        <w:tc>
          <w:tcPr>
            <w:tcW w:w="940" w:type="dxa"/>
            <w:tcBorders>
              <w:top w:val="nil"/>
              <w:left w:val="nil"/>
              <w:bottom w:val="double" w:sz="6" w:space="0" w:color="00688D"/>
              <w:right w:val="nil"/>
            </w:tcBorders>
            <w:shd w:val="clear" w:color="000000" w:fill="FFFFFF"/>
            <w:noWrap/>
            <w:vAlign w:val="bottom"/>
            <w:hideMark/>
          </w:tcPr>
          <w:p w14:paraId="4B1C8338" w14:textId="4E5E6E3F" w:rsidR="00721CFD" w:rsidRPr="00A93FB3" w:rsidRDefault="00721CFD" w:rsidP="007B5BB3">
            <w:pPr>
              <w:jc w:val="center"/>
              <w:rPr>
                <w:rFonts w:ascii="Calibri" w:eastAsia="Times New Roman" w:hAnsi="Calibri" w:cs="Calibri"/>
              </w:rPr>
            </w:pPr>
            <w:r>
              <w:rPr>
                <w:rFonts w:ascii="Calibri" w:eastAsia="Times New Roman" w:hAnsi="Calibri" w:cs="Calibri"/>
              </w:rPr>
              <w:t>$</w:t>
            </w:r>
            <w:r w:rsidR="00CC6081">
              <w:rPr>
                <w:rFonts w:ascii="Calibri" w:eastAsia="Times New Roman" w:hAnsi="Calibri" w:cs="Calibri"/>
              </w:rPr>
              <w:t xml:space="preserve">  </w:t>
            </w:r>
            <w:r>
              <w:rPr>
                <w:rFonts w:ascii="Calibri" w:eastAsia="Times New Roman" w:hAnsi="Calibri" w:cs="Calibri"/>
              </w:rPr>
              <w:t>1,542</w:t>
            </w:r>
          </w:p>
        </w:tc>
        <w:tc>
          <w:tcPr>
            <w:tcW w:w="945" w:type="dxa"/>
            <w:tcBorders>
              <w:top w:val="nil"/>
              <w:left w:val="nil"/>
              <w:bottom w:val="double" w:sz="6" w:space="0" w:color="00688D"/>
              <w:right w:val="nil"/>
            </w:tcBorders>
            <w:shd w:val="clear" w:color="000000" w:fill="FFFFFF"/>
            <w:noWrap/>
            <w:vAlign w:val="bottom"/>
            <w:hideMark/>
          </w:tcPr>
          <w:p w14:paraId="1FE2D795"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xml:space="preserve">$  </w:t>
            </w:r>
            <w:r>
              <w:rPr>
                <w:rFonts w:ascii="Calibri" w:eastAsia="Times New Roman" w:hAnsi="Calibri" w:cs="Calibri"/>
              </w:rPr>
              <w:t>2,463</w:t>
            </w:r>
          </w:p>
        </w:tc>
        <w:tc>
          <w:tcPr>
            <w:tcW w:w="971" w:type="dxa"/>
            <w:tcBorders>
              <w:top w:val="nil"/>
              <w:left w:val="nil"/>
              <w:bottom w:val="double" w:sz="6" w:space="0" w:color="00688D"/>
              <w:right w:val="nil"/>
            </w:tcBorders>
            <w:shd w:val="clear" w:color="000000" w:fill="FFFFFF"/>
            <w:noWrap/>
            <w:vAlign w:val="bottom"/>
            <w:hideMark/>
          </w:tcPr>
          <w:p w14:paraId="5C75399B"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$(2,249)</w:t>
            </w:r>
          </w:p>
        </w:tc>
      </w:tr>
    </w:tbl>
    <w:p w14:paraId="543ADDD0" w14:textId="77777777" w:rsidR="00B4145F" w:rsidRDefault="00B4145F">
      <w:pPr>
        <w:spacing w:after="160" w:line="259" w:lineRule="auto"/>
        <w:rPr>
          <w:rFonts w:eastAsiaTheme="majorEastAsia" w:cstheme="minorHAnsi"/>
          <w:b/>
          <w:i/>
          <w:iCs/>
          <w:smallCaps/>
          <w:noProof/>
          <w:color w:val="000000" w:themeColor="text1"/>
          <w:sz w:val="26"/>
          <w:szCs w:val="26"/>
          <w:u w:color="5B9BD5"/>
        </w:rPr>
      </w:pPr>
      <w:r>
        <w:rPr>
          <w:rFonts w:eastAsiaTheme="majorEastAsia" w:cstheme="minorHAnsi"/>
          <w:b/>
          <w:i/>
          <w:iCs/>
          <w:smallCaps/>
          <w:noProof/>
          <w:color w:val="000000" w:themeColor="text1"/>
          <w:sz w:val="26"/>
          <w:szCs w:val="26"/>
          <w:u w:color="5B9BD5"/>
        </w:rPr>
        <w:br w:type="page"/>
      </w:r>
    </w:p>
    <w:p w14:paraId="58A43299" w14:textId="1D1F48DC" w:rsidR="00721CFD" w:rsidRDefault="00721CFD" w:rsidP="00674D4D">
      <w:pPr>
        <w:spacing w:after="240" w:line="259" w:lineRule="auto"/>
        <w:rPr>
          <w:rFonts w:eastAsiaTheme="majorEastAsia" w:cstheme="minorHAnsi"/>
          <w:b/>
          <w:i/>
          <w:iCs/>
          <w:smallCaps/>
          <w:noProof/>
          <w:color w:val="000000" w:themeColor="text1"/>
          <w:sz w:val="26"/>
          <w:szCs w:val="26"/>
          <w:u w:color="5B9BD5"/>
        </w:rPr>
      </w:pPr>
      <w:r w:rsidRPr="00F54559">
        <w:rPr>
          <w:rFonts w:eastAsiaTheme="majorEastAsia" w:cstheme="minorHAnsi"/>
          <w:b/>
          <w:i/>
          <w:iCs/>
          <w:smallCaps/>
          <w:noProof/>
          <w:color w:val="000000" w:themeColor="text1"/>
          <w:sz w:val="26"/>
          <w:szCs w:val="26"/>
          <w:u w:color="5B9BD5"/>
        </w:rPr>
        <w:lastRenderedPageBreak/>
        <w:t xml:space="preserve">15. DEFERRED OUTFLOWS OF RESOURCES AND DEFERRED INFLOWS OF RESOURCES </w:t>
      </w:r>
      <w:r>
        <w:rPr>
          <w:rFonts w:eastAsiaTheme="majorEastAsia" w:cstheme="minorHAnsi"/>
          <w:b/>
          <w:i/>
          <w:iCs/>
          <w:smallCaps/>
          <w:noProof/>
          <w:color w:val="000000" w:themeColor="text1"/>
          <w:sz w:val="26"/>
          <w:szCs w:val="26"/>
          <w:u w:color="5B9BD5"/>
        </w:rPr>
        <w:t>–</w:t>
      </w:r>
      <w:r w:rsidRPr="00F54559">
        <w:rPr>
          <w:rFonts w:eastAsiaTheme="majorEastAsia" w:cstheme="minorHAnsi"/>
          <w:b/>
          <w:i/>
          <w:iCs/>
          <w:smallCaps/>
          <w:noProof/>
          <w:color w:val="000000" w:themeColor="text1"/>
          <w:sz w:val="26"/>
          <w:szCs w:val="26"/>
          <w:u w:color="5B9BD5"/>
        </w:rPr>
        <w:t xml:space="preserve"> CONTINUED</w:t>
      </w:r>
    </w:p>
    <w:p w14:paraId="2E35EEA6" w14:textId="77777777" w:rsidR="00721CFD" w:rsidRPr="00A93FB3" w:rsidRDefault="00721CFD" w:rsidP="00721CFD">
      <w:pPr>
        <w:tabs>
          <w:tab w:val="left" w:pos="900"/>
        </w:tabs>
        <w:spacing w:after="240"/>
        <w:ind w:right="-7"/>
        <w:rPr>
          <w:rFonts w:cstheme="minorHAnsi"/>
          <w:sz w:val="16"/>
          <w:u w:val="single"/>
        </w:rPr>
      </w:pPr>
      <w:r w:rsidRPr="00F54559">
        <w:rPr>
          <w:rFonts w:cstheme="minorHAnsi"/>
          <w:sz w:val="24"/>
        </w:rPr>
        <w:t>Deferred outflows of resources and deferred inflows of resources for pensions and OPEB were related to the following sources for the year ended June 30:</w:t>
      </w:r>
    </w:p>
    <w:p w14:paraId="661132B0" w14:textId="77777777" w:rsidR="00721CFD" w:rsidRPr="00A93FB3" w:rsidRDefault="00721CFD" w:rsidP="00721CFD">
      <w:pPr>
        <w:tabs>
          <w:tab w:val="left" w:pos="900"/>
        </w:tabs>
        <w:spacing w:before="240"/>
        <w:ind w:right="-7"/>
        <w:jc w:val="center"/>
        <w:rPr>
          <w:rFonts w:ascii="Calibri" w:eastAsia="Times New Roman" w:hAnsi="Calibri" w:cs="Calibri"/>
          <w:b/>
          <w:bCs/>
        </w:rPr>
      </w:pPr>
      <w:r>
        <w:rPr>
          <w:rFonts w:ascii="Calibri" w:eastAsia="Times New Roman" w:hAnsi="Calibri" w:cs="Calibri"/>
          <w:b/>
          <w:bCs/>
        </w:rPr>
        <w:t>2</w:t>
      </w:r>
      <w:r w:rsidRPr="00A93FB3">
        <w:rPr>
          <w:rFonts w:ascii="Calibri" w:eastAsia="Times New Roman" w:hAnsi="Calibri" w:cs="Calibri"/>
          <w:b/>
          <w:bCs/>
        </w:rPr>
        <w:t>021</w:t>
      </w:r>
    </w:p>
    <w:tbl>
      <w:tblPr>
        <w:tblW w:w="9429" w:type="dxa"/>
        <w:tblLook w:val="04A0" w:firstRow="1" w:lastRow="0" w:firstColumn="1" w:lastColumn="0" w:noHBand="0" w:noVBand="1"/>
      </w:tblPr>
      <w:tblGrid>
        <w:gridCol w:w="5183"/>
        <w:gridCol w:w="1230"/>
        <w:gridCol w:w="1040"/>
        <w:gridCol w:w="936"/>
        <w:gridCol w:w="1153"/>
      </w:tblGrid>
      <w:tr w:rsidR="00721CFD" w:rsidRPr="00C830C0" w14:paraId="4F2624E4" w14:textId="77777777" w:rsidTr="007B5BB3">
        <w:trPr>
          <w:trHeight w:val="888"/>
          <w:tblHeader/>
        </w:trPr>
        <w:tc>
          <w:tcPr>
            <w:tcW w:w="5183" w:type="dxa"/>
            <w:tcBorders>
              <w:top w:val="single" w:sz="12" w:space="0" w:color="00688D"/>
              <w:left w:val="nil"/>
              <w:bottom w:val="single" w:sz="8" w:space="0" w:color="00688D"/>
              <w:right w:val="nil"/>
            </w:tcBorders>
            <w:shd w:val="clear" w:color="000000" w:fill="FFFFFF"/>
            <w:noWrap/>
            <w:vAlign w:val="bottom"/>
            <w:hideMark/>
          </w:tcPr>
          <w:p w14:paraId="3CD288B7" w14:textId="77777777" w:rsidR="00721CFD" w:rsidRPr="00A93FB3" w:rsidRDefault="00721CFD" w:rsidP="007B5BB3">
            <w:pPr>
              <w:jc w:val="center"/>
              <w:rPr>
                <w:rFonts w:ascii="Calibri" w:eastAsia="Times New Roman" w:hAnsi="Calibri" w:cs="Calibri"/>
                <w:b/>
                <w:bCs/>
                <w:color w:val="FF0000"/>
              </w:rPr>
            </w:pPr>
            <w:r w:rsidRPr="00753E47">
              <w:rPr>
                <w:rFonts w:ascii="Calibri" w:eastAsia="Times New Roman" w:hAnsi="Calibri" w:cs="Calibri"/>
                <w:b/>
                <w:bCs/>
              </w:rPr>
              <w:t> </w:t>
            </w:r>
          </w:p>
        </w:tc>
        <w:tc>
          <w:tcPr>
            <w:tcW w:w="1117" w:type="dxa"/>
            <w:tcBorders>
              <w:top w:val="single" w:sz="12" w:space="0" w:color="00688D"/>
              <w:left w:val="nil"/>
              <w:bottom w:val="single" w:sz="8" w:space="0" w:color="00688D"/>
              <w:right w:val="nil"/>
            </w:tcBorders>
            <w:shd w:val="clear" w:color="000000" w:fill="FFFFFF"/>
            <w:vAlign w:val="bottom"/>
            <w:hideMark/>
          </w:tcPr>
          <w:p w14:paraId="73D3BB34" w14:textId="77777777" w:rsidR="00721CFD" w:rsidRPr="00A93FB3" w:rsidRDefault="00721CFD" w:rsidP="007B5BB3">
            <w:pPr>
              <w:jc w:val="center"/>
              <w:rPr>
                <w:rFonts w:ascii="Calibri" w:eastAsia="Times New Roman" w:hAnsi="Calibri" w:cs="Calibri"/>
                <w:bCs/>
              </w:rPr>
            </w:pPr>
            <w:r w:rsidRPr="00A93FB3">
              <w:rPr>
                <w:rFonts w:ascii="Calibri" w:eastAsia="Times New Roman" w:hAnsi="Calibri" w:cs="Calibri"/>
                <w:bCs/>
              </w:rPr>
              <w:t>Incentive Retirement Plan</w:t>
            </w:r>
          </w:p>
        </w:tc>
        <w:tc>
          <w:tcPr>
            <w:tcW w:w="1040" w:type="dxa"/>
            <w:tcBorders>
              <w:top w:val="single" w:sz="12" w:space="0" w:color="00688D"/>
              <w:left w:val="nil"/>
              <w:bottom w:val="single" w:sz="8" w:space="0" w:color="00688D"/>
              <w:right w:val="nil"/>
            </w:tcBorders>
            <w:shd w:val="clear" w:color="000000" w:fill="FFFFFF"/>
            <w:vAlign w:val="bottom"/>
            <w:hideMark/>
          </w:tcPr>
          <w:p w14:paraId="1CC1BB38" w14:textId="77777777" w:rsidR="00721CFD" w:rsidRPr="00A93FB3" w:rsidRDefault="00721CFD" w:rsidP="007B5BB3">
            <w:pPr>
              <w:jc w:val="center"/>
              <w:rPr>
                <w:rFonts w:ascii="Calibri" w:eastAsia="Times New Roman" w:hAnsi="Calibri" w:cs="Calibri"/>
                <w:bCs/>
              </w:rPr>
            </w:pPr>
            <w:r w:rsidRPr="00A93FB3">
              <w:rPr>
                <w:rFonts w:ascii="Calibri" w:eastAsia="Times New Roman" w:hAnsi="Calibri" w:cs="Calibri"/>
                <w:bCs/>
              </w:rPr>
              <w:t>Defined Benefit Plan</w:t>
            </w:r>
          </w:p>
        </w:tc>
        <w:tc>
          <w:tcPr>
            <w:tcW w:w="936" w:type="dxa"/>
            <w:tcBorders>
              <w:top w:val="single" w:sz="12" w:space="0" w:color="00688D"/>
              <w:left w:val="nil"/>
              <w:bottom w:val="single" w:sz="8" w:space="0" w:color="00688D"/>
              <w:right w:val="nil"/>
            </w:tcBorders>
            <w:shd w:val="clear" w:color="000000" w:fill="FFFFFF"/>
            <w:vAlign w:val="bottom"/>
            <w:hideMark/>
          </w:tcPr>
          <w:p w14:paraId="4F381A9A" w14:textId="77777777" w:rsidR="00721CFD" w:rsidRPr="00A93FB3" w:rsidRDefault="00721CFD" w:rsidP="007B5BB3">
            <w:pPr>
              <w:jc w:val="center"/>
              <w:rPr>
                <w:rFonts w:ascii="Calibri" w:eastAsia="Times New Roman" w:hAnsi="Calibri" w:cs="Calibri"/>
                <w:bCs/>
              </w:rPr>
            </w:pPr>
            <w:r w:rsidRPr="00A93FB3">
              <w:rPr>
                <w:rFonts w:ascii="Calibri" w:eastAsia="Times New Roman" w:hAnsi="Calibri" w:cs="Calibri"/>
                <w:bCs/>
              </w:rPr>
              <w:t xml:space="preserve">Total Pension </w:t>
            </w:r>
          </w:p>
        </w:tc>
        <w:tc>
          <w:tcPr>
            <w:tcW w:w="1153" w:type="dxa"/>
            <w:tcBorders>
              <w:top w:val="single" w:sz="12" w:space="0" w:color="00688D"/>
              <w:left w:val="nil"/>
              <w:bottom w:val="single" w:sz="8" w:space="0" w:color="00688D"/>
              <w:right w:val="nil"/>
            </w:tcBorders>
            <w:shd w:val="clear" w:color="000000" w:fill="FFFFFF"/>
            <w:vAlign w:val="bottom"/>
            <w:hideMark/>
          </w:tcPr>
          <w:p w14:paraId="366155D2" w14:textId="77777777" w:rsidR="00721CFD" w:rsidRPr="00A93FB3" w:rsidRDefault="00721CFD" w:rsidP="007B5BB3">
            <w:pPr>
              <w:jc w:val="center"/>
              <w:rPr>
                <w:rFonts w:ascii="Calibri" w:eastAsia="Times New Roman" w:hAnsi="Calibri" w:cs="Calibri"/>
                <w:bCs/>
              </w:rPr>
            </w:pPr>
            <w:r w:rsidRPr="00A93FB3">
              <w:rPr>
                <w:rFonts w:ascii="Calibri" w:eastAsia="Times New Roman" w:hAnsi="Calibri" w:cs="Calibri"/>
                <w:bCs/>
              </w:rPr>
              <w:t xml:space="preserve">OPEB </w:t>
            </w:r>
          </w:p>
        </w:tc>
      </w:tr>
      <w:tr w:rsidR="00721CFD" w:rsidRPr="00C830C0" w14:paraId="72DA18FD" w14:textId="77777777" w:rsidTr="007B5BB3">
        <w:trPr>
          <w:trHeight w:val="288"/>
        </w:trPr>
        <w:tc>
          <w:tcPr>
            <w:tcW w:w="5183" w:type="dxa"/>
            <w:tcBorders>
              <w:top w:val="nil"/>
              <w:left w:val="nil"/>
              <w:bottom w:val="nil"/>
              <w:right w:val="nil"/>
            </w:tcBorders>
            <w:shd w:val="clear" w:color="000000" w:fill="FFFFFF"/>
            <w:noWrap/>
            <w:vAlign w:val="bottom"/>
            <w:hideMark/>
          </w:tcPr>
          <w:p w14:paraId="0562233C"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Deferred outflows of resources</w:t>
            </w:r>
          </w:p>
        </w:tc>
        <w:tc>
          <w:tcPr>
            <w:tcW w:w="1117" w:type="dxa"/>
            <w:tcBorders>
              <w:top w:val="nil"/>
              <w:left w:val="nil"/>
              <w:bottom w:val="nil"/>
              <w:right w:val="nil"/>
            </w:tcBorders>
            <w:shd w:val="clear" w:color="000000" w:fill="FFFFFF"/>
            <w:noWrap/>
            <w:vAlign w:val="bottom"/>
            <w:hideMark/>
          </w:tcPr>
          <w:p w14:paraId="20EE778F"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 </w:t>
            </w:r>
          </w:p>
        </w:tc>
        <w:tc>
          <w:tcPr>
            <w:tcW w:w="1040" w:type="dxa"/>
            <w:tcBorders>
              <w:top w:val="nil"/>
              <w:left w:val="nil"/>
              <w:bottom w:val="nil"/>
              <w:right w:val="nil"/>
            </w:tcBorders>
            <w:shd w:val="clear" w:color="000000" w:fill="FFFFFF"/>
            <w:noWrap/>
            <w:vAlign w:val="bottom"/>
            <w:hideMark/>
          </w:tcPr>
          <w:p w14:paraId="776D7CB7"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 </w:t>
            </w:r>
          </w:p>
        </w:tc>
        <w:tc>
          <w:tcPr>
            <w:tcW w:w="936" w:type="dxa"/>
            <w:tcBorders>
              <w:top w:val="nil"/>
              <w:left w:val="nil"/>
              <w:bottom w:val="nil"/>
              <w:right w:val="nil"/>
            </w:tcBorders>
            <w:shd w:val="clear" w:color="000000" w:fill="FFFFFF"/>
            <w:noWrap/>
            <w:vAlign w:val="bottom"/>
            <w:hideMark/>
          </w:tcPr>
          <w:p w14:paraId="3E567B88"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 </w:t>
            </w:r>
          </w:p>
        </w:tc>
        <w:tc>
          <w:tcPr>
            <w:tcW w:w="1153" w:type="dxa"/>
            <w:tcBorders>
              <w:top w:val="nil"/>
              <w:left w:val="nil"/>
              <w:bottom w:val="nil"/>
              <w:right w:val="nil"/>
            </w:tcBorders>
            <w:shd w:val="clear" w:color="000000" w:fill="FFFFFF"/>
            <w:noWrap/>
            <w:vAlign w:val="bottom"/>
            <w:hideMark/>
          </w:tcPr>
          <w:p w14:paraId="16CDDE69"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 </w:t>
            </w:r>
          </w:p>
        </w:tc>
      </w:tr>
      <w:tr w:rsidR="00721CFD" w:rsidRPr="00C830C0" w14:paraId="2D91F318" w14:textId="77777777" w:rsidTr="007B5BB3">
        <w:trPr>
          <w:trHeight w:val="288"/>
        </w:trPr>
        <w:tc>
          <w:tcPr>
            <w:tcW w:w="5183" w:type="dxa"/>
            <w:tcBorders>
              <w:top w:val="nil"/>
              <w:left w:val="nil"/>
              <w:bottom w:val="nil"/>
              <w:right w:val="nil"/>
            </w:tcBorders>
            <w:shd w:val="clear" w:color="000000" w:fill="FFFFFF"/>
            <w:noWrap/>
            <w:vAlign w:val="bottom"/>
            <w:hideMark/>
          </w:tcPr>
          <w:p w14:paraId="33FDA09D" w14:textId="77777777" w:rsidR="00721CFD" w:rsidRPr="00A93FB3" w:rsidRDefault="00721CFD" w:rsidP="007B5BB3">
            <w:pPr>
              <w:ind w:leftChars="106" w:left="251" w:hangingChars="8" w:hanging="18"/>
              <w:rPr>
                <w:rFonts w:ascii="Calibri" w:eastAsia="Times New Roman" w:hAnsi="Calibri" w:cs="Calibri"/>
              </w:rPr>
            </w:pPr>
            <w:r w:rsidRPr="00A93FB3">
              <w:rPr>
                <w:rFonts w:ascii="Calibri" w:eastAsia="Times New Roman" w:hAnsi="Calibri" w:cs="Calibri"/>
              </w:rPr>
              <w:t>Changes of assumption or other inputs</w:t>
            </w:r>
          </w:p>
        </w:tc>
        <w:tc>
          <w:tcPr>
            <w:tcW w:w="1117" w:type="dxa"/>
            <w:tcBorders>
              <w:top w:val="nil"/>
              <w:left w:val="nil"/>
              <w:bottom w:val="nil"/>
              <w:right w:val="nil"/>
            </w:tcBorders>
            <w:shd w:val="clear" w:color="000000" w:fill="FFFFFF"/>
            <w:noWrap/>
            <w:vAlign w:val="bottom"/>
            <w:hideMark/>
          </w:tcPr>
          <w:p w14:paraId="240786DF"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$1,560</w:t>
            </w:r>
          </w:p>
        </w:tc>
        <w:tc>
          <w:tcPr>
            <w:tcW w:w="1040" w:type="dxa"/>
            <w:tcBorders>
              <w:top w:val="nil"/>
              <w:left w:val="nil"/>
              <w:bottom w:val="nil"/>
              <w:right w:val="nil"/>
            </w:tcBorders>
            <w:shd w:val="clear" w:color="000000" w:fill="FFFFFF"/>
            <w:noWrap/>
            <w:vAlign w:val="bottom"/>
            <w:hideMark/>
          </w:tcPr>
          <w:p w14:paraId="4FCDD8B3"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w:t>
            </w:r>
          </w:p>
        </w:tc>
        <w:tc>
          <w:tcPr>
            <w:tcW w:w="936" w:type="dxa"/>
            <w:tcBorders>
              <w:top w:val="nil"/>
              <w:left w:val="nil"/>
              <w:bottom w:val="nil"/>
              <w:right w:val="nil"/>
            </w:tcBorders>
            <w:shd w:val="clear" w:color="000000" w:fill="FFFFFF"/>
            <w:noWrap/>
            <w:vAlign w:val="bottom"/>
            <w:hideMark/>
          </w:tcPr>
          <w:p w14:paraId="26FF3401"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1,560</w:t>
            </w:r>
          </w:p>
        </w:tc>
        <w:tc>
          <w:tcPr>
            <w:tcW w:w="1153" w:type="dxa"/>
            <w:tcBorders>
              <w:top w:val="nil"/>
              <w:left w:val="nil"/>
              <w:bottom w:val="nil"/>
              <w:right w:val="nil"/>
            </w:tcBorders>
            <w:shd w:val="clear" w:color="000000" w:fill="FFFFFF"/>
            <w:noWrap/>
            <w:vAlign w:val="bottom"/>
            <w:hideMark/>
          </w:tcPr>
          <w:p w14:paraId="277AD033" w14:textId="0EB3AA7C"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r w:rsidR="000E6F2B">
              <w:rPr>
                <w:rFonts w:ascii="Calibri" w:eastAsia="Times New Roman" w:hAnsi="Calibri" w:cs="Calibri"/>
              </w:rPr>
              <w:t xml:space="preserve"> </w:t>
            </w:r>
            <w:r w:rsidRPr="00A93FB3">
              <w:rPr>
                <w:rFonts w:ascii="Calibri" w:eastAsia="Times New Roman" w:hAnsi="Calibri" w:cs="Calibri"/>
              </w:rPr>
              <w:t>11,514</w:t>
            </w:r>
          </w:p>
        </w:tc>
      </w:tr>
      <w:tr w:rsidR="00721CFD" w:rsidRPr="00C830C0" w14:paraId="2817975B" w14:textId="77777777" w:rsidTr="007B5BB3">
        <w:trPr>
          <w:trHeight w:val="144"/>
        </w:trPr>
        <w:tc>
          <w:tcPr>
            <w:tcW w:w="5183" w:type="dxa"/>
            <w:tcBorders>
              <w:top w:val="nil"/>
              <w:left w:val="nil"/>
              <w:bottom w:val="nil"/>
              <w:right w:val="nil"/>
            </w:tcBorders>
            <w:shd w:val="clear" w:color="000000" w:fill="FFFFFF"/>
            <w:vAlign w:val="bottom"/>
            <w:hideMark/>
          </w:tcPr>
          <w:p w14:paraId="5327ACE5" w14:textId="77777777" w:rsidR="00721CFD" w:rsidRPr="00A93FB3" w:rsidRDefault="00721CFD" w:rsidP="007B5BB3">
            <w:pPr>
              <w:ind w:leftChars="106" w:left="251" w:hangingChars="8" w:hanging="18"/>
              <w:rPr>
                <w:rFonts w:ascii="Calibri" w:eastAsia="Times New Roman" w:hAnsi="Calibri" w:cs="Calibri"/>
              </w:rPr>
            </w:pPr>
            <w:r w:rsidRPr="00A93FB3">
              <w:rPr>
                <w:rFonts w:ascii="Calibri" w:eastAsia="Times New Roman" w:hAnsi="Calibri" w:cs="Calibri"/>
              </w:rPr>
              <w:t>Difference between expected and actual experience</w:t>
            </w:r>
          </w:p>
        </w:tc>
        <w:tc>
          <w:tcPr>
            <w:tcW w:w="1117" w:type="dxa"/>
            <w:tcBorders>
              <w:top w:val="nil"/>
              <w:left w:val="nil"/>
              <w:bottom w:val="nil"/>
              <w:right w:val="nil"/>
            </w:tcBorders>
            <w:shd w:val="clear" w:color="000000" w:fill="FFFFFF"/>
            <w:noWrap/>
            <w:vAlign w:val="bottom"/>
            <w:hideMark/>
          </w:tcPr>
          <w:p w14:paraId="3420AA7A"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1,102</w:t>
            </w:r>
          </w:p>
        </w:tc>
        <w:tc>
          <w:tcPr>
            <w:tcW w:w="1040" w:type="dxa"/>
            <w:tcBorders>
              <w:top w:val="nil"/>
              <w:left w:val="nil"/>
              <w:bottom w:val="nil"/>
              <w:right w:val="nil"/>
            </w:tcBorders>
            <w:shd w:val="clear" w:color="000000" w:fill="FFFFFF"/>
            <w:noWrap/>
            <w:vAlign w:val="bottom"/>
            <w:hideMark/>
          </w:tcPr>
          <w:p w14:paraId="6438E9A1"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c>
          <w:tcPr>
            <w:tcW w:w="936" w:type="dxa"/>
            <w:tcBorders>
              <w:top w:val="nil"/>
              <w:left w:val="nil"/>
              <w:bottom w:val="nil"/>
              <w:right w:val="nil"/>
            </w:tcBorders>
            <w:shd w:val="clear" w:color="000000" w:fill="FFFFFF"/>
            <w:noWrap/>
            <w:vAlign w:val="bottom"/>
            <w:hideMark/>
          </w:tcPr>
          <w:p w14:paraId="7667A11F"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1,102</w:t>
            </w:r>
          </w:p>
        </w:tc>
        <w:tc>
          <w:tcPr>
            <w:tcW w:w="1153" w:type="dxa"/>
            <w:tcBorders>
              <w:top w:val="nil"/>
              <w:left w:val="nil"/>
              <w:bottom w:val="nil"/>
              <w:right w:val="nil"/>
            </w:tcBorders>
            <w:shd w:val="clear" w:color="000000" w:fill="FFFFFF"/>
            <w:noWrap/>
            <w:vAlign w:val="bottom"/>
            <w:hideMark/>
          </w:tcPr>
          <w:p w14:paraId="009D2816"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r>
      <w:tr w:rsidR="00721CFD" w:rsidRPr="00C830C0" w14:paraId="534C3BCB" w14:textId="77777777" w:rsidTr="007B5BB3">
        <w:trPr>
          <w:trHeight w:val="288"/>
        </w:trPr>
        <w:tc>
          <w:tcPr>
            <w:tcW w:w="5183" w:type="dxa"/>
            <w:tcBorders>
              <w:top w:val="single" w:sz="4" w:space="0" w:color="00688D"/>
              <w:left w:val="nil"/>
              <w:bottom w:val="single" w:sz="4" w:space="0" w:color="00688D"/>
              <w:right w:val="nil"/>
            </w:tcBorders>
            <w:shd w:val="clear" w:color="000000" w:fill="FFFFFF"/>
            <w:noWrap/>
            <w:vAlign w:val="bottom"/>
            <w:hideMark/>
          </w:tcPr>
          <w:p w14:paraId="2C163CDA" w14:textId="77777777" w:rsidR="00721CFD" w:rsidRPr="00A93FB3" w:rsidRDefault="00721CFD" w:rsidP="007B5BB3">
            <w:pPr>
              <w:ind w:firstLineChars="200" w:firstLine="440"/>
              <w:rPr>
                <w:rFonts w:ascii="Calibri" w:eastAsia="Times New Roman" w:hAnsi="Calibri" w:cs="Calibri"/>
              </w:rPr>
            </w:pPr>
            <w:r w:rsidRPr="00A93FB3">
              <w:rPr>
                <w:rFonts w:ascii="Calibri" w:eastAsia="Times New Roman" w:hAnsi="Calibri" w:cs="Calibri"/>
              </w:rPr>
              <w:t>Total deferred outflows of resources</w:t>
            </w:r>
          </w:p>
        </w:tc>
        <w:tc>
          <w:tcPr>
            <w:tcW w:w="1117" w:type="dxa"/>
            <w:tcBorders>
              <w:top w:val="single" w:sz="4" w:space="0" w:color="00688D"/>
              <w:left w:val="nil"/>
              <w:bottom w:val="single" w:sz="4" w:space="0" w:color="00688D"/>
              <w:right w:val="nil"/>
            </w:tcBorders>
            <w:shd w:val="clear" w:color="000000" w:fill="FFFFFF"/>
            <w:noWrap/>
            <w:vAlign w:val="bottom"/>
            <w:hideMark/>
          </w:tcPr>
          <w:p w14:paraId="6C293E6A"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2,662</w:t>
            </w:r>
          </w:p>
        </w:tc>
        <w:tc>
          <w:tcPr>
            <w:tcW w:w="1040" w:type="dxa"/>
            <w:tcBorders>
              <w:top w:val="single" w:sz="4" w:space="0" w:color="00688D"/>
              <w:left w:val="nil"/>
              <w:bottom w:val="single" w:sz="4" w:space="0" w:color="00688D"/>
              <w:right w:val="nil"/>
            </w:tcBorders>
            <w:shd w:val="clear" w:color="000000" w:fill="FFFFFF"/>
            <w:noWrap/>
            <w:vAlign w:val="bottom"/>
            <w:hideMark/>
          </w:tcPr>
          <w:p w14:paraId="054C4815"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c>
          <w:tcPr>
            <w:tcW w:w="936" w:type="dxa"/>
            <w:tcBorders>
              <w:top w:val="single" w:sz="4" w:space="0" w:color="00688D"/>
              <w:left w:val="nil"/>
              <w:bottom w:val="single" w:sz="4" w:space="0" w:color="00688D"/>
              <w:right w:val="nil"/>
            </w:tcBorders>
            <w:shd w:val="clear" w:color="000000" w:fill="FFFFFF"/>
            <w:noWrap/>
            <w:vAlign w:val="bottom"/>
            <w:hideMark/>
          </w:tcPr>
          <w:p w14:paraId="5A760826"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2,662</w:t>
            </w:r>
          </w:p>
        </w:tc>
        <w:tc>
          <w:tcPr>
            <w:tcW w:w="1153" w:type="dxa"/>
            <w:tcBorders>
              <w:top w:val="single" w:sz="4" w:space="0" w:color="00688D"/>
              <w:left w:val="nil"/>
              <w:bottom w:val="single" w:sz="4" w:space="0" w:color="00688D"/>
              <w:right w:val="nil"/>
            </w:tcBorders>
            <w:shd w:val="clear" w:color="000000" w:fill="FFFFFF"/>
            <w:noWrap/>
            <w:vAlign w:val="bottom"/>
            <w:hideMark/>
          </w:tcPr>
          <w:p w14:paraId="7D236E52"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11,514</w:t>
            </w:r>
          </w:p>
        </w:tc>
      </w:tr>
      <w:tr w:rsidR="00721CFD" w:rsidRPr="00C830C0" w14:paraId="4515E24F" w14:textId="77777777" w:rsidTr="007B5BB3">
        <w:trPr>
          <w:trHeight w:val="288"/>
        </w:trPr>
        <w:tc>
          <w:tcPr>
            <w:tcW w:w="5183" w:type="dxa"/>
            <w:tcBorders>
              <w:top w:val="nil"/>
              <w:left w:val="nil"/>
              <w:bottom w:val="nil"/>
              <w:right w:val="nil"/>
            </w:tcBorders>
            <w:shd w:val="clear" w:color="000000" w:fill="FFFFFF"/>
            <w:noWrap/>
            <w:vAlign w:val="bottom"/>
            <w:hideMark/>
          </w:tcPr>
          <w:p w14:paraId="2E9ECC44"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Deferred inflows of resources</w:t>
            </w:r>
          </w:p>
        </w:tc>
        <w:tc>
          <w:tcPr>
            <w:tcW w:w="1117" w:type="dxa"/>
            <w:tcBorders>
              <w:top w:val="nil"/>
              <w:left w:val="nil"/>
              <w:bottom w:val="nil"/>
              <w:right w:val="nil"/>
            </w:tcBorders>
            <w:shd w:val="clear" w:color="000000" w:fill="FFFFFF"/>
            <w:noWrap/>
            <w:vAlign w:val="bottom"/>
            <w:hideMark/>
          </w:tcPr>
          <w:p w14:paraId="1D0F074D"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w:t>
            </w:r>
          </w:p>
        </w:tc>
        <w:tc>
          <w:tcPr>
            <w:tcW w:w="1040" w:type="dxa"/>
            <w:tcBorders>
              <w:top w:val="nil"/>
              <w:left w:val="nil"/>
              <w:bottom w:val="nil"/>
              <w:right w:val="nil"/>
            </w:tcBorders>
            <w:shd w:val="clear" w:color="000000" w:fill="FFFFFF"/>
            <w:noWrap/>
            <w:vAlign w:val="bottom"/>
            <w:hideMark/>
          </w:tcPr>
          <w:p w14:paraId="6497CA18"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w:t>
            </w:r>
          </w:p>
        </w:tc>
        <w:tc>
          <w:tcPr>
            <w:tcW w:w="936" w:type="dxa"/>
            <w:tcBorders>
              <w:top w:val="nil"/>
              <w:left w:val="nil"/>
              <w:bottom w:val="nil"/>
              <w:right w:val="nil"/>
            </w:tcBorders>
            <w:shd w:val="clear" w:color="000000" w:fill="FFFFFF"/>
            <w:noWrap/>
            <w:vAlign w:val="bottom"/>
            <w:hideMark/>
          </w:tcPr>
          <w:p w14:paraId="2E30F29B"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w:t>
            </w:r>
          </w:p>
        </w:tc>
        <w:tc>
          <w:tcPr>
            <w:tcW w:w="1153" w:type="dxa"/>
            <w:tcBorders>
              <w:top w:val="nil"/>
              <w:left w:val="nil"/>
              <w:bottom w:val="nil"/>
              <w:right w:val="nil"/>
            </w:tcBorders>
            <w:shd w:val="clear" w:color="000000" w:fill="FFFFFF"/>
            <w:noWrap/>
            <w:vAlign w:val="bottom"/>
            <w:hideMark/>
          </w:tcPr>
          <w:p w14:paraId="26D7EFC3"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 </w:t>
            </w:r>
          </w:p>
        </w:tc>
      </w:tr>
      <w:tr w:rsidR="00721CFD" w:rsidRPr="00C830C0" w14:paraId="0E540F4A" w14:textId="77777777" w:rsidTr="007B5BB3">
        <w:trPr>
          <w:trHeight w:val="288"/>
        </w:trPr>
        <w:tc>
          <w:tcPr>
            <w:tcW w:w="5183" w:type="dxa"/>
            <w:tcBorders>
              <w:top w:val="nil"/>
              <w:left w:val="nil"/>
              <w:bottom w:val="nil"/>
              <w:right w:val="nil"/>
            </w:tcBorders>
            <w:shd w:val="clear" w:color="000000" w:fill="FFFFFF"/>
            <w:noWrap/>
            <w:vAlign w:val="bottom"/>
            <w:hideMark/>
          </w:tcPr>
          <w:p w14:paraId="7397BBB3" w14:textId="77777777" w:rsidR="00721CFD" w:rsidRPr="00A93FB3" w:rsidRDefault="00721CFD" w:rsidP="007B5BB3">
            <w:pPr>
              <w:ind w:firstLineChars="76" w:firstLine="167"/>
              <w:rPr>
                <w:rFonts w:ascii="Calibri" w:eastAsia="Times New Roman" w:hAnsi="Calibri" w:cs="Calibri"/>
              </w:rPr>
            </w:pPr>
            <w:r w:rsidRPr="00A93FB3">
              <w:rPr>
                <w:rFonts w:ascii="Calibri" w:eastAsia="Times New Roman" w:hAnsi="Calibri" w:cs="Calibri"/>
              </w:rPr>
              <w:t>Changes of assumption or other inputs</w:t>
            </w:r>
          </w:p>
        </w:tc>
        <w:tc>
          <w:tcPr>
            <w:tcW w:w="1117" w:type="dxa"/>
            <w:tcBorders>
              <w:top w:val="nil"/>
              <w:left w:val="nil"/>
              <w:bottom w:val="nil"/>
              <w:right w:val="nil"/>
            </w:tcBorders>
            <w:shd w:val="clear" w:color="000000" w:fill="FFFFFF"/>
            <w:noWrap/>
            <w:vAlign w:val="bottom"/>
            <w:hideMark/>
          </w:tcPr>
          <w:p w14:paraId="1F08BB6A"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296</w:t>
            </w:r>
          </w:p>
        </w:tc>
        <w:tc>
          <w:tcPr>
            <w:tcW w:w="1040" w:type="dxa"/>
            <w:tcBorders>
              <w:top w:val="nil"/>
              <w:left w:val="nil"/>
              <w:bottom w:val="nil"/>
              <w:right w:val="nil"/>
            </w:tcBorders>
            <w:shd w:val="clear" w:color="000000" w:fill="FFFFFF"/>
            <w:noWrap/>
            <w:vAlign w:val="bottom"/>
            <w:hideMark/>
          </w:tcPr>
          <w:p w14:paraId="2D0A8EE0"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c>
          <w:tcPr>
            <w:tcW w:w="936" w:type="dxa"/>
            <w:tcBorders>
              <w:top w:val="nil"/>
              <w:left w:val="nil"/>
              <w:bottom w:val="nil"/>
              <w:right w:val="nil"/>
            </w:tcBorders>
            <w:shd w:val="clear" w:color="000000" w:fill="FFFFFF"/>
            <w:noWrap/>
            <w:vAlign w:val="bottom"/>
            <w:hideMark/>
          </w:tcPr>
          <w:p w14:paraId="0917F827"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296</w:t>
            </w:r>
          </w:p>
        </w:tc>
        <w:tc>
          <w:tcPr>
            <w:tcW w:w="1153" w:type="dxa"/>
            <w:tcBorders>
              <w:top w:val="nil"/>
              <w:left w:val="nil"/>
              <w:bottom w:val="nil"/>
              <w:right w:val="nil"/>
            </w:tcBorders>
            <w:shd w:val="clear" w:color="000000" w:fill="FFFFFF"/>
            <w:noWrap/>
            <w:vAlign w:val="bottom"/>
            <w:hideMark/>
          </w:tcPr>
          <w:p w14:paraId="77979C4C"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7,287</w:t>
            </w:r>
          </w:p>
        </w:tc>
      </w:tr>
      <w:tr w:rsidR="00721CFD" w:rsidRPr="00C830C0" w14:paraId="66A99C3C" w14:textId="77777777" w:rsidTr="007B5BB3">
        <w:trPr>
          <w:trHeight w:val="306"/>
        </w:trPr>
        <w:tc>
          <w:tcPr>
            <w:tcW w:w="5183" w:type="dxa"/>
            <w:tcBorders>
              <w:top w:val="nil"/>
              <w:left w:val="nil"/>
              <w:bottom w:val="nil"/>
              <w:right w:val="nil"/>
            </w:tcBorders>
            <w:shd w:val="clear" w:color="000000" w:fill="FFFFFF"/>
            <w:vAlign w:val="bottom"/>
            <w:hideMark/>
          </w:tcPr>
          <w:p w14:paraId="49DB5124" w14:textId="77777777" w:rsidR="00721CFD" w:rsidRPr="00A93FB3" w:rsidRDefault="00721CFD" w:rsidP="007B5BB3">
            <w:pPr>
              <w:ind w:firstLineChars="76" w:firstLine="167"/>
              <w:rPr>
                <w:rFonts w:ascii="Calibri" w:eastAsia="Times New Roman" w:hAnsi="Calibri" w:cs="Calibri"/>
              </w:rPr>
            </w:pPr>
            <w:r w:rsidRPr="00A93FB3">
              <w:rPr>
                <w:rFonts w:ascii="Calibri" w:eastAsia="Times New Roman" w:hAnsi="Calibri" w:cs="Calibri"/>
              </w:rPr>
              <w:t>Difference between expected and actual experience</w:t>
            </w:r>
          </w:p>
        </w:tc>
        <w:tc>
          <w:tcPr>
            <w:tcW w:w="1117" w:type="dxa"/>
            <w:tcBorders>
              <w:top w:val="nil"/>
              <w:left w:val="nil"/>
              <w:bottom w:val="nil"/>
              <w:right w:val="nil"/>
            </w:tcBorders>
            <w:shd w:val="clear" w:color="000000" w:fill="FFFFFF"/>
            <w:noWrap/>
            <w:vAlign w:val="bottom"/>
            <w:hideMark/>
          </w:tcPr>
          <w:p w14:paraId="7DC4A1F3"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401</w:t>
            </w:r>
          </w:p>
        </w:tc>
        <w:tc>
          <w:tcPr>
            <w:tcW w:w="1040" w:type="dxa"/>
            <w:tcBorders>
              <w:top w:val="nil"/>
              <w:left w:val="nil"/>
              <w:bottom w:val="nil"/>
              <w:right w:val="nil"/>
            </w:tcBorders>
            <w:shd w:val="clear" w:color="000000" w:fill="FFFFFF"/>
            <w:noWrap/>
            <w:vAlign w:val="bottom"/>
            <w:hideMark/>
          </w:tcPr>
          <w:p w14:paraId="7B85D93D"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1,219</w:t>
            </w:r>
          </w:p>
        </w:tc>
        <w:tc>
          <w:tcPr>
            <w:tcW w:w="936" w:type="dxa"/>
            <w:tcBorders>
              <w:top w:val="nil"/>
              <w:left w:val="nil"/>
              <w:bottom w:val="nil"/>
              <w:right w:val="nil"/>
            </w:tcBorders>
            <w:shd w:val="clear" w:color="000000" w:fill="FFFFFF"/>
            <w:noWrap/>
            <w:vAlign w:val="bottom"/>
            <w:hideMark/>
          </w:tcPr>
          <w:p w14:paraId="58EC0400"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1,620</w:t>
            </w:r>
          </w:p>
        </w:tc>
        <w:tc>
          <w:tcPr>
            <w:tcW w:w="1153" w:type="dxa"/>
            <w:tcBorders>
              <w:top w:val="nil"/>
              <w:left w:val="nil"/>
              <w:bottom w:val="nil"/>
              <w:right w:val="nil"/>
            </w:tcBorders>
            <w:shd w:val="clear" w:color="000000" w:fill="FFFFFF"/>
            <w:noWrap/>
            <w:vAlign w:val="bottom"/>
            <w:hideMark/>
          </w:tcPr>
          <w:p w14:paraId="7162642A"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29,598</w:t>
            </w:r>
          </w:p>
        </w:tc>
      </w:tr>
      <w:tr w:rsidR="00721CFD" w:rsidRPr="00C830C0" w14:paraId="260B9E05" w14:textId="77777777" w:rsidTr="007B5BB3">
        <w:trPr>
          <w:trHeight w:val="306"/>
        </w:trPr>
        <w:tc>
          <w:tcPr>
            <w:tcW w:w="5183" w:type="dxa"/>
            <w:tcBorders>
              <w:top w:val="nil"/>
              <w:left w:val="nil"/>
              <w:bottom w:val="nil"/>
              <w:right w:val="nil"/>
            </w:tcBorders>
            <w:shd w:val="clear" w:color="000000" w:fill="FFFFFF"/>
            <w:vAlign w:val="bottom"/>
          </w:tcPr>
          <w:p w14:paraId="13DBA91A" w14:textId="77777777" w:rsidR="00721CFD" w:rsidRPr="00A93FB3" w:rsidRDefault="00721CFD" w:rsidP="007B5BB3">
            <w:pPr>
              <w:ind w:left="168"/>
              <w:rPr>
                <w:rFonts w:ascii="Calibri" w:eastAsia="Times New Roman" w:hAnsi="Calibri" w:cs="Calibri"/>
              </w:rPr>
            </w:pPr>
            <w:r w:rsidRPr="00A93FB3">
              <w:rPr>
                <w:rFonts w:ascii="Calibri" w:eastAsia="Times New Roman" w:hAnsi="Calibri" w:cs="Calibri"/>
              </w:rPr>
              <w:t>Net difference between projected and actual earnings on plan investments</w:t>
            </w:r>
          </w:p>
        </w:tc>
        <w:tc>
          <w:tcPr>
            <w:tcW w:w="1117" w:type="dxa"/>
            <w:tcBorders>
              <w:top w:val="nil"/>
              <w:left w:val="nil"/>
              <w:bottom w:val="nil"/>
              <w:right w:val="nil"/>
            </w:tcBorders>
            <w:shd w:val="clear" w:color="000000" w:fill="FFFFFF"/>
            <w:noWrap/>
            <w:vAlign w:val="bottom"/>
          </w:tcPr>
          <w:p w14:paraId="6CF31539"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c>
          <w:tcPr>
            <w:tcW w:w="1040" w:type="dxa"/>
            <w:tcBorders>
              <w:top w:val="nil"/>
              <w:left w:val="nil"/>
              <w:bottom w:val="nil"/>
              <w:right w:val="nil"/>
            </w:tcBorders>
            <w:shd w:val="clear" w:color="000000" w:fill="FFFFFF"/>
            <w:noWrap/>
            <w:vAlign w:val="bottom"/>
          </w:tcPr>
          <w:p w14:paraId="44821030"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c>
          <w:tcPr>
            <w:tcW w:w="936" w:type="dxa"/>
            <w:tcBorders>
              <w:top w:val="nil"/>
              <w:left w:val="nil"/>
              <w:bottom w:val="nil"/>
              <w:right w:val="nil"/>
            </w:tcBorders>
            <w:shd w:val="clear" w:color="000000" w:fill="FFFFFF"/>
            <w:noWrap/>
            <w:vAlign w:val="bottom"/>
          </w:tcPr>
          <w:p w14:paraId="4CB3CB3E"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p>
        </w:tc>
        <w:tc>
          <w:tcPr>
            <w:tcW w:w="1153" w:type="dxa"/>
            <w:tcBorders>
              <w:top w:val="nil"/>
              <w:left w:val="nil"/>
              <w:bottom w:val="nil"/>
              <w:right w:val="nil"/>
            </w:tcBorders>
            <w:shd w:val="clear" w:color="000000" w:fill="FFFFFF"/>
            <w:noWrap/>
            <w:vAlign w:val="bottom"/>
          </w:tcPr>
          <w:p w14:paraId="2888E024"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14,209</w:t>
            </w:r>
          </w:p>
        </w:tc>
      </w:tr>
      <w:tr w:rsidR="00721CFD" w:rsidRPr="00C830C0" w14:paraId="633286CE" w14:textId="77777777" w:rsidTr="007B5BB3">
        <w:trPr>
          <w:trHeight w:val="288"/>
        </w:trPr>
        <w:tc>
          <w:tcPr>
            <w:tcW w:w="5183" w:type="dxa"/>
            <w:tcBorders>
              <w:top w:val="single" w:sz="4" w:space="0" w:color="00688D"/>
              <w:left w:val="nil"/>
              <w:bottom w:val="single" w:sz="4" w:space="0" w:color="00688D"/>
              <w:right w:val="nil"/>
            </w:tcBorders>
            <w:shd w:val="clear" w:color="000000" w:fill="FFFFFF"/>
            <w:noWrap/>
            <w:vAlign w:val="bottom"/>
            <w:hideMark/>
          </w:tcPr>
          <w:p w14:paraId="26B9F099" w14:textId="77777777" w:rsidR="00721CFD" w:rsidRPr="00A93FB3" w:rsidRDefault="00721CFD" w:rsidP="007B5BB3">
            <w:pPr>
              <w:ind w:firstLineChars="200" w:firstLine="440"/>
              <w:rPr>
                <w:rFonts w:ascii="Calibri" w:eastAsia="Times New Roman" w:hAnsi="Calibri" w:cs="Calibri"/>
              </w:rPr>
            </w:pPr>
            <w:r w:rsidRPr="00A93FB3">
              <w:rPr>
                <w:rFonts w:ascii="Calibri" w:eastAsia="Times New Roman" w:hAnsi="Calibri" w:cs="Calibri"/>
              </w:rPr>
              <w:t>Total deferred inflows of resources</w:t>
            </w:r>
          </w:p>
        </w:tc>
        <w:tc>
          <w:tcPr>
            <w:tcW w:w="1117" w:type="dxa"/>
            <w:tcBorders>
              <w:top w:val="single" w:sz="4" w:space="0" w:color="00688D"/>
              <w:left w:val="nil"/>
              <w:bottom w:val="single" w:sz="4" w:space="0" w:color="00688D"/>
              <w:right w:val="nil"/>
            </w:tcBorders>
            <w:shd w:val="clear" w:color="000000" w:fill="FFFFFF"/>
            <w:noWrap/>
            <w:vAlign w:val="bottom"/>
            <w:hideMark/>
          </w:tcPr>
          <w:p w14:paraId="464FDBB3"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697</w:t>
            </w:r>
          </w:p>
        </w:tc>
        <w:tc>
          <w:tcPr>
            <w:tcW w:w="1040" w:type="dxa"/>
            <w:tcBorders>
              <w:top w:val="single" w:sz="4" w:space="0" w:color="00688D"/>
              <w:left w:val="nil"/>
              <w:bottom w:val="single" w:sz="4" w:space="0" w:color="00688D"/>
              <w:right w:val="nil"/>
            </w:tcBorders>
            <w:shd w:val="clear" w:color="000000" w:fill="FFFFFF"/>
            <w:noWrap/>
            <w:vAlign w:val="bottom"/>
            <w:hideMark/>
          </w:tcPr>
          <w:p w14:paraId="00AC2BC3"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1,219</w:t>
            </w:r>
          </w:p>
        </w:tc>
        <w:tc>
          <w:tcPr>
            <w:tcW w:w="936" w:type="dxa"/>
            <w:tcBorders>
              <w:top w:val="single" w:sz="4" w:space="0" w:color="00688D"/>
              <w:left w:val="nil"/>
              <w:bottom w:val="single" w:sz="4" w:space="0" w:color="00688D"/>
              <w:right w:val="nil"/>
            </w:tcBorders>
            <w:shd w:val="clear" w:color="000000" w:fill="FFFFFF"/>
            <w:noWrap/>
            <w:vAlign w:val="bottom"/>
            <w:hideMark/>
          </w:tcPr>
          <w:p w14:paraId="68178120"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1,916</w:t>
            </w:r>
          </w:p>
        </w:tc>
        <w:tc>
          <w:tcPr>
            <w:tcW w:w="1153" w:type="dxa"/>
            <w:tcBorders>
              <w:top w:val="single" w:sz="4" w:space="0" w:color="00688D"/>
              <w:left w:val="nil"/>
              <w:bottom w:val="single" w:sz="4" w:space="0" w:color="00688D"/>
              <w:right w:val="nil"/>
            </w:tcBorders>
            <w:shd w:val="clear" w:color="000000" w:fill="FFFFFF"/>
            <w:noWrap/>
            <w:vAlign w:val="bottom"/>
            <w:hideMark/>
          </w:tcPr>
          <w:p w14:paraId="68C185AF"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51,094</w:t>
            </w:r>
          </w:p>
        </w:tc>
      </w:tr>
      <w:tr w:rsidR="00721CFD" w:rsidRPr="00C830C0" w14:paraId="1E9B7D92" w14:textId="77777777" w:rsidTr="007B5BB3">
        <w:trPr>
          <w:trHeight w:val="300"/>
        </w:trPr>
        <w:tc>
          <w:tcPr>
            <w:tcW w:w="5183" w:type="dxa"/>
            <w:tcBorders>
              <w:top w:val="nil"/>
              <w:left w:val="nil"/>
              <w:bottom w:val="double" w:sz="6" w:space="0" w:color="00688D"/>
              <w:right w:val="nil"/>
            </w:tcBorders>
            <w:shd w:val="clear" w:color="000000" w:fill="FFFFFF"/>
            <w:noWrap/>
            <w:vAlign w:val="bottom"/>
            <w:hideMark/>
          </w:tcPr>
          <w:p w14:paraId="246A6CD2" w14:textId="77777777" w:rsidR="00721CFD" w:rsidRPr="00A93FB3" w:rsidRDefault="00721CFD" w:rsidP="007B5BB3">
            <w:pPr>
              <w:rPr>
                <w:rFonts w:ascii="Calibri" w:eastAsia="Times New Roman" w:hAnsi="Calibri" w:cs="Calibri"/>
              </w:rPr>
            </w:pPr>
            <w:r w:rsidRPr="00A93FB3">
              <w:rPr>
                <w:rFonts w:ascii="Calibri" w:eastAsia="Times New Roman" w:hAnsi="Calibri" w:cs="Calibri"/>
              </w:rPr>
              <w:t>Net deferred outflows (inflows)</w:t>
            </w:r>
          </w:p>
        </w:tc>
        <w:tc>
          <w:tcPr>
            <w:tcW w:w="1117" w:type="dxa"/>
            <w:tcBorders>
              <w:top w:val="nil"/>
              <w:left w:val="nil"/>
              <w:bottom w:val="double" w:sz="6" w:space="0" w:color="00688D"/>
              <w:right w:val="nil"/>
            </w:tcBorders>
            <w:shd w:val="clear" w:color="000000" w:fill="FFFFFF"/>
            <w:noWrap/>
            <w:vAlign w:val="bottom"/>
            <w:hideMark/>
          </w:tcPr>
          <w:p w14:paraId="21DD81EB"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$1,965</w:t>
            </w:r>
          </w:p>
        </w:tc>
        <w:tc>
          <w:tcPr>
            <w:tcW w:w="1040" w:type="dxa"/>
            <w:tcBorders>
              <w:top w:val="nil"/>
              <w:left w:val="nil"/>
              <w:bottom w:val="double" w:sz="6" w:space="0" w:color="00688D"/>
              <w:right w:val="nil"/>
            </w:tcBorders>
            <w:shd w:val="clear" w:color="000000" w:fill="FFFFFF"/>
            <w:noWrap/>
            <w:vAlign w:val="bottom"/>
            <w:hideMark/>
          </w:tcPr>
          <w:p w14:paraId="49CDCEBD"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$(1,219)</w:t>
            </w:r>
          </w:p>
        </w:tc>
        <w:tc>
          <w:tcPr>
            <w:tcW w:w="936" w:type="dxa"/>
            <w:tcBorders>
              <w:top w:val="nil"/>
              <w:left w:val="nil"/>
              <w:bottom w:val="double" w:sz="6" w:space="0" w:color="00688D"/>
              <w:right w:val="nil"/>
            </w:tcBorders>
            <w:shd w:val="clear" w:color="000000" w:fill="FFFFFF"/>
            <w:noWrap/>
            <w:vAlign w:val="bottom"/>
            <w:hideMark/>
          </w:tcPr>
          <w:p w14:paraId="7781159A" w14:textId="2A3DFD78"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w:t>
            </w:r>
            <w:r w:rsidR="000E6F2B">
              <w:rPr>
                <w:rFonts w:ascii="Calibri" w:eastAsia="Times New Roman" w:hAnsi="Calibri" w:cs="Calibri"/>
              </w:rPr>
              <w:t xml:space="preserve">   </w:t>
            </w:r>
            <w:r w:rsidRPr="00A93FB3">
              <w:rPr>
                <w:rFonts w:ascii="Calibri" w:eastAsia="Times New Roman" w:hAnsi="Calibri" w:cs="Calibri"/>
              </w:rPr>
              <w:t xml:space="preserve"> 746</w:t>
            </w:r>
          </w:p>
        </w:tc>
        <w:tc>
          <w:tcPr>
            <w:tcW w:w="1153" w:type="dxa"/>
            <w:tcBorders>
              <w:top w:val="nil"/>
              <w:left w:val="nil"/>
              <w:bottom w:val="double" w:sz="6" w:space="0" w:color="00688D"/>
              <w:right w:val="nil"/>
            </w:tcBorders>
            <w:shd w:val="clear" w:color="000000" w:fill="FFFFFF"/>
            <w:noWrap/>
            <w:vAlign w:val="bottom"/>
            <w:hideMark/>
          </w:tcPr>
          <w:p w14:paraId="2E26B932" w14:textId="77777777" w:rsidR="00721CFD" w:rsidRPr="00A93FB3" w:rsidRDefault="00721CFD" w:rsidP="007B5BB3">
            <w:pPr>
              <w:jc w:val="right"/>
              <w:rPr>
                <w:rFonts w:ascii="Calibri" w:eastAsia="Times New Roman" w:hAnsi="Calibri" w:cs="Calibri"/>
              </w:rPr>
            </w:pPr>
            <w:r w:rsidRPr="00A93FB3">
              <w:rPr>
                <w:rFonts w:ascii="Calibri" w:eastAsia="Times New Roman" w:hAnsi="Calibri" w:cs="Calibri"/>
              </w:rPr>
              <w:t>$(39,580)</w:t>
            </w:r>
          </w:p>
        </w:tc>
      </w:tr>
    </w:tbl>
    <w:p w14:paraId="4E2D0BAD" w14:textId="77777777" w:rsidR="00721CFD" w:rsidRDefault="00721CFD" w:rsidP="00721CFD">
      <w:pPr>
        <w:tabs>
          <w:tab w:val="left" w:pos="900"/>
        </w:tabs>
        <w:spacing w:before="240" w:after="240"/>
        <w:rPr>
          <w:rFonts w:cstheme="minorHAnsi"/>
          <w:sz w:val="26"/>
          <w:szCs w:val="26"/>
        </w:rPr>
      </w:pPr>
      <w:r w:rsidRPr="00F54559">
        <w:rPr>
          <w:rFonts w:cstheme="minorHAnsi"/>
          <w:sz w:val="24"/>
        </w:rPr>
        <w:t>Deferred outflows of resources and deferred inflows of resources related to pensions and OPEB will be recognized in pension expense and postemployment health expense, respectively, during the years ending June 30 as follows:</w:t>
      </w:r>
      <w:r>
        <w:rPr>
          <w:rFonts w:cstheme="minorHAnsi"/>
          <w:sz w:val="26"/>
          <w:szCs w:val="26"/>
        </w:rPr>
        <w:fldChar w:fldCharType="begin"/>
      </w:r>
      <w:r>
        <w:rPr>
          <w:rFonts w:cstheme="minorHAnsi"/>
          <w:sz w:val="26"/>
          <w:szCs w:val="26"/>
        </w:rPr>
        <w:fldChar w:fldCharType="end"/>
      </w:r>
    </w:p>
    <w:tbl>
      <w:tblPr>
        <w:tblW w:w="5760" w:type="dxa"/>
        <w:jc w:val="center"/>
        <w:tblLayout w:type="fixed"/>
        <w:tblLook w:val="04A0" w:firstRow="1" w:lastRow="0" w:firstColumn="1" w:lastColumn="0" w:noHBand="0" w:noVBand="1"/>
      </w:tblPr>
      <w:tblGrid>
        <w:gridCol w:w="1350"/>
        <w:gridCol w:w="1260"/>
        <w:gridCol w:w="1080"/>
        <w:gridCol w:w="1080"/>
        <w:gridCol w:w="990"/>
      </w:tblGrid>
      <w:tr w:rsidR="00721CFD" w:rsidRPr="00560663" w14:paraId="2018E755" w14:textId="77777777" w:rsidTr="00F96F8B">
        <w:trPr>
          <w:trHeight w:val="876"/>
          <w:tblHeader/>
          <w:jc w:val="center"/>
        </w:trPr>
        <w:tc>
          <w:tcPr>
            <w:tcW w:w="1350" w:type="dxa"/>
            <w:tcBorders>
              <w:top w:val="nil"/>
              <w:left w:val="nil"/>
              <w:bottom w:val="single" w:sz="12" w:space="0" w:color="00688D"/>
              <w:right w:val="nil"/>
            </w:tcBorders>
            <w:shd w:val="clear" w:color="000000" w:fill="FFFFFF"/>
            <w:vAlign w:val="bottom"/>
            <w:hideMark/>
          </w:tcPr>
          <w:p w14:paraId="3125CA2F" w14:textId="77777777" w:rsidR="00721CFD" w:rsidRPr="009F2BED" w:rsidRDefault="00721CFD" w:rsidP="007B5BB3">
            <w:pPr>
              <w:jc w:val="center"/>
              <w:rPr>
                <w:rFonts w:ascii="Calibri" w:eastAsia="Times New Roman" w:hAnsi="Calibri" w:cs="Calibri"/>
                <w:bCs/>
                <w:color w:val="0D0D0D"/>
              </w:rPr>
            </w:pPr>
            <w:r w:rsidRPr="009F2BED">
              <w:rPr>
                <w:rFonts w:ascii="Calibri" w:eastAsia="Times New Roman" w:hAnsi="Calibri" w:cs="Calibri"/>
                <w:bCs/>
                <w:color w:val="0D0D0D"/>
              </w:rPr>
              <w:t>Year Ending June 30:</w:t>
            </w:r>
          </w:p>
        </w:tc>
        <w:tc>
          <w:tcPr>
            <w:tcW w:w="1260" w:type="dxa"/>
            <w:tcBorders>
              <w:top w:val="nil"/>
              <w:left w:val="nil"/>
              <w:bottom w:val="single" w:sz="12" w:space="0" w:color="00688D"/>
              <w:right w:val="nil"/>
            </w:tcBorders>
            <w:shd w:val="clear" w:color="000000" w:fill="FFFFFF"/>
            <w:vAlign w:val="bottom"/>
            <w:hideMark/>
          </w:tcPr>
          <w:p w14:paraId="11CA3ADA" w14:textId="77777777" w:rsidR="00721CFD" w:rsidRPr="009F2BED" w:rsidRDefault="00721CFD" w:rsidP="007B5BB3">
            <w:pPr>
              <w:jc w:val="center"/>
              <w:rPr>
                <w:rFonts w:ascii="Calibri" w:eastAsia="Times New Roman" w:hAnsi="Calibri" w:cs="Calibri"/>
                <w:bCs/>
                <w:color w:val="0D0D0D"/>
              </w:rPr>
            </w:pPr>
            <w:r w:rsidRPr="009F2BED">
              <w:rPr>
                <w:rFonts w:ascii="Calibri" w:eastAsia="Times New Roman" w:hAnsi="Calibri" w:cs="Calibri"/>
                <w:bCs/>
                <w:color w:val="0D0D0D"/>
              </w:rPr>
              <w:t>Incentive Retirement Plan</w:t>
            </w:r>
          </w:p>
        </w:tc>
        <w:tc>
          <w:tcPr>
            <w:tcW w:w="1080" w:type="dxa"/>
            <w:tcBorders>
              <w:top w:val="nil"/>
              <w:left w:val="nil"/>
              <w:bottom w:val="single" w:sz="12" w:space="0" w:color="00688D"/>
              <w:right w:val="nil"/>
            </w:tcBorders>
            <w:shd w:val="clear" w:color="000000" w:fill="FFFFFF"/>
            <w:vAlign w:val="bottom"/>
            <w:hideMark/>
          </w:tcPr>
          <w:p w14:paraId="16408581" w14:textId="77777777" w:rsidR="00721CFD" w:rsidRPr="009F2BED" w:rsidRDefault="00721CFD" w:rsidP="007B5BB3">
            <w:pPr>
              <w:jc w:val="center"/>
              <w:rPr>
                <w:rFonts w:ascii="Calibri" w:eastAsia="Times New Roman" w:hAnsi="Calibri" w:cs="Calibri"/>
                <w:bCs/>
                <w:color w:val="0D0D0D"/>
              </w:rPr>
            </w:pPr>
            <w:r w:rsidRPr="009F2BED">
              <w:rPr>
                <w:rFonts w:ascii="Calibri" w:eastAsia="Times New Roman" w:hAnsi="Calibri" w:cs="Calibri"/>
                <w:bCs/>
                <w:color w:val="0D0D0D"/>
              </w:rPr>
              <w:t>Defined Benefit Plan</w:t>
            </w:r>
          </w:p>
        </w:tc>
        <w:tc>
          <w:tcPr>
            <w:tcW w:w="1080" w:type="dxa"/>
            <w:tcBorders>
              <w:top w:val="nil"/>
              <w:left w:val="nil"/>
              <w:bottom w:val="single" w:sz="12" w:space="0" w:color="00688D"/>
              <w:right w:val="nil"/>
            </w:tcBorders>
            <w:shd w:val="clear" w:color="000000" w:fill="FFFFFF"/>
            <w:vAlign w:val="bottom"/>
            <w:hideMark/>
          </w:tcPr>
          <w:p w14:paraId="444E6434" w14:textId="77777777" w:rsidR="00721CFD" w:rsidRPr="009F2BED" w:rsidRDefault="00721CFD" w:rsidP="007B5BB3">
            <w:pPr>
              <w:jc w:val="center"/>
              <w:rPr>
                <w:rFonts w:ascii="Calibri" w:eastAsia="Times New Roman" w:hAnsi="Calibri" w:cs="Calibri"/>
                <w:bCs/>
                <w:color w:val="0D0D0D"/>
              </w:rPr>
            </w:pPr>
            <w:r w:rsidRPr="009F2BED">
              <w:rPr>
                <w:rFonts w:ascii="Calibri" w:eastAsia="Times New Roman" w:hAnsi="Calibri" w:cs="Calibri"/>
                <w:bCs/>
                <w:color w:val="0D0D0D"/>
              </w:rPr>
              <w:t>Total Pension</w:t>
            </w:r>
          </w:p>
        </w:tc>
        <w:tc>
          <w:tcPr>
            <w:tcW w:w="990" w:type="dxa"/>
            <w:tcBorders>
              <w:top w:val="nil"/>
              <w:left w:val="nil"/>
              <w:bottom w:val="single" w:sz="12" w:space="0" w:color="00688D"/>
              <w:right w:val="nil"/>
            </w:tcBorders>
            <w:shd w:val="clear" w:color="000000" w:fill="FFFFFF"/>
            <w:vAlign w:val="bottom"/>
            <w:hideMark/>
          </w:tcPr>
          <w:p w14:paraId="0E66FD87" w14:textId="77777777" w:rsidR="00721CFD" w:rsidRPr="009F2BED" w:rsidRDefault="00721CFD" w:rsidP="007B5BB3">
            <w:pPr>
              <w:jc w:val="center"/>
              <w:rPr>
                <w:rFonts w:ascii="Calibri" w:eastAsia="Times New Roman" w:hAnsi="Calibri" w:cs="Calibri"/>
                <w:bCs/>
                <w:color w:val="0D0D0D"/>
              </w:rPr>
            </w:pPr>
            <w:r w:rsidRPr="009F2BED">
              <w:rPr>
                <w:rFonts w:ascii="Calibri" w:eastAsia="Times New Roman" w:hAnsi="Calibri" w:cs="Calibri"/>
                <w:bCs/>
                <w:color w:val="0D0D0D"/>
              </w:rPr>
              <w:t>OPEB</w:t>
            </w:r>
          </w:p>
        </w:tc>
      </w:tr>
      <w:tr w:rsidR="00721CFD" w:rsidRPr="00560663" w14:paraId="639544A4" w14:textId="77777777" w:rsidTr="00F96F8B">
        <w:trPr>
          <w:trHeight w:val="300"/>
          <w:jc w:val="center"/>
        </w:trPr>
        <w:tc>
          <w:tcPr>
            <w:tcW w:w="1350" w:type="dxa"/>
            <w:tcBorders>
              <w:top w:val="nil"/>
              <w:left w:val="nil"/>
              <w:bottom w:val="nil"/>
              <w:right w:val="nil"/>
            </w:tcBorders>
            <w:shd w:val="clear" w:color="000000" w:fill="FFFFFF"/>
            <w:noWrap/>
            <w:vAlign w:val="bottom"/>
            <w:hideMark/>
          </w:tcPr>
          <w:p w14:paraId="766F5FB3" w14:textId="77777777" w:rsidR="00721CFD" w:rsidRPr="00560663" w:rsidRDefault="00721CFD" w:rsidP="007B5BB3">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3</w:t>
            </w:r>
          </w:p>
        </w:tc>
        <w:tc>
          <w:tcPr>
            <w:tcW w:w="1260" w:type="dxa"/>
            <w:tcBorders>
              <w:top w:val="nil"/>
              <w:left w:val="nil"/>
              <w:bottom w:val="nil"/>
              <w:right w:val="nil"/>
            </w:tcBorders>
            <w:shd w:val="clear" w:color="000000" w:fill="FFFFFF"/>
            <w:noWrap/>
            <w:vAlign w:val="bottom"/>
            <w:hideMark/>
          </w:tcPr>
          <w:p w14:paraId="29B73C3B" w14:textId="77777777" w:rsidR="00721CFD" w:rsidRPr="00861E1A" w:rsidRDefault="00721CFD" w:rsidP="007B5BB3">
            <w:pPr>
              <w:jc w:val="right"/>
              <w:rPr>
                <w:rFonts w:ascii="Calibri" w:eastAsia="Times New Roman" w:hAnsi="Calibri" w:cs="Calibri"/>
              </w:rPr>
            </w:pPr>
            <w:r w:rsidRPr="00861E1A">
              <w:rPr>
                <w:rFonts w:ascii="Calibri" w:eastAsia="Times New Roman" w:hAnsi="Calibri" w:cs="Calibri"/>
              </w:rPr>
              <w:t>$    37</w:t>
            </w:r>
            <w:r w:rsidRPr="00A93FB3">
              <w:rPr>
                <w:rFonts w:ascii="Calibri" w:eastAsia="Times New Roman" w:hAnsi="Calibri" w:cs="Calibri"/>
              </w:rPr>
              <w:t>1</w:t>
            </w:r>
          </w:p>
        </w:tc>
        <w:tc>
          <w:tcPr>
            <w:tcW w:w="1080" w:type="dxa"/>
            <w:tcBorders>
              <w:top w:val="nil"/>
              <w:left w:val="nil"/>
              <w:bottom w:val="nil"/>
              <w:right w:val="nil"/>
            </w:tcBorders>
            <w:shd w:val="clear" w:color="000000" w:fill="FFFFFF"/>
            <w:noWrap/>
            <w:vAlign w:val="bottom"/>
            <w:hideMark/>
          </w:tcPr>
          <w:p w14:paraId="758E73FB" w14:textId="77777777" w:rsidR="00721CFD" w:rsidRPr="00760C94" w:rsidRDefault="00721CFD" w:rsidP="007B5BB3">
            <w:pPr>
              <w:jc w:val="right"/>
              <w:rPr>
                <w:rFonts w:ascii="Calibri" w:eastAsia="Times New Roman" w:hAnsi="Calibri" w:cs="Calibri"/>
              </w:rPr>
            </w:pPr>
            <w:r w:rsidRPr="003959B0">
              <w:rPr>
                <w:rFonts w:ascii="Calibri" w:eastAsia="Times New Roman" w:hAnsi="Calibri" w:cs="Calibri"/>
              </w:rPr>
              <w:t>$   401</w:t>
            </w:r>
          </w:p>
        </w:tc>
        <w:tc>
          <w:tcPr>
            <w:tcW w:w="1080" w:type="dxa"/>
            <w:tcBorders>
              <w:top w:val="nil"/>
              <w:left w:val="nil"/>
              <w:bottom w:val="nil"/>
              <w:right w:val="nil"/>
            </w:tcBorders>
            <w:shd w:val="clear" w:color="000000" w:fill="FFFFFF"/>
            <w:noWrap/>
            <w:vAlign w:val="bottom"/>
            <w:hideMark/>
          </w:tcPr>
          <w:p w14:paraId="75044823" w14:textId="77777777" w:rsidR="00721CFD" w:rsidRPr="006E10BF" w:rsidRDefault="00721CFD" w:rsidP="007B5BB3">
            <w:pPr>
              <w:jc w:val="right"/>
              <w:rPr>
                <w:rFonts w:ascii="Calibri" w:eastAsia="Times New Roman" w:hAnsi="Calibri" w:cs="Calibri"/>
              </w:rPr>
            </w:pPr>
            <w:r w:rsidRPr="006E10BF">
              <w:rPr>
                <w:rFonts w:ascii="Calibri" w:eastAsia="Times New Roman" w:hAnsi="Calibri" w:cs="Calibri"/>
              </w:rPr>
              <w:t xml:space="preserve">$     </w:t>
            </w:r>
            <w:r w:rsidRPr="003959B0">
              <w:rPr>
                <w:rFonts w:ascii="Calibri" w:eastAsia="Times New Roman" w:hAnsi="Calibri" w:cs="Calibri"/>
              </w:rPr>
              <w:t>772</w:t>
            </w:r>
          </w:p>
        </w:tc>
        <w:tc>
          <w:tcPr>
            <w:tcW w:w="990" w:type="dxa"/>
            <w:tcBorders>
              <w:top w:val="nil"/>
              <w:left w:val="nil"/>
              <w:bottom w:val="nil"/>
              <w:right w:val="nil"/>
            </w:tcBorders>
            <w:shd w:val="clear" w:color="000000" w:fill="FFFFFF"/>
            <w:noWrap/>
            <w:vAlign w:val="bottom"/>
            <w:hideMark/>
          </w:tcPr>
          <w:p w14:paraId="40504C8B" w14:textId="77777777" w:rsidR="00721CFD" w:rsidRPr="006E10BF" w:rsidRDefault="00721CFD" w:rsidP="007B5BB3">
            <w:pPr>
              <w:jc w:val="right"/>
              <w:rPr>
                <w:rFonts w:ascii="Calibri" w:eastAsia="Times New Roman" w:hAnsi="Calibri" w:cs="Calibri"/>
              </w:rPr>
            </w:pPr>
            <w:r w:rsidRPr="006E10BF">
              <w:rPr>
                <w:rFonts w:ascii="Calibri" w:eastAsia="Times New Roman" w:hAnsi="Calibri" w:cs="Calibri"/>
              </w:rPr>
              <w:t>$(</w:t>
            </w:r>
            <w:r w:rsidRPr="003959B0">
              <w:rPr>
                <w:rFonts w:ascii="Calibri" w:eastAsia="Times New Roman" w:hAnsi="Calibri" w:cs="Calibri"/>
              </w:rPr>
              <w:t>1,559</w:t>
            </w:r>
            <w:r w:rsidRPr="006E10BF">
              <w:rPr>
                <w:rFonts w:ascii="Calibri" w:eastAsia="Times New Roman" w:hAnsi="Calibri" w:cs="Calibri"/>
              </w:rPr>
              <w:t>)</w:t>
            </w:r>
          </w:p>
        </w:tc>
      </w:tr>
      <w:tr w:rsidR="00721CFD" w:rsidRPr="00560663" w14:paraId="519E6F1B" w14:textId="77777777" w:rsidTr="00F96F8B">
        <w:trPr>
          <w:trHeight w:val="288"/>
          <w:jc w:val="center"/>
        </w:trPr>
        <w:tc>
          <w:tcPr>
            <w:tcW w:w="1350" w:type="dxa"/>
            <w:tcBorders>
              <w:top w:val="nil"/>
              <w:left w:val="nil"/>
              <w:bottom w:val="nil"/>
              <w:right w:val="nil"/>
            </w:tcBorders>
            <w:shd w:val="clear" w:color="000000" w:fill="FFFFFF"/>
            <w:noWrap/>
            <w:vAlign w:val="bottom"/>
            <w:hideMark/>
          </w:tcPr>
          <w:p w14:paraId="707720BD" w14:textId="77777777" w:rsidR="00721CFD" w:rsidRPr="00560663" w:rsidRDefault="00721CFD" w:rsidP="007B5BB3">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4</w:t>
            </w:r>
          </w:p>
        </w:tc>
        <w:tc>
          <w:tcPr>
            <w:tcW w:w="1260" w:type="dxa"/>
            <w:tcBorders>
              <w:top w:val="nil"/>
              <w:left w:val="nil"/>
              <w:bottom w:val="nil"/>
              <w:right w:val="nil"/>
            </w:tcBorders>
            <w:shd w:val="clear" w:color="000000" w:fill="FFFFFF"/>
            <w:noWrap/>
            <w:vAlign w:val="bottom"/>
            <w:hideMark/>
          </w:tcPr>
          <w:p w14:paraId="252FF8B5" w14:textId="77777777" w:rsidR="00721CFD" w:rsidRPr="00861E1A" w:rsidRDefault="00721CFD" w:rsidP="007B5BB3">
            <w:pPr>
              <w:jc w:val="right"/>
              <w:rPr>
                <w:rFonts w:ascii="Calibri" w:eastAsia="Times New Roman" w:hAnsi="Calibri" w:cs="Calibri"/>
              </w:rPr>
            </w:pPr>
            <w:r w:rsidRPr="003959B0">
              <w:rPr>
                <w:rFonts w:ascii="Calibri" w:eastAsia="Times New Roman" w:hAnsi="Calibri" w:cs="Calibri"/>
              </w:rPr>
              <w:t>263</w:t>
            </w:r>
          </w:p>
        </w:tc>
        <w:tc>
          <w:tcPr>
            <w:tcW w:w="1080" w:type="dxa"/>
            <w:tcBorders>
              <w:top w:val="nil"/>
              <w:left w:val="nil"/>
              <w:bottom w:val="nil"/>
              <w:right w:val="nil"/>
            </w:tcBorders>
            <w:shd w:val="clear" w:color="000000" w:fill="FFFFFF"/>
            <w:noWrap/>
            <w:vAlign w:val="bottom"/>
            <w:hideMark/>
          </w:tcPr>
          <w:p w14:paraId="3C650FF2" w14:textId="77777777" w:rsidR="00721CFD" w:rsidRPr="00760C94" w:rsidRDefault="00721CFD" w:rsidP="007B5BB3">
            <w:pPr>
              <w:jc w:val="right"/>
              <w:rPr>
                <w:rFonts w:ascii="Calibri" w:eastAsia="Times New Roman" w:hAnsi="Calibri" w:cs="Calibri"/>
              </w:rPr>
            </w:pPr>
            <w:r w:rsidRPr="003959B0">
              <w:rPr>
                <w:rFonts w:ascii="Calibri" w:eastAsia="Times New Roman" w:hAnsi="Calibri" w:cs="Calibri"/>
              </w:rPr>
              <w:t>283</w:t>
            </w:r>
          </w:p>
        </w:tc>
        <w:tc>
          <w:tcPr>
            <w:tcW w:w="1080" w:type="dxa"/>
            <w:tcBorders>
              <w:top w:val="nil"/>
              <w:left w:val="nil"/>
              <w:bottom w:val="nil"/>
              <w:right w:val="nil"/>
            </w:tcBorders>
            <w:shd w:val="clear" w:color="000000" w:fill="FFFFFF"/>
            <w:noWrap/>
            <w:vAlign w:val="bottom"/>
            <w:hideMark/>
          </w:tcPr>
          <w:p w14:paraId="0C2188BD" w14:textId="77777777" w:rsidR="00721CFD" w:rsidRPr="006E10BF" w:rsidRDefault="00721CFD" w:rsidP="007B5BB3">
            <w:pPr>
              <w:jc w:val="right"/>
              <w:rPr>
                <w:rFonts w:ascii="Calibri" w:eastAsia="Times New Roman" w:hAnsi="Calibri" w:cs="Calibri"/>
              </w:rPr>
            </w:pPr>
            <w:r w:rsidRPr="00943CF1">
              <w:rPr>
                <w:rFonts w:ascii="Calibri" w:eastAsia="Times New Roman" w:hAnsi="Calibri" w:cs="Calibri"/>
              </w:rPr>
              <w:t>546</w:t>
            </w:r>
          </w:p>
        </w:tc>
        <w:tc>
          <w:tcPr>
            <w:tcW w:w="990" w:type="dxa"/>
            <w:tcBorders>
              <w:top w:val="nil"/>
              <w:left w:val="nil"/>
              <w:bottom w:val="nil"/>
              <w:right w:val="nil"/>
            </w:tcBorders>
            <w:shd w:val="clear" w:color="000000" w:fill="FFFFFF"/>
            <w:noWrap/>
            <w:vAlign w:val="bottom"/>
            <w:hideMark/>
          </w:tcPr>
          <w:p w14:paraId="7D877B9F" w14:textId="77777777" w:rsidR="00721CFD" w:rsidRPr="006E10BF" w:rsidRDefault="00721CFD" w:rsidP="007B5BB3">
            <w:pPr>
              <w:jc w:val="right"/>
              <w:rPr>
                <w:rFonts w:ascii="Calibri" w:eastAsia="Times New Roman" w:hAnsi="Calibri" w:cs="Calibri"/>
              </w:rPr>
            </w:pPr>
            <w:r w:rsidRPr="006E10BF">
              <w:rPr>
                <w:rFonts w:ascii="Calibri" w:eastAsia="Times New Roman" w:hAnsi="Calibri" w:cs="Calibri"/>
              </w:rPr>
              <w:t>(</w:t>
            </w:r>
            <w:r w:rsidRPr="00943CF1">
              <w:rPr>
                <w:rFonts w:ascii="Calibri" w:eastAsia="Times New Roman" w:hAnsi="Calibri" w:cs="Calibri"/>
              </w:rPr>
              <w:t>1,344</w:t>
            </w:r>
            <w:r w:rsidRPr="006E10BF">
              <w:rPr>
                <w:rFonts w:ascii="Calibri" w:eastAsia="Times New Roman" w:hAnsi="Calibri" w:cs="Calibri"/>
              </w:rPr>
              <w:t>)</w:t>
            </w:r>
          </w:p>
        </w:tc>
      </w:tr>
      <w:tr w:rsidR="00721CFD" w:rsidRPr="00560663" w14:paraId="755B1F3F" w14:textId="77777777" w:rsidTr="00F96F8B">
        <w:trPr>
          <w:trHeight w:val="288"/>
          <w:jc w:val="center"/>
        </w:trPr>
        <w:tc>
          <w:tcPr>
            <w:tcW w:w="1350" w:type="dxa"/>
            <w:tcBorders>
              <w:top w:val="nil"/>
              <w:left w:val="nil"/>
              <w:bottom w:val="nil"/>
              <w:right w:val="nil"/>
            </w:tcBorders>
            <w:shd w:val="clear" w:color="000000" w:fill="FFFFFF"/>
            <w:noWrap/>
            <w:vAlign w:val="bottom"/>
            <w:hideMark/>
          </w:tcPr>
          <w:p w14:paraId="461951D3" w14:textId="77777777" w:rsidR="00721CFD" w:rsidRPr="00560663" w:rsidRDefault="00721CFD" w:rsidP="007B5BB3">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5</w:t>
            </w:r>
          </w:p>
        </w:tc>
        <w:tc>
          <w:tcPr>
            <w:tcW w:w="1260" w:type="dxa"/>
            <w:tcBorders>
              <w:top w:val="nil"/>
              <w:left w:val="nil"/>
              <w:bottom w:val="nil"/>
              <w:right w:val="nil"/>
            </w:tcBorders>
            <w:shd w:val="clear" w:color="000000" w:fill="FFFFFF"/>
            <w:noWrap/>
            <w:vAlign w:val="bottom"/>
            <w:hideMark/>
          </w:tcPr>
          <w:p w14:paraId="5464DE86" w14:textId="77777777" w:rsidR="00721CFD" w:rsidRPr="00861E1A" w:rsidRDefault="00721CFD" w:rsidP="007B5BB3">
            <w:pPr>
              <w:jc w:val="right"/>
              <w:rPr>
                <w:rFonts w:ascii="Calibri" w:eastAsia="Times New Roman" w:hAnsi="Calibri" w:cs="Calibri"/>
              </w:rPr>
            </w:pPr>
            <w:r w:rsidRPr="00943CF1">
              <w:rPr>
                <w:rFonts w:ascii="Calibri" w:eastAsia="Times New Roman" w:hAnsi="Calibri" w:cs="Calibri"/>
              </w:rPr>
              <w:t>224</w:t>
            </w:r>
          </w:p>
        </w:tc>
        <w:tc>
          <w:tcPr>
            <w:tcW w:w="1080" w:type="dxa"/>
            <w:tcBorders>
              <w:top w:val="nil"/>
              <w:left w:val="nil"/>
              <w:bottom w:val="nil"/>
              <w:right w:val="nil"/>
            </w:tcBorders>
            <w:shd w:val="clear" w:color="000000" w:fill="FFFFFF"/>
            <w:noWrap/>
            <w:vAlign w:val="bottom"/>
            <w:hideMark/>
          </w:tcPr>
          <w:p w14:paraId="3CB99079" w14:textId="77777777" w:rsidR="00721CFD" w:rsidRPr="00760C94" w:rsidRDefault="00721CFD" w:rsidP="007B5BB3">
            <w:pPr>
              <w:jc w:val="right"/>
              <w:rPr>
                <w:rFonts w:ascii="Calibri" w:eastAsia="Times New Roman" w:hAnsi="Calibri" w:cs="Calibri"/>
              </w:rPr>
            </w:pPr>
            <w:r w:rsidRPr="00943CF1">
              <w:rPr>
                <w:rFonts w:ascii="Calibri" w:eastAsia="Times New Roman" w:hAnsi="Calibri" w:cs="Calibri"/>
              </w:rPr>
              <w:t>205</w:t>
            </w:r>
          </w:p>
        </w:tc>
        <w:tc>
          <w:tcPr>
            <w:tcW w:w="1080" w:type="dxa"/>
            <w:tcBorders>
              <w:top w:val="nil"/>
              <w:left w:val="nil"/>
              <w:bottom w:val="nil"/>
              <w:right w:val="nil"/>
            </w:tcBorders>
            <w:shd w:val="clear" w:color="000000" w:fill="FFFFFF"/>
            <w:noWrap/>
            <w:vAlign w:val="bottom"/>
            <w:hideMark/>
          </w:tcPr>
          <w:p w14:paraId="35E84AF9" w14:textId="77777777" w:rsidR="00721CFD" w:rsidRPr="006E10BF" w:rsidRDefault="00721CFD" w:rsidP="007B5BB3">
            <w:pPr>
              <w:jc w:val="right"/>
              <w:rPr>
                <w:rFonts w:ascii="Calibri" w:eastAsia="Times New Roman" w:hAnsi="Calibri" w:cs="Calibri"/>
              </w:rPr>
            </w:pPr>
            <w:r w:rsidRPr="00943CF1">
              <w:rPr>
                <w:rFonts w:ascii="Calibri" w:eastAsia="Times New Roman" w:hAnsi="Calibri" w:cs="Calibri"/>
              </w:rPr>
              <w:t>429</w:t>
            </w:r>
          </w:p>
        </w:tc>
        <w:tc>
          <w:tcPr>
            <w:tcW w:w="990" w:type="dxa"/>
            <w:tcBorders>
              <w:top w:val="nil"/>
              <w:left w:val="nil"/>
              <w:bottom w:val="nil"/>
              <w:right w:val="nil"/>
            </w:tcBorders>
            <w:shd w:val="clear" w:color="000000" w:fill="FFFFFF"/>
            <w:noWrap/>
            <w:vAlign w:val="bottom"/>
            <w:hideMark/>
          </w:tcPr>
          <w:p w14:paraId="2B910435" w14:textId="77777777" w:rsidR="00721CFD" w:rsidRPr="006E10BF" w:rsidRDefault="00721CFD" w:rsidP="007B5BB3">
            <w:pPr>
              <w:jc w:val="right"/>
              <w:rPr>
                <w:rFonts w:ascii="Calibri" w:eastAsia="Times New Roman" w:hAnsi="Calibri" w:cs="Calibri"/>
              </w:rPr>
            </w:pPr>
            <w:r w:rsidRPr="006E10BF">
              <w:rPr>
                <w:rFonts w:ascii="Calibri" w:eastAsia="Times New Roman" w:hAnsi="Calibri" w:cs="Calibri"/>
              </w:rPr>
              <w:t>(</w:t>
            </w:r>
            <w:r w:rsidRPr="00943CF1">
              <w:rPr>
                <w:rFonts w:ascii="Calibri" w:eastAsia="Times New Roman" w:hAnsi="Calibri" w:cs="Calibri"/>
              </w:rPr>
              <w:t>2,560</w:t>
            </w:r>
            <w:r w:rsidRPr="006E10BF">
              <w:rPr>
                <w:rFonts w:ascii="Calibri" w:eastAsia="Times New Roman" w:hAnsi="Calibri" w:cs="Calibri"/>
              </w:rPr>
              <w:t>)</w:t>
            </w:r>
          </w:p>
        </w:tc>
      </w:tr>
      <w:tr w:rsidR="00721CFD" w:rsidRPr="00560663" w14:paraId="5DA58750" w14:textId="77777777" w:rsidTr="00F96F8B">
        <w:trPr>
          <w:trHeight w:val="288"/>
          <w:jc w:val="center"/>
        </w:trPr>
        <w:tc>
          <w:tcPr>
            <w:tcW w:w="1350" w:type="dxa"/>
            <w:tcBorders>
              <w:top w:val="nil"/>
              <w:left w:val="nil"/>
              <w:bottom w:val="nil"/>
              <w:right w:val="nil"/>
            </w:tcBorders>
            <w:shd w:val="clear" w:color="000000" w:fill="FFFFFF"/>
            <w:noWrap/>
            <w:vAlign w:val="bottom"/>
            <w:hideMark/>
          </w:tcPr>
          <w:p w14:paraId="43CAA45B" w14:textId="77777777" w:rsidR="00721CFD" w:rsidRPr="00560663" w:rsidRDefault="00721CFD" w:rsidP="007B5BB3">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6</w:t>
            </w:r>
          </w:p>
        </w:tc>
        <w:tc>
          <w:tcPr>
            <w:tcW w:w="1260" w:type="dxa"/>
            <w:tcBorders>
              <w:top w:val="nil"/>
              <w:left w:val="nil"/>
              <w:bottom w:val="nil"/>
              <w:right w:val="nil"/>
            </w:tcBorders>
            <w:shd w:val="clear" w:color="000000" w:fill="FFFFFF"/>
            <w:noWrap/>
            <w:vAlign w:val="bottom"/>
            <w:hideMark/>
          </w:tcPr>
          <w:p w14:paraId="50100343" w14:textId="77777777" w:rsidR="00721CFD" w:rsidRPr="00861E1A" w:rsidRDefault="00721CFD" w:rsidP="007B5BB3">
            <w:pPr>
              <w:jc w:val="right"/>
              <w:rPr>
                <w:rFonts w:ascii="Calibri" w:eastAsia="Times New Roman" w:hAnsi="Calibri" w:cs="Calibri"/>
              </w:rPr>
            </w:pPr>
            <w:r w:rsidRPr="00943CF1">
              <w:rPr>
                <w:rFonts w:ascii="Calibri" w:eastAsia="Times New Roman" w:hAnsi="Calibri" w:cs="Calibri"/>
              </w:rPr>
              <w:t>166</w:t>
            </w:r>
          </w:p>
        </w:tc>
        <w:tc>
          <w:tcPr>
            <w:tcW w:w="1080" w:type="dxa"/>
            <w:tcBorders>
              <w:top w:val="nil"/>
              <w:left w:val="nil"/>
              <w:bottom w:val="nil"/>
              <w:right w:val="nil"/>
            </w:tcBorders>
            <w:shd w:val="clear" w:color="000000" w:fill="FFFFFF"/>
            <w:noWrap/>
            <w:vAlign w:val="bottom"/>
            <w:hideMark/>
          </w:tcPr>
          <w:p w14:paraId="1159F0C4" w14:textId="77777777" w:rsidR="00721CFD" w:rsidRPr="00760C94" w:rsidRDefault="00721CFD" w:rsidP="007B5BB3">
            <w:pPr>
              <w:jc w:val="right"/>
              <w:rPr>
                <w:rFonts w:ascii="Calibri" w:eastAsia="Times New Roman" w:hAnsi="Calibri" w:cs="Calibri"/>
              </w:rPr>
            </w:pPr>
            <w:r w:rsidRPr="00943CF1">
              <w:rPr>
                <w:rFonts w:ascii="Calibri" w:eastAsia="Times New Roman" w:hAnsi="Calibri" w:cs="Calibri"/>
              </w:rPr>
              <w:t>653</w:t>
            </w:r>
          </w:p>
        </w:tc>
        <w:tc>
          <w:tcPr>
            <w:tcW w:w="1080" w:type="dxa"/>
            <w:tcBorders>
              <w:top w:val="nil"/>
              <w:left w:val="nil"/>
              <w:bottom w:val="nil"/>
              <w:right w:val="nil"/>
            </w:tcBorders>
            <w:shd w:val="clear" w:color="000000" w:fill="FFFFFF"/>
            <w:noWrap/>
            <w:vAlign w:val="bottom"/>
            <w:hideMark/>
          </w:tcPr>
          <w:p w14:paraId="4276575C" w14:textId="77777777" w:rsidR="00721CFD" w:rsidRPr="006E10BF" w:rsidRDefault="00721CFD" w:rsidP="007B5BB3">
            <w:pPr>
              <w:jc w:val="right"/>
              <w:rPr>
                <w:rFonts w:ascii="Calibri" w:eastAsia="Times New Roman" w:hAnsi="Calibri" w:cs="Calibri"/>
              </w:rPr>
            </w:pPr>
            <w:r w:rsidRPr="00943CF1">
              <w:rPr>
                <w:rFonts w:ascii="Calibri" w:eastAsia="Times New Roman" w:hAnsi="Calibri" w:cs="Calibri"/>
              </w:rPr>
              <w:t>819</w:t>
            </w:r>
          </w:p>
        </w:tc>
        <w:tc>
          <w:tcPr>
            <w:tcW w:w="990" w:type="dxa"/>
            <w:tcBorders>
              <w:top w:val="nil"/>
              <w:left w:val="nil"/>
              <w:bottom w:val="nil"/>
              <w:right w:val="nil"/>
            </w:tcBorders>
            <w:shd w:val="clear" w:color="000000" w:fill="FFFFFF"/>
            <w:noWrap/>
            <w:vAlign w:val="bottom"/>
            <w:hideMark/>
          </w:tcPr>
          <w:p w14:paraId="51023B30" w14:textId="77777777" w:rsidR="00721CFD" w:rsidRPr="006E10BF" w:rsidRDefault="00721CFD" w:rsidP="007B5BB3">
            <w:pPr>
              <w:jc w:val="right"/>
              <w:rPr>
                <w:rFonts w:ascii="Calibri" w:eastAsia="Times New Roman" w:hAnsi="Calibri" w:cs="Calibri"/>
              </w:rPr>
            </w:pPr>
            <w:r w:rsidRPr="00943CF1">
              <w:rPr>
                <w:rFonts w:ascii="Calibri" w:eastAsia="Times New Roman" w:hAnsi="Calibri" w:cs="Calibri"/>
              </w:rPr>
              <w:t>5,313</w:t>
            </w:r>
          </w:p>
        </w:tc>
      </w:tr>
      <w:tr w:rsidR="00721CFD" w:rsidRPr="00560663" w14:paraId="0753440F" w14:textId="77777777" w:rsidTr="00F96F8B">
        <w:trPr>
          <w:trHeight w:val="288"/>
          <w:jc w:val="center"/>
        </w:trPr>
        <w:tc>
          <w:tcPr>
            <w:tcW w:w="1350" w:type="dxa"/>
            <w:tcBorders>
              <w:top w:val="nil"/>
              <w:left w:val="nil"/>
              <w:bottom w:val="nil"/>
              <w:right w:val="nil"/>
            </w:tcBorders>
            <w:shd w:val="clear" w:color="000000" w:fill="FFFFFF"/>
            <w:noWrap/>
            <w:vAlign w:val="bottom"/>
            <w:hideMark/>
          </w:tcPr>
          <w:p w14:paraId="3244F0F7" w14:textId="77777777" w:rsidR="00721CFD" w:rsidRPr="00560663" w:rsidRDefault="00721CFD" w:rsidP="007B5BB3">
            <w:pPr>
              <w:jc w:val="center"/>
              <w:rPr>
                <w:rFonts w:ascii="Calibri" w:eastAsia="Times New Roman" w:hAnsi="Calibri" w:cs="Calibri"/>
                <w:color w:val="0D0D0D"/>
              </w:rPr>
            </w:pPr>
            <w:r w:rsidRPr="00560663">
              <w:rPr>
                <w:rFonts w:ascii="Calibri" w:eastAsia="Times New Roman" w:hAnsi="Calibri" w:cs="Calibri"/>
                <w:color w:val="0D0D0D"/>
              </w:rPr>
              <w:t>202</w:t>
            </w:r>
            <w:r>
              <w:rPr>
                <w:rFonts w:ascii="Calibri" w:eastAsia="Times New Roman" w:hAnsi="Calibri" w:cs="Calibri"/>
                <w:color w:val="0D0D0D"/>
              </w:rPr>
              <w:t>7</w:t>
            </w:r>
          </w:p>
        </w:tc>
        <w:tc>
          <w:tcPr>
            <w:tcW w:w="1260" w:type="dxa"/>
            <w:tcBorders>
              <w:top w:val="nil"/>
              <w:left w:val="nil"/>
              <w:bottom w:val="nil"/>
              <w:right w:val="nil"/>
            </w:tcBorders>
            <w:shd w:val="clear" w:color="000000" w:fill="FFFFFF"/>
            <w:noWrap/>
            <w:vAlign w:val="bottom"/>
            <w:hideMark/>
          </w:tcPr>
          <w:p w14:paraId="19DCF299" w14:textId="77777777" w:rsidR="00721CFD" w:rsidRPr="00861E1A" w:rsidRDefault="00721CFD" w:rsidP="007B5BB3">
            <w:pPr>
              <w:jc w:val="right"/>
              <w:rPr>
                <w:rFonts w:ascii="Calibri" w:eastAsia="Times New Roman" w:hAnsi="Calibri" w:cs="Calibri"/>
              </w:rPr>
            </w:pPr>
            <w:r w:rsidRPr="00943CF1">
              <w:rPr>
                <w:rFonts w:ascii="Calibri" w:eastAsia="Times New Roman" w:hAnsi="Calibri" w:cs="Calibri"/>
              </w:rPr>
              <w:t>(62)</w:t>
            </w:r>
          </w:p>
        </w:tc>
        <w:tc>
          <w:tcPr>
            <w:tcW w:w="1080" w:type="dxa"/>
            <w:tcBorders>
              <w:top w:val="nil"/>
              <w:left w:val="nil"/>
              <w:bottom w:val="nil"/>
              <w:right w:val="nil"/>
            </w:tcBorders>
            <w:shd w:val="clear" w:color="000000" w:fill="FFFFFF"/>
            <w:noWrap/>
            <w:vAlign w:val="bottom"/>
            <w:hideMark/>
          </w:tcPr>
          <w:p w14:paraId="4C539A45" w14:textId="77777777" w:rsidR="00721CFD" w:rsidRPr="00760C94" w:rsidRDefault="00721CFD" w:rsidP="007B5BB3">
            <w:pPr>
              <w:jc w:val="right"/>
              <w:rPr>
                <w:rFonts w:ascii="Calibri" w:eastAsia="Times New Roman" w:hAnsi="Calibri" w:cs="Calibri"/>
              </w:rPr>
            </w:pPr>
            <w:r w:rsidRPr="00760C94">
              <w:rPr>
                <w:rFonts w:ascii="Calibri" w:eastAsia="Times New Roman" w:hAnsi="Calibri" w:cs="Calibri"/>
              </w:rPr>
              <w:t>-</w:t>
            </w:r>
          </w:p>
        </w:tc>
        <w:tc>
          <w:tcPr>
            <w:tcW w:w="1080" w:type="dxa"/>
            <w:tcBorders>
              <w:top w:val="nil"/>
              <w:left w:val="nil"/>
              <w:bottom w:val="nil"/>
              <w:right w:val="nil"/>
            </w:tcBorders>
            <w:shd w:val="clear" w:color="000000" w:fill="FFFFFF"/>
            <w:noWrap/>
            <w:vAlign w:val="bottom"/>
            <w:hideMark/>
          </w:tcPr>
          <w:p w14:paraId="3E5215DE" w14:textId="77777777" w:rsidR="00721CFD" w:rsidRPr="006E10BF" w:rsidRDefault="00721CFD" w:rsidP="007B5BB3">
            <w:pPr>
              <w:jc w:val="right"/>
              <w:rPr>
                <w:rFonts w:ascii="Calibri" w:eastAsia="Times New Roman" w:hAnsi="Calibri" w:cs="Calibri"/>
              </w:rPr>
            </w:pPr>
            <w:r w:rsidRPr="00943CF1">
              <w:rPr>
                <w:rFonts w:ascii="Calibri" w:eastAsia="Times New Roman" w:hAnsi="Calibri" w:cs="Calibri"/>
              </w:rPr>
              <w:t>(62)</w:t>
            </w:r>
          </w:p>
        </w:tc>
        <w:tc>
          <w:tcPr>
            <w:tcW w:w="990" w:type="dxa"/>
            <w:tcBorders>
              <w:top w:val="nil"/>
              <w:left w:val="nil"/>
              <w:bottom w:val="nil"/>
              <w:right w:val="nil"/>
            </w:tcBorders>
            <w:shd w:val="clear" w:color="000000" w:fill="FFFFFF"/>
            <w:noWrap/>
            <w:vAlign w:val="bottom"/>
            <w:hideMark/>
          </w:tcPr>
          <w:p w14:paraId="6E1DC674" w14:textId="77777777" w:rsidR="00721CFD" w:rsidRPr="006E10BF" w:rsidRDefault="00721CFD" w:rsidP="007B5BB3">
            <w:pPr>
              <w:jc w:val="right"/>
              <w:rPr>
                <w:rFonts w:ascii="Calibri" w:eastAsia="Times New Roman" w:hAnsi="Calibri" w:cs="Calibri"/>
              </w:rPr>
            </w:pPr>
            <w:r w:rsidRPr="006E10BF">
              <w:rPr>
                <w:rFonts w:ascii="Calibri" w:eastAsia="Times New Roman" w:hAnsi="Calibri" w:cs="Calibri"/>
              </w:rPr>
              <w:t>(</w:t>
            </w:r>
            <w:r w:rsidRPr="002568B5">
              <w:rPr>
                <w:rFonts w:ascii="Calibri" w:eastAsia="Times New Roman" w:hAnsi="Calibri" w:cs="Calibri"/>
              </w:rPr>
              <w:t>2,0</w:t>
            </w:r>
            <w:r>
              <w:rPr>
                <w:rFonts w:ascii="Calibri" w:eastAsia="Times New Roman" w:hAnsi="Calibri" w:cs="Calibri"/>
              </w:rPr>
              <w:t>99</w:t>
            </w:r>
            <w:r w:rsidRPr="006E10BF">
              <w:rPr>
                <w:rFonts w:ascii="Calibri" w:eastAsia="Times New Roman" w:hAnsi="Calibri" w:cs="Calibri"/>
              </w:rPr>
              <w:t>)</w:t>
            </w:r>
          </w:p>
        </w:tc>
      </w:tr>
      <w:tr w:rsidR="00721CFD" w:rsidRPr="00560663" w14:paraId="61108A6A" w14:textId="77777777" w:rsidTr="00F96F8B">
        <w:trPr>
          <w:trHeight w:val="288"/>
          <w:jc w:val="center"/>
        </w:trPr>
        <w:tc>
          <w:tcPr>
            <w:tcW w:w="1350" w:type="dxa"/>
            <w:tcBorders>
              <w:top w:val="nil"/>
              <w:left w:val="nil"/>
              <w:bottom w:val="nil"/>
              <w:right w:val="nil"/>
            </w:tcBorders>
            <w:shd w:val="clear" w:color="000000" w:fill="FFFFFF"/>
            <w:noWrap/>
            <w:vAlign w:val="bottom"/>
            <w:hideMark/>
          </w:tcPr>
          <w:p w14:paraId="2066A6ED" w14:textId="77777777" w:rsidR="00721CFD" w:rsidRPr="00560663" w:rsidRDefault="00721CFD" w:rsidP="007B5BB3">
            <w:pPr>
              <w:jc w:val="center"/>
              <w:rPr>
                <w:rFonts w:ascii="Calibri" w:eastAsia="Times New Roman" w:hAnsi="Calibri" w:cs="Calibri"/>
                <w:color w:val="0D0D0D"/>
              </w:rPr>
            </w:pPr>
            <w:r w:rsidRPr="00560663">
              <w:rPr>
                <w:rFonts w:ascii="Calibri" w:eastAsia="Times New Roman" w:hAnsi="Calibri" w:cs="Calibri"/>
                <w:color w:val="0D0D0D"/>
              </w:rPr>
              <w:t>Thereafter</w:t>
            </w:r>
          </w:p>
        </w:tc>
        <w:tc>
          <w:tcPr>
            <w:tcW w:w="1260" w:type="dxa"/>
            <w:tcBorders>
              <w:top w:val="nil"/>
              <w:left w:val="nil"/>
              <w:bottom w:val="nil"/>
              <w:right w:val="nil"/>
            </w:tcBorders>
            <w:shd w:val="clear" w:color="000000" w:fill="FFFFFF"/>
            <w:noWrap/>
            <w:vAlign w:val="bottom"/>
            <w:hideMark/>
          </w:tcPr>
          <w:p w14:paraId="1D1EA3C6" w14:textId="77777777" w:rsidR="00721CFD" w:rsidRPr="00861E1A" w:rsidRDefault="00721CFD" w:rsidP="007B5BB3">
            <w:pPr>
              <w:jc w:val="right"/>
              <w:rPr>
                <w:rFonts w:ascii="Calibri" w:eastAsia="Times New Roman" w:hAnsi="Calibri" w:cs="Calibri"/>
              </w:rPr>
            </w:pPr>
            <w:r w:rsidRPr="002568B5">
              <w:rPr>
                <w:rFonts w:ascii="Calibri" w:eastAsia="Times New Roman" w:hAnsi="Calibri" w:cs="Calibri"/>
              </w:rPr>
              <w:t>(</w:t>
            </w:r>
            <w:r>
              <w:rPr>
                <w:rFonts w:ascii="Calibri" w:eastAsia="Times New Roman" w:hAnsi="Calibri" w:cs="Calibri"/>
              </w:rPr>
              <w:t>41</w:t>
            </w:r>
            <w:r w:rsidRPr="002568B5">
              <w:rPr>
                <w:rFonts w:ascii="Calibri" w:eastAsia="Times New Roman" w:hAnsi="Calibri" w:cs="Calibri"/>
              </w:rPr>
              <w:t>)</w:t>
            </w:r>
          </w:p>
        </w:tc>
        <w:tc>
          <w:tcPr>
            <w:tcW w:w="1080" w:type="dxa"/>
            <w:tcBorders>
              <w:top w:val="nil"/>
              <w:left w:val="nil"/>
              <w:bottom w:val="nil"/>
              <w:right w:val="nil"/>
            </w:tcBorders>
            <w:shd w:val="clear" w:color="000000" w:fill="FFFFFF"/>
            <w:noWrap/>
            <w:vAlign w:val="bottom"/>
            <w:hideMark/>
          </w:tcPr>
          <w:p w14:paraId="3B7D95F5" w14:textId="77777777" w:rsidR="00721CFD" w:rsidRPr="00760C94" w:rsidRDefault="00721CFD" w:rsidP="007B5BB3">
            <w:pPr>
              <w:jc w:val="right"/>
              <w:rPr>
                <w:rFonts w:ascii="Calibri" w:eastAsia="Times New Roman" w:hAnsi="Calibri" w:cs="Calibri"/>
              </w:rPr>
            </w:pPr>
            <w:r w:rsidRPr="00760C94">
              <w:rPr>
                <w:rFonts w:ascii="Calibri" w:eastAsia="Times New Roman" w:hAnsi="Calibri" w:cs="Calibri"/>
              </w:rPr>
              <w:t>-</w:t>
            </w:r>
          </w:p>
        </w:tc>
        <w:tc>
          <w:tcPr>
            <w:tcW w:w="1080" w:type="dxa"/>
            <w:tcBorders>
              <w:top w:val="nil"/>
              <w:left w:val="nil"/>
              <w:bottom w:val="nil"/>
              <w:right w:val="nil"/>
            </w:tcBorders>
            <w:shd w:val="clear" w:color="000000" w:fill="FFFFFF"/>
            <w:noWrap/>
            <w:vAlign w:val="bottom"/>
            <w:hideMark/>
          </w:tcPr>
          <w:p w14:paraId="5BEEA63A" w14:textId="77777777" w:rsidR="00721CFD" w:rsidRPr="006E10BF" w:rsidRDefault="00721CFD" w:rsidP="007B5BB3">
            <w:pPr>
              <w:jc w:val="right"/>
              <w:rPr>
                <w:rFonts w:ascii="Calibri" w:eastAsia="Times New Roman" w:hAnsi="Calibri" w:cs="Calibri"/>
              </w:rPr>
            </w:pPr>
            <w:r w:rsidRPr="00943CF1">
              <w:rPr>
                <w:rFonts w:ascii="Calibri" w:eastAsia="Times New Roman" w:hAnsi="Calibri" w:cs="Calibri"/>
              </w:rPr>
              <w:t>(41)</w:t>
            </w:r>
          </w:p>
        </w:tc>
        <w:tc>
          <w:tcPr>
            <w:tcW w:w="990" w:type="dxa"/>
            <w:tcBorders>
              <w:top w:val="nil"/>
              <w:left w:val="nil"/>
              <w:bottom w:val="nil"/>
              <w:right w:val="nil"/>
            </w:tcBorders>
            <w:shd w:val="clear" w:color="000000" w:fill="FFFFFF"/>
            <w:noWrap/>
            <w:vAlign w:val="bottom"/>
            <w:hideMark/>
          </w:tcPr>
          <w:p w14:paraId="6D6BF12F" w14:textId="77777777" w:rsidR="00721CFD" w:rsidRPr="006E10BF" w:rsidRDefault="00721CFD" w:rsidP="007B5BB3">
            <w:pPr>
              <w:jc w:val="right"/>
              <w:rPr>
                <w:rFonts w:ascii="Calibri" w:eastAsia="Times New Roman" w:hAnsi="Calibri" w:cs="Calibri"/>
              </w:rPr>
            </w:pPr>
            <w:r w:rsidRPr="00943CF1">
              <w:rPr>
                <w:rFonts w:ascii="Calibri" w:eastAsia="Times New Roman" w:hAnsi="Calibri" w:cs="Calibri"/>
              </w:rPr>
              <w:t>-</w:t>
            </w:r>
          </w:p>
        </w:tc>
      </w:tr>
      <w:tr w:rsidR="00721CFD" w:rsidRPr="00560663" w14:paraId="71DC406A" w14:textId="77777777" w:rsidTr="00F96F8B">
        <w:trPr>
          <w:trHeight w:val="300"/>
          <w:jc w:val="center"/>
        </w:trPr>
        <w:tc>
          <w:tcPr>
            <w:tcW w:w="1350" w:type="dxa"/>
            <w:tcBorders>
              <w:top w:val="single" w:sz="4" w:space="0" w:color="00688D"/>
              <w:left w:val="nil"/>
              <w:bottom w:val="double" w:sz="6" w:space="0" w:color="00688D"/>
              <w:right w:val="nil"/>
            </w:tcBorders>
            <w:shd w:val="clear" w:color="000000" w:fill="FFFFFF"/>
            <w:noWrap/>
            <w:vAlign w:val="bottom"/>
            <w:hideMark/>
          </w:tcPr>
          <w:p w14:paraId="529AE58A" w14:textId="77777777" w:rsidR="00721CFD" w:rsidRPr="00560663" w:rsidRDefault="00721CFD" w:rsidP="007B5BB3">
            <w:pPr>
              <w:rPr>
                <w:rFonts w:ascii="Calibri" w:eastAsia="Times New Roman" w:hAnsi="Calibri" w:cs="Calibri"/>
                <w:b/>
                <w:bCs/>
                <w:color w:val="0D0D0D"/>
              </w:rPr>
            </w:pPr>
            <w:r w:rsidRPr="00560663">
              <w:rPr>
                <w:rFonts w:ascii="Calibri" w:eastAsia="Times New Roman" w:hAnsi="Calibri" w:cs="Calibri"/>
                <w:b/>
                <w:bCs/>
                <w:color w:val="0D0D0D"/>
              </w:rPr>
              <w:t> </w:t>
            </w:r>
          </w:p>
        </w:tc>
        <w:tc>
          <w:tcPr>
            <w:tcW w:w="1260" w:type="dxa"/>
            <w:tcBorders>
              <w:top w:val="single" w:sz="4" w:space="0" w:color="00688D"/>
              <w:left w:val="nil"/>
              <w:bottom w:val="double" w:sz="6" w:space="0" w:color="00688D"/>
              <w:right w:val="nil"/>
            </w:tcBorders>
            <w:shd w:val="clear" w:color="000000" w:fill="FFFFFF"/>
            <w:noWrap/>
            <w:vAlign w:val="bottom"/>
            <w:hideMark/>
          </w:tcPr>
          <w:p w14:paraId="1B64C197" w14:textId="77777777" w:rsidR="00721CFD" w:rsidRPr="002568B5" w:rsidRDefault="00721CFD" w:rsidP="007B5BB3">
            <w:pPr>
              <w:jc w:val="right"/>
              <w:rPr>
                <w:rFonts w:ascii="Calibri" w:eastAsia="Times New Roman" w:hAnsi="Calibri" w:cs="Calibri"/>
              </w:rPr>
            </w:pPr>
            <w:r w:rsidRPr="002568B5">
              <w:rPr>
                <w:rFonts w:ascii="Calibri" w:eastAsia="Times New Roman" w:hAnsi="Calibri" w:cs="Calibri"/>
              </w:rPr>
              <w:t xml:space="preserve">$ </w:t>
            </w:r>
            <w:r>
              <w:rPr>
                <w:rFonts w:ascii="Calibri" w:eastAsia="Times New Roman" w:hAnsi="Calibri" w:cs="Calibri"/>
              </w:rPr>
              <w:t>921</w:t>
            </w:r>
          </w:p>
        </w:tc>
        <w:tc>
          <w:tcPr>
            <w:tcW w:w="1080" w:type="dxa"/>
            <w:tcBorders>
              <w:top w:val="single" w:sz="4" w:space="0" w:color="00688D"/>
              <w:left w:val="nil"/>
              <w:bottom w:val="double" w:sz="6" w:space="0" w:color="00688D"/>
              <w:right w:val="nil"/>
            </w:tcBorders>
            <w:shd w:val="clear" w:color="000000" w:fill="FFFFFF"/>
            <w:noWrap/>
            <w:vAlign w:val="bottom"/>
            <w:hideMark/>
          </w:tcPr>
          <w:p w14:paraId="03638B43" w14:textId="77777777" w:rsidR="00721CFD" w:rsidRPr="002568B5" w:rsidRDefault="00721CFD" w:rsidP="007B5BB3">
            <w:pPr>
              <w:jc w:val="right"/>
              <w:rPr>
                <w:rFonts w:ascii="Calibri" w:eastAsia="Times New Roman" w:hAnsi="Calibri" w:cs="Calibri"/>
              </w:rPr>
            </w:pPr>
            <w:r w:rsidRPr="002568B5">
              <w:rPr>
                <w:rFonts w:ascii="Calibri" w:eastAsia="Times New Roman" w:hAnsi="Calibri" w:cs="Calibri"/>
              </w:rPr>
              <w:t xml:space="preserve">    $ 1,542</w:t>
            </w:r>
          </w:p>
        </w:tc>
        <w:tc>
          <w:tcPr>
            <w:tcW w:w="1080" w:type="dxa"/>
            <w:tcBorders>
              <w:top w:val="single" w:sz="4" w:space="0" w:color="00688D"/>
              <w:left w:val="nil"/>
              <w:bottom w:val="double" w:sz="6" w:space="0" w:color="00688D"/>
              <w:right w:val="nil"/>
            </w:tcBorders>
            <w:shd w:val="clear" w:color="000000" w:fill="FFFFFF"/>
            <w:noWrap/>
            <w:vAlign w:val="bottom"/>
            <w:hideMark/>
          </w:tcPr>
          <w:p w14:paraId="1CE22ECE" w14:textId="438BD02B" w:rsidR="00721CFD" w:rsidRPr="002568B5" w:rsidRDefault="00721CFD" w:rsidP="006D5ACB">
            <w:pPr>
              <w:jc w:val="right"/>
              <w:rPr>
                <w:rFonts w:ascii="Calibri" w:eastAsia="Times New Roman" w:hAnsi="Calibri" w:cs="Calibri"/>
              </w:rPr>
            </w:pPr>
            <w:r w:rsidRPr="002568B5">
              <w:rPr>
                <w:rFonts w:ascii="Calibri" w:eastAsia="Times New Roman" w:hAnsi="Calibri" w:cs="Calibri"/>
              </w:rPr>
              <w:t xml:space="preserve">$  </w:t>
            </w:r>
            <w:r w:rsidR="00C20A15">
              <w:rPr>
                <w:rFonts w:ascii="Calibri" w:eastAsia="Times New Roman" w:hAnsi="Calibri" w:cs="Calibri"/>
              </w:rPr>
              <w:t>(2,463)</w:t>
            </w:r>
          </w:p>
        </w:tc>
        <w:tc>
          <w:tcPr>
            <w:tcW w:w="990" w:type="dxa"/>
            <w:tcBorders>
              <w:top w:val="single" w:sz="4" w:space="0" w:color="00688D"/>
              <w:left w:val="nil"/>
              <w:bottom w:val="double" w:sz="6" w:space="0" w:color="00688D"/>
              <w:right w:val="nil"/>
            </w:tcBorders>
            <w:shd w:val="clear" w:color="000000" w:fill="FFFFFF"/>
            <w:noWrap/>
            <w:vAlign w:val="bottom"/>
            <w:hideMark/>
          </w:tcPr>
          <w:p w14:paraId="2C2A67C8" w14:textId="77777777" w:rsidR="00721CFD" w:rsidRPr="002568B5" w:rsidRDefault="00721CFD" w:rsidP="007B5BB3">
            <w:pPr>
              <w:jc w:val="right"/>
              <w:rPr>
                <w:rFonts w:ascii="Calibri" w:eastAsia="Times New Roman" w:hAnsi="Calibri" w:cs="Calibri"/>
              </w:rPr>
            </w:pPr>
            <w:r w:rsidRPr="002568B5">
              <w:rPr>
                <w:rFonts w:ascii="Calibri" w:eastAsia="Times New Roman" w:hAnsi="Calibri" w:cs="Calibri"/>
              </w:rPr>
              <w:t>$(2,249)</w:t>
            </w:r>
          </w:p>
        </w:tc>
      </w:tr>
    </w:tbl>
    <w:p w14:paraId="29A01DC4" w14:textId="77777777" w:rsidR="00721CFD" w:rsidRDefault="00721CFD" w:rsidP="00721CFD">
      <w:pPr>
        <w:tabs>
          <w:tab w:val="left" w:pos="0"/>
          <w:tab w:val="left" w:pos="900"/>
        </w:tabs>
        <w:spacing w:before="120" w:after="120"/>
        <w:jc w:val="center"/>
        <w:rPr>
          <w:rFonts w:cstheme="minorHAnsi"/>
          <w:sz w:val="26"/>
          <w:szCs w:val="26"/>
        </w:rPr>
      </w:pPr>
      <w:r>
        <w:rPr>
          <w:rFonts w:cstheme="minorHAnsi"/>
          <w:sz w:val="26"/>
          <w:szCs w:val="26"/>
        </w:rPr>
        <w:br w:type="page"/>
      </w:r>
    </w:p>
    <w:p w14:paraId="7EA2BA65" w14:textId="77777777" w:rsidR="00721CFD" w:rsidRPr="00954D00" w:rsidRDefault="00721CFD" w:rsidP="00721CFD">
      <w:pPr>
        <w:pStyle w:val="AFR2"/>
        <w:rPr>
          <w:rFonts w:cstheme="minorHAnsi"/>
          <w:color w:val="auto"/>
          <w:sz w:val="26"/>
          <w:szCs w:val="26"/>
        </w:rPr>
      </w:pPr>
      <w:r w:rsidRPr="00954D00">
        <w:rPr>
          <w:rFonts w:cstheme="minorHAnsi"/>
          <w:color w:val="auto"/>
          <w:sz w:val="26"/>
          <w:szCs w:val="26"/>
        </w:rPr>
        <w:lastRenderedPageBreak/>
        <w:t>16. COMPONENT UNITS</w:t>
      </w:r>
    </w:p>
    <w:p w14:paraId="43D5BEDC" w14:textId="77777777" w:rsidR="00721CFD" w:rsidRPr="00F54559" w:rsidRDefault="00721CFD" w:rsidP="00721CFD">
      <w:pPr>
        <w:rPr>
          <w:rFonts w:cstheme="minorHAnsi"/>
          <w:sz w:val="24"/>
          <w:highlight w:val="yellow"/>
        </w:rPr>
      </w:pPr>
      <w:r w:rsidRPr="00F54559">
        <w:rPr>
          <w:rFonts w:cstheme="minorHAnsi"/>
          <w:sz w:val="24"/>
        </w:rPr>
        <w:t xml:space="preserve">The System is supported in part by several foundations and alumni associations that raise funds on the System’s behalf. The System determined that one of those entities, the University of Maine Foundation (“the Foundation”), meets the criteria set forth under GASB Statement No. 61, </w:t>
      </w:r>
      <w:r w:rsidRPr="00F54559">
        <w:rPr>
          <w:rFonts w:cstheme="minorHAnsi"/>
          <w:i/>
          <w:sz w:val="24"/>
        </w:rPr>
        <w:t>The Financial Reporting Entity: Omnibus an amendment of GASB Statements No. 14 and No. 34</w:t>
      </w:r>
      <w:r w:rsidRPr="00F54559">
        <w:rPr>
          <w:rFonts w:cstheme="minorHAnsi"/>
          <w:sz w:val="24"/>
        </w:rPr>
        <w:t>, for inclusion as a discretely presented component unit of the System.</w:t>
      </w:r>
    </w:p>
    <w:p w14:paraId="7A07D5A9" w14:textId="77777777" w:rsidR="00721CFD" w:rsidRPr="00F54559" w:rsidRDefault="00721CFD" w:rsidP="00721CFD">
      <w:pPr>
        <w:ind w:left="810"/>
        <w:rPr>
          <w:rFonts w:cstheme="minorHAnsi"/>
          <w:sz w:val="24"/>
          <w:highlight w:val="yellow"/>
        </w:rPr>
      </w:pPr>
    </w:p>
    <w:p w14:paraId="199CA923" w14:textId="745AE687" w:rsidR="00721CFD" w:rsidRPr="00F54559" w:rsidRDefault="00721CFD" w:rsidP="00721CFD">
      <w:pPr>
        <w:rPr>
          <w:rFonts w:cstheme="minorHAnsi"/>
          <w:sz w:val="24"/>
        </w:rPr>
      </w:pPr>
      <w:r w:rsidRPr="00F54559">
        <w:rPr>
          <w:rFonts w:cstheme="minorHAnsi"/>
          <w:sz w:val="24"/>
        </w:rPr>
        <w:t xml:space="preserve">The Foundation is a legally separate, tax-exempt organization, which acts primarily as a fund-raising organization to supplement the resources that are available to the System in support of its programs. The Board of Directors of the Foundation is self-perpetuating and independent of the System’s Board of Trustees. Although the System does not control the timing or amount of receipts from the Foundation, the Foundation holds and invests resources almost entirely for the System’s benefit (specifically the University of Maine); the System is entitled to access a majority of the economic resources held; and the economic resources held are “significant to the System” based on a 5% of net position threshold. </w:t>
      </w:r>
      <w:r>
        <w:rPr>
          <w:rFonts w:cstheme="minorHAnsi"/>
          <w:sz w:val="24"/>
        </w:rPr>
        <w:t>During 2021 t</w:t>
      </w:r>
      <w:r w:rsidRPr="00F54559">
        <w:rPr>
          <w:rFonts w:cstheme="minorHAnsi"/>
          <w:sz w:val="24"/>
        </w:rPr>
        <w:t xml:space="preserve">he Foundation </w:t>
      </w:r>
      <w:r>
        <w:rPr>
          <w:rFonts w:cstheme="minorHAnsi"/>
          <w:sz w:val="24"/>
        </w:rPr>
        <w:t xml:space="preserve">changed their fiscal year end from June 30, 2021 to December 31, 2021 and </w:t>
      </w:r>
      <w:r w:rsidRPr="00F54559">
        <w:rPr>
          <w:rFonts w:cstheme="minorHAnsi"/>
          <w:sz w:val="24"/>
        </w:rPr>
        <w:t xml:space="preserve">has accordingly been discretely presented as a component unit of the System in the accompanying financial statements as of and for the </w:t>
      </w:r>
      <w:r>
        <w:rPr>
          <w:rFonts w:cstheme="minorHAnsi"/>
          <w:sz w:val="24"/>
        </w:rPr>
        <w:t xml:space="preserve">six months and </w:t>
      </w:r>
      <w:r w:rsidRPr="001E1287">
        <w:rPr>
          <w:rFonts w:cstheme="minorHAnsi"/>
          <w:color w:val="0D0D0D" w:themeColor="text1" w:themeTint="F2"/>
          <w:sz w:val="24"/>
        </w:rPr>
        <w:t>year ended</w:t>
      </w:r>
      <w:r w:rsidRPr="001E1287">
        <w:rPr>
          <w:rFonts w:cstheme="minorHAnsi"/>
          <w:color w:val="FF0000"/>
          <w:sz w:val="24"/>
        </w:rPr>
        <w:t xml:space="preserve"> </w:t>
      </w:r>
      <w:r>
        <w:rPr>
          <w:rFonts w:cstheme="minorHAnsi"/>
          <w:sz w:val="24"/>
        </w:rPr>
        <w:t>December 31, 2021</w:t>
      </w:r>
      <w:r w:rsidRPr="00F54559">
        <w:rPr>
          <w:rFonts w:cstheme="minorHAnsi"/>
          <w:sz w:val="24"/>
        </w:rPr>
        <w:t xml:space="preserve"> and </w:t>
      </w:r>
      <w:r>
        <w:rPr>
          <w:rFonts w:cstheme="minorHAnsi"/>
          <w:sz w:val="24"/>
        </w:rPr>
        <w:t xml:space="preserve">June 30, </w:t>
      </w:r>
      <w:r w:rsidRPr="00F54559">
        <w:rPr>
          <w:rFonts w:cstheme="minorHAnsi"/>
          <w:sz w:val="24"/>
        </w:rPr>
        <w:t>20</w:t>
      </w:r>
      <w:r>
        <w:rPr>
          <w:rFonts w:cstheme="minorHAnsi"/>
          <w:sz w:val="24"/>
        </w:rPr>
        <w:t>21</w:t>
      </w:r>
      <w:r w:rsidRPr="00F54559">
        <w:rPr>
          <w:rFonts w:cstheme="minorHAnsi"/>
          <w:sz w:val="24"/>
        </w:rPr>
        <w:t xml:space="preserve">, </w:t>
      </w:r>
      <w:r>
        <w:rPr>
          <w:rFonts w:cstheme="minorHAnsi"/>
          <w:sz w:val="24"/>
        </w:rPr>
        <w:t xml:space="preserve">respectively, </w:t>
      </w:r>
      <w:r w:rsidRPr="00F54559">
        <w:rPr>
          <w:rFonts w:cstheme="minorHAnsi"/>
          <w:sz w:val="24"/>
        </w:rPr>
        <w:t xml:space="preserve">and is reported in separate financial statements as the Foundation reports its financial results under Financial Accounting Standards Board standards rather than GASB standards. Contributions and additions to </w:t>
      </w:r>
      <w:r>
        <w:rPr>
          <w:rFonts w:cstheme="minorHAnsi"/>
          <w:sz w:val="24"/>
        </w:rPr>
        <w:t xml:space="preserve">the Foundation’s </w:t>
      </w:r>
      <w:r w:rsidRPr="00F54559">
        <w:rPr>
          <w:rFonts w:cstheme="minorHAnsi"/>
          <w:sz w:val="24"/>
        </w:rPr>
        <w:t xml:space="preserve">endowments with donor restrictions were </w:t>
      </w:r>
      <w:r w:rsidRPr="00D479C4">
        <w:rPr>
          <w:rFonts w:cstheme="minorHAnsi"/>
          <w:sz w:val="24"/>
        </w:rPr>
        <w:t>$</w:t>
      </w:r>
      <w:r w:rsidRPr="001E1287">
        <w:rPr>
          <w:rFonts w:cstheme="minorHAnsi"/>
          <w:color w:val="0D0D0D" w:themeColor="text1" w:themeTint="F2"/>
          <w:sz w:val="24"/>
        </w:rPr>
        <w:t xml:space="preserve">7,409 for </w:t>
      </w:r>
      <w:r w:rsidR="00051238">
        <w:rPr>
          <w:rFonts w:cstheme="minorHAnsi"/>
          <w:color w:val="0D0D0D" w:themeColor="text1" w:themeTint="F2"/>
          <w:sz w:val="24"/>
        </w:rPr>
        <w:t xml:space="preserve">the six months ending </w:t>
      </w:r>
      <w:r>
        <w:rPr>
          <w:rFonts w:cstheme="minorHAnsi"/>
          <w:color w:val="0D0D0D" w:themeColor="text1" w:themeTint="F2"/>
          <w:sz w:val="24"/>
        </w:rPr>
        <w:t>December 31, 2021</w:t>
      </w:r>
      <w:r w:rsidRPr="001E1287">
        <w:rPr>
          <w:rFonts w:cstheme="minorHAnsi"/>
          <w:color w:val="FF0000"/>
          <w:sz w:val="24"/>
        </w:rPr>
        <w:t xml:space="preserve"> </w:t>
      </w:r>
      <w:r w:rsidRPr="00F54559">
        <w:rPr>
          <w:rFonts w:cstheme="minorHAnsi"/>
          <w:sz w:val="24"/>
        </w:rPr>
        <w:t xml:space="preserve">and </w:t>
      </w:r>
      <w:r w:rsidRPr="00D479C4">
        <w:rPr>
          <w:rFonts w:cstheme="minorHAnsi"/>
          <w:sz w:val="24"/>
        </w:rPr>
        <w:t>$</w:t>
      </w:r>
      <w:r w:rsidRPr="00954D00">
        <w:rPr>
          <w:rFonts w:cstheme="minorHAnsi"/>
          <w:sz w:val="24"/>
        </w:rPr>
        <w:t xml:space="preserve">16,580 </w:t>
      </w:r>
      <w:r w:rsidRPr="00F54559">
        <w:rPr>
          <w:rFonts w:cstheme="minorHAnsi"/>
          <w:sz w:val="24"/>
        </w:rPr>
        <w:t xml:space="preserve">for </w:t>
      </w:r>
      <w:r w:rsidR="00051238">
        <w:rPr>
          <w:rFonts w:cstheme="minorHAnsi"/>
          <w:sz w:val="24"/>
        </w:rPr>
        <w:t xml:space="preserve">the year ending </w:t>
      </w:r>
      <w:r>
        <w:rPr>
          <w:rFonts w:cstheme="minorHAnsi"/>
          <w:sz w:val="24"/>
        </w:rPr>
        <w:t>June 30, 2021</w:t>
      </w:r>
      <w:r w:rsidRPr="00F54559">
        <w:rPr>
          <w:rFonts w:cstheme="minorHAnsi"/>
          <w:sz w:val="24"/>
        </w:rPr>
        <w:t>.</w:t>
      </w:r>
    </w:p>
    <w:p w14:paraId="2A115731" w14:textId="77777777" w:rsidR="00721CFD" w:rsidRPr="00F54559" w:rsidRDefault="00721CFD" w:rsidP="00721CFD">
      <w:pPr>
        <w:ind w:left="810"/>
        <w:rPr>
          <w:rFonts w:cstheme="minorHAnsi"/>
          <w:sz w:val="24"/>
          <w:highlight w:val="yellow"/>
        </w:rPr>
      </w:pPr>
    </w:p>
    <w:p w14:paraId="764AC478" w14:textId="77777777" w:rsidR="00721CFD" w:rsidRPr="00F54559" w:rsidRDefault="00721CFD" w:rsidP="00721CFD">
      <w:pPr>
        <w:rPr>
          <w:rFonts w:cstheme="minorHAnsi"/>
          <w:sz w:val="24"/>
        </w:rPr>
      </w:pPr>
      <w:r w:rsidRPr="00F54559">
        <w:rPr>
          <w:rFonts w:cstheme="minorHAnsi"/>
          <w:sz w:val="24"/>
        </w:rPr>
        <w:t xml:space="preserve">The Foundation asset category, long-term investments, endowment, comprised </w:t>
      </w:r>
      <w:r w:rsidRPr="001E1287">
        <w:rPr>
          <w:rFonts w:cstheme="minorHAnsi"/>
          <w:color w:val="0D0D0D" w:themeColor="text1" w:themeTint="F2"/>
          <w:sz w:val="24"/>
        </w:rPr>
        <w:t>84</w:t>
      </w:r>
      <w:r w:rsidRPr="00F54559">
        <w:rPr>
          <w:rFonts w:cstheme="minorHAnsi"/>
          <w:sz w:val="24"/>
        </w:rPr>
        <w:t xml:space="preserve">% of the Foundation’s total assets as of </w:t>
      </w:r>
      <w:r>
        <w:rPr>
          <w:rFonts w:cstheme="minorHAnsi"/>
          <w:sz w:val="24"/>
        </w:rPr>
        <w:t xml:space="preserve">December 31, 2021 and </w:t>
      </w:r>
      <w:r w:rsidRPr="00F54559">
        <w:rPr>
          <w:rFonts w:cstheme="minorHAnsi"/>
          <w:sz w:val="24"/>
        </w:rPr>
        <w:t xml:space="preserve">June 30, </w:t>
      </w:r>
      <w:r>
        <w:rPr>
          <w:rFonts w:cstheme="minorHAnsi"/>
          <w:sz w:val="24"/>
        </w:rPr>
        <w:t>2021,</w:t>
      </w:r>
      <w:r w:rsidRPr="00F54559">
        <w:rPr>
          <w:rFonts w:cstheme="minorHAnsi"/>
          <w:sz w:val="24"/>
        </w:rPr>
        <w:t xml:space="preserve"> respectively. Remaining disclosures in this note relate to this asset group.</w:t>
      </w:r>
    </w:p>
    <w:p w14:paraId="2D602F59" w14:textId="77777777" w:rsidR="00721CFD" w:rsidRPr="00F54559" w:rsidRDefault="00721CFD" w:rsidP="00721CFD">
      <w:pPr>
        <w:pStyle w:val="AFR4"/>
        <w:rPr>
          <w:rFonts w:cstheme="minorHAnsi"/>
        </w:rPr>
      </w:pPr>
      <w:r w:rsidRPr="00F54559">
        <w:rPr>
          <w:rFonts w:cstheme="minorHAnsi"/>
        </w:rPr>
        <w:t>Long-term investments, endowment</w:t>
      </w:r>
    </w:p>
    <w:p w14:paraId="5E0537A1" w14:textId="77777777" w:rsidR="00721CFD" w:rsidRPr="00F54559" w:rsidRDefault="00721CFD" w:rsidP="00721CFD">
      <w:pPr>
        <w:rPr>
          <w:rFonts w:cstheme="minorHAnsi"/>
          <w:sz w:val="24"/>
        </w:rPr>
      </w:pPr>
      <w:r w:rsidRPr="00F54559">
        <w:rPr>
          <w:rFonts w:cstheme="minorHAnsi"/>
          <w:sz w:val="24"/>
        </w:rPr>
        <w:t>The Foundation maintains a general pool of investments for its endowments. These investment securities are stated at fair value based on quoted market prices within active markets. The fair values of alternative investments are determined from information supplied by the investment managers based on the market values of underlying investments on a net asset value basis. Investment income is reflected in the Statements of Activities as “without donor restrictions” or “with donor restrictions” based upon the existence and nature of any donor-imposed restrictions.</w:t>
      </w:r>
    </w:p>
    <w:p w14:paraId="09341493" w14:textId="77777777" w:rsidR="00721CFD" w:rsidRPr="00F54559" w:rsidRDefault="00721CFD" w:rsidP="00721CFD">
      <w:pPr>
        <w:ind w:left="810"/>
        <w:rPr>
          <w:rFonts w:cstheme="minorHAnsi"/>
          <w:sz w:val="24"/>
          <w:highlight w:val="yellow"/>
        </w:rPr>
      </w:pPr>
    </w:p>
    <w:p w14:paraId="3DD8A813" w14:textId="77777777" w:rsidR="00C959E4" w:rsidRDefault="00721CFD" w:rsidP="00721CFD">
      <w:pPr>
        <w:rPr>
          <w:rFonts w:cstheme="minorHAnsi"/>
          <w:sz w:val="24"/>
        </w:rPr>
      </w:pPr>
      <w:r w:rsidRPr="00F54559">
        <w:rPr>
          <w:rFonts w:cstheme="minorHAnsi"/>
          <w:sz w:val="24"/>
        </w:rPr>
        <w:t xml:space="preserve">The Foundation has established a specific set of investment objectives and guidelines for investment managers that attempt to provide a predictable stream of income while seeking to maintain the purchasing power of the endowment assets over the long-term. The investment policy establishes an achievable return objective and seeks to manage risk through diversification of asset classes. The current long-term return objective is to </w:t>
      </w:r>
      <w:r w:rsidRPr="00D479C4">
        <w:rPr>
          <w:rFonts w:cstheme="minorHAnsi"/>
          <w:sz w:val="24"/>
        </w:rPr>
        <w:t xml:space="preserve">return </w:t>
      </w:r>
      <w:r w:rsidRPr="00C07DC3">
        <w:rPr>
          <w:rFonts w:cstheme="minorHAnsi"/>
          <w:color w:val="0D0D0D" w:themeColor="text1" w:themeTint="F2"/>
          <w:sz w:val="24"/>
        </w:rPr>
        <w:t>7.25</w:t>
      </w:r>
      <w:r w:rsidRPr="00D47E1C">
        <w:rPr>
          <w:rFonts w:cstheme="minorHAnsi"/>
          <w:sz w:val="24"/>
        </w:rPr>
        <w:t>%</w:t>
      </w:r>
      <w:r w:rsidRPr="00F54559">
        <w:rPr>
          <w:rFonts w:cstheme="minorHAnsi"/>
          <w:sz w:val="24"/>
        </w:rPr>
        <w:t xml:space="preserve"> </w:t>
      </w:r>
      <w:r>
        <w:rPr>
          <w:rFonts w:cstheme="minorHAnsi"/>
          <w:sz w:val="24"/>
        </w:rPr>
        <w:t>for</w:t>
      </w:r>
      <w:r w:rsidRPr="00F54559">
        <w:rPr>
          <w:rFonts w:cstheme="minorHAnsi"/>
          <w:sz w:val="24"/>
        </w:rPr>
        <w:t xml:space="preserve"> </w:t>
      </w:r>
    </w:p>
    <w:p w14:paraId="03C1A586" w14:textId="77777777" w:rsidR="00C959E4" w:rsidRPr="00F54559" w:rsidRDefault="00C959E4" w:rsidP="00C959E4">
      <w:pPr>
        <w:pStyle w:val="AFR4"/>
        <w:spacing w:after="240"/>
        <w:rPr>
          <w:rFonts w:eastAsiaTheme="majorEastAsia" w:cstheme="minorHAnsi"/>
          <w:i/>
          <w:iCs/>
          <w:smallCaps/>
          <w:noProof/>
          <w:color w:val="000000" w:themeColor="text1"/>
          <w:sz w:val="26"/>
          <w:szCs w:val="26"/>
          <w:u w:val="none" w:color="5B9BD5"/>
        </w:rPr>
      </w:pPr>
      <w:r w:rsidRPr="00F54559">
        <w:rPr>
          <w:rFonts w:eastAsiaTheme="majorEastAsia" w:cstheme="minorHAnsi"/>
          <w:i/>
          <w:iCs/>
          <w:smallCaps/>
          <w:noProof/>
          <w:color w:val="000000" w:themeColor="text1"/>
          <w:sz w:val="26"/>
          <w:szCs w:val="26"/>
          <w:u w:val="none" w:color="5B9BD5"/>
        </w:rPr>
        <w:lastRenderedPageBreak/>
        <w:t>16. COMPONENT UNITS - CONTINUED</w:t>
      </w:r>
    </w:p>
    <w:p w14:paraId="2E061343" w14:textId="5E7EB452" w:rsidR="00721CFD" w:rsidRDefault="00721CFD" w:rsidP="00721CFD">
      <w:pPr>
        <w:rPr>
          <w:rFonts w:cstheme="minorHAnsi"/>
          <w:sz w:val="24"/>
        </w:rPr>
      </w:pPr>
      <w:r>
        <w:rPr>
          <w:rFonts w:cstheme="minorHAnsi"/>
          <w:sz w:val="24"/>
        </w:rPr>
        <w:t xml:space="preserve">December 31, </w:t>
      </w:r>
      <w:r w:rsidRPr="00C07DC3">
        <w:rPr>
          <w:rFonts w:cstheme="minorHAnsi"/>
          <w:sz w:val="24"/>
        </w:rPr>
        <w:t>2021</w:t>
      </w:r>
      <w:r w:rsidRPr="00F54559">
        <w:rPr>
          <w:rFonts w:cstheme="minorHAnsi"/>
          <w:sz w:val="24"/>
        </w:rPr>
        <w:t xml:space="preserve"> and </w:t>
      </w:r>
      <w:r>
        <w:rPr>
          <w:rFonts w:cstheme="minorHAnsi"/>
          <w:sz w:val="24"/>
        </w:rPr>
        <w:t xml:space="preserve">June 30, </w:t>
      </w:r>
      <w:r w:rsidRPr="00F54559">
        <w:rPr>
          <w:rFonts w:cstheme="minorHAnsi"/>
          <w:sz w:val="24"/>
        </w:rPr>
        <w:t>20</w:t>
      </w:r>
      <w:r>
        <w:rPr>
          <w:rFonts w:cstheme="minorHAnsi"/>
          <w:sz w:val="24"/>
        </w:rPr>
        <w:t>21</w:t>
      </w:r>
      <w:r w:rsidRPr="00F54559">
        <w:rPr>
          <w:rFonts w:cstheme="minorHAnsi"/>
          <w:sz w:val="24"/>
        </w:rPr>
        <w:t>. Actual returns in any given year may vary from these amounts.</w:t>
      </w:r>
    </w:p>
    <w:p w14:paraId="0BF33527" w14:textId="77777777" w:rsidR="00721CFD" w:rsidRPr="00F54559" w:rsidRDefault="00721CFD" w:rsidP="00721CFD">
      <w:pPr>
        <w:pStyle w:val="AFR4"/>
        <w:rPr>
          <w:rFonts w:cstheme="minorHAnsi"/>
        </w:rPr>
      </w:pPr>
      <w:r w:rsidRPr="00F54559">
        <w:rPr>
          <w:rFonts w:cstheme="minorHAnsi"/>
        </w:rPr>
        <w:t>Endowment spending policy</w:t>
      </w:r>
    </w:p>
    <w:p w14:paraId="0C4ABFC2" w14:textId="00D61C87" w:rsidR="00721CFD" w:rsidRPr="00F54559" w:rsidRDefault="00721CFD" w:rsidP="00721CFD">
      <w:pPr>
        <w:rPr>
          <w:rFonts w:cstheme="minorHAnsi"/>
          <w:sz w:val="24"/>
        </w:rPr>
      </w:pPr>
      <w:r w:rsidRPr="00F54559">
        <w:rPr>
          <w:rFonts w:cstheme="minorHAnsi"/>
          <w:sz w:val="24"/>
        </w:rPr>
        <w:t xml:space="preserve">The Foundation utilizes a spending policy for its pooled endowment in order to provide for the current and long-term needs of endowment recipients. The spending policy determines the endowment income to be distributed. </w:t>
      </w:r>
      <w:r>
        <w:rPr>
          <w:rFonts w:cstheme="minorHAnsi"/>
          <w:sz w:val="24"/>
        </w:rPr>
        <w:t xml:space="preserve">For the </w:t>
      </w:r>
      <w:r w:rsidR="006D5ACB">
        <w:rPr>
          <w:rFonts w:cstheme="minorHAnsi"/>
          <w:color w:val="0D0D0D" w:themeColor="text1" w:themeTint="F2"/>
          <w:sz w:val="24"/>
        </w:rPr>
        <w:t>periods</w:t>
      </w:r>
      <w:r w:rsidR="009E1B0C" w:rsidRPr="001E1287">
        <w:rPr>
          <w:rFonts w:cstheme="minorHAnsi"/>
          <w:color w:val="0D0D0D" w:themeColor="text1" w:themeTint="F2"/>
          <w:sz w:val="24"/>
        </w:rPr>
        <w:t xml:space="preserve"> </w:t>
      </w:r>
      <w:r w:rsidRPr="001E1287">
        <w:rPr>
          <w:rFonts w:cstheme="minorHAnsi"/>
          <w:color w:val="0D0D0D" w:themeColor="text1" w:themeTint="F2"/>
          <w:sz w:val="24"/>
        </w:rPr>
        <w:t>ended December 31, 2021 and June 30, 2021 the spending policy was 4.5% of the average market value for the twelve previous quarters ending September 30</w:t>
      </w:r>
      <w:r w:rsidRPr="00113126">
        <w:rPr>
          <w:rFonts w:cstheme="minorHAnsi"/>
          <w:sz w:val="24"/>
        </w:rPr>
        <w:t>.</w:t>
      </w:r>
      <w:r>
        <w:rPr>
          <w:rFonts w:cstheme="minorHAnsi"/>
          <w:sz w:val="24"/>
        </w:rPr>
        <w:t xml:space="preserve"> </w:t>
      </w:r>
    </w:p>
    <w:p w14:paraId="2AAB3DDC" w14:textId="77777777" w:rsidR="00721CFD" w:rsidRPr="00F54559" w:rsidRDefault="00721CFD" w:rsidP="00721CFD">
      <w:pPr>
        <w:ind w:left="810"/>
        <w:rPr>
          <w:rFonts w:cstheme="minorHAnsi"/>
          <w:sz w:val="24"/>
          <w:highlight w:val="yellow"/>
        </w:rPr>
      </w:pPr>
    </w:p>
    <w:p w14:paraId="0670E63C" w14:textId="1ACF31D4" w:rsidR="00721CFD" w:rsidRPr="00F54559" w:rsidRDefault="00721CFD" w:rsidP="00721CFD">
      <w:pPr>
        <w:rPr>
          <w:rFonts w:cstheme="minorHAnsi"/>
          <w:sz w:val="24"/>
        </w:rPr>
      </w:pPr>
      <w:r w:rsidRPr="00F54559">
        <w:rPr>
          <w:rFonts w:cstheme="minorHAnsi"/>
          <w:sz w:val="24"/>
        </w:rPr>
        <w:t xml:space="preserve">Endowment spending is contingent upon a fund’s market value exceeding its historic dollar value (principal). In accordance with the Uniform Prudent Management of Institutional Funds Act, a prudent expenditure may be allowed unless the donor has explicitly prohibited expenditure of principal. During the </w:t>
      </w:r>
      <w:r w:rsidR="00051238">
        <w:rPr>
          <w:rFonts w:cstheme="minorHAnsi"/>
          <w:sz w:val="24"/>
        </w:rPr>
        <w:t xml:space="preserve">six months </w:t>
      </w:r>
      <w:r w:rsidRPr="00F54559">
        <w:rPr>
          <w:rFonts w:cstheme="minorHAnsi"/>
          <w:sz w:val="24"/>
        </w:rPr>
        <w:t xml:space="preserve">ended </w:t>
      </w:r>
      <w:r>
        <w:rPr>
          <w:rFonts w:cstheme="minorHAnsi"/>
          <w:sz w:val="24"/>
        </w:rPr>
        <w:t>December 31, 2021 and</w:t>
      </w:r>
      <w:r w:rsidR="00051238">
        <w:rPr>
          <w:rFonts w:cstheme="minorHAnsi"/>
          <w:sz w:val="24"/>
        </w:rPr>
        <w:t xml:space="preserve"> the year ended</w:t>
      </w:r>
      <w:r>
        <w:rPr>
          <w:rFonts w:cstheme="minorHAnsi"/>
          <w:sz w:val="24"/>
        </w:rPr>
        <w:t xml:space="preserve"> </w:t>
      </w:r>
      <w:r w:rsidRPr="00F54559">
        <w:rPr>
          <w:rFonts w:cstheme="minorHAnsi"/>
          <w:sz w:val="24"/>
        </w:rPr>
        <w:t>June 30,</w:t>
      </w:r>
      <w:r>
        <w:rPr>
          <w:rFonts w:cstheme="minorHAnsi"/>
          <w:sz w:val="24"/>
        </w:rPr>
        <w:t xml:space="preserve"> 2021</w:t>
      </w:r>
      <w:r w:rsidRPr="00F54559">
        <w:rPr>
          <w:rFonts w:cstheme="minorHAnsi"/>
          <w:sz w:val="24"/>
        </w:rPr>
        <w:t xml:space="preserve"> the Foundation distributed </w:t>
      </w:r>
      <w:r w:rsidRPr="003D0FD8">
        <w:rPr>
          <w:rFonts w:cstheme="minorHAnsi"/>
          <w:sz w:val="24"/>
        </w:rPr>
        <w:t>$</w:t>
      </w:r>
      <w:r w:rsidRPr="001E1287">
        <w:rPr>
          <w:rFonts w:cstheme="minorHAnsi"/>
          <w:color w:val="0D0D0D" w:themeColor="text1" w:themeTint="F2"/>
          <w:sz w:val="24"/>
        </w:rPr>
        <w:t>8,243</w:t>
      </w:r>
      <w:r w:rsidRPr="002226A6">
        <w:rPr>
          <w:rFonts w:cstheme="minorHAnsi"/>
          <w:color w:val="FF0000"/>
          <w:sz w:val="24"/>
        </w:rPr>
        <w:t xml:space="preserve"> </w:t>
      </w:r>
      <w:r w:rsidRPr="00F54559">
        <w:rPr>
          <w:rFonts w:cstheme="minorHAnsi"/>
          <w:sz w:val="24"/>
        </w:rPr>
        <w:t xml:space="preserve">and </w:t>
      </w:r>
      <w:r w:rsidRPr="003D0FD8">
        <w:rPr>
          <w:rFonts w:cstheme="minorHAnsi"/>
          <w:sz w:val="24"/>
        </w:rPr>
        <w:t>$</w:t>
      </w:r>
      <w:r w:rsidRPr="00954D00">
        <w:rPr>
          <w:rFonts w:cstheme="minorHAnsi"/>
          <w:sz w:val="24"/>
        </w:rPr>
        <w:t>14,184</w:t>
      </w:r>
      <w:r w:rsidRPr="00F54559">
        <w:rPr>
          <w:rFonts w:cstheme="minorHAnsi"/>
          <w:sz w:val="24"/>
        </w:rPr>
        <w:t>, respectively, to the System for both restricted and unrestricted purposes.</w:t>
      </w:r>
    </w:p>
    <w:p w14:paraId="343D3FF3" w14:textId="77777777" w:rsidR="00721CFD" w:rsidRPr="00F54559" w:rsidRDefault="00721CFD" w:rsidP="00721CFD">
      <w:pPr>
        <w:pStyle w:val="AFR4"/>
        <w:rPr>
          <w:rFonts w:cstheme="minorHAnsi"/>
        </w:rPr>
      </w:pPr>
      <w:r w:rsidRPr="00F54559">
        <w:rPr>
          <w:rFonts w:cstheme="minorHAnsi"/>
        </w:rPr>
        <w:t>Fair value measurements</w:t>
      </w:r>
    </w:p>
    <w:p w14:paraId="2CCB10F0" w14:textId="77777777" w:rsidR="00721CFD" w:rsidRPr="00F54559" w:rsidRDefault="00721CFD" w:rsidP="00721CFD">
      <w:pPr>
        <w:rPr>
          <w:rFonts w:cstheme="minorHAnsi"/>
          <w:sz w:val="24"/>
        </w:rPr>
      </w:pPr>
      <w:r w:rsidRPr="00F54559">
        <w:rPr>
          <w:rFonts w:cstheme="minorHAnsi"/>
          <w:sz w:val="24"/>
        </w:rPr>
        <w:t>Fair value is defined as the price that would be received to sell an asset or paid to transfer a liability (i.e., the “exit price”) in an orderly transaction between market participants at the measurement date.</w:t>
      </w:r>
    </w:p>
    <w:p w14:paraId="0555A1DB" w14:textId="77777777" w:rsidR="00721CFD" w:rsidRPr="00F54559" w:rsidRDefault="00721CFD" w:rsidP="00721CFD">
      <w:pPr>
        <w:ind w:left="810"/>
        <w:rPr>
          <w:rFonts w:cstheme="minorHAnsi"/>
          <w:sz w:val="24"/>
        </w:rPr>
      </w:pPr>
    </w:p>
    <w:p w14:paraId="412EF9CB" w14:textId="77777777" w:rsidR="00721CFD" w:rsidRPr="00F54559" w:rsidRDefault="00721CFD" w:rsidP="00721CFD">
      <w:pPr>
        <w:spacing w:after="240"/>
        <w:rPr>
          <w:rFonts w:cstheme="minorHAnsi"/>
          <w:sz w:val="24"/>
        </w:rPr>
      </w:pPr>
      <w:r w:rsidRPr="00F54559">
        <w:rPr>
          <w:rFonts w:cstheme="minorHAnsi"/>
          <w:sz w:val="24"/>
        </w:rPr>
        <w:t>A fair value hierarchy for inputs is used in measuring fair value that maximizes the use of observable inputs and minimizes the use of unobservable inputs by requiring that the most observable inputs be used when available. Observable inputs are those that market participants would use in pricing the asset or liability based on market data obtained from sources independent of the Foundation. Unobservable inputs reflect assumptions about the inputs market participants would use in pricing the asset or liability developed based on the best information available in the circumstances. The fair value hierarchy is categorized into three levels based on the inputs as follows:</w:t>
      </w:r>
    </w:p>
    <w:p w14:paraId="4231B32B" w14:textId="77777777" w:rsidR="00721CFD" w:rsidRPr="00F54559" w:rsidRDefault="00721CFD" w:rsidP="00721CFD">
      <w:pPr>
        <w:numPr>
          <w:ilvl w:val="0"/>
          <w:numId w:val="8"/>
        </w:numPr>
        <w:spacing w:after="160"/>
        <w:ind w:left="1350" w:hanging="1080"/>
        <w:rPr>
          <w:rFonts w:eastAsia="Times New Roman" w:cstheme="minorHAnsi"/>
          <w:sz w:val="24"/>
          <w:szCs w:val="24"/>
        </w:rPr>
      </w:pPr>
      <w:r w:rsidRPr="00F54559">
        <w:rPr>
          <w:rFonts w:eastAsia="Times New Roman" w:cstheme="minorHAnsi"/>
          <w:sz w:val="24"/>
          <w:szCs w:val="24"/>
        </w:rPr>
        <w:t>Valuations based on unadjusted quoted prices in active markets for identical assets or liabilities that the Fund has the ability to access. Valuation adjustments and block discounts are not applied to Level 1 securities. Since valuations are based on quoted prices that are readily and regularly available in an active market, valuation of these securities does not entail a significant degree of judgment.</w:t>
      </w:r>
    </w:p>
    <w:p w14:paraId="07B34AF9" w14:textId="77777777" w:rsidR="00721CFD" w:rsidRPr="00F54559" w:rsidRDefault="00721CFD" w:rsidP="00721CFD">
      <w:pPr>
        <w:numPr>
          <w:ilvl w:val="0"/>
          <w:numId w:val="8"/>
        </w:numPr>
        <w:spacing w:after="160"/>
        <w:ind w:left="1350" w:hanging="1080"/>
        <w:rPr>
          <w:rFonts w:eastAsia="Times New Roman" w:cstheme="minorHAnsi"/>
          <w:sz w:val="24"/>
          <w:szCs w:val="24"/>
        </w:rPr>
      </w:pPr>
      <w:r w:rsidRPr="00F54559">
        <w:rPr>
          <w:rFonts w:eastAsia="Times New Roman" w:cstheme="minorHAnsi"/>
          <w:sz w:val="24"/>
          <w:szCs w:val="24"/>
        </w:rPr>
        <w:t>Valuations based on quoted prices in markets that are not active or for which all significant inputs are observable, either directly or indirectly.</w:t>
      </w:r>
    </w:p>
    <w:p w14:paraId="044FD77A" w14:textId="77777777" w:rsidR="00721CFD" w:rsidRDefault="00721CFD" w:rsidP="00721CFD">
      <w:pPr>
        <w:numPr>
          <w:ilvl w:val="0"/>
          <w:numId w:val="8"/>
        </w:numPr>
        <w:ind w:left="1350" w:hanging="1080"/>
        <w:contextualSpacing/>
        <w:rPr>
          <w:rFonts w:eastAsia="Times New Roman" w:cstheme="minorHAnsi"/>
          <w:sz w:val="24"/>
          <w:szCs w:val="24"/>
        </w:rPr>
      </w:pPr>
      <w:r w:rsidRPr="00F54559">
        <w:rPr>
          <w:rFonts w:eastAsia="Times New Roman" w:cstheme="minorHAnsi"/>
          <w:sz w:val="24"/>
          <w:szCs w:val="24"/>
        </w:rPr>
        <w:t>Valuations based on inputs that are unobservable and significant to the overall fair value measurement.</w:t>
      </w:r>
    </w:p>
    <w:p w14:paraId="4A8CB3A1" w14:textId="7A5EE2E7" w:rsidR="00721CFD" w:rsidRPr="00F54559" w:rsidRDefault="00721CFD" w:rsidP="00721CFD">
      <w:pPr>
        <w:pStyle w:val="AFR4"/>
        <w:spacing w:after="240"/>
        <w:rPr>
          <w:rFonts w:eastAsiaTheme="majorEastAsia" w:cstheme="minorHAnsi"/>
          <w:i/>
          <w:iCs/>
          <w:smallCaps/>
          <w:noProof/>
          <w:color w:val="000000" w:themeColor="text1"/>
          <w:sz w:val="26"/>
          <w:szCs w:val="26"/>
          <w:u w:val="none" w:color="5B9BD5"/>
        </w:rPr>
      </w:pPr>
      <w:r>
        <w:rPr>
          <w:rFonts w:eastAsiaTheme="majorEastAsia" w:cstheme="minorHAnsi"/>
          <w:i/>
          <w:iCs/>
          <w:smallCaps/>
          <w:noProof/>
          <w:color w:val="000000" w:themeColor="text1"/>
          <w:sz w:val="26"/>
          <w:szCs w:val="26"/>
          <w:u w:val="none" w:color="5B9BD5"/>
        </w:rPr>
        <w:br w:type="page"/>
      </w:r>
      <w:r w:rsidRPr="00F54559">
        <w:rPr>
          <w:rFonts w:eastAsiaTheme="majorEastAsia" w:cstheme="minorHAnsi"/>
          <w:i/>
          <w:iCs/>
          <w:smallCaps/>
          <w:noProof/>
          <w:color w:val="000000" w:themeColor="text1"/>
          <w:sz w:val="26"/>
          <w:szCs w:val="26"/>
          <w:u w:val="none" w:color="5B9BD5"/>
        </w:rPr>
        <w:lastRenderedPageBreak/>
        <w:t>16. COMPONENT UNITS - CONTINUED</w:t>
      </w:r>
    </w:p>
    <w:p w14:paraId="12D3FA23" w14:textId="77777777" w:rsidR="00721CFD" w:rsidRDefault="00721CFD" w:rsidP="00721CFD">
      <w:pPr>
        <w:rPr>
          <w:rFonts w:cstheme="minorHAnsi"/>
          <w:spacing w:val="-3"/>
          <w:sz w:val="24"/>
        </w:rPr>
      </w:pPr>
      <w:r>
        <w:rPr>
          <w:rFonts w:cstheme="minorHAnsi"/>
          <w:spacing w:val="-3"/>
          <w:sz w:val="24"/>
        </w:rPr>
        <w:t>The Foundation’s short-term investments</w:t>
      </w:r>
      <w:r w:rsidRPr="00EB4F53">
        <w:rPr>
          <w:rFonts w:cstheme="minorHAnsi"/>
          <w:spacing w:val="-3"/>
          <w:sz w:val="24"/>
        </w:rPr>
        <w:t xml:space="preserve"> </w:t>
      </w:r>
      <w:r>
        <w:rPr>
          <w:rFonts w:cstheme="minorHAnsi"/>
          <w:spacing w:val="-3"/>
          <w:sz w:val="24"/>
        </w:rPr>
        <w:t>measured at fair value valuations based on unadjusted quoted prices in active markets for identical assets or liabilities (Level 1) as of December 31, 2021 and June 30, 2021 were $</w:t>
      </w:r>
      <w:r w:rsidRPr="00F75AC6">
        <w:rPr>
          <w:rFonts w:cstheme="minorHAnsi"/>
          <w:color w:val="0D0D0D" w:themeColor="text1" w:themeTint="F2"/>
          <w:spacing w:val="-3"/>
          <w:sz w:val="24"/>
        </w:rPr>
        <w:t>32,499</w:t>
      </w:r>
      <w:r w:rsidRPr="001E1287">
        <w:rPr>
          <w:rFonts w:cstheme="minorHAnsi"/>
          <w:color w:val="FF0000"/>
          <w:spacing w:val="-3"/>
          <w:sz w:val="24"/>
        </w:rPr>
        <w:t xml:space="preserve"> </w:t>
      </w:r>
      <w:r>
        <w:rPr>
          <w:rFonts w:cstheme="minorHAnsi"/>
          <w:spacing w:val="-3"/>
          <w:sz w:val="24"/>
        </w:rPr>
        <w:t>and $</w:t>
      </w:r>
      <w:r w:rsidRPr="00954D00">
        <w:rPr>
          <w:rFonts w:cstheme="minorHAnsi"/>
          <w:spacing w:val="-3"/>
          <w:sz w:val="24"/>
        </w:rPr>
        <w:t>25,130</w:t>
      </w:r>
      <w:r>
        <w:rPr>
          <w:rFonts w:cstheme="minorHAnsi"/>
          <w:spacing w:val="-3"/>
          <w:sz w:val="24"/>
        </w:rPr>
        <w:t>, respectively. These investments include money markets, certificates of deposit, U.S. government obligations and bonds.</w:t>
      </w:r>
    </w:p>
    <w:p w14:paraId="692FD19A" w14:textId="77777777" w:rsidR="00721CFD" w:rsidRDefault="00721CFD" w:rsidP="00721CFD">
      <w:pPr>
        <w:rPr>
          <w:rFonts w:cstheme="minorHAnsi"/>
          <w:spacing w:val="-3"/>
          <w:sz w:val="24"/>
        </w:rPr>
      </w:pPr>
    </w:p>
    <w:p w14:paraId="6A88E652" w14:textId="77777777" w:rsidR="00721CFD" w:rsidRDefault="00721CFD" w:rsidP="00721CFD">
      <w:pPr>
        <w:spacing w:after="240"/>
        <w:rPr>
          <w:rFonts w:cstheme="minorHAnsi"/>
          <w:color w:val="FF0000"/>
          <w:spacing w:val="-3"/>
          <w:sz w:val="24"/>
        </w:rPr>
      </w:pPr>
      <w:r w:rsidRPr="00F54559">
        <w:rPr>
          <w:rFonts w:cstheme="minorHAnsi"/>
          <w:spacing w:val="-3"/>
          <w:sz w:val="24"/>
        </w:rPr>
        <w:t xml:space="preserve">The following table summarizes the Foundation's long-term endowment investments by class in the fair value hierarchy as of </w:t>
      </w:r>
      <w:r>
        <w:rPr>
          <w:rFonts w:cstheme="minorHAnsi"/>
          <w:spacing w:val="-3"/>
          <w:sz w:val="24"/>
        </w:rPr>
        <w:t>December 31, 2021</w:t>
      </w:r>
      <w:r w:rsidRPr="00F54559">
        <w:rPr>
          <w:rFonts w:cstheme="minorHAnsi"/>
          <w:spacing w:val="-3"/>
          <w:sz w:val="24"/>
        </w:rPr>
        <w:t>:</w:t>
      </w:r>
      <w:r>
        <w:rPr>
          <w:rFonts w:cstheme="minorHAnsi"/>
          <w:spacing w:val="-3"/>
          <w:sz w:val="24"/>
        </w:rPr>
        <w:t xml:space="preserve"> </w:t>
      </w:r>
    </w:p>
    <w:tbl>
      <w:tblPr>
        <w:tblW w:w="9450" w:type="dxa"/>
        <w:tblLayout w:type="fixed"/>
        <w:tblCellMar>
          <w:left w:w="72" w:type="dxa"/>
          <w:right w:w="72" w:type="dxa"/>
        </w:tblCellMar>
        <w:tblLook w:val="04A0" w:firstRow="1" w:lastRow="0" w:firstColumn="1" w:lastColumn="0" w:noHBand="0" w:noVBand="1"/>
      </w:tblPr>
      <w:tblGrid>
        <w:gridCol w:w="2593"/>
        <w:gridCol w:w="1007"/>
        <w:gridCol w:w="990"/>
        <w:gridCol w:w="630"/>
        <w:gridCol w:w="630"/>
        <w:gridCol w:w="990"/>
        <w:gridCol w:w="2610"/>
      </w:tblGrid>
      <w:tr w:rsidR="00721CFD" w:rsidRPr="00D35BDD" w14:paraId="757931B2" w14:textId="77777777" w:rsidTr="007B5BB3">
        <w:trPr>
          <w:trHeight w:val="600"/>
          <w:tblHeader/>
        </w:trPr>
        <w:tc>
          <w:tcPr>
            <w:tcW w:w="2593" w:type="dxa"/>
            <w:tcBorders>
              <w:top w:val="nil"/>
              <w:left w:val="nil"/>
              <w:bottom w:val="single" w:sz="12" w:space="0" w:color="00688D"/>
              <w:right w:val="nil"/>
            </w:tcBorders>
            <w:shd w:val="clear" w:color="000000" w:fill="FFFFFF"/>
            <w:noWrap/>
            <w:vAlign w:val="bottom"/>
            <w:hideMark/>
          </w:tcPr>
          <w:p w14:paraId="20F8CEC7" w14:textId="77777777" w:rsidR="00721CFD" w:rsidRPr="00D35BDD" w:rsidRDefault="00721CFD" w:rsidP="007B5BB3">
            <w:pPr>
              <w:rPr>
                <w:rFonts w:ascii="Calibri" w:eastAsia="Times New Roman" w:hAnsi="Calibri" w:cs="Calibri"/>
                <w:b/>
                <w:bCs/>
                <w:color w:val="0D0D0D"/>
              </w:rPr>
            </w:pPr>
            <w:r w:rsidRPr="00D35BDD">
              <w:rPr>
                <w:rFonts w:ascii="Calibri" w:eastAsia="Times New Roman" w:hAnsi="Calibri" w:cs="Calibri"/>
                <w:b/>
                <w:bCs/>
                <w:color w:val="0D0D0D"/>
              </w:rPr>
              <w:t> </w:t>
            </w:r>
          </w:p>
        </w:tc>
        <w:tc>
          <w:tcPr>
            <w:tcW w:w="1007" w:type="dxa"/>
            <w:tcBorders>
              <w:top w:val="nil"/>
              <w:left w:val="nil"/>
              <w:bottom w:val="single" w:sz="12" w:space="0" w:color="00688D"/>
              <w:right w:val="nil"/>
            </w:tcBorders>
            <w:shd w:val="clear" w:color="000000" w:fill="FFFFFF"/>
            <w:vAlign w:val="bottom"/>
            <w:hideMark/>
          </w:tcPr>
          <w:p w14:paraId="04216CDB"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NAV</w:t>
            </w:r>
          </w:p>
        </w:tc>
        <w:tc>
          <w:tcPr>
            <w:tcW w:w="990" w:type="dxa"/>
            <w:tcBorders>
              <w:top w:val="nil"/>
              <w:left w:val="nil"/>
              <w:bottom w:val="single" w:sz="12" w:space="0" w:color="00688D"/>
              <w:right w:val="nil"/>
            </w:tcBorders>
            <w:shd w:val="clear" w:color="000000" w:fill="FFFFFF"/>
            <w:vAlign w:val="bottom"/>
            <w:hideMark/>
          </w:tcPr>
          <w:p w14:paraId="1159C8C1"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Level 1</w:t>
            </w:r>
          </w:p>
        </w:tc>
        <w:tc>
          <w:tcPr>
            <w:tcW w:w="630" w:type="dxa"/>
            <w:tcBorders>
              <w:top w:val="nil"/>
              <w:left w:val="nil"/>
              <w:bottom w:val="single" w:sz="12" w:space="0" w:color="00688D"/>
              <w:right w:val="nil"/>
            </w:tcBorders>
            <w:shd w:val="clear" w:color="000000" w:fill="FFFFFF"/>
            <w:vAlign w:val="bottom"/>
            <w:hideMark/>
          </w:tcPr>
          <w:p w14:paraId="3C775A9F"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Level 2</w:t>
            </w:r>
          </w:p>
        </w:tc>
        <w:tc>
          <w:tcPr>
            <w:tcW w:w="630" w:type="dxa"/>
            <w:tcBorders>
              <w:top w:val="nil"/>
              <w:left w:val="nil"/>
              <w:bottom w:val="single" w:sz="12" w:space="0" w:color="00688D"/>
              <w:right w:val="nil"/>
            </w:tcBorders>
            <w:shd w:val="clear" w:color="000000" w:fill="FFFFFF"/>
            <w:vAlign w:val="bottom"/>
            <w:hideMark/>
          </w:tcPr>
          <w:p w14:paraId="49DC5CAE"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Level 3</w:t>
            </w:r>
          </w:p>
        </w:tc>
        <w:tc>
          <w:tcPr>
            <w:tcW w:w="990" w:type="dxa"/>
            <w:tcBorders>
              <w:top w:val="nil"/>
              <w:left w:val="nil"/>
              <w:bottom w:val="single" w:sz="12" w:space="0" w:color="00688D"/>
              <w:right w:val="nil"/>
            </w:tcBorders>
            <w:shd w:val="clear" w:color="000000" w:fill="FFFFFF"/>
            <w:vAlign w:val="bottom"/>
            <w:hideMark/>
          </w:tcPr>
          <w:p w14:paraId="25DC4DAA"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Total</w:t>
            </w:r>
          </w:p>
        </w:tc>
        <w:tc>
          <w:tcPr>
            <w:tcW w:w="2610" w:type="dxa"/>
            <w:tcBorders>
              <w:top w:val="nil"/>
              <w:left w:val="nil"/>
              <w:bottom w:val="single" w:sz="12" w:space="0" w:color="00688D"/>
              <w:right w:val="nil"/>
            </w:tcBorders>
            <w:shd w:val="clear" w:color="000000" w:fill="FFFFFF"/>
            <w:vAlign w:val="bottom"/>
            <w:hideMark/>
          </w:tcPr>
          <w:p w14:paraId="0F9C2D0E"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Liquidity</w:t>
            </w:r>
          </w:p>
        </w:tc>
      </w:tr>
      <w:tr w:rsidR="00721CFD" w:rsidRPr="00D35BDD" w14:paraId="70C92F1A" w14:textId="77777777" w:rsidTr="007B5BB3">
        <w:trPr>
          <w:trHeight w:val="300"/>
        </w:trPr>
        <w:tc>
          <w:tcPr>
            <w:tcW w:w="2593" w:type="dxa"/>
            <w:tcBorders>
              <w:top w:val="nil"/>
              <w:left w:val="nil"/>
              <w:bottom w:val="nil"/>
              <w:right w:val="nil"/>
            </w:tcBorders>
            <w:shd w:val="clear" w:color="000000" w:fill="FFFFFF"/>
            <w:noWrap/>
            <w:vAlign w:val="bottom"/>
            <w:hideMark/>
          </w:tcPr>
          <w:p w14:paraId="45748209"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U.S. equities</w:t>
            </w:r>
          </w:p>
        </w:tc>
        <w:tc>
          <w:tcPr>
            <w:tcW w:w="1007" w:type="dxa"/>
            <w:tcBorders>
              <w:top w:val="nil"/>
              <w:left w:val="nil"/>
              <w:bottom w:val="nil"/>
              <w:right w:val="nil"/>
            </w:tcBorders>
            <w:shd w:val="clear" w:color="000000" w:fill="FFFFFF"/>
            <w:noWrap/>
            <w:vAlign w:val="bottom"/>
            <w:hideMark/>
          </w:tcPr>
          <w:p w14:paraId="21AD5D3A" w14:textId="77777777" w:rsidR="00721CFD" w:rsidRPr="00954D00" w:rsidRDefault="00721CFD" w:rsidP="007B5BB3">
            <w:pPr>
              <w:jc w:val="right"/>
              <w:rPr>
                <w:rFonts w:ascii="Calibri" w:eastAsia="Times New Roman" w:hAnsi="Calibri" w:cs="Calibri"/>
              </w:rPr>
            </w:pPr>
            <w:r>
              <w:rPr>
                <w:rFonts w:ascii="Calibri" w:eastAsia="Times New Roman" w:hAnsi="Calibri" w:cs="Calibri"/>
              </w:rPr>
              <w:t>$  90,337</w:t>
            </w:r>
          </w:p>
        </w:tc>
        <w:tc>
          <w:tcPr>
            <w:tcW w:w="990" w:type="dxa"/>
            <w:tcBorders>
              <w:top w:val="nil"/>
              <w:left w:val="nil"/>
              <w:bottom w:val="nil"/>
              <w:right w:val="nil"/>
            </w:tcBorders>
            <w:shd w:val="clear" w:color="000000" w:fill="FFFFFF"/>
            <w:noWrap/>
            <w:vAlign w:val="bottom"/>
            <w:hideMark/>
          </w:tcPr>
          <w:p w14:paraId="12DE3844"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 xml:space="preserve">$  </w:t>
            </w:r>
            <w:r>
              <w:rPr>
                <w:rFonts w:ascii="Calibri" w:eastAsia="Times New Roman" w:hAnsi="Calibri" w:cs="Calibri"/>
              </w:rPr>
              <w:t>15,306</w:t>
            </w:r>
          </w:p>
        </w:tc>
        <w:tc>
          <w:tcPr>
            <w:tcW w:w="630" w:type="dxa"/>
            <w:tcBorders>
              <w:top w:val="nil"/>
              <w:left w:val="nil"/>
              <w:bottom w:val="nil"/>
              <w:right w:val="nil"/>
            </w:tcBorders>
            <w:shd w:val="clear" w:color="000000" w:fill="FFFFFF"/>
            <w:noWrap/>
            <w:vAlign w:val="bottom"/>
            <w:hideMark/>
          </w:tcPr>
          <w:p w14:paraId="72213309"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    -</w:t>
            </w:r>
          </w:p>
        </w:tc>
        <w:tc>
          <w:tcPr>
            <w:tcW w:w="630" w:type="dxa"/>
            <w:tcBorders>
              <w:top w:val="nil"/>
              <w:left w:val="nil"/>
              <w:bottom w:val="nil"/>
              <w:right w:val="nil"/>
            </w:tcBorders>
            <w:shd w:val="clear" w:color="000000" w:fill="FFFFFF"/>
            <w:noWrap/>
            <w:vAlign w:val="bottom"/>
            <w:hideMark/>
          </w:tcPr>
          <w:p w14:paraId="7EAFD228"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      -</w:t>
            </w:r>
          </w:p>
        </w:tc>
        <w:tc>
          <w:tcPr>
            <w:tcW w:w="990" w:type="dxa"/>
            <w:tcBorders>
              <w:top w:val="nil"/>
              <w:left w:val="nil"/>
              <w:bottom w:val="nil"/>
              <w:right w:val="nil"/>
            </w:tcBorders>
            <w:shd w:val="clear" w:color="000000" w:fill="FFFFFF"/>
            <w:noWrap/>
            <w:vAlign w:val="bottom"/>
            <w:hideMark/>
          </w:tcPr>
          <w:p w14:paraId="3A1E4C55"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r>
              <w:rPr>
                <w:rFonts w:ascii="Calibri" w:eastAsia="Times New Roman" w:hAnsi="Calibri" w:cs="Calibri"/>
              </w:rPr>
              <w:t>105,643</w:t>
            </w:r>
          </w:p>
        </w:tc>
        <w:tc>
          <w:tcPr>
            <w:tcW w:w="2610" w:type="dxa"/>
            <w:tcBorders>
              <w:top w:val="nil"/>
              <w:left w:val="nil"/>
              <w:bottom w:val="nil"/>
              <w:right w:val="nil"/>
            </w:tcBorders>
            <w:shd w:val="clear" w:color="000000" w:fill="FFFFFF"/>
            <w:vAlign w:val="bottom"/>
            <w:hideMark/>
          </w:tcPr>
          <w:p w14:paraId="37631FD6"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Daily/Monthly</w:t>
            </w:r>
          </w:p>
        </w:tc>
      </w:tr>
      <w:tr w:rsidR="00721CFD" w:rsidRPr="00D35BDD" w14:paraId="46B6D398" w14:textId="77777777" w:rsidTr="007B5BB3">
        <w:trPr>
          <w:trHeight w:val="288"/>
        </w:trPr>
        <w:tc>
          <w:tcPr>
            <w:tcW w:w="2593" w:type="dxa"/>
            <w:tcBorders>
              <w:top w:val="nil"/>
              <w:left w:val="nil"/>
              <w:bottom w:val="nil"/>
              <w:right w:val="nil"/>
            </w:tcBorders>
            <w:shd w:val="clear" w:color="000000" w:fill="FFFFFF"/>
            <w:noWrap/>
            <w:vAlign w:val="bottom"/>
            <w:hideMark/>
          </w:tcPr>
          <w:p w14:paraId="7120FAE5"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Non-U.S. equities</w:t>
            </w:r>
          </w:p>
        </w:tc>
        <w:tc>
          <w:tcPr>
            <w:tcW w:w="1007" w:type="dxa"/>
            <w:tcBorders>
              <w:top w:val="nil"/>
              <w:left w:val="nil"/>
              <w:bottom w:val="nil"/>
              <w:right w:val="nil"/>
            </w:tcBorders>
            <w:shd w:val="clear" w:color="000000" w:fill="FFFFFF"/>
            <w:noWrap/>
            <w:vAlign w:val="bottom"/>
            <w:hideMark/>
          </w:tcPr>
          <w:p w14:paraId="1946062D" w14:textId="77777777" w:rsidR="00721CFD" w:rsidRPr="00954D00" w:rsidRDefault="00721CFD" w:rsidP="007B5BB3">
            <w:pPr>
              <w:jc w:val="right"/>
              <w:rPr>
                <w:rFonts w:ascii="Calibri" w:eastAsia="Times New Roman" w:hAnsi="Calibri" w:cs="Calibri"/>
              </w:rPr>
            </w:pPr>
            <w:r>
              <w:rPr>
                <w:rFonts w:ascii="Calibri" w:eastAsia="Times New Roman" w:hAnsi="Calibri" w:cs="Calibri"/>
              </w:rPr>
              <w:t>31,324</w:t>
            </w:r>
          </w:p>
        </w:tc>
        <w:tc>
          <w:tcPr>
            <w:tcW w:w="990" w:type="dxa"/>
            <w:tcBorders>
              <w:top w:val="nil"/>
              <w:left w:val="nil"/>
              <w:bottom w:val="nil"/>
              <w:right w:val="nil"/>
            </w:tcBorders>
            <w:shd w:val="clear" w:color="000000" w:fill="FFFFFF"/>
            <w:noWrap/>
            <w:vAlign w:val="bottom"/>
            <w:hideMark/>
          </w:tcPr>
          <w:p w14:paraId="2E679DE0" w14:textId="77777777" w:rsidR="00721CFD" w:rsidRPr="00954D00" w:rsidRDefault="00721CFD" w:rsidP="007B5BB3">
            <w:pPr>
              <w:jc w:val="right"/>
              <w:rPr>
                <w:rFonts w:ascii="Calibri" w:eastAsia="Times New Roman" w:hAnsi="Calibri" w:cs="Calibri"/>
              </w:rPr>
            </w:pPr>
            <w:r>
              <w:rPr>
                <w:rFonts w:ascii="Calibri" w:eastAsia="Times New Roman" w:hAnsi="Calibri" w:cs="Calibri"/>
              </w:rPr>
              <w:t>27,321</w:t>
            </w:r>
          </w:p>
        </w:tc>
        <w:tc>
          <w:tcPr>
            <w:tcW w:w="630" w:type="dxa"/>
            <w:tcBorders>
              <w:top w:val="nil"/>
              <w:left w:val="nil"/>
              <w:bottom w:val="nil"/>
              <w:right w:val="nil"/>
            </w:tcBorders>
            <w:shd w:val="clear" w:color="000000" w:fill="FFFFFF"/>
            <w:noWrap/>
            <w:vAlign w:val="bottom"/>
            <w:hideMark/>
          </w:tcPr>
          <w:p w14:paraId="582076AF"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70760F62"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7C390D72" w14:textId="77777777" w:rsidR="00721CFD" w:rsidRPr="00954D00" w:rsidRDefault="00721CFD" w:rsidP="007B5BB3">
            <w:pPr>
              <w:jc w:val="right"/>
              <w:rPr>
                <w:rFonts w:ascii="Calibri" w:eastAsia="Times New Roman" w:hAnsi="Calibri" w:cs="Calibri"/>
              </w:rPr>
            </w:pPr>
            <w:r>
              <w:rPr>
                <w:rFonts w:ascii="Calibri" w:eastAsia="Times New Roman" w:hAnsi="Calibri" w:cs="Calibri"/>
              </w:rPr>
              <w:t>58,645</w:t>
            </w:r>
          </w:p>
        </w:tc>
        <w:tc>
          <w:tcPr>
            <w:tcW w:w="2610" w:type="dxa"/>
            <w:tcBorders>
              <w:top w:val="nil"/>
              <w:left w:val="nil"/>
              <w:bottom w:val="nil"/>
              <w:right w:val="nil"/>
            </w:tcBorders>
            <w:shd w:val="clear" w:color="000000" w:fill="FFFFFF"/>
            <w:vAlign w:val="bottom"/>
            <w:hideMark/>
          </w:tcPr>
          <w:p w14:paraId="33C5CF84"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Daily/Monthly/Quarterly</w:t>
            </w:r>
          </w:p>
        </w:tc>
      </w:tr>
      <w:tr w:rsidR="00721CFD" w:rsidRPr="00D35BDD" w14:paraId="7CBCC63B" w14:textId="77777777" w:rsidTr="007B5BB3">
        <w:trPr>
          <w:trHeight w:val="288"/>
        </w:trPr>
        <w:tc>
          <w:tcPr>
            <w:tcW w:w="2593" w:type="dxa"/>
            <w:tcBorders>
              <w:top w:val="nil"/>
              <w:left w:val="nil"/>
              <w:bottom w:val="nil"/>
              <w:right w:val="nil"/>
            </w:tcBorders>
            <w:shd w:val="clear" w:color="000000" w:fill="FFFFFF"/>
            <w:noWrap/>
            <w:vAlign w:val="bottom"/>
            <w:hideMark/>
          </w:tcPr>
          <w:p w14:paraId="6EE0437C"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Global equities</w:t>
            </w:r>
          </w:p>
        </w:tc>
        <w:tc>
          <w:tcPr>
            <w:tcW w:w="1007" w:type="dxa"/>
            <w:tcBorders>
              <w:top w:val="nil"/>
              <w:left w:val="nil"/>
              <w:bottom w:val="nil"/>
              <w:right w:val="nil"/>
            </w:tcBorders>
            <w:shd w:val="clear" w:color="000000" w:fill="FFFFFF"/>
            <w:noWrap/>
            <w:vAlign w:val="bottom"/>
            <w:hideMark/>
          </w:tcPr>
          <w:p w14:paraId="2C89E103" w14:textId="77777777" w:rsidR="00721CFD" w:rsidRPr="00954D00" w:rsidRDefault="00721CFD" w:rsidP="007B5BB3">
            <w:pPr>
              <w:jc w:val="right"/>
              <w:rPr>
                <w:rFonts w:ascii="Calibri" w:eastAsia="Times New Roman" w:hAnsi="Calibri" w:cs="Calibri"/>
              </w:rPr>
            </w:pPr>
            <w:r>
              <w:rPr>
                <w:rFonts w:ascii="Calibri" w:eastAsia="Times New Roman" w:hAnsi="Calibri" w:cs="Calibri"/>
              </w:rPr>
              <w:t>41,398</w:t>
            </w:r>
          </w:p>
        </w:tc>
        <w:tc>
          <w:tcPr>
            <w:tcW w:w="990" w:type="dxa"/>
            <w:tcBorders>
              <w:top w:val="nil"/>
              <w:left w:val="nil"/>
              <w:bottom w:val="nil"/>
              <w:right w:val="nil"/>
            </w:tcBorders>
            <w:shd w:val="clear" w:color="000000" w:fill="FFFFFF"/>
            <w:noWrap/>
            <w:vAlign w:val="bottom"/>
            <w:hideMark/>
          </w:tcPr>
          <w:p w14:paraId="4089F865"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080B1F66"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2DC04454"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440A0DCD"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41,</w:t>
            </w:r>
            <w:r>
              <w:rPr>
                <w:rFonts w:ascii="Calibri" w:eastAsia="Times New Roman" w:hAnsi="Calibri" w:cs="Calibri"/>
              </w:rPr>
              <w:t>39</w:t>
            </w:r>
            <w:r w:rsidRPr="00954D00">
              <w:rPr>
                <w:rFonts w:ascii="Calibri" w:eastAsia="Times New Roman" w:hAnsi="Calibri" w:cs="Calibri"/>
              </w:rPr>
              <w:t>8</w:t>
            </w:r>
          </w:p>
        </w:tc>
        <w:tc>
          <w:tcPr>
            <w:tcW w:w="2610" w:type="dxa"/>
            <w:tcBorders>
              <w:top w:val="nil"/>
              <w:left w:val="nil"/>
              <w:bottom w:val="nil"/>
              <w:right w:val="nil"/>
            </w:tcBorders>
            <w:shd w:val="clear" w:color="000000" w:fill="FFFFFF"/>
            <w:vAlign w:val="bottom"/>
            <w:hideMark/>
          </w:tcPr>
          <w:p w14:paraId="50C04FA8"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Monthly/Quarterly</w:t>
            </w:r>
          </w:p>
        </w:tc>
      </w:tr>
      <w:tr w:rsidR="00721CFD" w:rsidRPr="00D35BDD" w14:paraId="3B0A9D3E" w14:textId="77777777" w:rsidTr="007B5BB3">
        <w:trPr>
          <w:trHeight w:val="288"/>
        </w:trPr>
        <w:tc>
          <w:tcPr>
            <w:tcW w:w="2593" w:type="dxa"/>
            <w:tcBorders>
              <w:top w:val="nil"/>
              <w:left w:val="nil"/>
              <w:bottom w:val="nil"/>
              <w:right w:val="nil"/>
            </w:tcBorders>
            <w:shd w:val="clear" w:color="000000" w:fill="FFFFFF"/>
            <w:noWrap/>
            <w:vAlign w:val="bottom"/>
            <w:hideMark/>
          </w:tcPr>
          <w:p w14:paraId="710DBC58"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U.S. fixed income</w:t>
            </w:r>
          </w:p>
        </w:tc>
        <w:tc>
          <w:tcPr>
            <w:tcW w:w="1007" w:type="dxa"/>
            <w:tcBorders>
              <w:top w:val="nil"/>
              <w:left w:val="nil"/>
              <w:bottom w:val="nil"/>
              <w:right w:val="nil"/>
            </w:tcBorders>
            <w:shd w:val="clear" w:color="000000" w:fill="FFFFFF"/>
            <w:noWrap/>
            <w:vAlign w:val="bottom"/>
            <w:hideMark/>
          </w:tcPr>
          <w:p w14:paraId="36FF6000"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7E12A65B"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35,</w:t>
            </w:r>
            <w:r>
              <w:rPr>
                <w:rFonts w:ascii="Calibri" w:eastAsia="Times New Roman" w:hAnsi="Calibri" w:cs="Calibri"/>
              </w:rPr>
              <w:t>109</w:t>
            </w:r>
          </w:p>
        </w:tc>
        <w:tc>
          <w:tcPr>
            <w:tcW w:w="630" w:type="dxa"/>
            <w:tcBorders>
              <w:top w:val="nil"/>
              <w:left w:val="nil"/>
              <w:bottom w:val="nil"/>
              <w:right w:val="nil"/>
            </w:tcBorders>
            <w:shd w:val="clear" w:color="000000" w:fill="FFFFFF"/>
            <w:noWrap/>
            <w:vAlign w:val="bottom"/>
            <w:hideMark/>
          </w:tcPr>
          <w:p w14:paraId="2C84E067"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00A1A644"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54741FD2"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35,</w:t>
            </w:r>
            <w:r>
              <w:rPr>
                <w:rFonts w:ascii="Calibri" w:eastAsia="Times New Roman" w:hAnsi="Calibri" w:cs="Calibri"/>
              </w:rPr>
              <w:t>109</w:t>
            </w:r>
          </w:p>
        </w:tc>
        <w:tc>
          <w:tcPr>
            <w:tcW w:w="2610" w:type="dxa"/>
            <w:tcBorders>
              <w:top w:val="nil"/>
              <w:left w:val="nil"/>
              <w:bottom w:val="nil"/>
              <w:right w:val="nil"/>
            </w:tcBorders>
            <w:shd w:val="clear" w:color="000000" w:fill="FFFFFF"/>
            <w:vAlign w:val="bottom"/>
            <w:hideMark/>
          </w:tcPr>
          <w:p w14:paraId="05F5A013"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Daily</w:t>
            </w:r>
          </w:p>
        </w:tc>
      </w:tr>
      <w:tr w:rsidR="00721CFD" w:rsidRPr="00D35BDD" w14:paraId="049EB245" w14:textId="77777777" w:rsidTr="007B5BB3">
        <w:trPr>
          <w:trHeight w:val="288"/>
        </w:trPr>
        <w:tc>
          <w:tcPr>
            <w:tcW w:w="2593" w:type="dxa"/>
            <w:tcBorders>
              <w:top w:val="nil"/>
              <w:left w:val="nil"/>
              <w:bottom w:val="nil"/>
              <w:right w:val="nil"/>
            </w:tcBorders>
            <w:shd w:val="clear" w:color="000000" w:fill="FFFFFF"/>
            <w:noWrap/>
            <w:vAlign w:val="bottom"/>
            <w:hideMark/>
          </w:tcPr>
          <w:p w14:paraId="213F3109"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Total private investments</w:t>
            </w:r>
          </w:p>
        </w:tc>
        <w:tc>
          <w:tcPr>
            <w:tcW w:w="1007" w:type="dxa"/>
            <w:tcBorders>
              <w:top w:val="nil"/>
              <w:left w:val="nil"/>
              <w:bottom w:val="nil"/>
              <w:right w:val="nil"/>
            </w:tcBorders>
            <w:shd w:val="clear" w:color="000000" w:fill="FFFFFF"/>
            <w:noWrap/>
            <w:vAlign w:val="bottom"/>
            <w:hideMark/>
          </w:tcPr>
          <w:p w14:paraId="1048F420" w14:textId="77777777" w:rsidR="00721CFD" w:rsidRPr="00954D00" w:rsidRDefault="00721CFD" w:rsidP="007B5BB3">
            <w:pPr>
              <w:jc w:val="right"/>
              <w:rPr>
                <w:rFonts w:ascii="Calibri" w:eastAsia="Times New Roman" w:hAnsi="Calibri" w:cs="Calibri"/>
              </w:rPr>
            </w:pPr>
            <w:r>
              <w:rPr>
                <w:rFonts w:ascii="Calibri" w:eastAsia="Times New Roman" w:hAnsi="Calibri" w:cs="Calibri"/>
              </w:rPr>
              <w:t>49,269</w:t>
            </w:r>
          </w:p>
        </w:tc>
        <w:tc>
          <w:tcPr>
            <w:tcW w:w="990" w:type="dxa"/>
            <w:tcBorders>
              <w:top w:val="nil"/>
              <w:left w:val="nil"/>
              <w:bottom w:val="nil"/>
              <w:right w:val="nil"/>
            </w:tcBorders>
            <w:shd w:val="clear" w:color="000000" w:fill="FFFFFF"/>
            <w:noWrap/>
            <w:vAlign w:val="bottom"/>
            <w:hideMark/>
          </w:tcPr>
          <w:p w14:paraId="59CA1889"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391C205A"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0711FBB5"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57F20E84" w14:textId="77777777" w:rsidR="00721CFD" w:rsidRPr="00954D00" w:rsidRDefault="00721CFD" w:rsidP="007B5BB3">
            <w:pPr>
              <w:jc w:val="right"/>
              <w:rPr>
                <w:rFonts w:ascii="Calibri" w:eastAsia="Times New Roman" w:hAnsi="Calibri" w:cs="Calibri"/>
              </w:rPr>
            </w:pPr>
            <w:r>
              <w:rPr>
                <w:rFonts w:ascii="Calibri" w:eastAsia="Times New Roman" w:hAnsi="Calibri" w:cs="Calibri"/>
              </w:rPr>
              <w:t>49,269</w:t>
            </w:r>
          </w:p>
        </w:tc>
        <w:tc>
          <w:tcPr>
            <w:tcW w:w="2610" w:type="dxa"/>
            <w:tcBorders>
              <w:top w:val="nil"/>
              <w:left w:val="nil"/>
              <w:bottom w:val="nil"/>
              <w:right w:val="nil"/>
            </w:tcBorders>
            <w:shd w:val="clear" w:color="000000" w:fill="FFFFFF"/>
            <w:vAlign w:val="bottom"/>
            <w:hideMark/>
          </w:tcPr>
          <w:p w14:paraId="7C23CDE5"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Illiquid</w:t>
            </w:r>
          </w:p>
        </w:tc>
      </w:tr>
      <w:tr w:rsidR="00721CFD" w:rsidRPr="00D35BDD" w14:paraId="723172FC" w14:textId="77777777" w:rsidTr="007B5BB3">
        <w:trPr>
          <w:trHeight w:val="576"/>
        </w:trPr>
        <w:tc>
          <w:tcPr>
            <w:tcW w:w="2593" w:type="dxa"/>
            <w:tcBorders>
              <w:top w:val="nil"/>
              <w:left w:val="nil"/>
              <w:bottom w:val="nil"/>
              <w:right w:val="nil"/>
            </w:tcBorders>
            <w:shd w:val="clear" w:color="000000" w:fill="FFFFFF"/>
            <w:noWrap/>
            <w:vAlign w:val="bottom"/>
            <w:hideMark/>
          </w:tcPr>
          <w:p w14:paraId="5729C014"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Alternative investments</w:t>
            </w:r>
          </w:p>
        </w:tc>
        <w:tc>
          <w:tcPr>
            <w:tcW w:w="1007" w:type="dxa"/>
            <w:tcBorders>
              <w:top w:val="nil"/>
              <w:left w:val="nil"/>
              <w:bottom w:val="nil"/>
              <w:right w:val="nil"/>
            </w:tcBorders>
            <w:shd w:val="clear" w:color="000000" w:fill="FFFFFF"/>
            <w:noWrap/>
            <w:vAlign w:val="bottom"/>
            <w:hideMark/>
          </w:tcPr>
          <w:p w14:paraId="77BAB640"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3</w:t>
            </w:r>
            <w:r>
              <w:rPr>
                <w:rFonts w:ascii="Calibri" w:eastAsia="Times New Roman" w:hAnsi="Calibri" w:cs="Calibri"/>
              </w:rPr>
              <w:t>8,017</w:t>
            </w:r>
          </w:p>
        </w:tc>
        <w:tc>
          <w:tcPr>
            <w:tcW w:w="990" w:type="dxa"/>
            <w:tcBorders>
              <w:top w:val="nil"/>
              <w:left w:val="nil"/>
              <w:bottom w:val="nil"/>
              <w:right w:val="nil"/>
            </w:tcBorders>
            <w:shd w:val="clear" w:color="000000" w:fill="FFFFFF"/>
            <w:noWrap/>
            <w:vAlign w:val="bottom"/>
            <w:hideMark/>
          </w:tcPr>
          <w:p w14:paraId="50EEA02C"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6D83999D"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6CA90FDF"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2CD2D752"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3</w:t>
            </w:r>
            <w:r>
              <w:rPr>
                <w:rFonts w:ascii="Calibri" w:eastAsia="Times New Roman" w:hAnsi="Calibri" w:cs="Calibri"/>
              </w:rPr>
              <w:t>8,017</w:t>
            </w:r>
          </w:p>
        </w:tc>
        <w:tc>
          <w:tcPr>
            <w:tcW w:w="2610" w:type="dxa"/>
            <w:tcBorders>
              <w:top w:val="nil"/>
              <w:left w:val="nil"/>
              <w:bottom w:val="nil"/>
              <w:right w:val="nil"/>
            </w:tcBorders>
            <w:shd w:val="clear" w:color="000000" w:fill="FFFFFF"/>
            <w:vAlign w:val="bottom"/>
            <w:hideMark/>
          </w:tcPr>
          <w:p w14:paraId="2F9B41A0"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Monthly/Quarterly/Semi-Annually/Annually</w:t>
            </w:r>
          </w:p>
        </w:tc>
      </w:tr>
      <w:tr w:rsidR="00721CFD" w:rsidRPr="00D35BDD" w14:paraId="7A9F371B" w14:textId="77777777" w:rsidTr="007B5BB3">
        <w:trPr>
          <w:trHeight w:val="288"/>
        </w:trPr>
        <w:tc>
          <w:tcPr>
            <w:tcW w:w="2593" w:type="dxa"/>
            <w:tcBorders>
              <w:top w:val="nil"/>
              <w:left w:val="nil"/>
              <w:bottom w:val="nil"/>
              <w:right w:val="nil"/>
            </w:tcBorders>
            <w:shd w:val="clear" w:color="000000" w:fill="FFFFFF"/>
            <w:noWrap/>
            <w:vAlign w:val="bottom"/>
            <w:hideMark/>
          </w:tcPr>
          <w:p w14:paraId="6E1521E8"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Cash</w:t>
            </w:r>
          </w:p>
        </w:tc>
        <w:tc>
          <w:tcPr>
            <w:tcW w:w="1007" w:type="dxa"/>
            <w:tcBorders>
              <w:top w:val="nil"/>
              <w:left w:val="nil"/>
              <w:bottom w:val="nil"/>
              <w:right w:val="nil"/>
            </w:tcBorders>
            <w:shd w:val="clear" w:color="000000" w:fill="FFFFFF"/>
            <w:noWrap/>
            <w:vAlign w:val="bottom"/>
            <w:hideMark/>
          </w:tcPr>
          <w:p w14:paraId="3BC2C4EE"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3A09BDD8" w14:textId="77777777" w:rsidR="00721CFD" w:rsidRPr="00954D00" w:rsidRDefault="00721CFD" w:rsidP="007B5BB3">
            <w:pPr>
              <w:jc w:val="right"/>
              <w:rPr>
                <w:rFonts w:ascii="Calibri" w:eastAsia="Times New Roman" w:hAnsi="Calibri" w:cs="Calibri"/>
              </w:rPr>
            </w:pPr>
            <w:r>
              <w:rPr>
                <w:rFonts w:ascii="Calibri" w:eastAsia="Times New Roman" w:hAnsi="Calibri" w:cs="Calibri"/>
              </w:rPr>
              <w:t>961</w:t>
            </w:r>
          </w:p>
        </w:tc>
        <w:tc>
          <w:tcPr>
            <w:tcW w:w="630" w:type="dxa"/>
            <w:tcBorders>
              <w:top w:val="nil"/>
              <w:left w:val="nil"/>
              <w:bottom w:val="nil"/>
              <w:right w:val="nil"/>
            </w:tcBorders>
            <w:shd w:val="clear" w:color="000000" w:fill="FFFFFF"/>
            <w:noWrap/>
            <w:vAlign w:val="bottom"/>
            <w:hideMark/>
          </w:tcPr>
          <w:p w14:paraId="22C4EA14"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0" w:type="dxa"/>
            <w:tcBorders>
              <w:top w:val="nil"/>
              <w:left w:val="nil"/>
              <w:bottom w:val="nil"/>
              <w:right w:val="nil"/>
            </w:tcBorders>
            <w:shd w:val="clear" w:color="000000" w:fill="FFFFFF"/>
            <w:noWrap/>
            <w:vAlign w:val="bottom"/>
            <w:hideMark/>
          </w:tcPr>
          <w:p w14:paraId="7754B63D" w14:textId="77777777" w:rsidR="00721CFD" w:rsidRPr="00954D00"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0" w:type="dxa"/>
            <w:tcBorders>
              <w:top w:val="nil"/>
              <w:left w:val="nil"/>
              <w:bottom w:val="nil"/>
              <w:right w:val="nil"/>
            </w:tcBorders>
            <w:shd w:val="clear" w:color="000000" w:fill="FFFFFF"/>
            <w:noWrap/>
            <w:vAlign w:val="bottom"/>
            <w:hideMark/>
          </w:tcPr>
          <w:p w14:paraId="07E02C1D" w14:textId="77777777" w:rsidR="00721CFD" w:rsidRPr="00954D00" w:rsidRDefault="00721CFD" w:rsidP="007B5BB3">
            <w:pPr>
              <w:jc w:val="right"/>
              <w:rPr>
                <w:rFonts w:ascii="Calibri" w:eastAsia="Times New Roman" w:hAnsi="Calibri" w:cs="Calibri"/>
              </w:rPr>
            </w:pPr>
            <w:r>
              <w:rPr>
                <w:rFonts w:ascii="Calibri" w:eastAsia="Times New Roman" w:hAnsi="Calibri" w:cs="Calibri"/>
              </w:rPr>
              <w:t>961</w:t>
            </w:r>
          </w:p>
        </w:tc>
        <w:tc>
          <w:tcPr>
            <w:tcW w:w="2610" w:type="dxa"/>
            <w:tcBorders>
              <w:top w:val="nil"/>
              <w:left w:val="nil"/>
              <w:bottom w:val="nil"/>
              <w:right w:val="nil"/>
            </w:tcBorders>
            <w:shd w:val="clear" w:color="000000" w:fill="FFFFFF"/>
            <w:vAlign w:val="bottom"/>
            <w:hideMark/>
          </w:tcPr>
          <w:p w14:paraId="3E090204"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Daily</w:t>
            </w:r>
          </w:p>
        </w:tc>
      </w:tr>
      <w:tr w:rsidR="00721CFD" w:rsidRPr="00D35BDD" w14:paraId="7D9BB40A" w14:textId="77777777" w:rsidTr="007B5BB3">
        <w:trPr>
          <w:trHeight w:val="588"/>
        </w:trPr>
        <w:tc>
          <w:tcPr>
            <w:tcW w:w="2593" w:type="dxa"/>
            <w:tcBorders>
              <w:top w:val="single" w:sz="4" w:space="0" w:color="00688D"/>
              <w:left w:val="nil"/>
              <w:bottom w:val="double" w:sz="6" w:space="0" w:color="00688D"/>
              <w:right w:val="nil"/>
            </w:tcBorders>
            <w:shd w:val="clear" w:color="000000" w:fill="FFFFFF"/>
            <w:vAlign w:val="bottom"/>
            <w:hideMark/>
          </w:tcPr>
          <w:p w14:paraId="4911F6FA" w14:textId="77777777" w:rsidR="00721CFD" w:rsidRPr="00D35BDD" w:rsidRDefault="00721CFD" w:rsidP="007B5BB3">
            <w:pPr>
              <w:rPr>
                <w:rFonts w:ascii="Calibri" w:eastAsia="Times New Roman" w:hAnsi="Calibri" w:cs="Calibri"/>
                <w:b/>
                <w:bCs/>
                <w:color w:val="0D0D0D"/>
              </w:rPr>
            </w:pPr>
            <w:r w:rsidRPr="00D35BDD">
              <w:rPr>
                <w:rFonts w:ascii="Calibri" w:eastAsia="Times New Roman" w:hAnsi="Calibri" w:cs="Calibri"/>
                <w:b/>
                <w:bCs/>
                <w:color w:val="0D0D0D"/>
              </w:rPr>
              <w:t>Total long-term investments, endowment</w:t>
            </w:r>
          </w:p>
        </w:tc>
        <w:tc>
          <w:tcPr>
            <w:tcW w:w="1007" w:type="dxa"/>
            <w:tcBorders>
              <w:top w:val="single" w:sz="4" w:space="0" w:color="00688D"/>
              <w:left w:val="nil"/>
              <w:bottom w:val="double" w:sz="6" w:space="0" w:color="00688D"/>
              <w:right w:val="nil"/>
            </w:tcBorders>
            <w:shd w:val="clear" w:color="000000" w:fill="FFFFFF"/>
            <w:noWrap/>
            <w:vAlign w:val="bottom"/>
            <w:hideMark/>
          </w:tcPr>
          <w:p w14:paraId="513CAB83" w14:textId="77777777" w:rsidR="00721CFD" w:rsidRPr="00954D00" w:rsidRDefault="00721CFD" w:rsidP="007B5BB3">
            <w:pPr>
              <w:jc w:val="right"/>
              <w:rPr>
                <w:rFonts w:ascii="Calibri" w:eastAsia="Times New Roman" w:hAnsi="Calibri" w:cs="Calibri"/>
                <w:b/>
                <w:bCs/>
              </w:rPr>
            </w:pPr>
            <w:r w:rsidRPr="00954D00">
              <w:rPr>
                <w:rFonts w:ascii="Calibri" w:eastAsia="Times New Roman" w:hAnsi="Calibri" w:cs="Calibri"/>
                <w:b/>
                <w:bCs/>
              </w:rPr>
              <w:t>$</w:t>
            </w:r>
            <w:r>
              <w:rPr>
                <w:rFonts w:ascii="Calibri" w:eastAsia="Times New Roman" w:hAnsi="Calibri" w:cs="Calibri"/>
                <w:b/>
                <w:bCs/>
              </w:rPr>
              <w:t>250,345</w:t>
            </w:r>
          </w:p>
        </w:tc>
        <w:tc>
          <w:tcPr>
            <w:tcW w:w="990" w:type="dxa"/>
            <w:tcBorders>
              <w:top w:val="single" w:sz="4" w:space="0" w:color="00688D"/>
              <w:left w:val="nil"/>
              <w:bottom w:val="double" w:sz="6" w:space="0" w:color="00688D"/>
              <w:right w:val="nil"/>
            </w:tcBorders>
            <w:shd w:val="clear" w:color="000000" w:fill="FFFFFF"/>
            <w:noWrap/>
            <w:vAlign w:val="bottom"/>
            <w:hideMark/>
          </w:tcPr>
          <w:p w14:paraId="1F8CA080" w14:textId="77777777" w:rsidR="00721CFD" w:rsidRPr="00954D00" w:rsidRDefault="00721CFD" w:rsidP="007B5BB3">
            <w:pPr>
              <w:jc w:val="right"/>
              <w:rPr>
                <w:rFonts w:ascii="Calibri" w:eastAsia="Times New Roman" w:hAnsi="Calibri" w:cs="Calibri"/>
                <w:b/>
                <w:bCs/>
              </w:rPr>
            </w:pPr>
            <w:r w:rsidRPr="00954D00">
              <w:rPr>
                <w:rFonts w:ascii="Calibri" w:eastAsia="Times New Roman" w:hAnsi="Calibri" w:cs="Calibri"/>
                <w:b/>
                <w:bCs/>
              </w:rPr>
              <w:t>$</w:t>
            </w:r>
            <w:r>
              <w:rPr>
                <w:rFonts w:ascii="Calibri" w:eastAsia="Times New Roman" w:hAnsi="Calibri" w:cs="Calibri"/>
                <w:b/>
                <w:bCs/>
              </w:rPr>
              <w:t>78,697</w:t>
            </w:r>
          </w:p>
        </w:tc>
        <w:tc>
          <w:tcPr>
            <w:tcW w:w="630" w:type="dxa"/>
            <w:tcBorders>
              <w:top w:val="single" w:sz="4" w:space="0" w:color="00688D"/>
              <w:left w:val="nil"/>
              <w:bottom w:val="double" w:sz="6" w:space="0" w:color="00688D"/>
              <w:right w:val="nil"/>
            </w:tcBorders>
            <w:shd w:val="clear" w:color="000000" w:fill="FFFFFF"/>
            <w:noWrap/>
            <w:vAlign w:val="bottom"/>
            <w:hideMark/>
          </w:tcPr>
          <w:p w14:paraId="70F61528" w14:textId="77777777" w:rsidR="00721CFD" w:rsidRPr="00954D00" w:rsidRDefault="00721CFD" w:rsidP="007B5BB3">
            <w:pPr>
              <w:jc w:val="right"/>
              <w:rPr>
                <w:rFonts w:ascii="Calibri" w:eastAsia="Times New Roman" w:hAnsi="Calibri" w:cs="Calibri"/>
                <w:b/>
                <w:bCs/>
              </w:rPr>
            </w:pPr>
            <w:r w:rsidRPr="00954D00">
              <w:rPr>
                <w:rFonts w:ascii="Calibri" w:eastAsia="Times New Roman" w:hAnsi="Calibri" w:cs="Calibri"/>
                <w:b/>
                <w:bCs/>
              </w:rPr>
              <w:t>$    -</w:t>
            </w:r>
          </w:p>
        </w:tc>
        <w:tc>
          <w:tcPr>
            <w:tcW w:w="630" w:type="dxa"/>
            <w:tcBorders>
              <w:top w:val="single" w:sz="4" w:space="0" w:color="00688D"/>
              <w:left w:val="nil"/>
              <w:bottom w:val="double" w:sz="6" w:space="0" w:color="00688D"/>
              <w:right w:val="nil"/>
            </w:tcBorders>
            <w:shd w:val="clear" w:color="000000" w:fill="FFFFFF"/>
            <w:noWrap/>
            <w:vAlign w:val="bottom"/>
            <w:hideMark/>
          </w:tcPr>
          <w:p w14:paraId="2B968463" w14:textId="77777777" w:rsidR="00721CFD" w:rsidRPr="00954D00" w:rsidRDefault="00721CFD" w:rsidP="007B5BB3">
            <w:pPr>
              <w:jc w:val="right"/>
              <w:rPr>
                <w:rFonts w:ascii="Calibri" w:eastAsia="Times New Roman" w:hAnsi="Calibri" w:cs="Calibri"/>
                <w:b/>
                <w:bCs/>
              </w:rPr>
            </w:pPr>
            <w:r w:rsidRPr="00954D00">
              <w:rPr>
                <w:rFonts w:ascii="Calibri" w:eastAsia="Times New Roman" w:hAnsi="Calibri" w:cs="Calibri"/>
                <w:b/>
                <w:bCs/>
              </w:rPr>
              <w:t>$      -</w:t>
            </w:r>
          </w:p>
        </w:tc>
        <w:tc>
          <w:tcPr>
            <w:tcW w:w="990" w:type="dxa"/>
            <w:tcBorders>
              <w:top w:val="single" w:sz="4" w:space="0" w:color="00688D"/>
              <w:left w:val="nil"/>
              <w:bottom w:val="double" w:sz="6" w:space="0" w:color="00688D"/>
              <w:right w:val="nil"/>
            </w:tcBorders>
            <w:shd w:val="clear" w:color="000000" w:fill="FFFFFF"/>
            <w:noWrap/>
            <w:vAlign w:val="bottom"/>
            <w:hideMark/>
          </w:tcPr>
          <w:p w14:paraId="48619053" w14:textId="77777777" w:rsidR="00721CFD" w:rsidRPr="00954D00" w:rsidRDefault="00721CFD" w:rsidP="007B5BB3">
            <w:pPr>
              <w:jc w:val="right"/>
              <w:rPr>
                <w:rFonts w:ascii="Calibri" w:eastAsia="Times New Roman" w:hAnsi="Calibri" w:cs="Calibri"/>
                <w:b/>
                <w:bCs/>
              </w:rPr>
            </w:pPr>
            <w:r w:rsidRPr="00954D00">
              <w:rPr>
                <w:rFonts w:ascii="Calibri" w:eastAsia="Times New Roman" w:hAnsi="Calibri" w:cs="Calibri"/>
                <w:b/>
                <w:bCs/>
              </w:rPr>
              <w:t>$3</w:t>
            </w:r>
            <w:r>
              <w:rPr>
                <w:rFonts w:ascii="Calibri" w:eastAsia="Times New Roman" w:hAnsi="Calibri" w:cs="Calibri"/>
                <w:b/>
                <w:bCs/>
              </w:rPr>
              <w:t>29,042</w:t>
            </w:r>
          </w:p>
        </w:tc>
        <w:tc>
          <w:tcPr>
            <w:tcW w:w="2610" w:type="dxa"/>
            <w:tcBorders>
              <w:top w:val="single" w:sz="4" w:space="0" w:color="00688D"/>
              <w:left w:val="nil"/>
              <w:bottom w:val="double" w:sz="6" w:space="0" w:color="00688D"/>
              <w:right w:val="nil"/>
            </w:tcBorders>
            <w:shd w:val="clear" w:color="000000" w:fill="FFFFFF"/>
            <w:noWrap/>
            <w:vAlign w:val="bottom"/>
            <w:hideMark/>
          </w:tcPr>
          <w:p w14:paraId="61EA8921" w14:textId="77777777" w:rsidR="00721CFD" w:rsidRPr="00D35BDD" w:rsidRDefault="00721CFD" w:rsidP="007B5BB3">
            <w:pPr>
              <w:rPr>
                <w:rFonts w:ascii="Calibri" w:eastAsia="Times New Roman" w:hAnsi="Calibri" w:cs="Calibri"/>
                <w:b/>
                <w:bCs/>
                <w:color w:val="0D0D0D"/>
              </w:rPr>
            </w:pPr>
            <w:r w:rsidRPr="00D35BDD">
              <w:rPr>
                <w:rFonts w:ascii="Calibri" w:eastAsia="Times New Roman" w:hAnsi="Calibri" w:cs="Calibri"/>
                <w:b/>
                <w:bCs/>
                <w:color w:val="0D0D0D"/>
              </w:rPr>
              <w:t> </w:t>
            </w:r>
          </w:p>
        </w:tc>
      </w:tr>
    </w:tbl>
    <w:p w14:paraId="5956E9E7" w14:textId="77777777" w:rsidR="00721CFD" w:rsidRDefault="00721CFD" w:rsidP="00721CFD"/>
    <w:p w14:paraId="76582FF0" w14:textId="77777777" w:rsidR="00721CFD" w:rsidRPr="00AF1FF3" w:rsidRDefault="00721CFD" w:rsidP="00721CFD">
      <w:pPr>
        <w:rPr>
          <w:color w:val="0D0D0D" w:themeColor="text1" w:themeTint="F2"/>
        </w:rPr>
      </w:pPr>
      <w:r w:rsidRPr="00F54559">
        <w:rPr>
          <w:rFonts w:cstheme="minorHAnsi"/>
          <w:spacing w:val="-3"/>
          <w:sz w:val="24"/>
        </w:rPr>
        <w:t xml:space="preserve">The following table summarizes the Foundation's long-term endowment investments by class in the fair value hierarchy as of </w:t>
      </w:r>
      <w:r>
        <w:rPr>
          <w:rFonts w:cstheme="minorHAnsi"/>
          <w:spacing w:val="-3"/>
          <w:sz w:val="24"/>
        </w:rPr>
        <w:t>June 30, 2021</w:t>
      </w:r>
      <w:r w:rsidRPr="00F54559">
        <w:rPr>
          <w:rFonts w:cstheme="minorHAnsi"/>
          <w:spacing w:val="-3"/>
          <w:sz w:val="24"/>
        </w:rPr>
        <w:t>:</w:t>
      </w:r>
    </w:p>
    <w:tbl>
      <w:tblPr>
        <w:tblW w:w="9493" w:type="dxa"/>
        <w:tblLayout w:type="fixed"/>
        <w:tblCellMar>
          <w:left w:w="72" w:type="dxa"/>
          <w:right w:w="72" w:type="dxa"/>
        </w:tblCellMar>
        <w:tblLook w:val="04A0" w:firstRow="1" w:lastRow="0" w:firstColumn="1" w:lastColumn="0" w:noHBand="0" w:noVBand="1"/>
      </w:tblPr>
      <w:tblGrid>
        <w:gridCol w:w="2593"/>
        <w:gridCol w:w="12"/>
        <w:gridCol w:w="995"/>
        <w:gridCol w:w="892"/>
        <w:gridCol w:w="20"/>
        <w:gridCol w:w="618"/>
        <w:gridCol w:w="23"/>
        <w:gridCol w:w="607"/>
        <w:gridCol w:w="26"/>
        <w:gridCol w:w="964"/>
        <w:gridCol w:w="30"/>
        <w:gridCol w:w="2670"/>
        <w:gridCol w:w="43"/>
      </w:tblGrid>
      <w:tr w:rsidR="00721CFD" w:rsidRPr="00D35BDD" w14:paraId="0439D724" w14:textId="77777777" w:rsidTr="007B5BB3">
        <w:trPr>
          <w:trHeight w:val="615"/>
          <w:tblHeader/>
        </w:trPr>
        <w:tc>
          <w:tcPr>
            <w:tcW w:w="2605" w:type="dxa"/>
            <w:gridSpan w:val="2"/>
            <w:tcBorders>
              <w:top w:val="nil"/>
              <w:left w:val="nil"/>
              <w:bottom w:val="single" w:sz="12" w:space="0" w:color="00688D"/>
              <w:right w:val="nil"/>
            </w:tcBorders>
            <w:shd w:val="clear" w:color="000000" w:fill="FFFFFF"/>
            <w:noWrap/>
            <w:vAlign w:val="bottom"/>
            <w:hideMark/>
          </w:tcPr>
          <w:p w14:paraId="3033EF0B" w14:textId="77777777" w:rsidR="00721CFD" w:rsidRPr="00D35BDD" w:rsidRDefault="00721CFD" w:rsidP="007B5BB3">
            <w:pPr>
              <w:rPr>
                <w:rFonts w:ascii="Calibri" w:eastAsia="Times New Roman" w:hAnsi="Calibri" w:cs="Calibri"/>
                <w:b/>
                <w:bCs/>
                <w:color w:val="0D0D0D"/>
              </w:rPr>
            </w:pPr>
            <w:r w:rsidRPr="00D35BDD">
              <w:rPr>
                <w:rFonts w:ascii="Calibri" w:eastAsia="Times New Roman" w:hAnsi="Calibri" w:cs="Calibri"/>
                <w:b/>
                <w:bCs/>
                <w:color w:val="0D0D0D"/>
              </w:rPr>
              <w:t> </w:t>
            </w:r>
          </w:p>
        </w:tc>
        <w:tc>
          <w:tcPr>
            <w:tcW w:w="995" w:type="dxa"/>
            <w:tcBorders>
              <w:top w:val="nil"/>
              <w:left w:val="nil"/>
              <w:bottom w:val="single" w:sz="12" w:space="0" w:color="00688D"/>
              <w:right w:val="nil"/>
            </w:tcBorders>
            <w:shd w:val="clear" w:color="000000" w:fill="FFFFFF"/>
            <w:vAlign w:val="bottom"/>
            <w:hideMark/>
          </w:tcPr>
          <w:p w14:paraId="53663F5A"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NAV</w:t>
            </w:r>
          </w:p>
        </w:tc>
        <w:tc>
          <w:tcPr>
            <w:tcW w:w="912" w:type="dxa"/>
            <w:gridSpan w:val="2"/>
            <w:tcBorders>
              <w:top w:val="nil"/>
              <w:left w:val="nil"/>
              <w:bottom w:val="single" w:sz="12" w:space="0" w:color="00688D"/>
              <w:right w:val="nil"/>
            </w:tcBorders>
            <w:shd w:val="clear" w:color="000000" w:fill="FFFFFF"/>
            <w:vAlign w:val="bottom"/>
            <w:hideMark/>
          </w:tcPr>
          <w:p w14:paraId="14994F0B"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Level 1</w:t>
            </w:r>
          </w:p>
        </w:tc>
        <w:tc>
          <w:tcPr>
            <w:tcW w:w="641" w:type="dxa"/>
            <w:gridSpan w:val="2"/>
            <w:tcBorders>
              <w:top w:val="nil"/>
              <w:left w:val="nil"/>
              <w:bottom w:val="single" w:sz="12" w:space="0" w:color="00688D"/>
              <w:right w:val="nil"/>
            </w:tcBorders>
            <w:shd w:val="clear" w:color="000000" w:fill="FFFFFF"/>
            <w:vAlign w:val="bottom"/>
            <w:hideMark/>
          </w:tcPr>
          <w:p w14:paraId="587A0953"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Level 2</w:t>
            </w:r>
          </w:p>
        </w:tc>
        <w:tc>
          <w:tcPr>
            <w:tcW w:w="633" w:type="dxa"/>
            <w:gridSpan w:val="2"/>
            <w:tcBorders>
              <w:top w:val="nil"/>
              <w:left w:val="nil"/>
              <w:bottom w:val="single" w:sz="12" w:space="0" w:color="00688D"/>
              <w:right w:val="nil"/>
            </w:tcBorders>
            <w:shd w:val="clear" w:color="000000" w:fill="FFFFFF"/>
            <w:vAlign w:val="bottom"/>
            <w:hideMark/>
          </w:tcPr>
          <w:p w14:paraId="5CC4950F"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Level 3</w:t>
            </w:r>
          </w:p>
        </w:tc>
        <w:tc>
          <w:tcPr>
            <w:tcW w:w="994" w:type="dxa"/>
            <w:gridSpan w:val="2"/>
            <w:tcBorders>
              <w:top w:val="nil"/>
              <w:left w:val="nil"/>
              <w:bottom w:val="single" w:sz="12" w:space="0" w:color="00688D"/>
              <w:right w:val="nil"/>
            </w:tcBorders>
            <w:shd w:val="clear" w:color="000000" w:fill="FFFFFF"/>
            <w:vAlign w:val="bottom"/>
            <w:hideMark/>
          </w:tcPr>
          <w:p w14:paraId="7C974D77"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Total</w:t>
            </w:r>
          </w:p>
        </w:tc>
        <w:tc>
          <w:tcPr>
            <w:tcW w:w="2713" w:type="dxa"/>
            <w:gridSpan w:val="2"/>
            <w:tcBorders>
              <w:top w:val="nil"/>
              <w:left w:val="nil"/>
              <w:bottom w:val="single" w:sz="12" w:space="0" w:color="00688D"/>
              <w:right w:val="nil"/>
            </w:tcBorders>
            <w:shd w:val="clear" w:color="000000" w:fill="FFFFFF"/>
            <w:vAlign w:val="bottom"/>
            <w:hideMark/>
          </w:tcPr>
          <w:p w14:paraId="5383D972" w14:textId="77777777" w:rsidR="00721CFD" w:rsidRPr="00D35BDD" w:rsidRDefault="00721CFD" w:rsidP="007B5BB3">
            <w:pPr>
              <w:jc w:val="center"/>
              <w:rPr>
                <w:rFonts w:ascii="Calibri" w:eastAsia="Times New Roman" w:hAnsi="Calibri" w:cs="Calibri"/>
                <w:b/>
                <w:bCs/>
                <w:color w:val="0D0D0D"/>
              </w:rPr>
            </w:pPr>
            <w:r w:rsidRPr="00D35BDD">
              <w:rPr>
                <w:rFonts w:ascii="Calibri" w:eastAsia="Times New Roman" w:hAnsi="Calibri" w:cs="Calibri"/>
                <w:b/>
                <w:bCs/>
                <w:color w:val="0D0D0D"/>
              </w:rPr>
              <w:t>Liquidity</w:t>
            </w:r>
          </w:p>
        </w:tc>
      </w:tr>
      <w:tr w:rsidR="00721CFD" w:rsidRPr="00D35BDD" w14:paraId="69013E5B" w14:textId="77777777" w:rsidTr="007B5BB3">
        <w:trPr>
          <w:trHeight w:val="307"/>
        </w:trPr>
        <w:tc>
          <w:tcPr>
            <w:tcW w:w="2605" w:type="dxa"/>
            <w:gridSpan w:val="2"/>
            <w:tcBorders>
              <w:top w:val="nil"/>
              <w:left w:val="nil"/>
              <w:bottom w:val="nil"/>
              <w:right w:val="nil"/>
            </w:tcBorders>
            <w:shd w:val="clear" w:color="000000" w:fill="FFFFFF"/>
            <w:noWrap/>
            <w:vAlign w:val="bottom"/>
            <w:hideMark/>
          </w:tcPr>
          <w:p w14:paraId="39FF22B2"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U.S. equities</w:t>
            </w:r>
          </w:p>
        </w:tc>
        <w:tc>
          <w:tcPr>
            <w:tcW w:w="995" w:type="dxa"/>
            <w:tcBorders>
              <w:top w:val="nil"/>
              <w:left w:val="nil"/>
              <w:bottom w:val="nil"/>
              <w:right w:val="nil"/>
            </w:tcBorders>
            <w:shd w:val="clear" w:color="000000" w:fill="FFFFFF"/>
            <w:noWrap/>
            <w:vAlign w:val="bottom"/>
            <w:hideMark/>
          </w:tcPr>
          <w:p w14:paraId="0BE2DD5C" w14:textId="77777777" w:rsidR="00721CFD" w:rsidRPr="00D53A89" w:rsidRDefault="00721CFD" w:rsidP="007B5BB3">
            <w:pPr>
              <w:jc w:val="right"/>
              <w:rPr>
                <w:rFonts w:ascii="Calibri" w:eastAsia="Times New Roman" w:hAnsi="Calibri" w:cs="Calibri"/>
              </w:rPr>
            </w:pPr>
            <w:r>
              <w:rPr>
                <w:rFonts w:ascii="Calibri" w:eastAsia="Times New Roman" w:hAnsi="Calibri" w:cs="Calibri"/>
              </w:rPr>
              <w:t>$  81,542</w:t>
            </w:r>
          </w:p>
        </w:tc>
        <w:tc>
          <w:tcPr>
            <w:tcW w:w="912" w:type="dxa"/>
            <w:gridSpan w:val="2"/>
            <w:tcBorders>
              <w:top w:val="nil"/>
              <w:left w:val="nil"/>
              <w:bottom w:val="nil"/>
              <w:right w:val="nil"/>
            </w:tcBorders>
            <w:shd w:val="clear" w:color="000000" w:fill="FFFFFF"/>
            <w:noWrap/>
            <w:vAlign w:val="bottom"/>
            <w:hideMark/>
          </w:tcPr>
          <w:p w14:paraId="1952CBF8"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r>
              <w:rPr>
                <w:rFonts w:ascii="Calibri" w:eastAsia="Times New Roman" w:hAnsi="Calibri" w:cs="Calibri"/>
              </w:rPr>
              <w:t>15,241</w:t>
            </w:r>
          </w:p>
        </w:tc>
        <w:tc>
          <w:tcPr>
            <w:tcW w:w="641" w:type="dxa"/>
            <w:gridSpan w:val="2"/>
            <w:tcBorders>
              <w:top w:val="nil"/>
              <w:left w:val="nil"/>
              <w:bottom w:val="nil"/>
              <w:right w:val="nil"/>
            </w:tcBorders>
            <w:shd w:val="clear" w:color="000000" w:fill="FFFFFF"/>
            <w:noWrap/>
            <w:vAlign w:val="bottom"/>
            <w:hideMark/>
          </w:tcPr>
          <w:p w14:paraId="1867AFC1"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    -</w:t>
            </w:r>
          </w:p>
        </w:tc>
        <w:tc>
          <w:tcPr>
            <w:tcW w:w="633" w:type="dxa"/>
            <w:gridSpan w:val="2"/>
            <w:tcBorders>
              <w:top w:val="nil"/>
              <w:left w:val="nil"/>
              <w:bottom w:val="nil"/>
              <w:right w:val="nil"/>
            </w:tcBorders>
            <w:shd w:val="clear" w:color="000000" w:fill="FFFFFF"/>
            <w:noWrap/>
            <w:vAlign w:val="bottom"/>
            <w:hideMark/>
          </w:tcPr>
          <w:p w14:paraId="5CCE3D9A"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      -</w:t>
            </w:r>
          </w:p>
        </w:tc>
        <w:tc>
          <w:tcPr>
            <w:tcW w:w="994" w:type="dxa"/>
            <w:gridSpan w:val="2"/>
            <w:tcBorders>
              <w:top w:val="nil"/>
              <w:left w:val="nil"/>
              <w:bottom w:val="nil"/>
              <w:right w:val="nil"/>
            </w:tcBorders>
            <w:shd w:val="clear" w:color="000000" w:fill="FFFFFF"/>
            <w:noWrap/>
            <w:vAlign w:val="bottom"/>
            <w:hideMark/>
          </w:tcPr>
          <w:p w14:paraId="6F1E2984"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  96,783</w:t>
            </w:r>
          </w:p>
        </w:tc>
        <w:tc>
          <w:tcPr>
            <w:tcW w:w="2713" w:type="dxa"/>
            <w:gridSpan w:val="2"/>
            <w:tcBorders>
              <w:top w:val="nil"/>
              <w:left w:val="nil"/>
              <w:bottom w:val="nil"/>
              <w:right w:val="nil"/>
            </w:tcBorders>
            <w:shd w:val="clear" w:color="000000" w:fill="FFFFFF"/>
            <w:vAlign w:val="bottom"/>
            <w:hideMark/>
          </w:tcPr>
          <w:p w14:paraId="732B8E5B"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Daily/Monthly</w:t>
            </w:r>
          </w:p>
        </w:tc>
      </w:tr>
      <w:tr w:rsidR="00721CFD" w:rsidRPr="00D35BDD" w14:paraId="51C50B00" w14:textId="77777777" w:rsidTr="007B5BB3">
        <w:trPr>
          <w:trHeight w:val="295"/>
        </w:trPr>
        <w:tc>
          <w:tcPr>
            <w:tcW w:w="2605" w:type="dxa"/>
            <w:gridSpan w:val="2"/>
            <w:tcBorders>
              <w:top w:val="nil"/>
              <w:left w:val="nil"/>
              <w:bottom w:val="nil"/>
              <w:right w:val="nil"/>
            </w:tcBorders>
            <w:shd w:val="clear" w:color="000000" w:fill="FFFFFF"/>
            <w:noWrap/>
            <w:vAlign w:val="bottom"/>
            <w:hideMark/>
          </w:tcPr>
          <w:p w14:paraId="6FC2084A"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Non-U.S. equities</w:t>
            </w:r>
          </w:p>
        </w:tc>
        <w:tc>
          <w:tcPr>
            <w:tcW w:w="995" w:type="dxa"/>
            <w:tcBorders>
              <w:top w:val="nil"/>
              <w:left w:val="nil"/>
              <w:bottom w:val="nil"/>
              <w:right w:val="nil"/>
            </w:tcBorders>
            <w:shd w:val="clear" w:color="000000" w:fill="FFFFFF"/>
            <w:noWrap/>
            <w:vAlign w:val="bottom"/>
            <w:hideMark/>
          </w:tcPr>
          <w:p w14:paraId="01C4F9EB" w14:textId="77777777" w:rsidR="00721CFD" w:rsidRPr="00D53A89" w:rsidRDefault="00721CFD" w:rsidP="007B5BB3">
            <w:pPr>
              <w:jc w:val="right"/>
              <w:rPr>
                <w:rFonts w:ascii="Calibri" w:eastAsia="Times New Roman" w:hAnsi="Calibri" w:cs="Calibri"/>
              </w:rPr>
            </w:pPr>
            <w:r>
              <w:rPr>
                <w:rFonts w:ascii="Calibri" w:eastAsia="Times New Roman" w:hAnsi="Calibri" w:cs="Calibri"/>
              </w:rPr>
              <w:t>25,056</w:t>
            </w:r>
          </w:p>
        </w:tc>
        <w:tc>
          <w:tcPr>
            <w:tcW w:w="912" w:type="dxa"/>
            <w:gridSpan w:val="2"/>
            <w:tcBorders>
              <w:top w:val="nil"/>
              <w:left w:val="nil"/>
              <w:bottom w:val="nil"/>
              <w:right w:val="nil"/>
            </w:tcBorders>
            <w:shd w:val="clear" w:color="000000" w:fill="FFFFFF"/>
            <w:noWrap/>
            <w:vAlign w:val="bottom"/>
            <w:hideMark/>
          </w:tcPr>
          <w:p w14:paraId="7CB469BC" w14:textId="77777777" w:rsidR="00721CFD" w:rsidRPr="00D53A89" w:rsidRDefault="00721CFD" w:rsidP="007B5BB3">
            <w:pPr>
              <w:jc w:val="right"/>
              <w:rPr>
                <w:rFonts w:ascii="Calibri" w:eastAsia="Times New Roman" w:hAnsi="Calibri" w:cs="Calibri"/>
              </w:rPr>
            </w:pPr>
            <w:r>
              <w:rPr>
                <w:rFonts w:ascii="Calibri" w:eastAsia="Times New Roman" w:hAnsi="Calibri" w:cs="Calibri"/>
              </w:rPr>
              <w:t>35,463</w:t>
            </w:r>
          </w:p>
        </w:tc>
        <w:tc>
          <w:tcPr>
            <w:tcW w:w="641" w:type="dxa"/>
            <w:gridSpan w:val="2"/>
            <w:tcBorders>
              <w:top w:val="nil"/>
              <w:left w:val="nil"/>
              <w:bottom w:val="nil"/>
              <w:right w:val="nil"/>
            </w:tcBorders>
            <w:shd w:val="clear" w:color="000000" w:fill="FFFFFF"/>
            <w:noWrap/>
            <w:vAlign w:val="bottom"/>
            <w:hideMark/>
          </w:tcPr>
          <w:p w14:paraId="30494870"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066CB3E7"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133E55C6"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60,519</w:t>
            </w:r>
          </w:p>
        </w:tc>
        <w:tc>
          <w:tcPr>
            <w:tcW w:w="2713" w:type="dxa"/>
            <w:gridSpan w:val="2"/>
            <w:tcBorders>
              <w:top w:val="nil"/>
              <w:left w:val="nil"/>
              <w:bottom w:val="nil"/>
              <w:right w:val="nil"/>
            </w:tcBorders>
            <w:shd w:val="clear" w:color="000000" w:fill="FFFFFF"/>
            <w:vAlign w:val="bottom"/>
            <w:hideMark/>
          </w:tcPr>
          <w:p w14:paraId="596D50E3"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Daily/Monthly/Quarterly</w:t>
            </w:r>
          </w:p>
        </w:tc>
      </w:tr>
      <w:tr w:rsidR="00721CFD" w:rsidRPr="00D35BDD" w14:paraId="4210400C" w14:textId="77777777" w:rsidTr="007B5BB3">
        <w:trPr>
          <w:trHeight w:val="295"/>
        </w:trPr>
        <w:tc>
          <w:tcPr>
            <w:tcW w:w="2605" w:type="dxa"/>
            <w:gridSpan w:val="2"/>
            <w:tcBorders>
              <w:top w:val="nil"/>
              <w:left w:val="nil"/>
              <w:bottom w:val="nil"/>
              <w:right w:val="nil"/>
            </w:tcBorders>
            <w:shd w:val="clear" w:color="000000" w:fill="FFFFFF"/>
            <w:noWrap/>
            <w:vAlign w:val="bottom"/>
            <w:hideMark/>
          </w:tcPr>
          <w:p w14:paraId="0F43E67B"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Global equities</w:t>
            </w:r>
          </w:p>
        </w:tc>
        <w:tc>
          <w:tcPr>
            <w:tcW w:w="995" w:type="dxa"/>
            <w:tcBorders>
              <w:top w:val="nil"/>
              <w:left w:val="nil"/>
              <w:bottom w:val="nil"/>
              <w:right w:val="nil"/>
            </w:tcBorders>
            <w:shd w:val="clear" w:color="000000" w:fill="FFFFFF"/>
            <w:noWrap/>
            <w:vAlign w:val="bottom"/>
            <w:hideMark/>
          </w:tcPr>
          <w:p w14:paraId="3AEDAA3E" w14:textId="77777777" w:rsidR="00721CFD" w:rsidRPr="00D53A89" w:rsidRDefault="00721CFD" w:rsidP="007B5BB3">
            <w:pPr>
              <w:jc w:val="right"/>
              <w:rPr>
                <w:rFonts w:ascii="Calibri" w:eastAsia="Times New Roman" w:hAnsi="Calibri" w:cs="Calibri"/>
              </w:rPr>
            </w:pPr>
            <w:r>
              <w:rPr>
                <w:rFonts w:ascii="Calibri" w:eastAsia="Times New Roman" w:hAnsi="Calibri" w:cs="Calibri"/>
              </w:rPr>
              <w:t>41,908</w:t>
            </w:r>
          </w:p>
        </w:tc>
        <w:tc>
          <w:tcPr>
            <w:tcW w:w="912" w:type="dxa"/>
            <w:gridSpan w:val="2"/>
            <w:tcBorders>
              <w:top w:val="nil"/>
              <w:left w:val="nil"/>
              <w:bottom w:val="nil"/>
              <w:right w:val="nil"/>
            </w:tcBorders>
            <w:shd w:val="clear" w:color="000000" w:fill="FFFFFF"/>
            <w:noWrap/>
            <w:vAlign w:val="bottom"/>
            <w:hideMark/>
          </w:tcPr>
          <w:p w14:paraId="4AA8D0C8"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641" w:type="dxa"/>
            <w:gridSpan w:val="2"/>
            <w:tcBorders>
              <w:top w:val="nil"/>
              <w:left w:val="nil"/>
              <w:bottom w:val="nil"/>
              <w:right w:val="nil"/>
            </w:tcBorders>
            <w:shd w:val="clear" w:color="000000" w:fill="FFFFFF"/>
            <w:noWrap/>
            <w:vAlign w:val="bottom"/>
            <w:hideMark/>
          </w:tcPr>
          <w:p w14:paraId="495E74B4"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47AFF462"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443F2905"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41,908</w:t>
            </w:r>
          </w:p>
        </w:tc>
        <w:tc>
          <w:tcPr>
            <w:tcW w:w="2713" w:type="dxa"/>
            <w:gridSpan w:val="2"/>
            <w:tcBorders>
              <w:top w:val="nil"/>
              <w:left w:val="nil"/>
              <w:bottom w:val="nil"/>
              <w:right w:val="nil"/>
            </w:tcBorders>
            <w:shd w:val="clear" w:color="000000" w:fill="FFFFFF"/>
            <w:vAlign w:val="bottom"/>
            <w:hideMark/>
          </w:tcPr>
          <w:p w14:paraId="4615815A"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Monthly/Quarterly</w:t>
            </w:r>
          </w:p>
        </w:tc>
      </w:tr>
      <w:tr w:rsidR="00721CFD" w:rsidRPr="00D35BDD" w14:paraId="7A3AF794" w14:textId="77777777" w:rsidTr="007B5BB3">
        <w:trPr>
          <w:trHeight w:val="295"/>
        </w:trPr>
        <w:tc>
          <w:tcPr>
            <w:tcW w:w="2605" w:type="dxa"/>
            <w:gridSpan w:val="2"/>
            <w:tcBorders>
              <w:top w:val="nil"/>
              <w:left w:val="nil"/>
              <w:bottom w:val="nil"/>
              <w:right w:val="nil"/>
            </w:tcBorders>
            <w:shd w:val="clear" w:color="000000" w:fill="FFFFFF"/>
            <w:noWrap/>
            <w:vAlign w:val="bottom"/>
            <w:hideMark/>
          </w:tcPr>
          <w:p w14:paraId="0475EAD9"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U.S. fixed income</w:t>
            </w:r>
          </w:p>
        </w:tc>
        <w:tc>
          <w:tcPr>
            <w:tcW w:w="995" w:type="dxa"/>
            <w:tcBorders>
              <w:top w:val="nil"/>
              <w:left w:val="nil"/>
              <w:bottom w:val="nil"/>
              <w:right w:val="nil"/>
            </w:tcBorders>
            <w:shd w:val="clear" w:color="000000" w:fill="FFFFFF"/>
            <w:noWrap/>
            <w:vAlign w:val="bottom"/>
            <w:hideMark/>
          </w:tcPr>
          <w:p w14:paraId="3ABF3C2E"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912" w:type="dxa"/>
            <w:gridSpan w:val="2"/>
            <w:tcBorders>
              <w:top w:val="nil"/>
              <w:left w:val="nil"/>
              <w:bottom w:val="nil"/>
              <w:right w:val="nil"/>
            </w:tcBorders>
            <w:shd w:val="clear" w:color="000000" w:fill="FFFFFF"/>
            <w:noWrap/>
            <w:vAlign w:val="bottom"/>
            <w:hideMark/>
          </w:tcPr>
          <w:p w14:paraId="55749723"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35,361</w:t>
            </w:r>
          </w:p>
        </w:tc>
        <w:tc>
          <w:tcPr>
            <w:tcW w:w="641" w:type="dxa"/>
            <w:gridSpan w:val="2"/>
            <w:tcBorders>
              <w:top w:val="nil"/>
              <w:left w:val="nil"/>
              <w:bottom w:val="nil"/>
              <w:right w:val="nil"/>
            </w:tcBorders>
            <w:shd w:val="clear" w:color="000000" w:fill="FFFFFF"/>
            <w:noWrap/>
            <w:vAlign w:val="bottom"/>
            <w:hideMark/>
          </w:tcPr>
          <w:p w14:paraId="74D6FF2A"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7707EC36"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05FDBA7F"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35,361</w:t>
            </w:r>
          </w:p>
        </w:tc>
        <w:tc>
          <w:tcPr>
            <w:tcW w:w="2713" w:type="dxa"/>
            <w:gridSpan w:val="2"/>
            <w:tcBorders>
              <w:top w:val="nil"/>
              <w:left w:val="nil"/>
              <w:bottom w:val="nil"/>
              <w:right w:val="nil"/>
            </w:tcBorders>
            <w:shd w:val="clear" w:color="000000" w:fill="FFFFFF"/>
            <w:vAlign w:val="bottom"/>
            <w:hideMark/>
          </w:tcPr>
          <w:p w14:paraId="71E85CBF"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Daily</w:t>
            </w:r>
          </w:p>
        </w:tc>
      </w:tr>
      <w:tr w:rsidR="00721CFD" w:rsidRPr="00D35BDD" w14:paraId="0EE63944" w14:textId="77777777" w:rsidTr="007B5BB3">
        <w:trPr>
          <w:trHeight w:val="590"/>
        </w:trPr>
        <w:tc>
          <w:tcPr>
            <w:tcW w:w="2605" w:type="dxa"/>
            <w:gridSpan w:val="2"/>
            <w:tcBorders>
              <w:top w:val="nil"/>
              <w:left w:val="nil"/>
              <w:bottom w:val="nil"/>
              <w:right w:val="nil"/>
            </w:tcBorders>
            <w:shd w:val="clear" w:color="000000" w:fill="FFFFFF"/>
            <w:noWrap/>
            <w:vAlign w:val="bottom"/>
            <w:hideMark/>
          </w:tcPr>
          <w:p w14:paraId="4338F40F"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Total private investments</w:t>
            </w:r>
          </w:p>
        </w:tc>
        <w:tc>
          <w:tcPr>
            <w:tcW w:w="995" w:type="dxa"/>
            <w:tcBorders>
              <w:top w:val="nil"/>
              <w:left w:val="nil"/>
              <w:bottom w:val="nil"/>
              <w:right w:val="nil"/>
            </w:tcBorders>
            <w:shd w:val="clear" w:color="000000" w:fill="FFFFFF"/>
            <w:noWrap/>
            <w:vAlign w:val="bottom"/>
            <w:hideMark/>
          </w:tcPr>
          <w:p w14:paraId="7AF7B0B2"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36,161</w:t>
            </w:r>
          </w:p>
        </w:tc>
        <w:tc>
          <w:tcPr>
            <w:tcW w:w="912" w:type="dxa"/>
            <w:gridSpan w:val="2"/>
            <w:tcBorders>
              <w:top w:val="nil"/>
              <w:left w:val="nil"/>
              <w:bottom w:val="nil"/>
              <w:right w:val="nil"/>
            </w:tcBorders>
            <w:shd w:val="clear" w:color="000000" w:fill="FFFFFF"/>
            <w:noWrap/>
            <w:vAlign w:val="bottom"/>
            <w:hideMark/>
          </w:tcPr>
          <w:p w14:paraId="0B42A749"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641" w:type="dxa"/>
            <w:gridSpan w:val="2"/>
            <w:tcBorders>
              <w:top w:val="nil"/>
              <w:left w:val="nil"/>
              <w:bottom w:val="nil"/>
              <w:right w:val="nil"/>
            </w:tcBorders>
            <w:shd w:val="clear" w:color="000000" w:fill="FFFFFF"/>
            <w:noWrap/>
            <w:vAlign w:val="bottom"/>
            <w:hideMark/>
          </w:tcPr>
          <w:p w14:paraId="1718507F"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1AD4DBBA"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72FE1BE6"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36,161</w:t>
            </w:r>
          </w:p>
        </w:tc>
        <w:tc>
          <w:tcPr>
            <w:tcW w:w="2713" w:type="dxa"/>
            <w:gridSpan w:val="2"/>
            <w:tcBorders>
              <w:top w:val="nil"/>
              <w:left w:val="nil"/>
              <w:bottom w:val="nil"/>
              <w:right w:val="nil"/>
            </w:tcBorders>
            <w:shd w:val="clear" w:color="000000" w:fill="FFFFFF"/>
            <w:vAlign w:val="bottom"/>
            <w:hideMark/>
          </w:tcPr>
          <w:p w14:paraId="198142A3"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Illiquid</w:t>
            </w:r>
          </w:p>
        </w:tc>
      </w:tr>
      <w:tr w:rsidR="00721CFD" w:rsidRPr="00D35BDD" w14:paraId="012A7376" w14:textId="77777777" w:rsidTr="007B5BB3">
        <w:trPr>
          <w:trHeight w:val="295"/>
        </w:trPr>
        <w:tc>
          <w:tcPr>
            <w:tcW w:w="2605" w:type="dxa"/>
            <w:gridSpan w:val="2"/>
            <w:tcBorders>
              <w:top w:val="nil"/>
              <w:left w:val="nil"/>
              <w:bottom w:val="nil"/>
              <w:right w:val="nil"/>
            </w:tcBorders>
            <w:shd w:val="clear" w:color="000000" w:fill="FFFFFF"/>
            <w:noWrap/>
            <w:vAlign w:val="bottom"/>
            <w:hideMark/>
          </w:tcPr>
          <w:p w14:paraId="312F9535"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Alternative investments</w:t>
            </w:r>
          </w:p>
        </w:tc>
        <w:tc>
          <w:tcPr>
            <w:tcW w:w="995" w:type="dxa"/>
            <w:tcBorders>
              <w:top w:val="nil"/>
              <w:left w:val="nil"/>
              <w:bottom w:val="nil"/>
              <w:right w:val="nil"/>
            </w:tcBorders>
            <w:shd w:val="clear" w:color="000000" w:fill="FFFFFF"/>
            <w:noWrap/>
            <w:vAlign w:val="bottom"/>
            <w:hideMark/>
          </w:tcPr>
          <w:p w14:paraId="097BF23E"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39,237</w:t>
            </w:r>
          </w:p>
        </w:tc>
        <w:tc>
          <w:tcPr>
            <w:tcW w:w="912" w:type="dxa"/>
            <w:gridSpan w:val="2"/>
            <w:tcBorders>
              <w:top w:val="nil"/>
              <w:left w:val="nil"/>
              <w:bottom w:val="nil"/>
              <w:right w:val="nil"/>
            </w:tcBorders>
            <w:shd w:val="clear" w:color="000000" w:fill="FFFFFF"/>
            <w:noWrap/>
            <w:vAlign w:val="bottom"/>
            <w:hideMark/>
          </w:tcPr>
          <w:p w14:paraId="7308DBC8"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641" w:type="dxa"/>
            <w:gridSpan w:val="2"/>
            <w:tcBorders>
              <w:top w:val="nil"/>
              <w:left w:val="nil"/>
              <w:bottom w:val="nil"/>
              <w:right w:val="nil"/>
            </w:tcBorders>
            <w:shd w:val="clear" w:color="000000" w:fill="FFFFFF"/>
            <w:noWrap/>
            <w:vAlign w:val="bottom"/>
            <w:hideMark/>
          </w:tcPr>
          <w:p w14:paraId="35E48EC1"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hideMark/>
          </w:tcPr>
          <w:p w14:paraId="1C4548C6"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hideMark/>
          </w:tcPr>
          <w:p w14:paraId="2905926C"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39,237</w:t>
            </w:r>
          </w:p>
        </w:tc>
        <w:tc>
          <w:tcPr>
            <w:tcW w:w="2713" w:type="dxa"/>
            <w:gridSpan w:val="2"/>
            <w:tcBorders>
              <w:top w:val="nil"/>
              <w:left w:val="nil"/>
              <w:bottom w:val="nil"/>
              <w:right w:val="nil"/>
            </w:tcBorders>
            <w:shd w:val="clear" w:color="000000" w:fill="FFFFFF"/>
            <w:vAlign w:val="bottom"/>
            <w:hideMark/>
          </w:tcPr>
          <w:p w14:paraId="55CEFF71"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Illiquid/Monthly/Quarterly/Semi-Annually/Annually</w:t>
            </w:r>
          </w:p>
        </w:tc>
      </w:tr>
      <w:tr w:rsidR="00721CFD" w:rsidRPr="00D35BDD" w14:paraId="74C9A514" w14:textId="77777777" w:rsidTr="007B5BB3">
        <w:trPr>
          <w:trHeight w:val="295"/>
        </w:trPr>
        <w:tc>
          <w:tcPr>
            <w:tcW w:w="2605" w:type="dxa"/>
            <w:gridSpan w:val="2"/>
            <w:tcBorders>
              <w:top w:val="nil"/>
              <w:left w:val="nil"/>
              <w:bottom w:val="nil"/>
              <w:right w:val="nil"/>
            </w:tcBorders>
            <w:shd w:val="clear" w:color="000000" w:fill="FFFFFF"/>
            <w:noWrap/>
            <w:vAlign w:val="bottom"/>
          </w:tcPr>
          <w:p w14:paraId="549C2E70"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Cash</w:t>
            </w:r>
          </w:p>
        </w:tc>
        <w:tc>
          <w:tcPr>
            <w:tcW w:w="995" w:type="dxa"/>
            <w:tcBorders>
              <w:top w:val="nil"/>
              <w:left w:val="nil"/>
              <w:bottom w:val="nil"/>
              <w:right w:val="nil"/>
            </w:tcBorders>
            <w:shd w:val="clear" w:color="000000" w:fill="FFFFFF"/>
            <w:noWrap/>
            <w:vAlign w:val="bottom"/>
          </w:tcPr>
          <w:p w14:paraId="06AE5DDA"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912" w:type="dxa"/>
            <w:gridSpan w:val="2"/>
            <w:tcBorders>
              <w:top w:val="nil"/>
              <w:left w:val="nil"/>
              <w:bottom w:val="nil"/>
              <w:right w:val="nil"/>
            </w:tcBorders>
            <w:shd w:val="clear" w:color="000000" w:fill="FFFFFF"/>
            <w:noWrap/>
            <w:vAlign w:val="bottom"/>
          </w:tcPr>
          <w:p w14:paraId="6A5326FF"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87</w:t>
            </w:r>
          </w:p>
        </w:tc>
        <w:tc>
          <w:tcPr>
            <w:tcW w:w="641" w:type="dxa"/>
            <w:gridSpan w:val="2"/>
            <w:tcBorders>
              <w:top w:val="nil"/>
              <w:left w:val="nil"/>
              <w:bottom w:val="nil"/>
              <w:right w:val="nil"/>
            </w:tcBorders>
            <w:shd w:val="clear" w:color="000000" w:fill="FFFFFF"/>
            <w:noWrap/>
            <w:vAlign w:val="bottom"/>
          </w:tcPr>
          <w:p w14:paraId="130BE453"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633" w:type="dxa"/>
            <w:gridSpan w:val="2"/>
            <w:tcBorders>
              <w:top w:val="nil"/>
              <w:left w:val="nil"/>
              <w:bottom w:val="nil"/>
              <w:right w:val="nil"/>
            </w:tcBorders>
            <w:shd w:val="clear" w:color="000000" w:fill="FFFFFF"/>
            <w:noWrap/>
            <w:vAlign w:val="bottom"/>
          </w:tcPr>
          <w:p w14:paraId="4A42F5E8"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w:t>
            </w:r>
          </w:p>
        </w:tc>
        <w:tc>
          <w:tcPr>
            <w:tcW w:w="994" w:type="dxa"/>
            <w:gridSpan w:val="2"/>
            <w:tcBorders>
              <w:top w:val="nil"/>
              <w:left w:val="nil"/>
              <w:bottom w:val="nil"/>
              <w:right w:val="nil"/>
            </w:tcBorders>
            <w:shd w:val="clear" w:color="000000" w:fill="FFFFFF"/>
            <w:noWrap/>
            <w:vAlign w:val="bottom"/>
          </w:tcPr>
          <w:p w14:paraId="05E09023" w14:textId="77777777" w:rsidR="00721CFD" w:rsidRPr="00D53A89" w:rsidRDefault="00721CFD" w:rsidP="007B5BB3">
            <w:pPr>
              <w:jc w:val="right"/>
              <w:rPr>
                <w:rFonts w:ascii="Calibri" w:eastAsia="Times New Roman" w:hAnsi="Calibri" w:cs="Calibri"/>
              </w:rPr>
            </w:pPr>
            <w:r w:rsidRPr="00954D00">
              <w:rPr>
                <w:rFonts w:ascii="Calibri" w:eastAsia="Times New Roman" w:hAnsi="Calibri" w:cs="Calibri"/>
              </w:rPr>
              <w:t>87</w:t>
            </w:r>
          </w:p>
        </w:tc>
        <w:tc>
          <w:tcPr>
            <w:tcW w:w="2713" w:type="dxa"/>
            <w:gridSpan w:val="2"/>
            <w:tcBorders>
              <w:top w:val="nil"/>
              <w:left w:val="nil"/>
              <w:bottom w:val="nil"/>
              <w:right w:val="nil"/>
            </w:tcBorders>
            <w:shd w:val="clear" w:color="000000" w:fill="FFFFFF"/>
            <w:vAlign w:val="bottom"/>
          </w:tcPr>
          <w:p w14:paraId="130653CD" w14:textId="77777777" w:rsidR="00721CFD" w:rsidRPr="00D35BDD" w:rsidRDefault="00721CFD" w:rsidP="007B5BB3">
            <w:pPr>
              <w:rPr>
                <w:rFonts w:ascii="Calibri" w:eastAsia="Times New Roman" w:hAnsi="Calibri" w:cs="Calibri"/>
                <w:color w:val="0D0D0D"/>
              </w:rPr>
            </w:pPr>
            <w:r w:rsidRPr="00D35BDD">
              <w:rPr>
                <w:rFonts w:ascii="Calibri" w:eastAsia="Times New Roman" w:hAnsi="Calibri" w:cs="Calibri"/>
                <w:color w:val="0D0D0D"/>
              </w:rPr>
              <w:t>Daily</w:t>
            </w:r>
          </w:p>
        </w:tc>
      </w:tr>
      <w:tr w:rsidR="00721CFD" w:rsidRPr="00D35BDD" w14:paraId="2BB04041" w14:textId="77777777" w:rsidTr="007B5BB3">
        <w:trPr>
          <w:gridAfter w:val="1"/>
          <w:wAfter w:w="43" w:type="dxa"/>
          <w:trHeight w:val="588"/>
        </w:trPr>
        <w:tc>
          <w:tcPr>
            <w:tcW w:w="2593" w:type="dxa"/>
            <w:tcBorders>
              <w:top w:val="single" w:sz="4" w:space="0" w:color="00688D"/>
              <w:left w:val="nil"/>
              <w:bottom w:val="double" w:sz="6" w:space="0" w:color="00688D"/>
              <w:right w:val="nil"/>
            </w:tcBorders>
            <w:shd w:val="clear" w:color="000000" w:fill="FFFFFF"/>
            <w:vAlign w:val="bottom"/>
            <w:hideMark/>
          </w:tcPr>
          <w:p w14:paraId="76CEE6A6" w14:textId="77777777" w:rsidR="00721CFD" w:rsidRPr="00D35BDD" w:rsidRDefault="00721CFD" w:rsidP="007B5BB3">
            <w:pPr>
              <w:rPr>
                <w:rFonts w:ascii="Calibri" w:eastAsia="Times New Roman" w:hAnsi="Calibri" w:cs="Calibri"/>
                <w:b/>
                <w:bCs/>
                <w:color w:val="0D0D0D"/>
              </w:rPr>
            </w:pPr>
            <w:r w:rsidRPr="00D35BDD">
              <w:rPr>
                <w:rFonts w:ascii="Calibri" w:eastAsia="Times New Roman" w:hAnsi="Calibri" w:cs="Calibri"/>
                <w:b/>
                <w:bCs/>
                <w:color w:val="0D0D0D"/>
              </w:rPr>
              <w:t>Total long-term investments, endowment</w:t>
            </w:r>
          </w:p>
        </w:tc>
        <w:tc>
          <w:tcPr>
            <w:tcW w:w="1007" w:type="dxa"/>
            <w:gridSpan w:val="2"/>
            <w:tcBorders>
              <w:top w:val="single" w:sz="4" w:space="0" w:color="00688D"/>
              <w:left w:val="nil"/>
              <w:bottom w:val="double" w:sz="6" w:space="0" w:color="00688D"/>
              <w:right w:val="nil"/>
            </w:tcBorders>
            <w:shd w:val="clear" w:color="000000" w:fill="FFFFFF"/>
            <w:noWrap/>
            <w:vAlign w:val="bottom"/>
            <w:hideMark/>
          </w:tcPr>
          <w:p w14:paraId="7A736E34" w14:textId="77777777" w:rsidR="00721CFD" w:rsidRPr="00D35BDD" w:rsidRDefault="00721CFD" w:rsidP="007B5BB3">
            <w:pPr>
              <w:jc w:val="right"/>
              <w:rPr>
                <w:rFonts w:ascii="Calibri" w:eastAsia="Times New Roman" w:hAnsi="Calibri" w:cs="Calibri"/>
                <w:b/>
                <w:bCs/>
                <w:color w:val="0D0D0D"/>
              </w:rPr>
            </w:pPr>
            <w:r w:rsidRPr="00954D00">
              <w:rPr>
                <w:rFonts w:ascii="Calibri" w:eastAsia="Times New Roman" w:hAnsi="Calibri" w:cs="Calibri"/>
                <w:b/>
                <w:bCs/>
              </w:rPr>
              <w:t>$</w:t>
            </w:r>
            <w:r>
              <w:rPr>
                <w:rFonts w:ascii="Calibri" w:eastAsia="Times New Roman" w:hAnsi="Calibri" w:cs="Calibri"/>
                <w:b/>
                <w:bCs/>
              </w:rPr>
              <w:t>223,904</w:t>
            </w:r>
          </w:p>
        </w:tc>
        <w:tc>
          <w:tcPr>
            <w:tcW w:w="892" w:type="dxa"/>
            <w:tcBorders>
              <w:top w:val="single" w:sz="4" w:space="0" w:color="00688D"/>
              <w:left w:val="nil"/>
              <w:bottom w:val="double" w:sz="6" w:space="0" w:color="00688D"/>
              <w:right w:val="nil"/>
            </w:tcBorders>
            <w:shd w:val="clear" w:color="000000" w:fill="FFFFFF"/>
            <w:noWrap/>
            <w:vAlign w:val="bottom"/>
            <w:hideMark/>
          </w:tcPr>
          <w:p w14:paraId="3957C37E" w14:textId="77777777" w:rsidR="00721CFD" w:rsidRPr="00D35BDD" w:rsidRDefault="00721CFD" w:rsidP="007B5BB3">
            <w:pPr>
              <w:jc w:val="right"/>
              <w:rPr>
                <w:rFonts w:ascii="Calibri" w:eastAsia="Times New Roman" w:hAnsi="Calibri" w:cs="Calibri"/>
                <w:b/>
                <w:bCs/>
                <w:color w:val="0D0D0D"/>
              </w:rPr>
            </w:pPr>
            <w:r w:rsidRPr="00954D00">
              <w:rPr>
                <w:rFonts w:ascii="Calibri" w:eastAsia="Times New Roman" w:hAnsi="Calibri" w:cs="Calibri"/>
                <w:b/>
                <w:bCs/>
              </w:rPr>
              <w:t>$</w:t>
            </w:r>
            <w:r>
              <w:rPr>
                <w:rFonts w:ascii="Calibri" w:eastAsia="Times New Roman" w:hAnsi="Calibri" w:cs="Calibri"/>
                <w:b/>
                <w:bCs/>
              </w:rPr>
              <w:t>86,152</w:t>
            </w:r>
          </w:p>
        </w:tc>
        <w:tc>
          <w:tcPr>
            <w:tcW w:w="638" w:type="dxa"/>
            <w:gridSpan w:val="2"/>
            <w:tcBorders>
              <w:top w:val="single" w:sz="4" w:space="0" w:color="00688D"/>
              <w:left w:val="nil"/>
              <w:bottom w:val="double" w:sz="6" w:space="0" w:color="00688D"/>
              <w:right w:val="nil"/>
            </w:tcBorders>
            <w:shd w:val="clear" w:color="000000" w:fill="FFFFFF"/>
            <w:noWrap/>
            <w:vAlign w:val="bottom"/>
            <w:hideMark/>
          </w:tcPr>
          <w:p w14:paraId="76F38353" w14:textId="77777777" w:rsidR="00721CFD" w:rsidRPr="00D35BDD" w:rsidRDefault="00721CFD" w:rsidP="007B5BB3">
            <w:pPr>
              <w:jc w:val="right"/>
              <w:rPr>
                <w:rFonts w:ascii="Calibri" w:eastAsia="Times New Roman" w:hAnsi="Calibri" w:cs="Calibri"/>
                <w:b/>
                <w:bCs/>
                <w:color w:val="0D0D0D"/>
              </w:rPr>
            </w:pPr>
            <w:r w:rsidRPr="00954D00">
              <w:rPr>
                <w:rFonts w:ascii="Calibri" w:eastAsia="Times New Roman" w:hAnsi="Calibri" w:cs="Calibri"/>
                <w:b/>
                <w:bCs/>
              </w:rPr>
              <w:t>$    -</w:t>
            </w:r>
          </w:p>
        </w:tc>
        <w:tc>
          <w:tcPr>
            <w:tcW w:w="630" w:type="dxa"/>
            <w:gridSpan w:val="2"/>
            <w:tcBorders>
              <w:top w:val="single" w:sz="4" w:space="0" w:color="00688D"/>
              <w:left w:val="nil"/>
              <w:bottom w:val="double" w:sz="6" w:space="0" w:color="00688D"/>
              <w:right w:val="nil"/>
            </w:tcBorders>
            <w:shd w:val="clear" w:color="000000" w:fill="FFFFFF"/>
            <w:noWrap/>
            <w:vAlign w:val="bottom"/>
            <w:hideMark/>
          </w:tcPr>
          <w:p w14:paraId="7701FD16" w14:textId="77777777" w:rsidR="00721CFD" w:rsidRPr="00D35BDD" w:rsidRDefault="00721CFD" w:rsidP="007B5BB3">
            <w:pPr>
              <w:jc w:val="right"/>
              <w:rPr>
                <w:rFonts w:ascii="Calibri" w:eastAsia="Times New Roman" w:hAnsi="Calibri" w:cs="Calibri"/>
                <w:b/>
                <w:bCs/>
                <w:color w:val="0D0D0D"/>
              </w:rPr>
            </w:pPr>
            <w:r w:rsidRPr="00954D00">
              <w:rPr>
                <w:rFonts w:ascii="Calibri" w:eastAsia="Times New Roman" w:hAnsi="Calibri" w:cs="Calibri"/>
                <w:b/>
                <w:bCs/>
              </w:rPr>
              <w:t>$      -</w:t>
            </w:r>
          </w:p>
        </w:tc>
        <w:tc>
          <w:tcPr>
            <w:tcW w:w="990" w:type="dxa"/>
            <w:gridSpan w:val="2"/>
            <w:tcBorders>
              <w:top w:val="single" w:sz="4" w:space="0" w:color="00688D"/>
              <w:left w:val="nil"/>
              <w:bottom w:val="double" w:sz="6" w:space="0" w:color="00688D"/>
              <w:right w:val="nil"/>
            </w:tcBorders>
            <w:shd w:val="clear" w:color="000000" w:fill="FFFFFF"/>
            <w:noWrap/>
            <w:vAlign w:val="bottom"/>
            <w:hideMark/>
          </w:tcPr>
          <w:p w14:paraId="2257319A" w14:textId="77777777" w:rsidR="00721CFD" w:rsidRPr="00D35BDD" w:rsidRDefault="00721CFD" w:rsidP="007B5BB3">
            <w:pPr>
              <w:jc w:val="right"/>
              <w:rPr>
                <w:rFonts w:ascii="Calibri" w:eastAsia="Times New Roman" w:hAnsi="Calibri" w:cs="Calibri"/>
                <w:b/>
                <w:bCs/>
                <w:color w:val="0D0D0D"/>
              </w:rPr>
            </w:pPr>
            <w:r w:rsidRPr="00954D00">
              <w:rPr>
                <w:rFonts w:ascii="Calibri" w:eastAsia="Times New Roman" w:hAnsi="Calibri" w:cs="Calibri"/>
                <w:b/>
                <w:bCs/>
              </w:rPr>
              <w:t>$310,056</w:t>
            </w:r>
          </w:p>
        </w:tc>
        <w:tc>
          <w:tcPr>
            <w:tcW w:w="2700" w:type="dxa"/>
            <w:gridSpan w:val="2"/>
            <w:tcBorders>
              <w:top w:val="single" w:sz="4" w:space="0" w:color="00688D"/>
              <w:left w:val="nil"/>
              <w:bottom w:val="double" w:sz="6" w:space="0" w:color="00688D"/>
              <w:right w:val="nil"/>
            </w:tcBorders>
            <w:shd w:val="clear" w:color="000000" w:fill="FFFFFF"/>
            <w:noWrap/>
            <w:vAlign w:val="bottom"/>
            <w:hideMark/>
          </w:tcPr>
          <w:p w14:paraId="0616971F" w14:textId="77777777" w:rsidR="00721CFD" w:rsidRPr="00D35BDD" w:rsidRDefault="00721CFD" w:rsidP="007B5BB3">
            <w:pPr>
              <w:rPr>
                <w:rFonts w:ascii="Calibri" w:eastAsia="Times New Roman" w:hAnsi="Calibri" w:cs="Calibri"/>
                <w:b/>
                <w:bCs/>
                <w:color w:val="0D0D0D"/>
              </w:rPr>
            </w:pPr>
            <w:r w:rsidRPr="00D35BDD">
              <w:rPr>
                <w:rFonts w:ascii="Calibri" w:eastAsia="Times New Roman" w:hAnsi="Calibri" w:cs="Calibri"/>
                <w:b/>
                <w:bCs/>
                <w:color w:val="0D0D0D"/>
              </w:rPr>
              <w:t> </w:t>
            </w:r>
          </w:p>
        </w:tc>
      </w:tr>
    </w:tbl>
    <w:p w14:paraId="239DB5BD" w14:textId="7362C081" w:rsidR="00721CFD" w:rsidRPr="00F54559" w:rsidRDefault="00721CFD" w:rsidP="00721CFD">
      <w:pPr>
        <w:spacing w:before="240"/>
        <w:rPr>
          <w:rFonts w:eastAsiaTheme="majorEastAsia" w:cstheme="minorHAnsi"/>
          <w:b/>
          <w:i/>
          <w:iCs/>
          <w:smallCaps/>
          <w:noProof/>
          <w:color w:val="000000" w:themeColor="text1"/>
          <w:sz w:val="28"/>
          <w:szCs w:val="28"/>
          <w:u w:color="5B9BD5"/>
        </w:rPr>
      </w:pPr>
      <w:r w:rsidRPr="00F54559">
        <w:rPr>
          <w:rFonts w:cstheme="minorHAnsi"/>
          <w:sz w:val="24"/>
        </w:rPr>
        <w:t>Complete financial statements for the Foundation may be obtained from the Foundation’s office at Two Alumni Place, Orono, ME 04469-5792.</w:t>
      </w:r>
      <w:r w:rsidRPr="00F54559">
        <w:rPr>
          <w:rFonts w:cstheme="minorHAnsi"/>
          <w:sz w:val="28"/>
        </w:rPr>
        <w:br w:type="page"/>
      </w:r>
    </w:p>
    <w:p w14:paraId="7451C902" w14:textId="77777777" w:rsidR="00721CFD" w:rsidRPr="0023665A" w:rsidRDefault="00721CFD" w:rsidP="00721CFD">
      <w:pPr>
        <w:pStyle w:val="AFR2"/>
        <w:rPr>
          <w:rFonts w:cstheme="minorHAnsi"/>
          <w:sz w:val="26"/>
          <w:szCs w:val="26"/>
          <w:u w:val="double"/>
        </w:rPr>
      </w:pPr>
      <w:r w:rsidRPr="0023665A">
        <w:rPr>
          <w:rFonts w:cstheme="minorHAnsi"/>
          <w:sz w:val="26"/>
          <w:szCs w:val="26"/>
        </w:rPr>
        <w:lastRenderedPageBreak/>
        <w:t>17. SERVICE CONCESSION ARRANGEMENTS</w:t>
      </w:r>
    </w:p>
    <w:p w14:paraId="00993828" w14:textId="77777777" w:rsidR="00721CFD" w:rsidRDefault="00721CFD" w:rsidP="00721CFD">
      <w:pPr>
        <w:rPr>
          <w:rFonts w:cstheme="minorHAnsi"/>
          <w:sz w:val="24"/>
          <w:szCs w:val="24"/>
        </w:rPr>
      </w:pPr>
      <w:r w:rsidRPr="00F54559">
        <w:rPr>
          <w:rFonts w:cstheme="minorHAnsi"/>
          <w:sz w:val="24"/>
          <w:szCs w:val="24"/>
        </w:rPr>
        <w:t xml:space="preserve">In June 2016, the System contracted with Sodexo America LLC (“Sodexo”) to provide food services at all campuses except the University of Maine.  </w:t>
      </w:r>
      <w:r>
        <w:rPr>
          <w:rFonts w:cstheme="minorHAnsi"/>
          <w:sz w:val="24"/>
          <w:szCs w:val="24"/>
        </w:rPr>
        <w:t xml:space="preserve">In May 2020, the term of the contract was extended for 5 additional years commencing July 1, 2021, continuing through June 30, 2026 and is subject to renewal for 5 additional 1-year terms. </w:t>
      </w:r>
    </w:p>
    <w:p w14:paraId="110C15B3" w14:textId="77777777" w:rsidR="00721CFD" w:rsidRDefault="00721CFD" w:rsidP="00721CFD">
      <w:pPr>
        <w:rPr>
          <w:rFonts w:cstheme="minorHAnsi"/>
          <w:sz w:val="24"/>
          <w:szCs w:val="24"/>
        </w:rPr>
      </w:pPr>
    </w:p>
    <w:p w14:paraId="17A92C3A" w14:textId="08FB9736" w:rsidR="00721CFD" w:rsidRPr="00F54559" w:rsidRDefault="00721CFD" w:rsidP="00721CFD">
      <w:pPr>
        <w:rPr>
          <w:rFonts w:cstheme="minorHAnsi"/>
          <w:sz w:val="24"/>
          <w:szCs w:val="24"/>
        </w:rPr>
      </w:pPr>
      <w:r w:rsidRPr="00F54559">
        <w:rPr>
          <w:rFonts w:cstheme="minorHAnsi"/>
          <w:sz w:val="24"/>
          <w:szCs w:val="24"/>
        </w:rPr>
        <w:t xml:space="preserve">Upon execution of the </w:t>
      </w:r>
      <w:r>
        <w:rPr>
          <w:rFonts w:cstheme="minorHAnsi"/>
          <w:sz w:val="24"/>
          <w:szCs w:val="24"/>
        </w:rPr>
        <w:t xml:space="preserve">2016 </w:t>
      </w:r>
      <w:r w:rsidRPr="00F54559">
        <w:rPr>
          <w:rFonts w:cstheme="minorHAnsi"/>
          <w:sz w:val="24"/>
          <w:szCs w:val="24"/>
        </w:rPr>
        <w:t xml:space="preserve">contract, the System received a signing bonus of $500 and a commitment by Sodexo to provide up to $4,000 for equipment and improvements to the System’s dining facilities during the first 2 years of the agreement. Effective September 1, 2018, the contract was amended to include an additional $2,000 for equipment and improvements. Any such improvements and equipment provided will remain the property of the System. </w:t>
      </w:r>
    </w:p>
    <w:p w14:paraId="501274E3" w14:textId="77777777" w:rsidR="00721CFD" w:rsidRPr="00F54559" w:rsidRDefault="00721CFD" w:rsidP="00721CFD">
      <w:pPr>
        <w:rPr>
          <w:rFonts w:cstheme="minorHAnsi"/>
          <w:sz w:val="24"/>
          <w:szCs w:val="24"/>
        </w:rPr>
      </w:pPr>
    </w:p>
    <w:p w14:paraId="6F1B196B" w14:textId="77777777" w:rsidR="00721CFD" w:rsidRPr="00F54559" w:rsidRDefault="00721CFD" w:rsidP="00721CFD">
      <w:pPr>
        <w:rPr>
          <w:rFonts w:cstheme="minorHAnsi"/>
          <w:sz w:val="24"/>
          <w:szCs w:val="24"/>
        </w:rPr>
      </w:pPr>
      <w:r w:rsidRPr="00F54559">
        <w:rPr>
          <w:rFonts w:cstheme="minorHAnsi"/>
          <w:sz w:val="24"/>
          <w:szCs w:val="24"/>
        </w:rPr>
        <w:t>As of June 30, 20</w:t>
      </w:r>
      <w:r>
        <w:rPr>
          <w:rFonts w:cstheme="minorHAnsi"/>
          <w:sz w:val="24"/>
          <w:szCs w:val="24"/>
        </w:rPr>
        <w:t>22</w:t>
      </w:r>
      <w:r w:rsidRPr="00F54559">
        <w:rPr>
          <w:rFonts w:cstheme="minorHAnsi"/>
          <w:sz w:val="24"/>
          <w:szCs w:val="24"/>
        </w:rPr>
        <w:t xml:space="preserve"> and 20</w:t>
      </w:r>
      <w:r>
        <w:rPr>
          <w:rFonts w:cstheme="minorHAnsi"/>
          <w:sz w:val="24"/>
          <w:szCs w:val="24"/>
        </w:rPr>
        <w:t>21</w:t>
      </w:r>
      <w:r w:rsidRPr="00F54559">
        <w:rPr>
          <w:rFonts w:cstheme="minorHAnsi"/>
          <w:sz w:val="24"/>
          <w:szCs w:val="24"/>
        </w:rPr>
        <w:t>, the equipment and improvements provided under this agreement have been classified as either capital assets or expenses in accordance with the System’s capitalization policies, with an offsetting deferred inflow of resources.  The signing bonus has also been classified as a deferred inflow of resources.  Over the life of the contract, the System will amortize the deferred inflows of resources while recognizing auxiliary revenue each year. If the agreement expires, terminates or is amended in a way that has an adverse impact on Sodexo, the System will be liable for the unamortized portion of Sodexo’s investment.</w:t>
      </w:r>
    </w:p>
    <w:p w14:paraId="7DAB0412" w14:textId="77777777" w:rsidR="00721CFD" w:rsidRPr="00F54559" w:rsidRDefault="00721CFD" w:rsidP="00721CFD">
      <w:pPr>
        <w:rPr>
          <w:rFonts w:cstheme="minorHAnsi"/>
          <w:sz w:val="24"/>
          <w:szCs w:val="24"/>
          <w:highlight w:val="yellow"/>
        </w:rPr>
      </w:pPr>
    </w:p>
    <w:p w14:paraId="24C81D74" w14:textId="52566CC3" w:rsidR="00721CFD" w:rsidRDefault="00721CFD" w:rsidP="00721CFD">
      <w:pPr>
        <w:rPr>
          <w:rFonts w:cstheme="minorHAnsi"/>
          <w:sz w:val="24"/>
          <w:szCs w:val="24"/>
        </w:rPr>
      </w:pPr>
      <w:r w:rsidRPr="00F54559">
        <w:rPr>
          <w:rFonts w:cstheme="minorHAnsi"/>
          <w:sz w:val="24"/>
          <w:szCs w:val="24"/>
        </w:rPr>
        <w:t>As of June 30, 20</w:t>
      </w:r>
      <w:r>
        <w:rPr>
          <w:rFonts w:cstheme="minorHAnsi"/>
          <w:sz w:val="24"/>
          <w:szCs w:val="24"/>
        </w:rPr>
        <w:t>22</w:t>
      </w:r>
      <w:r w:rsidRPr="00F54559">
        <w:rPr>
          <w:rFonts w:cstheme="minorHAnsi"/>
          <w:sz w:val="24"/>
          <w:szCs w:val="24"/>
        </w:rPr>
        <w:t xml:space="preserve"> and 20</w:t>
      </w:r>
      <w:r>
        <w:rPr>
          <w:rFonts w:cstheme="minorHAnsi"/>
          <w:sz w:val="24"/>
          <w:szCs w:val="24"/>
        </w:rPr>
        <w:t>21</w:t>
      </w:r>
      <w:r w:rsidRPr="00F54559">
        <w:rPr>
          <w:rFonts w:cstheme="minorHAnsi"/>
          <w:sz w:val="24"/>
          <w:szCs w:val="24"/>
        </w:rPr>
        <w:t xml:space="preserve"> the balance of the deferred inflows of resources related to the Sodexo service concession arrangement is </w:t>
      </w:r>
      <w:r w:rsidRPr="00D74245">
        <w:rPr>
          <w:rFonts w:cstheme="minorHAnsi"/>
          <w:sz w:val="24"/>
          <w:szCs w:val="24"/>
        </w:rPr>
        <w:t>$4,</w:t>
      </w:r>
      <w:r w:rsidR="004C6518" w:rsidRPr="001C5FD8">
        <w:rPr>
          <w:rFonts w:cstheme="minorHAnsi"/>
          <w:sz w:val="24"/>
          <w:szCs w:val="24"/>
        </w:rPr>
        <w:t>19</w:t>
      </w:r>
      <w:r w:rsidR="004C6518">
        <w:rPr>
          <w:rFonts w:cstheme="minorHAnsi"/>
          <w:sz w:val="24"/>
          <w:szCs w:val="24"/>
        </w:rPr>
        <w:t>6</w:t>
      </w:r>
      <w:r w:rsidR="004C6518" w:rsidRPr="001C5FD8">
        <w:rPr>
          <w:rFonts w:cstheme="minorHAnsi"/>
          <w:color w:val="FF0000"/>
          <w:sz w:val="24"/>
          <w:szCs w:val="24"/>
        </w:rPr>
        <w:t xml:space="preserve"> </w:t>
      </w:r>
      <w:r>
        <w:rPr>
          <w:rFonts w:cstheme="minorHAnsi"/>
          <w:sz w:val="24"/>
          <w:szCs w:val="24"/>
        </w:rPr>
        <w:t>and $</w:t>
      </w:r>
      <w:r w:rsidRPr="00310F65">
        <w:rPr>
          <w:rFonts w:cstheme="minorHAnsi"/>
          <w:sz w:val="24"/>
          <w:szCs w:val="24"/>
        </w:rPr>
        <w:t>4,708</w:t>
      </w:r>
      <w:r w:rsidRPr="00F54559">
        <w:rPr>
          <w:rFonts w:cstheme="minorHAnsi"/>
          <w:sz w:val="24"/>
          <w:szCs w:val="24"/>
        </w:rPr>
        <w:t>, respectively (see Note 15).  During FY</w:t>
      </w:r>
      <w:r>
        <w:rPr>
          <w:rFonts w:cstheme="minorHAnsi"/>
          <w:sz w:val="24"/>
          <w:szCs w:val="24"/>
        </w:rPr>
        <w:t>22</w:t>
      </w:r>
      <w:r w:rsidRPr="00F54559">
        <w:rPr>
          <w:rFonts w:cstheme="minorHAnsi"/>
          <w:sz w:val="24"/>
          <w:szCs w:val="24"/>
        </w:rPr>
        <w:t xml:space="preserve"> and FY</w:t>
      </w:r>
      <w:r>
        <w:rPr>
          <w:rFonts w:cstheme="minorHAnsi"/>
          <w:sz w:val="24"/>
          <w:szCs w:val="24"/>
        </w:rPr>
        <w:t>21</w:t>
      </w:r>
      <w:r w:rsidRPr="00F54559">
        <w:rPr>
          <w:rFonts w:cstheme="minorHAnsi"/>
          <w:sz w:val="24"/>
          <w:szCs w:val="24"/>
        </w:rPr>
        <w:t>, amortization in the amount of $</w:t>
      </w:r>
      <w:r w:rsidR="004C6518">
        <w:rPr>
          <w:rFonts w:cstheme="minorHAnsi"/>
          <w:sz w:val="24"/>
          <w:szCs w:val="24"/>
        </w:rPr>
        <w:t xml:space="preserve">512 </w:t>
      </w:r>
      <w:r w:rsidRPr="00F54559">
        <w:rPr>
          <w:rFonts w:cstheme="minorHAnsi"/>
          <w:sz w:val="24"/>
          <w:szCs w:val="24"/>
        </w:rPr>
        <w:t>has been recognized as auxiliary revenue.</w:t>
      </w:r>
    </w:p>
    <w:p w14:paraId="2C1EA8CF" w14:textId="77777777" w:rsidR="00721CFD" w:rsidRPr="0023665A" w:rsidRDefault="00721CFD" w:rsidP="00721CFD">
      <w:pPr>
        <w:pStyle w:val="AFR2"/>
        <w:rPr>
          <w:rFonts w:cstheme="minorHAnsi"/>
          <w:color w:val="FF0000"/>
          <w:sz w:val="26"/>
          <w:szCs w:val="26"/>
          <w:u w:val="double"/>
        </w:rPr>
      </w:pPr>
      <w:r w:rsidRPr="0023665A">
        <w:rPr>
          <w:rFonts w:cstheme="minorHAnsi"/>
          <w:sz w:val="26"/>
          <w:szCs w:val="26"/>
        </w:rPr>
        <w:t xml:space="preserve">18. </w:t>
      </w:r>
      <w:r w:rsidRPr="009001A2">
        <w:rPr>
          <w:rFonts w:cstheme="minorHAnsi"/>
          <w:color w:val="auto"/>
          <w:sz w:val="26"/>
          <w:szCs w:val="26"/>
        </w:rPr>
        <w:t>PRIOR PERIOD ADJUSTMENTS</w:t>
      </w:r>
    </w:p>
    <w:p w14:paraId="2F3ED37C" w14:textId="17E29F59" w:rsidR="00721CFD" w:rsidRDefault="00721CFD" w:rsidP="00721CFD">
      <w:pPr>
        <w:spacing w:after="160" w:line="259" w:lineRule="auto"/>
        <w:rPr>
          <w:rFonts w:cstheme="minorHAnsi"/>
          <w:sz w:val="24"/>
          <w:szCs w:val="20"/>
        </w:rPr>
      </w:pPr>
      <w:r w:rsidRPr="000059A2">
        <w:rPr>
          <w:rFonts w:cstheme="minorHAnsi"/>
          <w:sz w:val="24"/>
          <w:szCs w:val="20"/>
        </w:rPr>
        <w:t xml:space="preserve">The provisions of GASB No. </w:t>
      </w:r>
      <w:r w:rsidRPr="0028129F">
        <w:rPr>
          <w:rFonts w:cstheme="minorHAnsi"/>
          <w:iCs/>
          <w:smallCaps/>
          <w:sz w:val="24"/>
          <w:szCs w:val="20"/>
        </w:rPr>
        <w:t>8</w:t>
      </w:r>
      <w:r>
        <w:rPr>
          <w:rFonts w:cstheme="minorHAnsi"/>
          <w:iCs/>
          <w:smallCaps/>
          <w:sz w:val="24"/>
          <w:szCs w:val="20"/>
        </w:rPr>
        <w:t>7</w:t>
      </w:r>
      <w:r w:rsidR="00C7561B">
        <w:rPr>
          <w:rFonts w:cstheme="minorHAnsi"/>
          <w:iCs/>
          <w:smallCaps/>
          <w:sz w:val="24"/>
          <w:szCs w:val="20"/>
        </w:rPr>
        <w:t xml:space="preserve">, </w:t>
      </w:r>
      <w:r w:rsidR="00910C78" w:rsidRPr="003470C1">
        <w:rPr>
          <w:rFonts w:cstheme="minorHAnsi"/>
          <w:i/>
          <w:sz w:val="24"/>
          <w:szCs w:val="20"/>
        </w:rPr>
        <w:t>Leases</w:t>
      </w:r>
      <w:r w:rsidR="00910C78">
        <w:rPr>
          <w:rFonts w:cstheme="minorHAnsi"/>
          <w:sz w:val="24"/>
          <w:szCs w:val="20"/>
        </w:rPr>
        <w:t xml:space="preserve"> a</w:t>
      </w:r>
      <w:r w:rsidRPr="000059A2">
        <w:rPr>
          <w:rFonts w:cstheme="minorHAnsi"/>
          <w:sz w:val="24"/>
          <w:szCs w:val="20"/>
        </w:rPr>
        <w:t xml:space="preserve">re effective for periods beginning </w:t>
      </w:r>
      <w:r w:rsidRPr="00F52FF6">
        <w:rPr>
          <w:rFonts w:cstheme="minorHAnsi"/>
          <w:sz w:val="24"/>
          <w:szCs w:val="20"/>
        </w:rPr>
        <w:t xml:space="preserve">after </w:t>
      </w:r>
      <w:r>
        <w:rPr>
          <w:rFonts w:cstheme="minorHAnsi"/>
          <w:sz w:val="24"/>
          <w:szCs w:val="20"/>
        </w:rPr>
        <w:t>June 15, 2021 and all reporting periods thereafter</w:t>
      </w:r>
      <w:r w:rsidRPr="00F52FF6">
        <w:rPr>
          <w:rFonts w:cstheme="minorHAnsi"/>
          <w:sz w:val="24"/>
          <w:szCs w:val="20"/>
        </w:rPr>
        <w:t xml:space="preserve">. </w:t>
      </w:r>
      <w:r w:rsidRPr="000059A2">
        <w:rPr>
          <w:rFonts w:cstheme="minorHAnsi"/>
          <w:sz w:val="24"/>
          <w:szCs w:val="20"/>
        </w:rPr>
        <w:t xml:space="preserve">This statement applies to the </w:t>
      </w:r>
      <w:r w:rsidRPr="00F52FF6">
        <w:rPr>
          <w:rFonts w:cstheme="minorHAnsi"/>
          <w:sz w:val="24"/>
          <w:szCs w:val="20"/>
        </w:rPr>
        <w:t xml:space="preserve">System’s </w:t>
      </w:r>
      <w:r>
        <w:rPr>
          <w:rFonts w:cstheme="minorHAnsi"/>
          <w:sz w:val="24"/>
          <w:szCs w:val="20"/>
        </w:rPr>
        <w:t xml:space="preserve">leases (see Note 1b.) </w:t>
      </w:r>
      <w:r w:rsidRPr="000059A2">
        <w:rPr>
          <w:rFonts w:cstheme="minorHAnsi"/>
          <w:sz w:val="24"/>
          <w:szCs w:val="20"/>
        </w:rPr>
        <w:t xml:space="preserve">and the System adopted GASB No. </w:t>
      </w:r>
      <w:r w:rsidRPr="0028129F">
        <w:rPr>
          <w:rFonts w:cstheme="minorHAnsi"/>
          <w:iCs/>
          <w:smallCaps/>
          <w:sz w:val="24"/>
          <w:szCs w:val="20"/>
        </w:rPr>
        <w:t>8</w:t>
      </w:r>
      <w:r>
        <w:rPr>
          <w:rFonts w:cstheme="minorHAnsi"/>
          <w:iCs/>
          <w:smallCaps/>
          <w:sz w:val="24"/>
          <w:szCs w:val="20"/>
        </w:rPr>
        <w:t>7</w:t>
      </w:r>
      <w:r w:rsidRPr="000059A2">
        <w:rPr>
          <w:rFonts w:cstheme="minorHAnsi"/>
          <w:sz w:val="24"/>
          <w:szCs w:val="20"/>
        </w:rPr>
        <w:t xml:space="preserve"> for its June 30, 20</w:t>
      </w:r>
      <w:r w:rsidRPr="0028129F">
        <w:rPr>
          <w:rFonts w:cstheme="minorHAnsi"/>
          <w:iCs/>
          <w:smallCaps/>
          <w:sz w:val="24"/>
          <w:szCs w:val="20"/>
        </w:rPr>
        <w:t>2</w:t>
      </w:r>
      <w:r>
        <w:rPr>
          <w:rFonts w:cstheme="minorHAnsi"/>
          <w:iCs/>
          <w:smallCaps/>
          <w:sz w:val="24"/>
          <w:szCs w:val="20"/>
        </w:rPr>
        <w:t>2</w:t>
      </w:r>
      <w:r w:rsidRPr="000059A2">
        <w:rPr>
          <w:rFonts w:cstheme="minorHAnsi"/>
          <w:sz w:val="24"/>
          <w:szCs w:val="20"/>
        </w:rPr>
        <w:t xml:space="preserve"> financial statements. The change represents a change from one generally accepted accounting principle to another generally accepted accounting principle that is the current</w:t>
      </w:r>
      <w:r>
        <w:rPr>
          <w:rFonts w:cstheme="minorHAnsi"/>
          <w:sz w:val="24"/>
          <w:szCs w:val="20"/>
        </w:rPr>
        <w:t xml:space="preserve"> industry practice.</w:t>
      </w:r>
      <w:r w:rsidRPr="000059A2">
        <w:rPr>
          <w:rFonts w:cstheme="minorHAnsi"/>
          <w:sz w:val="24"/>
          <w:szCs w:val="20"/>
        </w:rPr>
        <w:t xml:space="preserve"> </w:t>
      </w:r>
    </w:p>
    <w:p w14:paraId="1843FE10" w14:textId="07515369" w:rsidR="00721CFD" w:rsidRDefault="00721CFD" w:rsidP="00721CFD">
      <w:pPr>
        <w:spacing w:after="160" w:line="259" w:lineRule="auto"/>
        <w:rPr>
          <w:rFonts w:cstheme="minorHAnsi"/>
          <w:sz w:val="24"/>
          <w:szCs w:val="20"/>
        </w:rPr>
      </w:pPr>
      <w:r w:rsidRPr="000059A2">
        <w:rPr>
          <w:rFonts w:cstheme="minorHAnsi"/>
          <w:sz w:val="24"/>
          <w:szCs w:val="20"/>
        </w:rPr>
        <w:t xml:space="preserve">The changes adopted to conform to the provisions of GASB No. </w:t>
      </w:r>
      <w:r>
        <w:rPr>
          <w:rFonts w:cstheme="minorHAnsi"/>
          <w:sz w:val="24"/>
          <w:szCs w:val="20"/>
        </w:rPr>
        <w:t>87</w:t>
      </w:r>
      <w:r w:rsidRPr="000059A2">
        <w:rPr>
          <w:rFonts w:cstheme="minorHAnsi"/>
          <w:sz w:val="24"/>
          <w:szCs w:val="20"/>
        </w:rPr>
        <w:t xml:space="preserve"> are applied retroactively by restating the FY</w:t>
      </w:r>
      <w:r>
        <w:rPr>
          <w:rFonts w:cstheme="minorHAnsi"/>
          <w:sz w:val="24"/>
          <w:szCs w:val="20"/>
        </w:rPr>
        <w:t>21</w:t>
      </w:r>
      <w:r w:rsidRPr="000059A2">
        <w:rPr>
          <w:rFonts w:cstheme="minorHAnsi"/>
          <w:sz w:val="24"/>
          <w:szCs w:val="20"/>
        </w:rPr>
        <w:t xml:space="preserve"> financial statements. </w:t>
      </w:r>
      <w:r>
        <w:rPr>
          <w:rFonts w:cstheme="minorHAnsi"/>
          <w:sz w:val="24"/>
          <w:szCs w:val="20"/>
        </w:rPr>
        <w:t xml:space="preserve">The effect of the restatement was to reduce the beginning balance of net position </w:t>
      </w:r>
      <w:r w:rsidR="00910C78">
        <w:rPr>
          <w:rFonts w:cstheme="minorHAnsi"/>
          <w:sz w:val="24"/>
          <w:szCs w:val="20"/>
        </w:rPr>
        <w:t>(</w:t>
      </w:r>
      <w:r>
        <w:rPr>
          <w:rFonts w:cstheme="minorHAnsi"/>
          <w:sz w:val="24"/>
          <w:szCs w:val="20"/>
        </w:rPr>
        <w:t>investment in capital assets</w:t>
      </w:r>
      <w:r w:rsidR="00910C78">
        <w:rPr>
          <w:rFonts w:cstheme="minorHAnsi"/>
          <w:sz w:val="24"/>
          <w:szCs w:val="20"/>
        </w:rPr>
        <w:t>)</w:t>
      </w:r>
      <w:r>
        <w:rPr>
          <w:rFonts w:cstheme="minorHAnsi"/>
          <w:sz w:val="24"/>
          <w:szCs w:val="20"/>
        </w:rPr>
        <w:t xml:space="preserve">, decrease the </w:t>
      </w:r>
      <w:r w:rsidR="00661051">
        <w:rPr>
          <w:rFonts w:cstheme="minorHAnsi"/>
          <w:sz w:val="24"/>
          <w:szCs w:val="20"/>
        </w:rPr>
        <w:t xml:space="preserve">FY21 </w:t>
      </w:r>
      <w:r>
        <w:rPr>
          <w:rFonts w:cstheme="minorHAnsi"/>
          <w:sz w:val="24"/>
          <w:szCs w:val="20"/>
        </w:rPr>
        <w:t xml:space="preserve">change </w:t>
      </w:r>
      <w:r w:rsidR="00661051">
        <w:rPr>
          <w:rFonts w:cstheme="minorHAnsi"/>
          <w:sz w:val="24"/>
          <w:szCs w:val="20"/>
        </w:rPr>
        <w:t xml:space="preserve">in </w:t>
      </w:r>
      <w:r>
        <w:rPr>
          <w:rFonts w:cstheme="minorHAnsi"/>
          <w:sz w:val="24"/>
          <w:szCs w:val="20"/>
        </w:rPr>
        <w:t xml:space="preserve">net position and decrease ending net position </w:t>
      </w:r>
      <w:r w:rsidR="00661051">
        <w:rPr>
          <w:rFonts w:cstheme="minorHAnsi"/>
          <w:sz w:val="24"/>
          <w:szCs w:val="20"/>
        </w:rPr>
        <w:t>(</w:t>
      </w:r>
      <w:r>
        <w:rPr>
          <w:rFonts w:cstheme="minorHAnsi"/>
          <w:sz w:val="24"/>
          <w:szCs w:val="20"/>
        </w:rPr>
        <w:t>investment in capital assets</w:t>
      </w:r>
      <w:r w:rsidR="00661051">
        <w:rPr>
          <w:rFonts w:cstheme="minorHAnsi"/>
          <w:sz w:val="24"/>
          <w:szCs w:val="20"/>
        </w:rPr>
        <w:t>) by the amounts</w:t>
      </w:r>
      <w:r w:rsidR="00731B89">
        <w:rPr>
          <w:rFonts w:cstheme="minorHAnsi"/>
          <w:sz w:val="24"/>
          <w:szCs w:val="20"/>
        </w:rPr>
        <w:t xml:space="preserve"> noted on the next </w:t>
      </w:r>
      <w:r w:rsidR="00731B89" w:rsidRPr="001041E7">
        <w:rPr>
          <w:rFonts w:cstheme="minorHAnsi"/>
          <w:sz w:val="24"/>
          <w:szCs w:val="20"/>
        </w:rPr>
        <w:t>page.</w:t>
      </w:r>
    </w:p>
    <w:p w14:paraId="4B9816E0" w14:textId="77777777" w:rsidR="00373110" w:rsidRDefault="00373110" w:rsidP="00721CFD">
      <w:pPr>
        <w:pStyle w:val="AFR4"/>
        <w:rPr>
          <w:rFonts w:eastAsiaTheme="majorEastAsia" w:cstheme="minorHAnsi"/>
          <w:i/>
          <w:iCs/>
          <w:smallCaps/>
          <w:noProof/>
          <w:color w:val="000000" w:themeColor="text1"/>
          <w:sz w:val="26"/>
          <w:szCs w:val="26"/>
          <w:u w:val="none" w:color="5B9BD5"/>
        </w:rPr>
      </w:pPr>
      <w:r>
        <w:rPr>
          <w:rFonts w:eastAsiaTheme="majorEastAsia" w:cstheme="minorHAnsi"/>
          <w:i/>
          <w:iCs/>
          <w:smallCaps/>
          <w:noProof/>
          <w:color w:val="000000" w:themeColor="text1"/>
          <w:sz w:val="26"/>
          <w:szCs w:val="26"/>
          <w:u w:val="none" w:color="5B9BD5"/>
        </w:rPr>
        <w:br w:type="page"/>
      </w:r>
    </w:p>
    <w:p w14:paraId="03766044" w14:textId="68C43E54" w:rsidR="00721CFD" w:rsidRDefault="00721CFD" w:rsidP="00674D4D">
      <w:pPr>
        <w:pStyle w:val="AFR4"/>
        <w:spacing w:after="240"/>
        <w:rPr>
          <w:rFonts w:eastAsiaTheme="majorEastAsia" w:cstheme="minorHAnsi"/>
          <w:i/>
          <w:iCs/>
          <w:smallCaps/>
          <w:noProof/>
          <w:color w:val="000000" w:themeColor="text1"/>
          <w:sz w:val="26"/>
          <w:szCs w:val="26"/>
          <w:u w:color="5B9BD5"/>
        </w:rPr>
      </w:pPr>
      <w:r>
        <w:rPr>
          <w:rFonts w:eastAsiaTheme="majorEastAsia" w:cstheme="minorHAnsi"/>
          <w:i/>
          <w:iCs/>
          <w:smallCaps/>
          <w:noProof/>
          <w:color w:val="000000" w:themeColor="text1"/>
          <w:sz w:val="26"/>
          <w:szCs w:val="26"/>
          <w:u w:val="none" w:color="5B9BD5"/>
        </w:rPr>
        <w:lastRenderedPageBreak/>
        <w:t>18. PRIOR PERIOD ADJUSTMENTS</w:t>
      </w:r>
      <w:r w:rsidRPr="00F54559">
        <w:rPr>
          <w:rFonts w:eastAsiaTheme="majorEastAsia" w:cstheme="minorHAnsi"/>
          <w:i/>
          <w:iCs/>
          <w:smallCaps/>
          <w:noProof/>
          <w:color w:val="000000" w:themeColor="text1"/>
          <w:sz w:val="26"/>
          <w:szCs w:val="26"/>
          <w:u w:val="none" w:color="5B9BD5"/>
        </w:rPr>
        <w:t xml:space="preserve"> </w:t>
      </w:r>
      <w:r>
        <w:rPr>
          <w:rFonts w:eastAsiaTheme="majorEastAsia" w:cstheme="minorHAnsi"/>
          <w:i/>
          <w:iCs/>
          <w:smallCaps/>
          <w:noProof/>
          <w:color w:val="000000" w:themeColor="text1"/>
          <w:sz w:val="26"/>
          <w:szCs w:val="26"/>
          <w:u w:val="none" w:color="5B9BD5"/>
        </w:rPr>
        <w:t>–</w:t>
      </w:r>
      <w:r w:rsidRPr="00F54559">
        <w:rPr>
          <w:rFonts w:eastAsiaTheme="majorEastAsia" w:cstheme="minorHAnsi"/>
          <w:i/>
          <w:iCs/>
          <w:smallCaps/>
          <w:noProof/>
          <w:color w:val="000000" w:themeColor="text1"/>
          <w:sz w:val="26"/>
          <w:szCs w:val="26"/>
          <w:u w:val="none" w:color="5B9BD5"/>
        </w:rPr>
        <w:t xml:space="preserve"> CONTINUED</w:t>
      </w:r>
    </w:p>
    <w:p w14:paraId="6F57C9DF" w14:textId="56FCEBE2" w:rsidR="00721CFD" w:rsidRDefault="007153DB" w:rsidP="00721CFD">
      <w:pPr>
        <w:pStyle w:val="AFR4"/>
        <w:rPr>
          <w:rFonts w:cstheme="minorHAnsi"/>
          <w:szCs w:val="20"/>
        </w:rPr>
      </w:pPr>
      <w:r w:rsidRPr="00185B1B">
        <w:rPr>
          <w:noProof/>
          <w:u w:val="none"/>
        </w:rPr>
        <w:drawing>
          <wp:inline distT="0" distB="0" distL="0" distR="0" wp14:anchorId="57411531" wp14:editId="59574F05">
            <wp:extent cx="4961890" cy="3784600"/>
            <wp:effectExtent l="0" t="0" r="0" b="0"/>
            <wp:docPr id="32" name="Picture 32" descr="Net Position - Beginning of year  - As previously reported  $832,108 &#10; Cumulative adjustment to Net Position   (826)&#10;Net Position – Beginning of year – As restated  831,282 &#10;FY21 Change in Net Position – As previously reported  112,586 &#10;FY21 effect on Change in Net Position &#10;Lease income: &#10;Net differences in recognition of rental income  2 &#10;Rental payments received applied to interest income  40 &#10;Lease expenses: &#10;Amortization of right of use assets-buildings  (1,337)&#10;Rental payments made applied to interest expense  (35)&#10;Net differences in recognition of rental expense  979 &#10;Total effect on Change in Net Position  (351)&#10;FY21 Change in Net Position – As restated  112,235 &#10;Net Position - End of year - As restated  $94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Net Position - Beginning of year  - As previously reported  $832,108 &#10; Cumulative adjustment to Net Position   (826)&#10;Net Position – Beginning of year – As restated  831,282 &#10;FY21 Change in Net Position – As previously reported  112,586 &#10;FY21 effect on Change in Net Position &#10;Lease income: &#10;Net differences in recognition of rental income  2 &#10;Rental payments received applied to interest income  40 &#10;Lease expenses: &#10;Amortization of right of use assets-buildings  (1,337)&#10;Rental payments made applied to interest expense  (35)&#10;Net differences in recognition of rental expense  979 &#10;Total effect on Change in Net Position  (351)&#10;FY21 Change in Net Position – As restated  112,235 &#10;Net Position - End of year - As restated  $943,5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61890" cy="3784600"/>
                    </a:xfrm>
                    <a:prstGeom prst="rect">
                      <a:avLst/>
                    </a:prstGeom>
                    <a:noFill/>
                    <a:ln>
                      <a:noFill/>
                    </a:ln>
                  </pic:spPr>
                </pic:pic>
              </a:graphicData>
            </a:graphic>
          </wp:inline>
        </w:drawing>
      </w:r>
    </w:p>
    <w:p w14:paraId="2CF603F4" w14:textId="249D3F27" w:rsidR="00596C98" w:rsidRDefault="00596C98" w:rsidP="00731B89">
      <w:pPr>
        <w:pStyle w:val="AFR2"/>
        <w:rPr>
          <w:rFonts w:cstheme="minorHAnsi"/>
          <w:sz w:val="26"/>
          <w:szCs w:val="26"/>
        </w:rPr>
      </w:pPr>
      <w:r w:rsidRPr="00731B89">
        <w:rPr>
          <w:rFonts w:cstheme="minorHAnsi"/>
          <w:color w:val="auto"/>
          <w:sz w:val="26"/>
          <w:szCs w:val="26"/>
        </w:rPr>
        <w:t>19. SUBSEQUENT EVENTS</w:t>
      </w:r>
    </w:p>
    <w:p w14:paraId="10C65A0A" w14:textId="59EE60B5" w:rsidR="00FF11E6" w:rsidRPr="00731B89" w:rsidRDefault="00FF11E6" w:rsidP="00FF11E6">
      <w:pPr>
        <w:rPr>
          <w:sz w:val="24"/>
          <w:szCs w:val="24"/>
        </w:rPr>
      </w:pPr>
      <w:r w:rsidRPr="00731B89">
        <w:rPr>
          <w:b/>
          <w:sz w:val="24"/>
          <w:szCs w:val="24"/>
        </w:rPr>
        <w:t>Bond Issuance</w:t>
      </w:r>
      <w:r w:rsidRPr="00731B89">
        <w:rPr>
          <w:sz w:val="24"/>
          <w:szCs w:val="24"/>
        </w:rPr>
        <w:t>: On July 20, 2022, the System issued $120,325 of 2022 Series A Revenue Bonds at a premium of $11,916. The purpose of the issuance was to currently refund a $43,000 bond anticipation note issued in May 2021, and to provide $86,396 for new projects, $2,247 for capitalized interest, and $598 for issuance costs.  The bonds mature from 2023 to 2062 with annual principal payments from $1,165 to $6,050 and coupon interest rates from 5.0% to 5.5%.</w:t>
      </w:r>
    </w:p>
    <w:p w14:paraId="2900D480" w14:textId="0AC736B2" w:rsidR="00FF11E6" w:rsidRPr="00731B89" w:rsidRDefault="00FF11E6" w:rsidP="00FF11E6">
      <w:pPr>
        <w:rPr>
          <w:sz w:val="24"/>
          <w:szCs w:val="24"/>
        </w:rPr>
      </w:pPr>
    </w:p>
    <w:p w14:paraId="3B68F6C8" w14:textId="63A17C0D" w:rsidR="008E2E89" w:rsidRDefault="00FF11E6" w:rsidP="001C1AE7">
      <w:pPr>
        <w:jc w:val="both"/>
        <w:rPr>
          <w:sz w:val="24"/>
          <w:szCs w:val="24"/>
        </w:rPr>
      </w:pPr>
      <w:r w:rsidRPr="00492AEC">
        <w:rPr>
          <w:b/>
          <w:sz w:val="24"/>
          <w:szCs w:val="24"/>
        </w:rPr>
        <w:t xml:space="preserve">Public, Private Partnership: </w:t>
      </w:r>
      <w:r w:rsidR="00060B8A" w:rsidRPr="001C1AE7">
        <w:rPr>
          <w:sz w:val="24"/>
          <w:szCs w:val="24"/>
        </w:rPr>
        <w:t xml:space="preserve"> On August 15, 2022, the University of Maine System, as lessor, entered into an agreement with HS-RPG Orono, LLC as lessee, and with tenant, HS-RPG Orono Master Tenant, LLC. The public private partnership (P3) agreement is a $28</w:t>
      </w:r>
      <w:r w:rsidR="004B5787">
        <w:rPr>
          <w:sz w:val="24"/>
          <w:szCs w:val="24"/>
        </w:rPr>
        <w:t>,000</w:t>
      </w:r>
      <w:r w:rsidR="00060B8A" w:rsidRPr="001C1AE7">
        <w:rPr>
          <w:sz w:val="24"/>
          <w:szCs w:val="24"/>
        </w:rPr>
        <w:t xml:space="preserve"> project including the renovation of Coburn and Holmes Halls and the construction of a new 24,800-square-foot building adjacent to Holmes Hall for the creation of boutique hotels. This project will provide 95 hotel rooms and suites and a bistro café. The construction will also include a new parking lot. The University is leasing the grounds and buildings for 99 years with an annual base rent of $</w:t>
      </w:r>
      <w:r w:rsidR="004B5787">
        <w:rPr>
          <w:sz w:val="24"/>
          <w:szCs w:val="24"/>
        </w:rPr>
        <w:t>38</w:t>
      </w:r>
      <w:r w:rsidR="00060B8A" w:rsidRPr="001C1AE7">
        <w:rPr>
          <w:sz w:val="24"/>
          <w:szCs w:val="24"/>
        </w:rPr>
        <w:t xml:space="preserve"> per annum. The University</w:t>
      </w:r>
      <w:r w:rsidR="00787923">
        <w:rPr>
          <w:sz w:val="24"/>
          <w:szCs w:val="24"/>
        </w:rPr>
        <w:t>’s</w:t>
      </w:r>
      <w:r w:rsidR="00060B8A" w:rsidRPr="001C1AE7">
        <w:rPr>
          <w:sz w:val="24"/>
          <w:szCs w:val="24"/>
        </w:rPr>
        <w:t xml:space="preserve"> </w:t>
      </w:r>
      <w:r w:rsidR="00787923">
        <w:rPr>
          <w:sz w:val="24"/>
          <w:szCs w:val="24"/>
        </w:rPr>
        <w:t>commitment to the project is $3</w:t>
      </w:r>
      <w:r w:rsidR="004B5787">
        <w:rPr>
          <w:sz w:val="24"/>
          <w:szCs w:val="24"/>
        </w:rPr>
        <w:t>,000</w:t>
      </w:r>
      <w:r w:rsidR="00787923">
        <w:rPr>
          <w:sz w:val="24"/>
          <w:szCs w:val="24"/>
        </w:rPr>
        <w:t xml:space="preserve"> with </w:t>
      </w:r>
      <w:r w:rsidR="00060B8A" w:rsidRPr="001C1AE7">
        <w:rPr>
          <w:sz w:val="24"/>
          <w:szCs w:val="24"/>
        </w:rPr>
        <w:t>$1</w:t>
      </w:r>
      <w:r w:rsidR="004B5787">
        <w:rPr>
          <w:sz w:val="24"/>
          <w:szCs w:val="24"/>
        </w:rPr>
        <w:t>,</w:t>
      </w:r>
      <w:r w:rsidR="00060B8A" w:rsidRPr="001C1AE7">
        <w:rPr>
          <w:sz w:val="24"/>
          <w:szCs w:val="24"/>
        </w:rPr>
        <w:t>18</w:t>
      </w:r>
      <w:r w:rsidR="004B5787">
        <w:rPr>
          <w:sz w:val="24"/>
          <w:szCs w:val="24"/>
        </w:rPr>
        <w:t>0</w:t>
      </w:r>
      <w:r w:rsidR="00060B8A" w:rsidRPr="001C1AE7">
        <w:rPr>
          <w:sz w:val="24"/>
          <w:szCs w:val="24"/>
        </w:rPr>
        <w:t xml:space="preserve"> </w:t>
      </w:r>
      <w:r w:rsidR="00787923">
        <w:rPr>
          <w:sz w:val="24"/>
          <w:szCs w:val="24"/>
        </w:rPr>
        <w:t xml:space="preserve">disbursed </w:t>
      </w:r>
      <w:r w:rsidR="00060B8A" w:rsidRPr="001C1AE7">
        <w:rPr>
          <w:sz w:val="24"/>
          <w:szCs w:val="24"/>
        </w:rPr>
        <w:t>at closing in August</w:t>
      </w:r>
      <w:r w:rsidR="00787923">
        <w:rPr>
          <w:sz w:val="24"/>
          <w:szCs w:val="24"/>
        </w:rPr>
        <w:t xml:space="preserve"> 2022 for the construction of the </w:t>
      </w:r>
      <w:r w:rsidR="009473E8">
        <w:rPr>
          <w:sz w:val="24"/>
          <w:szCs w:val="24"/>
        </w:rPr>
        <w:t xml:space="preserve">new </w:t>
      </w:r>
      <w:r w:rsidR="00787923">
        <w:rPr>
          <w:sz w:val="24"/>
          <w:szCs w:val="24"/>
        </w:rPr>
        <w:t xml:space="preserve">parking lot and site improvements. </w:t>
      </w:r>
      <w:r w:rsidR="00060B8A" w:rsidRPr="001C1AE7">
        <w:rPr>
          <w:sz w:val="24"/>
          <w:szCs w:val="24"/>
        </w:rPr>
        <w:t xml:space="preserve"> In addition, the University has committed $1</w:t>
      </w:r>
      <w:r w:rsidR="004B5787">
        <w:rPr>
          <w:sz w:val="24"/>
          <w:szCs w:val="24"/>
        </w:rPr>
        <w:t>,</w:t>
      </w:r>
      <w:r w:rsidR="00060B8A" w:rsidRPr="001C1AE7">
        <w:rPr>
          <w:sz w:val="24"/>
          <w:szCs w:val="24"/>
        </w:rPr>
        <w:t>32</w:t>
      </w:r>
      <w:r w:rsidR="004B5787">
        <w:rPr>
          <w:sz w:val="24"/>
          <w:szCs w:val="24"/>
        </w:rPr>
        <w:t>0</w:t>
      </w:r>
      <w:r w:rsidR="00060B8A" w:rsidRPr="001C1AE7">
        <w:rPr>
          <w:sz w:val="24"/>
          <w:szCs w:val="24"/>
        </w:rPr>
        <w:t xml:space="preserve"> for the construction of the boutique hotels </w:t>
      </w:r>
      <w:r w:rsidR="00787923">
        <w:rPr>
          <w:sz w:val="24"/>
          <w:szCs w:val="24"/>
        </w:rPr>
        <w:t xml:space="preserve">with this amount not to be disbursed prior to January 1, 2023. </w:t>
      </w:r>
      <w:r w:rsidR="008E2E89" w:rsidRPr="008E2E89">
        <w:rPr>
          <w:sz w:val="24"/>
          <w:szCs w:val="24"/>
        </w:rPr>
        <w:t>The University has further committed $</w:t>
      </w:r>
      <w:r w:rsidR="00EF7A8C">
        <w:rPr>
          <w:sz w:val="24"/>
          <w:szCs w:val="24"/>
        </w:rPr>
        <w:t>515</w:t>
      </w:r>
      <w:r w:rsidR="008E2E89" w:rsidRPr="008E2E89">
        <w:rPr>
          <w:sz w:val="24"/>
          <w:szCs w:val="24"/>
        </w:rPr>
        <w:t xml:space="preserve"> as a tax reimbursement payment by December 15, 2023. </w:t>
      </w:r>
    </w:p>
    <w:p w14:paraId="24CFA797" w14:textId="77777777" w:rsidR="008E2E89" w:rsidRDefault="008E2E89" w:rsidP="005221D9">
      <w:pPr>
        <w:pStyle w:val="AFR4"/>
        <w:spacing w:before="360" w:after="240"/>
        <w:rPr>
          <w:rFonts w:eastAsiaTheme="majorEastAsia" w:cstheme="minorHAnsi"/>
          <w:i/>
          <w:iCs/>
          <w:smallCaps/>
          <w:noProof/>
          <w:color w:val="000000" w:themeColor="text1"/>
          <w:sz w:val="26"/>
          <w:szCs w:val="26"/>
          <w:u w:color="5B9BD5"/>
        </w:rPr>
      </w:pPr>
      <w:r>
        <w:rPr>
          <w:rFonts w:eastAsiaTheme="majorEastAsia" w:cstheme="minorHAnsi"/>
          <w:i/>
          <w:iCs/>
          <w:smallCaps/>
          <w:noProof/>
          <w:color w:val="000000" w:themeColor="text1"/>
          <w:sz w:val="26"/>
          <w:szCs w:val="26"/>
          <w:u w:val="none" w:color="5B9BD5"/>
        </w:rPr>
        <w:lastRenderedPageBreak/>
        <w:t>19. SUBSEQUENT EVENTS</w:t>
      </w:r>
      <w:r w:rsidRPr="00F54559">
        <w:rPr>
          <w:rFonts w:eastAsiaTheme="majorEastAsia" w:cstheme="minorHAnsi"/>
          <w:i/>
          <w:iCs/>
          <w:smallCaps/>
          <w:noProof/>
          <w:color w:val="000000" w:themeColor="text1"/>
          <w:sz w:val="26"/>
          <w:szCs w:val="26"/>
          <w:u w:val="none" w:color="5B9BD5"/>
        </w:rPr>
        <w:t xml:space="preserve"> </w:t>
      </w:r>
      <w:r>
        <w:rPr>
          <w:rFonts w:eastAsiaTheme="majorEastAsia" w:cstheme="minorHAnsi"/>
          <w:i/>
          <w:iCs/>
          <w:smallCaps/>
          <w:noProof/>
          <w:color w:val="000000" w:themeColor="text1"/>
          <w:sz w:val="26"/>
          <w:szCs w:val="26"/>
          <w:u w:val="none" w:color="5B9BD5"/>
        </w:rPr>
        <w:t>–</w:t>
      </w:r>
      <w:r w:rsidRPr="00F54559">
        <w:rPr>
          <w:rFonts w:eastAsiaTheme="majorEastAsia" w:cstheme="minorHAnsi"/>
          <w:i/>
          <w:iCs/>
          <w:smallCaps/>
          <w:noProof/>
          <w:color w:val="000000" w:themeColor="text1"/>
          <w:sz w:val="26"/>
          <w:szCs w:val="26"/>
          <w:u w:val="none" w:color="5B9BD5"/>
        </w:rPr>
        <w:t xml:space="preserve"> CONTINUED</w:t>
      </w:r>
    </w:p>
    <w:p w14:paraId="6AA0E66F" w14:textId="58FB59EE" w:rsidR="00373110" w:rsidRDefault="00787923" w:rsidP="001C1AE7">
      <w:pPr>
        <w:jc w:val="both"/>
        <w:rPr>
          <w:rFonts w:eastAsiaTheme="majorEastAsia" w:cstheme="minorHAnsi"/>
          <w:b/>
          <w:i/>
          <w:iCs/>
          <w:smallCaps/>
          <w:noProof/>
          <w:sz w:val="26"/>
          <w:szCs w:val="26"/>
          <w:u w:color="5B9BD5"/>
        </w:rPr>
      </w:pPr>
      <w:r w:rsidRPr="00787923">
        <w:rPr>
          <w:sz w:val="24"/>
          <w:szCs w:val="24"/>
        </w:rPr>
        <w:t xml:space="preserve">Should the project receive New Market Tax Credits, the University </w:t>
      </w:r>
      <w:r w:rsidR="004B5787">
        <w:rPr>
          <w:sz w:val="24"/>
          <w:szCs w:val="24"/>
        </w:rPr>
        <w:t>would be eligible to r</w:t>
      </w:r>
      <w:r w:rsidRPr="00787923">
        <w:rPr>
          <w:sz w:val="24"/>
          <w:szCs w:val="24"/>
        </w:rPr>
        <w:t xml:space="preserve">eceive </w:t>
      </w:r>
      <w:r w:rsidR="004B5787">
        <w:rPr>
          <w:sz w:val="24"/>
          <w:szCs w:val="24"/>
        </w:rPr>
        <w:t>some of those proceeds</w:t>
      </w:r>
      <w:r w:rsidRPr="00787923">
        <w:rPr>
          <w:sz w:val="24"/>
          <w:szCs w:val="24"/>
        </w:rPr>
        <w:t xml:space="preserve">. </w:t>
      </w:r>
    </w:p>
    <w:p w14:paraId="0ECCFAD6" w14:textId="2D5C563A" w:rsidR="00721CFD" w:rsidRPr="001C5FD8" w:rsidRDefault="00596C98" w:rsidP="001C1AE7">
      <w:pPr>
        <w:pStyle w:val="AFR2"/>
        <w:rPr>
          <w:rFonts w:cstheme="minorHAnsi"/>
          <w:color w:val="FF0000"/>
          <w:sz w:val="26"/>
          <w:szCs w:val="26"/>
          <w:u w:val="double"/>
        </w:rPr>
      </w:pPr>
      <w:r>
        <w:rPr>
          <w:rFonts w:cstheme="minorHAnsi"/>
          <w:color w:val="auto"/>
          <w:sz w:val="26"/>
          <w:szCs w:val="26"/>
        </w:rPr>
        <w:t>20</w:t>
      </w:r>
      <w:r w:rsidR="00721CFD" w:rsidRPr="0023665A">
        <w:rPr>
          <w:rFonts w:cstheme="minorHAnsi"/>
          <w:color w:val="auto"/>
          <w:sz w:val="26"/>
          <w:szCs w:val="26"/>
        </w:rPr>
        <w:t xml:space="preserve">. </w:t>
      </w:r>
      <w:r w:rsidR="00721CFD" w:rsidRPr="00731B89">
        <w:rPr>
          <w:rFonts w:cstheme="minorHAnsi"/>
          <w:color w:val="auto"/>
          <w:sz w:val="26"/>
          <w:szCs w:val="26"/>
        </w:rPr>
        <w:t>UNCERTAINTIES</w:t>
      </w:r>
    </w:p>
    <w:p w14:paraId="68BF8FA6" w14:textId="3077690B" w:rsidR="00721CFD" w:rsidRDefault="00721CFD" w:rsidP="00721CFD">
      <w:pPr>
        <w:rPr>
          <w:rFonts w:cstheme="minorHAnsi"/>
          <w:sz w:val="24"/>
          <w:szCs w:val="20"/>
        </w:rPr>
      </w:pPr>
      <w:r w:rsidRPr="00B30DB4">
        <w:rPr>
          <w:rFonts w:cstheme="minorHAnsi"/>
          <w:sz w:val="24"/>
          <w:szCs w:val="20"/>
        </w:rPr>
        <w:t xml:space="preserve">During </w:t>
      </w:r>
      <w:r>
        <w:rPr>
          <w:rFonts w:cstheme="minorHAnsi"/>
          <w:sz w:val="24"/>
          <w:szCs w:val="20"/>
        </w:rPr>
        <w:t>FY20, the World</w:t>
      </w:r>
      <w:r w:rsidRPr="0031699D">
        <w:rPr>
          <w:rFonts w:cstheme="minorHAnsi"/>
          <w:sz w:val="24"/>
          <w:szCs w:val="20"/>
        </w:rPr>
        <w:t xml:space="preserve"> Health Organization declared the spread of Coronavirus Disease</w:t>
      </w:r>
      <w:r>
        <w:rPr>
          <w:rFonts w:cstheme="minorHAnsi"/>
          <w:sz w:val="24"/>
          <w:szCs w:val="20"/>
        </w:rPr>
        <w:t xml:space="preserve"> </w:t>
      </w:r>
      <w:r w:rsidRPr="0031699D">
        <w:rPr>
          <w:rFonts w:cstheme="minorHAnsi"/>
          <w:sz w:val="24"/>
          <w:szCs w:val="20"/>
        </w:rPr>
        <w:t xml:space="preserve">(COVID-19) a worldwide pandemic. Subsequent to </w:t>
      </w:r>
      <w:r>
        <w:rPr>
          <w:rFonts w:cstheme="minorHAnsi"/>
          <w:sz w:val="24"/>
          <w:szCs w:val="20"/>
        </w:rPr>
        <w:t xml:space="preserve">the </w:t>
      </w:r>
      <w:r w:rsidR="006D5ACB">
        <w:rPr>
          <w:rFonts w:cstheme="minorHAnsi"/>
          <w:sz w:val="24"/>
          <w:szCs w:val="20"/>
        </w:rPr>
        <w:t xml:space="preserve">FY22 </w:t>
      </w:r>
      <w:r w:rsidRPr="0031699D">
        <w:rPr>
          <w:rFonts w:cstheme="minorHAnsi"/>
          <w:sz w:val="24"/>
          <w:szCs w:val="20"/>
        </w:rPr>
        <w:t>year-end, the COVID-19 pandemic continues to have</w:t>
      </w:r>
      <w:r>
        <w:rPr>
          <w:rFonts w:cstheme="minorHAnsi"/>
          <w:sz w:val="24"/>
          <w:szCs w:val="20"/>
        </w:rPr>
        <w:t xml:space="preserve"> </w:t>
      </w:r>
      <w:r w:rsidRPr="0031699D">
        <w:rPr>
          <w:rFonts w:cstheme="minorHAnsi"/>
          <w:sz w:val="24"/>
          <w:szCs w:val="20"/>
        </w:rPr>
        <w:t>significant effects on global markets, supply chains, businesses, communities, and the delivery of</w:t>
      </w:r>
      <w:r>
        <w:rPr>
          <w:rFonts w:cstheme="minorHAnsi"/>
          <w:sz w:val="24"/>
          <w:szCs w:val="20"/>
        </w:rPr>
        <w:t xml:space="preserve"> </w:t>
      </w:r>
      <w:r w:rsidRPr="0031699D">
        <w:rPr>
          <w:rFonts w:cstheme="minorHAnsi"/>
          <w:sz w:val="24"/>
          <w:szCs w:val="20"/>
        </w:rPr>
        <w:t xml:space="preserve">education. Specific to the System, COVID-19 may negatively impact various parts of its </w:t>
      </w:r>
      <w:r>
        <w:rPr>
          <w:rFonts w:cstheme="minorHAnsi"/>
          <w:sz w:val="24"/>
          <w:szCs w:val="20"/>
        </w:rPr>
        <w:t>FY</w:t>
      </w:r>
      <w:r w:rsidRPr="0031699D">
        <w:rPr>
          <w:rFonts w:cstheme="minorHAnsi"/>
          <w:sz w:val="24"/>
          <w:szCs w:val="20"/>
        </w:rPr>
        <w:t>2</w:t>
      </w:r>
      <w:r w:rsidR="00596C98">
        <w:rPr>
          <w:rFonts w:cstheme="minorHAnsi"/>
          <w:sz w:val="24"/>
          <w:szCs w:val="20"/>
        </w:rPr>
        <w:t>3</w:t>
      </w:r>
      <w:r w:rsidRPr="0031699D">
        <w:rPr>
          <w:rFonts w:cstheme="minorHAnsi"/>
          <w:sz w:val="24"/>
          <w:szCs w:val="20"/>
        </w:rPr>
        <w:t xml:space="preserve"> operations</w:t>
      </w:r>
      <w:r>
        <w:rPr>
          <w:rFonts w:cstheme="minorHAnsi"/>
          <w:sz w:val="24"/>
          <w:szCs w:val="20"/>
        </w:rPr>
        <w:t xml:space="preserve"> </w:t>
      </w:r>
      <w:r w:rsidRPr="0031699D">
        <w:rPr>
          <w:rFonts w:cstheme="minorHAnsi"/>
          <w:sz w:val="24"/>
          <w:szCs w:val="20"/>
        </w:rPr>
        <w:t>and financial results, including, but not limited to, enrollment, auxiliary revenues, collections of</w:t>
      </w:r>
      <w:r>
        <w:rPr>
          <w:rFonts w:cstheme="minorHAnsi"/>
          <w:sz w:val="24"/>
          <w:szCs w:val="20"/>
        </w:rPr>
        <w:t xml:space="preserve"> </w:t>
      </w:r>
      <w:r w:rsidRPr="0031699D">
        <w:rPr>
          <w:rFonts w:cstheme="minorHAnsi"/>
          <w:sz w:val="24"/>
          <w:szCs w:val="20"/>
        </w:rPr>
        <w:t xml:space="preserve">receivables, operating costs </w:t>
      </w:r>
      <w:r>
        <w:rPr>
          <w:rFonts w:cstheme="minorHAnsi"/>
          <w:sz w:val="24"/>
          <w:szCs w:val="20"/>
        </w:rPr>
        <w:t xml:space="preserve">and </w:t>
      </w:r>
      <w:r w:rsidRPr="0031699D">
        <w:rPr>
          <w:rFonts w:cstheme="minorHAnsi"/>
          <w:sz w:val="24"/>
          <w:szCs w:val="20"/>
        </w:rPr>
        <w:t xml:space="preserve">personnel. Management </w:t>
      </w:r>
      <w:r w:rsidR="00596C98">
        <w:rPr>
          <w:rFonts w:cstheme="minorHAnsi"/>
          <w:sz w:val="24"/>
          <w:szCs w:val="20"/>
        </w:rPr>
        <w:t>continues to take</w:t>
      </w:r>
      <w:r w:rsidRPr="0031699D">
        <w:rPr>
          <w:rFonts w:cstheme="minorHAnsi"/>
          <w:sz w:val="24"/>
          <w:szCs w:val="20"/>
        </w:rPr>
        <w:t xml:space="preserve"> appropriate actions to mitigate impacts</w:t>
      </w:r>
      <w:r>
        <w:rPr>
          <w:rFonts w:cstheme="minorHAnsi"/>
          <w:sz w:val="24"/>
          <w:szCs w:val="20"/>
        </w:rPr>
        <w:t>; h</w:t>
      </w:r>
      <w:r w:rsidRPr="0031699D">
        <w:rPr>
          <w:rFonts w:cstheme="minorHAnsi"/>
          <w:sz w:val="24"/>
          <w:szCs w:val="20"/>
        </w:rPr>
        <w:t xml:space="preserve">owever, the </w:t>
      </w:r>
      <w:r w:rsidR="00596C98" w:rsidRPr="0031699D">
        <w:rPr>
          <w:rFonts w:cstheme="minorHAnsi"/>
          <w:sz w:val="24"/>
          <w:szCs w:val="20"/>
        </w:rPr>
        <w:t>fu</w:t>
      </w:r>
      <w:r w:rsidR="00596C98">
        <w:rPr>
          <w:rFonts w:cstheme="minorHAnsi"/>
          <w:sz w:val="24"/>
          <w:szCs w:val="20"/>
        </w:rPr>
        <w:t>ture</w:t>
      </w:r>
      <w:r w:rsidR="00596C98" w:rsidRPr="0031699D">
        <w:rPr>
          <w:rFonts w:cstheme="minorHAnsi"/>
          <w:sz w:val="24"/>
          <w:szCs w:val="20"/>
        </w:rPr>
        <w:t xml:space="preserve"> </w:t>
      </w:r>
      <w:r w:rsidRPr="0031699D">
        <w:rPr>
          <w:rFonts w:cstheme="minorHAnsi"/>
          <w:sz w:val="24"/>
          <w:szCs w:val="20"/>
        </w:rPr>
        <w:t>effect of COVID-19 is unknown and cannot be reasonably</w:t>
      </w:r>
      <w:r>
        <w:rPr>
          <w:rFonts w:cstheme="minorHAnsi"/>
          <w:sz w:val="24"/>
          <w:szCs w:val="20"/>
        </w:rPr>
        <w:t xml:space="preserve"> </w:t>
      </w:r>
      <w:r w:rsidRPr="0031699D">
        <w:rPr>
          <w:rFonts w:cstheme="minorHAnsi"/>
          <w:sz w:val="24"/>
          <w:szCs w:val="20"/>
        </w:rPr>
        <w:t>estimated.</w:t>
      </w:r>
    </w:p>
    <w:p w14:paraId="17F6BE15" w14:textId="77777777" w:rsidR="00721CFD" w:rsidRDefault="00721CFD" w:rsidP="00721CFD">
      <w:pPr>
        <w:rPr>
          <w:rFonts w:cstheme="minorHAnsi"/>
          <w:b/>
          <w:i/>
          <w:sz w:val="26"/>
          <w:szCs w:val="26"/>
          <w:u w:color="000000" w:themeColor="text1"/>
        </w:rPr>
        <w:sectPr w:rsidR="00721CFD" w:rsidSect="007B5BB3">
          <w:headerReference w:type="default" r:id="rId78"/>
          <w:headerReference w:type="first" r:id="rId79"/>
          <w:footerReference w:type="first" r:id="rId80"/>
          <w:pgSz w:w="12240" w:h="15840" w:code="1"/>
          <w:pgMar w:top="1440" w:right="1440" w:bottom="1440" w:left="1440" w:header="720" w:footer="720" w:gutter="0"/>
          <w:cols w:space="0"/>
          <w:titlePg/>
          <w:docGrid w:linePitch="360"/>
        </w:sectPr>
      </w:pPr>
    </w:p>
    <w:p w14:paraId="6FE6D8E2" w14:textId="77777777" w:rsidR="00721CFD" w:rsidRPr="00F54559" w:rsidRDefault="00721CFD" w:rsidP="00721CFD">
      <w:pPr>
        <w:rPr>
          <w:rFonts w:cstheme="minorHAnsi"/>
          <w:b/>
          <w:i/>
          <w:sz w:val="26"/>
          <w:szCs w:val="26"/>
          <w:u w:color="000000" w:themeColor="text1"/>
        </w:rPr>
      </w:pPr>
      <w:r w:rsidRPr="00F54559">
        <w:rPr>
          <w:rFonts w:cstheme="minorHAnsi"/>
          <w:b/>
          <w:i/>
          <w:sz w:val="26"/>
          <w:szCs w:val="26"/>
          <w:u w:color="000000" w:themeColor="text1"/>
        </w:rPr>
        <w:lastRenderedPageBreak/>
        <w:t>UNIVERSITY OF MAINE SYSTEM</w:t>
      </w:r>
    </w:p>
    <w:p w14:paraId="061B4B38" w14:textId="77777777" w:rsidR="00721CFD" w:rsidRPr="00F54559" w:rsidRDefault="00721CFD" w:rsidP="00721CFD">
      <w:pPr>
        <w:pStyle w:val="AFR1"/>
        <w:spacing w:after="0"/>
        <w:rPr>
          <w:rFonts w:asciiTheme="minorHAnsi" w:hAnsiTheme="minorHAnsi" w:cstheme="minorHAnsi"/>
          <w:sz w:val="20"/>
          <w:szCs w:val="24"/>
        </w:rPr>
      </w:pPr>
      <w:r w:rsidRPr="00F54559">
        <w:rPr>
          <w:rFonts w:asciiTheme="minorHAnsi" w:hAnsiTheme="minorHAnsi" w:cstheme="minorHAnsi"/>
        </w:rPr>
        <w:t>Required Supplemental Information – Retirement and opeb Plans</w:t>
      </w:r>
      <w:r w:rsidRPr="00F54559">
        <w:rPr>
          <w:rFonts w:asciiTheme="minorHAnsi" w:hAnsiTheme="minorHAnsi" w:cstheme="minorHAnsi"/>
          <w:sz w:val="20"/>
          <w:szCs w:val="24"/>
        </w:rPr>
        <w:t xml:space="preserve"> </w:t>
      </w:r>
    </w:p>
    <w:p w14:paraId="60215339" w14:textId="77777777" w:rsidR="00721CFD" w:rsidRPr="00F54559" w:rsidRDefault="00721CFD" w:rsidP="00721CFD">
      <w:pPr>
        <w:pBdr>
          <w:bottom w:val="single" w:sz="18" w:space="1" w:color="00688D"/>
        </w:pBdr>
        <w:rPr>
          <w:rFonts w:cstheme="minorHAnsi"/>
          <w:b/>
          <w:i/>
          <w:sz w:val="26"/>
          <w:szCs w:val="26"/>
        </w:rPr>
      </w:pPr>
      <w:r w:rsidRPr="00F54559">
        <w:rPr>
          <w:rFonts w:cstheme="minorHAnsi"/>
          <w:b/>
          <w:i/>
          <w:sz w:val="26"/>
          <w:szCs w:val="26"/>
        </w:rPr>
        <w:t>YEAR ENDED JUNE 30, 20</w:t>
      </w:r>
      <w:r>
        <w:rPr>
          <w:rFonts w:cstheme="minorHAnsi"/>
          <w:b/>
          <w:i/>
          <w:sz w:val="26"/>
          <w:szCs w:val="26"/>
        </w:rPr>
        <w:t>22</w:t>
      </w:r>
      <w:r w:rsidRPr="00F54559">
        <w:rPr>
          <w:rFonts w:cstheme="minorHAnsi"/>
          <w:b/>
          <w:i/>
          <w:sz w:val="26"/>
          <w:szCs w:val="26"/>
        </w:rPr>
        <w:t xml:space="preserve"> (UNAUDITED)</w:t>
      </w:r>
    </w:p>
    <w:p w14:paraId="79828E2A" w14:textId="77777777" w:rsidR="00721CFD" w:rsidRPr="00F54559" w:rsidRDefault="00721CFD" w:rsidP="00721CFD">
      <w:pPr>
        <w:pBdr>
          <w:bottom w:val="single" w:sz="18" w:space="1" w:color="00688D"/>
        </w:pBdr>
        <w:rPr>
          <w:rFonts w:cstheme="minorHAnsi"/>
          <w:b/>
          <w:i/>
          <w:sz w:val="24"/>
          <w:szCs w:val="24"/>
        </w:rPr>
      </w:pPr>
      <w:r w:rsidRPr="00F54559">
        <w:rPr>
          <w:rFonts w:cstheme="minorHAnsi"/>
          <w:b/>
          <w:i/>
          <w:sz w:val="24"/>
          <w:szCs w:val="24"/>
        </w:rPr>
        <w:t>(IN THOUSANDS)</w:t>
      </w:r>
    </w:p>
    <w:p w14:paraId="2094E702" w14:textId="77777777" w:rsidR="00721CFD" w:rsidRPr="009A3A6B" w:rsidRDefault="00721CFD" w:rsidP="00721CFD">
      <w:pPr>
        <w:pStyle w:val="AFR2"/>
        <w:spacing w:before="240" w:after="0"/>
        <w:rPr>
          <w:rFonts w:cstheme="minorHAnsi"/>
          <w:sz w:val="26"/>
          <w:szCs w:val="26"/>
        </w:rPr>
      </w:pPr>
      <w:r w:rsidRPr="009A3A6B">
        <w:rPr>
          <w:rFonts w:cstheme="minorHAnsi"/>
          <w:sz w:val="26"/>
          <w:szCs w:val="26"/>
        </w:rPr>
        <w:t>Incentive Retirement Plan:</w:t>
      </w:r>
    </w:p>
    <w:p w14:paraId="0B6EF40C" w14:textId="77777777" w:rsidR="00721CFD" w:rsidRPr="00924810" w:rsidRDefault="00721CFD" w:rsidP="00721CFD">
      <w:pPr>
        <w:spacing w:before="120"/>
        <w:jc w:val="center"/>
        <w:rPr>
          <w:rFonts w:eastAsia="Franklin Gothic Book" w:cstheme="minorHAnsi"/>
          <w:b/>
          <w:sz w:val="24"/>
          <w:szCs w:val="28"/>
        </w:rPr>
      </w:pPr>
      <w:r>
        <w:rPr>
          <w:rFonts w:ascii="Calibri" w:eastAsia="Times New Roman" w:hAnsi="Calibri" w:cs="Calibri"/>
          <w:b/>
          <w:bCs/>
          <w:color w:val="0D0D0D"/>
        </w:rPr>
        <w:fldChar w:fldCharType="begin"/>
      </w:r>
      <w:r>
        <w:rPr>
          <w:rFonts w:ascii="Calibri" w:eastAsia="Times New Roman" w:hAnsi="Calibri" w:cs="Calibri"/>
          <w:b/>
          <w:bCs/>
          <w:color w:val="0D0D0D"/>
        </w:rPr>
        <w:fldChar w:fldCharType="end"/>
      </w:r>
      <w:r w:rsidRPr="001B7651">
        <w:rPr>
          <w:rFonts w:ascii="Calibri" w:eastAsia="Times New Roman" w:hAnsi="Calibri" w:cs="Calibri"/>
          <w:b/>
          <w:bCs/>
          <w:color w:val="0D0D0D"/>
        </w:rPr>
        <w:t>Changes in Total Pension Liability and Related Ratios</w:t>
      </w:r>
    </w:p>
    <w:tbl>
      <w:tblPr>
        <w:tblW w:w="11720" w:type="dxa"/>
        <w:jc w:val="center"/>
        <w:tblLayout w:type="fixed"/>
        <w:tblCellMar>
          <w:left w:w="72" w:type="dxa"/>
          <w:right w:w="72" w:type="dxa"/>
        </w:tblCellMar>
        <w:tblLook w:val="04A0" w:firstRow="1" w:lastRow="0" w:firstColumn="1" w:lastColumn="0" w:noHBand="0" w:noVBand="1"/>
      </w:tblPr>
      <w:tblGrid>
        <w:gridCol w:w="4680"/>
        <w:gridCol w:w="877"/>
        <w:gridCol w:w="877"/>
        <w:gridCol w:w="877"/>
        <w:gridCol w:w="877"/>
        <w:gridCol w:w="900"/>
        <w:gridCol w:w="877"/>
        <w:gridCol w:w="878"/>
        <w:gridCol w:w="877"/>
      </w:tblGrid>
      <w:tr w:rsidR="00721CFD" w:rsidRPr="001B7651" w14:paraId="3AEF25E4" w14:textId="77777777" w:rsidTr="007B5BB3">
        <w:trPr>
          <w:trHeight w:val="403"/>
          <w:tblHeader/>
          <w:jc w:val="center"/>
        </w:trPr>
        <w:tc>
          <w:tcPr>
            <w:tcW w:w="4680" w:type="dxa"/>
            <w:tcBorders>
              <w:top w:val="nil"/>
              <w:left w:val="nil"/>
              <w:bottom w:val="single" w:sz="12" w:space="0" w:color="00688D"/>
              <w:right w:val="nil"/>
            </w:tcBorders>
            <w:shd w:val="clear" w:color="000000" w:fill="FFFFFF"/>
            <w:vAlign w:val="bottom"/>
            <w:hideMark/>
          </w:tcPr>
          <w:p w14:paraId="3A952C4D" w14:textId="77777777" w:rsidR="00721CFD" w:rsidRPr="001B7651" w:rsidRDefault="00721CFD" w:rsidP="007B5BB3">
            <w:pPr>
              <w:rPr>
                <w:rFonts w:ascii="Calibri" w:eastAsia="Times New Roman" w:hAnsi="Calibri" w:cs="Calibri"/>
                <w:b/>
                <w:bCs/>
                <w:color w:val="0D0D0D"/>
              </w:rPr>
            </w:pPr>
            <w:r w:rsidRPr="001B7651">
              <w:rPr>
                <w:rFonts w:ascii="Calibri" w:eastAsia="Times New Roman" w:hAnsi="Calibri" w:cs="Calibri"/>
                <w:b/>
                <w:bCs/>
                <w:color w:val="0D0D0D"/>
              </w:rPr>
              <w:t>Fiscal Year Ended June 30</w:t>
            </w:r>
          </w:p>
        </w:tc>
        <w:tc>
          <w:tcPr>
            <w:tcW w:w="877" w:type="dxa"/>
            <w:tcBorders>
              <w:top w:val="nil"/>
              <w:left w:val="nil"/>
              <w:bottom w:val="single" w:sz="12" w:space="0" w:color="00688D"/>
              <w:right w:val="nil"/>
            </w:tcBorders>
            <w:shd w:val="clear" w:color="auto" w:fill="FFFFFF" w:themeFill="background1"/>
            <w:vAlign w:val="bottom"/>
          </w:tcPr>
          <w:p w14:paraId="07D16BCE" w14:textId="77777777" w:rsidR="00721CFD" w:rsidRDefault="00721CFD" w:rsidP="007B5BB3">
            <w:pPr>
              <w:jc w:val="center"/>
              <w:rPr>
                <w:rFonts w:ascii="Calibri" w:eastAsia="Times New Roman" w:hAnsi="Calibri" w:cs="Calibri"/>
                <w:b/>
                <w:bCs/>
                <w:color w:val="0D0D0D"/>
              </w:rPr>
            </w:pPr>
            <w:r>
              <w:rPr>
                <w:rFonts w:ascii="Calibri" w:eastAsia="Times New Roman" w:hAnsi="Calibri" w:cs="Calibri"/>
                <w:b/>
                <w:bCs/>
                <w:color w:val="0D0D0D"/>
              </w:rPr>
              <w:t>2022</w:t>
            </w:r>
          </w:p>
        </w:tc>
        <w:tc>
          <w:tcPr>
            <w:tcW w:w="877" w:type="dxa"/>
            <w:tcBorders>
              <w:top w:val="nil"/>
              <w:left w:val="nil"/>
              <w:bottom w:val="single" w:sz="12" w:space="0" w:color="00688D"/>
              <w:right w:val="nil"/>
            </w:tcBorders>
            <w:shd w:val="clear" w:color="auto" w:fill="D9D9D9" w:themeFill="background1" w:themeFillShade="D9"/>
            <w:vAlign w:val="bottom"/>
          </w:tcPr>
          <w:p w14:paraId="08216B8C" w14:textId="77777777" w:rsidR="00721CFD" w:rsidRPr="001B7651" w:rsidRDefault="00721CFD" w:rsidP="007B5BB3">
            <w:pPr>
              <w:jc w:val="center"/>
              <w:rPr>
                <w:rFonts w:ascii="Calibri" w:eastAsia="Times New Roman" w:hAnsi="Calibri" w:cs="Calibri"/>
                <w:b/>
                <w:bCs/>
                <w:color w:val="0D0D0D"/>
              </w:rPr>
            </w:pPr>
            <w:r>
              <w:rPr>
                <w:rFonts w:ascii="Calibri" w:eastAsia="Times New Roman" w:hAnsi="Calibri" w:cs="Calibri"/>
                <w:b/>
                <w:bCs/>
                <w:color w:val="0D0D0D"/>
              </w:rPr>
              <w:t>2021</w:t>
            </w:r>
          </w:p>
        </w:tc>
        <w:tc>
          <w:tcPr>
            <w:tcW w:w="877" w:type="dxa"/>
            <w:tcBorders>
              <w:top w:val="nil"/>
              <w:left w:val="nil"/>
              <w:bottom w:val="single" w:sz="12" w:space="0" w:color="00688D"/>
              <w:right w:val="nil"/>
            </w:tcBorders>
            <w:shd w:val="clear" w:color="000000" w:fill="FFFFFF"/>
            <w:noWrap/>
            <w:vAlign w:val="bottom"/>
            <w:hideMark/>
          </w:tcPr>
          <w:p w14:paraId="052785B2"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2020</w:t>
            </w:r>
          </w:p>
        </w:tc>
        <w:tc>
          <w:tcPr>
            <w:tcW w:w="877" w:type="dxa"/>
            <w:tcBorders>
              <w:top w:val="nil"/>
              <w:left w:val="nil"/>
              <w:bottom w:val="single" w:sz="12" w:space="0" w:color="00688D"/>
              <w:right w:val="nil"/>
            </w:tcBorders>
            <w:shd w:val="clear" w:color="auto" w:fill="D9D9D9" w:themeFill="background1" w:themeFillShade="D9"/>
            <w:noWrap/>
            <w:vAlign w:val="bottom"/>
            <w:hideMark/>
          </w:tcPr>
          <w:p w14:paraId="5840BB1B"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2019</w:t>
            </w:r>
          </w:p>
        </w:tc>
        <w:tc>
          <w:tcPr>
            <w:tcW w:w="900" w:type="dxa"/>
            <w:tcBorders>
              <w:top w:val="nil"/>
              <w:left w:val="nil"/>
              <w:bottom w:val="single" w:sz="12" w:space="0" w:color="00688D"/>
              <w:right w:val="nil"/>
            </w:tcBorders>
            <w:shd w:val="clear" w:color="000000" w:fill="FFFFFF"/>
            <w:noWrap/>
            <w:vAlign w:val="bottom"/>
            <w:hideMark/>
          </w:tcPr>
          <w:p w14:paraId="4656D28D"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2018</w:t>
            </w:r>
          </w:p>
        </w:tc>
        <w:tc>
          <w:tcPr>
            <w:tcW w:w="877" w:type="dxa"/>
            <w:tcBorders>
              <w:top w:val="nil"/>
              <w:left w:val="nil"/>
              <w:bottom w:val="single" w:sz="12" w:space="0" w:color="00688D"/>
              <w:right w:val="nil"/>
            </w:tcBorders>
            <w:shd w:val="clear" w:color="auto" w:fill="D9D9D9" w:themeFill="background1" w:themeFillShade="D9"/>
            <w:noWrap/>
            <w:vAlign w:val="bottom"/>
            <w:hideMark/>
          </w:tcPr>
          <w:p w14:paraId="0BD8399A"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2017</w:t>
            </w:r>
          </w:p>
        </w:tc>
        <w:tc>
          <w:tcPr>
            <w:tcW w:w="878" w:type="dxa"/>
            <w:tcBorders>
              <w:top w:val="nil"/>
              <w:left w:val="nil"/>
              <w:bottom w:val="single" w:sz="12" w:space="0" w:color="00688D"/>
              <w:right w:val="nil"/>
            </w:tcBorders>
            <w:shd w:val="clear" w:color="000000" w:fill="FFFFFF"/>
            <w:noWrap/>
            <w:vAlign w:val="bottom"/>
            <w:hideMark/>
          </w:tcPr>
          <w:p w14:paraId="01267C46"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2016</w:t>
            </w:r>
          </w:p>
        </w:tc>
        <w:tc>
          <w:tcPr>
            <w:tcW w:w="877" w:type="dxa"/>
            <w:tcBorders>
              <w:top w:val="nil"/>
              <w:left w:val="nil"/>
              <w:bottom w:val="single" w:sz="12" w:space="0" w:color="00688D"/>
              <w:right w:val="nil"/>
            </w:tcBorders>
            <w:shd w:val="clear" w:color="auto" w:fill="D9D9D9" w:themeFill="background1" w:themeFillShade="D9"/>
            <w:noWrap/>
            <w:vAlign w:val="bottom"/>
            <w:hideMark/>
          </w:tcPr>
          <w:p w14:paraId="3C7A4D2A"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2015</w:t>
            </w:r>
          </w:p>
        </w:tc>
      </w:tr>
      <w:tr w:rsidR="00721CFD" w:rsidRPr="001B7651" w14:paraId="1B59BB8B" w14:textId="77777777" w:rsidTr="007B5BB3">
        <w:trPr>
          <w:trHeight w:val="302"/>
          <w:jc w:val="center"/>
        </w:trPr>
        <w:tc>
          <w:tcPr>
            <w:tcW w:w="4680" w:type="dxa"/>
            <w:tcBorders>
              <w:top w:val="nil"/>
              <w:left w:val="nil"/>
              <w:bottom w:val="nil"/>
              <w:right w:val="nil"/>
            </w:tcBorders>
            <w:shd w:val="clear" w:color="000000" w:fill="FFFFFF"/>
            <w:vAlign w:val="bottom"/>
            <w:hideMark/>
          </w:tcPr>
          <w:p w14:paraId="038D74C6"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Service cost</w:t>
            </w:r>
          </w:p>
        </w:tc>
        <w:tc>
          <w:tcPr>
            <w:tcW w:w="877" w:type="dxa"/>
            <w:tcBorders>
              <w:top w:val="nil"/>
              <w:left w:val="nil"/>
              <w:bottom w:val="nil"/>
              <w:right w:val="nil"/>
            </w:tcBorders>
            <w:shd w:val="clear" w:color="auto" w:fill="FFFFFF" w:themeFill="background1"/>
            <w:vAlign w:val="bottom"/>
          </w:tcPr>
          <w:p w14:paraId="64C57458" w14:textId="77777777" w:rsidR="00721CFD" w:rsidRPr="001C5FD8" w:rsidRDefault="00721CFD" w:rsidP="007B5BB3">
            <w:pPr>
              <w:jc w:val="right"/>
              <w:rPr>
                <w:rFonts w:ascii="Calibri" w:eastAsia="Times New Roman" w:hAnsi="Calibri" w:cs="Calibri"/>
              </w:rPr>
            </w:pPr>
            <w:r w:rsidRPr="001C5FD8">
              <w:rPr>
                <w:rFonts w:ascii="Calibri" w:eastAsia="Times New Roman" w:hAnsi="Calibri" w:cs="Calibri"/>
              </w:rPr>
              <w:t>$     616</w:t>
            </w:r>
          </w:p>
        </w:tc>
        <w:tc>
          <w:tcPr>
            <w:tcW w:w="877" w:type="dxa"/>
            <w:tcBorders>
              <w:top w:val="nil"/>
              <w:left w:val="nil"/>
              <w:bottom w:val="nil"/>
              <w:right w:val="nil"/>
            </w:tcBorders>
            <w:shd w:val="clear" w:color="auto" w:fill="D9D9D9" w:themeFill="background1" w:themeFillShade="D9"/>
            <w:vAlign w:val="bottom"/>
          </w:tcPr>
          <w:p w14:paraId="060D3874"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xml:space="preserve">$     </w:t>
            </w:r>
            <w:r>
              <w:rPr>
                <w:rFonts w:ascii="Calibri" w:eastAsia="Times New Roman" w:hAnsi="Calibri" w:cs="Calibri"/>
                <w:color w:val="0D0D0D"/>
              </w:rPr>
              <w:t>692</w:t>
            </w:r>
          </w:p>
        </w:tc>
        <w:tc>
          <w:tcPr>
            <w:tcW w:w="877" w:type="dxa"/>
            <w:tcBorders>
              <w:top w:val="nil"/>
              <w:left w:val="nil"/>
              <w:bottom w:val="nil"/>
              <w:right w:val="nil"/>
            </w:tcBorders>
            <w:shd w:val="clear" w:color="000000" w:fill="FFFFFF"/>
            <w:noWrap/>
            <w:vAlign w:val="bottom"/>
            <w:hideMark/>
          </w:tcPr>
          <w:p w14:paraId="443B5D82"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538</w:t>
            </w:r>
          </w:p>
        </w:tc>
        <w:tc>
          <w:tcPr>
            <w:tcW w:w="877" w:type="dxa"/>
            <w:tcBorders>
              <w:top w:val="nil"/>
              <w:left w:val="nil"/>
              <w:bottom w:val="nil"/>
              <w:right w:val="nil"/>
            </w:tcBorders>
            <w:shd w:val="clear" w:color="auto" w:fill="D9D9D9" w:themeFill="background1" w:themeFillShade="D9"/>
            <w:noWrap/>
            <w:vAlign w:val="bottom"/>
            <w:hideMark/>
          </w:tcPr>
          <w:p w14:paraId="347F13E0"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595</w:t>
            </w:r>
          </w:p>
        </w:tc>
        <w:tc>
          <w:tcPr>
            <w:tcW w:w="900" w:type="dxa"/>
            <w:tcBorders>
              <w:top w:val="nil"/>
              <w:left w:val="nil"/>
              <w:bottom w:val="nil"/>
              <w:right w:val="nil"/>
            </w:tcBorders>
            <w:shd w:val="clear" w:color="000000" w:fill="FFFFFF"/>
            <w:noWrap/>
            <w:vAlign w:val="bottom"/>
            <w:hideMark/>
          </w:tcPr>
          <w:p w14:paraId="0A2A5571"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604</w:t>
            </w:r>
          </w:p>
        </w:tc>
        <w:tc>
          <w:tcPr>
            <w:tcW w:w="877" w:type="dxa"/>
            <w:tcBorders>
              <w:top w:val="nil"/>
              <w:left w:val="nil"/>
              <w:bottom w:val="nil"/>
              <w:right w:val="nil"/>
            </w:tcBorders>
            <w:shd w:val="clear" w:color="auto" w:fill="D9D9D9" w:themeFill="background1" w:themeFillShade="D9"/>
            <w:noWrap/>
            <w:vAlign w:val="bottom"/>
            <w:hideMark/>
          </w:tcPr>
          <w:p w14:paraId="151C7418"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862</w:t>
            </w:r>
          </w:p>
        </w:tc>
        <w:tc>
          <w:tcPr>
            <w:tcW w:w="878" w:type="dxa"/>
            <w:tcBorders>
              <w:top w:val="nil"/>
              <w:left w:val="nil"/>
              <w:bottom w:val="nil"/>
              <w:right w:val="nil"/>
            </w:tcBorders>
            <w:shd w:val="clear" w:color="000000" w:fill="FFFFFF"/>
            <w:noWrap/>
            <w:vAlign w:val="bottom"/>
            <w:hideMark/>
          </w:tcPr>
          <w:p w14:paraId="7F9E7E5A"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718</w:t>
            </w:r>
          </w:p>
        </w:tc>
        <w:tc>
          <w:tcPr>
            <w:tcW w:w="877" w:type="dxa"/>
            <w:tcBorders>
              <w:top w:val="nil"/>
              <w:left w:val="nil"/>
              <w:bottom w:val="nil"/>
              <w:right w:val="nil"/>
            </w:tcBorders>
            <w:shd w:val="clear" w:color="auto" w:fill="D9D9D9" w:themeFill="background1" w:themeFillShade="D9"/>
            <w:noWrap/>
            <w:vAlign w:val="bottom"/>
            <w:hideMark/>
          </w:tcPr>
          <w:p w14:paraId="7E624764"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880</w:t>
            </w:r>
          </w:p>
        </w:tc>
      </w:tr>
      <w:tr w:rsidR="00721CFD" w:rsidRPr="001B7651" w14:paraId="2160651D" w14:textId="77777777" w:rsidTr="007B5BB3">
        <w:trPr>
          <w:trHeight w:val="290"/>
          <w:jc w:val="center"/>
        </w:trPr>
        <w:tc>
          <w:tcPr>
            <w:tcW w:w="4680" w:type="dxa"/>
            <w:tcBorders>
              <w:top w:val="nil"/>
              <w:left w:val="nil"/>
              <w:bottom w:val="nil"/>
              <w:right w:val="nil"/>
            </w:tcBorders>
            <w:shd w:val="clear" w:color="000000" w:fill="FFFFFF"/>
            <w:vAlign w:val="center"/>
            <w:hideMark/>
          </w:tcPr>
          <w:p w14:paraId="5C7C92D8"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Interest</w:t>
            </w:r>
          </w:p>
        </w:tc>
        <w:tc>
          <w:tcPr>
            <w:tcW w:w="877" w:type="dxa"/>
            <w:tcBorders>
              <w:top w:val="nil"/>
              <w:left w:val="nil"/>
              <w:bottom w:val="nil"/>
              <w:right w:val="nil"/>
            </w:tcBorders>
            <w:shd w:val="clear" w:color="auto" w:fill="FFFFFF" w:themeFill="background1"/>
            <w:vAlign w:val="bottom"/>
          </w:tcPr>
          <w:p w14:paraId="321A5005" w14:textId="77777777" w:rsidR="00721CFD" w:rsidRPr="008D2FB7" w:rsidRDefault="00721CFD" w:rsidP="007B5BB3">
            <w:pPr>
              <w:jc w:val="right"/>
              <w:rPr>
                <w:rFonts w:ascii="Calibri" w:hAnsi="Calibri" w:cs="Calibri"/>
              </w:rPr>
            </w:pPr>
            <w:r w:rsidRPr="00943CF1">
              <w:rPr>
                <w:rFonts w:ascii="Calibri" w:eastAsia="Times New Roman" w:hAnsi="Calibri" w:cs="Calibri"/>
              </w:rPr>
              <w:t>446</w:t>
            </w:r>
          </w:p>
        </w:tc>
        <w:tc>
          <w:tcPr>
            <w:tcW w:w="877" w:type="dxa"/>
            <w:tcBorders>
              <w:top w:val="nil"/>
              <w:left w:val="nil"/>
              <w:bottom w:val="nil"/>
              <w:right w:val="nil"/>
            </w:tcBorders>
            <w:shd w:val="clear" w:color="auto" w:fill="D9D9D9" w:themeFill="background1" w:themeFillShade="D9"/>
            <w:vAlign w:val="bottom"/>
          </w:tcPr>
          <w:p w14:paraId="367CAAB5" w14:textId="77777777" w:rsidR="00721CFD" w:rsidRDefault="00721CFD" w:rsidP="007B5BB3">
            <w:pPr>
              <w:jc w:val="right"/>
              <w:rPr>
                <w:rFonts w:ascii="Calibri" w:eastAsia="Times New Roman" w:hAnsi="Calibri" w:cs="Calibri"/>
                <w:color w:val="0D0D0D"/>
              </w:rPr>
            </w:pPr>
            <w:r>
              <w:rPr>
                <w:rFonts w:ascii="Calibri" w:hAnsi="Calibri" w:cs="Calibri"/>
              </w:rPr>
              <w:t xml:space="preserve">456 </w:t>
            </w:r>
          </w:p>
        </w:tc>
        <w:tc>
          <w:tcPr>
            <w:tcW w:w="877" w:type="dxa"/>
            <w:tcBorders>
              <w:top w:val="nil"/>
              <w:left w:val="nil"/>
              <w:bottom w:val="nil"/>
              <w:right w:val="nil"/>
            </w:tcBorders>
            <w:shd w:val="clear" w:color="000000" w:fill="FFFFFF"/>
            <w:noWrap/>
            <w:vAlign w:val="bottom"/>
            <w:hideMark/>
          </w:tcPr>
          <w:p w14:paraId="67ADA1E4"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719</w:t>
            </w:r>
          </w:p>
        </w:tc>
        <w:tc>
          <w:tcPr>
            <w:tcW w:w="877" w:type="dxa"/>
            <w:tcBorders>
              <w:top w:val="nil"/>
              <w:left w:val="nil"/>
              <w:bottom w:val="nil"/>
              <w:right w:val="nil"/>
            </w:tcBorders>
            <w:shd w:val="clear" w:color="auto" w:fill="D9D9D9" w:themeFill="background1" w:themeFillShade="D9"/>
            <w:noWrap/>
            <w:vAlign w:val="bottom"/>
            <w:hideMark/>
          </w:tcPr>
          <w:p w14:paraId="0B289441"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813</w:t>
            </w:r>
          </w:p>
        </w:tc>
        <w:tc>
          <w:tcPr>
            <w:tcW w:w="900" w:type="dxa"/>
            <w:tcBorders>
              <w:top w:val="nil"/>
              <w:left w:val="nil"/>
              <w:bottom w:val="nil"/>
              <w:right w:val="nil"/>
            </w:tcBorders>
            <w:shd w:val="clear" w:color="000000" w:fill="FFFFFF"/>
            <w:noWrap/>
            <w:vAlign w:val="bottom"/>
            <w:hideMark/>
          </w:tcPr>
          <w:p w14:paraId="2ECC2EB9"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785</w:t>
            </w:r>
          </w:p>
        </w:tc>
        <w:tc>
          <w:tcPr>
            <w:tcW w:w="877" w:type="dxa"/>
            <w:tcBorders>
              <w:top w:val="nil"/>
              <w:left w:val="nil"/>
              <w:bottom w:val="nil"/>
              <w:right w:val="nil"/>
            </w:tcBorders>
            <w:shd w:val="clear" w:color="auto" w:fill="D9D9D9" w:themeFill="background1" w:themeFillShade="D9"/>
            <w:noWrap/>
            <w:vAlign w:val="bottom"/>
            <w:hideMark/>
          </w:tcPr>
          <w:p w14:paraId="6A293005"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629</w:t>
            </w:r>
          </w:p>
        </w:tc>
        <w:tc>
          <w:tcPr>
            <w:tcW w:w="878" w:type="dxa"/>
            <w:tcBorders>
              <w:top w:val="nil"/>
              <w:left w:val="nil"/>
              <w:bottom w:val="nil"/>
              <w:right w:val="nil"/>
            </w:tcBorders>
            <w:shd w:val="clear" w:color="000000" w:fill="FFFFFF"/>
            <w:noWrap/>
            <w:vAlign w:val="bottom"/>
            <w:hideMark/>
          </w:tcPr>
          <w:p w14:paraId="49240E3A"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877</w:t>
            </w:r>
          </w:p>
        </w:tc>
        <w:tc>
          <w:tcPr>
            <w:tcW w:w="877" w:type="dxa"/>
            <w:tcBorders>
              <w:top w:val="nil"/>
              <w:left w:val="nil"/>
              <w:bottom w:val="nil"/>
              <w:right w:val="nil"/>
            </w:tcBorders>
            <w:shd w:val="clear" w:color="auto" w:fill="D9D9D9" w:themeFill="background1" w:themeFillShade="D9"/>
            <w:noWrap/>
            <w:vAlign w:val="bottom"/>
            <w:hideMark/>
          </w:tcPr>
          <w:p w14:paraId="07429BD1"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1,110</w:t>
            </w:r>
          </w:p>
        </w:tc>
      </w:tr>
      <w:tr w:rsidR="00721CFD" w:rsidRPr="001B7651" w14:paraId="61263673" w14:textId="77777777" w:rsidTr="007B5BB3">
        <w:trPr>
          <w:trHeight w:val="290"/>
          <w:jc w:val="center"/>
        </w:trPr>
        <w:tc>
          <w:tcPr>
            <w:tcW w:w="4680" w:type="dxa"/>
            <w:tcBorders>
              <w:top w:val="nil"/>
              <w:left w:val="nil"/>
              <w:bottom w:val="nil"/>
              <w:right w:val="nil"/>
            </w:tcBorders>
            <w:shd w:val="clear" w:color="000000" w:fill="FFFFFF"/>
            <w:vAlign w:val="center"/>
            <w:hideMark/>
          </w:tcPr>
          <w:p w14:paraId="0A13C841"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 xml:space="preserve">Differences between expected and actual experience </w:t>
            </w:r>
          </w:p>
        </w:tc>
        <w:tc>
          <w:tcPr>
            <w:tcW w:w="877" w:type="dxa"/>
            <w:tcBorders>
              <w:top w:val="nil"/>
              <w:left w:val="nil"/>
              <w:bottom w:val="nil"/>
              <w:right w:val="nil"/>
            </w:tcBorders>
            <w:shd w:val="clear" w:color="auto" w:fill="FFFFFF" w:themeFill="background1"/>
            <w:vAlign w:val="bottom"/>
          </w:tcPr>
          <w:p w14:paraId="33F61A5D" w14:textId="77777777" w:rsidR="00721CFD" w:rsidRPr="008D2FB7" w:rsidRDefault="00721CFD" w:rsidP="007B5BB3">
            <w:pPr>
              <w:jc w:val="right"/>
              <w:rPr>
                <w:rFonts w:ascii="Calibri" w:hAnsi="Calibri" w:cs="Calibri"/>
              </w:rPr>
            </w:pPr>
            <w:r w:rsidRPr="00943CF1">
              <w:rPr>
                <w:rFonts w:ascii="Calibri" w:eastAsia="Times New Roman" w:hAnsi="Calibri" w:cs="Calibri"/>
              </w:rPr>
              <w:t>-</w:t>
            </w:r>
          </w:p>
        </w:tc>
        <w:tc>
          <w:tcPr>
            <w:tcW w:w="877" w:type="dxa"/>
            <w:tcBorders>
              <w:top w:val="nil"/>
              <w:left w:val="nil"/>
              <w:bottom w:val="nil"/>
              <w:right w:val="nil"/>
            </w:tcBorders>
            <w:shd w:val="clear" w:color="auto" w:fill="D9D9D9" w:themeFill="background1" w:themeFillShade="D9"/>
            <w:vAlign w:val="bottom"/>
          </w:tcPr>
          <w:p w14:paraId="035E36D5" w14:textId="77777777" w:rsidR="00721CFD" w:rsidRPr="001B7651" w:rsidRDefault="00721CFD" w:rsidP="007B5BB3">
            <w:pPr>
              <w:jc w:val="right"/>
              <w:rPr>
                <w:rFonts w:ascii="Calibri" w:eastAsia="Times New Roman" w:hAnsi="Calibri" w:cs="Calibri"/>
                <w:color w:val="0D0D0D"/>
              </w:rPr>
            </w:pPr>
            <w:r>
              <w:rPr>
                <w:rFonts w:ascii="Calibri" w:hAnsi="Calibri" w:cs="Calibri"/>
              </w:rPr>
              <w:t xml:space="preserve">833 </w:t>
            </w:r>
          </w:p>
        </w:tc>
        <w:tc>
          <w:tcPr>
            <w:tcW w:w="877" w:type="dxa"/>
            <w:tcBorders>
              <w:top w:val="nil"/>
              <w:left w:val="nil"/>
              <w:bottom w:val="nil"/>
              <w:right w:val="nil"/>
            </w:tcBorders>
            <w:shd w:val="clear" w:color="000000" w:fill="FFFFFF"/>
            <w:noWrap/>
            <w:vAlign w:val="bottom"/>
            <w:hideMark/>
          </w:tcPr>
          <w:p w14:paraId="506A4313"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p>
        </w:tc>
        <w:tc>
          <w:tcPr>
            <w:tcW w:w="877" w:type="dxa"/>
            <w:tcBorders>
              <w:top w:val="nil"/>
              <w:left w:val="nil"/>
              <w:bottom w:val="nil"/>
              <w:right w:val="nil"/>
            </w:tcBorders>
            <w:shd w:val="clear" w:color="auto" w:fill="D9D9D9" w:themeFill="background1" w:themeFillShade="D9"/>
            <w:noWrap/>
            <w:vAlign w:val="bottom"/>
            <w:hideMark/>
          </w:tcPr>
          <w:p w14:paraId="179C0480"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(217)</w:t>
            </w:r>
          </w:p>
        </w:tc>
        <w:tc>
          <w:tcPr>
            <w:tcW w:w="900" w:type="dxa"/>
            <w:tcBorders>
              <w:top w:val="nil"/>
              <w:left w:val="nil"/>
              <w:bottom w:val="nil"/>
              <w:right w:val="nil"/>
            </w:tcBorders>
            <w:shd w:val="clear" w:color="000000" w:fill="FFFFFF"/>
            <w:noWrap/>
            <w:vAlign w:val="bottom"/>
            <w:hideMark/>
          </w:tcPr>
          <w:p w14:paraId="576558BF"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p>
        </w:tc>
        <w:tc>
          <w:tcPr>
            <w:tcW w:w="877" w:type="dxa"/>
            <w:tcBorders>
              <w:top w:val="nil"/>
              <w:left w:val="nil"/>
              <w:bottom w:val="nil"/>
              <w:right w:val="nil"/>
            </w:tcBorders>
            <w:shd w:val="clear" w:color="auto" w:fill="D9D9D9" w:themeFill="background1" w:themeFillShade="D9"/>
            <w:noWrap/>
            <w:vAlign w:val="bottom"/>
            <w:hideMark/>
          </w:tcPr>
          <w:p w14:paraId="660A84B5"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1,287</w:t>
            </w:r>
          </w:p>
        </w:tc>
        <w:tc>
          <w:tcPr>
            <w:tcW w:w="878" w:type="dxa"/>
            <w:tcBorders>
              <w:top w:val="nil"/>
              <w:left w:val="nil"/>
              <w:bottom w:val="nil"/>
              <w:right w:val="nil"/>
            </w:tcBorders>
            <w:shd w:val="clear" w:color="000000" w:fill="FFFFFF"/>
            <w:noWrap/>
            <w:vAlign w:val="bottom"/>
            <w:hideMark/>
          </w:tcPr>
          <w:p w14:paraId="3C91EE1E"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p>
        </w:tc>
        <w:tc>
          <w:tcPr>
            <w:tcW w:w="877" w:type="dxa"/>
            <w:tcBorders>
              <w:top w:val="nil"/>
              <w:left w:val="nil"/>
              <w:bottom w:val="nil"/>
              <w:right w:val="nil"/>
            </w:tcBorders>
            <w:shd w:val="clear" w:color="auto" w:fill="D9D9D9" w:themeFill="background1" w:themeFillShade="D9"/>
            <w:noWrap/>
            <w:vAlign w:val="bottom"/>
            <w:hideMark/>
          </w:tcPr>
          <w:p w14:paraId="4568D0FC"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(1,831)</w:t>
            </w:r>
          </w:p>
        </w:tc>
      </w:tr>
      <w:tr w:rsidR="00721CFD" w:rsidRPr="001B7651" w14:paraId="316DF330" w14:textId="77777777" w:rsidTr="007B5BB3">
        <w:trPr>
          <w:trHeight w:val="290"/>
          <w:jc w:val="center"/>
        </w:trPr>
        <w:tc>
          <w:tcPr>
            <w:tcW w:w="4680" w:type="dxa"/>
            <w:tcBorders>
              <w:top w:val="nil"/>
              <w:left w:val="nil"/>
              <w:bottom w:val="nil"/>
              <w:right w:val="nil"/>
            </w:tcBorders>
            <w:shd w:val="clear" w:color="000000" w:fill="FFFFFF"/>
            <w:noWrap/>
            <w:vAlign w:val="center"/>
            <w:hideMark/>
          </w:tcPr>
          <w:p w14:paraId="1203D0FE"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Changes of assumptions and other inputs</w:t>
            </w:r>
          </w:p>
        </w:tc>
        <w:tc>
          <w:tcPr>
            <w:tcW w:w="877" w:type="dxa"/>
            <w:tcBorders>
              <w:top w:val="nil"/>
              <w:left w:val="nil"/>
              <w:bottom w:val="nil"/>
              <w:right w:val="nil"/>
            </w:tcBorders>
            <w:shd w:val="clear" w:color="auto" w:fill="FFFFFF" w:themeFill="background1"/>
            <w:vAlign w:val="bottom"/>
          </w:tcPr>
          <w:p w14:paraId="37755360" w14:textId="77777777" w:rsidR="00721CFD" w:rsidRPr="008D2FB7" w:rsidRDefault="00721CFD" w:rsidP="007B5BB3">
            <w:pPr>
              <w:jc w:val="right"/>
              <w:rPr>
                <w:rFonts w:ascii="Calibri" w:hAnsi="Calibri" w:cs="Calibri"/>
              </w:rPr>
            </w:pPr>
            <w:r w:rsidRPr="00943CF1">
              <w:rPr>
                <w:rFonts w:ascii="Calibri" w:eastAsia="Times New Roman" w:hAnsi="Calibri" w:cs="Calibri"/>
              </w:rPr>
              <w:t>(792)</w:t>
            </w:r>
          </w:p>
        </w:tc>
        <w:tc>
          <w:tcPr>
            <w:tcW w:w="877" w:type="dxa"/>
            <w:tcBorders>
              <w:top w:val="nil"/>
              <w:left w:val="nil"/>
              <w:bottom w:val="nil"/>
              <w:right w:val="nil"/>
            </w:tcBorders>
            <w:shd w:val="clear" w:color="auto" w:fill="D9D9D9" w:themeFill="background1" w:themeFillShade="D9"/>
            <w:vAlign w:val="bottom"/>
          </w:tcPr>
          <w:p w14:paraId="2B0C5F12" w14:textId="77777777" w:rsidR="00721CFD" w:rsidRPr="001B7651" w:rsidRDefault="00721CFD" w:rsidP="007B5BB3">
            <w:pPr>
              <w:jc w:val="right"/>
              <w:rPr>
                <w:rFonts w:ascii="Calibri" w:eastAsia="Times New Roman" w:hAnsi="Calibri" w:cs="Calibri"/>
                <w:color w:val="0D0D0D"/>
              </w:rPr>
            </w:pPr>
            <w:r>
              <w:rPr>
                <w:rFonts w:ascii="Calibri" w:hAnsi="Calibri" w:cs="Calibri"/>
              </w:rPr>
              <w:t xml:space="preserve">376 </w:t>
            </w:r>
          </w:p>
        </w:tc>
        <w:tc>
          <w:tcPr>
            <w:tcW w:w="877" w:type="dxa"/>
            <w:tcBorders>
              <w:top w:val="nil"/>
              <w:left w:val="nil"/>
              <w:bottom w:val="nil"/>
              <w:right w:val="nil"/>
            </w:tcBorders>
            <w:shd w:val="clear" w:color="000000" w:fill="FFFFFF"/>
            <w:noWrap/>
            <w:vAlign w:val="bottom"/>
            <w:hideMark/>
          </w:tcPr>
          <w:p w14:paraId="14A7FD2C"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851</w:t>
            </w:r>
          </w:p>
        </w:tc>
        <w:tc>
          <w:tcPr>
            <w:tcW w:w="877" w:type="dxa"/>
            <w:tcBorders>
              <w:top w:val="nil"/>
              <w:left w:val="nil"/>
              <w:bottom w:val="nil"/>
              <w:right w:val="nil"/>
            </w:tcBorders>
            <w:shd w:val="clear" w:color="auto" w:fill="D9D9D9" w:themeFill="background1" w:themeFillShade="D9"/>
            <w:noWrap/>
            <w:vAlign w:val="bottom"/>
            <w:hideMark/>
          </w:tcPr>
          <w:p w14:paraId="0BA84D57"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562</w:t>
            </w:r>
          </w:p>
        </w:tc>
        <w:tc>
          <w:tcPr>
            <w:tcW w:w="900" w:type="dxa"/>
            <w:tcBorders>
              <w:top w:val="nil"/>
              <w:left w:val="nil"/>
              <w:bottom w:val="nil"/>
              <w:right w:val="nil"/>
            </w:tcBorders>
            <w:shd w:val="clear" w:color="000000" w:fill="FFFFFF"/>
            <w:noWrap/>
            <w:vAlign w:val="bottom"/>
            <w:hideMark/>
          </w:tcPr>
          <w:p w14:paraId="52ABB99A"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(225)</w:t>
            </w:r>
          </w:p>
        </w:tc>
        <w:tc>
          <w:tcPr>
            <w:tcW w:w="877" w:type="dxa"/>
            <w:tcBorders>
              <w:top w:val="nil"/>
              <w:left w:val="nil"/>
              <w:bottom w:val="nil"/>
              <w:right w:val="nil"/>
            </w:tcBorders>
            <w:shd w:val="clear" w:color="auto" w:fill="D9D9D9" w:themeFill="background1" w:themeFillShade="D9"/>
            <w:noWrap/>
            <w:vAlign w:val="bottom"/>
            <w:hideMark/>
          </w:tcPr>
          <w:p w14:paraId="20FC2F3A"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(628)</w:t>
            </w:r>
          </w:p>
        </w:tc>
        <w:tc>
          <w:tcPr>
            <w:tcW w:w="878" w:type="dxa"/>
            <w:tcBorders>
              <w:top w:val="nil"/>
              <w:left w:val="nil"/>
              <w:bottom w:val="nil"/>
              <w:right w:val="nil"/>
            </w:tcBorders>
            <w:shd w:val="clear" w:color="000000" w:fill="FFFFFF"/>
            <w:noWrap/>
            <w:vAlign w:val="bottom"/>
            <w:hideMark/>
          </w:tcPr>
          <w:p w14:paraId="05AC753A"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921</w:t>
            </w:r>
          </w:p>
        </w:tc>
        <w:tc>
          <w:tcPr>
            <w:tcW w:w="877" w:type="dxa"/>
            <w:tcBorders>
              <w:top w:val="nil"/>
              <w:left w:val="nil"/>
              <w:bottom w:val="nil"/>
              <w:right w:val="nil"/>
            </w:tcBorders>
            <w:shd w:val="clear" w:color="auto" w:fill="D9D9D9" w:themeFill="background1" w:themeFillShade="D9"/>
            <w:noWrap/>
            <w:vAlign w:val="bottom"/>
            <w:hideMark/>
          </w:tcPr>
          <w:p w14:paraId="4419EB8A"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505</w:t>
            </w:r>
          </w:p>
        </w:tc>
      </w:tr>
      <w:tr w:rsidR="00721CFD" w:rsidRPr="001B7651" w14:paraId="0D84CDB6" w14:textId="77777777" w:rsidTr="007B5BB3">
        <w:trPr>
          <w:trHeight w:val="290"/>
          <w:jc w:val="center"/>
        </w:trPr>
        <w:tc>
          <w:tcPr>
            <w:tcW w:w="4680" w:type="dxa"/>
            <w:tcBorders>
              <w:top w:val="nil"/>
              <w:left w:val="nil"/>
              <w:bottom w:val="single" w:sz="4" w:space="0" w:color="5B9BD5"/>
              <w:right w:val="nil"/>
            </w:tcBorders>
            <w:shd w:val="clear" w:color="000000" w:fill="FFFFFF"/>
            <w:vAlign w:val="center"/>
            <w:hideMark/>
          </w:tcPr>
          <w:p w14:paraId="62173B0C"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Benefit payments</w:t>
            </w:r>
          </w:p>
        </w:tc>
        <w:tc>
          <w:tcPr>
            <w:tcW w:w="877" w:type="dxa"/>
            <w:tcBorders>
              <w:top w:val="nil"/>
              <w:left w:val="nil"/>
              <w:bottom w:val="single" w:sz="4" w:space="0" w:color="5B9BD5"/>
              <w:right w:val="nil"/>
            </w:tcBorders>
            <w:shd w:val="clear" w:color="auto" w:fill="FFFFFF" w:themeFill="background1"/>
            <w:vAlign w:val="bottom"/>
          </w:tcPr>
          <w:p w14:paraId="3041278F" w14:textId="77777777" w:rsidR="00721CFD" w:rsidRPr="008D2FB7" w:rsidRDefault="00721CFD" w:rsidP="007B5BB3">
            <w:pPr>
              <w:jc w:val="right"/>
              <w:rPr>
                <w:rFonts w:ascii="Calibri" w:hAnsi="Calibri" w:cs="Calibri"/>
              </w:rPr>
            </w:pPr>
            <w:r w:rsidRPr="00943CF1">
              <w:rPr>
                <w:rFonts w:ascii="Calibri" w:eastAsia="Times New Roman" w:hAnsi="Calibri" w:cs="Calibri"/>
              </w:rPr>
              <w:t>(2,388)</w:t>
            </w:r>
          </w:p>
        </w:tc>
        <w:tc>
          <w:tcPr>
            <w:tcW w:w="877" w:type="dxa"/>
            <w:tcBorders>
              <w:top w:val="nil"/>
              <w:left w:val="nil"/>
              <w:bottom w:val="single" w:sz="4" w:space="0" w:color="5B9BD5"/>
              <w:right w:val="nil"/>
            </w:tcBorders>
            <w:shd w:val="clear" w:color="auto" w:fill="D9D9D9" w:themeFill="background1" w:themeFillShade="D9"/>
            <w:vAlign w:val="bottom"/>
          </w:tcPr>
          <w:p w14:paraId="4E975784" w14:textId="77777777" w:rsidR="00721CFD" w:rsidRPr="001B7651" w:rsidRDefault="00721CFD" w:rsidP="007B5BB3">
            <w:pPr>
              <w:jc w:val="right"/>
              <w:rPr>
                <w:rFonts w:ascii="Calibri" w:eastAsia="Times New Roman" w:hAnsi="Calibri" w:cs="Calibri"/>
                <w:color w:val="0D0D0D"/>
              </w:rPr>
            </w:pPr>
            <w:r>
              <w:rPr>
                <w:rFonts w:ascii="Calibri" w:hAnsi="Calibri" w:cs="Calibri"/>
              </w:rPr>
              <w:t xml:space="preserve"> (2,198)</w:t>
            </w:r>
          </w:p>
        </w:tc>
        <w:tc>
          <w:tcPr>
            <w:tcW w:w="877" w:type="dxa"/>
            <w:tcBorders>
              <w:top w:val="nil"/>
              <w:left w:val="nil"/>
              <w:bottom w:val="single" w:sz="4" w:space="0" w:color="5B9BD5"/>
              <w:right w:val="nil"/>
            </w:tcBorders>
            <w:shd w:val="clear" w:color="000000" w:fill="FFFFFF"/>
            <w:noWrap/>
            <w:vAlign w:val="bottom"/>
            <w:hideMark/>
          </w:tcPr>
          <w:p w14:paraId="1F053022"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(2,141)</w:t>
            </w:r>
          </w:p>
        </w:tc>
        <w:tc>
          <w:tcPr>
            <w:tcW w:w="877" w:type="dxa"/>
            <w:tcBorders>
              <w:top w:val="nil"/>
              <w:left w:val="nil"/>
              <w:bottom w:val="single" w:sz="4" w:space="0" w:color="5B9BD5"/>
              <w:right w:val="nil"/>
            </w:tcBorders>
            <w:shd w:val="clear" w:color="auto" w:fill="D9D9D9" w:themeFill="background1" w:themeFillShade="D9"/>
            <w:noWrap/>
            <w:vAlign w:val="bottom"/>
            <w:hideMark/>
          </w:tcPr>
          <w:p w14:paraId="25143F47"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(2,175)</w:t>
            </w:r>
          </w:p>
        </w:tc>
        <w:tc>
          <w:tcPr>
            <w:tcW w:w="900" w:type="dxa"/>
            <w:tcBorders>
              <w:top w:val="nil"/>
              <w:left w:val="nil"/>
              <w:bottom w:val="single" w:sz="4" w:space="0" w:color="5B9BD5"/>
              <w:right w:val="nil"/>
            </w:tcBorders>
            <w:shd w:val="clear" w:color="000000" w:fill="FFFFFF"/>
            <w:noWrap/>
            <w:vAlign w:val="bottom"/>
            <w:hideMark/>
          </w:tcPr>
          <w:p w14:paraId="14CC3FBE"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(1,972)</w:t>
            </w:r>
          </w:p>
        </w:tc>
        <w:tc>
          <w:tcPr>
            <w:tcW w:w="877" w:type="dxa"/>
            <w:tcBorders>
              <w:top w:val="nil"/>
              <w:left w:val="nil"/>
              <w:bottom w:val="single" w:sz="4" w:space="0" w:color="5B9BD5"/>
              <w:right w:val="nil"/>
            </w:tcBorders>
            <w:shd w:val="clear" w:color="auto" w:fill="D9D9D9" w:themeFill="background1" w:themeFillShade="D9"/>
            <w:noWrap/>
            <w:vAlign w:val="bottom"/>
            <w:hideMark/>
          </w:tcPr>
          <w:p w14:paraId="7AB6114B"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(2,084)</w:t>
            </w:r>
          </w:p>
        </w:tc>
        <w:tc>
          <w:tcPr>
            <w:tcW w:w="878" w:type="dxa"/>
            <w:tcBorders>
              <w:top w:val="nil"/>
              <w:left w:val="nil"/>
              <w:bottom w:val="single" w:sz="4" w:space="0" w:color="5B9BD5"/>
              <w:right w:val="nil"/>
            </w:tcBorders>
            <w:shd w:val="clear" w:color="000000" w:fill="FFFFFF"/>
            <w:noWrap/>
            <w:vAlign w:val="bottom"/>
            <w:hideMark/>
          </w:tcPr>
          <w:p w14:paraId="35C27012"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(5,260)</w:t>
            </w:r>
          </w:p>
        </w:tc>
        <w:tc>
          <w:tcPr>
            <w:tcW w:w="877" w:type="dxa"/>
            <w:tcBorders>
              <w:top w:val="nil"/>
              <w:left w:val="nil"/>
              <w:bottom w:val="single" w:sz="4" w:space="0" w:color="5B9BD5"/>
              <w:right w:val="nil"/>
            </w:tcBorders>
            <w:shd w:val="clear" w:color="auto" w:fill="D9D9D9" w:themeFill="background1" w:themeFillShade="D9"/>
            <w:noWrap/>
            <w:vAlign w:val="bottom"/>
            <w:hideMark/>
          </w:tcPr>
          <w:p w14:paraId="7F5225E5"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(3,114)</w:t>
            </w:r>
          </w:p>
        </w:tc>
      </w:tr>
      <w:tr w:rsidR="00721CFD" w:rsidRPr="001B7651" w14:paraId="7B5E60B4" w14:textId="77777777" w:rsidTr="007B5BB3">
        <w:trPr>
          <w:trHeight w:val="290"/>
          <w:jc w:val="center"/>
        </w:trPr>
        <w:tc>
          <w:tcPr>
            <w:tcW w:w="4680" w:type="dxa"/>
            <w:tcBorders>
              <w:top w:val="nil"/>
              <w:left w:val="nil"/>
              <w:bottom w:val="nil"/>
              <w:right w:val="nil"/>
            </w:tcBorders>
            <w:shd w:val="clear" w:color="000000" w:fill="FFFFFF"/>
            <w:vAlign w:val="center"/>
            <w:hideMark/>
          </w:tcPr>
          <w:p w14:paraId="3AD47AFC"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Net change in total pension liability</w:t>
            </w:r>
          </w:p>
        </w:tc>
        <w:tc>
          <w:tcPr>
            <w:tcW w:w="877" w:type="dxa"/>
            <w:tcBorders>
              <w:top w:val="nil"/>
              <w:left w:val="nil"/>
              <w:bottom w:val="nil"/>
              <w:right w:val="nil"/>
            </w:tcBorders>
            <w:shd w:val="clear" w:color="auto" w:fill="FFFFFF" w:themeFill="background1"/>
            <w:vAlign w:val="bottom"/>
          </w:tcPr>
          <w:p w14:paraId="047EF469" w14:textId="77777777" w:rsidR="00721CFD" w:rsidRPr="003959B0" w:rsidRDefault="00721CFD" w:rsidP="007B5BB3">
            <w:pPr>
              <w:jc w:val="right"/>
              <w:rPr>
                <w:rFonts w:ascii="Calibri" w:hAnsi="Calibri" w:cs="Calibri"/>
                <w:color w:val="FF0000"/>
              </w:rPr>
            </w:pPr>
            <w:r w:rsidRPr="003959B0">
              <w:rPr>
                <w:rFonts w:ascii="Calibri" w:eastAsia="Times New Roman" w:hAnsi="Calibri" w:cs="Calibri"/>
              </w:rPr>
              <w:t>(2,118)</w:t>
            </w:r>
          </w:p>
        </w:tc>
        <w:tc>
          <w:tcPr>
            <w:tcW w:w="877" w:type="dxa"/>
            <w:tcBorders>
              <w:top w:val="nil"/>
              <w:left w:val="nil"/>
              <w:bottom w:val="nil"/>
              <w:right w:val="nil"/>
            </w:tcBorders>
            <w:shd w:val="clear" w:color="auto" w:fill="D9D9D9" w:themeFill="background1" w:themeFillShade="D9"/>
            <w:vAlign w:val="bottom"/>
          </w:tcPr>
          <w:p w14:paraId="157311FA" w14:textId="77777777" w:rsidR="00721CFD" w:rsidRPr="001B7651" w:rsidRDefault="00721CFD" w:rsidP="007B5BB3">
            <w:pPr>
              <w:jc w:val="right"/>
              <w:rPr>
                <w:rFonts w:ascii="Calibri" w:eastAsia="Times New Roman" w:hAnsi="Calibri" w:cs="Calibri"/>
                <w:color w:val="0D0D0D"/>
              </w:rPr>
            </w:pPr>
            <w:r>
              <w:rPr>
                <w:rFonts w:ascii="Calibri" w:hAnsi="Calibri" w:cs="Calibri"/>
                <w:color w:val="0D0D0D"/>
              </w:rPr>
              <w:t xml:space="preserve">159 </w:t>
            </w:r>
          </w:p>
        </w:tc>
        <w:tc>
          <w:tcPr>
            <w:tcW w:w="877" w:type="dxa"/>
            <w:tcBorders>
              <w:top w:val="nil"/>
              <w:left w:val="nil"/>
              <w:bottom w:val="nil"/>
              <w:right w:val="nil"/>
            </w:tcBorders>
            <w:shd w:val="clear" w:color="000000" w:fill="FFFFFF"/>
            <w:noWrap/>
            <w:vAlign w:val="bottom"/>
            <w:hideMark/>
          </w:tcPr>
          <w:p w14:paraId="7A854F47"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(33)</w:t>
            </w:r>
          </w:p>
        </w:tc>
        <w:tc>
          <w:tcPr>
            <w:tcW w:w="877" w:type="dxa"/>
            <w:tcBorders>
              <w:top w:val="nil"/>
              <w:left w:val="nil"/>
              <w:bottom w:val="nil"/>
              <w:right w:val="nil"/>
            </w:tcBorders>
            <w:shd w:val="clear" w:color="auto" w:fill="D9D9D9" w:themeFill="background1" w:themeFillShade="D9"/>
            <w:noWrap/>
            <w:vAlign w:val="bottom"/>
            <w:hideMark/>
          </w:tcPr>
          <w:p w14:paraId="673F3E1E"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(422)</w:t>
            </w:r>
          </w:p>
        </w:tc>
        <w:tc>
          <w:tcPr>
            <w:tcW w:w="900" w:type="dxa"/>
            <w:tcBorders>
              <w:top w:val="nil"/>
              <w:left w:val="nil"/>
              <w:bottom w:val="nil"/>
              <w:right w:val="nil"/>
            </w:tcBorders>
            <w:shd w:val="clear" w:color="000000" w:fill="FFFFFF"/>
            <w:noWrap/>
            <w:vAlign w:val="bottom"/>
            <w:hideMark/>
          </w:tcPr>
          <w:p w14:paraId="003EF153"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(808)</w:t>
            </w:r>
          </w:p>
        </w:tc>
        <w:tc>
          <w:tcPr>
            <w:tcW w:w="877" w:type="dxa"/>
            <w:tcBorders>
              <w:top w:val="nil"/>
              <w:left w:val="nil"/>
              <w:bottom w:val="nil"/>
              <w:right w:val="nil"/>
            </w:tcBorders>
            <w:shd w:val="clear" w:color="auto" w:fill="D9D9D9" w:themeFill="background1" w:themeFillShade="D9"/>
            <w:noWrap/>
            <w:vAlign w:val="bottom"/>
            <w:hideMark/>
          </w:tcPr>
          <w:p w14:paraId="09BCAA43"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xml:space="preserve">66 </w:t>
            </w:r>
          </w:p>
        </w:tc>
        <w:tc>
          <w:tcPr>
            <w:tcW w:w="878" w:type="dxa"/>
            <w:tcBorders>
              <w:top w:val="nil"/>
              <w:left w:val="nil"/>
              <w:bottom w:val="nil"/>
              <w:right w:val="nil"/>
            </w:tcBorders>
            <w:shd w:val="clear" w:color="000000" w:fill="FFFFFF"/>
            <w:noWrap/>
            <w:vAlign w:val="bottom"/>
            <w:hideMark/>
          </w:tcPr>
          <w:p w14:paraId="25DC8D28"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xml:space="preserve"> (2,744)</w:t>
            </w:r>
          </w:p>
        </w:tc>
        <w:tc>
          <w:tcPr>
            <w:tcW w:w="877" w:type="dxa"/>
            <w:tcBorders>
              <w:top w:val="nil"/>
              <w:left w:val="nil"/>
              <w:bottom w:val="nil"/>
              <w:right w:val="nil"/>
            </w:tcBorders>
            <w:shd w:val="clear" w:color="auto" w:fill="D9D9D9" w:themeFill="background1" w:themeFillShade="D9"/>
            <w:noWrap/>
            <w:vAlign w:val="bottom"/>
            <w:hideMark/>
          </w:tcPr>
          <w:p w14:paraId="191FFDF5"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(2,450)</w:t>
            </w:r>
          </w:p>
        </w:tc>
      </w:tr>
      <w:tr w:rsidR="00721CFD" w:rsidRPr="001B7651" w14:paraId="7420EC3A" w14:textId="77777777" w:rsidTr="007B5BB3">
        <w:trPr>
          <w:trHeight w:val="363"/>
          <w:jc w:val="center"/>
        </w:trPr>
        <w:tc>
          <w:tcPr>
            <w:tcW w:w="4680" w:type="dxa"/>
            <w:tcBorders>
              <w:top w:val="nil"/>
              <w:left w:val="nil"/>
              <w:bottom w:val="nil"/>
              <w:right w:val="nil"/>
            </w:tcBorders>
            <w:shd w:val="clear" w:color="000000" w:fill="FFFFFF"/>
            <w:vAlign w:val="center"/>
            <w:hideMark/>
          </w:tcPr>
          <w:p w14:paraId="6EB0C087"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 xml:space="preserve">Total pension liability – beginning </w:t>
            </w:r>
          </w:p>
        </w:tc>
        <w:tc>
          <w:tcPr>
            <w:tcW w:w="877" w:type="dxa"/>
            <w:tcBorders>
              <w:top w:val="nil"/>
              <w:left w:val="nil"/>
              <w:bottom w:val="nil"/>
              <w:right w:val="nil"/>
            </w:tcBorders>
            <w:shd w:val="clear" w:color="auto" w:fill="FFFFFF" w:themeFill="background1"/>
            <w:vAlign w:val="bottom"/>
          </w:tcPr>
          <w:p w14:paraId="0DD6E944" w14:textId="77777777" w:rsidR="00721CFD" w:rsidRPr="003959B0" w:rsidRDefault="00721CFD" w:rsidP="007B5BB3">
            <w:pPr>
              <w:jc w:val="right"/>
              <w:rPr>
                <w:rFonts w:ascii="Calibri" w:hAnsi="Calibri" w:cs="Calibri"/>
              </w:rPr>
            </w:pPr>
            <w:r w:rsidRPr="003959B0">
              <w:rPr>
                <w:rFonts w:ascii="Calibri" w:eastAsia="Times New Roman" w:hAnsi="Calibri" w:cs="Calibri"/>
              </w:rPr>
              <w:t>21,</w:t>
            </w:r>
            <w:r>
              <w:rPr>
                <w:rFonts w:ascii="Calibri" w:eastAsia="Times New Roman" w:hAnsi="Calibri" w:cs="Calibri"/>
              </w:rPr>
              <w:t>208</w:t>
            </w:r>
          </w:p>
        </w:tc>
        <w:tc>
          <w:tcPr>
            <w:tcW w:w="877" w:type="dxa"/>
            <w:tcBorders>
              <w:top w:val="nil"/>
              <w:left w:val="nil"/>
              <w:bottom w:val="nil"/>
              <w:right w:val="nil"/>
            </w:tcBorders>
            <w:shd w:val="clear" w:color="auto" w:fill="D9D9D9" w:themeFill="background1" w:themeFillShade="D9"/>
            <w:vAlign w:val="bottom"/>
          </w:tcPr>
          <w:p w14:paraId="08BF90AD" w14:textId="77777777" w:rsidR="00721CFD" w:rsidRPr="001B7651" w:rsidRDefault="00721CFD" w:rsidP="007B5BB3">
            <w:pPr>
              <w:jc w:val="right"/>
              <w:rPr>
                <w:rFonts w:ascii="Calibri" w:eastAsia="Times New Roman" w:hAnsi="Calibri" w:cs="Calibri"/>
                <w:color w:val="0D0D0D"/>
              </w:rPr>
            </w:pPr>
            <w:r>
              <w:rPr>
                <w:rFonts w:ascii="Calibri" w:hAnsi="Calibri" w:cs="Calibri"/>
                <w:color w:val="0D0D0D"/>
              </w:rPr>
              <w:t xml:space="preserve"> 21,049 </w:t>
            </w:r>
          </w:p>
        </w:tc>
        <w:tc>
          <w:tcPr>
            <w:tcW w:w="877" w:type="dxa"/>
            <w:tcBorders>
              <w:top w:val="nil"/>
              <w:left w:val="nil"/>
              <w:bottom w:val="nil"/>
              <w:right w:val="nil"/>
            </w:tcBorders>
            <w:shd w:val="clear" w:color="000000" w:fill="FFFFFF"/>
            <w:noWrap/>
            <w:vAlign w:val="bottom"/>
            <w:hideMark/>
          </w:tcPr>
          <w:p w14:paraId="381DEE73"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21,082</w:t>
            </w:r>
          </w:p>
        </w:tc>
        <w:tc>
          <w:tcPr>
            <w:tcW w:w="877" w:type="dxa"/>
            <w:tcBorders>
              <w:top w:val="nil"/>
              <w:left w:val="nil"/>
              <w:bottom w:val="nil"/>
              <w:right w:val="nil"/>
            </w:tcBorders>
            <w:shd w:val="clear" w:color="auto" w:fill="D9D9D9" w:themeFill="background1" w:themeFillShade="D9"/>
            <w:noWrap/>
            <w:vAlign w:val="bottom"/>
            <w:hideMark/>
          </w:tcPr>
          <w:p w14:paraId="6F51950E"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21,504</w:t>
            </w:r>
          </w:p>
        </w:tc>
        <w:tc>
          <w:tcPr>
            <w:tcW w:w="900" w:type="dxa"/>
            <w:tcBorders>
              <w:top w:val="nil"/>
              <w:left w:val="nil"/>
              <w:bottom w:val="nil"/>
              <w:right w:val="nil"/>
            </w:tcBorders>
            <w:shd w:val="clear" w:color="000000" w:fill="FFFFFF"/>
            <w:noWrap/>
            <w:vAlign w:val="bottom"/>
            <w:hideMark/>
          </w:tcPr>
          <w:p w14:paraId="27D02DC7"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22,312</w:t>
            </w:r>
          </w:p>
        </w:tc>
        <w:tc>
          <w:tcPr>
            <w:tcW w:w="877" w:type="dxa"/>
            <w:tcBorders>
              <w:top w:val="nil"/>
              <w:left w:val="nil"/>
              <w:bottom w:val="nil"/>
              <w:right w:val="nil"/>
            </w:tcBorders>
            <w:shd w:val="clear" w:color="auto" w:fill="D9D9D9" w:themeFill="background1" w:themeFillShade="D9"/>
            <w:noWrap/>
            <w:vAlign w:val="bottom"/>
            <w:hideMark/>
          </w:tcPr>
          <w:p w14:paraId="7878F026"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22,246</w:t>
            </w:r>
          </w:p>
        </w:tc>
        <w:tc>
          <w:tcPr>
            <w:tcW w:w="878" w:type="dxa"/>
            <w:tcBorders>
              <w:top w:val="nil"/>
              <w:left w:val="nil"/>
              <w:bottom w:val="nil"/>
              <w:right w:val="nil"/>
            </w:tcBorders>
            <w:shd w:val="clear" w:color="000000" w:fill="FFFFFF"/>
            <w:noWrap/>
            <w:vAlign w:val="bottom"/>
            <w:hideMark/>
          </w:tcPr>
          <w:p w14:paraId="52A1DF3C"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24,990</w:t>
            </w:r>
          </w:p>
        </w:tc>
        <w:tc>
          <w:tcPr>
            <w:tcW w:w="877" w:type="dxa"/>
            <w:tcBorders>
              <w:top w:val="nil"/>
              <w:left w:val="nil"/>
              <w:bottom w:val="nil"/>
              <w:right w:val="nil"/>
            </w:tcBorders>
            <w:shd w:val="clear" w:color="auto" w:fill="D9D9D9" w:themeFill="background1" w:themeFillShade="D9"/>
            <w:noWrap/>
            <w:vAlign w:val="bottom"/>
            <w:hideMark/>
          </w:tcPr>
          <w:p w14:paraId="26FDDD56"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27,440</w:t>
            </w:r>
          </w:p>
        </w:tc>
      </w:tr>
      <w:tr w:rsidR="00721CFD" w:rsidRPr="001B7651" w14:paraId="099DC568" w14:textId="77777777" w:rsidTr="007B5BB3">
        <w:trPr>
          <w:trHeight w:val="309"/>
          <w:jc w:val="center"/>
        </w:trPr>
        <w:tc>
          <w:tcPr>
            <w:tcW w:w="4680" w:type="dxa"/>
            <w:tcBorders>
              <w:top w:val="single" w:sz="4" w:space="0" w:color="00688D"/>
              <w:left w:val="nil"/>
              <w:bottom w:val="double" w:sz="6" w:space="0" w:color="00688D"/>
              <w:right w:val="nil"/>
            </w:tcBorders>
            <w:shd w:val="clear" w:color="000000" w:fill="FFFFFF"/>
            <w:vAlign w:val="center"/>
            <w:hideMark/>
          </w:tcPr>
          <w:p w14:paraId="2E1371EB"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Total pension liability – ending</w:t>
            </w:r>
          </w:p>
        </w:tc>
        <w:tc>
          <w:tcPr>
            <w:tcW w:w="877" w:type="dxa"/>
            <w:tcBorders>
              <w:top w:val="single" w:sz="4" w:space="0" w:color="00688D"/>
              <w:left w:val="nil"/>
              <w:bottom w:val="double" w:sz="6" w:space="0" w:color="00688D"/>
              <w:right w:val="nil"/>
            </w:tcBorders>
            <w:shd w:val="clear" w:color="auto" w:fill="FFFFFF" w:themeFill="background1"/>
            <w:vAlign w:val="bottom"/>
          </w:tcPr>
          <w:p w14:paraId="3B062029" w14:textId="77777777" w:rsidR="00721CFD" w:rsidRPr="003959B0" w:rsidRDefault="00721CFD" w:rsidP="007B5BB3">
            <w:pPr>
              <w:jc w:val="center"/>
              <w:rPr>
                <w:rFonts w:ascii="Calibri" w:hAnsi="Calibri" w:cs="Calibri"/>
              </w:rPr>
            </w:pPr>
            <w:r w:rsidRPr="003959B0">
              <w:rPr>
                <w:rFonts w:ascii="Calibri" w:eastAsia="Times New Roman" w:hAnsi="Calibri" w:cs="Calibri"/>
              </w:rPr>
              <w:t>$19,090</w:t>
            </w:r>
          </w:p>
        </w:tc>
        <w:tc>
          <w:tcPr>
            <w:tcW w:w="877" w:type="dxa"/>
            <w:tcBorders>
              <w:top w:val="single" w:sz="4" w:space="0" w:color="00688D"/>
              <w:left w:val="nil"/>
              <w:bottom w:val="double" w:sz="6" w:space="0" w:color="00688D"/>
              <w:right w:val="nil"/>
            </w:tcBorders>
            <w:shd w:val="clear" w:color="auto" w:fill="D9D9D9" w:themeFill="background1" w:themeFillShade="D9"/>
            <w:vAlign w:val="bottom"/>
          </w:tcPr>
          <w:p w14:paraId="750C8BEC" w14:textId="77777777" w:rsidR="00721CFD" w:rsidRPr="001B7651" w:rsidRDefault="00721CFD" w:rsidP="007B5BB3">
            <w:pPr>
              <w:jc w:val="center"/>
              <w:rPr>
                <w:rFonts w:ascii="Calibri" w:eastAsia="Times New Roman" w:hAnsi="Calibri" w:cs="Calibri"/>
                <w:color w:val="0D0D0D"/>
              </w:rPr>
            </w:pPr>
            <w:r>
              <w:rPr>
                <w:rFonts w:ascii="Calibri" w:hAnsi="Calibri" w:cs="Calibri"/>
                <w:color w:val="0D0D0D"/>
              </w:rPr>
              <w:t xml:space="preserve">$21,208 </w:t>
            </w:r>
          </w:p>
        </w:tc>
        <w:tc>
          <w:tcPr>
            <w:tcW w:w="877" w:type="dxa"/>
            <w:tcBorders>
              <w:top w:val="single" w:sz="4" w:space="0" w:color="00688D"/>
              <w:left w:val="nil"/>
              <w:bottom w:val="double" w:sz="6" w:space="0" w:color="00688D"/>
              <w:right w:val="nil"/>
            </w:tcBorders>
            <w:shd w:val="clear" w:color="000000" w:fill="FFFFFF"/>
            <w:noWrap/>
            <w:vAlign w:val="bottom"/>
            <w:hideMark/>
          </w:tcPr>
          <w:p w14:paraId="7D60E46D"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$21,049</w:t>
            </w:r>
          </w:p>
        </w:tc>
        <w:tc>
          <w:tcPr>
            <w:tcW w:w="877"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09282801"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$21,082</w:t>
            </w:r>
          </w:p>
        </w:tc>
        <w:tc>
          <w:tcPr>
            <w:tcW w:w="900" w:type="dxa"/>
            <w:tcBorders>
              <w:top w:val="single" w:sz="4" w:space="0" w:color="00688D"/>
              <w:left w:val="nil"/>
              <w:bottom w:val="double" w:sz="6" w:space="0" w:color="00688D"/>
              <w:right w:val="nil"/>
            </w:tcBorders>
            <w:shd w:val="clear" w:color="000000" w:fill="FFFFFF"/>
            <w:noWrap/>
            <w:vAlign w:val="bottom"/>
            <w:hideMark/>
          </w:tcPr>
          <w:p w14:paraId="64937252"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$21,504</w:t>
            </w:r>
          </w:p>
        </w:tc>
        <w:tc>
          <w:tcPr>
            <w:tcW w:w="877"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0795AA54"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$22,312</w:t>
            </w:r>
          </w:p>
        </w:tc>
        <w:tc>
          <w:tcPr>
            <w:tcW w:w="878" w:type="dxa"/>
            <w:tcBorders>
              <w:top w:val="single" w:sz="4" w:space="0" w:color="00688D"/>
              <w:left w:val="nil"/>
              <w:bottom w:val="double" w:sz="6" w:space="0" w:color="00688D"/>
              <w:right w:val="nil"/>
            </w:tcBorders>
            <w:shd w:val="clear" w:color="000000" w:fill="FFFFFF"/>
            <w:noWrap/>
            <w:vAlign w:val="bottom"/>
            <w:hideMark/>
          </w:tcPr>
          <w:p w14:paraId="13B419A2"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$22,246</w:t>
            </w:r>
          </w:p>
        </w:tc>
        <w:tc>
          <w:tcPr>
            <w:tcW w:w="877"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7F480968"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$24,990</w:t>
            </w:r>
          </w:p>
        </w:tc>
      </w:tr>
      <w:tr w:rsidR="00721CFD" w:rsidRPr="001B7651" w14:paraId="58F6FAE7" w14:textId="77777777" w:rsidTr="007B5BB3">
        <w:trPr>
          <w:trHeight w:val="302"/>
          <w:jc w:val="center"/>
        </w:trPr>
        <w:tc>
          <w:tcPr>
            <w:tcW w:w="4680" w:type="dxa"/>
            <w:tcBorders>
              <w:top w:val="nil"/>
              <w:left w:val="nil"/>
              <w:bottom w:val="nil"/>
              <w:right w:val="nil"/>
            </w:tcBorders>
            <w:shd w:val="clear" w:color="000000" w:fill="FFFFFF"/>
            <w:noWrap/>
            <w:vAlign w:val="bottom"/>
            <w:hideMark/>
          </w:tcPr>
          <w:p w14:paraId="04AAEC8B"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Covered payroll</w:t>
            </w:r>
          </w:p>
        </w:tc>
        <w:tc>
          <w:tcPr>
            <w:tcW w:w="877" w:type="dxa"/>
            <w:tcBorders>
              <w:top w:val="nil"/>
              <w:left w:val="nil"/>
              <w:bottom w:val="nil"/>
              <w:right w:val="nil"/>
            </w:tcBorders>
            <w:shd w:val="clear" w:color="auto" w:fill="FFFFFF" w:themeFill="background1"/>
            <w:vAlign w:val="bottom"/>
          </w:tcPr>
          <w:p w14:paraId="2C414818" w14:textId="77777777" w:rsidR="00721CFD" w:rsidRPr="008D2FB7" w:rsidRDefault="00721CFD" w:rsidP="007B5BB3">
            <w:pPr>
              <w:jc w:val="right"/>
              <w:rPr>
                <w:rFonts w:ascii="Calibri" w:hAnsi="Calibri" w:cs="Calibri"/>
              </w:rPr>
            </w:pPr>
            <w:r w:rsidRPr="00943CF1">
              <w:rPr>
                <w:rFonts w:ascii="Calibri" w:eastAsia="Times New Roman" w:hAnsi="Calibri" w:cs="Calibri"/>
              </w:rPr>
              <w:t>$59,119</w:t>
            </w:r>
          </w:p>
        </w:tc>
        <w:tc>
          <w:tcPr>
            <w:tcW w:w="877" w:type="dxa"/>
            <w:tcBorders>
              <w:top w:val="nil"/>
              <w:left w:val="nil"/>
              <w:bottom w:val="nil"/>
              <w:right w:val="nil"/>
            </w:tcBorders>
            <w:shd w:val="clear" w:color="auto" w:fill="D9D9D9" w:themeFill="background1" w:themeFillShade="D9"/>
            <w:vAlign w:val="bottom"/>
          </w:tcPr>
          <w:p w14:paraId="5F779204" w14:textId="77777777" w:rsidR="00721CFD" w:rsidRPr="001B7651" w:rsidRDefault="00721CFD" w:rsidP="007B5BB3">
            <w:pPr>
              <w:jc w:val="right"/>
              <w:rPr>
                <w:rFonts w:ascii="Calibri" w:eastAsia="Times New Roman" w:hAnsi="Calibri" w:cs="Calibri"/>
                <w:color w:val="0D0D0D"/>
              </w:rPr>
            </w:pPr>
            <w:r>
              <w:rPr>
                <w:rFonts w:ascii="Calibri" w:hAnsi="Calibri" w:cs="Calibri"/>
              </w:rPr>
              <w:t xml:space="preserve">$62,646 </w:t>
            </w:r>
          </w:p>
        </w:tc>
        <w:tc>
          <w:tcPr>
            <w:tcW w:w="877" w:type="dxa"/>
            <w:tcBorders>
              <w:top w:val="nil"/>
              <w:left w:val="nil"/>
              <w:bottom w:val="nil"/>
              <w:right w:val="nil"/>
            </w:tcBorders>
            <w:shd w:val="clear" w:color="000000" w:fill="FFFFFF"/>
            <w:noWrap/>
            <w:vAlign w:val="bottom"/>
            <w:hideMark/>
          </w:tcPr>
          <w:p w14:paraId="0929805E"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$67,303</w:t>
            </w:r>
          </w:p>
        </w:tc>
        <w:tc>
          <w:tcPr>
            <w:tcW w:w="877" w:type="dxa"/>
            <w:tcBorders>
              <w:top w:val="nil"/>
              <w:left w:val="nil"/>
              <w:bottom w:val="nil"/>
              <w:right w:val="nil"/>
            </w:tcBorders>
            <w:shd w:val="clear" w:color="auto" w:fill="D9D9D9" w:themeFill="background1" w:themeFillShade="D9"/>
            <w:noWrap/>
            <w:vAlign w:val="bottom"/>
            <w:hideMark/>
          </w:tcPr>
          <w:p w14:paraId="182E529E"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$68,685</w:t>
            </w:r>
          </w:p>
        </w:tc>
        <w:tc>
          <w:tcPr>
            <w:tcW w:w="900" w:type="dxa"/>
            <w:tcBorders>
              <w:top w:val="nil"/>
              <w:left w:val="nil"/>
              <w:bottom w:val="nil"/>
              <w:right w:val="nil"/>
            </w:tcBorders>
            <w:shd w:val="clear" w:color="000000" w:fill="FFFFFF"/>
            <w:noWrap/>
            <w:vAlign w:val="bottom"/>
            <w:hideMark/>
          </w:tcPr>
          <w:p w14:paraId="44244147"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$72,541</w:t>
            </w:r>
          </w:p>
        </w:tc>
        <w:tc>
          <w:tcPr>
            <w:tcW w:w="877" w:type="dxa"/>
            <w:tcBorders>
              <w:top w:val="nil"/>
              <w:left w:val="nil"/>
              <w:bottom w:val="nil"/>
              <w:right w:val="nil"/>
            </w:tcBorders>
            <w:shd w:val="clear" w:color="auto" w:fill="D9D9D9" w:themeFill="background1" w:themeFillShade="D9"/>
            <w:noWrap/>
            <w:vAlign w:val="bottom"/>
            <w:hideMark/>
          </w:tcPr>
          <w:p w14:paraId="3DE91E61"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$77,644</w:t>
            </w:r>
          </w:p>
        </w:tc>
        <w:tc>
          <w:tcPr>
            <w:tcW w:w="878" w:type="dxa"/>
            <w:tcBorders>
              <w:top w:val="nil"/>
              <w:left w:val="nil"/>
              <w:bottom w:val="nil"/>
              <w:right w:val="nil"/>
            </w:tcBorders>
            <w:shd w:val="clear" w:color="000000" w:fill="FFFFFF"/>
            <w:noWrap/>
            <w:vAlign w:val="bottom"/>
            <w:hideMark/>
          </w:tcPr>
          <w:p w14:paraId="333F440F"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$95,653</w:t>
            </w:r>
          </w:p>
        </w:tc>
        <w:tc>
          <w:tcPr>
            <w:tcW w:w="877" w:type="dxa"/>
            <w:tcBorders>
              <w:top w:val="nil"/>
              <w:left w:val="nil"/>
              <w:bottom w:val="nil"/>
              <w:right w:val="nil"/>
            </w:tcBorders>
            <w:shd w:val="clear" w:color="auto" w:fill="D9D9D9" w:themeFill="background1" w:themeFillShade="D9"/>
            <w:noWrap/>
            <w:vAlign w:val="bottom"/>
            <w:hideMark/>
          </w:tcPr>
          <w:p w14:paraId="1D22BE9B"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$92,419</w:t>
            </w:r>
          </w:p>
        </w:tc>
      </w:tr>
      <w:tr w:rsidR="00721CFD" w:rsidRPr="001B7651" w14:paraId="412D9329" w14:textId="77777777" w:rsidTr="007B5BB3">
        <w:trPr>
          <w:trHeight w:val="290"/>
          <w:jc w:val="center"/>
        </w:trPr>
        <w:tc>
          <w:tcPr>
            <w:tcW w:w="4680" w:type="dxa"/>
            <w:tcBorders>
              <w:top w:val="nil"/>
              <w:left w:val="nil"/>
              <w:bottom w:val="single" w:sz="4" w:space="0" w:color="00688D"/>
              <w:right w:val="nil"/>
            </w:tcBorders>
            <w:shd w:val="clear" w:color="000000" w:fill="FFFFFF"/>
            <w:vAlign w:val="center"/>
            <w:hideMark/>
          </w:tcPr>
          <w:p w14:paraId="16044B69"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Total pension liability as a percentage of covered payroll</w:t>
            </w:r>
          </w:p>
        </w:tc>
        <w:tc>
          <w:tcPr>
            <w:tcW w:w="877" w:type="dxa"/>
            <w:tcBorders>
              <w:top w:val="nil"/>
              <w:left w:val="nil"/>
              <w:bottom w:val="single" w:sz="4" w:space="0" w:color="00688D"/>
              <w:right w:val="nil"/>
            </w:tcBorders>
            <w:shd w:val="clear" w:color="auto" w:fill="FFFFFF" w:themeFill="background1"/>
            <w:vAlign w:val="bottom"/>
          </w:tcPr>
          <w:p w14:paraId="3DCDA64E" w14:textId="77777777" w:rsidR="00721CFD" w:rsidRPr="003959B0" w:rsidRDefault="00721CFD" w:rsidP="007B5BB3">
            <w:pPr>
              <w:jc w:val="right"/>
              <w:rPr>
                <w:rFonts w:ascii="Calibri" w:hAnsi="Calibri" w:cs="Calibri"/>
              </w:rPr>
            </w:pPr>
            <w:r w:rsidRPr="003959B0">
              <w:rPr>
                <w:rFonts w:ascii="Calibri" w:eastAsia="Times New Roman" w:hAnsi="Calibri" w:cs="Calibri"/>
              </w:rPr>
              <w:t>32.29%</w:t>
            </w:r>
          </w:p>
        </w:tc>
        <w:tc>
          <w:tcPr>
            <w:tcW w:w="877" w:type="dxa"/>
            <w:tcBorders>
              <w:top w:val="nil"/>
              <w:left w:val="nil"/>
              <w:bottom w:val="single" w:sz="4" w:space="0" w:color="00688D"/>
              <w:right w:val="nil"/>
            </w:tcBorders>
            <w:shd w:val="clear" w:color="auto" w:fill="D9D9D9" w:themeFill="background1" w:themeFillShade="D9"/>
            <w:vAlign w:val="bottom"/>
          </w:tcPr>
          <w:p w14:paraId="1571C9CB" w14:textId="77777777" w:rsidR="00721CFD" w:rsidRPr="001B7651" w:rsidRDefault="00721CFD" w:rsidP="007B5BB3">
            <w:pPr>
              <w:jc w:val="right"/>
              <w:rPr>
                <w:rFonts w:ascii="Calibri" w:eastAsia="Times New Roman" w:hAnsi="Calibri" w:cs="Calibri"/>
                <w:color w:val="0D0D0D"/>
              </w:rPr>
            </w:pPr>
            <w:r>
              <w:rPr>
                <w:rFonts w:ascii="Calibri" w:hAnsi="Calibri" w:cs="Calibri"/>
                <w:color w:val="0D0D0D"/>
              </w:rPr>
              <w:t>33.85%</w:t>
            </w:r>
          </w:p>
        </w:tc>
        <w:tc>
          <w:tcPr>
            <w:tcW w:w="877" w:type="dxa"/>
            <w:tcBorders>
              <w:top w:val="nil"/>
              <w:left w:val="nil"/>
              <w:bottom w:val="single" w:sz="4" w:space="0" w:color="00688D"/>
              <w:right w:val="nil"/>
            </w:tcBorders>
            <w:shd w:val="clear" w:color="000000" w:fill="FFFFFF"/>
            <w:noWrap/>
            <w:vAlign w:val="bottom"/>
            <w:hideMark/>
          </w:tcPr>
          <w:p w14:paraId="495720DA"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31.27%</w:t>
            </w:r>
          </w:p>
        </w:tc>
        <w:tc>
          <w:tcPr>
            <w:tcW w:w="877" w:type="dxa"/>
            <w:tcBorders>
              <w:top w:val="nil"/>
              <w:left w:val="nil"/>
              <w:bottom w:val="single" w:sz="4" w:space="0" w:color="00688D"/>
              <w:right w:val="nil"/>
            </w:tcBorders>
            <w:shd w:val="clear" w:color="auto" w:fill="D9D9D9" w:themeFill="background1" w:themeFillShade="D9"/>
            <w:noWrap/>
            <w:vAlign w:val="bottom"/>
            <w:hideMark/>
          </w:tcPr>
          <w:p w14:paraId="2E941633"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30.69%</w:t>
            </w:r>
          </w:p>
        </w:tc>
        <w:tc>
          <w:tcPr>
            <w:tcW w:w="900" w:type="dxa"/>
            <w:tcBorders>
              <w:top w:val="nil"/>
              <w:left w:val="nil"/>
              <w:bottom w:val="single" w:sz="4" w:space="0" w:color="00688D"/>
              <w:right w:val="nil"/>
            </w:tcBorders>
            <w:shd w:val="clear" w:color="000000" w:fill="FFFFFF"/>
            <w:noWrap/>
            <w:vAlign w:val="bottom"/>
            <w:hideMark/>
          </w:tcPr>
          <w:p w14:paraId="0224758D"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29.64%</w:t>
            </w:r>
          </w:p>
        </w:tc>
        <w:tc>
          <w:tcPr>
            <w:tcW w:w="877" w:type="dxa"/>
            <w:tcBorders>
              <w:top w:val="nil"/>
              <w:left w:val="nil"/>
              <w:bottom w:val="single" w:sz="4" w:space="0" w:color="00688D"/>
              <w:right w:val="nil"/>
            </w:tcBorders>
            <w:shd w:val="clear" w:color="auto" w:fill="D9D9D9" w:themeFill="background1" w:themeFillShade="D9"/>
            <w:noWrap/>
            <w:vAlign w:val="bottom"/>
            <w:hideMark/>
          </w:tcPr>
          <w:p w14:paraId="4BBE5F97"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28.74%</w:t>
            </w:r>
          </w:p>
        </w:tc>
        <w:tc>
          <w:tcPr>
            <w:tcW w:w="878" w:type="dxa"/>
            <w:tcBorders>
              <w:top w:val="nil"/>
              <w:left w:val="nil"/>
              <w:bottom w:val="single" w:sz="4" w:space="0" w:color="00688D"/>
              <w:right w:val="nil"/>
            </w:tcBorders>
            <w:shd w:val="clear" w:color="000000" w:fill="FFFFFF"/>
            <w:noWrap/>
            <w:vAlign w:val="bottom"/>
            <w:hideMark/>
          </w:tcPr>
          <w:p w14:paraId="6165F4A1"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23.26%</w:t>
            </w:r>
          </w:p>
        </w:tc>
        <w:tc>
          <w:tcPr>
            <w:tcW w:w="877" w:type="dxa"/>
            <w:tcBorders>
              <w:top w:val="nil"/>
              <w:left w:val="nil"/>
              <w:bottom w:val="single" w:sz="4" w:space="0" w:color="00688D"/>
              <w:right w:val="nil"/>
            </w:tcBorders>
            <w:shd w:val="clear" w:color="auto" w:fill="D9D9D9" w:themeFill="background1" w:themeFillShade="D9"/>
            <w:noWrap/>
            <w:vAlign w:val="bottom"/>
            <w:hideMark/>
          </w:tcPr>
          <w:p w14:paraId="1F66ADFD"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27.04%</w:t>
            </w:r>
          </w:p>
        </w:tc>
      </w:tr>
    </w:tbl>
    <w:p w14:paraId="0C7353FB" w14:textId="77777777" w:rsidR="00721CFD" w:rsidRPr="001E2C56" w:rsidRDefault="00721CFD" w:rsidP="00721CFD">
      <w:pPr>
        <w:spacing w:before="120"/>
        <w:jc w:val="center"/>
        <w:rPr>
          <w:sz w:val="28"/>
        </w:rPr>
      </w:pPr>
      <w:r w:rsidRPr="001B7651">
        <w:rPr>
          <w:rFonts w:ascii="Calibri" w:eastAsia="Times New Roman" w:hAnsi="Calibri" w:cs="Calibri"/>
          <w:b/>
          <w:bCs/>
          <w:color w:val="0D0D0D"/>
        </w:rPr>
        <w:t>Schedule of Employer Contributions</w:t>
      </w:r>
    </w:p>
    <w:tbl>
      <w:tblPr>
        <w:tblW w:w="11908" w:type="dxa"/>
        <w:jc w:val="center"/>
        <w:tblLayout w:type="fixed"/>
        <w:tblCellMar>
          <w:left w:w="72" w:type="dxa"/>
          <w:right w:w="72" w:type="dxa"/>
        </w:tblCellMar>
        <w:tblLook w:val="04A0" w:firstRow="1" w:lastRow="0" w:firstColumn="1" w:lastColumn="0" w:noHBand="0" w:noVBand="1"/>
      </w:tblPr>
      <w:tblGrid>
        <w:gridCol w:w="4680"/>
        <w:gridCol w:w="891"/>
        <w:gridCol w:w="891"/>
        <w:gridCol w:w="891"/>
        <w:gridCol w:w="955"/>
        <w:gridCol w:w="900"/>
        <w:gridCol w:w="900"/>
        <w:gridCol w:w="900"/>
        <w:gridCol w:w="900"/>
      </w:tblGrid>
      <w:tr w:rsidR="00721CFD" w:rsidRPr="001B7651" w14:paraId="02A5D23C" w14:textId="77777777" w:rsidTr="007B5BB3">
        <w:trPr>
          <w:trHeight w:val="404"/>
          <w:tblHeader/>
          <w:jc w:val="center"/>
        </w:trPr>
        <w:tc>
          <w:tcPr>
            <w:tcW w:w="4680" w:type="dxa"/>
            <w:tcBorders>
              <w:top w:val="nil"/>
              <w:left w:val="nil"/>
              <w:bottom w:val="single" w:sz="12" w:space="0" w:color="00688D"/>
              <w:right w:val="nil"/>
            </w:tcBorders>
            <w:shd w:val="clear" w:color="000000" w:fill="FFFFFF"/>
            <w:vAlign w:val="bottom"/>
            <w:hideMark/>
          </w:tcPr>
          <w:p w14:paraId="3F696D9F" w14:textId="77777777" w:rsidR="00721CFD" w:rsidRPr="001B7651" w:rsidRDefault="00721CFD" w:rsidP="007B5BB3">
            <w:pPr>
              <w:rPr>
                <w:rFonts w:ascii="Calibri" w:eastAsia="Times New Roman" w:hAnsi="Calibri" w:cs="Calibri"/>
                <w:b/>
                <w:bCs/>
                <w:color w:val="0D0D0D"/>
              </w:rPr>
            </w:pPr>
            <w:r w:rsidRPr="001B7651">
              <w:rPr>
                <w:rFonts w:ascii="Calibri" w:eastAsia="Times New Roman" w:hAnsi="Calibri" w:cs="Calibri"/>
                <w:b/>
                <w:bCs/>
                <w:color w:val="0D0D0D"/>
              </w:rPr>
              <w:t>Fiscal Year Ended June 30</w:t>
            </w:r>
          </w:p>
        </w:tc>
        <w:tc>
          <w:tcPr>
            <w:tcW w:w="891" w:type="dxa"/>
            <w:tcBorders>
              <w:top w:val="nil"/>
              <w:left w:val="nil"/>
              <w:bottom w:val="single" w:sz="12" w:space="0" w:color="00688D"/>
              <w:right w:val="nil"/>
            </w:tcBorders>
            <w:shd w:val="clear" w:color="auto" w:fill="auto"/>
            <w:vAlign w:val="bottom"/>
          </w:tcPr>
          <w:p w14:paraId="4A9F3165" w14:textId="77777777" w:rsidR="00721CFD" w:rsidRPr="006D7D32" w:rsidRDefault="00721CFD" w:rsidP="007B5BB3">
            <w:pPr>
              <w:jc w:val="center"/>
              <w:rPr>
                <w:rFonts w:ascii="Calibri" w:eastAsia="Times New Roman" w:hAnsi="Calibri" w:cs="Calibri"/>
                <w:b/>
                <w:bCs/>
                <w:color w:val="0D0D0D"/>
                <w:highlight w:val="lightGray"/>
              </w:rPr>
            </w:pPr>
            <w:r w:rsidRPr="00943CF1">
              <w:rPr>
                <w:rFonts w:ascii="Calibri" w:eastAsia="Times New Roman" w:hAnsi="Calibri" w:cs="Calibri"/>
                <w:b/>
                <w:bCs/>
                <w:color w:val="0D0D0D"/>
              </w:rPr>
              <w:t>2022</w:t>
            </w:r>
          </w:p>
        </w:tc>
        <w:tc>
          <w:tcPr>
            <w:tcW w:w="891" w:type="dxa"/>
            <w:tcBorders>
              <w:top w:val="nil"/>
              <w:left w:val="nil"/>
              <w:bottom w:val="single" w:sz="12" w:space="0" w:color="00688D"/>
              <w:right w:val="nil"/>
            </w:tcBorders>
            <w:shd w:val="clear" w:color="auto" w:fill="D9D9D9" w:themeFill="background1" w:themeFillShade="D9"/>
            <w:vAlign w:val="bottom"/>
          </w:tcPr>
          <w:p w14:paraId="5836D837" w14:textId="77777777" w:rsidR="00721CFD" w:rsidRPr="001B7651" w:rsidRDefault="00721CFD" w:rsidP="007B5BB3">
            <w:pPr>
              <w:jc w:val="center"/>
              <w:rPr>
                <w:rFonts w:ascii="Calibri" w:eastAsia="Times New Roman" w:hAnsi="Calibri" w:cs="Calibri"/>
                <w:b/>
                <w:bCs/>
                <w:color w:val="0D0D0D"/>
              </w:rPr>
            </w:pPr>
            <w:r w:rsidRPr="006D7D32">
              <w:rPr>
                <w:rFonts w:ascii="Calibri" w:eastAsia="Times New Roman" w:hAnsi="Calibri" w:cs="Calibri"/>
                <w:b/>
                <w:bCs/>
                <w:color w:val="0D0D0D"/>
                <w:highlight w:val="lightGray"/>
              </w:rPr>
              <w:t>2021</w:t>
            </w:r>
          </w:p>
        </w:tc>
        <w:tc>
          <w:tcPr>
            <w:tcW w:w="891" w:type="dxa"/>
            <w:tcBorders>
              <w:top w:val="nil"/>
              <w:left w:val="nil"/>
              <w:bottom w:val="single" w:sz="12" w:space="0" w:color="00688D"/>
              <w:right w:val="nil"/>
            </w:tcBorders>
            <w:shd w:val="clear" w:color="000000" w:fill="FFFFFF"/>
            <w:noWrap/>
            <w:vAlign w:val="bottom"/>
            <w:hideMark/>
          </w:tcPr>
          <w:p w14:paraId="4B119EBB"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2020</w:t>
            </w:r>
          </w:p>
        </w:tc>
        <w:tc>
          <w:tcPr>
            <w:tcW w:w="955" w:type="dxa"/>
            <w:tcBorders>
              <w:top w:val="nil"/>
              <w:left w:val="nil"/>
              <w:bottom w:val="single" w:sz="12" w:space="0" w:color="00688D"/>
              <w:right w:val="nil"/>
            </w:tcBorders>
            <w:shd w:val="clear" w:color="auto" w:fill="D9D9D9" w:themeFill="background1" w:themeFillShade="D9"/>
            <w:noWrap/>
            <w:vAlign w:val="bottom"/>
            <w:hideMark/>
          </w:tcPr>
          <w:p w14:paraId="7E034339"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2019</w:t>
            </w:r>
          </w:p>
        </w:tc>
        <w:tc>
          <w:tcPr>
            <w:tcW w:w="900" w:type="dxa"/>
            <w:tcBorders>
              <w:top w:val="nil"/>
              <w:left w:val="nil"/>
              <w:bottom w:val="single" w:sz="12" w:space="0" w:color="00688D"/>
              <w:right w:val="nil"/>
            </w:tcBorders>
            <w:shd w:val="clear" w:color="000000" w:fill="FFFFFF"/>
            <w:noWrap/>
            <w:vAlign w:val="bottom"/>
            <w:hideMark/>
          </w:tcPr>
          <w:p w14:paraId="5E36D2FF"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2018</w:t>
            </w:r>
          </w:p>
        </w:tc>
        <w:tc>
          <w:tcPr>
            <w:tcW w:w="900" w:type="dxa"/>
            <w:tcBorders>
              <w:top w:val="nil"/>
              <w:left w:val="nil"/>
              <w:bottom w:val="single" w:sz="12" w:space="0" w:color="00688D"/>
              <w:right w:val="nil"/>
            </w:tcBorders>
            <w:shd w:val="clear" w:color="auto" w:fill="D9D9D9" w:themeFill="background1" w:themeFillShade="D9"/>
            <w:noWrap/>
            <w:vAlign w:val="bottom"/>
            <w:hideMark/>
          </w:tcPr>
          <w:p w14:paraId="7849730D"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2017</w:t>
            </w:r>
          </w:p>
        </w:tc>
        <w:tc>
          <w:tcPr>
            <w:tcW w:w="900" w:type="dxa"/>
            <w:tcBorders>
              <w:top w:val="nil"/>
              <w:left w:val="nil"/>
              <w:bottom w:val="single" w:sz="12" w:space="0" w:color="00688D"/>
              <w:right w:val="nil"/>
            </w:tcBorders>
            <w:shd w:val="clear" w:color="000000" w:fill="FFFFFF"/>
            <w:noWrap/>
            <w:vAlign w:val="bottom"/>
            <w:hideMark/>
          </w:tcPr>
          <w:p w14:paraId="34CFA193"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2016</w:t>
            </w:r>
          </w:p>
        </w:tc>
        <w:tc>
          <w:tcPr>
            <w:tcW w:w="900" w:type="dxa"/>
            <w:tcBorders>
              <w:top w:val="nil"/>
              <w:left w:val="nil"/>
              <w:bottom w:val="single" w:sz="12" w:space="0" w:color="00688D"/>
              <w:right w:val="nil"/>
            </w:tcBorders>
            <w:shd w:val="clear" w:color="auto" w:fill="D9D9D9" w:themeFill="background1" w:themeFillShade="D9"/>
            <w:noWrap/>
            <w:vAlign w:val="bottom"/>
            <w:hideMark/>
          </w:tcPr>
          <w:p w14:paraId="1C7654F4" w14:textId="77777777" w:rsidR="00721CFD" w:rsidRPr="001B7651" w:rsidRDefault="00721CFD" w:rsidP="007B5BB3">
            <w:pPr>
              <w:jc w:val="center"/>
              <w:rPr>
                <w:rFonts w:ascii="Calibri" w:eastAsia="Times New Roman" w:hAnsi="Calibri" w:cs="Calibri"/>
                <w:b/>
                <w:bCs/>
                <w:color w:val="0D0D0D"/>
              </w:rPr>
            </w:pPr>
            <w:r w:rsidRPr="001B7651">
              <w:rPr>
                <w:rFonts w:ascii="Calibri" w:eastAsia="Times New Roman" w:hAnsi="Calibri" w:cs="Calibri"/>
                <w:b/>
                <w:bCs/>
                <w:color w:val="0D0D0D"/>
              </w:rPr>
              <w:t>2015</w:t>
            </w:r>
          </w:p>
        </w:tc>
      </w:tr>
      <w:tr w:rsidR="00721CFD" w:rsidRPr="001B7651" w14:paraId="0BAD6B46" w14:textId="77777777" w:rsidTr="007B5BB3">
        <w:trPr>
          <w:trHeight w:val="301"/>
          <w:jc w:val="center"/>
        </w:trPr>
        <w:tc>
          <w:tcPr>
            <w:tcW w:w="4680" w:type="dxa"/>
            <w:tcBorders>
              <w:top w:val="nil"/>
              <w:left w:val="nil"/>
              <w:bottom w:val="nil"/>
              <w:right w:val="nil"/>
            </w:tcBorders>
            <w:shd w:val="clear" w:color="000000" w:fill="FFFFFF"/>
            <w:vAlign w:val="center"/>
            <w:hideMark/>
          </w:tcPr>
          <w:p w14:paraId="2E7F071D" w14:textId="77777777" w:rsidR="00721CFD" w:rsidRPr="001B7651" w:rsidRDefault="00721CFD" w:rsidP="007B5BB3">
            <w:pPr>
              <w:ind w:right="-24"/>
              <w:rPr>
                <w:rFonts w:ascii="Calibri" w:eastAsia="Times New Roman" w:hAnsi="Calibri" w:cs="Calibri"/>
                <w:color w:val="0D0D0D"/>
              </w:rPr>
            </w:pPr>
            <w:r w:rsidRPr="001B7651">
              <w:rPr>
                <w:rFonts w:ascii="Calibri" w:eastAsia="Times New Roman" w:hAnsi="Calibri" w:cs="Calibri"/>
                <w:color w:val="0D0D0D"/>
              </w:rPr>
              <w:t>Actuarially determined contribution</w:t>
            </w:r>
          </w:p>
        </w:tc>
        <w:tc>
          <w:tcPr>
            <w:tcW w:w="891" w:type="dxa"/>
            <w:tcBorders>
              <w:top w:val="nil"/>
              <w:left w:val="nil"/>
              <w:bottom w:val="nil"/>
              <w:right w:val="nil"/>
            </w:tcBorders>
            <w:shd w:val="clear" w:color="auto" w:fill="auto"/>
            <w:vAlign w:val="bottom"/>
          </w:tcPr>
          <w:p w14:paraId="5A40A9AB" w14:textId="77777777" w:rsidR="00721CFD" w:rsidRPr="003959B0" w:rsidRDefault="00721CFD" w:rsidP="007B5BB3">
            <w:pPr>
              <w:jc w:val="right"/>
              <w:rPr>
                <w:rFonts w:ascii="Calibri" w:eastAsia="Times New Roman" w:hAnsi="Calibri" w:cs="Calibri"/>
              </w:rPr>
            </w:pPr>
            <w:r w:rsidRPr="003959B0">
              <w:rPr>
                <w:rFonts w:ascii="Calibri" w:eastAsia="Times New Roman" w:hAnsi="Calibri" w:cs="Calibri"/>
              </w:rPr>
              <w:t>$           -</w:t>
            </w:r>
          </w:p>
        </w:tc>
        <w:tc>
          <w:tcPr>
            <w:tcW w:w="891" w:type="dxa"/>
            <w:tcBorders>
              <w:top w:val="nil"/>
              <w:left w:val="nil"/>
              <w:bottom w:val="nil"/>
              <w:right w:val="nil"/>
            </w:tcBorders>
            <w:shd w:val="clear" w:color="auto" w:fill="D9D9D9" w:themeFill="background1" w:themeFillShade="D9"/>
            <w:vAlign w:val="bottom"/>
          </w:tcPr>
          <w:p w14:paraId="7DB9F68F" w14:textId="77777777" w:rsidR="00721CFD" w:rsidRDefault="00721CFD" w:rsidP="007B5BB3">
            <w:pPr>
              <w:jc w:val="right"/>
              <w:rPr>
                <w:rFonts w:ascii="Calibri" w:eastAsia="Times New Roman" w:hAnsi="Calibri" w:cs="Calibri"/>
                <w:color w:val="0D0D0D"/>
              </w:rPr>
            </w:pPr>
            <w:r>
              <w:rPr>
                <w:rFonts w:ascii="Calibri" w:eastAsia="Times New Roman" w:hAnsi="Calibri" w:cs="Calibri"/>
                <w:color w:val="0D0D0D"/>
              </w:rPr>
              <w:t>$           -</w:t>
            </w:r>
          </w:p>
        </w:tc>
        <w:tc>
          <w:tcPr>
            <w:tcW w:w="891" w:type="dxa"/>
            <w:tcBorders>
              <w:top w:val="nil"/>
              <w:left w:val="nil"/>
              <w:bottom w:val="nil"/>
              <w:right w:val="nil"/>
            </w:tcBorders>
            <w:shd w:val="clear" w:color="000000" w:fill="FFFFFF"/>
            <w:noWrap/>
            <w:vAlign w:val="bottom"/>
            <w:hideMark/>
          </w:tcPr>
          <w:p w14:paraId="6234CC4D"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           -</w:t>
            </w:r>
          </w:p>
        </w:tc>
        <w:tc>
          <w:tcPr>
            <w:tcW w:w="955" w:type="dxa"/>
            <w:tcBorders>
              <w:top w:val="nil"/>
              <w:left w:val="nil"/>
              <w:bottom w:val="nil"/>
              <w:right w:val="nil"/>
            </w:tcBorders>
            <w:shd w:val="clear" w:color="auto" w:fill="D9D9D9" w:themeFill="background1" w:themeFillShade="D9"/>
            <w:noWrap/>
            <w:vAlign w:val="bottom"/>
            <w:hideMark/>
          </w:tcPr>
          <w:p w14:paraId="1E8E85A9"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w:t>
            </w:r>
          </w:p>
        </w:tc>
        <w:tc>
          <w:tcPr>
            <w:tcW w:w="900" w:type="dxa"/>
            <w:tcBorders>
              <w:top w:val="nil"/>
              <w:left w:val="nil"/>
              <w:bottom w:val="nil"/>
              <w:right w:val="nil"/>
            </w:tcBorders>
            <w:shd w:val="clear" w:color="000000" w:fill="FFFFFF"/>
            <w:noWrap/>
            <w:vAlign w:val="bottom"/>
            <w:hideMark/>
          </w:tcPr>
          <w:p w14:paraId="5CAA5625"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w:t>
            </w:r>
          </w:p>
        </w:tc>
        <w:tc>
          <w:tcPr>
            <w:tcW w:w="900" w:type="dxa"/>
            <w:tcBorders>
              <w:top w:val="nil"/>
              <w:left w:val="nil"/>
              <w:bottom w:val="nil"/>
              <w:right w:val="nil"/>
            </w:tcBorders>
            <w:shd w:val="clear" w:color="auto" w:fill="D9D9D9" w:themeFill="background1" w:themeFillShade="D9"/>
            <w:noWrap/>
            <w:vAlign w:val="bottom"/>
            <w:hideMark/>
          </w:tcPr>
          <w:p w14:paraId="0DB7BAA9"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w:t>
            </w:r>
          </w:p>
        </w:tc>
        <w:tc>
          <w:tcPr>
            <w:tcW w:w="900" w:type="dxa"/>
            <w:tcBorders>
              <w:top w:val="nil"/>
              <w:left w:val="nil"/>
              <w:bottom w:val="nil"/>
              <w:right w:val="nil"/>
            </w:tcBorders>
            <w:shd w:val="clear" w:color="000000" w:fill="FFFFFF"/>
            <w:noWrap/>
            <w:vAlign w:val="bottom"/>
            <w:hideMark/>
          </w:tcPr>
          <w:p w14:paraId="5C80AA7A"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           -</w:t>
            </w:r>
          </w:p>
        </w:tc>
        <w:tc>
          <w:tcPr>
            <w:tcW w:w="900" w:type="dxa"/>
            <w:tcBorders>
              <w:top w:val="nil"/>
              <w:left w:val="nil"/>
              <w:bottom w:val="nil"/>
              <w:right w:val="nil"/>
            </w:tcBorders>
            <w:shd w:val="clear" w:color="auto" w:fill="D9D9D9" w:themeFill="background1" w:themeFillShade="D9"/>
            <w:noWrap/>
            <w:vAlign w:val="bottom"/>
            <w:hideMark/>
          </w:tcPr>
          <w:p w14:paraId="4F18F64B"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           -</w:t>
            </w:r>
          </w:p>
        </w:tc>
      </w:tr>
      <w:tr w:rsidR="00721CFD" w:rsidRPr="001B7651" w14:paraId="403669DC" w14:textId="77777777" w:rsidTr="007B5BB3">
        <w:trPr>
          <w:trHeight w:val="535"/>
          <w:jc w:val="center"/>
        </w:trPr>
        <w:tc>
          <w:tcPr>
            <w:tcW w:w="4680" w:type="dxa"/>
            <w:tcBorders>
              <w:top w:val="nil"/>
              <w:left w:val="nil"/>
              <w:bottom w:val="nil"/>
              <w:right w:val="nil"/>
            </w:tcBorders>
            <w:shd w:val="clear" w:color="000000" w:fill="FFFFFF"/>
            <w:vAlign w:val="center"/>
            <w:hideMark/>
          </w:tcPr>
          <w:p w14:paraId="16F90F9C"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Contributions in relation to the actuarially determined contribution</w:t>
            </w:r>
          </w:p>
        </w:tc>
        <w:tc>
          <w:tcPr>
            <w:tcW w:w="891" w:type="dxa"/>
            <w:tcBorders>
              <w:top w:val="nil"/>
              <w:left w:val="nil"/>
              <w:bottom w:val="nil"/>
              <w:right w:val="nil"/>
            </w:tcBorders>
            <w:shd w:val="clear" w:color="auto" w:fill="auto"/>
            <w:vAlign w:val="bottom"/>
          </w:tcPr>
          <w:p w14:paraId="6BD88978" w14:textId="77777777" w:rsidR="00721CFD" w:rsidRPr="003959B0" w:rsidRDefault="00721CFD" w:rsidP="007B5BB3">
            <w:pPr>
              <w:jc w:val="right"/>
              <w:rPr>
                <w:rFonts w:ascii="Calibri" w:eastAsia="Times New Roman" w:hAnsi="Calibri" w:cs="Calibri"/>
              </w:rPr>
            </w:pPr>
            <w:r w:rsidRPr="003959B0">
              <w:rPr>
                <w:rFonts w:ascii="Calibri" w:eastAsia="Times New Roman" w:hAnsi="Calibri" w:cs="Calibri"/>
              </w:rPr>
              <w:t>2,388</w:t>
            </w:r>
          </w:p>
        </w:tc>
        <w:tc>
          <w:tcPr>
            <w:tcW w:w="891" w:type="dxa"/>
            <w:tcBorders>
              <w:top w:val="nil"/>
              <w:left w:val="nil"/>
              <w:bottom w:val="nil"/>
              <w:right w:val="nil"/>
            </w:tcBorders>
            <w:shd w:val="clear" w:color="auto" w:fill="D9D9D9" w:themeFill="background1" w:themeFillShade="D9"/>
            <w:vAlign w:val="bottom"/>
          </w:tcPr>
          <w:p w14:paraId="6D1EAA77"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w:t>
            </w:r>
            <w:r>
              <w:rPr>
                <w:rFonts w:ascii="Calibri" w:eastAsia="Times New Roman" w:hAnsi="Calibri" w:cs="Calibri"/>
                <w:color w:val="0D0D0D"/>
              </w:rPr>
              <w:t>98</w:t>
            </w:r>
          </w:p>
        </w:tc>
        <w:tc>
          <w:tcPr>
            <w:tcW w:w="891" w:type="dxa"/>
            <w:tcBorders>
              <w:top w:val="nil"/>
              <w:left w:val="nil"/>
              <w:bottom w:val="nil"/>
              <w:right w:val="nil"/>
            </w:tcBorders>
            <w:shd w:val="clear" w:color="000000" w:fill="FFFFFF"/>
            <w:noWrap/>
            <w:vAlign w:val="bottom"/>
            <w:hideMark/>
          </w:tcPr>
          <w:p w14:paraId="4C7E8A65"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2,141</w:t>
            </w:r>
          </w:p>
        </w:tc>
        <w:tc>
          <w:tcPr>
            <w:tcW w:w="955" w:type="dxa"/>
            <w:tcBorders>
              <w:top w:val="nil"/>
              <w:left w:val="nil"/>
              <w:bottom w:val="nil"/>
              <w:right w:val="nil"/>
            </w:tcBorders>
            <w:shd w:val="clear" w:color="auto" w:fill="D9D9D9" w:themeFill="background1" w:themeFillShade="D9"/>
            <w:noWrap/>
            <w:vAlign w:val="bottom"/>
            <w:hideMark/>
          </w:tcPr>
          <w:p w14:paraId="2D902593"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2,175</w:t>
            </w:r>
          </w:p>
        </w:tc>
        <w:tc>
          <w:tcPr>
            <w:tcW w:w="900" w:type="dxa"/>
            <w:tcBorders>
              <w:top w:val="nil"/>
              <w:left w:val="nil"/>
              <w:bottom w:val="nil"/>
              <w:right w:val="nil"/>
            </w:tcBorders>
            <w:shd w:val="clear" w:color="000000" w:fill="FFFFFF"/>
            <w:noWrap/>
            <w:vAlign w:val="bottom"/>
            <w:hideMark/>
          </w:tcPr>
          <w:p w14:paraId="0DFE4CED"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1,972</w:t>
            </w:r>
          </w:p>
        </w:tc>
        <w:tc>
          <w:tcPr>
            <w:tcW w:w="900" w:type="dxa"/>
            <w:tcBorders>
              <w:top w:val="nil"/>
              <w:left w:val="nil"/>
              <w:bottom w:val="nil"/>
              <w:right w:val="nil"/>
            </w:tcBorders>
            <w:shd w:val="clear" w:color="auto" w:fill="D9D9D9" w:themeFill="background1" w:themeFillShade="D9"/>
            <w:noWrap/>
            <w:vAlign w:val="bottom"/>
            <w:hideMark/>
          </w:tcPr>
          <w:p w14:paraId="6FD9CF60"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2,084</w:t>
            </w:r>
          </w:p>
        </w:tc>
        <w:tc>
          <w:tcPr>
            <w:tcW w:w="900" w:type="dxa"/>
            <w:tcBorders>
              <w:top w:val="nil"/>
              <w:left w:val="nil"/>
              <w:bottom w:val="nil"/>
              <w:right w:val="nil"/>
            </w:tcBorders>
            <w:shd w:val="clear" w:color="000000" w:fill="FFFFFF"/>
            <w:noWrap/>
            <w:vAlign w:val="bottom"/>
            <w:hideMark/>
          </w:tcPr>
          <w:p w14:paraId="11F58752"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5,260</w:t>
            </w:r>
          </w:p>
        </w:tc>
        <w:tc>
          <w:tcPr>
            <w:tcW w:w="900" w:type="dxa"/>
            <w:tcBorders>
              <w:top w:val="nil"/>
              <w:left w:val="nil"/>
              <w:bottom w:val="nil"/>
              <w:right w:val="nil"/>
            </w:tcBorders>
            <w:shd w:val="clear" w:color="auto" w:fill="D9D9D9" w:themeFill="background1" w:themeFillShade="D9"/>
            <w:noWrap/>
            <w:vAlign w:val="bottom"/>
            <w:hideMark/>
          </w:tcPr>
          <w:p w14:paraId="13550891"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3,114</w:t>
            </w:r>
          </w:p>
        </w:tc>
      </w:tr>
      <w:tr w:rsidR="00721CFD" w:rsidRPr="001B7651" w14:paraId="2E7E85DE" w14:textId="77777777" w:rsidTr="007B5BB3">
        <w:trPr>
          <w:trHeight w:val="301"/>
          <w:jc w:val="center"/>
        </w:trPr>
        <w:tc>
          <w:tcPr>
            <w:tcW w:w="4680" w:type="dxa"/>
            <w:tcBorders>
              <w:top w:val="single" w:sz="4" w:space="0" w:color="00688D"/>
              <w:left w:val="nil"/>
              <w:bottom w:val="double" w:sz="6" w:space="0" w:color="00688D"/>
              <w:right w:val="nil"/>
            </w:tcBorders>
            <w:shd w:val="clear" w:color="000000" w:fill="FFFFFF"/>
            <w:vAlign w:val="bottom"/>
            <w:hideMark/>
          </w:tcPr>
          <w:p w14:paraId="0287E5D5"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Contribution deficiency (excess)</w:t>
            </w:r>
          </w:p>
        </w:tc>
        <w:tc>
          <w:tcPr>
            <w:tcW w:w="891" w:type="dxa"/>
            <w:tcBorders>
              <w:top w:val="single" w:sz="4" w:space="0" w:color="00688D"/>
              <w:left w:val="nil"/>
              <w:bottom w:val="double" w:sz="6" w:space="0" w:color="00688D"/>
              <w:right w:val="nil"/>
            </w:tcBorders>
            <w:shd w:val="clear" w:color="auto" w:fill="auto"/>
            <w:vAlign w:val="bottom"/>
          </w:tcPr>
          <w:p w14:paraId="3288C5BE" w14:textId="77777777" w:rsidR="00721CFD" w:rsidRPr="003959B0" w:rsidRDefault="00721CFD" w:rsidP="007B5BB3">
            <w:pPr>
              <w:jc w:val="right"/>
              <w:rPr>
                <w:rFonts w:ascii="Calibri" w:eastAsia="Times New Roman" w:hAnsi="Calibri" w:cs="Calibri"/>
              </w:rPr>
            </w:pPr>
            <w:r w:rsidRPr="003959B0">
              <w:rPr>
                <w:rFonts w:ascii="Calibri" w:eastAsia="Times New Roman" w:hAnsi="Calibri" w:cs="Calibri"/>
              </w:rPr>
              <w:t>$(2,388)</w:t>
            </w:r>
          </w:p>
        </w:tc>
        <w:tc>
          <w:tcPr>
            <w:tcW w:w="891" w:type="dxa"/>
            <w:tcBorders>
              <w:top w:val="single" w:sz="4" w:space="0" w:color="00688D"/>
              <w:left w:val="nil"/>
              <w:bottom w:val="double" w:sz="6" w:space="0" w:color="00688D"/>
              <w:right w:val="nil"/>
            </w:tcBorders>
            <w:shd w:val="clear" w:color="auto" w:fill="D9D9D9" w:themeFill="background1" w:themeFillShade="D9"/>
            <w:vAlign w:val="bottom"/>
          </w:tcPr>
          <w:p w14:paraId="4416C7B1"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w:t>
            </w:r>
            <w:r>
              <w:rPr>
                <w:rFonts w:ascii="Calibri" w:eastAsia="Times New Roman" w:hAnsi="Calibri" w:cs="Calibri"/>
                <w:color w:val="0D0D0D"/>
              </w:rPr>
              <w:t>98</w:t>
            </w:r>
            <w:r w:rsidRPr="001B7651">
              <w:rPr>
                <w:rFonts w:ascii="Calibri" w:eastAsia="Times New Roman" w:hAnsi="Calibri" w:cs="Calibri"/>
                <w:color w:val="0D0D0D"/>
              </w:rPr>
              <w:t>)</w:t>
            </w:r>
          </w:p>
        </w:tc>
        <w:tc>
          <w:tcPr>
            <w:tcW w:w="891" w:type="dxa"/>
            <w:tcBorders>
              <w:top w:val="single" w:sz="4" w:space="0" w:color="00688D"/>
              <w:left w:val="nil"/>
              <w:bottom w:val="double" w:sz="6" w:space="0" w:color="00688D"/>
              <w:right w:val="nil"/>
            </w:tcBorders>
            <w:shd w:val="clear" w:color="000000" w:fill="FFFFFF"/>
            <w:noWrap/>
            <w:vAlign w:val="bottom"/>
            <w:hideMark/>
          </w:tcPr>
          <w:p w14:paraId="38F7AE96"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$(2,141)</w:t>
            </w:r>
          </w:p>
        </w:tc>
        <w:tc>
          <w:tcPr>
            <w:tcW w:w="955"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10F18FCE"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$(2,175)</w:t>
            </w:r>
          </w:p>
        </w:tc>
        <w:tc>
          <w:tcPr>
            <w:tcW w:w="900" w:type="dxa"/>
            <w:tcBorders>
              <w:top w:val="single" w:sz="4" w:space="0" w:color="00688D"/>
              <w:left w:val="nil"/>
              <w:bottom w:val="double" w:sz="6" w:space="0" w:color="00688D"/>
              <w:right w:val="nil"/>
            </w:tcBorders>
            <w:shd w:val="clear" w:color="000000" w:fill="FFFFFF"/>
            <w:noWrap/>
            <w:vAlign w:val="bottom"/>
            <w:hideMark/>
          </w:tcPr>
          <w:p w14:paraId="1E26871D"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$(1,972)</w:t>
            </w:r>
          </w:p>
        </w:tc>
        <w:tc>
          <w:tcPr>
            <w:tcW w:w="900"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471A1CA1"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$(2,084)</w:t>
            </w:r>
          </w:p>
        </w:tc>
        <w:tc>
          <w:tcPr>
            <w:tcW w:w="900" w:type="dxa"/>
            <w:tcBorders>
              <w:top w:val="single" w:sz="4" w:space="0" w:color="00688D"/>
              <w:left w:val="nil"/>
              <w:bottom w:val="double" w:sz="6" w:space="0" w:color="00688D"/>
              <w:right w:val="nil"/>
            </w:tcBorders>
            <w:shd w:val="clear" w:color="000000" w:fill="FFFFFF"/>
            <w:noWrap/>
            <w:vAlign w:val="bottom"/>
            <w:hideMark/>
          </w:tcPr>
          <w:p w14:paraId="4FC93610"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$(5,260)</w:t>
            </w:r>
          </w:p>
        </w:tc>
        <w:tc>
          <w:tcPr>
            <w:tcW w:w="900"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752BDB07"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$(3,114)</w:t>
            </w:r>
          </w:p>
        </w:tc>
      </w:tr>
      <w:tr w:rsidR="00721CFD" w:rsidRPr="001B7651" w14:paraId="072E8004" w14:textId="77777777" w:rsidTr="007B5BB3">
        <w:trPr>
          <w:trHeight w:val="301"/>
          <w:jc w:val="center"/>
        </w:trPr>
        <w:tc>
          <w:tcPr>
            <w:tcW w:w="4680" w:type="dxa"/>
            <w:tcBorders>
              <w:top w:val="nil"/>
              <w:left w:val="nil"/>
              <w:bottom w:val="nil"/>
              <w:right w:val="nil"/>
            </w:tcBorders>
            <w:shd w:val="clear" w:color="000000" w:fill="FFFFFF"/>
            <w:noWrap/>
            <w:vAlign w:val="bottom"/>
            <w:hideMark/>
          </w:tcPr>
          <w:p w14:paraId="46E265E6"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Covered payroll</w:t>
            </w:r>
          </w:p>
        </w:tc>
        <w:tc>
          <w:tcPr>
            <w:tcW w:w="891" w:type="dxa"/>
            <w:tcBorders>
              <w:top w:val="nil"/>
              <w:left w:val="nil"/>
              <w:bottom w:val="nil"/>
              <w:right w:val="nil"/>
            </w:tcBorders>
            <w:shd w:val="clear" w:color="auto" w:fill="auto"/>
            <w:vAlign w:val="bottom"/>
          </w:tcPr>
          <w:p w14:paraId="766BF0A2" w14:textId="77777777" w:rsidR="00721CFD" w:rsidRPr="003959B0" w:rsidRDefault="00721CFD" w:rsidP="007B5BB3">
            <w:pPr>
              <w:jc w:val="right"/>
              <w:rPr>
                <w:rFonts w:ascii="Calibri" w:eastAsia="Times New Roman" w:hAnsi="Calibri" w:cs="Calibri"/>
              </w:rPr>
            </w:pPr>
            <w:r w:rsidRPr="003959B0">
              <w:rPr>
                <w:rFonts w:ascii="Calibri" w:eastAsia="Times New Roman" w:hAnsi="Calibri" w:cs="Calibri"/>
              </w:rPr>
              <w:t>$59,119</w:t>
            </w:r>
          </w:p>
        </w:tc>
        <w:tc>
          <w:tcPr>
            <w:tcW w:w="891" w:type="dxa"/>
            <w:tcBorders>
              <w:top w:val="nil"/>
              <w:left w:val="nil"/>
              <w:bottom w:val="nil"/>
              <w:right w:val="nil"/>
            </w:tcBorders>
            <w:shd w:val="clear" w:color="auto" w:fill="D9D9D9" w:themeFill="background1" w:themeFillShade="D9"/>
            <w:vAlign w:val="bottom"/>
          </w:tcPr>
          <w:p w14:paraId="25FB6D04"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$6</w:t>
            </w:r>
            <w:r>
              <w:rPr>
                <w:rFonts w:ascii="Calibri" w:eastAsia="Times New Roman" w:hAnsi="Calibri" w:cs="Calibri"/>
                <w:color w:val="0D0D0D"/>
              </w:rPr>
              <w:t>2</w:t>
            </w:r>
            <w:r w:rsidRPr="001B7651">
              <w:rPr>
                <w:rFonts w:ascii="Calibri" w:eastAsia="Times New Roman" w:hAnsi="Calibri" w:cs="Calibri"/>
                <w:color w:val="0D0D0D"/>
              </w:rPr>
              <w:t>,</w:t>
            </w:r>
            <w:r>
              <w:rPr>
                <w:rFonts w:ascii="Calibri" w:eastAsia="Times New Roman" w:hAnsi="Calibri" w:cs="Calibri"/>
                <w:color w:val="0D0D0D"/>
              </w:rPr>
              <w:t>646</w:t>
            </w:r>
          </w:p>
        </w:tc>
        <w:tc>
          <w:tcPr>
            <w:tcW w:w="891" w:type="dxa"/>
            <w:tcBorders>
              <w:top w:val="nil"/>
              <w:left w:val="nil"/>
              <w:bottom w:val="nil"/>
              <w:right w:val="nil"/>
            </w:tcBorders>
            <w:shd w:val="clear" w:color="000000" w:fill="FFFFFF"/>
            <w:noWrap/>
            <w:vAlign w:val="bottom"/>
            <w:hideMark/>
          </w:tcPr>
          <w:p w14:paraId="3991F72A"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$67,303</w:t>
            </w:r>
          </w:p>
        </w:tc>
        <w:tc>
          <w:tcPr>
            <w:tcW w:w="955" w:type="dxa"/>
            <w:tcBorders>
              <w:top w:val="nil"/>
              <w:left w:val="nil"/>
              <w:bottom w:val="nil"/>
              <w:right w:val="nil"/>
            </w:tcBorders>
            <w:shd w:val="clear" w:color="auto" w:fill="D9D9D9" w:themeFill="background1" w:themeFillShade="D9"/>
            <w:noWrap/>
            <w:vAlign w:val="bottom"/>
            <w:hideMark/>
          </w:tcPr>
          <w:p w14:paraId="2FC3CF64"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$68,685</w:t>
            </w:r>
          </w:p>
        </w:tc>
        <w:tc>
          <w:tcPr>
            <w:tcW w:w="900" w:type="dxa"/>
            <w:tcBorders>
              <w:top w:val="nil"/>
              <w:left w:val="nil"/>
              <w:bottom w:val="nil"/>
              <w:right w:val="nil"/>
            </w:tcBorders>
            <w:shd w:val="clear" w:color="000000" w:fill="FFFFFF"/>
            <w:noWrap/>
            <w:vAlign w:val="bottom"/>
            <w:hideMark/>
          </w:tcPr>
          <w:p w14:paraId="05F7ED99"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$72,541</w:t>
            </w:r>
          </w:p>
        </w:tc>
        <w:tc>
          <w:tcPr>
            <w:tcW w:w="900" w:type="dxa"/>
            <w:tcBorders>
              <w:top w:val="nil"/>
              <w:left w:val="nil"/>
              <w:bottom w:val="nil"/>
              <w:right w:val="nil"/>
            </w:tcBorders>
            <w:shd w:val="clear" w:color="auto" w:fill="D9D9D9" w:themeFill="background1" w:themeFillShade="D9"/>
            <w:noWrap/>
            <w:vAlign w:val="bottom"/>
            <w:hideMark/>
          </w:tcPr>
          <w:p w14:paraId="1362B7E3"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$77,644</w:t>
            </w:r>
          </w:p>
        </w:tc>
        <w:tc>
          <w:tcPr>
            <w:tcW w:w="900" w:type="dxa"/>
            <w:tcBorders>
              <w:top w:val="nil"/>
              <w:left w:val="nil"/>
              <w:bottom w:val="nil"/>
              <w:right w:val="nil"/>
            </w:tcBorders>
            <w:shd w:val="clear" w:color="000000" w:fill="FFFFFF"/>
            <w:noWrap/>
            <w:vAlign w:val="bottom"/>
            <w:hideMark/>
          </w:tcPr>
          <w:p w14:paraId="4D3546DF"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$95,653</w:t>
            </w:r>
          </w:p>
        </w:tc>
        <w:tc>
          <w:tcPr>
            <w:tcW w:w="900" w:type="dxa"/>
            <w:tcBorders>
              <w:top w:val="nil"/>
              <w:left w:val="nil"/>
              <w:bottom w:val="nil"/>
              <w:right w:val="nil"/>
            </w:tcBorders>
            <w:shd w:val="clear" w:color="auto" w:fill="D9D9D9" w:themeFill="background1" w:themeFillShade="D9"/>
            <w:noWrap/>
            <w:vAlign w:val="bottom"/>
            <w:hideMark/>
          </w:tcPr>
          <w:p w14:paraId="0FECB6D3"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$92,419</w:t>
            </w:r>
          </w:p>
        </w:tc>
      </w:tr>
      <w:tr w:rsidR="00721CFD" w:rsidRPr="001B7651" w14:paraId="4CA29394" w14:textId="77777777" w:rsidTr="007B5BB3">
        <w:trPr>
          <w:trHeight w:val="289"/>
          <w:jc w:val="center"/>
        </w:trPr>
        <w:tc>
          <w:tcPr>
            <w:tcW w:w="4680" w:type="dxa"/>
            <w:tcBorders>
              <w:top w:val="nil"/>
              <w:left w:val="nil"/>
              <w:bottom w:val="single" w:sz="4" w:space="0" w:color="00688D"/>
              <w:right w:val="nil"/>
            </w:tcBorders>
            <w:shd w:val="clear" w:color="000000" w:fill="FFFFFF"/>
            <w:vAlign w:val="center"/>
            <w:hideMark/>
          </w:tcPr>
          <w:p w14:paraId="1DF1D83F"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Contributions as a percentage of covered payroll</w:t>
            </w:r>
          </w:p>
        </w:tc>
        <w:tc>
          <w:tcPr>
            <w:tcW w:w="891" w:type="dxa"/>
            <w:tcBorders>
              <w:top w:val="nil"/>
              <w:left w:val="nil"/>
              <w:bottom w:val="single" w:sz="4" w:space="0" w:color="00688D"/>
              <w:right w:val="nil"/>
            </w:tcBorders>
            <w:shd w:val="clear" w:color="auto" w:fill="auto"/>
            <w:vAlign w:val="bottom"/>
          </w:tcPr>
          <w:p w14:paraId="6201A49A" w14:textId="77777777" w:rsidR="00721CFD" w:rsidRPr="003959B0" w:rsidRDefault="00721CFD" w:rsidP="007B5BB3">
            <w:pPr>
              <w:jc w:val="right"/>
              <w:rPr>
                <w:rFonts w:ascii="Calibri" w:eastAsia="Times New Roman" w:hAnsi="Calibri" w:cs="Calibri"/>
              </w:rPr>
            </w:pPr>
            <w:r w:rsidRPr="003959B0">
              <w:rPr>
                <w:rFonts w:ascii="Calibri" w:eastAsia="Times New Roman" w:hAnsi="Calibri" w:cs="Calibri"/>
              </w:rPr>
              <w:t>4.04%</w:t>
            </w:r>
          </w:p>
        </w:tc>
        <w:tc>
          <w:tcPr>
            <w:tcW w:w="891" w:type="dxa"/>
            <w:tcBorders>
              <w:top w:val="nil"/>
              <w:left w:val="nil"/>
              <w:bottom w:val="single" w:sz="4" w:space="0" w:color="00688D"/>
              <w:right w:val="nil"/>
            </w:tcBorders>
            <w:shd w:val="clear" w:color="auto" w:fill="D9D9D9" w:themeFill="background1" w:themeFillShade="D9"/>
            <w:vAlign w:val="bottom"/>
          </w:tcPr>
          <w:p w14:paraId="74149F3A"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3.</w:t>
            </w:r>
            <w:r>
              <w:rPr>
                <w:rFonts w:ascii="Calibri" w:eastAsia="Times New Roman" w:hAnsi="Calibri" w:cs="Calibri"/>
                <w:color w:val="0D0D0D"/>
              </w:rPr>
              <w:t>51</w:t>
            </w:r>
            <w:r w:rsidRPr="001B7651">
              <w:rPr>
                <w:rFonts w:ascii="Calibri" w:eastAsia="Times New Roman" w:hAnsi="Calibri" w:cs="Calibri"/>
                <w:color w:val="0D0D0D"/>
              </w:rPr>
              <w:t>%</w:t>
            </w:r>
          </w:p>
        </w:tc>
        <w:tc>
          <w:tcPr>
            <w:tcW w:w="891" w:type="dxa"/>
            <w:tcBorders>
              <w:top w:val="nil"/>
              <w:left w:val="nil"/>
              <w:bottom w:val="single" w:sz="4" w:space="0" w:color="00688D"/>
              <w:right w:val="nil"/>
            </w:tcBorders>
            <w:shd w:val="clear" w:color="000000" w:fill="FFFFFF"/>
            <w:noWrap/>
            <w:vAlign w:val="bottom"/>
            <w:hideMark/>
          </w:tcPr>
          <w:p w14:paraId="562D7ADE"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3.18%</w:t>
            </w:r>
          </w:p>
        </w:tc>
        <w:tc>
          <w:tcPr>
            <w:tcW w:w="955" w:type="dxa"/>
            <w:tcBorders>
              <w:top w:val="nil"/>
              <w:left w:val="nil"/>
              <w:bottom w:val="single" w:sz="4" w:space="0" w:color="00688D"/>
              <w:right w:val="nil"/>
            </w:tcBorders>
            <w:shd w:val="clear" w:color="auto" w:fill="D9D9D9" w:themeFill="background1" w:themeFillShade="D9"/>
            <w:noWrap/>
            <w:vAlign w:val="bottom"/>
            <w:hideMark/>
          </w:tcPr>
          <w:p w14:paraId="29CF67CC"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3.17%</w:t>
            </w:r>
          </w:p>
        </w:tc>
        <w:tc>
          <w:tcPr>
            <w:tcW w:w="900" w:type="dxa"/>
            <w:tcBorders>
              <w:top w:val="nil"/>
              <w:left w:val="nil"/>
              <w:bottom w:val="single" w:sz="4" w:space="0" w:color="00688D"/>
              <w:right w:val="nil"/>
            </w:tcBorders>
            <w:shd w:val="clear" w:color="000000" w:fill="FFFFFF"/>
            <w:noWrap/>
            <w:vAlign w:val="bottom"/>
            <w:hideMark/>
          </w:tcPr>
          <w:p w14:paraId="14CDCC16"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2.72%</w:t>
            </w:r>
          </w:p>
        </w:tc>
        <w:tc>
          <w:tcPr>
            <w:tcW w:w="900" w:type="dxa"/>
            <w:tcBorders>
              <w:top w:val="nil"/>
              <w:left w:val="nil"/>
              <w:bottom w:val="single" w:sz="4" w:space="0" w:color="00688D"/>
              <w:right w:val="nil"/>
            </w:tcBorders>
            <w:shd w:val="clear" w:color="auto" w:fill="D9D9D9" w:themeFill="background1" w:themeFillShade="D9"/>
            <w:noWrap/>
            <w:vAlign w:val="bottom"/>
            <w:hideMark/>
          </w:tcPr>
          <w:p w14:paraId="361B2CB4"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2.68%</w:t>
            </w:r>
          </w:p>
        </w:tc>
        <w:tc>
          <w:tcPr>
            <w:tcW w:w="900" w:type="dxa"/>
            <w:tcBorders>
              <w:top w:val="nil"/>
              <w:left w:val="nil"/>
              <w:bottom w:val="single" w:sz="4" w:space="0" w:color="00688D"/>
              <w:right w:val="nil"/>
            </w:tcBorders>
            <w:shd w:val="clear" w:color="000000" w:fill="FFFFFF"/>
            <w:noWrap/>
            <w:vAlign w:val="bottom"/>
            <w:hideMark/>
          </w:tcPr>
          <w:p w14:paraId="4B8EBE85"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5.50%</w:t>
            </w:r>
          </w:p>
        </w:tc>
        <w:tc>
          <w:tcPr>
            <w:tcW w:w="900" w:type="dxa"/>
            <w:tcBorders>
              <w:top w:val="nil"/>
              <w:left w:val="nil"/>
              <w:bottom w:val="single" w:sz="4" w:space="0" w:color="00688D"/>
              <w:right w:val="nil"/>
            </w:tcBorders>
            <w:shd w:val="clear" w:color="auto" w:fill="D9D9D9" w:themeFill="background1" w:themeFillShade="D9"/>
            <w:noWrap/>
            <w:vAlign w:val="bottom"/>
            <w:hideMark/>
          </w:tcPr>
          <w:p w14:paraId="3E2FD8F2" w14:textId="77777777"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3.37%</w:t>
            </w:r>
          </w:p>
        </w:tc>
      </w:tr>
    </w:tbl>
    <w:p w14:paraId="1404828A" w14:textId="77777777" w:rsidR="00721CFD" w:rsidRPr="00877A9B" w:rsidRDefault="00721CFD" w:rsidP="00721CFD">
      <w:pPr>
        <w:rPr>
          <w:rFonts w:eastAsia="Franklin Gothic Book" w:cstheme="minorHAnsi"/>
          <w:b/>
          <w:sz w:val="2"/>
          <w:szCs w:val="28"/>
        </w:rPr>
        <w:sectPr w:rsidR="00721CFD" w:rsidRPr="00877A9B" w:rsidSect="007B5BB3">
          <w:headerReference w:type="default" r:id="rId81"/>
          <w:headerReference w:type="first" r:id="rId82"/>
          <w:footerReference w:type="first" r:id="rId83"/>
          <w:pgSz w:w="15840" w:h="12240" w:orient="landscape" w:code="1"/>
          <w:pgMar w:top="1440" w:right="1440" w:bottom="1440" w:left="1440" w:header="720" w:footer="720" w:gutter="0"/>
          <w:cols w:space="0"/>
          <w:titlePg/>
          <w:docGrid w:linePitch="360"/>
        </w:sectPr>
      </w:pPr>
    </w:p>
    <w:p w14:paraId="0C109F95" w14:textId="77777777" w:rsidR="00721CFD" w:rsidRPr="0023665A" w:rsidRDefault="00721CFD" w:rsidP="00721CFD">
      <w:pPr>
        <w:pStyle w:val="AFR4"/>
        <w:spacing w:after="240"/>
        <w:rPr>
          <w:rFonts w:eastAsiaTheme="majorEastAsia" w:cstheme="minorHAnsi"/>
          <w:sz w:val="26"/>
          <w:szCs w:val="26"/>
        </w:rPr>
      </w:pPr>
      <w:r w:rsidRPr="0023665A">
        <w:rPr>
          <w:rFonts w:eastAsiaTheme="majorEastAsia" w:cstheme="minorHAnsi"/>
          <w:i/>
          <w:iCs/>
          <w:smallCaps/>
          <w:noProof/>
          <w:color w:val="000000" w:themeColor="text1"/>
          <w:sz w:val="26"/>
          <w:szCs w:val="26"/>
          <w:u w:val="none" w:color="5B9BD5"/>
        </w:rPr>
        <w:lastRenderedPageBreak/>
        <w:t>Incentive Retirement Plan – continued:</w:t>
      </w:r>
    </w:p>
    <w:p w14:paraId="74C6DA7D" w14:textId="77777777" w:rsidR="00721CFD" w:rsidRDefault="00721CFD" w:rsidP="00721CFD">
      <w:pPr>
        <w:pStyle w:val="Heading3"/>
        <w:rPr>
          <w:rFonts w:asciiTheme="minorHAnsi" w:hAnsiTheme="minorHAnsi" w:cstheme="minorHAnsi"/>
        </w:rPr>
      </w:pPr>
      <w:r w:rsidRPr="00F54559">
        <w:rPr>
          <w:rFonts w:asciiTheme="minorHAnsi" w:hAnsiTheme="minorHAnsi" w:cstheme="minorHAnsi"/>
        </w:rPr>
        <w:t>Notes</w:t>
      </w:r>
      <w:r w:rsidRPr="00F54559">
        <w:rPr>
          <w:rFonts w:asciiTheme="minorHAnsi" w:hAnsiTheme="minorHAnsi" w:cstheme="minorHAnsi"/>
          <w:spacing w:val="-1"/>
        </w:rPr>
        <w:t xml:space="preserve"> </w:t>
      </w:r>
      <w:r w:rsidRPr="00F54559">
        <w:rPr>
          <w:rFonts w:asciiTheme="minorHAnsi" w:hAnsiTheme="minorHAnsi" w:cstheme="minorHAnsi"/>
        </w:rPr>
        <w:t>to</w:t>
      </w:r>
      <w:r w:rsidRPr="00F54559">
        <w:rPr>
          <w:rFonts w:asciiTheme="minorHAnsi" w:hAnsiTheme="minorHAnsi" w:cstheme="minorHAnsi"/>
          <w:spacing w:val="-2"/>
        </w:rPr>
        <w:t xml:space="preserve"> </w:t>
      </w:r>
      <w:r w:rsidRPr="00F54559">
        <w:rPr>
          <w:rFonts w:asciiTheme="minorHAnsi" w:hAnsiTheme="minorHAnsi" w:cstheme="minorHAnsi"/>
          <w:spacing w:val="2"/>
        </w:rPr>
        <w:t>R</w:t>
      </w:r>
      <w:r w:rsidRPr="00F54559">
        <w:rPr>
          <w:rFonts w:asciiTheme="minorHAnsi" w:hAnsiTheme="minorHAnsi" w:cstheme="minorHAnsi"/>
        </w:rPr>
        <w:t>eq</w:t>
      </w:r>
      <w:r w:rsidRPr="00F54559">
        <w:rPr>
          <w:rFonts w:asciiTheme="minorHAnsi" w:hAnsiTheme="minorHAnsi" w:cstheme="minorHAnsi"/>
          <w:spacing w:val="2"/>
        </w:rPr>
        <w:t>ui</w:t>
      </w:r>
      <w:r w:rsidRPr="00F54559">
        <w:rPr>
          <w:rFonts w:asciiTheme="minorHAnsi" w:hAnsiTheme="minorHAnsi" w:cstheme="minorHAnsi"/>
        </w:rPr>
        <w:t>red</w:t>
      </w:r>
      <w:r w:rsidRPr="00F54559">
        <w:rPr>
          <w:rFonts w:asciiTheme="minorHAnsi" w:hAnsiTheme="minorHAnsi" w:cstheme="minorHAnsi"/>
          <w:spacing w:val="-2"/>
        </w:rPr>
        <w:t xml:space="preserve"> </w:t>
      </w:r>
      <w:r w:rsidRPr="00F54559">
        <w:rPr>
          <w:rFonts w:asciiTheme="minorHAnsi" w:hAnsiTheme="minorHAnsi" w:cstheme="minorHAnsi"/>
        </w:rPr>
        <w:t>S</w:t>
      </w:r>
      <w:r w:rsidRPr="00F54559">
        <w:rPr>
          <w:rFonts w:asciiTheme="minorHAnsi" w:hAnsiTheme="minorHAnsi" w:cstheme="minorHAnsi"/>
          <w:spacing w:val="2"/>
        </w:rPr>
        <w:t>u</w:t>
      </w:r>
      <w:r w:rsidRPr="00F54559">
        <w:rPr>
          <w:rFonts w:asciiTheme="minorHAnsi" w:hAnsiTheme="minorHAnsi" w:cstheme="minorHAnsi"/>
        </w:rPr>
        <w:t>pp</w:t>
      </w:r>
      <w:r w:rsidRPr="00F54559">
        <w:rPr>
          <w:rFonts w:asciiTheme="minorHAnsi" w:hAnsiTheme="minorHAnsi" w:cstheme="minorHAnsi"/>
          <w:spacing w:val="2"/>
        </w:rPr>
        <w:t>l</w:t>
      </w:r>
      <w:r w:rsidRPr="00F54559">
        <w:rPr>
          <w:rFonts w:asciiTheme="minorHAnsi" w:hAnsiTheme="minorHAnsi" w:cstheme="minorHAnsi"/>
        </w:rPr>
        <w:t>eme</w:t>
      </w:r>
      <w:r w:rsidRPr="00F54559">
        <w:rPr>
          <w:rFonts w:asciiTheme="minorHAnsi" w:hAnsiTheme="minorHAnsi" w:cstheme="minorHAnsi"/>
          <w:spacing w:val="2"/>
        </w:rPr>
        <w:t>n</w:t>
      </w:r>
      <w:r w:rsidRPr="00F54559">
        <w:rPr>
          <w:rFonts w:asciiTheme="minorHAnsi" w:hAnsiTheme="minorHAnsi" w:cstheme="minorHAnsi"/>
        </w:rPr>
        <w:t>t</w:t>
      </w:r>
      <w:r w:rsidRPr="00F54559">
        <w:rPr>
          <w:rFonts w:asciiTheme="minorHAnsi" w:hAnsiTheme="minorHAnsi" w:cstheme="minorHAnsi"/>
          <w:spacing w:val="2"/>
        </w:rPr>
        <w:t>a</w:t>
      </w:r>
      <w:r w:rsidRPr="00F54559">
        <w:rPr>
          <w:rFonts w:asciiTheme="minorHAnsi" w:hAnsiTheme="minorHAnsi" w:cstheme="minorHAnsi"/>
        </w:rPr>
        <w:t xml:space="preserve">ry </w:t>
      </w:r>
      <w:r w:rsidRPr="00F54559">
        <w:rPr>
          <w:rFonts w:asciiTheme="minorHAnsi" w:hAnsiTheme="minorHAnsi" w:cstheme="minorHAnsi"/>
          <w:spacing w:val="2"/>
        </w:rPr>
        <w:t>Inf</w:t>
      </w:r>
      <w:r w:rsidRPr="00F54559">
        <w:rPr>
          <w:rFonts w:asciiTheme="minorHAnsi" w:hAnsiTheme="minorHAnsi" w:cstheme="minorHAnsi"/>
        </w:rPr>
        <w:t>orm</w:t>
      </w:r>
      <w:r w:rsidRPr="00F54559">
        <w:rPr>
          <w:rFonts w:asciiTheme="minorHAnsi" w:hAnsiTheme="minorHAnsi" w:cstheme="minorHAnsi"/>
          <w:spacing w:val="2"/>
        </w:rPr>
        <w:t>a</w:t>
      </w:r>
      <w:r w:rsidRPr="00F54559">
        <w:rPr>
          <w:rFonts w:asciiTheme="minorHAnsi" w:hAnsiTheme="minorHAnsi" w:cstheme="minorHAnsi"/>
        </w:rPr>
        <w:t>t</w:t>
      </w:r>
      <w:r w:rsidRPr="00F54559">
        <w:rPr>
          <w:rFonts w:asciiTheme="minorHAnsi" w:hAnsiTheme="minorHAnsi" w:cstheme="minorHAnsi"/>
          <w:spacing w:val="2"/>
        </w:rPr>
        <w:t>i</w:t>
      </w:r>
      <w:r w:rsidRPr="00F54559">
        <w:rPr>
          <w:rFonts w:asciiTheme="minorHAnsi" w:hAnsiTheme="minorHAnsi" w:cstheme="minorHAnsi"/>
        </w:rPr>
        <w:t>on:</w:t>
      </w:r>
    </w:p>
    <w:p w14:paraId="0BB8D291" w14:textId="77777777" w:rsidR="00721CFD" w:rsidRDefault="00721CFD" w:rsidP="00721CFD">
      <w:pPr>
        <w:rPr>
          <w:rFonts w:cstheme="minorHAnsi"/>
          <w:sz w:val="24"/>
          <w:szCs w:val="24"/>
        </w:rPr>
      </w:pPr>
      <w:r w:rsidRPr="00BC1813">
        <w:rPr>
          <w:rFonts w:cstheme="minorHAnsi"/>
          <w:i/>
          <w:sz w:val="24"/>
          <w:szCs w:val="24"/>
        </w:rPr>
        <w:t>Changes of benefit terms:</w:t>
      </w:r>
      <w:r w:rsidRPr="00BC1813">
        <w:rPr>
          <w:rFonts w:cstheme="minorHAnsi"/>
          <w:sz w:val="24"/>
          <w:szCs w:val="24"/>
        </w:rPr>
        <w:t xml:space="preserve"> None</w:t>
      </w:r>
      <w:r>
        <w:rPr>
          <w:rFonts w:cstheme="minorHAnsi"/>
          <w:sz w:val="24"/>
          <w:szCs w:val="24"/>
        </w:rPr>
        <w:t>.</w:t>
      </w:r>
    </w:p>
    <w:p w14:paraId="4C72C08B" w14:textId="77777777" w:rsidR="00721CFD" w:rsidRDefault="00721CFD" w:rsidP="00721CFD">
      <w:pPr>
        <w:rPr>
          <w:rFonts w:cstheme="minorHAnsi"/>
          <w:sz w:val="24"/>
          <w:szCs w:val="24"/>
        </w:rPr>
      </w:pPr>
    </w:p>
    <w:p w14:paraId="6951735A" w14:textId="77777777" w:rsidR="00721CFD" w:rsidRPr="009877EB" w:rsidRDefault="00721CFD" w:rsidP="00721CFD">
      <w:pPr>
        <w:rPr>
          <w:rFonts w:cstheme="minorHAnsi"/>
          <w:i/>
          <w:sz w:val="24"/>
          <w:szCs w:val="24"/>
        </w:rPr>
      </w:pPr>
      <w:r w:rsidRPr="009877EB">
        <w:rPr>
          <w:rFonts w:cstheme="minorHAnsi"/>
          <w:i/>
          <w:sz w:val="24"/>
          <w:szCs w:val="24"/>
        </w:rPr>
        <w:t>Changes of assumptions and other inputs:</w:t>
      </w:r>
    </w:p>
    <w:p w14:paraId="74C3423F" w14:textId="77777777" w:rsidR="00721CFD" w:rsidRPr="009877EB" w:rsidRDefault="00721CFD" w:rsidP="00721CFD">
      <w:pPr>
        <w:rPr>
          <w:rFonts w:cstheme="minorHAnsi"/>
          <w:sz w:val="12"/>
          <w:szCs w:val="24"/>
        </w:rPr>
      </w:pPr>
    </w:p>
    <w:p w14:paraId="01D16313" w14:textId="77777777" w:rsidR="00721CFD" w:rsidRPr="009877EB" w:rsidRDefault="00721CFD" w:rsidP="00721CFD">
      <w:pPr>
        <w:widowControl w:val="0"/>
        <w:tabs>
          <w:tab w:val="left" w:pos="810"/>
        </w:tabs>
        <w:ind w:left="720" w:hanging="720"/>
        <w:rPr>
          <w:rFonts w:eastAsia="Franklin Gothic Book" w:cstheme="minorHAnsi"/>
          <w:spacing w:val="-1"/>
          <w:sz w:val="24"/>
          <w:szCs w:val="24"/>
        </w:rPr>
      </w:pPr>
      <w:r w:rsidRPr="009877EB">
        <w:rPr>
          <w:rFonts w:eastAsia="Franklin Gothic Book" w:cstheme="minorHAnsi"/>
          <w:spacing w:val="-1"/>
          <w:sz w:val="24"/>
          <w:szCs w:val="24"/>
        </w:rPr>
        <w:t>2022:</w:t>
      </w:r>
      <w:r w:rsidRPr="009877EB">
        <w:rPr>
          <w:rFonts w:eastAsia="Franklin Gothic Book" w:cstheme="minorHAnsi"/>
          <w:spacing w:val="-1"/>
          <w:sz w:val="24"/>
          <w:szCs w:val="24"/>
        </w:rPr>
        <w:tab/>
      </w:r>
      <w:r w:rsidRPr="003959B0">
        <w:rPr>
          <w:rFonts w:eastAsia="Franklin Gothic Book" w:cstheme="minorHAnsi"/>
          <w:spacing w:val="-1"/>
          <w:sz w:val="24"/>
          <w:szCs w:val="24"/>
        </w:rPr>
        <w:t>The discount rate changed from 2.16% as of the beginning of the measurement period to 3.54% as of the end of the measurement period.</w:t>
      </w:r>
    </w:p>
    <w:p w14:paraId="58D290DD" w14:textId="77777777" w:rsidR="00721CFD" w:rsidRPr="009877EB" w:rsidRDefault="00721CFD" w:rsidP="00721CFD">
      <w:pPr>
        <w:widowControl w:val="0"/>
        <w:tabs>
          <w:tab w:val="left" w:pos="810"/>
        </w:tabs>
        <w:ind w:left="720" w:hanging="720"/>
        <w:rPr>
          <w:rFonts w:eastAsia="Franklin Gothic Book" w:cstheme="minorHAnsi"/>
          <w:spacing w:val="-1"/>
          <w:sz w:val="24"/>
          <w:szCs w:val="24"/>
        </w:rPr>
      </w:pPr>
      <w:r w:rsidRPr="009877EB">
        <w:rPr>
          <w:rFonts w:eastAsia="Franklin Gothic Book" w:cstheme="minorHAnsi"/>
          <w:spacing w:val="-1"/>
          <w:sz w:val="24"/>
          <w:szCs w:val="24"/>
        </w:rPr>
        <w:t>2021:</w:t>
      </w:r>
      <w:r w:rsidRPr="009877EB">
        <w:rPr>
          <w:rFonts w:eastAsia="Franklin Gothic Book" w:cstheme="minorHAnsi"/>
          <w:spacing w:val="-1"/>
          <w:sz w:val="24"/>
          <w:szCs w:val="24"/>
        </w:rPr>
        <w:tab/>
        <w:t>The discount rate changed from 2.21% as of the beginning of the measurement period to 2.16% as of the end of the measurement period. In addition, th</w:t>
      </w:r>
      <w:r w:rsidRPr="009877EB">
        <w:rPr>
          <w:rFonts w:cstheme="minorHAnsi"/>
          <w:sz w:val="24"/>
          <w:szCs w:val="24"/>
        </w:rPr>
        <w:t>e mortality tables were updated to the Pub-2010 mortality tables with mortality improvement scale MP-2020.</w:t>
      </w:r>
    </w:p>
    <w:p w14:paraId="210C5AA3" w14:textId="77777777" w:rsidR="00721CFD" w:rsidRPr="009877EB" w:rsidRDefault="00721CFD" w:rsidP="00721CFD">
      <w:pPr>
        <w:widowControl w:val="0"/>
        <w:tabs>
          <w:tab w:val="left" w:pos="810"/>
        </w:tabs>
        <w:ind w:left="720" w:hanging="720"/>
        <w:rPr>
          <w:rFonts w:eastAsia="Franklin Gothic Book" w:cstheme="minorHAnsi"/>
          <w:spacing w:val="-1"/>
          <w:sz w:val="24"/>
          <w:szCs w:val="24"/>
        </w:rPr>
      </w:pPr>
      <w:r w:rsidRPr="009877EB">
        <w:rPr>
          <w:rFonts w:eastAsia="Franklin Gothic Book" w:cstheme="minorHAnsi"/>
          <w:spacing w:val="-1"/>
          <w:sz w:val="24"/>
          <w:szCs w:val="24"/>
        </w:rPr>
        <w:t xml:space="preserve">2020: </w:t>
      </w:r>
      <w:r w:rsidRPr="009877EB">
        <w:rPr>
          <w:rFonts w:eastAsia="Franklin Gothic Book" w:cstheme="minorHAnsi"/>
          <w:spacing w:val="-1"/>
          <w:sz w:val="24"/>
          <w:szCs w:val="24"/>
        </w:rPr>
        <w:tab/>
        <w:t>The discount rate changed from 3.5% as of the beginning of the measurement period to 2.21% as of the end of the measurement period.</w:t>
      </w:r>
    </w:p>
    <w:p w14:paraId="71FDDC5B" w14:textId="77777777" w:rsidR="00721CFD" w:rsidRPr="009877EB" w:rsidRDefault="00721CFD" w:rsidP="00721CFD">
      <w:pPr>
        <w:widowControl w:val="0"/>
        <w:tabs>
          <w:tab w:val="left" w:pos="810"/>
        </w:tabs>
        <w:ind w:left="720" w:hanging="720"/>
        <w:rPr>
          <w:rFonts w:eastAsia="Franklin Gothic Book" w:cstheme="minorHAnsi"/>
          <w:spacing w:val="-1"/>
          <w:sz w:val="24"/>
          <w:szCs w:val="24"/>
        </w:rPr>
      </w:pPr>
      <w:r w:rsidRPr="009877EB">
        <w:rPr>
          <w:rFonts w:eastAsia="Franklin Gothic Book" w:cstheme="minorHAnsi"/>
          <w:spacing w:val="-1"/>
          <w:sz w:val="24"/>
          <w:szCs w:val="24"/>
        </w:rPr>
        <w:t xml:space="preserve">2019: </w:t>
      </w:r>
      <w:r w:rsidRPr="009877EB">
        <w:rPr>
          <w:rFonts w:eastAsia="Franklin Gothic Book" w:cstheme="minorHAnsi"/>
          <w:spacing w:val="-1"/>
          <w:sz w:val="24"/>
          <w:szCs w:val="24"/>
        </w:rPr>
        <w:tab/>
        <w:t>The discount rate changed from 3.87% as of the beginning of the measurement period to 3.5% as of the end of the measurement period.</w:t>
      </w:r>
    </w:p>
    <w:p w14:paraId="32FB714A" w14:textId="77777777" w:rsidR="00721CFD" w:rsidRPr="009877EB" w:rsidRDefault="00721CFD" w:rsidP="00721CFD">
      <w:pPr>
        <w:widowControl w:val="0"/>
        <w:tabs>
          <w:tab w:val="left" w:pos="810"/>
        </w:tabs>
        <w:ind w:left="720" w:hanging="720"/>
        <w:rPr>
          <w:rFonts w:eastAsia="Franklin Gothic Book" w:cstheme="minorHAnsi"/>
          <w:sz w:val="24"/>
          <w:szCs w:val="24"/>
        </w:rPr>
      </w:pPr>
      <w:r w:rsidRPr="009877EB">
        <w:rPr>
          <w:rFonts w:eastAsia="Franklin Gothic Book" w:cstheme="minorHAnsi"/>
          <w:spacing w:val="-1"/>
          <w:sz w:val="24"/>
          <w:szCs w:val="24"/>
        </w:rPr>
        <w:t xml:space="preserve">2018: </w:t>
      </w:r>
      <w:r w:rsidRPr="009877EB">
        <w:rPr>
          <w:rFonts w:eastAsia="Franklin Gothic Book" w:cstheme="minorHAnsi"/>
          <w:spacing w:val="-1"/>
          <w:sz w:val="24"/>
          <w:szCs w:val="24"/>
        </w:rPr>
        <w:tab/>
        <w:t>T</w:t>
      </w:r>
      <w:r w:rsidRPr="009877EB">
        <w:rPr>
          <w:rFonts w:eastAsia="Franklin Gothic Book" w:cstheme="minorHAnsi"/>
          <w:sz w:val="24"/>
          <w:szCs w:val="24"/>
        </w:rPr>
        <w:t>he</w:t>
      </w:r>
      <w:r w:rsidRPr="009877EB">
        <w:rPr>
          <w:rFonts w:eastAsia="Franklin Gothic Book" w:cstheme="minorHAnsi"/>
          <w:spacing w:val="9"/>
          <w:sz w:val="24"/>
          <w:szCs w:val="24"/>
        </w:rPr>
        <w:t xml:space="preserve"> </w:t>
      </w:r>
      <w:r w:rsidRPr="009877EB">
        <w:rPr>
          <w:rFonts w:eastAsia="Franklin Gothic Book" w:cstheme="minorHAnsi"/>
          <w:sz w:val="24"/>
          <w:szCs w:val="24"/>
        </w:rPr>
        <w:t>discount</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r</w:t>
      </w:r>
      <w:r w:rsidRPr="009877EB">
        <w:rPr>
          <w:rFonts w:eastAsia="Franklin Gothic Book" w:cstheme="minorHAnsi"/>
          <w:sz w:val="24"/>
          <w:szCs w:val="24"/>
        </w:rPr>
        <w:t>a</w:t>
      </w:r>
      <w:r w:rsidRPr="009877EB">
        <w:rPr>
          <w:rFonts w:eastAsia="Franklin Gothic Book" w:cstheme="minorHAnsi"/>
          <w:spacing w:val="1"/>
          <w:sz w:val="24"/>
          <w:szCs w:val="24"/>
        </w:rPr>
        <w:t>t</w:t>
      </w:r>
      <w:r w:rsidRPr="009877EB">
        <w:rPr>
          <w:rFonts w:eastAsia="Franklin Gothic Book" w:cstheme="minorHAnsi"/>
          <w:sz w:val="24"/>
          <w:szCs w:val="24"/>
        </w:rPr>
        <w:t>e</w:t>
      </w:r>
      <w:r w:rsidRPr="009877EB">
        <w:rPr>
          <w:rFonts w:eastAsia="Franklin Gothic Book" w:cstheme="minorHAnsi"/>
          <w:spacing w:val="9"/>
          <w:sz w:val="24"/>
          <w:szCs w:val="24"/>
        </w:rPr>
        <w:t xml:space="preserve"> </w:t>
      </w:r>
      <w:r w:rsidRPr="009877EB">
        <w:rPr>
          <w:rFonts w:eastAsia="Franklin Gothic Book" w:cstheme="minorHAnsi"/>
          <w:sz w:val="24"/>
          <w:szCs w:val="24"/>
        </w:rPr>
        <w:t>changed</w:t>
      </w:r>
      <w:r w:rsidRPr="009877EB">
        <w:rPr>
          <w:rFonts w:eastAsia="Franklin Gothic Book" w:cstheme="minorHAnsi"/>
          <w:spacing w:val="11"/>
          <w:sz w:val="24"/>
          <w:szCs w:val="24"/>
        </w:rPr>
        <w:t xml:space="preserve"> </w:t>
      </w:r>
      <w:r w:rsidRPr="009877EB">
        <w:rPr>
          <w:rFonts w:eastAsia="Franklin Gothic Book" w:cstheme="minorHAnsi"/>
          <w:sz w:val="24"/>
          <w:szCs w:val="24"/>
        </w:rPr>
        <w:t>f</w:t>
      </w:r>
      <w:r w:rsidRPr="009877EB">
        <w:rPr>
          <w:rFonts w:eastAsia="Franklin Gothic Book" w:cstheme="minorHAnsi"/>
          <w:spacing w:val="-1"/>
          <w:sz w:val="24"/>
          <w:szCs w:val="24"/>
        </w:rPr>
        <w:t>r</w:t>
      </w:r>
      <w:r w:rsidRPr="009877EB">
        <w:rPr>
          <w:rFonts w:eastAsia="Franklin Gothic Book" w:cstheme="minorHAnsi"/>
          <w:sz w:val="24"/>
          <w:szCs w:val="24"/>
        </w:rPr>
        <w:t>om</w:t>
      </w:r>
      <w:r w:rsidRPr="009877EB">
        <w:rPr>
          <w:rFonts w:eastAsia="Franklin Gothic Book" w:cstheme="minorHAnsi"/>
          <w:spacing w:val="11"/>
          <w:sz w:val="24"/>
          <w:szCs w:val="24"/>
        </w:rPr>
        <w:t xml:space="preserve"> </w:t>
      </w:r>
      <w:r w:rsidRPr="009877EB">
        <w:rPr>
          <w:rFonts w:eastAsia="Franklin Gothic Book" w:cstheme="minorHAnsi"/>
          <w:sz w:val="24"/>
          <w:szCs w:val="24"/>
        </w:rPr>
        <w:t>3.58%</w:t>
      </w:r>
      <w:r w:rsidRPr="009877EB">
        <w:rPr>
          <w:rFonts w:eastAsia="Franklin Gothic Book" w:cstheme="minorHAnsi"/>
          <w:spacing w:val="12"/>
          <w:sz w:val="24"/>
          <w:szCs w:val="24"/>
        </w:rPr>
        <w:t xml:space="preserve"> </w:t>
      </w:r>
      <w:r w:rsidRPr="009877EB">
        <w:rPr>
          <w:rFonts w:eastAsia="Franklin Gothic Book" w:cstheme="minorHAnsi"/>
          <w:sz w:val="24"/>
          <w:szCs w:val="24"/>
        </w:rPr>
        <w:t>as</w:t>
      </w:r>
      <w:r w:rsidRPr="009877EB">
        <w:rPr>
          <w:rFonts w:eastAsia="Franklin Gothic Book" w:cstheme="minorHAnsi"/>
          <w:spacing w:val="11"/>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11"/>
          <w:sz w:val="24"/>
          <w:szCs w:val="24"/>
        </w:rPr>
        <w:t xml:space="preserve"> </w:t>
      </w:r>
      <w:r w:rsidRPr="009877EB">
        <w:rPr>
          <w:rFonts w:eastAsia="Franklin Gothic Book" w:cstheme="minorHAnsi"/>
          <w:sz w:val="24"/>
          <w:szCs w:val="24"/>
        </w:rPr>
        <w:t>the</w:t>
      </w:r>
      <w:r w:rsidRPr="009877EB">
        <w:rPr>
          <w:rFonts w:eastAsia="Franklin Gothic Book" w:cstheme="minorHAnsi"/>
          <w:spacing w:val="10"/>
          <w:sz w:val="24"/>
          <w:szCs w:val="24"/>
        </w:rPr>
        <w:t xml:space="preserve"> </w:t>
      </w:r>
      <w:r w:rsidRPr="009877EB">
        <w:rPr>
          <w:rFonts w:eastAsia="Franklin Gothic Book" w:cstheme="minorHAnsi"/>
          <w:sz w:val="24"/>
          <w:szCs w:val="24"/>
        </w:rPr>
        <w:t>beginning</w:t>
      </w:r>
      <w:r w:rsidRPr="009877EB">
        <w:rPr>
          <w:rFonts w:eastAsia="Franklin Gothic Book" w:cstheme="minorHAnsi"/>
          <w:spacing w:val="11"/>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10"/>
          <w:sz w:val="24"/>
          <w:szCs w:val="24"/>
        </w:rPr>
        <w:t xml:space="preserve"> </w:t>
      </w:r>
      <w:r w:rsidRPr="009877EB">
        <w:rPr>
          <w:rFonts w:eastAsia="Franklin Gothic Book" w:cstheme="minorHAnsi"/>
          <w:sz w:val="24"/>
          <w:szCs w:val="24"/>
        </w:rPr>
        <w:t>the</w:t>
      </w:r>
      <w:r w:rsidRPr="009877EB">
        <w:rPr>
          <w:rFonts w:eastAsia="Franklin Gothic Book" w:cstheme="minorHAnsi"/>
          <w:spacing w:val="8"/>
          <w:sz w:val="24"/>
          <w:szCs w:val="24"/>
        </w:rPr>
        <w:t xml:space="preserve"> </w:t>
      </w:r>
      <w:r w:rsidRPr="009877EB">
        <w:rPr>
          <w:rFonts w:eastAsia="Franklin Gothic Book" w:cstheme="minorHAnsi"/>
          <w:sz w:val="24"/>
          <w:szCs w:val="24"/>
        </w:rPr>
        <w:t>measu</w:t>
      </w:r>
      <w:r w:rsidRPr="009877EB">
        <w:rPr>
          <w:rFonts w:eastAsia="Franklin Gothic Book" w:cstheme="minorHAnsi"/>
          <w:spacing w:val="-1"/>
          <w:sz w:val="24"/>
          <w:szCs w:val="24"/>
        </w:rPr>
        <w:t>r</w:t>
      </w:r>
      <w:r w:rsidRPr="009877EB">
        <w:rPr>
          <w:rFonts w:eastAsia="Franklin Gothic Book" w:cstheme="minorHAnsi"/>
          <w:sz w:val="24"/>
          <w:szCs w:val="24"/>
        </w:rPr>
        <w:t>ement</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p</w:t>
      </w:r>
      <w:r w:rsidRPr="009877EB">
        <w:rPr>
          <w:rFonts w:eastAsia="Franklin Gothic Book" w:cstheme="minorHAnsi"/>
          <w:sz w:val="24"/>
          <w:szCs w:val="24"/>
        </w:rPr>
        <w:t>e</w:t>
      </w:r>
      <w:r w:rsidRPr="009877EB">
        <w:rPr>
          <w:rFonts w:eastAsia="Franklin Gothic Book" w:cstheme="minorHAnsi"/>
          <w:spacing w:val="-2"/>
          <w:sz w:val="24"/>
          <w:szCs w:val="24"/>
        </w:rPr>
        <w:t>r</w:t>
      </w:r>
      <w:r w:rsidRPr="009877EB">
        <w:rPr>
          <w:rFonts w:eastAsia="Franklin Gothic Book" w:cstheme="minorHAnsi"/>
          <w:sz w:val="24"/>
          <w:szCs w:val="24"/>
        </w:rPr>
        <w:t>iod</w:t>
      </w:r>
      <w:r w:rsidRPr="009877EB">
        <w:rPr>
          <w:rFonts w:eastAsia="Franklin Gothic Book" w:cstheme="minorHAnsi"/>
          <w:spacing w:val="8"/>
          <w:sz w:val="24"/>
          <w:szCs w:val="24"/>
        </w:rPr>
        <w:t xml:space="preserve"> </w:t>
      </w:r>
      <w:r w:rsidRPr="009877EB">
        <w:rPr>
          <w:rFonts w:eastAsia="Franklin Gothic Book" w:cstheme="minorHAnsi"/>
          <w:spacing w:val="1"/>
          <w:sz w:val="24"/>
          <w:szCs w:val="24"/>
        </w:rPr>
        <w:t>t</w:t>
      </w:r>
      <w:r w:rsidRPr="009877EB">
        <w:rPr>
          <w:rFonts w:eastAsia="Franklin Gothic Book" w:cstheme="minorHAnsi"/>
          <w:sz w:val="24"/>
          <w:szCs w:val="24"/>
        </w:rPr>
        <w:t>o</w:t>
      </w:r>
      <w:r w:rsidRPr="009877EB">
        <w:rPr>
          <w:rFonts w:eastAsia="Franklin Gothic Book" w:cstheme="minorHAnsi"/>
          <w:spacing w:val="10"/>
          <w:sz w:val="24"/>
          <w:szCs w:val="24"/>
        </w:rPr>
        <w:t xml:space="preserve"> </w:t>
      </w:r>
      <w:r w:rsidRPr="009877EB">
        <w:rPr>
          <w:rFonts w:eastAsia="Franklin Gothic Book" w:cstheme="minorHAnsi"/>
          <w:sz w:val="24"/>
          <w:szCs w:val="24"/>
        </w:rPr>
        <w:t>3.87%</w:t>
      </w:r>
      <w:r w:rsidRPr="009877EB">
        <w:rPr>
          <w:rFonts w:eastAsia="Franklin Gothic Book" w:cstheme="minorHAnsi"/>
          <w:spacing w:val="8"/>
          <w:sz w:val="24"/>
          <w:szCs w:val="24"/>
        </w:rPr>
        <w:t xml:space="preserve"> </w:t>
      </w:r>
      <w:r w:rsidRPr="009877EB">
        <w:rPr>
          <w:rFonts w:eastAsia="Franklin Gothic Book" w:cstheme="minorHAnsi"/>
          <w:sz w:val="24"/>
          <w:szCs w:val="24"/>
        </w:rPr>
        <w:t>as</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8"/>
          <w:sz w:val="24"/>
          <w:szCs w:val="24"/>
        </w:rPr>
        <w:t xml:space="preserve"> </w:t>
      </w:r>
      <w:r w:rsidRPr="009877EB">
        <w:rPr>
          <w:rFonts w:eastAsia="Franklin Gothic Book" w:cstheme="minorHAnsi"/>
          <w:sz w:val="24"/>
          <w:szCs w:val="24"/>
        </w:rPr>
        <w:t>the</w:t>
      </w:r>
      <w:r w:rsidRPr="009877EB">
        <w:rPr>
          <w:rFonts w:eastAsia="Franklin Gothic Book" w:cstheme="minorHAnsi"/>
          <w:w w:val="99"/>
          <w:sz w:val="24"/>
          <w:szCs w:val="24"/>
        </w:rPr>
        <w:t xml:space="preserve"> </w:t>
      </w:r>
      <w:r w:rsidRPr="009877EB">
        <w:rPr>
          <w:rFonts w:eastAsia="Franklin Gothic Book" w:cstheme="minorHAnsi"/>
          <w:sz w:val="24"/>
          <w:szCs w:val="24"/>
        </w:rPr>
        <w:t>end</w:t>
      </w:r>
      <w:r w:rsidRPr="009877EB">
        <w:rPr>
          <w:rFonts w:eastAsia="Franklin Gothic Book" w:cstheme="minorHAnsi"/>
          <w:spacing w:val="-7"/>
          <w:sz w:val="24"/>
          <w:szCs w:val="24"/>
        </w:rPr>
        <w:t xml:space="preserve"> </w:t>
      </w:r>
      <w:r w:rsidRPr="009877EB">
        <w:rPr>
          <w:rFonts w:eastAsia="Franklin Gothic Book" w:cstheme="minorHAnsi"/>
          <w:sz w:val="24"/>
          <w:szCs w:val="24"/>
        </w:rPr>
        <w:t>of</w:t>
      </w:r>
      <w:r w:rsidRPr="009877EB">
        <w:rPr>
          <w:rFonts w:eastAsia="Franklin Gothic Book" w:cstheme="minorHAnsi"/>
          <w:spacing w:val="-7"/>
          <w:sz w:val="24"/>
          <w:szCs w:val="24"/>
        </w:rPr>
        <w:t xml:space="preserve"> </w:t>
      </w:r>
      <w:r w:rsidRPr="009877EB">
        <w:rPr>
          <w:rFonts w:eastAsia="Franklin Gothic Book" w:cstheme="minorHAnsi"/>
          <w:spacing w:val="1"/>
          <w:sz w:val="24"/>
          <w:szCs w:val="24"/>
        </w:rPr>
        <w:t>t</w:t>
      </w:r>
      <w:r w:rsidRPr="009877EB">
        <w:rPr>
          <w:rFonts w:eastAsia="Franklin Gothic Book" w:cstheme="minorHAnsi"/>
          <w:sz w:val="24"/>
          <w:szCs w:val="24"/>
        </w:rPr>
        <w:t>he</w:t>
      </w:r>
      <w:r w:rsidRPr="009877EB">
        <w:rPr>
          <w:rFonts w:eastAsia="Franklin Gothic Book" w:cstheme="minorHAnsi"/>
          <w:spacing w:val="-7"/>
          <w:sz w:val="24"/>
          <w:szCs w:val="24"/>
        </w:rPr>
        <w:t xml:space="preserve"> </w:t>
      </w:r>
      <w:r w:rsidRPr="009877EB">
        <w:rPr>
          <w:rFonts w:eastAsia="Franklin Gothic Book" w:cstheme="minorHAnsi"/>
          <w:spacing w:val="1"/>
          <w:sz w:val="24"/>
          <w:szCs w:val="24"/>
        </w:rPr>
        <w:t>m</w:t>
      </w:r>
      <w:r w:rsidRPr="009877EB">
        <w:rPr>
          <w:rFonts w:eastAsia="Franklin Gothic Book" w:cstheme="minorHAnsi"/>
          <w:sz w:val="24"/>
          <w:szCs w:val="24"/>
        </w:rPr>
        <w:t>easu</w:t>
      </w:r>
      <w:r w:rsidRPr="009877EB">
        <w:rPr>
          <w:rFonts w:eastAsia="Franklin Gothic Book" w:cstheme="minorHAnsi"/>
          <w:spacing w:val="-1"/>
          <w:sz w:val="24"/>
          <w:szCs w:val="24"/>
        </w:rPr>
        <w:t>r</w:t>
      </w:r>
      <w:r w:rsidRPr="009877EB">
        <w:rPr>
          <w:rFonts w:eastAsia="Franklin Gothic Book" w:cstheme="minorHAnsi"/>
          <w:sz w:val="24"/>
          <w:szCs w:val="24"/>
        </w:rPr>
        <w:t>ement</w:t>
      </w:r>
      <w:r w:rsidRPr="009877EB">
        <w:rPr>
          <w:rFonts w:eastAsia="Franklin Gothic Book" w:cstheme="minorHAnsi"/>
          <w:spacing w:val="-6"/>
          <w:sz w:val="24"/>
          <w:szCs w:val="24"/>
        </w:rPr>
        <w:t xml:space="preserve"> </w:t>
      </w:r>
      <w:r w:rsidRPr="009877EB">
        <w:rPr>
          <w:rFonts w:eastAsia="Franklin Gothic Book" w:cstheme="minorHAnsi"/>
          <w:spacing w:val="-1"/>
          <w:sz w:val="24"/>
          <w:szCs w:val="24"/>
        </w:rPr>
        <w:t>p</w:t>
      </w:r>
      <w:r w:rsidRPr="009877EB">
        <w:rPr>
          <w:rFonts w:eastAsia="Franklin Gothic Book" w:cstheme="minorHAnsi"/>
          <w:sz w:val="24"/>
          <w:szCs w:val="24"/>
        </w:rPr>
        <w:t>e</w:t>
      </w:r>
      <w:r w:rsidRPr="009877EB">
        <w:rPr>
          <w:rFonts w:eastAsia="Franklin Gothic Book" w:cstheme="minorHAnsi"/>
          <w:spacing w:val="-2"/>
          <w:sz w:val="24"/>
          <w:szCs w:val="24"/>
        </w:rPr>
        <w:t>r</w:t>
      </w:r>
      <w:r w:rsidRPr="009877EB">
        <w:rPr>
          <w:rFonts w:eastAsia="Franklin Gothic Book" w:cstheme="minorHAnsi"/>
          <w:sz w:val="24"/>
          <w:szCs w:val="24"/>
        </w:rPr>
        <w:t>iod.</w:t>
      </w:r>
    </w:p>
    <w:p w14:paraId="733602D0" w14:textId="77777777" w:rsidR="00721CFD" w:rsidRPr="009877EB" w:rsidRDefault="00721CFD" w:rsidP="00721CFD">
      <w:pPr>
        <w:ind w:left="720" w:hanging="720"/>
        <w:rPr>
          <w:rFonts w:eastAsia="Franklin Gothic Book" w:cstheme="minorHAnsi"/>
          <w:sz w:val="24"/>
          <w:szCs w:val="24"/>
        </w:rPr>
      </w:pPr>
      <w:r w:rsidRPr="009877EB">
        <w:rPr>
          <w:rFonts w:eastAsia="Franklin Gothic Book" w:cstheme="minorHAnsi"/>
          <w:spacing w:val="-1"/>
          <w:sz w:val="24"/>
          <w:szCs w:val="24"/>
        </w:rPr>
        <w:t xml:space="preserve">2017: </w:t>
      </w:r>
      <w:r w:rsidRPr="009877EB">
        <w:rPr>
          <w:rFonts w:eastAsia="Franklin Gothic Book" w:cstheme="minorHAnsi"/>
          <w:spacing w:val="-1"/>
          <w:sz w:val="24"/>
          <w:szCs w:val="24"/>
        </w:rPr>
        <w:tab/>
        <w:t>T</w:t>
      </w:r>
      <w:r w:rsidRPr="009877EB">
        <w:rPr>
          <w:rFonts w:eastAsia="Franklin Gothic Book" w:cstheme="minorHAnsi"/>
          <w:sz w:val="24"/>
          <w:szCs w:val="24"/>
        </w:rPr>
        <w:t>he</w:t>
      </w:r>
      <w:r w:rsidRPr="009877EB">
        <w:rPr>
          <w:rFonts w:eastAsia="Franklin Gothic Book" w:cstheme="minorHAnsi"/>
          <w:spacing w:val="9"/>
          <w:sz w:val="24"/>
          <w:szCs w:val="24"/>
        </w:rPr>
        <w:t xml:space="preserve"> </w:t>
      </w:r>
      <w:r w:rsidRPr="009877EB">
        <w:rPr>
          <w:rFonts w:eastAsia="Franklin Gothic Book" w:cstheme="minorHAnsi"/>
          <w:sz w:val="24"/>
          <w:szCs w:val="24"/>
        </w:rPr>
        <w:t>discount</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r</w:t>
      </w:r>
      <w:r w:rsidRPr="009877EB">
        <w:rPr>
          <w:rFonts w:eastAsia="Franklin Gothic Book" w:cstheme="minorHAnsi"/>
          <w:sz w:val="24"/>
          <w:szCs w:val="24"/>
        </w:rPr>
        <w:t>a</w:t>
      </w:r>
      <w:r w:rsidRPr="009877EB">
        <w:rPr>
          <w:rFonts w:eastAsia="Franklin Gothic Book" w:cstheme="minorHAnsi"/>
          <w:spacing w:val="1"/>
          <w:sz w:val="24"/>
          <w:szCs w:val="24"/>
        </w:rPr>
        <w:t>t</w:t>
      </w:r>
      <w:r w:rsidRPr="009877EB">
        <w:rPr>
          <w:rFonts w:eastAsia="Franklin Gothic Book" w:cstheme="minorHAnsi"/>
          <w:sz w:val="24"/>
          <w:szCs w:val="24"/>
        </w:rPr>
        <w:t>e</w:t>
      </w:r>
      <w:r w:rsidRPr="009877EB">
        <w:rPr>
          <w:rFonts w:eastAsia="Franklin Gothic Book" w:cstheme="minorHAnsi"/>
          <w:spacing w:val="9"/>
          <w:sz w:val="24"/>
          <w:szCs w:val="24"/>
        </w:rPr>
        <w:t xml:space="preserve"> </w:t>
      </w:r>
      <w:r w:rsidRPr="009877EB">
        <w:rPr>
          <w:rFonts w:eastAsia="Franklin Gothic Book" w:cstheme="minorHAnsi"/>
          <w:sz w:val="24"/>
          <w:szCs w:val="24"/>
        </w:rPr>
        <w:t>changed</w:t>
      </w:r>
      <w:r w:rsidRPr="009877EB">
        <w:rPr>
          <w:rFonts w:eastAsia="Franklin Gothic Book" w:cstheme="minorHAnsi"/>
          <w:spacing w:val="11"/>
          <w:sz w:val="24"/>
          <w:szCs w:val="24"/>
        </w:rPr>
        <w:t xml:space="preserve"> </w:t>
      </w:r>
      <w:r w:rsidRPr="009877EB">
        <w:rPr>
          <w:rFonts w:eastAsia="Franklin Gothic Book" w:cstheme="minorHAnsi"/>
          <w:sz w:val="24"/>
          <w:szCs w:val="24"/>
        </w:rPr>
        <w:t>f</w:t>
      </w:r>
      <w:r w:rsidRPr="009877EB">
        <w:rPr>
          <w:rFonts w:eastAsia="Franklin Gothic Book" w:cstheme="minorHAnsi"/>
          <w:spacing w:val="-1"/>
          <w:sz w:val="24"/>
          <w:szCs w:val="24"/>
        </w:rPr>
        <w:t>r</w:t>
      </w:r>
      <w:r w:rsidRPr="009877EB">
        <w:rPr>
          <w:rFonts w:eastAsia="Franklin Gothic Book" w:cstheme="minorHAnsi"/>
          <w:sz w:val="24"/>
          <w:szCs w:val="24"/>
        </w:rPr>
        <w:t>om</w:t>
      </w:r>
      <w:r w:rsidRPr="009877EB">
        <w:rPr>
          <w:rFonts w:eastAsia="Franklin Gothic Book" w:cstheme="minorHAnsi"/>
          <w:spacing w:val="11"/>
          <w:sz w:val="24"/>
          <w:szCs w:val="24"/>
        </w:rPr>
        <w:t xml:space="preserve"> </w:t>
      </w:r>
      <w:r w:rsidRPr="009877EB">
        <w:rPr>
          <w:rFonts w:eastAsia="Franklin Gothic Book" w:cstheme="minorHAnsi"/>
          <w:sz w:val="24"/>
          <w:szCs w:val="24"/>
        </w:rPr>
        <w:t>2.85%</w:t>
      </w:r>
      <w:r w:rsidRPr="009877EB">
        <w:rPr>
          <w:rFonts w:eastAsia="Franklin Gothic Book" w:cstheme="minorHAnsi"/>
          <w:spacing w:val="12"/>
          <w:sz w:val="24"/>
          <w:szCs w:val="24"/>
        </w:rPr>
        <w:t xml:space="preserve"> </w:t>
      </w:r>
      <w:r w:rsidRPr="009877EB">
        <w:rPr>
          <w:rFonts w:eastAsia="Franklin Gothic Book" w:cstheme="minorHAnsi"/>
          <w:sz w:val="24"/>
          <w:szCs w:val="24"/>
        </w:rPr>
        <w:t>as</w:t>
      </w:r>
      <w:r w:rsidRPr="009877EB">
        <w:rPr>
          <w:rFonts w:eastAsia="Franklin Gothic Book" w:cstheme="minorHAnsi"/>
          <w:spacing w:val="11"/>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11"/>
          <w:sz w:val="24"/>
          <w:szCs w:val="24"/>
        </w:rPr>
        <w:t xml:space="preserve"> </w:t>
      </w:r>
      <w:r w:rsidRPr="009877EB">
        <w:rPr>
          <w:rFonts w:eastAsia="Franklin Gothic Book" w:cstheme="minorHAnsi"/>
          <w:sz w:val="24"/>
          <w:szCs w:val="24"/>
        </w:rPr>
        <w:t>the</w:t>
      </w:r>
      <w:r w:rsidRPr="009877EB">
        <w:rPr>
          <w:rFonts w:eastAsia="Franklin Gothic Book" w:cstheme="minorHAnsi"/>
          <w:spacing w:val="10"/>
          <w:sz w:val="24"/>
          <w:szCs w:val="24"/>
        </w:rPr>
        <w:t xml:space="preserve"> </w:t>
      </w:r>
      <w:r w:rsidRPr="009877EB">
        <w:rPr>
          <w:rFonts w:eastAsia="Franklin Gothic Book" w:cstheme="minorHAnsi"/>
          <w:sz w:val="24"/>
          <w:szCs w:val="24"/>
        </w:rPr>
        <w:t>beginning</w:t>
      </w:r>
      <w:r w:rsidRPr="009877EB">
        <w:rPr>
          <w:rFonts w:eastAsia="Franklin Gothic Book" w:cstheme="minorHAnsi"/>
          <w:spacing w:val="11"/>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10"/>
          <w:sz w:val="24"/>
          <w:szCs w:val="24"/>
        </w:rPr>
        <w:t xml:space="preserve"> </w:t>
      </w:r>
      <w:r w:rsidRPr="009877EB">
        <w:rPr>
          <w:rFonts w:eastAsia="Franklin Gothic Book" w:cstheme="minorHAnsi"/>
          <w:sz w:val="24"/>
          <w:szCs w:val="24"/>
        </w:rPr>
        <w:t>the</w:t>
      </w:r>
      <w:r w:rsidRPr="009877EB">
        <w:rPr>
          <w:rFonts w:eastAsia="Franklin Gothic Book" w:cstheme="minorHAnsi"/>
          <w:spacing w:val="8"/>
          <w:sz w:val="24"/>
          <w:szCs w:val="24"/>
        </w:rPr>
        <w:t xml:space="preserve"> </w:t>
      </w:r>
      <w:r w:rsidRPr="009877EB">
        <w:rPr>
          <w:rFonts w:eastAsia="Franklin Gothic Book" w:cstheme="minorHAnsi"/>
          <w:sz w:val="24"/>
          <w:szCs w:val="24"/>
        </w:rPr>
        <w:t>measu</w:t>
      </w:r>
      <w:r w:rsidRPr="009877EB">
        <w:rPr>
          <w:rFonts w:eastAsia="Franklin Gothic Book" w:cstheme="minorHAnsi"/>
          <w:spacing w:val="-1"/>
          <w:sz w:val="24"/>
          <w:szCs w:val="24"/>
        </w:rPr>
        <w:t>r</w:t>
      </w:r>
      <w:r w:rsidRPr="009877EB">
        <w:rPr>
          <w:rFonts w:eastAsia="Franklin Gothic Book" w:cstheme="minorHAnsi"/>
          <w:sz w:val="24"/>
          <w:szCs w:val="24"/>
        </w:rPr>
        <w:t>ement</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p</w:t>
      </w:r>
      <w:r w:rsidRPr="009877EB">
        <w:rPr>
          <w:rFonts w:eastAsia="Franklin Gothic Book" w:cstheme="minorHAnsi"/>
          <w:sz w:val="24"/>
          <w:szCs w:val="24"/>
        </w:rPr>
        <w:t>e</w:t>
      </w:r>
      <w:r w:rsidRPr="009877EB">
        <w:rPr>
          <w:rFonts w:eastAsia="Franklin Gothic Book" w:cstheme="minorHAnsi"/>
          <w:spacing w:val="-2"/>
          <w:sz w:val="24"/>
          <w:szCs w:val="24"/>
        </w:rPr>
        <w:t>r</w:t>
      </w:r>
      <w:r w:rsidRPr="009877EB">
        <w:rPr>
          <w:rFonts w:eastAsia="Franklin Gothic Book" w:cstheme="minorHAnsi"/>
          <w:sz w:val="24"/>
          <w:szCs w:val="24"/>
        </w:rPr>
        <w:t>iod</w:t>
      </w:r>
      <w:r w:rsidRPr="009877EB">
        <w:rPr>
          <w:rFonts w:eastAsia="Franklin Gothic Book" w:cstheme="minorHAnsi"/>
          <w:spacing w:val="8"/>
          <w:sz w:val="24"/>
          <w:szCs w:val="24"/>
        </w:rPr>
        <w:t xml:space="preserve"> </w:t>
      </w:r>
      <w:r w:rsidRPr="009877EB">
        <w:rPr>
          <w:rFonts w:eastAsia="Franklin Gothic Book" w:cstheme="minorHAnsi"/>
          <w:spacing w:val="1"/>
          <w:sz w:val="24"/>
          <w:szCs w:val="24"/>
        </w:rPr>
        <w:t>t</w:t>
      </w:r>
      <w:r w:rsidRPr="009877EB">
        <w:rPr>
          <w:rFonts w:eastAsia="Franklin Gothic Book" w:cstheme="minorHAnsi"/>
          <w:sz w:val="24"/>
          <w:szCs w:val="24"/>
        </w:rPr>
        <w:t>o</w:t>
      </w:r>
      <w:r w:rsidRPr="009877EB">
        <w:rPr>
          <w:rFonts w:eastAsia="Franklin Gothic Book" w:cstheme="minorHAnsi"/>
          <w:spacing w:val="10"/>
          <w:sz w:val="24"/>
          <w:szCs w:val="24"/>
        </w:rPr>
        <w:t xml:space="preserve"> </w:t>
      </w:r>
      <w:r w:rsidRPr="009877EB">
        <w:rPr>
          <w:rFonts w:eastAsia="Franklin Gothic Book" w:cstheme="minorHAnsi"/>
          <w:sz w:val="24"/>
          <w:szCs w:val="24"/>
        </w:rPr>
        <w:t>3.58%</w:t>
      </w:r>
      <w:r w:rsidRPr="009877EB">
        <w:rPr>
          <w:rFonts w:eastAsia="Franklin Gothic Book" w:cstheme="minorHAnsi"/>
          <w:spacing w:val="8"/>
          <w:sz w:val="24"/>
          <w:szCs w:val="24"/>
        </w:rPr>
        <w:t xml:space="preserve"> </w:t>
      </w:r>
      <w:r w:rsidRPr="009877EB">
        <w:rPr>
          <w:rFonts w:eastAsia="Franklin Gothic Book" w:cstheme="minorHAnsi"/>
          <w:sz w:val="24"/>
          <w:szCs w:val="24"/>
        </w:rPr>
        <w:t>as</w:t>
      </w:r>
      <w:r w:rsidRPr="009877EB">
        <w:rPr>
          <w:rFonts w:eastAsia="Franklin Gothic Book" w:cstheme="minorHAnsi"/>
          <w:spacing w:val="12"/>
          <w:sz w:val="24"/>
          <w:szCs w:val="24"/>
        </w:rPr>
        <w:t xml:space="preserve"> </w:t>
      </w:r>
      <w:r w:rsidRPr="009877EB">
        <w:rPr>
          <w:rFonts w:eastAsia="Franklin Gothic Book" w:cstheme="minorHAnsi"/>
          <w:spacing w:val="-1"/>
          <w:sz w:val="24"/>
          <w:szCs w:val="24"/>
        </w:rPr>
        <w:t>o</w:t>
      </w:r>
      <w:r w:rsidRPr="009877EB">
        <w:rPr>
          <w:rFonts w:eastAsia="Franklin Gothic Book" w:cstheme="minorHAnsi"/>
          <w:sz w:val="24"/>
          <w:szCs w:val="24"/>
        </w:rPr>
        <w:t>f</w:t>
      </w:r>
      <w:r w:rsidRPr="009877EB">
        <w:rPr>
          <w:rFonts w:eastAsia="Franklin Gothic Book" w:cstheme="minorHAnsi"/>
          <w:spacing w:val="8"/>
          <w:sz w:val="24"/>
          <w:szCs w:val="24"/>
        </w:rPr>
        <w:t xml:space="preserve"> </w:t>
      </w:r>
      <w:r w:rsidRPr="009877EB">
        <w:rPr>
          <w:rFonts w:eastAsia="Franklin Gothic Book" w:cstheme="minorHAnsi"/>
          <w:sz w:val="24"/>
          <w:szCs w:val="24"/>
        </w:rPr>
        <w:t>the</w:t>
      </w:r>
      <w:r w:rsidRPr="009877EB">
        <w:rPr>
          <w:rFonts w:eastAsia="Franklin Gothic Book" w:cstheme="minorHAnsi"/>
          <w:w w:val="99"/>
          <w:sz w:val="24"/>
          <w:szCs w:val="24"/>
        </w:rPr>
        <w:t xml:space="preserve"> </w:t>
      </w:r>
      <w:r w:rsidRPr="009877EB">
        <w:rPr>
          <w:rFonts w:eastAsia="Franklin Gothic Book" w:cstheme="minorHAnsi"/>
          <w:sz w:val="24"/>
          <w:szCs w:val="24"/>
        </w:rPr>
        <w:t>end</w:t>
      </w:r>
      <w:r w:rsidRPr="009877EB">
        <w:rPr>
          <w:rFonts w:eastAsia="Franklin Gothic Book" w:cstheme="minorHAnsi"/>
          <w:spacing w:val="-7"/>
          <w:sz w:val="24"/>
          <w:szCs w:val="24"/>
        </w:rPr>
        <w:t xml:space="preserve"> </w:t>
      </w:r>
      <w:r w:rsidRPr="009877EB">
        <w:rPr>
          <w:rFonts w:eastAsia="Franklin Gothic Book" w:cstheme="minorHAnsi"/>
          <w:sz w:val="24"/>
          <w:szCs w:val="24"/>
        </w:rPr>
        <w:t>of</w:t>
      </w:r>
      <w:r w:rsidRPr="009877EB">
        <w:rPr>
          <w:rFonts w:eastAsia="Franklin Gothic Book" w:cstheme="minorHAnsi"/>
          <w:spacing w:val="-7"/>
          <w:sz w:val="24"/>
          <w:szCs w:val="24"/>
        </w:rPr>
        <w:t xml:space="preserve"> </w:t>
      </w:r>
      <w:r w:rsidRPr="009877EB">
        <w:rPr>
          <w:rFonts w:eastAsia="Franklin Gothic Book" w:cstheme="minorHAnsi"/>
          <w:spacing w:val="1"/>
          <w:sz w:val="24"/>
          <w:szCs w:val="24"/>
        </w:rPr>
        <w:t>t</w:t>
      </w:r>
      <w:r w:rsidRPr="009877EB">
        <w:rPr>
          <w:rFonts w:eastAsia="Franklin Gothic Book" w:cstheme="minorHAnsi"/>
          <w:sz w:val="24"/>
          <w:szCs w:val="24"/>
        </w:rPr>
        <w:t>he</w:t>
      </w:r>
      <w:r w:rsidRPr="009877EB">
        <w:rPr>
          <w:rFonts w:eastAsia="Franklin Gothic Book" w:cstheme="minorHAnsi"/>
          <w:spacing w:val="-7"/>
          <w:sz w:val="24"/>
          <w:szCs w:val="24"/>
        </w:rPr>
        <w:t xml:space="preserve"> </w:t>
      </w:r>
      <w:r w:rsidRPr="009877EB">
        <w:rPr>
          <w:rFonts w:eastAsia="Franklin Gothic Book" w:cstheme="minorHAnsi"/>
          <w:spacing w:val="1"/>
          <w:sz w:val="24"/>
          <w:szCs w:val="24"/>
        </w:rPr>
        <w:t>m</w:t>
      </w:r>
      <w:r w:rsidRPr="009877EB">
        <w:rPr>
          <w:rFonts w:eastAsia="Franklin Gothic Book" w:cstheme="minorHAnsi"/>
          <w:sz w:val="24"/>
          <w:szCs w:val="24"/>
        </w:rPr>
        <w:t>easu</w:t>
      </w:r>
      <w:r w:rsidRPr="009877EB">
        <w:rPr>
          <w:rFonts w:eastAsia="Franklin Gothic Book" w:cstheme="minorHAnsi"/>
          <w:spacing w:val="-1"/>
          <w:sz w:val="24"/>
          <w:szCs w:val="24"/>
        </w:rPr>
        <w:t>r</w:t>
      </w:r>
      <w:r w:rsidRPr="009877EB">
        <w:rPr>
          <w:rFonts w:eastAsia="Franklin Gothic Book" w:cstheme="minorHAnsi"/>
          <w:sz w:val="24"/>
          <w:szCs w:val="24"/>
        </w:rPr>
        <w:t>ement</w:t>
      </w:r>
      <w:r w:rsidRPr="009877EB">
        <w:rPr>
          <w:rFonts w:eastAsia="Franklin Gothic Book" w:cstheme="minorHAnsi"/>
          <w:spacing w:val="-6"/>
          <w:sz w:val="24"/>
          <w:szCs w:val="24"/>
        </w:rPr>
        <w:t xml:space="preserve"> </w:t>
      </w:r>
      <w:r w:rsidRPr="009877EB">
        <w:rPr>
          <w:rFonts w:eastAsia="Franklin Gothic Book" w:cstheme="minorHAnsi"/>
          <w:spacing w:val="-1"/>
          <w:sz w:val="24"/>
          <w:szCs w:val="24"/>
        </w:rPr>
        <w:t>p</w:t>
      </w:r>
      <w:r w:rsidRPr="009877EB">
        <w:rPr>
          <w:rFonts w:eastAsia="Franklin Gothic Book" w:cstheme="minorHAnsi"/>
          <w:sz w:val="24"/>
          <w:szCs w:val="24"/>
        </w:rPr>
        <w:t>e</w:t>
      </w:r>
      <w:r w:rsidRPr="009877EB">
        <w:rPr>
          <w:rFonts w:eastAsia="Franklin Gothic Book" w:cstheme="minorHAnsi"/>
          <w:spacing w:val="-2"/>
          <w:sz w:val="24"/>
          <w:szCs w:val="24"/>
        </w:rPr>
        <w:t>r</w:t>
      </w:r>
      <w:r w:rsidRPr="009877EB">
        <w:rPr>
          <w:rFonts w:eastAsia="Franklin Gothic Book" w:cstheme="minorHAnsi"/>
          <w:sz w:val="24"/>
          <w:szCs w:val="24"/>
        </w:rPr>
        <w:t>iod.</w:t>
      </w:r>
    </w:p>
    <w:p w14:paraId="7A16EB15" w14:textId="77777777" w:rsidR="00721CFD" w:rsidRDefault="00721CFD" w:rsidP="00721CFD">
      <w:pPr>
        <w:ind w:left="720" w:hanging="720"/>
        <w:rPr>
          <w:rFonts w:eastAsia="Franklin Gothic Book" w:cstheme="minorHAnsi"/>
          <w:sz w:val="24"/>
          <w:szCs w:val="24"/>
        </w:rPr>
      </w:pPr>
    </w:p>
    <w:p w14:paraId="5C4578D7" w14:textId="77777777" w:rsidR="00721CFD" w:rsidRDefault="00721CFD" w:rsidP="00721CFD">
      <w:pPr>
        <w:ind w:left="720" w:hanging="720"/>
        <w:rPr>
          <w:rFonts w:eastAsia="Franklin Gothic Book" w:cstheme="minorHAnsi"/>
          <w:i/>
          <w:sz w:val="24"/>
          <w:szCs w:val="24"/>
        </w:rPr>
      </w:pPr>
      <w:r w:rsidRPr="00F54559">
        <w:rPr>
          <w:rFonts w:eastAsia="Franklin Gothic Book" w:cstheme="minorHAnsi"/>
          <w:i/>
          <w:sz w:val="24"/>
          <w:szCs w:val="24"/>
        </w:rPr>
        <w:t>Me</w:t>
      </w:r>
      <w:r w:rsidRPr="00F54559">
        <w:rPr>
          <w:rFonts w:eastAsia="Franklin Gothic Book" w:cstheme="minorHAnsi"/>
          <w:i/>
          <w:spacing w:val="-2"/>
          <w:sz w:val="24"/>
          <w:szCs w:val="24"/>
        </w:rPr>
        <w:t>t</w:t>
      </w:r>
      <w:r w:rsidRPr="00F54559">
        <w:rPr>
          <w:rFonts w:eastAsia="Franklin Gothic Book" w:cstheme="minorHAnsi"/>
          <w:i/>
          <w:sz w:val="24"/>
          <w:szCs w:val="24"/>
        </w:rPr>
        <w:t>h</w:t>
      </w:r>
      <w:r w:rsidRPr="00F54559">
        <w:rPr>
          <w:rFonts w:eastAsia="Franklin Gothic Book" w:cstheme="minorHAnsi"/>
          <w:i/>
          <w:spacing w:val="-1"/>
          <w:sz w:val="24"/>
          <w:szCs w:val="24"/>
        </w:rPr>
        <w:t>o</w:t>
      </w:r>
      <w:r w:rsidRPr="00F54559">
        <w:rPr>
          <w:rFonts w:eastAsia="Franklin Gothic Book" w:cstheme="minorHAnsi"/>
          <w:i/>
          <w:sz w:val="24"/>
          <w:szCs w:val="24"/>
        </w:rPr>
        <w:t>ds</w:t>
      </w:r>
      <w:r w:rsidRPr="00F54559">
        <w:rPr>
          <w:rFonts w:eastAsia="Franklin Gothic Book" w:cstheme="minorHAnsi"/>
          <w:i/>
          <w:spacing w:val="-9"/>
          <w:sz w:val="24"/>
          <w:szCs w:val="24"/>
        </w:rPr>
        <w:t xml:space="preserve"> </w:t>
      </w:r>
      <w:r w:rsidRPr="00F54559">
        <w:rPr>
          <w:rFonts w:eastAsia="Franklin Gothic Book" w:cstheme="minorHAnsi"/>
          <w:i/>
          <w:spacing w:val="-2"/>
          <w:sz w:val="24"/>
          <w:szCs w:val="24"/>
        </w:rPr>
        <w:t>an</w:t>
      </w:r>
      <w:r w:rsidRPr="00F54559">
        <w:rPr>
          <w:rFonts w:eastAsia="Franklin Gothic Book" w:cstheme="minorHAnsi"/>
          <w:i/>
          <w:sz w:val="24"/>
          <w:szCs w:val="24"/>
        </w:rPr>
        <w:t>d</w:t>
      </w:r>
      <w:r w:rsidRPr="00F54559">
        <w:rPr>
          <w:rFonts w:eastAsia="Franklin Gothic Book" w:cstheme="minorHAnsi"/>
          <w:i/>
          <w:spacing w:val="-8"/>
          <w:sz w:val="24"/>
          <w:szCs w:val="24"/>
        </w:rPr>
        <w:t xml:space="preserve"> </w:t>
      </w:r>
      <w:r w:rsidRPr="00F54559">
        <w:rPr>
          <w:rFonts w:eastAsia="Franklin Gothic Book" w:cstheme="minorHAnsi"/>
          <w:i/>
          <w:spacing w:val="-2"/>
          <w:sz w:val="24"/>
          <w:szCs w:val="24"/>
        </w:rPr>
        <w:t>a</w:t>
      </w:r>
      <w:r w:rsidRPr="00F54559">
        <w:rPr>
          <w:rFonts w:eastAsia="Franklin Gothic Book" w:cstheme="minorHAnsi"/>
          <w:i/>
          <w:spacing w:val="-1"/>
          <w:sz w:val="24"/>
          <w:szCs w:val="24"/>
        </w:rPr>
        <w:t>ss</w:t>
      </w:r>
      <w:r w:rsidRPr="00F54559">
        <w:rPr>
          <w:rFonts w:eastAsia="Franklin Gothic Book" w:cstheme="minorHAnsi"/>
          <w:i/>
          <w:sz w:val="24"/>
          <w:szCs w:val="24"/>
        </w:rPr>
        <w:t>um</w:t>
      </w:r>
      <w:r w:rsidRPr="00F54559">
        <w:rPr>
          <w:rFonts w:eastAsia="Franklin Gothic Book" w:cstheme="minorHAnsi"/>
          <w:i/>
          <w:spacing w:val="-1"/>
          <w:sz w:val="24"/>
          <w:szCs w:val="24"/>
        </w:rPr>
        <w:t>p</w:t>
      </w:r>
      <w:r w:rsidRPr="00F54559">
        <w:rPr>
          <w:rFonts w:eastAsia="Franklin Gothic Book" w:cstheme="minorHAnsi"/>
          <w:i/>
          <w:spacing w:val="-2"/>
          <w:sz w:val="24"/>
          <w:szCs w:val="24"/>
        </w:rPr>
        <w:t>t</w:t>
      </w:r>
      <w:r w:rsidRPr="00F54559">
        <w:rPr>
          <w:rFonts w:eastAsia="Franklin Gothic Book" w:cstheme="minorHAnsi"/>
          <w:i/>
          <w:sz w:val="24"/>
          <w:szCs w:val="24"/>
        </w:rPr>
        <w:t>i</w:t>
      </w:r>
      <w:r w:rsidRPr="00F54559">
        <w:rPr>
          <w:rFonts w:eastAsia="Franklin Gothic Book" w:cstheme="minorHAnsi"/>
          <w:i/>
          <w:spacing w:val="-1"/>
          <w:sz w:val="24"/>
          <w:szCs w:val="24"/>
        </w:rPr>
        <w:t>o</w:t>
      </w:r>
      <w:r w:rsidRPr="00F54559">
        <w:rPr>
          <w:rFonts w:eastAsia="Franklin Gothic Book" w:cstheme="minorHAnsi"/>
          <w:i/>
          <w:spacing w:val="-2"/>
          <w:sz w:val="24"/>
          <w:szCs w:val="24"/>
        </w:rPr>
        <w:t>n</w:t>
      </w:r>
      <w:r w:rsidRPr="00F54559">
        <w:rPr>
          <w:rFonts w:eastAsia="Franklin Gothic Book" w:cstheme="minorHAnsi"/>
          <w:i/>
          <w:sz w:val="24"/>
          <w:szCs w:val="24"/>
        </w:rPr>
        <w:t>s</w:t>
      </w:r>
      <w:r w:rsidRPr="00F54559">
        <w:rPr>
          <w:rFonts w:eastAsia="Franklin Gothic Book" w:cstheme="minorHAnsi"/>
          <w:i/>
          <w:spacing w:val="-9"/>
          <w:sz w:val="24"/>
          <w:szCs w:val="24"/>
        </w:rPr>
        <w:t xml:space="preserve"> </w:t>
      </w:r>
      <w:r w:rsidRPr="00F54559">
        <w:rPr>
          <w:rFonts w:eastAsia="Franklin Gothic Book" w:cstheme="minorHAnsi"/>
          <w:i/>
          <w:sz w:val="24"/>
          <w:szCs w:val="24"/>
        </w:rPr>
        <w:t>u</w:t>
      </w:r>
      <w:r w:rsidRPr="00F54559">
        <w:rPr>
          <w:rFonts w:eastAsia="Franklin Gothic Book" w:cstheme="minorHAnsi"/>
          <w:i/>
          <w:spacing w:val="-1"/>
          <w:sz w:val="24"/>
          <w:szCs w:val="24"/>
        </w:rPr>
        <w:t>s</w:t>
      </w:r>
      <w:r w:rsidRPr="00F54559">
        <w:rPr>
          <w:rFonts w:eastAsia="Franklin Gothic Book" w:cstheme="minorHAnsi"/>
          <w:i/>
          <w:sz w:val="24"/>
          <w:szCs w:val="24"/>
        </w:rPr>
        <w:t>ed</w:t>
      </w:r>
      <w:r w:rsidRPr="00F54559">
        <w:rPr>
          <w:rFonts w:eastAsia="Franklin Gothic Book" w:cstheme="minorHAnsi"/>
          <w:i/>
          <w:spacing w:val="-7"/>
          <w:sz w:val="24"/>
          <w:szCs w:val="24"/>
        </w:rPr>
        <w:t xml:space="preserve"> </w:t>
      </w:r>
      <w:r w:rsidRPr="00F54559">
        <w:rPr>
          <w:rFonts w:eastAsia="Franklin Gothic Book" w:cstheme="minorHAnsi"/>
          <w:i/>
          <w:sz w:val="24"/>
          <w:szCs w:val="24"/>
        </w:rPr>
        <w:t>in</w:t>
      </w:r>
      <w:r w:rsidRPr="00F54559">
        <w:rPr>
          <w:rFonts w:eastAsia="Franklin Gothic Book" w:cstheme="minorHAnsi"/>
          <w:i/>
          <w:spacing w:val="-10"/>
          <w:sz w:val="24"/>
          <w:szCs w:val="24"/>
        </w:rPr>
        <w:t xml:space="preserve"> </w:t>
      </w:r>
      <w:r w:rsidRPr="00F54559">
        <w:rPr>
          <w:rFonts w:eastAsia="Franklin Gothic Book" w:cstheme="minorHAnsi"/>
          <w:i/>
          <w:spacing w:val="-1"/>
          <w:sz w:val="24"/>
          <w:szCs w:val="24"/>
        </w:rPr>
        <w:t>c</w:t>
      </w:r>
      <w:r w:rsidRPr="00F54559">
        <w:rPr>
          <w:rFonts w:eastAsia="Franklin Gothic Book" w:cstheme="minorHAnsi"/>
          <w:i/>
          <w:spacing w:val="-2"/>
          <w:sz w:val="24"/>
          <w:szCs w:val="24"/>
        </w:rPr>
        <w:t>a</w:t>
      </w:r>
      <w:r w:rsidRPr="00F54559">
        <w:rPr>
          <w:rFonts w:eastAsia="Franklin Gothic Book" w:cstheme="minorHAnsi"/>
          <w:i/>
          <w:sz w:val="24"/>
          <w:szCs w:val="24"/>
        </w:rPr>
        <w:t>l</w:t>
      </w:r>
      <w:r w:rsidRPr="00F54559">
        <w:rPr>
          <w:rFonts w:eastAsia="Franklin Gothic Book" w:cstheme="minorHAnsi"/>
          <w:i/>
          <w:spacing w:val="-1"/>
          <w:sz w:val="24"/>
          <w:szCs w:val="24"/>
        </w:rPr>
        <w:t>c</w:t>
      </w:r>
      <w:r w:rsidRPr="00F54559">
        <w:rPr>
          <w:rFonts w:eastAsia="Franklin Gothic Book" w:cstheme="minorHAnsi"/>
          <w:i/>
          <w:sz w:val="24"/>
          <w:szCs w:val="24"/>
        </w:rPr>
        <w:t>ul</w:t>
      </w:r>
      <w:r w:rsidRPr="00F54559">
        <w:rPr>
          <w:rFonts w:eastAsia="Franklin Gothic Book" w:cstheme="minorHAnsi"/>
          <w:i/>
          <w:spacing w:val="-2"/>
          <w:sz w:val="24"/>
          <w:szCs w:val="24"/>
        </w:rPr>
        <w:t>at</w:t>
      </w:r>
      <w:r w:rsidRPr="00F54559">
        <w:rPr>
          <w:rFonts w:eastAsia="Franklin Gothic Book" w:cstheme="minorHAnsi"/>
          <w:i/>
          <w:sz w:val="24"/>
          <w:szCs w:val="24"/>
        </w:rPr>
        <w:t>i</w:t>
      </w:r>
      <w:r w:rsidRPr="00F54559">
        <w:rPr>
          <w:rFonts w:eastAsia="Franklin Gothic Book" w:cstheme="minorHAnsi"/>
          <w:i/>
          <w:spacing w:val="-1"/>
          <w:sz w:val="24"/>
          <w:szCs w:val="24"/>
        </w:rPr>
        <w:t>o</w:t>
      </w:r>
      <w:r w:rsidRPr="00F54559">
        <w:rPr>
          <w:rFonts w:eastAsia="Franklin Gothic Book" w:cstheme="minorHAnsi"/>
          <w:i/>
          <w:spacing w:val="-2"/>
          <w:sz w:val="24"/>
          <w:szCs w:val="24"/>
        </w:rPr>
        <w:t>n</w:t>
      </w:r>
      <w:r w:rsidRPr="00F54559">
        <w:rPr>
          <w:rFonts w:eastAsia="Franklin Gothic Book" w:cstheme="minorHAnsi"/>
          <w:i/>
          <w:sz w:val="24"/>
          <w:szCs w:val="24"/>
        </w:rPr>
        <w:t>s</w:t>
      </w:r>
      <w:r w:rsidRPr="00F54559">
        <w:rPr>
          <w:rFonts w:eastAsia="Franklin Gothic Book" w:cstheme="minorHAnsi"/>
          <w:i/>
          <w:spacing w:val="-9"/>
          <w:sz w:val="24"/>
          <w:szCs w:val="24"/>
        </w:rPr>
        <w:t xml:space="preserve"> </w:t>
      </w:r>
      <w:r w:rsidRPr="00F54559">
        <w:rPr>
          <w:rFonts w:eastAsia="Franklin Gothic Book" w:cstheme="minorHAnsi"/>
          <w:i/>
          <w:sz w:val="24"/>
          <w:szCs w:val="24"/>
        </w:rPr>
        <w:t>of</w:t>
      </w:r>
      <w:r w:rsidRPr="00F54559">
        <w:rPr>
          <w:rFonts w:eastAsia="Franklin Gothic Book" w:cstheme="minorHAnsi"/>
          <w:i/>
          <w:spacing w:val="-8"/>
          <w:sz w:val="24"/>
          <w:szCs w:val="24"/>
        </w:rPr>
        <w:t xml:space="preserve"> </w:t>
      </w:r>
      <w:r w:rsidRPr="00F54559">
        <w:rPr>
          <w:rFonts w:eastAsia="Franklin Gothic Book" w:cstheme="minorHAnsi"/>
          <w:i/>
          <w:spacing w:val="-1"/>
          <w:sz w:val="24"/>
          <w:szCs w:val="24"/>
        </w:rPr>
        <w:t>ac</w:t>
      </w:r>
      <w:r w:rsidRPr="00F54559">
        <w:rPr>
          <w:rFonts w:eastAsia="Franklin Gothic Book" w:cstheme="minorHAnsi"/>
          <w:i/>
          <w:spacing w:val="-2"/>
          <w:sz w:val="24"/>
          <w:szCs w:val="24"/>
        </w:rPr>
        <w:t>t</w:t>
      </w:r>
      <w:r w:rsidRPr="00F54559">
        <w:rPr>
          <w:rFonts w:eastAsia="Franklin Gothic Book" w:cstheme="minorHAnsi"/>
          <w:i/>
          <w:sz w:val="24"/>
          <w:szCs w:val="24"/>
        </w:rPr>
        <w:t>u</w:t>
      </w:r>
      <w:r w:rsidRPr="00F54559">
        <w:rPr>
          <w:rFonts w:eastAsia="Franklin Gothic Book" w:cstheme="minorHAnsi"/>
          <w:i/>
          <w:spacing w:val="-2"/>
          <w:sz w:val="24"/>
          <w:szCs w:val="24"/>
        </w:rPr>
        <w:t>a</w:t>
      </w:r>
      <w:r w:rsidRPr="00F54559">
        <w:rPr>
          <w:rFonts w:eastAsia="Franklin Gothic Book" w:cstheme="minorHAnsi"/>
          <w:i/>
          <w:sz w:val="24"/>
          <w:szCs w:val="24"/>
        </w:rPr>
        <w:t>ri</w:t>
      </w:r>
      <w:r w:rsidRPr="00F54559">
        <w:rPr>
          <w:rFonts w:eastAsia="Franklin Gothic Book" w:cstheme="minorHAnsi"/>
          <w:i/>
          <w:spacing w:val="-2"/>
          <w:sz w:val="24"/>
          <w:szCs w:val="24"/>
        </w:rPr>
        <w:t>a</w:t>
      </w:r>
      <w:r w:rsidRPr="00F54559">
        <w:rPr>
          <w:rFonts w:eastAsia="Franklin Gothic Book" w:cstheme="minorHAnsi"/>
          <w:i/>
          <w:sz w:val="24"/>
          <w:szCs w:val="24"/>
        </w:rPr>
        <w:t>lly</w:t>
      </w:r>
      <w:r w:rsidRPr="00F54559">
        <w:rPr>
          <w:rFonts w:eastAsia="Franklin Gothic Book" w:cstheme="minorHAnsi"/>
          <w:i/>
          <w:spacing w:val="-9"/>
          <w:sz w:val="24"/>
          <w:szCs w:val="24"/>
        </w:rPr>
        <w:t xml:space="preserve"> </w:t>
      </w:r>
      <w:r w:rsidRPr="00F54559">
        <w:rPr>
          <w:rFonts w:eastAsia="Franklin Gothic Book" w:cstheme="minorHAnsi"/>
          <w:i/>
          <w:sz w:val="24"/>
          <w:szCs w:val="24"/>
        </w:rPr>
        <w:t>de</w:t>
      </w:r>
      <w:r w:rsidRPr="00F54559">
        <w:rPr>
          <w:rFonts w:eastAsia="Franklin Gothic Book" w:cstheme="minorHAnsi"/>
          <w:i/>
          <w:spacing w:val="-2"/>
          <w:sz w:val="24"/>
          <w:szCs w:val="24"/>
        </w:rPr>
        <w:t>t</w:t>
      </w:r>
      <w:r w:rsidRPr="00F54559">
        <w:rPr>
          <w:rFonts w:eastAsia="Franklin Gothic Book" w:cstheme="minorHAnsi"/>
          <w:i/>
          <w:sz w:val="24"/>
          <w:szCs w:val="24"/>
        </w:rPr>
        <w:t>e</w:t>
      </w:r>
      <w:r w:rsidRPr="00F54559">
        <w:rPr>
          <w:rFonts w:eastAsia="Franklin Gothic Book" w:cstheme="minorHAnsi"/>
          <w:i/>
          <w:spacing w:val="-1"/>
          <w:sz w:val="24"/>
          <w:szCs w:val="24"/>
        </w:rPr>
        <w:t>r</w:t>
      </w:r>
      <w:r w:rsidRPr="00F54559">
        <w:rPr>
          <w:rFonts w:eastAsia="Franklin Gothic Book" w:cstheme="minorHAnsi"/>
          <w:i/>
          <w:sz w:val="24"/>
          <w:szCs w:val="24"/>
        </w:rPr>
        <w:t>mi</w:t>
      </w:r>
      <w:r w:rsidRPr="00F54559">
        <w:rPr>
          <w:rFonts w:eastAsia="Franklin Gothic Book" w:cstheme="minorHAnsi"/>
          <w:i/>
          <w:spacing w:val="-1"/>
          <w:sz w:val="24"/>
          <w:szCs w:val="24"/>
        </w:rPr>
        <w:t>n</w:t>
      </w:r>
      <w:r w:rsidRPr="00F54559">
        <w:rPr>
          <w:rFonts w:eastAsia="Franklin Gothic Book" w:cstheme="minorHAnsi"/>
          <w:i/>
          <w:sz w:val="24"/>
          <w:szCs w:val="24"/>
        </w:rPr>
        <w:t>ed</w:t>
      </w:r>
      <w:r w:rsidRPr="00F54559">
        <w:rPr>
          <w:rFonts w:eastAsia="Franklin Gothic Book" w:cstheme="minorHAnsi"/>
          <w:i/>
          <w:spacing w:val="-8"/>
          <w:sz w:val="24"/>
          <w:szCs w:val="24"/>
        </w:rPr>
        <w:t xml:space="preserve"> </w:t>
      </w:r>
      <w:r w:rsidRPr="00F54559">
        <w:rPr>
          <w:rFonts w:eastAsia="Franklin Gothic Book" w:cstheme="minorHAnsi"/>
          <w:i/>
          <w:spacing w:val="-1"/>
          <w:sz w:val="24"/>
          <w:szCs w:val="24"/>
        </w:rPr>
        <w:t>c</w:t>
      </w:r>
      <w:r w:rsidRPr="00F54559">
        <w:rPr>
          <w:rFonts w:eastAsia="Franklin Gothic Book" w:cstheme="minorHAnsi"/>
          <w:i/>
          <w:sz w:val="24"/>
          <w:szCs w:val="24"/>
        </w:rPr>
        <w:t>o</w:t>
      </w:r>
      <w:r w:rsidRPr="00F54559">
        <w:rPr>
          <w:rFonts w:eastAsia="Franklin Gothic Book" w:cstheme="minorHAnsi"/>
          <w:i/>
          <w:spacing w:val="-2"/>
          <w:sz w:val="24"/>
          <w:szCs w:val="24"/>
        </w:rPr>
        <w:t>nt</w:t>
      </w:r>
      <w:r w:rsidRPr="00F54559">
        <w:rPr>
          <w:rFonts w:eastAsia="Franklin Gothic Book" w:cstheme="minorHAnsi"/>
          <w:i/>
          <w:sz w:val="24"/>
          <w:szCs w:val="24"/>
        </w:rPr>
        <w:t>ribu</w:t>
      </w:r>
      <w:r w:rsidRPr="00F54559">
        <w:rPr>
          <w:rFonts w:eastAsia="Franklin Gothic Book" w:cstheme="minorHAnsi"/>
          <w:i/>
          <w:spacing w:val="-1"/>
          <w:sz w:val="24"/>
          <w:szCs w:val="24"/>
        </w:rPr>
        <w:t>t</w:t>
      </w:r>
      <w:r w:rsidRPr="00F54559">
        <w:rPr>
          <w:rFonts w:eastAsia="Franklin Gothic Book" w:cstheme="minorHAnsi"/>
          <w:i/>
          <w:sz w:val="24"/>
          <w:szCs w:val="24"/>
        </w:rPr>
        <w:t>i</w:t>
      </w:r>
      <w:r w:rsidRPr="00F54559">
        <w:rPr>
          <w:rFonts w:eastAsia="Franklin Gothic Book" w:cstheme="minorHAnsi"/>
          <w:i/>
          <w:spacing w:val="-1"/>
          <w:sz w:val="24"/>
          <w:szCs w:val="24"/>
        </w:rPr>
        <w:t>o</w:t>
      </w:r>
      <w:r w:rsidRPr="00F54559">
        <w:rPr>
          <w:rFonts w:eastAsia="Franklin Gothic Book" w:cstheme="minorHAnsi"/>
          <w:i/>
          <w:spacing w:val="-2"/>
          <w:sz w:val="24"/>
          <w:szCs w:val="24"/>
        </w:rPr>
        <w:t>n</w:t>
      </w:r>
      <w:r w:rsidRPr="00F54559">
        <w:rPr>
          <w:rFonts w:eastAsia="Franklin Gothic Book" w:cstheme="minorHAnsi"/>
          <w:i/>
          <w:spacing w:val="-1"/>
          <w:sz w:val="24"/>
          <w:szCs w:val="24"/>
        </w:rPr>
        <w:t>s</w:t>
      </w:r>
      <w:r w:rsidRPr="00F54559">
        <w:rPr>
          <w:rFonts w:eastAsia="Franklin Gothic Book" w:cstheme="minorHAnsi"/>
          <w:i/>
          <w:sz w:val="24"/>
          <w:szCs w:val="24"/>
        </w:rPr>
        <w:t>:</w:t>
      </w:r>
    </w:p>
    <w:p w14:paraId="7039C5D1" w14:textId="77777777" w:rsidR="00721CFD" w:rsidRPr="00BC1813" w:rsidRDefault="00721CFD" w:rsidP="00721CFD">
      <w:pPr>
        <w:ind w:left="720" w:hanging="720"/>
        <w:rPr>
          <w:rFonts w:eastAsia="Franklin Gothic Book" w:cstheme="minorHAnsi"/>
          <w:sz w:val="24"/>
          <w:szCs w:val="24"/>
        </w:rPr>
      </w:pPr>
    </w:p>
    <w:p w14:paraId="7366CA79" w14:textId="77777777" w:rsidR="00721CFD" w:rsidRDefault="00721CFD" w:rsidP="00721CFD">
      <w:pPr>
        <w:rPr>
          <w:rFonts w:eastAsia="Franklin Gothic Book" w:cstheme="minorHAnsi"/>
          <w:sz w:val="24"/>
          <w:szCs w:val="24"/>
        </w:rPr>
      </w:pPr>
      <w:r w:rsidRPr="00F54559">
        <w:rPr>
          <w:rFonts w:eastAsia="Franklin Gothic Book" w:cstheme="minorHAnsi"/>
          <w:spacing w:val="-1"/>
          <w:sz w:val="24"/>
          <w:szCs w:val="24"/>
        </w:rPr>
        <w:t>T</w:t>
      </w:r>
      <w:r w:rsidRPr="00F54559">
        <w:rPr>
          <w:rFonts w:eastAsia="Franklin Gothic Book" w:cstheme="minorHAnsi"/>
          <w:sz w:val="24"/>
          <w:szCs w:val="24"/>
        </w:rPr>
        <w:t>he</w:t>
      </w:r>
      <w:r w:rsidRPr="00F54559">
        <w:rPr>
          <w:rFonts w:eastAsia="Franklin Gothic Book" w:cstheme="minorHAnsi"/>
          <w:spacing w:val="16"/>
          <w:sz w:val="24"/>
          <w:szCs w:val="24"/>
        </w:rPr>
        <w:t xml:space="preserve"> </w:t>
      </w:r>
      <w:r w:rsidRPr="00F54559">
        <w:rPr>
          <w:rFonts w:eastAsia="Franklin Gothic Book" w:cstheme="minorHAnsi"/>
          <w:spacing w:val="-1"/>
          <w:sz w:val="24"/>
          <w:szCs w:val="24"/>
        </w:rPr>
        <w:t>U</w:t>
      </w:r>
      <w:r w:rsidRPr="00F54559">
        <w:rPr>
          <w:rFonts w:eastAsia="Franklin Gothic Book" w:cstheme="minorHAnsi"/>
          <w:sz w:val="24"/>
          <w:szCs w:val="24"/>
        </w:rPr>
        <w:t>ni</w:t>
      </w:r>
      <w:r w:rsidRPr="00F54559">
        <w:rPr>
          <w:rFonts w:eastAsia="Franklin Gothic Book" w:cstheme="minorHAnsi"/>
          <w:spacing w:val="-1"/>
          <w:sz w:val="24"/>
          <w:szCs w:val="24"/>
        </w:rPr>
        <w:t>v</w:t>
      </w:r>
      <w:r w:rsidRPr="00F54559">
        <w:rPr>
          <w:rFonts w:eastAsia="Franklin Gothic Book" w:cstheme="minorHAnsi"/>
          <w:sz w:val="24"/>
          <w:szCs w:val="24"/>
        </w:rPr>
        <w:t>e</w:t>
      </w:r>
      <w:r w:rsidRPr="00F54559">
        <w:rPr>
          <w:rFonts w:eastAsia="Franklin Gothic Book" w:cstheme="minorHAnsi"/>
          <w:spacing w:val="-2"/>
          <w:sz w:val="24"/>
          <w:szCs w:val="24"/>
        </w:rPr>
        <w:t>r</w:t>
      </w:r>
      <w:r w:rsidRPr="00F54559">
        <w:rPr>
          <w:rFonts w:eastAsia="Franklin Gothic Book" w:cstheme="minorHAnsi"/>
          <w:spacing w:val="1"/>
          <w:sz w:val="24"/>
          <w:szCs w:val="24"/>
        </w:rPr>
        <w:t>s</w:t>
      </w:r>
      <w:r w:rsidRPr="00F54559">
        <w:rPr>
          <w:rFonts w:eastAsia="Franklin Gothic Book" w:cstheme="minorHAnsi"/>
          <w:sz w:val="24"/>
          <w:szCs w:val="24"/>
        </w:rPr>
        <w:t>ity</w:t>
      </w:r>
      <w:r w:rsidRPr="00F54559">
        <w:rPr>
          <w:rFonts w:eastAsia="Franklin Gothic Book" w:cstheme="minorHAnsi"/>
          <w:spacing w:val="16"/>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f</w:t>
      </w:r>
      <w:r w:rsidRPr="00F54559">
        <w:rPr>
          <w:rFonts w:eastAsia="Franklin Gothic Book" w:cstheme="minorHAnsi"/>
          <w:spacing w:val="17"/>
          <w:sz w:val="24"/>
          <w:szCs w:val="24"/>
        </w:rPr>
        <w:t xml:space="preserve"> </w:t>
      </w:r>
      <w:r w:rsidRPr="00F54559">
        <w:rPr>
          <w:rFonts w:eastAsia="Franklin Gothic Book" w:cstheme="minorHAnsi"/>
          <w:sz w:val="24"/>
          <w:szCs w:val="24"/>
        </w:rPr>
        <w:t>Maine</w:t>
      </w:r>
      <w:r w:rsidRPr="00F54559">
        <w:rPr>
          <w:rFonts w:eastAsia="Franklin Gothic Book" w:cstheme="minorHAnsi"/>
          <w:spacing w:val="16"/>
          <w:sz w:val="24"/>
          <w:szCs w:val="24"/>
        </w:rPr>
        <w:t xml:space="preserve"> </w:t>
      </w:r>
      <w:r w:rsidRPr="00F54559">
        <w:rPr>
          <w:rFonts w:eastAsia="Franklin Gothic Book" w:cstheme="minorHAnsi"/>
          <w:sz w:val="24"/>
          <w:szCs w:val="24"/>
        </w:rPr>
        <w:t>S</w:t>
      </w:r>
      <w:r w:rsidRPr="00F54559">
        <w:rPr>
          <w:rFonts w:eastAsia="Franklin Gothic Book" w:cstheme="minorHAnsi"/>
          <w:spacing w:val="-2"/>
          <w:sz w:val="24"/>
          <w:szCs w:val="24"/>
        </w:rPr>
        <w:t>y</w:t>
      </w:r>
      <w:r w:rsidRPr="00F54559">
        <w:rPr>
          <w:rFonts w:eastAsia="Franklin Gothic Book" w:cstheme="minorHAnsi"/>
          <w:spacing w:val="1"/>
          <w:sz w:val="24"/>
          <w:szCs w:val="24"/>
        </w:rPr>
        <w:t>s</w:t>
      </w:r>
      <w:r w:rsidRPr="00F54559">
        <w:rPr>
          <w:rFonts w:eastAsia="Franklin Gothic Book" w:cstheme="minorHAnsi"/>
          <w:sz w:val="24"/>
          <w:szCs w:val="24"/>
        </w:rPr>
        <w:t>tem</w:t>
      </w:r>
      <w:r w:rsidRPr="00F54559">
        <w:rPr>
          <w:rFonts w:eastAsia="Franklin Gothic Book" w:cstheme="minorHAnsi"/>
          <w:spacing w:val="20"/>
          <w:sz w:val="24"/>
          <w:szCs w:val="24"/>
        </w:rPr>
        <w:t xml:space="preserve"> </w:t>
      </w:r>
      <w:r w:rsidRPr="00F54559">
        <w:rPr>
          <w:rFonts w:eastAsia="Franklin Gothic Book" w:cstheme="minorHAnsi"/>
          <w:sz w:val="24"/>
          <w:szCs w:val="24"/>
        </w:rPr>
        <w:t>Incentive</w:t>
      </w:r>
      <w:r w:rsidRPr="00F54559">
        <w:rPr>
          <w:rFonts w:eastAsia="Franklin Gothic Book" w:cstheme="minorHAnsi"/>
          <w:spacing w:val="16"/>
          <w:sz w:val="24"/>
          <w:szCs w:val="24"/>
        </w:rPr>
        <w:t xml:space="preserve"> </w:t>
      </w:r>
      <w:r w:rsidRPr="00F54559">
        <w:rPr>
          <w:rFonts w:eastAsia="Franklin Gothic Book" w:cstheme="minorHAnsi"/>
          <w:sz w:val="24"/>
          <w:szCs w:val="24"/>
        </w:rPr>
        <w:t>Reti</w:t>
      </w:r>
      <w:r w:rsidRPr="00F54559">
        <w:rPr>
          <w:rFonts w:eastAsia="Franklin Gothic Book" w:cstheme="minorHAnsi"/>
          <w:spacing w:val="-1"/>
          <w:sz w:val="24"/>
          <w:szCs w:val="24"/>
        </w:rPr>
        <w:t>r</w:t>
      </w:r>
      <w:r w:rsidRPr="00F54559">
        <w:rPr>
          <w:rFonts w:eastAsia="Franklin Gothic Book" w:cstheme="minorHAnsi"/>
          <w:sz w:val="24"/>
          <w:szCs w:val="24"/>
        </w:rPr>
        <w:t>ement</w:t>
      </w:r>
      <w:r w:rsidRPr="00F54559">
        <w:rPr>
          <w:rFonts w:eastAsia="Franklin Gothic Book" w:cstheme="minorHAnsi"/>
          <w:spacing w:val="20"/>
          <w:sz w:val="24"/>
          <w:szCs w:val="24"/>
        </w:rPr>
        <w:t xml:space="preserve"> </w:t>
      </w:r>
      <w:r w:rsidRPr="00F54559">
        <w:rPr>
          <w:rFonts w:eastAsia="Franklin Gothic Book" w:cstheme="minorHAnsi"/>
          <w:spacing w:val="-1"/>
          <w:sz w:val="24"/>
          <w:szCs w:val="24"/>
        </w:rPr>
        <w:t>P</w:t>
      </w:r>
      <w:r w:rsidRPr="00F54559">
        <w:rPr>
          <w:rFonts w:eastAsia="Franklin Gothic Book" w:cstheme="minorHAnsi"/>
          <w:sz w:val="24"/>
          <w:szCs w:val="24"/>
        </w:rPr>
        <w:t>lan</w:t>
      </w:r>
      <w:r w:rsidRPr="00F54559">
        <w:rPr>
          <w:rFonts w:eastAsia="Franklin Gothic Book" w:cstheme="minorHAnsi"/>
          <w:spacing w:val="17"/>
          <w:sz w:val="24"/>
          <w:szCs w:val="24"/>
        </w:rPr>
        <w:t xml:space="preserve"> </w:t>
      </w:r>
      <w:r w:rsidRPr="00F54559">
        <w:rPr>
          <w:rFonts w:eastAsia="Franklin Gothic Book" w:cstheme="minorHAnsi"/>
          <w:sz w:val="24"/>
          <w:szCs w:val="24"/>
        </w:rPr>
        <w:t>is</w:t>
      </w:r>
      <w:r w:rsidRPr="00F54559">
        <w:rPr>
          <w:rFonts w:eastAsia="Franklin Gothic Book" w:cstheme="minorHAnsi"/>
          <w:spacing w:val="20"/>
          <w:sz w:val="24"/>
          <w:szCs w:val="24"/>
        </w:rPr>
        <w:t xml:space="preserve"> </w:t>
      </w:r>
      <w:r w:rsidRPr="00F54559">
        <w:rPr>
          <w:rFonts w:eastAsia="Franklin Gothic Book" w:cstheme="minorHAnsi"/>
          <w:sz w:val="24"/>
          <w:szCs w:val="24"/>
        </w:rPr>
        <w:t>fun</w:t>
      </w:r>
      <w:r w:rsidRPr="00F54559">
        <w:rPr>
          <w:rFonts w:eastAsia="Franklin Gothic Book" w:cstheme="minorHAnsi"/>
          <w:spacing w:val="1"/>
          <w:sz w:val="24"/>
          <w:szCs w:val="24"/>
        </w:rPr>
        <w:t>d</w:t>
      </w:r>
      <w:r w:rsidRPr="00F54559">
        <w:rPr>
          <w:rFonts w:eastAsia="Franklin Gothic Book" w:cstheme="minorHAnsi"/>
          <w:sz w:val="24"/>
          <w:szCs w:val="24"/>
        </w:rPr>
        <w:t>ed</w:t>
      </w:r>
      <w:r w:rsidRPr="00F54559">
        <w:rPr>
          <w:rFonts w:eastAsia="Franklin Gothic Book" w:cstheme="minorHAnsi"/>
          <w:spacing w:val="17"/>
          <w:sz w:val="24"/>
          <w:szCs w:val="24"/>
        </w:rPr>
        <w:t xml:space="preserve"> </w:t>
      </w:r>
      <w:r w:rsidRPr="00F54559">
        <w:rPr>
          <w:rFonts w:eastAsia="Franklin Gothic Book" w:cstheme="minorHAnsi"/>
          <w:spacing w:val="-1"/>
          <w:sz w:val="24"/>
          <w:szCs w:val="24"/>
        </w:rPr>
        <w:t>o</w:t>
      </w:r>
      <w:r w:rsidRPr="00F54559">
        <w:rPr>
          <w:rFonts w:eastAsia="Franklin Gothic Book" w:cstheme="minorHAnsi"/>
          <w:sz w:val="24"/>
          <w:szCs w:val="24"/>
        </w:rPr>
        <w:t>n</w:t>
      </w:r>
      <w:r w:rsidRPr="00F54559">
        <w:rPr>
          <w:rFonts w:eastAsia="Franklin Gothic Book" w:cstheme="minorHAnsi"/>
          <w:spacing w:val="19"/>
          <w:sz w:val="24"/>
          <w:szCs w:val="24"/>
        </w:rPr>
        <w:t xml:space="preserve"> </w:t>
      </w:r>
      <w:r w:rsidRPr="00F54559">
        <w:rPr>
          <w:rFonts w:eastAsia="Franklin Gothic Book" w:cstheme="minorHAnsi"/>
          <w:sz w:val="24"/>
          <w:szCs w:val="24"/>
        </w:rPr>
        <w:t>a</w:t>
      </w:r>
      <w:r w:rsidRPr="00F54559">
        <w:rPr>
          <w:rFonts w:eastAsia="Franklin Gothic Book" w:cstheme="minorHAnsi"/>
          <w:spacing w:val="17"/>
          <w:sz w:val="24"/>
          <w:szCs w:val="24"/>
        </w:rPr>
        <w:t xml:space="preserve"> </w:t>
      </w:r>
      <w:r w:rsidRPr="00F54559">
        <w:rPr>
          <w:rFonts w:eastAsia="Franklin Gothic Book" w:cstheme="minorHAnsi"/>
          <w:sz w:val="24"/>
          <w:szCs w:val="24"/>
        </w:rPr>
        <w:t>te</w:t>
      </w:r>
      <w:r w:rsidRPr="00F54559">
        <w:rPr>
          <w:rFonts w:eastAsia="Franklin Gothic Book" w:cstheme="minorHAnsi"/>
          <w:spacing w:val="-2"/>
          <w:sz w:val="24"/>
          <w:szCs w:val="24"/>
        </w:rPr>
        <w:t>r</w:t>
      </w:r>
      <w:r w:rsidRPr="00F54559">
        <w:rPr>
          <w:rFonts w:eastAsia="Franklin Gothic Book" w:cstheme="minorHAnsi"/>
          <w:sz w:val="24"/>
          <w:szCs w:val="24"/>
        </w:rPr>
        <w:t>minal</w:t>
      </w:r>
      <w:r w:rsidRPr="00F54559">
        <w:rPr>
          <w:rFonts w:eastAsia="Franklin Gothic Book" w:cstheme="minorHAnsi"/>
          <w:spacing w:val="20"/>
          <w:sz w:val="24"/>
          <w:szCs w:val="24"/>
        </w:rPr>
        <w:t xml:space="preserve"> </w:t>
      </w:r>
      <w:r w:rsidRPr="00F54559">
        <w:rPr>
          <w:rFonts w:eastAsia="Franklin Gothic Book" w:cstheme="minorHAnsi"/>
          <w:sz w:val="24"/>
          <w:szCs w:val="24"/>
        </w:rPr>
        <w:t>fun</w:t>
      </w:r>
      <w:r w:rsidRPr="00F54559">
        <w:rPr>
          <w:rFonts w:eastAsia="Franklin Gothic Book" w:cstheme="minorHAnsi"/>
          <w:spacing w:val="1"/>
          <w:sz w:val="24"/>
          <w:szCs w:val="24"/>
        </w:rPr>
        <w:t>d</w:t>
      </w:r>
      <w:r w:rsidRPr="00F54559">
        <w:rPr>
          <w:rFonts w:eastAsia="Franklin Gothic Book" w:cstheme="minorHAnsi"/>
          <w:sz w:val="24"/>
          <w:szCs w:val="24"/>
        </w:rPr>
        <w:t>ing</w:t>
      </w:r>
      <w:r>
        <w:rPr>
          <w:rFonts w:eastAsia="Franklin Gothic Book" w:cstheme="minorHAnsi"/>
          <w:spacing w:val="17"/>
          <w:sz w:val="24"/>
          <w:szCs w:val="24"/>
        </w:rPr>
        <w:t xml:space="preserve"> </w:t>
      </w:r>
      <w:r w:rsidRPr="00F54559">
        <w:rPr>
          <w:rFonts w:eastAsia="Franklin Gothic Book" w:cstheme="minorHAnsi"/>
          <w:sz w:val="24"/>
          <w:szCs w:val="24"/>
        </w:rPr>
        <w:t>ba</w:t>
      </w:r>
      <w:r w:rsidRPr="00F54559">
        <w:rPr>
          <w:rFonts w:eastAsia="Franklin Gothic Book" w:cstheme="minorHAnsi"/>
          <w:spacing w:val="1"/>
          <w:sz w:val="24"/>
          <w:szCs w:val="24"/>
        </w:rPr>
        <w:t>s</w:t>
      </w:r>
      <w:r w:rsidRPr="00F54559">
        <w:rPr>
          <w:rFonts w:eastAsia="Franklin Gothic Book" w:cstheme="minorHAnsi"/>
          <w:sz w:val="24"/>
          <w:szCs w:val="24"/>
        </w:rPr>
        <w:t>is</w:t>
      </w:r>
      <w:r w:rsidRPr="00F54559">
        <w:rPr>
          <w:rFonts w:eastAsia="Franklin Gothic Book" w:cstheme="minorHAnsi"/>
          <w:spacing w:val="19"/>
          <w:sz w:val="24"/>
          <w:szCs w:val="24"/>
        </w:rPr>
        <w:t xml:space="preserve"> </w:t>
      </w:r>
      <w:r w:rsidRPr="00F54559">
        <w:rPr>
          <w:rFonts w:eastAsia="Franklin Gothic Book" w:cstheme="minorHAnsi"/>
          <w:sz w:val="24"/>
          <w:szCs w:val="24"/>
        </w:rPr>
        <w:t>-</w:t>
      </w:r>
      <w:r w:rsidRPr="00F54559">
        <w:rPr>
          <w:rFonts w:eastAsia="Franklin Gothic Book" w:cstheme="minorHAnsi"/>
          <w:spacing w:val="18"/>
          <w:sz w:val="24"/>
          <w:szCs w:val="24"/>
        </w:rPr>
        <w:t xml:space="preserve"> </w:t>
      </w:r>
      <w:r w:rsidRPr="00F54559">
        <w:rPr>
          <w:rFonts w:eastAsia="Franklin Gothic Book" w:cstheme="minorHAnsi"/>
          <w:sz w:val="24"/>
          <w:szCs w:val="24"/>
        </w:rPr>
        <w:t>fun</w:t>
      </w:r>
      <w:r w:rsidRPr="00F54559">
        <w:rPr>
          <w:rFonts w:eastAsia="Franklin Gothic Book" w:cstheme="minorHAnsi"/>
          <w:spacing w:val="1"/>
          <w:sz w:val="24"/>
          <w:szCs w:val="24"/>
        </w:rPr>
        <w:t>d</w:t>
      </w:r>
      <w:r w:rsidRPr="00F54559">
        <w:rPr>
          <w:rFonts w:eastAsia="Franklin Gothic Book" w:cstheme="minorHAnsi"/>
          <w:sz w:val="24"/>
          <w:szCs w:val="24"/>
        </w:rPr>
        <w:t>ed</w:t>
      </w:r>
      <w:r w:rsidRPr="00F54559">
        <w:rPr>
          <w:rFonts w:eastAsia="Franklin Gothic Book" w:cstheme="minorHAnsi"/>
          <w:w w:val="99"/>
          <w:sz w:val="24"/>
          <w:szCs w:val="24"/>
        </w:rPr>
        <w:t xml:space="preserve"> </w:t>
      </w:r>
      <w:r w:rsidRPr="00F54559">
        <w:rPr>
          <w:rFonts w:eastAsia="Franklin Gothic Book" w:cstheme="minorHAnsi"/>
          <w:sz w:val="24"/>
          <w:szCs w:val="24"/>
        </w:rPr>
        <w:t>when</w:t>
      </w:r>
      <w:r w:rsidRPr="00F54559">
        <w:rPr>
          <w:rFonts w:eastAsia="Franklin Gothic Book" w:cstheme="minorHAnsi"/>
          <w:spacing w:val="-7"/>
          <w:sz w:val="24"/>
          <w:szCs w:val="24"/>
        </w:rPr>
        <w:t xml:space="preserve"> </w:t>
      </w:r>
      <w:r w:rsidRPr="00F54559">
        <w:rPr>
          <w:rFonts w:eastAsia="Franklin Gothic Book" w:cstheme="minorHAnsi"/>
          <w:sz w:val="24"/>
          <w:szCs w:val="24"/>
        </w:rPr>
        <w:t>costs</w:t>
      </w:r>
      <w:r w:rsidRPr="00F54559">
        <w:rPr>
          <w:rFonts w:eastAsia="Franklin Gothic Book" w:cstheme="minorHAnsi"/>
          <w:spacing w:val="-5"/>
          <w:sz w:val="24"/>
          <w:szCs w:val="24"/>
        </w:rPr>
        <w:t xml:space="preserve"> </w:t>
      </w:r>
      <w:r w:rsidRPr="00F54559">
        <w:rPr>
          <w:rFonts w:eastAsia="Franklin Gothic Book" w:cstheme="minorHAnsi"/>
          <w:sz w:val="24"/>
          <w:szCs w:val="24"/>
        </w:rPr>
        <w:t>become</w:t>
      </w:r>
      <w:r w:rsidRPr="00F54559">
        <w:rPr>
          <w:rFonts w:eastAsia="Franklin Gothic Book" w:cstheme="minorHAnsi"/>
          <w:spacing w:val="-7"/>
          <w:sz w:val="24"/>
          <w:szCs w:val="24"/>
        </w:rPr>
        <w:t xml:space="preserve"> </w:t>
      </w:r>
      <w:r w:rsidRPr="00F54559">
        <w:rPr>
          <w:rFonts w:eastAsia="Franklin Gothic Book" w:cstheme="minorHAnsi"/>
          <w:sz w:val="24"/>
          <w:szCs w:val="24"/>
        </w:rPr>
        <w:t>due</w:t>
      </w:r>
      <w:r w:rsidRPr="00F54559">
        <w:rPr>
          <w:rFonts w:eastAsia="Franklin Gothic Book" w:cstheme="minorHAnsi"/>
          <w:spacing w:val="-6"/>
          <w:sz w:val="24"/>
          <w:szCs w:val="24"/>
        </w:rPr>
        <w:t xml:space="preserve"> </w:t>
      </w:r>
      <w:r w:rsidRPr="00F54559">
        <w:rPr>
          <w:rFonts w:eastAsia="Franklin Gothic Book" w:cstheme="minorHAnsi"/>
          <w:sz w:val="24"/>
          <w:szCs w:val="24"/>
        </w:rPr>
        <w:t>and</w:t>
      </w:r>
      <w:r w:rsidRPr="00F54559">
        <w:rPr>
          <w:rFonts w:eastAsia="Franklin Gothic Book" w:cstheme="minorHAnsi"/>
          <w:spacing w:val="-5"/>
          <w:sz w:val="24"/>
          <w:szCs w:val="24"/>
        </w:rPr>
        <w:t xml:space="preserve"> </w:t>
      </w:r>
      <w:r w:rsidRPr="00F54559">
        <w:rPr>
          <w:rFonts w:eastAsia="Franklin Gothic Book" w:cstheme="minorHAnsi"/>
          <w:spacing w:val="-1"/>
          <w:sz w:val="24"/>
          <w:szCs w:val="24"/>
        </w:rPr>
        <w:t>p</w:t>
      </w:r>
      <w:r w:rsidRPr="00F54559">
        <w:rPr>
          <w:rFonts w:eastAsia="Franklin Gothic Book" w:cstheme="minorHAnsi"/>
          <w:sz w:val="24"/>
          <w:szCs w:val="24"/>
        </w:rPr>
        <w:t>a</w:t>
      </w:r>
      <w:r w:rsidRPr="00F54559">
        <w:rPr>
          <w:rFonts w:eastAsia="Franklin Gothic Book" w:cstheme="minorHAnsi"/>
          <w:spacing w:val="-1"/>
          <w:sz w:val="24"/>
          <w:szCs w:val="24"/>
        </w:rPr>
        <w:t>y</w:t>
      </w:r>
      <w:r w:rsidRPr="00F54559">
        <w:rPr>
          <w:rFonts w:eastAsia="Franklin Gothic Book" w:cstheme="minorHAnsi"/>
          <w:sz w:val="24"/>
          <w:szCs w:val="24"/>
        </w:rPr>
        <w:t>a</w:t>
      </w:r>
      <w:r w:rsidRPr="00F54559">
        <w:rPr>
          <w:rFonts w:eastAsia="Franklin Gothic Book" w:cstheme="minorHAnsi"/>
          <w:spacing w:val="1"/>
          <w:sz w:val="24"/>
          <w:szCs w:val="24"/>
        </w:rPr>
        <w:t>b</w:t>
      </w:r>
      <w:r w:rsidRPr="00F54559">
        <w:rPr>
          <w:rFonts w:eastAsia="Franklin Gothic Book" w:cstheme="minorHAnsi"/>
          <w:sz w:val="24"/>
          <w:szCs w:val="24"/>
        </w:rPr>
        <w:t>l</w:t>
      </w:r>
      <w:r w:rsidRPr="00F54559">
        <w:rPr>
          <w:rFonts w:eastAsia="Franklin Gothic Book" w:cstheme="minorHAnsi"/>
          <w:spacing w:val="-1"/>
          <w:sz w:val="24"/>
          <w:szCs w:val="24"/>
        </w:rPr>
        <w:t>e</w:t>
      </w:r>
      <w:r w:rsidRPr="00F54559">
        <w:rPr>
          <w:rFonts w:eastAsia="Franklin Gothic Book" w:cstheme="minorHAnsi"/>
          <w:sz w:val="24"/>
          <w:szCs w:val="24"/>
        </w:rPr>
        <w:t>.</w:t>
      </w:r>
    </w:p>
    <w:p w14:paraId="4972855C" w14:textId="77777777" w:rsidR="00721CFD" w:rsidRDefault="00721CFD" w:rsidP="00721CFD">
      <w:pPr>
        <w:rPr>
          <w:rFonts w:eastAsia="Franklin Gothic Book" w:cstheme="minorHAnsi"/>
          <w:sz w:val="24"/>
          <w:szCs w:val="24"/>
        </w:rPr>
      </w:pPr>
    </w:p>
    <w:tbl>
      <w:tblPr>
        <w:tblStyle w:val="TableGrid2"/>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tuarial cost method since 2015 has been entry age normal.  Asset valuation method has been the market value of assets.  Inflation has decreased from 3.25% in 2015 to 2.6% in 2019.  Salary and payroll increases are assumed to be 3.5% per year.  The investment rate of return/discount rate has been 6.25% since 2016."/>
      </w:tblPr>
      <w:tblGrid>
        <w:gridCol w:w="2789"/>
        <w:gridCol w:w="6122"/>
      </w:tblGrid>
      <w:tr w:rsidR="00721CFD" w:rsidRPr="00A454B4" w14:paraId="39804589" w14:textId="77777777" w:rsidTr="007B5BB3">
        <w:trPr>
          <w:trHeight w:val="246"/>
          <w:tblHeader/>
          <w:jc w:val="center"/>
        </w:trPr>
        <w:tc>
          <w:tcPr>
            <w:tcW w:w="1565" w:type="pct"/>
          </w:tcPr>
          <w:p w14:paraId="4972E892" w14:textId="77777777" w:rsidR="00721CFD" w:rsidRPr="00F54559" w:rsidRDefault="00721CFD" w:rsidP="007B5BB3">
            <w:pPr>
              <w:widowControl w:val="0"/>
              <w:rPr>
                <w:rFonts w:cstheme="minorHAnsi"/>
                <w:sz w:val="24"/>
                <w:szCs w:val="20"/>
              </w:rPr>
            </w:pPr>
            <w:r w:rsidRPr="00F54559">
              <w:rPr>
                <w:rFonts w:eastAsia="Franklin Gothic Book" w:cstheme="minorHAnsi"/>
                <w:spacing w:val="-2"/>
                <w:sz w:val="24"/>
              </w:rPr>
              <w:t>A</w:t>
            </w:r>
            <w:r w:rsidRPr="00F54559">
              <w:rPr>
                <w:rFonts w:eastAsia="Franklin Gothic Book" w:cstheme="minorHAnsi"/>
                <w:sz w:val="24"/>
              </w:rPr>
              <w:t>ctua</w:t>
            </w:r>
            <w:r w:rsidRPr="00F54559">
              <w:rPr>
                <w:rFonts w:eastAsia="Franklin Gothic Book" w:cstheme="minorHAnsi"/>
                <w:spacing w:val="-1"/>
                <w:sz w:val="24"/>
              </w:rPr>
              <w:t>r</w:t>
            </w:r>
            <w:r w:rsidRPr="00F54559">
              <w:rPr>
                <w:rFonts w:eastAsia="Franklin Gothic Book" w:cstheme="minorHAnsi"/>
                <w:sz w:val="24"/>
              </w:rPr>
              <w:t>ial</w:t>
            </w:r>
            <w:r w:rsidRPr="00F54559">
              <w:rPr>
                <w:rFonts w:eastAsia="Franklin Gothic Book" w:cstheme="minorHAnsi"/>
                <w:spacing w:val="-2"/>
                <w:sz w:val="24"/>
              </w:rPr>
              <w:t xml:space="preserve"> </w:t>
            </w:r>
            <w:r w:rsidRPr="00F54559">
              <w:rPr>
                <w:rFonts w:eastAsia="Franklin Gothic Book" w:cstheme="minorHAnsi"/>
                <w:spacing w:val="1"/>
                <w:sz w:val="24"/>
              </w:rPr>
              <w:t>c</w:t>
            </w:r>
            <w:r w:rsidRPr="00F54559">
              <w:rPr>
                <w:rFonts w:eastAsia="Franklin Gothic Book" w:cstheme="minorHAnsi"/>
                <w:sz w:val="24"/>
              </w:rPr>
              <w:t>ost method</w:t>
            </w:r>
          </w:p>
        </w:tc>
        <w:tc>
          <w:tcPr>
            <w:tcW w:w="3435" w:type="pct"/>
          </w:tcPr>
          <w:p w14:paraId="5851142F" w14:textId="77777777" w:rsidR="00721CFD" w:rsidRPr="003959B0" w:rsidRDefault="00721CFD" w:rsidP="007B5BB3">
            <w:pPr>
              <w:widowControl w:val="0"/>
              <w:rPr>
                <w:rFonts w:cstheme="minorHAnsi"/>
                <w:sz w:val="16"/>
                <w:szCs w:val="16"/>
              </w:rPr>
            </w:pPr>
            <w:r w:rsidRPr="009967EF">
              <w:rPr>
                <w:rFonts w:eastAsia="Franklin Gothic Book" w:cstheme="minorHAnsi"/>
                <w:spacing w:val="-2"/>
                <w:sz w:val="24"/>
              </w:rPr>
              <w:t>E</w:t>
            </w:r>
            <w:r w:rsidRPr="009967EF">
              <w:rPr>
                <w:rFonts w:eastAsia="Franklin Gothic Book" w:cstheme="minorHAnsi"/>
                <w:sz w:val="24"/>
              </w:rPr>
              <w:t>nt</w:t>
            </w:r>
            <w:r w:rsidRPr="009967EF">
              <w:rPr>
                <w:rFonts w:eastAsia="Franklin Gothic Book" w:cstheme="minorHAnsi"/>
                <w:spacing w:val="-1"/>
                <w:sz w:val="24"/>
              </w:rPr>
              <w:t>r</w:t>
            </w:r>
            <w:r w:rsidRPr="009967EF">
              <w:rPr>
                <w:rFonts w:eastAsia="Franklin Gothic Book" w:cstheme="minorHAnsi"/>
                <w:sz w:val="24"/>
              </w:rPr>
              <w:t>y</w:t>
            </w:r>
            <w:r w:rsidRPr="009967EF">
              <w:rPr>
                <w:rFonts w:eastAsia="Franklin Gothic Book" w:cstheme="minorHAnsi"/>
                <w:spacing w:val="-8"/>
                <w:sz w:val="24"/>
              </w:rPr>
              <w:t xml:space="preserve"> a</w:t>
            </w:r>
            <w:r w:rsidRPr="009967EF">
              <w:rPr>
                <w:rFonts w:eastAsia="Franklin Gothic Book" w:cstheme="minorHAnsi"/>
                <w:sz w:val="24"/>
              </w:rPr>
              <w:t>ge</w:t>
            </w:r>
            <w:r w:rsidRPr="009967EF">
              <w:rPr>
                <w:rFonts w:eastAsia="Franklin Gothic Book" w:cstheme="minorHAnsi"/>
                <w:spacing w:val="-6"/>
                <w:sz w:val="24"/>
              </w:rPr>
              <w:t xml:space="preserve"> n</w:t>
            </w:r>
            <w:r w:rsidRPr="009967EF">
              <w:rPr>
                <w:rFonts w:eastAsia="Franklin Gothic Book" w:cstheme="minorHAnsi"/>
                <w:sz w:val="24"/>
              </w:rPr>
              <w:t>o</w:t>
            </w:r>
            <w:r w:rsidRPr="009967EF">
              <w:rPr>
                <w:rFonts w:eastAsia="Franklin Gothic Book" w:cstheme="minorHAnsi"/>
                <w:spacing w:val="-2"/>
                <w:sz w:val="24"/>
              </w:rPr>
              <w:t>r</w:t>
            </w:r>
            <w:r w:rsidRPr="009967EF">
              <w:rPr>
                <w:rFonts w:eastAsia="Franklin Gothic Book" w:cstheme="minorHAnsi"/>
                <w:sz w:val="24"/>
              </w:rPr>
              <w:t>mal</w:t>
            </w:r>
          </w:p>
        </w:tc>
      </w:tr>
      <w:tr w:rsidR="00721CFD" w:rsidRPr="00A454B4" w14:paraId="326285A1" w14:textId="77777777" w:rsidTr="007B5BB3">
        <w:trPr>
          <w:trHeight w:val="246"/>
          <w:jc w:val="center"/>
        </w:trPr>
        <w:tc>
          <w:tcPr>
            <w:tcW w:w="1565" w:type="pct"/>
          </w:tcPr>
          <w:p w14:paraId="08F87948" w14:textId="77777777" w:rsidR="00721CFD" w:rsidRPr="00F54559" w:rsidRDefault="00721CFD" w:rsidP="007B5BB3">
            <w:pPr>
              <w:widowControl w:val="0"/>
              <w:rPr>
                <w:rFonts w:cstheme="minorHAnsi"/>
                <w:sz w:val="24"/>
                <w:szCs w:val="20"/>
              </w:rPr>
            </w:pP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tc>
        <w:tc>
          <w:tcPr>
            <w:tcW w:w="3435" w:type="pct"/>
          </w:tcPr>
          <w:p w14:paraId="3F5170D6" w14:textId="77777777" w:rsidR="00721CFD" w:rsidRPr="003959B0" w:rsidRDefault="00721CFD" w:rsidP="007B5BB3">
            <w:pPr>
              <w:widowControl w:val="0"/>
              <w:rPr>
                <w:rFonts w:cstheme="minorHAnsi"/>
                <w:sz w:val="16"/>
                <w:szCs w:val="16"/>
              </w:rPr>
            </w:pPr>
            <w:r w:rsidRPr="009967EF">
              <w:rPr>
                <w:rFonts w:eastAsia="Franklin Gothic Book" w:cstheme="minorHAnsi"/>
                <w:sz w:val="24"/>
              </w:rPr>
              <w:t xml:space="preserve">Not explicitly assumed </w:t>
            </w:r>
          </w:p>
        </w:tc>
      </w:tr>
      <w:tr w:rsidR="00721CFD" w:rsidRPr="00A454B4" w14:paraId="4D1DE219" w14:textId="77777777" w:rsidTr="007B5BB3">
        <w:trPr>
          <w:trHeight w:val="246"/>
          <w:jc w:val="center"/>
        </w:trPr>
        <w:tc>
          <w:tcPr>
            <w:tcW w:w="1565" w:type="pct"/>
          </w:tcPr>
          <w:p w14:paraId="08AD3AB2" w14:textId="77777777" w:rsidR="00721CFD" w:rsidRPr="00F54559" w:rsidRDefault="00721CFD" w:rsidP="007B5BB3">
            <w:pPr>
              <w:widowControl w:val="0"/>
              <w:rPr>
                <w:rFonts w:cstheme="minorHAnsi"/>
                <w:sz w:val="24"/>
                <w:szCs w:val="20"/>
              </w:rPr>
            </w:pPr>
            <w:r w:rsidRPr="00F54559">
              <w:rPr>
                <w:rFonts w:eastAsia="Franklin Gothic Book" w:cstheme="minorHAnsi"/>
                <w:sz w:val="24"/>
              </w:rPr>
              <w:t>Sala</w:t>
            </w:r>
            <w:r w:rsidRPr="00F54559">
              <w:rPr>
                <w:rFonts w:eastAsia="Franklin Gothic Book" w:cstheme="minorHAnsi"/>
                <w:spacing w:val="-2"/>
                <w:sz w:val="24"/>
              </w:rPr>
              <w:t>r</w:t>
            </w:r>
            <w:r w:rsidRPr="00F54559">
              <w:rPr>
                <w:rFonts w:eastAsia="Franklin Gothic Book" w:cstheme="minorHAnsi"/>
                <w:sz w:val="24"/>
              </w:rPr>
              <w:t>y</w:t>
            </w:r>
            <w:r w:rsidRPr="00F54559">
              <w:rPr>
                <w:rFonts w:eastAsia="Franklin Gothic Book" w:cstheme="minorHAnsi"/>
                <w:spacing w:val="-2"/>
                <w:sz w:val="24"/>
              </w:rPr>
              <w:t xml:space="preserve"> </w:t>
            </w:r>
            <w:r w:rsidRPr="00F54559">
              <w:rPr>
                <w:rFonts w:eastAsia="Franklin Gothic Book" w:cstheme="minorHAnsi"/>
                <w:sz w:val="24"/>
              </w:rPr>
              <w:t>inc</w:t>
            </w:r>
            <w:r w:rsidRPr="00F54559">
              <w:rPr>
                <w:rFonts w:eastAsia="Franklin Gothic Book" w:cstheme="minorHAnsi"/>
                <w:spacing w:val="-1"/>
                <w:sz w:val="24"/>
              </w:rPr>
              <w:t>r</w:t>
            </w:r>
            <w:r w:rsidRPr="00F54559">
              <w:rPr>
                <w:rFonts w:eastAsia="Franklin Gothic Book" w:cstheme="minorHAnsi"/>
                <w:sz w:val="24"/>
              </w:rPr>
              <w:t>eases</w:t>
            </w:r>
          </w:p>
        </w:tc>
        <w:tc>
          <w:tcPr>
            <w:tcW w:w="3435" w:type="pct"/>
          </w:tcPr>
          <w:p w14:paraId="78B183E5" w14:textId="77777777" w:rsidR="00721CFD" w:rsidRPr="009967EF" w:rsidRDefault="00721CFD" w:rsidP="007B5BB3">
            <w:pPr>
              <w:widowControl w:val="0"/>
              <w:rPr>
                <w:rFonts w:cstheme="minorHAnsi"/>
                <w:sz w:val="16"/>
                <w:szCs w:val="16"/>
              </w:rPr>
            </w:pPr>
            <w:r w:rsidRPr="009967EF">
              <w:rPr>
                <w:rFonts w:eastAsia="Franklin Gothic Book" w:cstheme="minorHAnsi"/>
                <w:sz w:val="24"/>
              </w:rPr>
              <w:t>3.5%</w:t>
            </w:r>
            <w:r w:rsidRPr="009967EF">
              <w:rPr>
                <w:rFonts w:eastAsia="Franklin Gothic Book" w:cstheme="minorHAnsi"/>
                <w:spacing w:val="-6"/>
                <w:sz w:val="24"/>
              </w:rPr>
              <w:t xml:space="preserve"> </w:t>
            </w:r>
            <w:r w:rsidRPr="009967EF">
              <w:rPr>
                <w:rFonts w:eastAsia="Franklin Gothic Book" w:cstheme="minorHAnsi"/>
                <w:spacing w:val="-1"/>
                <w:sz w:val="24"/>
              </w:rPr>
              <w:t>p</w:t>
            </w:r>
            <w:r w:rsidRPr="009967EF">
              <w:rPr>
                <w:rFonts w:eastAsia="Franklin Gothic Book" w:cstheme="minorHAnsi"/>
                <w:sz w:val="24"/>
              </w:rPr>
              <w:t>er</w:t>
            </w:r>
            <w:r w:rsidRPr="009967EF">
              <w:rPr>
                <w:rFonts w:eastAsia="Franklin Gothic Book" w:cstheme="minorHAnsi"/>
                <w:spacing w:val="-7"/>
                <w:sz w:val="24"/>
              </w:rPr>
              <w:t xml:space="preserve"> </w:t>
            </w:r>
            <w:r w:rsidRPr="009967EF">
              <w:rPr>
                <w:rFonts w:eastAsia="Franklin Gothic Book" w:cstheme="minorHAnsi"/>
                <w:spacing w:val="-1"/>
                <w:sz w:val="24"/>
              </w:rPr>
              <w:t>y</w:t>
            </w:r>
            <w:r w:rsidRPr="009967EF">
              <w:rPr>
                <w:rFonts w:eastAsia="Franklin Gothic Book" w:cstheme="minorHAnsi"/>
                <w:sz w:val="24"/>
              </w:rPr>
              <w:t>ea</w:t>
            </w:r>
            <w:r w:rsidRPr="009967EF">
              <w:rPr>
                <w:rFonts w:eastAsia="Franklin Gothic Book" w:cstheme="minorHAnsi"/>
                <w:spacing w:val="-2"/>
                <w:sz w:val="24"/>
              </w:rPr>
              <w:t>r, including longevity</w:t>
            </w:r>
          </w:p>
        </w:tc>
      </w:tr>
      <w:tr w:rsidR="00721CFD" w:rsidRPr="00A454B4" w14:paraId="55CCC66E" w14:textId="77777777" w:rsidTr="007B5BB3">
        <w:trPr>
          <w:trHeight w:val="246"/>
          <w:jc w:val="center"/>
        </w:trPr>
        <w:tc>
          <w:tcPr>
            <w:tcW w:w="1565" w:type="pct"/>
          </w:tcPr>
          <w:p w14:paraId="0E77C74E" w14:textId="77777777" w:rsidR="00721CFD" w:rsidRPr="00F54559" w:rsidRDefault="00721CFD" w:rsidP="007B5BB3">
            <w:pPr>
              <w:widowControl w:val="0"/>
              <w:rPr>
                <w:rFonts w:cstheme="minorHAnsi"/>
                <w:sz w:val="24"/>
                <w:szCs w:val="20"/>
              </w:rPr>
            </w:pPr>
            <w:r w:rsidRPr="00F54559">
              <w:rPr>
                <w:rFonts w:eastAsia="Franklin Gothic Book" w:cstheme="minorHAnsi"/>
                <w:spacing w:val="-2"/>
                <w:sz w:val="24"/>
              </w:rPr>
              <w:t>Payroll increases</w:t>
            </w:r>
          </w:p>
        </w:tc>
        <w:tc>
          <w:tcPr>
            <w:tcW w:w="3435" w:type="pct"/>
          </w:tcPr>
          <w:p w14:paraId="2425B63B" w14:textId="77777777" w:rsidR="00721CFD" w:rsidRPr="009967EF" w:rsidRDefault="00721CFD" w:rsidP="007B5BB3">
            <w:pPr>
              <w:widowControl w:val="0"/>
              <w:rPr>
                <w:rFonts w:cstheme="minorHAnsi"/>
                <w:sz w:val="16"/>
                <w:szCs w:val="16"/>
              </w:rPr>
            </w:pPr>
            <w:r w:rsidRPr="009967EF">
              <w:rPr>
                <w:rFonts w:eastAsia="Franklin Gothic Book" w:cstheme="minorHAnsi"/>
                <w:spacing w:val="-2"/>
                <w:sz w:val="24"/>
              </w:rPr>
              <w:t>3.5% per year</w:t>
            </w:r>
          </w:p>
        </w:tc>
      </w:tr>
      <w:tr w:rsidR="00721CFD" w:rsidRPr="00A454B4" w14:paraId="1EA1000B" w14:textId="77777777" w:rsidTr="007B5BB3">
        <w:trPr>
          <w:trHeight w:val="246"/>
          <w:jc w:val="center"/>
        </w:trPr>
        <w:tc>
          <w:tcPr>
            <w:tcW w:w="1565" w:type="pct"/>
          </w:tcPr>
          <w:p w14:paraId="2BE5515D" w14:textId="77777777" w:rsidR="00721CFD" w:rsidRPr="00F54559" w:rsidRDefault="00721CFD" w:rsidP="007B5BB3">
            <w:pPr>
              <w:widowControl w:val="0"/>
              <w:tabs>
                <w:tab w:val="left" w:pos="4264"/>
              </w:tabs>
              <w:rPr>
                <w:rFonts w:cstheme="minorHAnsi"/>
                <w:sz w:val="24"/>
                <w:szCs w:val="20"/>
              </w:rPr>
            </w:pPr>
            <w:r>
              <w:rPr>
                <w:rFonts w:eastAsia="Franklin Gothic Book" w:cstheme="minorHAnsi"/>
                <w:sz w:val="24"/>
              </w:rPr>
              <w:t>Assets</w:t>
            </w:r>
            <w:r w:rsidRPr="00F54559">
              <w:rPr>
                <w:rFonts w:eastAsia="Franklin Gothic Book" w:cstheme="minorHAnsi"/>
                <w:spacing w:val="-2"/>
                <w:sz w:val="24"/>
              </w:rPr>
              <w:t xml:space="preserve"> </w:t>
            </w:r>
          </w:p>
        </w:tc>
        <w:tc>
          <w:tcPr>
            <w:tcW w:w="3435" w:type="pct"/>
          </w:tcPr>
          <w:p w14:paraId="176F29BD" w14:textId="77777777" w:rsidR="00721CFD" w:rsidRPr="003959B0" w:rsidRDefault="00721CFD" w:rsidP="007B5BB3">
            <w:pPr>
              <w:widowControl w:val="0"/>
              <w:rPr>
                <w:rFonts w:eastAsia="Franklin Gothic Book" w:cstheme="minorHAnsi"/>
                <w:sz w:val="24"/>
              </w:rPr>
            </w:pPr>
            <w:r w:rsidRPr="009967EF">
              <w:rPr>
                <w:rFonts w:eastAsia="Franklin Gothic Book" w:cstheme="minorHAnsi"/>
                <w:sz w:val="24"/>
                <w:szCs w:val="24"/>
              </w:rPr>
              <w:t>There are no assets accumulated in a trust that meets the criteria in paragraph 4 of GASB Statement No. 73.</w:t>
            </w:r>
          </w:p>
        </w:tc>
      </w:tr>
    </w:tbl>
    <w:p w14:paraId="218B6B4F" w14:textId="77777777" w:rsidR="00721CFD" w:rsidRPr="00F54559" w:rsidRDefault="00721CFD" w:rsidP="00721CFD">
      <w:pPr>
        <w:rPr>
          <w:rFonts w:cstheme="minorHAnsi"/>
          <w:sz w:val="24"/>
          <w:szCs w:val="24"/>
        </w:rPr>
      </w:pPr>
      <w:r w:rsidRPr="00F54559">
        <w:rPr>
          <w:rFonts w:eastAsia="Franklin Gothic Book" w:cstheme="minorHAnsi"/>
          <w:b/>
          <w:spacing w:val="1"/>
          <w:sz w:val="24"/>
          <w:szCs w:val="24"/>
        </w:rPr>
        <w:br w:type="page"/>
      </w:r>
    </w:p>
    <w:p w14:paraId="7CA069D9" w14:textId="77777777" w:rsidR="00721CFD" w:rsidRDefault="00721CFD" w:rsidP="00721CFD">
      <w:pPr>
        <w:pStyle w:val="AFR2"/>
        <w:rPr>
          <w:rFonts w:eastAsia="Franklin Gothic Book" w:cstheme="minorHAnsi"/>
          <w:sz w:val="28"/>
        </w:rPr>
        <w:sectPr w:rsidR="00721CFD" w:rsidSect="007B5BB3">
          <w:headerReference w:type="first" r:id="rId84"/>
          <w:pgSz w:w="12240" w:h="15840" w:code="1"/>
          <w:pgMar w:top="1440" w:right="1440" w:bottom="1440" w:left="1440" w:header="720" w:footer="720" w:gutter="0"/>
          <w:cols w:space="0"/>
          <w:titlePg/>
          <w:docGrid w:linePitch="360"/>
        </w:sectPr>
      </w:pPr>
    </w:p>
    <w:p w14:paraId="310993DB" w14:textId="77777777" w:rsidR="00721CFD" w:rsidRPr="0023665A" w:rsidRDefault="00721CFD" w:rsidP="00721CFD">
      <w:pPr>
        <w:pStyle w:val="AFR2"/>
        <w:rPr>
          <w:rFonts w:eastAsia="Franklin Gothic Book" w:cstheme="minorHAnsi"/>
          <w:sz w:val="26"/>
          <w:szCs w:val="26"/>
        </w:rPr>
      </w:pPr>
      <w:r w:rsidRPr="0023665A">
        <w:rPr>
          <w:rFonts w:eastAsia="Franklin Gothic Book" w:cstheme="minorHAnsi"/>
          <w:sz w:val="26"/>
          <w:szCs w:val="26"/>
        </w:rPr>
        <w:lastRenderedPageBreak/>
        <w:t>Defined Benefit Pension Plan:</w:t>
      </w:r>
    </w:p>
    <w:p w14:paraId="2AA6E4D0" w14:textId="350D124E" w:rsidR="00A16F53" w:rsidRDefault="004221ED" w:rsidP="00721CFD">
      <w:pPr>
        <w:pStyle w:val="AFR4"/>
        <w:spacing w:after="240"/>
        <w:rPr>
          <w:rFonts w:eastAsiaTheme="majorEastAsia" w:cstheme="minorHAnsi"/>
          <w:i/>
          <w:iCs/>
          <w:smallCaps/>
          <w:noProof/>
          <w:color w:val="000000" w:themeColor="text1"/>
          <w:sz w:val="26"/>
          <w:szCs w:val="26"/>
          <w:u w:val="none" w:color="5B9BD5"/>
        </w:rPr>
      </w:pPr>
      <w:r w:rsidRPr="009B795B">
        <w:rPr>
          <w:noProof/>
        </w:rPr>
        <w:drawing>
          <wp:inline distT="0" distB="0" distL="0" distR="0" wp14:anchorId="4FE2CA18" wp14:editId="12A8BE98">
            <wp:extent cx="8229600" cy="4670294"/>
            <wp:effectExtent l="0" t="0" r="0" b="0"/>
            <wp:docPr id="73" name="Picture 73" descr="Changes in Total Pension Liability and Related Ratios         &#10;Fiscal Year Ended June 30 2022 2021 2020 2019 2018 2017 2016 2015 2014**&#10;Changes for the year:         &#10;Service cost  $1   $1   $1   $1   $1   $6   $5   $40   $ &#10;Interest  1,996   2,148   2,255   2,270   2,385   2,545   2,769   2,884  &#10;Differences between expected and actual experience   -   (285)   (1,238)  -   (759)  -   12  &#10;Changes of assumptions  -   (426)  -   2,828   -   -   1,427   -  &#10;Benefit payments  (3,793)  (3,916)  (4,043)  (4,153)  (4,280)  (4,435)  (4,585)  (4,693) &#10;Net change in total pension liability  (1,796)  (2,478)  (1,787)  (292)  (1,894)  (2,643)  (384)  (1,757) &#10;Total pension liability – beginning   33,840   36,318   38,105   38,397   40,291   42,934   43,318   45,075  &#10;Total pension liability – ending (a)  32,044   33,840   36,318   38,105   38,397   40,291   42,934   43,318   45,075 &#10;Contributions – employer  672   907   896   714   695   735   538   1,100  &#10;Net investment income  (1,760)  3,704   1,213   1,112   1,335   2,173   202   27  &#10;Benefit payments  (3,793)  (3,916)  (4,043)  (4,153)  (4,280)  (4,435)  (4,585)  (4,693) &#10;Administrative expenses   (18)  (13)  (33)  (27)  (36)  (20)  (19)  (8) &#10;Net change in plan fiduciary net position  (4,899)  682   (1,967)  (2,354)  (2,286)  (1,547)  (3,864)  (3,574) &#10;Fiduciary net position – beginning   25,291   24,609   26,576   28,930   31,216   32,763   36,627   40,201  &#10;Fiduciary net position – ending (b)  20,392   25,291   24,609   26,576   28,930   31,216   32,763   36,627   40,201 &#10;Net pension liability – ending (a)-(b)  $11,652   $8,549   $11,709   $11,529   $9,467   $9,075   $10,171   $6,691   $4,874 &#10;Plan fiduciary net position as a percentage of the total pension liability 63.64% 74.74% 67.76% 69.74% 75.34% 77.48% 76.31% 84.56% 89.19%&#10;Covered payroll*  $48   $65   $68   $156   $105   $168   $312   $301   $692 &#10;Net pension liability as a percentage of covered payroll 24138.26% 13158.91% 17284.43% 7396.21% 9052.65% 5400.37% 3259.34% 2219.09% 704.23%&#10;*   Covered payroll for 2016 is the 2015 covered payroll, increased by payroll growth of 3.5%         &#10;** Detailed information regarding the change in the total pension liability for FY14 has not been presented as that information was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nges in Total Pension Liability and Related Ratios         &#10;Fiscal Year Ended June 30 2022 2021 2020 2019 2018 2017 2016 2015 2014**&#10;Changes for the year:         &#10;Service cost  $1   $1   $1   $1   $1   $6   $5   $40   $ &#10;Interest  1,996   2,148   2,255   2,270   2,385   2,545   2,769   2,884  &#10;Differences between expected and actual experience   -   (285)   (1,238)  -   (759)  -   12  &#10;Changes of assumptions  -   (426)  -   2,828   -   -   1,427   -  &#10;Benefit payments  (3,793)  (3,916)  (4,043)  (4,153)  (4,280)  (4,435)  (4,585)  (4,693) &#10;Net change in total pension liability  (1,796)  (2,478)  (1,787)  (292)  (1,894)  (2,643)  (384)  (1,757) &#10;Total pension liability – beginning   33,840   36,318   38,105   38,397   40,291   42,934   43,318   45,075  &#10;Total pension liability – ending (a)  32,044   33,840   36,318   38,105   38,397   40,291   42,934   43,318   45,075 &#10;Contributions – employer  672   907   896   714   695   735   538   1,100  &#10;Net investment income  (1,760)  3,704   1,213   1,112   1,335   2,173   202   27  &#10;Benefit payments  (3,793)  (3,916)  (4,043)  (4,153)  (4,280)  (4,435)  (4,585)  (4,693) &#10;Administrative expenses   (18)  (13)  (33)  (27)  (36)  (20)  (19)  (8) &#10;Net change in plan fiduciary net position  (4,899)  682   (1,967)  (2,354)  (2,286)  (1,547)  (3,864)  (3,574) &#10;Fiduciary net position – beginning   25,291   24,609   26,576   28,930   31,216   32,763   36,627   40,201  &#10;Fiduciary net position – ending (b)  20,392   25,291   24,609   26,576   28,930   31,216   32,763   36,627   40,201 &#10;Net pension liability – ending (a)-(b)  $11,652   $8,549   $11,709   $11,529   $9,467   $9,075   $10,171   $6,691   $4,874 &#10;Plan fiduciary net position as a percentage of the total pension liability 63.64% 74.74% 67.76% 69.74% 75.34% 77.48% 76.31% 84.56% 89.19%&#10;Covered payroll*  $48   $65   $68   $156   $105   $168   $312   $301   $692 &#10;Net pension liability as a percentage of covered payroll 24138.26% 13158.91% 17284.43% 7396.21% 9052.65% 5400.37% 3259.34% 2219.09% 704.23%&#10;*   Covered payroll for 2016 is the 2015 covered payroll, increased by payroll growth of 3.5%         &#10;** Detailed information regarding the change in the total pension liability for FY14 has not been presented as that information was not availab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29600" cy="4670294"/>
                    </a:xfrm>
                    <a:prstGeom prst="rect">
                      <a:avLst/>
                    </a:prstGeom>
                    <a:noFill/>
                    <a:ln>
                      <a:noFill/>
                    </a:ln>
                  </pic:spPr>
                </pic:pic>
              </a:graphicData>
            </a:graphic>
          </wp:inline>
        </w:drawing>
      </w:r>
      <w:r w:rsidR="00A16F53">
        <w:rPr>
          <w:rFonts w:eastAsiaTheme="majorEastAsia" w:cstheme="minorHAnsi"/>
          <w:i/>
          <w:iCs/>
          <w:smallCaps/>
          <w:noProof/>
          <w:color w:val="000000" w:themeColor="text1"/>
          <w:sz w:val="26"/>
          <w:szCs w:val="26"/>
          <w:u w:val="none" w:color="5B9BD5"/>
        </w:rPr>
        <w:br w:type="page"/>
      </w:r>
    </w:p>
    <w:p w14:paraId="0143232E" w14:textId="00CBEF45" w:rsidR="00721CFD" w:rsidRDefault="00721CFD" w:rsidP="00721CFD">
      <w:pPr>
        <w:pStyle w:val="AFR4"/>
        <w:spacing w:after="240"/>
        <w:rPr>
          <w:rFonts w:ascii="Calibri" w:eastAsia="Times New Roman" w:hAnsi="Calibri" w:cs="Calibri"/>
          <w:bCs/>
          <w:color w:val="0D0D0D"/>
        </w:rPr>
      </w:pPr>
      <w:r w:rsidRPr="00A74468">
        <w:rPr>
          <w:rFonts w:eastAsiaTheme="majorEastAsia" w:cstheme="minorHAnsi"/>
          <w:i/>
          <w:iCs/>
          <w:smallCaps/>
          <w:noProof/>
          <w:color w:val="000000" w:themeColor="text1"/>
          <w:sz w:val="26"/>
          <w:szCs w:val="26"/>
          <w:u w:val="none" w:color="5B9BD5"/>
        </w:rPr>
        <w:lastRenderedPageBreak/>
        <w:t>Defined Benefit Pension Plan – continued:</w:t>
      </w:r>
    </w:p>
    <w:p w14:paraId="07A943A7" w14:textId="77777777" w:rsidR="00721CFD" w:rsidRDefault="00721CFD" w:rsidP="00721CFD">
      <w:pPr>
        <w:widowControl w:val="0"/>
        <w:spacing w:after="240"/>
        <w:jc w:val="center"/>
        <w:rPr>
          <w:rFonts w:eastAsia="Franklin Gothic Book" w:cstheme="minorHAnsi"/>
          <w:b/>
          <w:spacing w:val="1"/>
          <w:sz w:val="28"/>
          <w:szCs w:val="28"/>
        </w:rPr>
      </w:pPr>
      <w:r w:rsidRPr="001B7651">
        <w:rPr>
          <w:rFonts w:ascii="Calibri" w:eastAsia="Times New Roman" w:hAnsi="Calibri" w:cs="Calibri"/>
          <w:b/>
          <w:bCs/>
          <w:color w:val="0D0D0D"/>
        </w:rPr>
        <w:t>Schedule of Employer Contributions</w:t>
      </w:r>
      <w:r>
        <w:rPr>
          <w:rFonts w:eastAsia="Franklin Gothic Book" w:cstheme="minorHAnsi"/>
          <w:b/>
          <w:spacing w:val="1"/>
          <w:szCs w:val="28"/>
        </w:rPr>
        <w:fldChar w:fldCharType="begin"/>
      </w:r>
      <w:r>
        <w:rPr>
          <w:rFonts w:eastAsia="Franklin Gothic Book" w:cstheme="minorHAnsi"/>
          <w:b/>
          <w:spacing w:val="1"/>
          <w:szCs w:val="28"/>
        </w:rPr>
        <w:fldChar w:fldCharType="end"/>
      </w:r>
      <w:r>
        <w:rPr>
          <w:rFonts w:eastAsia="Franklin Gothic Book" w:cstheme="minorHAnsi"/>
          <w:b/>
          <w:spacing w:val="1"/>
          <w:sz w:val="28"/>
          <w:szCs w:val="28"/>
        </w:rPr>
        <w:fldChar w:fldCharType="begin"/>
      </w:r>
      <w:r>
        <w:rPr>
          <w:rFonts w:eastAsia="Franklin Gothic Book" w:cstheme="minorHAnsi"/>
          <w:b/>
          <w:spacing w:val="1"/>
          <w:sz w:val="28"/>
          <w:szCs w:val="28"/>
        </w:rPr>
        <w:fldChar w:fldCharType="end"/>
      </w:r>
    </w:p>
    <w:tbl>
      <w:tblPr>
        <w:tblW w:w="12997" w:type="dxa"/>
        <w:jc w:val="center"/>
        <w:tblLayout w:type="fixed"/>
        <w:tblCellMar>
          <w:left w:w="72" w:type="dxa"/>
          <w:right w:w="72" w:type="dxa"/>
        </w:tblCellMar>
        <w:tblLook w:val="04A0" w:firstRow="1" w:lastRow="0" w:firstColumn="1" w:lastColumn="0" w:noHBand="0" w:noVBand="1"/>
      </w:tblPr>
      <w:tblGrid>
        <w:gridCol w:w="4013"/>
        <w:gridCol w:w="1027"/>
        <w:gridCol w:w="1027"/>
        <w:gridCol w:w="1080"/>
        <w:gridCol w:w="990"/>
        <w:gridCol w:w="990"/>
        <w:gridCol w:w="990"/>
        <w:gridCol w:w="990"/>
        <w:gridCol w:w="990"/>
        <w:gridCol w:w="900"/>
      </w:tblGrid>
      <w:tr w:rsidR="00721CFD" w:rsidRPr="001B7651" w14:paraId="7B18F75C" w14:textId="77777777" w:rsidTr="00FD47AB">
        <w:trPr>
          <w:trHeight w:val="207"/>
          <w:tblHeader/>
          <w:jc w:val="center"/>
        </w:trPr>
        <w:tc>
          <w:tcPr>
            <w:tcW w:w="4013" w:type="dxa"/>
            <w:tcBorders>
              <w:top w:val="nil"/>
              <w:left w:val="nil"/>
              <w:bottom w:val="single" w:sz="12" w:space="0" w:color="00688D"/>
              <w:right w:val="nil"/>
            </w:tcBorders>
            <w:shd w:val="clear" w:color="000000" w:fill="FFFFFF"/>
            <w:vAlign w:val="bottom"/>
            <w:hideMark/>
          </w:tcPr>
          <w:p w14:paraId="03950A08" w14:textId="77777777" w:rsidR="00721CFD" w:rsidRPr="001B7651" w:rsidRDefault="00721CFD" w:rsidP="00FD47AB">
            <w:pPr>
              <w:rPr>
                <w:rFonts w:ascii="Calibri" w:eastAsia="Times New Roman" w:hAnsi="Calibri" w:cs="Calibri"/>
                <w:b/>
                <w:bCs/>
                <w:color w:val="0D0D0D"/>
              </w:rPr>
            </w:pPr>
            <w:r w:rsidRPr="001B7651">
              <w:rPr>
                <w:rFonts w:ascii="Calibri" w:eastAsia="Times New Roman" w:hAnsi="Calibri" w:cs="Calibri"/>
                <w:b/>
                <w:bCs/>
                <w:color w:val="0D0D0D"/>
              </w:rPr>
              <w:t>Fiscal Year Ended June 30</w:t>
            </w:r>
          </w:p>
        </w:tc>
        <w:tc>
          <w:tcPr>
            <w:tcW w:w="1027" w:type="dxa"/>
            <w:tcBorders>
              <w:top w:val="nil"/>
              <w:left w:val="nil"/>
              <w:bottom w:val="single" w:sz="12" w:space="0" w:color="00688D"/>
              <w:right w:val="nil"/>
            </w:tcBorders>
            <w:shd w:val="clear" w:color="auto" w:fill="auto"/>
            <w:vAlign w:val="bottom"/>
          </w:tcPr>
          <w:p w14:paraId="07AE81E8" w14:textId="77777777" w:rsidR="00721CFD" w:rsidRDefault="00721CFD" w:rsidP="00FD47AB">
            <w:pPr>
              <w:jc w:val="center"/>
              <w:rPr>
                <w:rFonts w:ascii="Calibri" w:eastAsia="Times New Roman" w:hAnsi="Calibri" w:cs="Calibri"/>
                <w:b/>
                <w:bCs/>
                <w:color w:val="0D0D0D"/>
                <w:highlight w:val="lightGray"/>
              </w:rPr>
            </w:pPr>
            <w:r w:rsidRPr="00943CF1">
              <w:rPr>
                <w:rFonts w:ascii="Calibri" w:eastAsia="Times New Roman" w:hAnsi="Calibri" w:cs="Calibri"/>
                <w:b/>
                <w:bCs/>
                <w:color w:val="0D0D0D"/>
              </w:rPr>
              <w:t>2022</w:t>
            </w:r>
          </w:p>
        </w:tc>
        <w:tc>
          <w:tcPr>
            <w:tcW w:w="1027" w:type="dxa"/>
            <w:tcBorders>
              <w:top w:val="nil"/>
              <w:left w:val="nil"/>
              <w:bottom w:val="single" w:sz="12" w:space="0" w:color="00688D"/>
              <w:right w:val="nil"/>
            </w:tcBorders>
            <w:shd w:val="clear" w:color="auto" w:fill="F2F2F2" w:themeFill="background1" w:themeFillShade="F2"/>
            <w:vAlign w:val="bottom"/>
          </w:tcPr>
          <w:p w14:paraId="20E13447" w14:textId="77777777" w:rsidR="00721CFD" w:rsidRPr="001B7651" w:rsidRDefault="00721CFD" w:rsidP="00FD47AB">
            <w:pPr>
              <w:jc w:val="center"/>
              <w:rPr>
                <w:rFonts w:ascii="Calibri" w:eastAsia="Times New Roman" w:hAnsi="Calibri" w:cs="Calibri"/>
                <w:b/>
                <w:bCs/>
                <w:color w:val="0D0D0D"/>
              </w:rPr>
            </w:pPr>
            <w:r w:rsidRPr="001B7651">
              <w:rPr>
                <w:rFonts w:ascii="Calibri" w:eastAsia="Times New Roman" w:hAnsi="Calibri" w:cs="Calibri"/>
                <w:b/>
                <w:bCs/>
                <w:color w:val="0D0D0D"/>
              </w:rPr>
              <w:t>20</w:t>
            </w:r>
            <w:r>
              <w:rPr>
                <w:rFonts w:ascii="Calibri" w:eastAsia="Times New Roman" w:hAnsi="Calibri" w:cs="Calibri"/>
                <w:b/>
                <w:bCs/>
                <w:color w:val="0D0D0D"/>
              </w:rPr>
              <w:t>21</w:t>
            </w:r>
          </w:p>
        </w:tc>
        <w:tc>
          <w:tcPr>
            <w:tcW w:w="1080" w:type="dxa"/>
            <w:tcBorders>
              <w:top w:val="nil"/>
              <w:left w:val="nil"/>
              <w:bottom w:val="single" w:sz="12" w:space="0" w:color="00688D"/>
              <w:right w:val="nil"/>
            </w:tcBorders>
            <w:shd w:val="clear" w:color="000000" w:fill="FFFFFF"/>
            <w:noWrap/>
            <w:vAlign w:val="bottom"/>
            <w:hideMark/>
          </w:tcPr>
          <w:p w14:paraId="7A9F5C02" w14:textId="77777777" w:rsidR="00721CFD" w:rsidRPr="001B7651" w:rsidRDefault="00721CFD" w:rsidP="00FD47AB">
            <w:pPr>
              <w:jc w:val="center"/>
              <w:rPr>
                <w:rFonts w:ascii="Calibri" w:eastAsia="Times New Roman" w:hAnsi="Calibri" w:cs="Calibri"/>
                <w:b/>
                <w:bCs/>
                <w:color w:val="0D0D0D"/>
              </w:rPr>
            </w:pPr>
            <w:r w:rsidRPr="001B7651">
              <w:rPr>
                <w:rFonts w:ascii="Calibri" w:eastAsia="Times New Roman" w:hAnsi="Calibri" w:cs="Calibri"/>
                <w:b/>
                <w:bCs/>
                <w:color w:val="0D0D0D"/>
              </w:rPr>
              <w:t>2020</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4E99BF39" w14:textId="77777777" w:rsidR="00721CFD" w:rsidRPr="001B7651" w:rsidRDefault="00721CFD" w:rsidP="00FD47AB">
            <w:pPr>
              <w:jc w:val="center"/>
              <w:rPr>
                <w:rFonts w:ascii="Calibri" w:eastAsia="Times New Roman" w:hAnsi="Calibri" w:cs="Calibri"/>
                <w:b/>
                <w:bCs/>
                <w:color w:val="0D0D0D"/>
              </w:rPr>
            </w:pPr>
            <w:r w:rsidRPr="001B7651">
              <w:rPr>
                <w:rFonts w:ascii="Calibri" w:eastAsia="Times New Roman" w:hAnsi="Calibri" w:cs="Calibri"/>
                <w:b/>
                <w:bCs/>
                <w:color w:val="0D0D0D"/>
              </w:rPr>
              <w:t>2019</w:t>
            </w:r>
          </w:p>
        </w:tc>
        <w:tc>
          <w:tcPr>
            <w:tcW w:w="990" w:type="dxa"/>
            <w:tcBorders>
              <w:top w:val="nil"/>
              <w:left w:val="nil"/>
              <w:bottom w:val="single" w:sz="12" w:space="0" w:color="00688D"/>
              <w:right w:val="nil"/>
            </w:tcBorders>
            <w:shd w:val="clear" w:color="000000" w:fill="FFFFFF"/>
            <w:noWrap/>
            <w:vAlign w:val="bottom"/>
            <w:hideMark/>
          </w:tcPr>
          <w:p w14:paraId="7B49C957" w14:textId="77777777" w:rsidR="00721CFD" w:rsidRPr="001B7651" w:rsidRDefault="00721CFD" w:rsidP="00FD47AB">
            <w:pPr>
              <w:jc w:val="center"/>
              <w:rPr>
                <w:rFonts w:ascii="Calibri" w:eastAsia="Times New Roman" w:hAnsi="Calibri" w:cs="Calibri"/>
                <w:b/>
                <w:bCs/>
                <w:color w:val="0D0D0D"/>
              </w:rPr>
            </w:pPr>
            <w:r w:rsidRPr="001B7651">
              <w:rPr>
                <w:rFonts w:ascii="Calibri" w:eastAsia="Times New Roman" w:hAnsi="Calibri" w:cs="Calibri"/>
                <w:b/>
                <w:bCs/>
                <w:color w:val="0D0D0D"/>
              </w:rPr>
              <w:t>2018</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58BE146D" w14:textId="77777777" w:rsidR="00721CFD" w:rsidRPr="001B7651" w:rsidRDefault="00721CFD" w:rsidP="00FD47AB">
            <w:pPr>
              <w:jc w:val="center"/>
              <w:rPr>
                <w:rFonts w:ascii="Calibri" w:eastAsia="Times New Roman" w:hAnsi="Calibri" w:cs="Calibri"/>
                <w:b/>
                <w:bCs/>
                <w:color w:val="0D0D0D"/>
              </w:rPr>
            </w:pPr>
            <w:r w:rsidRPr="001B7651">
              <w:rPr>
                <w:rFonts w:ascii="Calibri" w:eastAsia="Times New Roman" w:hAnsi="Calibri" w:cs="Calibri"/>
                <w:b/>
                <w:bCs/>
                <w:color w:val="0D0D0D"/>
              </w:rPr>
              <w:t>2017</w:t>
            </w:r>
          </w:p>
        </w:tc>
        <w:tc>
          <w:tcPr>
            <w:tcW w:w="990" w:type="dxa"/>
            <w:tcBorders>
              <w:top w:val="nil"/>
              <w:left w:val="nil"/>
              <w:bottom w:val="single" w:sz="12" w:space="0" w:color="00688D"/>
              <w:right w:val="nil"/>
            </w:tcBorders>
            <w:shd w:val="clear" w:color="000000" w:fill="FFFFFF"/>
            <w:noWrap/>
            <w:vAlign w:val="bottom"/>
            <w:hideMark/>
          </w:tcPr>
          <w:p w14:paraId="0F228353" w14:textId="77777777" w:rsidR="00721CFD" w:rsidRPr="001B7651" w:rsidRDefault="00721CFD" w:rsidP="00FD47AB">
            <w:pPr>
              <w:jc w:val="center"/>
              <w:rPr>
                <w:rFonts w:ascii="Calibri" w:eastAsia="Times New Roman" w:hAnsi="Calibri" w:cs="Calibri"/>
                <w:b/>
                <w:bCs/>
                <w:color w:val="0D0D0D"/>
              </w:rPr>
            </w:pPr>
            <w:r w:rsidRPr="001B7651">
              <w:rPr>
                <w:rFonts w:ascii="Calibri" w:eastAsia="Times New Roman" w:hAnsi="Calibri" w:cs="Calibri"/>
                <w:b/>
                <w:bCs/>
                <w:color w:val="0D0D0D"/>
              </w:rPr>
              <w:t>2016</w:t>
            </w:r>
          </w:p>
        </w:tc>
        <w:tc>
          <w:tcPr>
            <w:tcW w:w="990" w:type="dxa"/>
            <w:tcBorders>
              <w:top w:val="nil"/>
              <w:left w:val="nil"/>
              <w:bottom w:val="single" w:sz="12" w:space="0" w:color="00688D"/>
              <w:right w:val="nil"/>
            </w:tcBorders>
            <w:shd w:val="clear" w:color="auto" w:fill="F2F2F2" w:themeFill="background1" w:themeFillShade="F2"/>
            <w:noWrap/>
            <w:vAlign w:val="bottom"/>
            <w:hideMark/>
          </w:tcPr>
          <w:p w14:paraId="3A14C5F1" w14:textId="77777777" w:rsidR="00721CFD" w:rsidRPr="001B7651" w:rsidRDefault="00721CFD" w:rsidP="00FD47AB">
            <w:pPr>
              <w:jc w:val="center"/>
              <w:rPr>
                <w:rFonts w:ascii="Calibri" w:eastAsia="Times New Roman" w:hAnsi="Calibri" w:cs="Calibri"/>
                <w:b/>
                <w:bCs/>
                <w:color w:val="0D0D0D"/>
              </w:rPr>
            </w:pPr>
            <w:r w:rsidRPr="001B7651">
              <w:rPr>
                <w:rFonts w:ascii="Calibri" w:eastAsia="Times New Roman" w:hAnsi="Calibri" w:cs="Calibri"/>
                <w:b/>
                <w:bCs/>
                <w:color w:val="0D0D0D"/>
              </w:rPr>
              <w:t>2015</w:t>
            </w:r>
          </w:p>
        </w:tc>
        <w:tc>
          <w:tcPr>
            <w:tcW w:w="900" w:type="dxa"/>
            <w:tcBorders>
              <w:top w:val="nil"/>
              <w:left w:val="nil"/>
              <w:bottom w:val="single" w:sz="12" w:space="0" w:color="00688D"/>
              <w:right w:val="nil"/>
            </w:tcBorders>
            <w:shd w:val="clear" w:color="auto" w:fill="auto"/>
            <w:vAlign w:val="bottom"/>
          </w:tcPr>
          <w:p w14:paraId="2C8B67C7" w14:textId="77777777" w:rsidR="00721CFD" w:rsidRPr="001B7651" w:rsidRDefault="00721CFD" w:rsidP="00FD47AB">
            <w:pPr>
              <w:jc w:val="center"/>
              <w:rPr>
                <w:rFonts w:ascii="Calibri" w:eastAsia="Times New Roman" w:hAnsi="Calibri" w:cs="Calibri"/>
                <w:b/>
                <w:bCs/>
                <w:color w:val="0D0D0D"/>
              </w:rPr>
            </w:pPr>
            <w:r w:rsidRPr="00D02584">
              <w:rPr>
                <w:rFonts w:ascii="Calibri" w:eastAsia="Times New Roman" w:hAnsi="Calibri" w:cs="Calibri"/>
                <w:b/>
                <w:bCs/>
              </w:rPr>
              <w:t>2014</w:t>
            </w:r>
          </w:p>
        </w:tc>
      </w:tr>
      <w:tr w:rsidR="00721CFD" w:rsidRPr="001B7651" w14:paraId="1E09E596" w14:textId="77777777" w:rsidTr="007B5BB3">
        <w:trPr>
          <w:trHeight w:val="301"/>
          <w:jc w:val="center"/>
        </w:trPr>
        <w:tc>
          <w:tcPr>
            <w:tcW w:w="4013" w:type="dxa"/>
            <w:tcBorders>
              <w:top w:val="nil"/>
              <w:left w:val="nil"/>
              <w:bottom w:val="nil"/>
              <w:right w:val="nil"/>
            </w:tcBorders>
            <w:shd w:val="clear" w:color="000000" w:fill="FFFFFF"/>
            <w:vAlign w:val="center"/>
            <w:hideMark/>
          </w:tcPr>
          <w:p w14:paraId="07D67BDD"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Actuarially determined contribution</w:t>
            </w:r>
          </w:p>
        </w:tc>
        <w:tc>
          <w:tcPr>
            <w:tcW w:w="1027" w:type="dxa"/>
            <w:tcBorders>
              <w:top w:val="nil"/>
              <w:left w:val="nil"/>
              <w:bottom w:val="nil"/>
              <w:right w:val="nil"/>
            </w:tcBorders>
            <w:shd w:val="clear" w:color="auto" w:fill="auto"/>
            <w:vAlign w:val="bottom"/>
          </w:tcPr>
          <w:p w14:paraId="4A5A6F14" w14:textId="135DA472" w:rsidR="00721CFD" w:rsidRPr="003959B0" w:rsidRDefault="00721CFD">
            <w:pPr>
              <w:jc w:val="right"/>
              <w:rPr>
                <w:rFonts w:ascii="Calibri" w:eastAsia="Times New Roman" w:hAnsi="Calibri" w:cs="Calibri"/>
              </w:rPr>
            </w:pPr>
            <w:r w:rsidRPr="003959B0">
              <w:rPr>
                <w:rFonts w:ascii="Calibri" w:eastAsia="Times New Roman" w:hAnsi="Calibri" w:cs="Calibri"/>
              </w:rPr>
              <w:t>$672</w:t>
            </w:r>
          </w:p>
        </w:tc>
        <w:tc>
          <w:tcPr>
            <w:tcW w:w="1027" w:type="dxa"/>
            <w:tcBorders>
              <w:top w:val="nil"/>
              <w:left w:val="nil"/>
              <w:bottom w:val="nil"/>
              <w:right w:val="nil"/>
            </w:tcBorders>
            <w:shd w:val="clear" w:color="auto" w:fill="F2F2F2" w:themeFill="background1" w:themeFillShade="F2"/>
            <w:vAlign w:val="bottom"/>
          </w:tcPr>
          <w:p w14:paraId="0A642909" w14:textId="7155A404" w:rsidR="00721CFD" w:rsidRDefault="00721CFD">
            <w:pPr>
              <w:jc w:val="right"/>
              <w:rPr>
                <w:rFonts w:ascii="Calibri" w:eastAsia="Times New Roman" w:hAnsi="Calibri" w:cs="Calibri"/>
                <w:color w:val="0D0D0D"/>
              </w:rPr>
            </w:pPr>
            <w:r>
              <w:rPr>
                <w:rFonts w:ascii="Calibri" w:eastAsia="Times New Roman" w:hAnsi="Calibri" w:cs="Calibri"/>
                <w:color w:val="0D0D0D"/>
              </w:rPr>
              <w:t>$907</w:t>
            </w:r>
          </w:p>
        </w:tc>
        <w:tc>
          <w:tcPr>
            <w:tcW w:w="1080" w:type="dxa"/>
            <w:tcBorders>
              <w:top w:val="nil"/>
              <w:left w:val="nil"/>
              <w:bottom w:val="nil"/>
              <w:right w:val="nil"/>
            </w:tcBorders>
            <w:shd w:val="clear" w:color="000000" w:fill="FFFFFF"/>
            <w:noWrap/>
            <w:vAlign w:val="bottom"/>
            <w:hideMark/>
          </w:tcPr>
          <w:p w14:paraId="3F86FEC8" w14:textId="42156516" w:rsidR="00721CFD" w:rsidRPr="001B7651" w:rsidRDefault="00721CFD">
            <w:pPr>
              <w:jc w:val="right"/>
              <w:rPr>
                <w:rFonts w:ascii="Calibri" w:eastAsia="Times New Roman" w:hAnsi="Calibri" w:cs="Calibri"/>
                <w:color w:val="0D0D0D"/>
              </w:rPr>
            </w:pPr>
            <w:r>
              <w:rPr>
                <w:rFonts w:ascii="Calibri" w:eastAsia="Times New Roman" w:hAnsi="Calibri" w:cs="Calibri"/>
                <w:color w:val="0D0D0D"/>
              </w:rPr>
              <w:t>$896</w:t>
            </w:r>
          </w:p>
        </w:tc>
        <w:tc>
          <w:tcPr>
            <w:tcW w:w="990" w:type="dxa"/>
            <w:tcBorders>
              <w:top w:val="nil"/>
              <w:left w:val="nil"/>
              <w:bottom w:val="nil"/>
              <w:right w:val="nil"/>
            </w:tcBorders>
            <w:shd w:val="clear" w:color="auto" w:fill="F2F2F2" w:themeFill="background1" w:themeFillShade="F2"/>
            <w:noWrap/>
            <w:vAlign w:val="bottom"/>
            <w:hideMark/>
          </w:tcPr>
          <w:p w14:paraId="38E9278E" w14:textId="605E211C"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714</w:t>
            </w:r>
          </w:p>
        </w:tc>
        <w:tc>
          <w:tcPr>
            <w:tcW w:w="990" w:type="dxa"/>
            <w:tcBorders>
              <w:top w:val="nil"/>
              <w:left w:val="nil"/>
              <w:bottom w:val="nil"/>
              <w:right w:val="nil"/>
            </w:tcBorders>
            <w:shd w:val="clear" w:color="000000" w:fill="FFFFFF"/>
            <w:noWrap/>
            <w:vAlign w:val="bottom"/>
            <w:hideMark/>
          </w:tcPr>
          <w:p w14:paraId="639F57D0" w14:textId="613AC738" w:rsidR="00721CFD" w:rsidRPr="001B7651" w:rsidRDefault="00721CFD">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695</w:t>
            </w:r>
          </w:p>
        </w:tc>
        <w:tc>
          <w:tcPr>
            <w:tcW w:w="990" w:type="dxa"/>
            <w:tcBorders>
              <w:top w:val="nil"/>
              <w:left w:val="nil"/>
              <w:bottom w:val="nil"/>
              <w:right w:val="nil"/>
            </w:tcBorders>
            <w:shd w:val="clear" w:color="auto" w:fill="F2F2F2" w:themeFill="background1" w:themeFillShade="F2"/>
            <w:noWrap/>
            <w:vAlign w:val="bottom"/>
            <w:hideMark/>
          </w:tcPr>
          <w:p w14:paraId="72F8AF9C" w14:textId="52047439"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735</w:t>
            </w:r>
          </w:p>
        </w:tc>
        <w:tc>
          <w:tcPr>
            <w:tcW w:w="990" w:type="dxa"/>
            <w:tcBorders>
              <w:top w:val="nil"/>
              <w:left w:val="nil"/>
              <w:bottom w:val="nil"/>
              <w:right w:val="nil"/>
            </w:tcBorders>
            <w:shd w:val="clear" w:color="000000" w:fill="FFFFFF"/>
            <w:noWrap/>
            <w:vAlign w:val="bottom"/>
            <w:hideMark/>
          </w:tcPr>
          <w:p w14:paraId="4975E6D6" w14:textId="5AE4E8E4"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$538</w:t>
            </w:r>
          </w:p>
        </w:tc>
        <w:tc>
          <w:tcPr>
            <w:tcW w:w="990" w:type="dxa"/>
            <w:tcBorders>
              <w:top w:val="nil"/>
              <w:left w:val="nil"/>
              <w:bottom w:val="nil"/>
              <w:right w:val="nil"/>
            </w:tcBorders>
            <w:shd w:val="clear" w:color="auto" w:fill="F2F2F2" w:themeFill="background1" w:themeFillShade="F2"/>
            <w:noWrap/>
            <w:vAlign w:val="bottom"/>
            <w:hideMark/>
          </w:tcPr>
          <w:p w14:paraId="4B2580A0" w14:textId="6CAC7895"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r w:rsidR="007D03B3">
              <w:rPr>
                <w:rFonts w:ascii="Calibri" w:eastAsia="Times New Roman" w:hAnsi="Calibri" w:cs="Calibri"/>
                <w:color w:val="0D0D0D"/>
              </w:rPr>
              <w:t xml:space="preserve">   </w:t>
            </w:r>
            <w:r>
              <w:rPr>
                <w:rFonts w:ascii="Calibri" w:eastAsia="Times New Roman" w:hAnsi="Calibri" w:cs="Calibri"/>
                <w:color w:val="0D0D0D"/>
              </w:rPr>
              <w:t>550</w:t>
            </w:r>
          </w:p>
        </w:tc>
        <w:tc>
          <w:tcPr>
            <w:tcW w:w="900" w:type="dxa"/>
            <w:tcBorders>
              <w:top w:val="nil"/>
              <w:left w:val="nil"/>
              <w:bottom w:val="nil"/>
              <w:right w:val="nil"/>
            </w:tcBorders>
            <w:shd w:val="clear" w:color="auto" w:fill="auto"/>
            <w:vAlign w:val="bottom"/>
          </w:tcPr>
          <w:p w14:paraId="78C44EA4" w14:textId="61CBB444"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$550</w:t>
            </w:r>
          </w:p>
        </w:tc>
      </w:tr>
      <w:tr w:rsidR="00721CFD" w:rsidRPr="001B7651" w14:paraId="7F50BD2A" w14:textId="77777777" w:rsidTr="007B5BB3">
        <w:trPr>
          <w:trHeight w:val="535"/>
          <w:jc w:val="center"/>
        </w:trPr>
        <w:tc>
          <w:tcPr>
            <w:tcW w:w="4013" w:type="dxa"/>
            <w:tcBorders>
              <w:top w:val="nil"/>
              <w:left w:val="nil"/>
              <w:bottom w:val="nil"/>
              <w:right w:val="nil"/>
            </w:tcBorders>
            <w:shd w:val="clear" w:color="000000" w:fill="FFFFFF"/>
            <w:vAlign w:val="center"/>
            <w:hideMark/>
          </w:tcPr>
          <w:p w14:paraId="7CB976A4"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Contributions in relation to the actuarially determined contribution</w:t>
            </w:r>
          </w:p>
        </w:tc>
        <w:tc>
          <w:tcPr>
            <w:tcW w:w="1027" w:type="dxa"/>
            <w:tcBorders>
              <w:top w:val="nil"/>
              <w:left w:val="nil"/>
              <w:bottom w:val="nil"/>
              <w:right w:val="nil"/>
            </w:tcBorders>
            <w:shd w:val="clear" w:color="auto" w:fill="auto"/>
            <w:vAlign w:val="bottom"/>
          </w:tcPr>
          <w:p w14:paraId="720978E5" w14:textId="77777777" w:rsidR="00721CFD" w:rsidRPr="003959B0" w:rsidRDefault="00721CFD" w:rsidP="007B5BB3">
            <w:pPr>
              <w:jc w:val="right"/>
              <w:rPr>
                <w:rFonts w:ascii="Calibri" w:eastAsia="Times New Roman" w:hAnsi="Calibri" w:cs="Calibri"/>
              </w:rPr>
            </w:pPr>
            <w:r w:rsidRPr="003959B0">
              <w:rPr>
                <w:rFonts w:ascii="Calibri" w:eastAsia="Times New Roman" w:hAnsi="Calibri" w:cs="Calibri"/>
              </w:rPr>
              <w:t>672</w:t>
            </w:r>
          </w:p>
        </w:tc>
        <w:tc>
          <w:tcPr>
            <w:tcW w:w="1027" w:type="dxa"/>
            <w:tcBorders>
              <w:top w:val="nil"/>
              <w:left w:val="nil"/>
              <w:bottom w:val="nil"/>
              <w:right w:val="nil"/>
            </w:tcBorders>
            <w:shd w:val="clear" w:color="auto" w:fill="F2F2F2" w:themeFill="background1" w:themeFillShade="F2"/>
            <w:vAlign w:val="bottom"/>
          </w:tcPr>
          <w:p w14:paraId="706FEB30"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907</w:t>
            </w:r>
          </w:p>
        </w:tc>
        <w:tc>
          <w:tcPr>
            <w:tcW w:w="1080" w:type="dxa"/>
            <w:tcBorders>
              <w:top w:val="nil"/>
              <w:left w:val="nil"/>
              <w:bottom w:val="nil"/>
              <w:right w:val="nil"/>
            </w:tcBorders>
            <w:shd w:val="clear" w:color="000000" w:fill="FFFFFF"/>
            <w:noWrap/>
            <w:vAlign w:val="bottom"/>
            <w:hideMark/>
          </w:tcPr>
          <w:p w14:paraId="109E9656"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896</w:t>
            </w:r>
          </w:p>
        </w:tc>
        <w:tc>
          <w:tcPr>
            <w:tcW w:w="990" w:type="dxa"/>
            <w:tcBorders>
              <w:top w:val="nil"/>
              <w:left w:val="nil"/>
              <w:bottom w:val="nil"/>
              <w:right w:val="nil"/>
            </w:tcBorders>
            <w:shd w:val="clear" w:color="auto" w:fill="F2F2F2" w:themeFill="background1" w:themeFillShade="F2"/>
            <w:noWrap/>
            <w:vAlign w:val="bottom"/>
            <w:hideMark/>
          </w:tcPr>
          <w:p w14:paraId="2EFA2B7F"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714</w:t>
            </w:r>
          </w:p>
        </w:tc>
        <w:tc>
          <w:tcPr>
            <w:tcW w:w="990" w:type="dxa"/>
            <w:tcBorders>
              <w:top w:val="nil"/>
              <w:left w:val="nil"/>
              <w:bottom w:val="nil"/>
              <w:right w:val="nil"/>
            </w:tcBorders>
            <w:shd w:val="clear" w:color="000000" w:fill="FFFFFF"/>
            <w:noWrap/>
            <w:vAlign w:val="bottom"/>
            <w:hideMark/>
          </w:tcPr>
          <w:p w14:paraId="4E638133"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695</w:t>
            </w:r>
          </w:p>
        </w:tc>
        <w:tc>
          <w:tcPr>
            <w:tcW w:w="990" w:type="dxa"/>
            <w:tcBorders>
              <w:top w:val="nil"/>
              <w:left w:val="nil"/>
              <w:bottom w:val="nil"/>
              <w:right w:val="nil"/>
            </w:tcBorders>
            <w:shd w:val="clear" w:color="auto" w:fill="F2F2F2" w:themeFill="background1" w:themeFillShade="F2"/>
            <w:noWrap/>
            <w:vAlign w:val="bottom"/>
            <w:hideMark/>
          </w:tcPr>
          <w:p w14:paraId="5A60681A"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735</w:t>
            </w:r>
          </w:p>
        </w:tc>
        <w:tc>
          <w:tcPr>
            <w:tcW w:w="990" w:type="dxa"/>
            <w:tcBorders>
              <w:top w:val="nil"/>
              <w:left w:val="nil"/>
              <w:bottom w:val="nil"/>
              <w:right w:val="nil"/>
            </w:tcBorders>
            <w:shd w:val="clear" w:color="000000" w:fill="FFFFFF"/>
            <w:noWrap/>
            <w:vAlign w:val="bottom"/>
            <w:hideMark/>
          </w:tcPr>
          <w:p w14:paraId="3F86A0D6"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538</w:t>
            </w:r>
          </w:p>
        </w:tc>
        <w:tc>
          <w:tcPr>
            <w:tcW w:w="990" w:type="dxa"/>
            <w:tcBorders>
              <w:top w:val="nil"/>
              <w:left w:val="nil"/>
              <w:bottom w:val="nil"/>
              <w:right w:val="nil"/>
            </w:tcBorders>
            <w:shd w:val="clear" w:color="auto" w:fill="F2F2F2" w:themeFill="background1" w:themeFillShade="F2"/>
            <w:noWrap/>
            <w:vAlign w:val="bottom"/>
            <w:hideMark/>
          </w:tcPr>
          <w:p w14:paraId="2AD50118"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1,100</w:t>
            </w:r>
          </w:p>
        </w:tc>
        <w:tc>
          <w:tcPr>
            <w:tcW w:w="900" w:type="dxa"/>
            <w:tcBorders>
              <w:top w:val="nil"/>
              <w:left w:val="nil"/>
              <w:bottom w:val="nil"/>
              <w:right w:val="nil"/>
            </w:tcBorders>
            <w:shd w:val="clear" w:color="auto" w:fill="auto"/>
            <w:vAlign w:val="bottom"/>
          </w:tcPr>
          <w:p w14:paraId="4897B6E8" w14:textId="77777777"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550</w:t>
            </w:r>
          </w:p>
        </w:tc>
      </w:tr>
      <w:tr w:rsidR="00721CFD" w:rsidRPr="001B7651" w14:paraId="14065347" w14:textId="77777777" w:rsidTr="007B5BB3">
        <w:trPr>
          <w:trHeight w:val="301"/>
          <w:jc w:val="center"/>
        </w:trPr>
        <w:tc>
          <w:tcPr>
            <w:tcW w:w="4013" w:type="dxa"/>
            <w:tcBorders>
              <w:top w:val="single" w:sz="4" w:space="0" w:color="00688D"/>
              <w:left w:val="nil"/>
              <w:bottom w:val="double" w:sz="6" w:space="0" w:color="00688D"/>
              <w:right w:val="nil"/>
            </w:tcBorders>
            <w:shd w:val="clear" w:color="000000" w:fill="FFFFFF"/>
            <w:vAlign w:val="bottom"/>
            <w:hideMark/>
          </w:tcPr>
          <w:p w14:paraId="5776011F"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Contribution deficiency (excess)</w:t>
            </w:r>
          </w:p>
        </w:tc>
        <w:tc>
          <w:tcPr>
            <w:tcW w:w="1027" w:type="dxa"/>
            <w:tcBorders>
              <w:top w:val="single" w:sz="4" w:space="0" w:color="00688D"/>
              <w:left w:val="nil"/>
              <w:bottom w:val="double" w:sz="6" w:space="0" w:color="00688D"/>
              <w:right w:val="nil"/>
            </w:tcBorders>
            <w:shd w:val="clear" w:color="auto" w:fill="auto"/>
          </w:tcPr>
          <w:p w14:paraId="6515EEAE" w14:textId="5ECF8BB0" w:rsidR="00721CFD" w:rsidRPr="003959B0" w:rsidRDefault="00721CFD" w:rsidP="007B5BB3">
            <w:pPr>
              <w:jc w:val="right"/>
              <w:rPr>
                <w:rFonts w:ascii="Calibri" w:eastAsia="Times New Roman" w:hAnsi="Calibri" w:cs="Calibri"/>
              </w:rPr>
            </w:pPr>
            <w:r w:rsidRPr="003959B0">
              <w:rPr>
                <w:rFonts w:ascii="Calibri" w:eastAsia="Times New Roman" w:hAnsi="Calibri" w:cs="Calibri"/>
              </w:rPr>
              <w:t>$     -</w:t>
            </w:r>
          </w:p>
        </w:tc>
        <w:tc>
          <w:tcPr>
            <w:tcW w:w="1027" w:type="dxa"/>
            <w:tcBorders>
              <w:top w:val="single" w:sz="4" w:space="0" w:color="00688D"/>
              <w:left w:val="nil"/>
              <w:bottom w:val="double" w:sz="6" w:space="0" w:color="00688D"/>
              <w:right w:val="nil"/>
            </w:tcBorders>
            <w:shd w:val="clear" w:color="auto" w:fill="F2F2F2" w:themeFill="background1" w:themeFillShade="F2"/>
            <w:vAlign w:val="bottom"/>
          </w:tcPr>
          <w:p w14:paraId="1572830C" w14:textId="5B2EC9DC"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 xml:space="preserve">$     </w:t>
            </w:r>
            <w:r w:rsidRPr="001B7651">
              <w:rPr>
                <w:rFonts w:ascii="Calibri" w:eastAsia="Times New Roman" w:hAnsi="Calibri" w:cs="Calibri"/>
                <w:color w:val="0D0D0D"/>
              </w:rPr>
              <w:t>-</w:t>
            </w:r>
          </w:p>
        </w:tc>
        <w:tc>
          <w:tcPr>
            <w:tcW w:w="1080" w:type="dxa"/>
            <w:tcBorders>
              <w:top w:val="single" w:sz="4" w:space="0" w:color="00688D"/>
              <w:left w:val="nil"/>
              <w:bottom w:val="double" w:sz="6" w:space="0" w:color="00688D"/>
              <w:right w:val="nil"/>
            </w:tcBorders>
            <w:shd w:val="clear" w:color="000000" w:fill="FFFFFF"/>
            <w:noWrap/>
            <w:hideMark/>
          </w:tcPr>
          <w:p w14:paraId="651A242C" w14:textId="2D02DE7B" w:rsidR="00721CFD" w:rsidRPr="001B7651" w:rsidRDefault="00721CFD" w:rsidP="007B5BB3">
            <w:pPr>
              <w:jc w:val="right"/>
              <w:rPr>
                <w:rFonts w:ascii="Calibri" w:eastAsia="Times New Roman" w:hAnsi="Calibri" w:cs="Calibri"/>
                <w:color w:val="0D0D0D"/>
              </w:rPr>
            </w:pPr>
            <w:r w:rsidRPr="00AF5AF9">
              <w:rPr>
                <w:rFonts w:ascii="Calibri" w:eastAsia="Times New Roman" w:hAnsi="Calibri" w:cs="Calibri"/>
                <w:color w:val="0D0D0D"/>
              </w:rPr>
              <w:t>$     -</w:t>
            </w:r>
          </w:p>
        </w:tc>
        <w:tc>
          <w:tcPr>
            <w:tcW w:w="990" w:type="dxa"/>
            <w:tcBorders>
              <w:top w:val="single" w:sz="4" w:space="0" w:color="00688D"/>
              <w:left w:val="nil"/>
              <w:bottom w:val="double" w:sz="6" w:space="0" w:color="00688D"/>
              <w:right w:val="nil"/>
            </w:tcBorders>
            <w:shd w:val="clear" w:color="auto" w:fill="F2F2F2" w:themeFill="background1" w:themeFillShade="F2"/>
            <w:noWrap/>
            <w:hideMark/>
          </w:tcPr>
          <w:p w14:paraId="36EA8A65" w14:textId="30A4BFE8" w:rsidR="00721CFD" w:rsidRPr="001B7651" w:rsidRDefault="00721CFD" w:rsidP="007B5BB3">
            <w:pPr>
              <w:jc w:val="right"/>
              <w:rPr>
                <w:rFonts w:ascii="Calibri" w:eastAsia="Times New Roman" w:hAnsi="Calibri" w:cs="Calibri"/>
                <w:color w:val="0D0D0D"/>
              </w:rPr>
            </w:pPr>
            <w:r w:rsidRPr="00AF5AF9">
              <w:rPr>
                <w:rFonts w:ascii="Calibri" w:eastAsia="Times New Roman" w:hAnsi="Calibri" w:cs="Calibri"/>
                <w:color w:val="0D0D0D"/>
              </w:rPr>
              <w:t>$     -</w:t>
            </w:r>
          </w:p>
        </w:tc>
        <w:tc>
          <w:tcPr>
            <w:tcW w:w="990" w:type="dxa"/>
            <w:tcBorders>
              <w:top w:val="single" w:sz="4" w:space="0" w:color="00688D"/>
              <w:left w:val="nil"/>
              <w:bottom w:val="double" w:sz="6" w:space="0" w:color="00688D"/>
              <w:right w:val="nil"/>
            </w:tcBorders>
            <w:shd w:val="clear" w:color="000000" w:fill="FFFFFF"/>
            <w:noWrap/>
            <w:hideMark/>
          </w:tcPr>
          <w:p w14:paraId="5ECC196F" w14:textId="3633D23D" w:rsidR="00721CFD" w:rsidRPr="001B7651" w:rsidRDefault="00721CFD">
            <w:pPr>
              <w:jc w:val="right"/>
              <w:rPr>
                <w:rFonts w:ascii="Calibri" w:eastAsia="Times New Roman" w:hAnsi="Calibri" w:cs="Calibri"/>
                <w:color w:val="0D0D0D"/>
              </w:rPr>
            </w:pPr>
            <w:r w:rsidRPr="00CD5016">
              <w:rPr>
                <w:rFonts w:ascii="Calibri" w:eastAsia="Times New Roman" w:hAnsi="Calibri" w:cs="Calibri"/>
                <w:color w:val="0D0D0D"/>
              </w:rPr>
              <w:t>$     -</w:t>
            </w:r>
          </w:p>
        </w:tc>
        <w:tc>
          <w:tcPr>
            <w:tcW w:w="990" w:type="dxa"/>
            <w:tcBorders>
              <w:top w:val="single" w:sz="4" w:space="0" w:color="00688D"/>
              <w:left w:val="nil"/>
              <w:bottom w:val="double" w:sz="6" w:space="0" w:color="00688D"/>
              <w:right w:val="nil"/>
            </w:tcBorders>
            <w:shd w:val="clear" w:color="auto" w:fill="F2F2F2" w:themeFill="background1" w:themeFillShade="F2"/>
            <w:noWrap/>
            <w:hideMark/>
          </w:tcPr>
          <w:p w14:paraId="56F8A1DF" w14:textId="33194973" w:rsidR="00721CFD" w:rsidRPr="001B7651" w:rsidRDefault="00721CFD" w:rsidP="007B5BB3">
            <w:pPr>
              <w:jc w:val="right"/>
              <w:rPr>
                <w:rFonts w:ascii="Calibri" w:eastAsia="Times New Roman" w:hAnsi="Calibri" w:cs="Calibri"/>
                <w:color w:val="0D0D0D"/>
              </w:rPr>
            </w:pPr>
            <w:r w:rsidRPr="00CD5016">
              <w:rPr>
                <w:rFonts w:ascii="Calibri" w:eastAsia="Times New Roman" w:hAnsi="Calibri" w:cs="Calibri"/>
                <w:color w:val="0D0D0D"/>
              </w:rPr>
              <w:t>$     -</w:t>
            </w:r>
          </w:p>
        </w:tc>
        <w:tc>
          <w:tcPr>
            <w:tcW w:w="990" w:type="dxa"/>
            <w:tcBorders>
              <w:top w:val="single" w:sz="4" w:space="0" w:color="00688D"/>
              <w:left w:val="nil"/>
              <w:bottom w:val="double" w:sz="6" w:space="0" w:color="00688D"/>
              <w:right w:val="nil"/>
            </w:tcBorders>
            <w:shd w:val="clear" w:color="000000" w:fill="FFFFFF"/>
            <w:noWrap/>
            <w:vAlign w:val="bottom"/>
            <w:hideMark/>
          </w:tcPr>
          <w:p w14:paraId="1B66CD18" w14:textId="6C239E36"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 xml:space="preserve">$     </w:t>
            </w:r>
            <w:r w:rsidRPr="001B7651">
              <w:rPr>
                <w:rFonts w:ascii="Calibri" w:eastAsia="Times New Roman" w:hAnsi="Calibri" w:cs="Calibri"/>
                <w:color w:val="0D0D0D"/>
              </w:rPr>
              <w:t>-</w:t>
            </w:r>
          </w:p>
        </w:tc>
        <w:tc>
          <w:tcPr>
            <w:tcW w:w="990" w:type="dxa"/>
            <w:tcBorders>
              <w:top w:val="single" w:sz="4" w:space="0" w:color="00688D"/>
              <w:left w:val="nil"/>
              <w:bottom w:val="double" w:sz="6" w:space="0" w:color="00688D"/>
              <w:right w:val="nil"/>
            </w:tcBorders>
            <w:shd w:val="clear" w:color="auto" w:fill="F2F2F2" w:themeFill="background1" w:themeFillShade="F2"/>
            <w:noWrap/>
            <w:vAlign w:val="bottom"/>
            <w:hideMark/>
          </w:tcPr>
          <w:p w14:paraId="51D6C678" w14:textId="2D796ADD"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$(550)</w:t>
            </w:r>
          </w:p>
        </w:tc>
        <w:tc>
          <w:tcPr>
            <w:tcW w:w="900" w:type="dxa"/>
            <w:tcBorders>
              <w:top w:val="single" w:sz="4" w:space="0" w:color="00688D"/>
              <w:left w:val="nil"/>
              <w:bottom w:val="double" w:sz="6" w:space="0" w:color="00688D"/>
              <w:right w:val="nil"/>
            </w:tcBorders>
            <w:shd w:val="clear" w:color="auto" w:fill="auto"/>
            <w:vAlign w:val="bottom"/>
          </w:tcPr>
          <w:p w14:paraId="3788BEA3" w14:textId="260573D5" w:rsidR="00721CFD" w:rsidRPr="001B7651" w:rsidRDefault="00721CFD" w:rsidP="007B5BB3">
            <w:pPr>
              <w:jc w:val="right"/>
              <w:rPr>
                <w:rFonts w:ascii="Calibri" w:eastAsia="Times New Roman" w:hAnsi="Calibri" w:cs="Calibri"/>
                <w:color w:val="0D0D0D"/>
              </w:rPr>
            </w:pPr>
            <w:r>
              <w:rPr>
                <w:rFonts w:ascii="Calibri" w:eastAsia="Times New Roman" w:hAnsi="Calibri" w:cs="Calibri"/>
                <w:color w:val="0D0D0D"/>
              </w:rPr>
              <w:t xml:space="preserve">$     </w:t>
            </w:r>
            <w:r w:rsidRPr="001B7651">
              <w:rPr>
                <w:rFonts w:ascii="Calibri" w:eastAsia="Times New Roman" w:hAnsi="Calibri" w:cs="Calibri"/>
                <w:color w:val="0D0D0D"/>
              </w:rPr>
              <w:t>-</w:t>
            </w:r>
          </w:p>
        </w:tc>
      </w:tr>
      <w:tr w:rsidR="00721CFD" w:rsidRPr="001B7651" w14:paraId="3ADD3DB5" w14:textId="77777777" w:rsidTr="007B5BB3">
        <w:trPr>
          <w:trHeight w:val="301"/>
          <w:jc w:val="center"/>
        </w:trPr>
        <w:tc>
          <w:tcPr>
            <w:tcW w:w="4013" w:type="dxa"/>
            <w:tcBorders>
              <w:top w:val="nil"/>
              <w:left w:val="nil"/>
              <w:bottom w:val="nil"/>
              <w:right w:val="nil"/>
            </w:tcBorders>
            <w:shd w:val="clear" w:color="000000" w:fill="FFFFFF"/>
            <w:noWrap/>
            <w:vAlign w:val="bottom"/>
            <w:hideMark/>
          </w:tcPr>
          <w:p w14:paraId="51B57906"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Covered payroll</w:t>
            </w:r>
          </w:p>
        </w:tc>
        <w:tc>
          <w:tcPr>
            <w:tcW w:w="1027" w:type="dxa"/>
            <w:tcBorders>
              <w:top w:val="nil"/>
              <w:left w:val="nil"/>
              <w:bottom w:val="nil"/>
              <w:right w:val="nil"/>
            </w:tcBorders>
            <w:shd w:val="clear" w:color="auto" w:fill="auto"/>
            <w:vAlign w:val="bottom"/>
          </w:tcPr>
          <w:p w14:paraId="39F0B7CB" w14:textId="3A397A29" w:rsidR="00721CFD" w:rsidRPr="003959B0" w:rsidRDefault="00721CFD" w:rsidP="007B5BB3">
            <w:pPr>
              <w:jc w:val="right"/>
              <w:rPr>
                <w:rFonts w:ascii="Calibri" w:eastAsia="Times New Roman" w:hAnsi="Calibri" w:cs="Calibri"/>
              </w:rPr>
            </w:pPr>
            <w:r w:rsidRPr="003959B0">
              <w:rPr>
                <w:rFonts w:ascii="Calibri" w:eastAsia="Times New Roman" w:hAnsi="Calibri" w:cs="Calibri"/>
              </w:rPr>
              <w:t>$  48</w:t>
            </w:r>
          </w:p>
        </w:tc>
        <w:tc>
          <w:tcPr>
            <w:tcW w:w="1027" w:type="dxa"/>
            <w:tcBorders>
              <w:top w:val="nil"/>
              <w:left w:val="nil"/>
              <w:bottom w:val="nil"/>
              <w:right w:val="nil"/>
            </w:tcBorders>
            <w:shd w:val="clear" w:color="auto" w:fill="F2F2F2" w:themeFill="background1" w:themeFillShade="F2"/>
            <w:vAlign w:val="bottom"/>
          </w:tcPr>
          <w:p w14:paraId="62C7ADB4" w14:textId="4A10512F"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65</w:t>
            </w:r>
          </w:p>
        </w:tc>
        <w:tc>
          <w:tcPr>
            <w:tcW w:w="1080" w:type="dxa"/>
            <w:tcBorders>
              <w:top w:val="nil"/>
              <w:left w:val="nil"/>
              <w:bottom w:val="nil"/>
              <w:right w:val="nil"/>
            </w:tcBorders>
            <w:shd w:val="clear" w:color="000000" w:fill="FFFFFF"/>
            <w:noWrap/>
            <w:vAlign w:val="bottom"/>
            <w:hideMark/>
          </w:tcPr>
          <w:p w14:paraId="215FACC2" w14:textId="062937D5"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68</w:t>
            </w:r>
          </w:p>
        </w:tc>
        <w:tc>
          <w:tcPr>
            <w:tcW w:w="990" w:type="dxa"/>
            <w:tcBorders>
              <w:top w:val="nil"/>
              <w:left w:val="nil"/>
              <w:bottom w:val="nil"/>
              <w:right w:val="nil"/>
            </w:tcBorders>
            <w:shd w:val="clear" w:color="auto" w:fill="F2F2F2" w:themeFill="background1" w:themeFillShade="F2"/>
            <w:noWrap/>
            <w:vAlign w:val="bottom"/>
            <w:hideMark/>
          </w:tcPr>
          <w:p w14:paraId="6E734433" w14:textId="6569C844"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156</w:t>
            </w:r>
          </w:p>
        </w:tc>
        <w:tc>
          <w:tcPr>
            <w:tcW w:w="990" w:type="dxa"/>
            <w:tcBorders>
              <w:top w:val="nil"/>
              <w:left w:val="nil"/>
              <w:bottom w:val="nil"/>
              <w:right w:val="nil"/>
            </w:tcBorders>
            <w:shd w:val="clear" w:color="000000" w:fill="FFFFFF"/>
            <w:noWrap/>
            <w:vAlign w:val="bottom"/>
            <w:hideMark/>
          </w:tcPr>
          <w:p w14:paraId="570C3B6E" w14:textId="507E3B7A"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105</w:t>
            </w:r>
          </w:p>
        </w:tc>
        <w:tc>
          <w:tcPr>
            <w:tcW w:w="990" w:type="dxa"/>
            <w:tcBorders>
              <w:top w:val="nil"/>
              <w:left w:val="nil"/>
              <w:bottom w:val="nil"/>
              <w:right w:val="nil"/>
            </w:tcBorders>
            <w:shd w:val="clear" w:color="auto" w:fill="F2F2F2" w:themeFill="background1" w:themeFillShade="F2"/>
            <w:noWrap/>
            <w:vAlign w:val="bottom"/>
            <w:hideMark/>
          </w:tcPr>
          <w:p w14:paraId="0B50E22D" w14:textId="2B3B6068" w:rsidR="00721CFD" w:rsidRPr="001B7651" w:rsidRDefault="00721CFD">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168</w:t>
            </w:r>
          </w:p>
        </w:tc>
        <w:tc>
          <w:tcPr>
            <w:tcW w:w="990" w:type="dxa"/>
            <w:tcBorders>
              <w:top w:val="nil"/>
              <w:left w:val="nil"/>
              <w:bottom w:val="nil"/>
              <w:right w:val="nil"/>
            </w:tcBorders>
            <w:shd w:val="clear" w:color="000000" w:fill="FFFFFF"/>
            <w:noWrap/>
            <w:vAlign w:val="bottom"/>
            <w:hideMark/>
          </w:tcPr>
          <w:p w14:paraId="39018B73" w14:textId="1FEE3566"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312</w:t>
            </w:r>
          </w:p>
        </w:tc>
        <w:tc>
          <w:tcPr>
            <w:tcW w:w="990" w:type="dxa"/>
            <w:tcBorders>
              <w:top w:val="nil"/>
              <w:left w:val="nil"/>
              <w:bottom w:val="nil"/>
              <w:right w:val="nil"/>
            </w:tcBorders>
            <w:shd w:val="clear" w:color="auto" w:fill="F2F2F2" w:themeFill="background1" w:themeFillShade="F2"/>
            <w:noWrap/>
            <w:vAlign w:val="bottom"/>
            <w:hideMark/>
          </w:tcPr>
          <w:p w14:paraId="0B4F8FF9" w14:textId="108345B3"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 xml:space="preserve">  301</w:t>
            </w:r>
          </w:p>
        </w:tc>
        <w:tc>
          <w:tcPr>
            <w:tcW w:w="900" w:type="dxa"/>
            <w:tcBorders>
              <w:top w:val="nil"/>
              <w:left w:val="nil"/>
              <w:bottom w:val="nil"/>
              <w:right w:val="nil"/>
            </w:tcBorders>
            <w:shd w:val="clear" w:color="auto" w:fill="auto"/>
            <w:vAlign w:val="bottom"/>
          </w:tcPr>
          <w:p w14:paraId="06530B18" w14:textId="1715ADFC" w:rsidR="00721CFD" w:rsidRPr="001B7651" w:rsidRDefault="00721CFD" w:rsidP="007B5BB3">
            <w:pPr>
              <w:jc w:val="right"/>
              <w:rPr>
                <w:rFonts w:ascii="Calibri" w:eastAsia="Times New Roman" w:hAnsi="Calibri" w:cs="Calibri"/>
                <w:color w:val="0D0D0D"/>
              </w:rPr>
            </w:pPr>
            <w:r w:rsidRPr="001B7651">
              <w:rPr>
                <w:rFonts w:ascii="Calibri" w:eastAsia="Times New Roman" w:hAnsi="Calibri" w:cs="Calibri"/>
                <w:color w:val="0D0D0D"/>
              </w:rPr>
              <w:t>$</w:t>
            </w:r>
            <w:r>
              <w:rPr>
                <w:rFonts w:ascii="Calibri" w:eastAsia="Times New Roman" w:hAnsi="Calibri" w:cs="Calibri"/>
                <w:color w:val="0D0D0D"/>
              </w:rPr>
              <w:t>692</w:t>
            </w:r>
          </w:p>
        </w:tc>
      </w:tr>
      <w:tr w:rsidR="00721CFD" w:rsidRPr="001B7651" w14:paraId="02521A79" w14:textId="77777777" w:rsidTr="007B5BB3">
        <w:trPr>
          <w:trHeight w:val="289"/>
          <w:jc w:val="center"/>
        </w:trPr>
        <w:tc>
          <w:tcPr>
            <w:tcW w:w="4013" w:type="dxa"/>
            <w:tcBorders>
              <w:top w:val="nil"/>
              <w:left w:val="nil"/>
              <w:bottom w:val="single" w:sz="4" w:space="0" w:color="00688D"/>
              <w:right w:val="nil"/>
            </w:tcBorders>
            <w:shd w:val="clear" w:color="000000" w:fill="FFFFFF"/>
            <w:vAlign w:val="center"/>
            <w:hideMark/>
          </w:tcPr>
          <w:p w14:paraId="5495261D" w14:textId="77777777" w:rsidR="00721CFD" w:rsidRPr="001B7651" w:rsidRDefault="00721CFD" w:rsidP="007B5BB3">
            <w:pPr>
              <w:rPr>
                <w:rFonts w:ascii="Calibri" w:eastAsia="Times New Roman" w:hAnsi="Calibri" w:cs="Calibri"/>
                <w:color w:val="0D0D0D"/>
              </w:rPr>
            </w:pPr>
            <w:r w:rsidRPr="001B7651">
              <w:rPr>
                <w:rFonts w:ascii="Calibri" w:eastAsia="Times New Roman" w:hAnsi="Calibri" w:cs="Calibri"/>
                <w:color w:val="0D0D0D"/>
              </w:rPr>
              <w:t>Contributions as a percentage of covered payroll</w:t>
            </w:r>
          </w:p>
        </w:tc>
        <w:tc>
          <w:tcPr>
            <w:tcW w:w="1027" w:type="dxa"/>
            <w:tcBorders>
              <w:top w:val="nil"/>
              <w:left w:val="nil"/>
              <w:bottom w:val="single" w:sz="4" w:space="0" w:color="00688D"/>
              <w:right w:val="nil"/>
            </w:tcBorders>
            <w:shd w:val="clear" w:color="auto" w:fill="auto"/>
            <w:vAlign w:val="bottom"/>
          </w:tcPr>
          <w:p w14:paraId="78E40CCF" w14:textId="77777777" w:rsidR="00721CFD" w:rsidRPr="00552DB3" w:rsidRDefault="00721CFD" w:rsidP="007B5BB3">
            <w:pPr>
              <w:jc w:val="right"/>
              <w:rPr>
                <w:rFonts w:ascii="Calibri" w:hAnsi="Calibri" w:cs="Calibri"/>
              </w:rPr>
            </w:pPr>
            <w:r w:rsidRPr="00943CF1">
              <w:rPr>
                <w:rFonts w:ascii="Calibri" w:hAnsi="Calibri" w:cs="Calibri"/>
              </w:rPr>
              <w:t>1392.86%</w:t>
            </w:r>
          </w:p>
        </w:tc>
        <w:tc>
          <w:tcPr>
            <w:tcW w:w="1027" w:type="dxa"/>
            <w:tcBorders>
              <w:top w:val="nil"/>
              <w:left w:val="nil"/>
              <w:bottom w:val="single" w:sz="4" w:space="0" w:color="00688D"/>
              <w:right w:val="nil"/>
            </w:tcBorders>
            <w:shd w:val="clear" w:color="auto" w:fill="F2F2F2" w:themeFill="background1" w:themeFillShade="F2"/>
            <w:vAlign w:val="bottom"/>
          </w:tcPr>
          <w:p w14:paraId="5FCC5F14" w14:textId="77777777" w:rsidR="00721CFD" w:rsidRPr="001B7651" w:rsidRDefault="00721CFD" w:rsidP="007B5BB3">
            <w:pPr>
              <w:jc w:val="right"/>
              <w:rPr>
                <w:rFonts w:ascii="Calibri" w:eastAsia="Times New Roman" w:hAnsi="Calibri" w:cs="Calibri"/>
                <w:color w:val="0D0D0D"/>
              </w:rPr>
            </w:pPr>
            <w:r>
              <w:rPr>
                <w:rFonts w:ascii="Calibri" w:hAnsi="Calibri" w:cs="Calibri"/>
              </w:rPr>
              <w:t>1396.00%</w:t>
            </w:r>
          </w:p>
        </w:tc>
        <w:tc>
          <w:tcPr>
            <w:tcW w:w="1080" w:type="dxa"/>
            <w:tcBorders>
              <w:top w:val="nil"/>
              <w:left w:val="nil"/>
              <w:bottom w:val="single" w:sz="4" w:space="0" w:color="00688D"/>
              <w:right w:val="nil"/>
            </w:tcBorders>
            <w:shd w:val="clear" w:color="000000" w:fill="FFFFFF"/>
            <w:noWrap/>
            <w:vAlign w:val="bottom"/>
            <w:hideMark/>
          </w:tcPr>
          <w:p w14:paraId="3E686219" w14:textId="77777777" w:rsidR="00721CFD" w:rsidRPr="001B7651" w:rsidRDefault="00721CFD" w:rsidP="007B5BB3">
            <w:pPr>
              <w:jc w:val="right"/>
              <w:rPr>
                <w:rFonts w:ascii="Calibri" w:eastAsia="Times New Roman" w:hAnsi="Calibri" w:cs="Calibri"/>
                <w:color w:val="0D0D0D"/>
              </w:rPr>
            </w:pPr>
            <w:r>
              <w:rPr>
                <w:rFonts w:ascii="Calibri" w:hAnsi="Calibri" w:cs="Calibri"/>
                <w:color w:val="0D0D0D"/>
              </w:rPr>
              <w:t>1322.06%</w:t>
            </w:r>
          </w:p>
        </w:tc>
        <w:tc>
          <w:tcPr>
            <w:tcW w:w="990" w:type="dxa"/>
            <w:tcBorders>
              <w:top w:val="nil"/>
              <w:left w:val="nil"/>
              <w:bottom w:val="single" w:sz="4" w:space="0" w:color="00688D"/>
              <w:right w:val="nil"/>
            </w:tcBorders>
            <w:shd w:val="clear" w:color="auto" w:fill="F2F2F2" w:themeFill="background1" w:themeFillShade="F2"/>
            <w:noWrap/>
            <w:vAlign w:val="bottom"/>
            <w:hideMark/>
          </w:tcPr>
          <w:p w14:paraId="45883F22" w14:textId="77777777" w:rsidR="00721CFD" w:rsidRPr="001B7651" w:rsidRDefault="00721CFD" w:rsidP="007B5BB3">
            <w:pPr>
              <w:jc w:val="right"/>
              <w:rPr>
                <w:rFonts w:ascii="Calibri" w:eastAsia="Times New Roman" w:hAnsi="Calibri" w:cs="Calibri"/>
                <w:color w:val="0D0D0D"/>
              </w:rPr>
            </w:pPr>
            <w:r>
              <w:rPr>
                <w:rFonts w:ascii="Calibri" w:hAnsi="Calibri" w:cs="Calibri"/>
                <w:color w:val="0D0D0D"/>
              </w:rPr>
              <w:t>458.23%</w:t>
            </w:r>
          </w:p>
        </w:tc>
        <w:tc>
          <w:tcPr>
            <w:tcW w:w="990" w:type="dxa"/>
            <w:tcBorders>
              <w:top w:val="nil"/>
              <w:left w:val="nil"/>
              <w:bottom w:val="single" w:sz="4" w:space="0" w:color="00688D"/>
              <w:right w:val="nil"/>
            </w:tcBorders>
            <w:shd w:val="clear" w:color="000000" w:fill="FFFFFF"/>
            <w:noWrap/>
            <w:vAlign w:val="bottom"/>
            <w:hideMark/>
          </w:tcPr>
          <w:p w14:paraId="16EAE454" w14:textId="77777777" w:rsidR="00721CFD" w:rsidRPr="001B7651" w:rsidRDefault="00721CFD" w:rsidP="007B5BB3">
            <w:pPr>
              <w:jc w:val="right"/>
              <w:rPr>
                <w:rFonts w:ascii="Calibri" w:eastAsia="Times New Roman" w:hAnsi="Calibri" w:cs="Calibri"/>
                <w:color w:val="0D0D0D"/>
              </w:rPr>
            </w:pPr>
            <w:r>
              <w:rPr>
                <w:rFonts w:ascii="Calibri" w:hAnsi="Calibri" w:cs="Calibri"/>
                <w:color w:val="0D0D0D"/>
              </w:rPr>
              <w:t>664.54%</w:t>
            </w:r>
          </w:p>
        </w:tc>
        <w:tc>
          <w:tcPr>
            <w:tcW w:w="990" w:type="dxa"/>
            <w:tcBorders>
              <w:top w:val="nil"/>
              <w:left w:val="nil"/>
              <w:bottom w:val="single" w:sz="4" w:space="0" w:color="00688D"/>
              <w:right w:val="nil"/>
            </w:tcBorders>
            <w:shd w:val="clear" w:color="auto" w:fill="F2F2F2" w:themeFill="background1" w:themeFillShade="F2"/>
            <w:noWrap/>
            <w:vAlign w:val="bottom"/>
            <w:hideMark/>
          </w:tcPr>
          <w:p w14:paraId="4C463059" w14:textId="77777777" w:rsidR="00721CFD" w:rsidRPr="001B7651" w:rsidRDefault="00721CFD" w:rsidP="007B5BB3">
            <w:pPr>
              <w:jc w:val="right"/>
              <w:rPr>
                <w:rFonts w:ascii="Calibri" w:eastAsia="Times New Roman" w:hAnsi="Calibri" w:cs="Calibri"/>
                <w:color w:val="0D0D0D"/>
              </w:rPr>
            </w:pPr>
            <w:r>
              <w:rPr>
                <w:rFonts w:ascii="Calibri" w:hAnsi="Calibri" w:cs="Calibri"/>
                <w:color w:val="0D0D0D"/>
              </w:rPr>
              <w:t>437.48%</w:t>
            </w:r>
          </w:p>
        </w:tc>
        <w:tc>
          <w:tcPr>
            <w:tcW w:w="990" w:type="dxa"/>
            <w:tcBorders>
              <w:top w:val="nil"/>
              <w:left w:val="nil"/>
              <w:bottom w:val="single" w:sz="4" w:space="0" w:color="00688D"/>
              <w:right w:val="nil"/>
            </w:tcBorders>
            <w:shd w:val="clear" w:color="000000" w:fill="FFFFFF"/>
            <w:noWrap/>
            <w:vAlign w:val="bottom"/>
            <w:hideMark/>
          </w:tcPr>
          <w:p w14:paraId="3BB9AB43" w14:textId="77777777" w:rsidR="00721CFD" w:rsidRPr="001B7651" w:rsidRDefault="00721CFD" w:rsidP="007B5BB3">
            <w:pPr>
              <w:jc w:val="right"/>
              <w:rPr>
                <w:rFonts w:ascii="Calibri" w:eastAsia="Times New Roman" w:hAnsi="Calibri" w:cs="Calibri"/>
                <w:color w:val="0D0D0D"/>
              </w:rPr>
            </w:pPr>
            <w:r>
              <w:rPr>
                <w:rFonts w:ascii="Calibri" w:hAnsi="Calibri" w:cs="Calibri"/>
                <w:color w:val="0D0D0D"/>
              </w:rPr>
              <w:t>172.49%</w:t>
            </w:r>
          </w:p>
        </w:tc>
        <w:tc>
          <w:tcPr>
            <w:tcW w:w="990" w:type="dxa"/>
            <w:tcBorders>
              <w:top w:val="nil"/>
              <w:left w:val="nil"/>
              <w:bottom w:val="single" w:sz="4" w:space="0" w:color="00688D"/>
              <w:right w:val="nil"/>
            </w:tcBorders>
            <w:shd w:val="clear" w:color="auto" w:fill="F2F2F2" w:themeFill="background1" w:themeFillShade="F2"/>
            <w:noWrap/>
            <w:vAlign w:val="bottom"/>
            <w:hideMark/>
          </w:tcPr>
          <w:p w14:paraId="5CEBF684" w14:textId="77777777" w:rsidR="00721CFD" w:rsidRPr="001B7651" w:rsidRDefault="00721CFD" w:rsidP="007B5BB3">
            <w:pPr>
              <w:jc w:val="right"/>
              <w:rPr>
                <w:rFonts w:ascii="Calibri" w:eastAsia="Times New Roman" w:hAnsi="Calibri" w:cs="Calibri"/>
                <w:color w:val="0D0D0D"/>
              </w:rPr>
            </w:pPr>
            <w:r>
              <w:rPr>
                <w:rFonts w:ascii="Calibri" w:hAnsi="Calibri" w:cs="Calibri"/>
                <w:color w:val="0D0D0D"/>
              </w:rPr>
              <w:t>364.84%</w:t>
            </w:r>
          </w:p>
        </w:tc>
        <w:tc>
          <w:tcPr>
            <w:tcW w:w="900" w:type="dxa"/>
            <w:tcBorders>
              <w:top w:val="nil"/>
              <w:left w:val="nil"/>
              <w:bottom w:val="single" w:sz="4" w:space="0" w:color="00688D"/>
              <w:right w:val="nil"/>
            </w:tcBorders>
            <w:shd w:val="clear" w:color="auto" w:fill="auto"/>
            <w:vAlign w:val="bottom"/>
          </w:tcPr>
          <w:p w14:paraId="635D033D" w14:textId="77777777" w:rsidR="00721CFD" w:rsidRPr="001B7651" w:rsidRDefault="00721CFD" w:rsidP="007B5BB3">
            <w:pPr>
              <w:jc w:val="right"/>
              <w:rPr>
                <w:rFonts w:ascii="Calibri" w:eastAsia="Times New Roman" w:hAnsi="Calibri" w:cs="Calibri"/>
                <w:color w:val="0D0D0D"/>
              </w:rPr>
            </w:pPr>
            <w:r>
              <w:rPr>
                <w:rFonts w:ascii="Calibri" w:hAnsi="Calibri" w:cs="Calibri"/>
                <w:color w:val="0D0D0D"/>
              </w:rPr>
              <w:t>79.47%</w:t>
            </w:r>
          </w:p>
        </w:tc>
      </w:tr>
    </w:tbl>
    <w:p w14:paraId="22CE493C" w14:textId="77777777" w:rsidR="00721CFD" w:rsidRPr="00F54559" w:rsidRDefault="00721CFD" w:rsidP="00721CFD">
      <w:pPr>
        <w:widowControl w:val="0"/>
        <w:spacing w:after="240"/>
        <w:rPr>
          <w:rFonts w:eastAsia="Franklin Gothic Book" w:cstheme="minorHAnsi"/>
          <w:b/>
          <w:spacing w:val="1"/>
          <w:sz w:val="28"/>
          <w:szCs w:val="28"/>
        </w:rPr>
      </w:pPr>
    </w:p>
    <w:p w14:paraId="5EDC3BE5" w14:textId="77777777" w:rsidR="00721CFD" w:rsidRPr="0028129F" w:rsidRDefault="00721CFD" w:rsidP="00721CFD">
      <w:pPr>
        <w:pStyle w:val="AFR4"/>
        <w:spacing w:after="240"/>
        <w:rPr>
          <w:rFonts w:eastAsiaTheme="majorEastAsia" w:cstheme="minorHAnsi"/>
          <w:b w:val="0"/>
          <w:iCs/>
          <w:smallCaps/>
          <w:noProof/>
          <w:color w:val="000000" w:themeColor="text1"/>
          <w:sz w:val="26"/>
          <w:szCs w:val="26"/>
          <w:u w:val="none" w:color="5B9BD5"/>
        </w:rPr>
        <w:sectPr w:rsidR="00721CFD" w:rsidRPr="0028129F" w:rsidSect="007B5BB3">
          <w:pgSz w:w="15840" w:h="12240" w:orient="landscape" w:code="1"/>
          <w:pgMar w:top="1440" w:right="1440" w:bottom="1440" w:left="1440" w:header="720" w:footer="720" w:gutter="0"/>
          <w:cols w:space="0"/>
          <w:titlePg/>
          <w:docGrid w:linePitch="360"/>
        </w:sectPr>
      </w:pPr>
    </w:p>
    <w:p w14:paraId="41F29A68" w14:textId="77777777" w:rsidR="00721CFD" w:rsidRDefault="00721CFD" w:rsidP="00721CFD">
      <w:pPr>
        <w:pStyle w:val="AFR4"/>
        <w:spacing w:after="240"/>
        <w:rPr>
          <w:rFonts w:eastAsiaTheme="majorEastAsia" w:cstheme="minorHAnsi"/>
          <w:iCs/>
          <w:smallCaps/>
          <w:noProof/>
          <w:color w:val="000000" w:themeColor="text1"/>
          <w:sz w:val="26"/>
          <w:szCs w:val="26"/>
          <w:u w:val="none" w:color="5B9BD5"/>
        </w:rPr>
      </w:pPr>
      <w:r w:rsidRPr="00A74468">
        <w:rPr>
          <w:rFonts w:eastAsiaTheme="majorEastAsia" w:cstheme="minorHAnsi"/>
          <w:i/>
          <w:iCs/>
          <w:smallCaps/>
          <w:noProof/>
          <w:color w:val="000000" w:themeColor="text1"/>
          <w:sz w:val="26"/>
          <w:szCs w:val="26"/>
          <w:u w:val="none" w:color="5B9BD5"/>
        </w:rPr>
        <w:lastRenderedPageBreak/>
        <w:t>Defined Benefit Pension Plan – continued:</w:t>
      </w:r>
    </w:p>
    <w:p w14:paraId="131A55EF" w14:textId="77777777" w:rsidR="00721CFD" w:rsidRPr="00F54559" w:rsidRDefault="00721CFD" w:rsidP="00721CFD">
      <w:pPr>
        <w:pStyle w:val="Heading3"/>
        <w:rPr>
          <w:rFonts w:asciiTheme="minorHAnsi" w:hAnsiTheme="minorHAnsi" w:cstheme="minorHAnsi"/>
        </w:rPr>
      </w:pPr>
      <w:r w:rsidRPr="00F54559">
        <w:rPr>
          <w:rFonts w:asciiTheme="minorHAnsi" w:hAnsiTheme="minorHAnsi" w:cstheme="minorHAnsi"/>
        </w:rPr>
        <w:t>Notes</w:t>
      </w:r>
      <w:r w:rsidRPr="00F54559">
        <w:rPr>
          <w:rFonts w:asciiTheme="minorHAnsi" w:hAnsiTheme="minorHAnsi" w:cstheme="minorHAnsi"/>
          <w:spacing w:val="-1"/>
        </w:rPr>
        <w:t xml:space="preserve"> </w:t>
      </w:r>
      <w:r w:rsidRPr="00F54559">
        <w:rPr>
          <w:rFonts w:asciiTheme="minorHAnsi" w:hAnsiTheme="minorHAnsi" w:cstheme="minorHAnsi"/>
        </w:rPr>
        <w:t>to</w:t>
      </w:r>
      <w:r w:rsidRPr="00F54559">
        <w:rPr>
          <w:rFonts w:asciiTheme="minorHAnsi" w:hAnsiTheme="minorHAnsi" w:cstheme="minorHAnsi"/>
          <w:spacing w:val="-2"/>
        </w:rPr>
        <w:t xml:space="preserve"> </w:t>
      </w:r>
      <w:r w:rsidRPr="00F54559">
        <w:rPr>
          <w:rFonts w:asciiTheme="minorHAnsi" w:hAnsiTheme="minorHAnsi" w:cstheme="minorHAnsi"/>
          <w:spacing w:val="2"/>
        </w:rPr>
        <w:t>R</w:t>
      </w:r>
      <w:r w:rsidRPr="00F54559">
        <w:rPr>
          <w:rFonts w:asciiTheme="minorHAnsi" w:hAnsiTheme="minorHAnsi" w:cstheme="minorHAnsi"/>
        </w:rPr>
        <w:t>eq</w:t>
      </w:r>
      <w:r w:rsidRPr="00F54559">
        <w:rPr>
          <w:rFonts w:asciiTheme="minorHAnsi" w:hAnsiTheme="minorHAnsi" w:cstheme="minorHAnsi"/>
          <w:spacing w:val="2"/>
        </w:rPr>
        <w:t>ui</w:t>
      </w:r>
      <w:r w:rsidRPr="00F54559">
        <w:rPr>
          <w:rFonts w:asciiTheme="minorHAnsi" w:hAnsiTheme="minorHAnsi" w:cstheme="minorHAnsi"/>
        </w:rPr>
        <w:t>red</w:t>
      </w:r>
      <w:r w:rsidRPr="00F54559">
        <w:rPr>
          <w:rFonts w:asciiTheme="minorHAnsi" w:hAnsiTheme="minorHAnsi" w:cstheme="minorHAnsi"/>
          <w:spacing w:val="-2"/>
        </w:rPr>
        <w:t xml:space="preserve"> </w:t>
      </w:r>
      <w:r w:rsidRPr="00F54559">
        <w:rPr>
          <w:rFonts w:asciiTheme="minorHAnsi" w:hAnsiTheme="minorHAnsi" w:cstheme="minorHAnsi"/>
        </w:rPr>
        <w:t>S</w:t>
      </w:r>
      <w:r w:rsidRPr="00F54559">
        <w:rPr>
          <w:rFonts w:asciiTheme="minorHAnsi" w:hAnsiTheme="minorHAnsi" w:cstheme="minorHAnsi"/>
          <w:spacing w:val="2"/>
        </w:rPr>
        <w:t>u</w:t>
      </w:r>
      <w:r w:rsidRPr="00F54559">
        <w:rPr>
          <w:rFonts w:asciiTheme="minorHAnsi" w:hAnsiTheme="minorHAnsi" w:cstheme="minorHAnsi"/>
        </w:rPr>
        <w:t>pp</w:t>
      </w:r>
      <w:r w:rsidRPr="00F54559">
        <w:rPr>
          <w:rFonts w:asciiTheme="minorHAnsi" w:hAnsiTheme="minorHAnsi" w:cstheme="minorHAnsi"/>
          <w:spacing w:val="2"/>
        </w:rPr>
        <w:t>l</w:t>
      </w:r>
      <w:r w:rsidRPr="00F54559">
        <w:rPr>
          <w:rFonts w:asciiTheme="minorHAnsi" w:hAnsiTheme="minorHAnsi" w:cstheme="minorHAnsi"/>
        </w:rPr>
        <w:t>eme</w:t>
      </w:r>
      <w:r w:rsidRPr="00F54559">
        <w:rPr>
          <w:rFonts w:asciiTheme="minorHAnsi" w:hAnsiTheme="minorHAnsi" w:cstheme="minorHAnsi"/>
          <w:spacing w:val="2"/>
        </w:rPr>
        <w:t>n</w:t>
      </w:r>
      <w:r w:rsidRPr="00F54559">
        <w:rPr>
          <w:rFonts w:asciiTheme="minorHAnsi" w:hAnsiTheme="minorHAnsi" w:cstheme="minorHAnsi"/>
        </w:rPr>
        <w:t>t</w:t>
      </w:r>
      <w:r w:rsidRPr="00F54559">
        <w:rPr>
          <w:rFonts w:asciiTheme="minorHAnsi" w:hAnsiTheme="minorHAnsi" w:cstheme="minorHAnsi"/>
          <w:spacing w:val="2"/>
        </w:rPr>
        <w:t>a</w:t>
      </w:r>
      <w:r w:rsidRPr="00F54559">
        <w:rPr>
          <w:rFonts w:asciiTheme="minorHAnsi" w:hAnsiTheme="minorHAnsi" w:cstheme="minorHAnsi"/>
        </w:rPr>
        <w:t xml:space="preserve">ry </w:t>
      </w:r>
      <w:r w:rsidRPr="00F54559">
        <w:rPr>
          <w:rFonts w:asciiTheme="minorHAnsi" w:hAnsiTheme="minorHAnsi" w:cstheme="minorHAnsi"/>
          <w:spacing w:val="2"/>
        </w:rPr>
        <w:t>Inf</w:t>
      </w:r>
      <w:r w:rsidRPr="00F54559">
        <w:rPr>
          <w:rFonts w:asciiTheme="minorHAnsi" w:hAnsiTheme="minorHAnsi" w:cstheme="minorHAnsi"/>
        </w:rPr>
        <w:t>orm</w:t>
      </w:r>
      <w:r w:rsidRPr="00F54559">
        <w:rPr>
          <w:rFonts w:asciiTheme="minorHAnsi" w:hAnsiTheme="minorHAnsi" w:cstheme="minorHAnsi"/>
          <w:spacing w:val="2"/>
        </w:rPr>
        <w:t>a</w:t>
      </w:r>
      <w:r w:rsidRPr="00F54559">
        <w:rPr>
          <w:rFonts w:asciiTheme="minorHAnsi" w:hAnsiTheme="minorHAnsi" w:cstheme="minorHAnsi"/>
        </w:rPr>
        <w:t>t</w:t>
      </w:r>
      <w:r w:rsidRPr="00F54559">
        <w:rPr>
          <w:rFonts w:asciiTheme="minorHAnsi" w:hAnsiTheme="minorHAnsi" w:cstheme="minorHAnsi"/>
          <w:spacing w:val="2"/>
        </w:rPr>
        <w:t>i</w:t>
      </w:r>
      <w:r w:rsidRPr="00F54559">
        <w:rPr>
          <w:rFonts w:asciiTheme="minorHAnsi" w:hAnsiTheme="minorHAnsi" w:cstheme="minorHAnsi"/>
        </w:rPr>
        <w:t>on:</w:t>
      </w:r>
    </w:p>
    <w:p w14:paraId="745F769B" w14:textId="77777777" w:rsidR="00721CFD" w:rsidRPr="00F54559" w:rsidRDefault="00721CFD" w:rsidP="00721CFD">
      <w:pPr>
        <w:rPr>
          <w:rFonts w:cstheme="minorHAnsi"/>
          <w:sz w:val="24"/>
          <w:szCs w:val="24"/>
        </w:rPr>
      </w:pPr>
      <w:r w:rsidRPr="00F54559">
        <w:rPr>
          <w:rFonts w:cstheme="minorHAnsi"/>
          <w:i/>
          <w:sz w:val="24"/>
          <w:szCs w:val="24"/>
        </w:rPr>
        <w:t>Changes of benefit terms:</w:t>
      </w:r>
      <w:r>
        <w:rPr>
          <w:rFonts w:cstheme="minorHAnsi"/>
          <w:sz w:val="24"/>
          <w:szCs w:val="24"/>
        </w:rPr>
        <w:t xml:space="preserve"> </w:t>
      </w:r>
      <w:r w:rsidRPr="00F54559">
        <w:rPr>
          <w:rFonts w:cstheme="minorHAnsi"/>
          <w:sz w:val="24"/>
          <w:szCs w:val="24"/>
        </w:rPr>
        <w:t>None.</w:t>
      </w:r>
    </w:p>
    <w:p w14:paraId="0D560EC6" w14:textId="77777777" w:rsidR="00721CFD" w:rsidRPr="00F54559" w:rsidRDefault="00721CFD" w:rsidP="00721CFD">
      <w:pPr>
        <w:rPr>
          <w:rFonts w:cstheme="minorHAnsi"/>
          <w:sz w:val="16"/>
          <w:szCs w:val="16"/>
        </w:rPr>
      </w:pPr>
    </w:p>
    <w:p w14:paraId="39817C26" w14:textId="77777777" w:rsidR="00721CFD" w:rsidRDefault="00721CFD" w:rsidP="00721CFD">
      <w:pPr>
        <w:rPr>
          <w:rFonts w:cstheme="minorHAnsi"/>
          <w:i/>
          <w:sz w:val="24"/>
          <w:szCs w:val="24"/>
        </w:rPr>
      </w:pPr>
      <w:r w:rsidRPr="00F54559">
        <w:rPr>
          <w:rFonts w:cstheme="minorHAnsi"/>
          <w:i/>
          <w:sz w:val="24"/>
          <w:szCs w:val="24"/>
        </w:rPr>
        <w:t>Changes of assumptions</w:t>
      </w:r>
      <w:r>
        <w:rPr>
          <w:rFonts w:cstheme="minorHAnsi"/>
          <w:i/>
          <w:sz w:val="24"/>
          <w:szCs w:val="24"/>
        </w:rPr>
        <w:t xml:space="preserve"> and other inputs</w:t>
      </w:r>
      <w:r w:rsidRPr="00F54559">
        <w:rPr>
          <w:rFonts w:cstheme="minorHAnsi"/>
          <w:i/>
          <w:sz w:val="24"/>
          <w:szCs w:val="24"/>
        </w:rPr>
        <w:t>:</w:t>
      </w:r>
    </w:p>
    <w:p w14:paraId="37849CD1" w14:textId="77777777" w:rsidR="00721CFD" w:rsidRPr="00E96223" w:rsidRDefault="00721CFD" w:rsidP="00721CFD">
      <w:pPr>
        <w:rPr>
          <w:rFonts w:cstheme="minorHAnsi"/>
          <w:i/>
          <w:sz w:val="12"/>
          <w:szCs w:val="12"/>
        </w:rPr>
      </w:pPr>
    </w:p>
    <w:p w14:paraId="7580BDB0" w14:textId="77777777" w:rsidR="00721CFD" w:rsidRPr="00CE58EC" w:rsidRDefault="00721CFD" w:rsidP="00721CFD">
      <w:pPr>
        <w:ind w:left="720" w:hanging="720"/>
        <w:rPr>
          <w:rFonts w:cstheme="minorHAnsi"/>
          <w:sz w:val="24"/>
          <w:szCs w:val="24"/>
        </w:rPr>
      </w:pPr>
      <w:r w:rsidRPr="00CE58EC">
        <w:rPr>
          <w:rFonts w:cstheme="minorHAnsi"/>
          <w:sz w:val="24"/>
          <w:szCs w:val="24"/>
        </w:rPr>
        <w:t>2022</w:t>
      </w:r>
      <w:r w:rsidRPr="003959B0">
        <w:rPr>
          <w:rFonts w:cstheme="minorHAnsi"/>
          <w:sz w:val="24"/>
          <w:szCs w:val="24"/>
        </w:rPr>
        <w:t>:</w:t>
      </w:r>
      <w:r w:rsidRPr="003959B0">
        <w:rPr>
          <w:rFonts w:cstheme="minorHAnsi"/>
          <w:sz w:val="24"/>
          <w:szCs w:val="24"/>
        </w:rPr>
        <w:tab/>
        <w:t>None</w:t>
      </w:r>
    </w:p>
    <w:p w14:paraId="66F9F8E1" w14:textId="77777777" w:rsidR="00721CFD" w:rsidRPr="002749F4" w:rsidRDefault="00721CFD" w:rsidP="00721CFD">
      <w:pPr>
        <w:ind w:left="720" w:hanging="720"/>
        <w:rPr>
          <w:rFonts w:cstheme="minorHAnsi"/>
          <w:sz w:val="24"/>
          <w:szCs w:val="24"/>
        </w:rPr>
      </w:pPr>
      <w:r w:rsidRPr="002749F4">
        <w:rPr>
          <w:rFonts w:cstheme="minorHAnsi"/>
          <w:sz w:val="24"/>
          <w:szCs w:val="24"/>
        </w:rPr>
        <w:t>2021:</w:t>
      </w:r>
      <w:r w:rsidRPr="002749F4">
        <w:rPr>
          <w:rFonts w:cstheme="minorHAnsi"/>
          <w:sz w:val="24"/>
          <w:szCs w:val="24"/>
        </w:rPr>
        <w:tab/>
      </w:r>
      <w:r w:rsidRPr="002749F4">
        <w:rPr>
          <w:rFonts w:eastAsia="Franklin Gothic Book" w:cstheme="minorHAnsi"/>
          <w:spacing w:val="-1"/>
          <w:sz w:val="24"/>
          <w:szCs w:val="24"/>
        </w:rPr>
        <w:t>Th</w:t>
      </w:r>
      <w:r w:rsidRPr="002749F4">
        <w:rPr>
          <w:rFonts w:cstheme="minorHAnsi"/>
          <w:sz w:val="24"/>
          <w:szCs w:val="24"/>
        </w:rPr>
        <w:t>e mortality tables were updated to the Pub-2010 amount-weighted mortality tables with scale MP-2020</w:t>
      </w:r>
    </w:p>
    <w:p w14:paraId="1ECDB7F7" w14:textId="77777777" w:rsidR="00721CFD" w:rsidRPr="002749F4" w:rsidRDefault="00721CFD" w:rsidP="00721CFD">
      <w:pPr>
        <w:ind w:left="720" w:hanging="720"/>
        <w:rPr>
          <w:rFonts w:cstheme="minorHAnsi"/>
          <w:sz w:val="24"/>
          <w:szCs w:val="24"/>
        </w:rPr>
      </w:pPr>
      <w:r w:rsidRPr="002749F4">
        <w:rPr>
          <w:rFonts w:cstheme="minorHAnsi"/>
          <w:sz w:val="24"/>
          <w:szCs w:val="24"/>
        </w:rPr>
        <w:t>2020:</w:t>
      </w:r>
      <w:r w:rsidRPr="002749F4">
        <w:rPr>
          <w:rFonts w:cstheme="minorHAnsi"/>
          <w:sz w:val="24"/>
          <w:szCs w:val="24"/>
        </w:rPr>
        <w:tab/>
        <w:t>None</w:t>
      </w:r>
    </w:p>
    <w:p w14:paraId="55174B9B" w14:textId="77777777" w:rsidR="00721CFD" w:rsidRPr="002749F4" w:rsidRDefault="00721CFD" w:rsidP="00721CFD">
      <w:pPr>
        <w:ind w:left="720" w:hanging="720"/>
        <w:rPr>
          <w:rFonts w:cstheme="minorHAnsi"/>
          <w:sz w:val="24"/>
          <w:szCs w:val="24"/>
        </w:rPr>
      </w:pPr>
      <w:r w:rsidRPr="002749F4">
        <w:rPr>
          <w:rFonts w:cstheme="minorHAnsi"/>
          <w:sz w:val="24"/>
          <w:szCs w:val="24"/>
        </w:rPr>
        <w:t>2019:</w:t>
      </w:r>
      <w:r w:rsidRPr="002749F4">
        <w:rPr>
          <w:rFonts w:cstheme="minorHAnsi"/>
          <w:sz w:val="24"/>
          <w:szCs w:val="24"/>
        </w:rPr>
        <w:tab/>
        <w:t>The mortality tables were updated to reflect more recent mortality tables and generational mortality improvement.</w:t>
      </w:r>
    </w:p>
    <w:p w14:paraId="79BC6115" w14:textId="77777777" w:rsidR="00721CFD" w:rsidRPr="002749F4" w:rsidRDefault="00721CFD" w:rsidP="00721CFD">
      <w:pPr>
        <w:rPr>
          <w:rFonts w:cstheme="minorHAnsi"/>
          <w:sz w:val="24"/>
          <w:szCs w:val="24"/>
        </w:rPr>
      </w:pPr>
      <w:r w:rsidRPr="002749F4">
        <w:rPr>
          <w:rFonts w:cstheme="minorHAnsi"/>
          <w:sz w:val="24"/>
          <w:szCs w:val="24"/>
        </w:rPr>
        <w:t xml:space="preserve">2018: </w:t>
      </w:r>
      <w:r w:rsidRPr="002749F4">
        <w:rPr>
          <w:rFonts w:cstheme="minorHAnsi"/>
          <w:sz w:val="24"/>
          <w:szCs w:val="24"/>
        </w:rPr>
        <w:tab/>
        <w:t>None</w:t>
      </w:r>
    </w:p>
    <w:p w14:paraId="4AE5526C" w14:textId="77777777" w:rsidR="00721CFD" w:rsidRPr="002749F4" w:rsidRDefault="00721CFD" w:rsidP="00721CFD">
      <w:pPr>
        <w:rPr>
          <w:rFonts w:cstheme="minorHAnsi"/>
          <w:sz w:val="24"/>
          <w:szCs w:val="24"/>
        </w:rPr>
      </w:pPr>
      <w:r w:rsidRPr="002749F4">
        <w:rPr>
          <w:rFonts w:cstheme="minorHAnsi"/>
          <w:sz w:val="24"/>
          <w:szCs w:val="24"/>
        </w:rPr>
        <w:t>2017:</w:t>
      </w:r>
      <w:r w:rsidRPr="002749F4">
        <w:rPr>
          <w:rFonts w:cstheme="minorHAnsi"/>
          <w:sz w:val="24"/>
          <w:szCs w:val="24"/>
        </w:rPr>
        <w:tab/>
        <w:t>None</w:t>
      </w:r>
    </w:p>
    <w:p w14:paraId="5A97D35F" w14:textId="77777777" w:rsidR="00721CFD" w:rsidRPr="002749F4" w:rsidRDefault="00721CFD" w:rsidP="00721CFD">
      <w:pPr>
        <w:ind w:left="720" w:hanging="720"/>
        <w:rPr>
          <w:rFonts w:cstheme="minorHAnsi"/>
          <w:sz w:val="24"/>
          <w:szCs w:val="24"/>
        </w:rPr>
      </w:pPr>
      <w:r w:rsidRPr="002749F4">
        <w:rPr>
          <w:rFonts w:cstheme="minorHAnsi"/>
          <w:sz w:val="24"/>
          <w:szCs w:val="24"/>
        </w:rPr>
        <w:t xml:space="preserve">2016: </w:t>
      </w:r>
      <w:r w:rsidRPr="002749F4">
        <w:rPr>
          <w:rFonts w:cstheme="minorHAnsi"/>
          <w:sz w:val="24"/>
          <w:szCs w:val="24"/>
        </w:rPr>
        <w:tab/>
        <w:t>The investment return rate was changed from 6.75% to 6.25% and the administrative expense assumption was changed from $50, increasing by 3% per year, to $30, increasing by 2% per year up to a maximum of $70.</w:t>
      </w:r>
    </w:p>
    <w:p w14:paraId="0D94D10F" w14:textId="77777777" w:rsidR="00721CFD" w:rsidRPr="00F54559" w:rsidRDefault="00721CFD" w:rsidP="00721CFD">
      <w:pPr>
        <w:ind w:left="720" w:hanging="720"/>
        <w:rPr>
          <w:rFonts w:cstheme="minorHAnsi"/>
          <w:sz w:val="24"/>
          <w:szCs w:val="24"/>
        </w:rPr>
      </w:pPr>
      <w:r w:rsidRPr="002749F4">
        <w:rPr>
          <w:rFonts w:cstheme="minorHAnsi"/>
          <w:sz w:val="24"/>
          <w:szCs w:val="24"/>
        </w:rPr>
        <w:t>2015:</w:t>
      </w:r>
      <w:r w:rsidRPr="002749F4">
        <w:rPr>
          <w:rFonts w:cstheme="minorHAnsi"/>
          <w:sz w:val="24"/>
          <w:szCs w:val="24"/>
        </w:rPr>
        <w:tab/>
        <w:t>The actuarial funding method was changed from Projected Unit Credit to Entry Age</w:t>
      </w:r>
      <w:r w:rsidRPr="00F54559">
        <w:rPr>
          <w:rFonts w:cstheme="minorHAnsi"/>
          <w:sz w:val="24"/>
          <w:szCs w:val="24"/>
        </w:rPr>
        <w:t xml:space="preserve"> Normal, the investment return rate was changed from 7.25% to 6.75% and the administrative expense assumption was changed from $90 per year to $50 per year. </w:t>
      </w:r>
    </w:p>
    <w:p w14:paraId="2124F55B" w14:textId="77777777" w:rsidR="00721CFD" w:rsidRPr="00F54559" w:rsidRDefault="00721CFD" w:rsidP="00721CFD">
      <w:pPr>
        <w:ind w:left="720" w:hanging="720"/>
        <w:rPr>
          <w:rFonts w:cstheme="minorHAnsi"/>
          <w:sz w:val="24"/>
          <w:szCs w:val="24"/>
        </w:rPr>
      </w:pPr>
    </w:p>
    <w:p w14:paraId="21E573C9" w14:textId="77777777" w:rsidR="00721CFD" w:rsidRPr="00F54559" w:rsidRDefault="00721CFD" w:rsidP="00721CFD">
      <w:pPr>
        <w:rPr>
          <w:rFonts w:cstheme="minorHAnsi"/>
          <w:i/>
          <w:sz w:val="24"/>
          <w:szCs w:val="24"/>
        </w:rPr>
      </w:pPr>
      <w:r w:rsidRPr="00F54559">
        <w:rPr>
          <w:rFonts w:cstheme="minorHAnsi"/>
          <w:i/>
          <w:sz w:val="24"/>
          <w:szCs w:val="24"/>
        </w:rPr>
        <w:t>Methods and assumptions used in calculations of actuarially determined contributions:</w:t>
      </w:r>
    </w:p>
    <w:p w14:paraId="7A97A3AF" w14:textId="77777777" w:rsidR="00721CFD" w:rsidRPr="00F54559" w:rsidRDefault="00721CFD" w:rsidP="00721CFD">
      <w:pPr>
        <w:widowControl w:val="0"/>
        <w:spacing w:before="120"/>
        <w:rPr>
          <w:rFonts w:cstheme="minorHAnsi"/>
          <w:sz w:val="24"/>
          <w:szCs w:val="20"/>
        </w:rPr>
      </w:pPr>
      <w:r w:rsidRPr="00F54559">
        <w:rPr>
          <w:rFonts w:cstheme="minorHAnsi"/>
          <w:sz w:val="24"/>
          <w:szCs w:val="20"/>
        </w:rPr>
        <w:t>The actuarially determined contributions in the schedule of employers' contributions are calculated as of July 1, one year prior to the end of the fiscal year in which contributions are reported. The following actuarial methods and assumptions were used to determine contributions reported in that schedule:</w:t>
      </w:r>
    </w:p>
    <w:p w14:paraId="266F5D39" w14:textId="77777777" w:rsidR="00721CFD" w:rsidRPr="00F54559" w:rsidRDefault="00721CFD" w:rsidP="00721CFD">
      <w:pPr>
        <w:ind w:left="720" w:hanging="720"/>
        <w:rPr>
          <w:rFonts w:cstheme="minorHAnsi"/>
          <w:sz w:val="24"/>
          <w:szCs w:val="24"/>
        </w:rPr>
      </w:pPr>
    </w:p>
    <w:tbl>
      <w:tblPr>
        <w:tblStyle w:val="TableGrid2"/>
        <w:tblW w:w="477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ctuarial cost method since 2015 has been entry age normal.  Asset valuation method has been the market value of assets.  Inflation has decreased from 3.25% in 2015 to 2.6% in 2019.  Salary and payroll increases are assumed to be 3.5% per year.  The investment rate of return/discount rate has been 6.25% since 2016."/>
      </w:tblPr>
      <w:tblGrid>
        <w:gridCol w:w="2798"/>
        <w:gridCol w:w="6135"/>
      </w:tblGrid>
      <w:tr w:rsidR="00721CFD" w:rsidRPr="00A454B4" w14:paraId="40AC7F43" w14:textId="77777777" w:rsidTr="007B5BB3">
        <w:trPr>
          <w:trHeight w:val="252"/>
          <w:tblHeader/>
          <w:jc w:val="center"/>
        </w:trPr>
        <w:tc>
          <w:tcPr>
            <w:tcW w:w="1566" w:type="pct"/>
          </w:tcPr>
          <w:p w14:paraId="195815DF" w14:textId="77777777" w:rsidR="00721CFD" w:rsidRPr="00F54559" w:rsidRDefault="00721CFD" w:rsidP="007B5BB3">
            <w:pPr>
              <w:widowControl w:val="0"/>
              <w:rPr>
                <w:rFonts w:cstheme="minorHAnsi"/>
                <w:sz w:val="24"/>
                <w:szCs w:val="20"/>
              </w:rPr>
            </w:pPr>
            <w:r w:rsidRPr="00F54559">
              <w:rPr>
                <w:rFonts w:eastAsia="Franklin Gothic Book" w:cstheme="minorHAnsi"/>
                <w:spacing w:val="-2"/>
                <w:sz w:val="24"/>
              </w:rPr>
              <w:t>A</w:t>
            </w:r>
            <w:r w:rsidRPr="00F54559">
              <w:rPr>
                <w:rFonts w:eastAsia="Franklin Gothic Book" w:cstheme="minorHAnsi"/>
                <w:sz w:val="24"/>
              </w:rPr>
              <w:t>ctua</w:t>
            </w:r>
            <w:r w:rsidRPr="00F54559">
              <w:rPr>
                <w:rFonts w:eastAsia="Franklin Gothic Book" w:cstheme="minorHAnsi"/>
                <w:spacing w:val="-1"/>
                <w:sz w:val="24"/>
              </w:rPr>
              <w:t>r</w:t>
            </w:r>
            <w:r w:rsidRPr="00F54559">
              <w:rPr>
                <w:rFonts w:eastAsia="Franklin Gothic Book" w:cstheme="minorHAnsi"/>
                <w:sz w:val="24"/>
              </w:rPr>
              <w:t>ial</w:t>
            </w:r>
            <w:r w:rsidRPr="00F54559">
              <w:rPr>
                <w:rFonts w:eastAsia="Franklin Gothic Book" w:cstheme="minorHAnsi"/>
                <w:spacing w:val="-2"/>
                <w:sz w:val="24"/>
              </w:rPr>
              <w:t xml:space="preserve"> </w:t>
            </w:r>
            <w:r w:rsidRPr="00F54559">
              <w:rPr>
                <w:rFonts w:eastAsia="Franklin Gothic Book" w:cstheme="minorHAnsi"/>
                <w:spacing w:val="1"/>
                <w:sz w:val="24"/>
              </w:rPr>
              <w:t>c</w:t>
            </w:r>
            <w:r w:rsidRPr="00F54559">
              <w:rPr>
                <w:rFonts w:eastAsia="Franklin Gothic Book" w:cstheme="minorHAnsi"/>
                <w:sz w:val="24"/>
              </w:rPr>
              <w:t>ost method</w:t>
            </w:r>
          </w:p>
        </w:tc>
        <w:tc>
          <w:tcPr>
            <w:tcW w:w="3434" w:type="pct"/>
          </w:tcPr>
          <w:p w14:paraId="634BCE65" w14:textId="77777777" w:rsidR="00721CFD" w:rsidRPr="00A4427D" w:rsidRDefault="00721CFD" w:rsidP="007B5BB3">
            <w:pPr>
              <w:widowControl w:val="0"/>
              <w:rPr>
                <w:rFonts w:eastAsia="Franklin Gothic Book" w:cstheme="minorHAnsi"/>
                <w:spacing w:val="-2"/>
                <w:sz w:val="24"/>
              </w:rPr>
            </w:pPr>
            <w:r w:rsidRPr="00A4427D">
              <w:rPr>
                <w:rFonts w:eastAsia="Franklin Gothic Book" w:cstheme="minorHAnsi"/>
                <w:spacing w:val="-2"/>
                <w:sz w:val="24"/>
              </w:rPr>
              <w:t>2015 to 202</w:t>
            </w:r>
            <w:r w:rsidRPr="003959B0">
              <w:rPr>
                <w:rFonts w:eastAsia="Franklin Gothic Book" w:cstheme="minorHAnsi"/>
                <w:spacing w:val="-2"/>
                <w:sz w:val="24"/>
              </w:rPr>
              <w:t>2</w:t>
            </w:r>
            <w:r w:rsidRPr="00A4427D">
              <w:rPr>
                <w:rFonts w:eastAsia="Franklin Gothic Book" w:cstheme="minorHAnsi"/>
                <w:spacing w:val="-2"/>
                <w:sz w:val="24"/>
              </w:rPr>
              <w:t>:  E</w:t>
            </w:r>
            <w:r w:rsidRPr="00A4427D">
              <w:rPr>
                <w:rFonts w:eastAsia="Franklin Gothic Book" w:cstheme="minorHAnsi"/>
                <w:sz w:val="24"/>
              </w:rPr>
              <w:t>nt</w:t>
            </w:r>
            <w:r w:rsidRPr="00A4427D">
              <w:rPr>
                <w:rFonts w:eastAsia="Franklin Gothic Book" w:cstheme="minorHAnsi"/>
                <w:spacing w:val="-1"/>
                <w:sz w:val="24"/>
              </w:rPr>
              <w:t>r</w:t>
            </w:r>
            <w:r w:rsidRPr="00A4427D">
              <w:rPr>
                <w:rFonts w:eastAsia="Franklin Gothic Book" w:cstheme="minorHAnsi"/>
                <w:sz w:val="24"/>
              </w:rPr>
              <w:t>y</w:t>
            </w:r>
            <w:r w:rsidRPr="00A4427D">
              <w:rPr>
                <w:rFonts w:eastAsia="Franklin Gothic Book" w:cstheme="minorHAnsi"/>
                <w:spacing w:val="-8"/>
                <w:sz w:val="24"/>
              </w:rPr>
              <w:t xml:space="preserve"> a</w:t>
            </w:r>
            <w:r w:rsidRPr="00A4427D">
              <w:rPr>
                <w:rFonts w:eastAsia="Franklin Gothic Book" w:cstheme="minorHAnsi"/>
                <w:sz w:val="24"/>
              </w:rPr>
              <w:t>ge</w:t>
            </w:r>
            <w:r w:rsidRPr="00A4427D">
              <w:rPr>
                <w:rFonts w:eastAsia="Franklin Gothic Book" w:cstheme="minorHAnsi"/>
                <w:spacing w:val="-6"/>
                <w:sz w:val="24"/>
              </w:rPr>
              <w:t xml:space="preserve"> n</w:t>
            </w:r>
            <w:r w:rsidRPr="00A4427D">
              <w:rPr>
                <w:rFonts w:eastAsia="Franklin Gothic Book" w:cstheme="minorHAnsi"/>
                <w:sz w:val="24"/>
              </w:rPr>
              <w:t>o</w:t>
            </w:r>
            <w:r w:rsidRPr="00A4427D">
              <w:rPr>
                <w:rFonts w:eastAsia="Franklin Gothic Book" w:cstheme="minorHAnsi"/>
                <w:spacing w:val="-2"/>
                <w:sz w:val="24"/>
              </w:rPr>
              <w:t>r</w:t>
            </w:r>
            <w:r w:rsidRPr="00A4427D">
              <w:rPr>
                <w:rFonts w:eastAsia="Franklin Gothic Book" w:cstheme="minorHAnsi"/>
                <w:sz w:val="24"/>
              </w:rPr>
              <w:t>mal</w:t>
            </w:r>
          </w:p>
          <w:p w14:paraId="6E39F658" w14:textId="77777777" w:rsidR="00721CFD" w:rsidRPr="003959B0" w:rsidRDefault="00721CFD" w:rsidP="007B5BB3">
            <w:pPr>
              <w:widowControl w:val="0"/>
              <w:rPr>
                <w:rFonts w:cstheme="minorHAnsi"/>
                <w:sz w:val="16"/>
                <w:szCs w:val="16"/>
              </w:rPr>
            </w:pPr>
            <w:r w:rsidRPr="00A4427D">
              <w:rPr>
                <w:rFonts w:eastAsia="Franklin Gothic Book" w:cstheme="minorHAnsi"/>
                <w:spacing w:val="-2"/>
                <w:sz w:val="24"/>
              </w:rPr>
              <w:t>2014:  Projected Unit Credit</w:t>
            </w:r>
          </w:p>
        </w:tc>
      </w:tr>
      <w:tr w:rsidR="00721CFD" w:rsidRPr="00A454B4" w14:paraId="16900A1D" w14:textId="77777777" w:rsidTr="007B5BB3">
        <w:trPr>
          <w:trHeight w:val="252"/>
          <w:jc w:val="center"/>
        </w:trPr>
        <w:tc>
          <w:tcPr>
            <w:tcW w:w="1566" w:type="pct"/>
          </w:tcPr>
          <w:p w14:paraId="349AF965" w14:textId="77777777" w:rsidR="00721CFD" w:rsidRPr="00F54559" w:rsidRDefault="00721CFD" w:rsidP="007B5BB3">
            <w:pPr>
              <w:widowControl w:val="0"/>
              <w:rPr>
                <w:rFonts w:cstheme="minorHAnsi"/>
                <w:sz w:val="24"/>
                <w:szCs w:val="20"/>
              </w:rPr>
            </w:pPr>
            <w:r w:rsidRPr="00F54559">
              <w:rPr>
                <w:rFonts w:eastAsia="Franklin Gothic Book" w:cstheme="minorHAnsi"/>
                <w:spacing w:val="-2"/>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v</w:t>
            </w:r>
            <w:r w:rsidRPr="00F54559">
              <w:rPr>
                <w:rFonts w:eastAsia="Franklin Gothic Book" w:cstheme="minorHAnsi"/>
                <w:sz w:val="24"/>
              </w:rPr>
              <w:t>alua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2"/>
                <w:sz w:val="24"/>
              </w:rPr>
              <w:t xml:space="preserve"> </w:t>
            </w:r>
            <w:r w:rsidRPr="00F54559">
              <w:rPr>
                <w:rFonts w:eastAsia="Franklin Gothic Book" w:cstheme="minorHAnsi"/>
                <w:spacing w:val="1"/>
                <w:sz w:val="24"/>
              </w:rPr>
              <w:t>m</w:t>
            </w:r>
            <w:r w:rsidRPr="00F54559">
              <w:rPr>
                <w:rFonts w:eastAsia="Franklin Gothic Book" w:cstheme="minorHAnsi"/>
                <w:sz w:val="24"/>
              </w:rPr>
              <w:t>ethod</w:t>
            </w:r>
          </w:p>
        </w:tc>
        <w:tc>
          <w:tcPr>
            <w:tcW w:w="3434" w:type="pct"/>
          </w:tcPr>
          <w:p w14:paraId="385E592E" w14:textId="77777777" w:rsidR="00721CFD" w:rsidRPr="00A4427D" w:rsidRDefault="00721CFD" w:rsidP="007B5BB3">
            <w:pPr>
              <w:widowControl w:val="0"/>
              <w:rPr>
                <w:rFonts w:cstheme="minorHAnsi"/>
                <w:sz w:val="24"/>
                <w:szCs w:val="20"/>
              </w:rPr>
            </w:pPr>
            <w:r w:rsidRPr="00A4427D">
              <w:rPr>
                <w:rFonts w:eastAsia="Franklin Gothic Book" w:cstheme="minorHAnsi"/>
                <w:sz w:val="24"/>
              </w:rPr>
              <w:t>The actuarial value of assets is the market value of assets.</w:t>
            </w:r>
          </w:p>
        </w:tc>
      </w:tr>
      <w:tr w:rsidR="00721CFD" w:rsidRPr="00A454B4" w14:paraId="087238F6" w14:textId="77777777" w:rsidTr="007B5BB3">
        <w:trPr>
          <w:trHeight w:val="252"/>
          <w:jc w:val="center"/>
        </w:trPr>
        <w:tc>
          <w:tcPr>
            <w:tcW w:w="1566" w:type="pct"/>
          </w:tcPr>
          <w:p w14:paraId="2EE0AA31" w14:textId="77777777" w:rsidR="00721CFD" w:rsidRPr="00F54559" w:rsidRDefault="00721CFD" w:rsidP="007B5BB3">
            <w:pPr>
              <w:widowControl w:val="0"/>
              <w:rPr>
                <w:rFonts w:cstheme="minorHAnsi"/>
                <w:sz w:val="24"/>
                <w:szCs w:val="20"/>
              </w:rPr>
            </w:pP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tc>
        <w:tc>
          <w:tcPr>
            <w:tcW w:w="3434" w:type="pct"/>
          </w:tcPr>
          <w:p w14:paraId="7BEDE15B" w14:textId="77777777" w:rsidR="00721CFD" w:rsidRPr="00A4427D" w:rsidRDefault="00721CFD" w:rsidP="007B5BB3">
            <w:pPr>
              <w:widowControl w:val="0"/>
              <w:rPr>
                <w:rFonts w:eastAsia="Franklin Gothic Book" w:cstheme="minorHAnsi"/>
                <w:sz w:val="24"/>
              </w:rPr>
            </w:pPr>
            <w:r w:rsidRPr="00A4427D">
              <w:rPr>
                <w:rFonts w:eastAsia="Franklin Gothic Book" w:cstheme="minorHAnsi"/>
                <w:sz w:val="24"/>
              </w:rPr>
              <w:t>202</w:t>
            </w:r>
            <w:r>
              <w:rPr>
                <w:rFonts w:eastAsia="Franklin Gothic Book" w:cstheme="minorHAnsi"/>
                <w:sz w:val="24"/>
              </w:rPr>
              <w:t>1</w:t>
            </w:r>
            <w:r w:rsidRPr="003959B0">
              <w:rPr>
                <w:rFonts w:eastAsia="Franklin Gothic Book" w:cstheme="minorHAnsi"/>
                <w:sz w:val="24"/>
              </w:rPr>
              <w:t xml:space="preserve"> to 2022</w:t>
            </w:r>
            <w:r w:rsidRPr="00A4427D">
              <w:rPr>
                <w:rFonts w:eastAsia="Franklin Gothic Book" w:cstheme="minorHAnsi"/>
                <w:sz w:val="24"/>
              </w:rPr>
              <w:t xml:space="preserve">: 2.5% per year </w:t>
            </w:r>
          </w:p>
          <w:p w14:paraId="6FEB4BCE" w14:textId="77777777" w:rsidR="00721CFD" w:rsidRPr="00A4427D" w:rsidRDefault="00721CFD" w:rsidP="007B5BB3">
            <w:pPr>
              <w:widowControl w:val="0"/>
              <w:rPr>
                <w:rFonts w:eastAsia="Franklin Gothic Book" w:cstheme="minorHAnsi"/>
                <w:sz w:val="24"/>
              </w:rPr>
            </w:pPr>
            <w:r w:rsidRPr="00A4427D">
              <w:rPr>
                <w:rFonts w:eastAsia="Franklin Gothic Book" w:cstheme="minorHAnsi"/>
                <w:sz w:val="24"/>
              </w:rPr>
              <w:t>2020: 2.4% per year</w:t>
            </w:r>
          </w:p>
          <w:p w14:paraId="30C7FF78" w14:textId="77777777" w:rsidR="00721CFD" w:rsidRPr="00A4427D" w:rsidRDefault="00721CFD" w:rsidP="007B5BB3">
            <w:pPr>
              <w:widowControl w:val="0"/>
              <w:rPr>
                <w:rFonts w:eastAsia="Franklin Gothic Book" w:cstheme="minorHAnsi"/>
                <w:sz w:val="24"/>
              </w:rPr>
            </w:pPr>
            <w:r w:rsidRPr="00A4427D">
              <w:rPr>
                <w:rFonts w:eastAsia="Franklin Gothic Book" w:cstheme="minorHAnsi"/>
                <w:sz w:val="24"/>
              </w:rPr>
              <w:t>2019: 2.6% per year</w:t>
            </w:r>
          </w:p>
          <w:p w14:paraId="03A06C26" w14:textId="77777777" w:rsidR="00721CFD" w:rsidRPr="00A4427D" w:rsidRDefault="00721CFD" w:rsidP="007B5BB3">
            <w:pPr>
              <w:widowControl w:val="0"/>
              <w:rPr>
                <w:rFonts w:eastAsia="Franklin Gothic Book" w:cstheme="minorHAnsi"/>
                <w:sz w:val="24"/>
              </w:rPr>
            </w:pPr>
            <w:r w:rsidRPr="00A4427D">
              <w:rPr>
                <w:rFonts w:eastAsia="Franklin Gothic Book" w:cstheme="minorHAnsi"/>
                <w:sz w:val="24"/>
              </w:rPr>
              <w:t>2016 to 2018:  3% per year</w:t>
            </w:r>
          </w:p>
          <w:p w14:paraId="3C61A135" w14:textId="77777777" w:rsidR="00721CFD" w:rsidRPr="003959B0" w:rsidRDefault="00721CFD" w:rsidP="007B5BB3">
            <w:pPr>
              <w:widowControl w:val="0"/>
              <w:rPr>
                <w:rFonts w:cstheme="minorHAnsi"/>
                <w:sz w:val="16"/>
                <w:szCs w:val="16"/>
              </w:rPr>
            </w:pPr>
            <w:r w:rsidRPr="00A4427D">
              <w:rPr>
                <w:rFonts w:eastAsia="Franklin Gothic Book" w:cstheme="minorHAnsi"/>
                <w:sz w:val="24"/>
              </w:rPr>
              <w:t>2015: 3.25% per year</w:t>
            </w:r>
          </w:p>
        </w:tc>
      </w:tr>
      <w:tr w:rsidR="00721CFD" w:rsidRPr="00A454B4" w14:paraId="3A4C1B1C" w14:textId="77777777" w:rsidTr="007B5BB3">
        <w:trPr>
          <w:trHeight w:val="252"/>
          <w:jc w:val="center"/>
        </w:trPr>
        <w:tc>
          <w:tcPr>
            <w:tcW w:w="1566" w:type="pct"/>
          </w:tcPr>
          <w:p w14:paraId="20FFEC84" w14:textId="77777777" w:rsidR="00721CFD" w:rsidRPr="00F54559" w:rsidRDefault="00721CFD" w:rsidP="007B5BB3">
            <w:pPr>
              <w:widowControl w:val="0"/>
              <w:rPr>
                <w:rFonts w:cstheme="minorHAnsi"/>
                <w:sz w:val="24"/>
                <w:szCs w:val="20"/>
              </w:rPr>
            </w:pPr>
            <w:r w:rsidRPr="00F54559">
              <w:rPr>
                <w:rFonts w:eastAsia="Franklin Gothic Book" w:cstheme="minorHAnsi"/>
                <w:sz w:val="24"/>
              </w:rPr>
              <w:t>Sala</w:t>
            </w:r>
            <w:r w:rsidRPr="00F54559">
              <w:rPr>
                <w:rFonts w:eastAsia="Franklin Gothic Book" w:cstheme="minorHAnsi"/>
                <w:spacing w:val="-2"/>
                <w:sz w:val="24"/>
              </w:rPr>
              <w:t>r</w:t>
            </w:r>
            <w:r w:rsidRPr="00F54559">
              <w:rPr>
                <w:rFonts w:eastAsia="Franklin Gothic Book" w:cstheme="minorHAnsi"/>
                <w:sz w:val="24"/>
              </w:rPr>
              <w:t>y</w:t>
            </w:r>
            <w:r w:rsidRPr="00F54559">
              <w:rPr>
                <w:rFonts w:eastAsia="Franklin Gothic Book" w:cstheme="minorHAnsi"/>
                <w:spacing w:val="-2"/>
                <w:sz w:val="24"/>
              </w:rPr>
              <w:t xml:space="preserve"> </w:t>
            </w:r>
            <w:r w:rsidRPr="00F54559">
              <w:rPr>
                <w:rFonts w:eastAsia="Franklin Gothic Book" w:cstheme="minorHAnsi"/>
                <w:sz w:val="24"/>
              </w:rPr>
              <w:t>inc</w:t>
            </w:r>
            <w:r w:rsidRPr="00F54559">
              <w:rPr>
                <w:rFonts w:eastAsia="Franklin Gothic Book" w:cstheme="minorHAnsi"/>
                <w:spacing w:val="-1"/>
                <w:sz w:val="24"/>
              </w:rPr>
              <w:t>r</w:t>
            </w:r>
            <w:r w:rsidRPr="00F54559">
              <w:rPr>
                <w:rFonts w:eastAsia="Franklin Gothic Book" w:cstheme="minorHAnsi"/>
                <w:sz w:val="24"/>
              </w:rPr>
              <w:t>eases</w:t>
            </w:r>
          </w:p>
        </w:tc>
        <w:tc>
          <w:tcPr>
            <w:tcW w:w="3434" w:type="pct"/>
          </w:tcPr>
          <w:p w14:paraId="152151CE" w14:textId="77777777" w:rsidR="00721CFD" w:rsidRPr="00A4427D" w:rsidRDefault="00721CFD" w:rsidP="007B5BB3">
            <w:pPr>
              <w:widowControl w:val="0"/>
              <w:rPr>
                <w:rFonts w:cstheme="minorHAnsi"/>
                <w:sz w:val="16"/>
                <w:szCs w:val="16"/>
              </w:rPr>
            </w:pPr>
            <w:r w:rsidRPr="00A4427D">
              <w:rPr>
                <w:rFonts w:eastAsia="Franklin Gothic Book" w:cstheme="minorHAnsi"/>
                <w:sz w:val="24"/>
              </w:rPr>
              <w:t>3.5%</w:t>
            </w:r>
            <w:r w:rsidRPr="00A4427D">
              <w:rPr>
                <w:rFonts w:eastAsia="Franklin Gothic Book" w:cstheme="minorHAnsi"/>
                <w:spacing w:val="-6"/>
                <w:sz w:val="24"/>
              </w:rPr>
              <w:t xml:space="preserve"> </w:t>
            </w:r>
            <w:r w:rsidRPr="00A4427D">
              <w:rPr>
                <w:rFonts w:eastAsia="Franklin Gothic Book" w:cstheme="minorHAnsi"/>
                <w:spacing w:val="-1"/>
                <w:sz w:val="24"/>
              </w:rPr>
              <w:t>p</w:t>
            </w:r>
            <w:r w:rsidRPr="00A4427D">
              <w:rPr>
                <w:rFonts w:eastAsia="Franklin Gothic Book" w:cstheme="minorHAnsi"/>
                <w:sz w:val="24"/>
              </w:rPr>
              <w:t>er</w:t>
            </w:r>
            <w:r w:rsidRPr="00A4427D">
              <w:rPr>
                <w:rFonts w:eastAsia="Franklin Gothic Book" w:cstheme="minorHAnsi"/>
                <w:spacing w:val="-7"/>
                <w:sz w:val="24"/>
              </w:rPr>
              <w:t xml:space="preserve"> </w:t>
            </w:r>
            <w:r w:rsidRPr="00A4427D">
              <w:rPr>
                <w:rFonts w:eastAsia="Franklin Gothic Book" w:cstheme="minorHAnsi"/>
                <w:spacing w:val="-1"/>
                <w:sz w:val="24"/>
              </w:rPr>
              <w:t>y</w:t>
            </w:r>
            <w:r w:rsidRPr="00A4427D">
              <w:rPr>
                <w:rFonts w:eastAsia="Franklin Gothic Book" w:cstheme="minorHAnsi"/>
                <w:sz w:val="24"/>
              </w:rPr>
              <w:t>ea</w:t>
            </w:r>
            <w:r w:rsidRPr="00A4427D">
              <w:rPr>
                <w:rFonts w:eastAsia="Franklin Gothic Book" w:cstheme="minorHAnsi"/>
                <w:spacing w:val="-2"/>
                <w:sz w:val="24"/>
              </w:rPr>
              <w:t>r</w:t>
            </w:r>
          </w:p>
        </w:tc>
      </w:tr>
      <w:tr w:rsidR="00721CFD" w:rsidRPr="00A454B4" w14:paraId="4FA7F363" w14:textId="77777777" w:rsidTr="007B5BB3">
        <w:trPr>
          <w:trHeight w:val="252"/>
          <w:jc w:val="center"/>
        </w:trPr>
        <w:tc>
          <w:tcPr>
            <w:tcW w:w="1566" w:type="pct"/>
          </w:tcPr>
          <w:p w14:paraId="14B8E1C2" w14:textId="77777777" w:rsidR="00721CFD" w:rsidRPr="00F54559" w:rsidRDefault="00721CFD" w:rsidP="007B5BB3">
            <w:pPr>
              <w:widowControl w:val="0"/>
              <w:rPr>
                <w:rFonts w:cstheme="minorHAnsi"/>
                <w:sz w:val="24"/>
                <w:szCs w:val="20"/>
              </w:rPr>
            </w:pPr>
            <w:r w:rsidRPr="00F54559">
              <w:rPr>
                <w:rFonts w:eastAsia="Franklin Gothic Book" w:cstheme="minorHAnsi"/>
                <w:spacing w:val="-2"/>
                <w:sz w:val="24"/>
              </w:rPr>
              <w:t>Payroll increases</w:t>
            </w:r>
          </w:p>
        </w:tc>
        <w:tc>
          <w:tcPr>
            <w:tcW w:w="3434" w:type="pct"/>
          </w:tcPr>
          <w:p w14:paraId="13B98820" w14:textId="77777777" w:rsidR="00721CFD" w:rsidRPr="00A4427D" w:rsidRDefault="00721CFD" w:rsidP="007B5BB3">
            <w:pPr>
              <w:widowControl w:val="0"/>
              <w:rPr>
                <w:rFonts w:cstheme="minorHAnsi"/>
                <w:sz w:val="16"/>
                <w:szCs w:val="16"/>
              </w:rPr>
            </w:pPr>
            <w:r w:rsidRPr="00A4427D">
              <w:rPr>
                <w:rFonts w:eastAsia="Franklin Gothic Book" w:cstheme="minorHAnsi"/>
                <w:spacing w:val="-2"/>
                <w:sz w:val="24"/>
              </w:rPr>
              <w:t>3.5% per year</w:t>
            </w:r>
          </w:p>
        </w:tc>
      </w:tr>
      <w:tr w:rsidR="00721CFD" w:rsidRPr="00A454B4" w14:paraId="66F9469F" w14:textId="77777777" w:rsidTr="007B5BB3">
        <w:trPr>
          <w:trHeight w:val="252"/>
          <w:jc w:val="center"/>
        </w:trPr>
        <w:tc>
          <w:tcPr>
            <w:tcW w:w="1566" w:type="pct"/>
          </w:tcPr>
          <w:p w14:paraId="79310CE8" w14:textId="77777777" w:rsidR="00721CFD" w:rsidRPr="00F54559" w:rsidRDefault="00721CFD" w:rsidP="007B5BB3">
            <w:pPr>
              <w:widowControl w:val="0"/>
              <w:tabs>
                <w:tab w:val="left" w:pos="4264"/>
              </w:tabs>
              <w:rPr>
                <w:rFonts w:cstheme="minorHAnsi"/>
                <w:sz w:val="24"/>
                <w:szCs w:val="20"/>
              </w:rPr>
            </w:pP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1"/>
                <w:sz w:val="24"/>
              </w:rPr>
              <w:t xml:space="preserve"> 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z w:val="24"/>
              </w:rPr>
              <w:t>of</w:t>
            </w:r>
            <w:r w:rsidRPr="00F54559">
              <w:rPr>
                <w:rFonts w:eastAsia="Franklin Gothic Book" w:cstheme="minorHAnsi"/>
                <w:spacing w:val="-2"/>
                <w:sz w:val="24"/>
              </w:rPr>
              <w:t xml:space="preserve"> </w:t>
            </w:r>
            <w:r w:rsidRPr="00F54559">
              <w:rPr>
                <w:rFonts w:eastAsia="Franklin Gothic Book" w:cstheme="minorHAnsi"/>
                <w:sz w:val="24"/>
              </w:rPr>
              <w:t>r</w:t>
            </w:r>
            <w:r w:rsidRPr="00F54559">
              <w:rPr>
                <w:rFonts w:eastAsia="Franklin Gothic Book" w:cstheme="minorHAnsi"/>
                <w:spacing w:val="-1"/>
                <w:sz w:val="24"/>
              </w:rPr>
              <w:t>e</w:t>
            </w:r>
            <w:r w:rsidRPr="00F54559">
              <w:rPr>
                <w:rFonts w:eastAsia="Franklin Gothic Book" w:cstheme="minorHAnsi"/>
                <w:sz w:val="24"/>
              </w:rPr>
              <w:t>tu</w:t>
            </w:r>
            <w:r w:rsidRPr="00F54559">
              <w:rPr>
                <w:rFonts w:eastAsia="Franklin Gothic Book" w:cstheme="minorHAnsi"/>
                <w:spacing w:val="-1"/>
                <w:sz w:val="24"/>
              </w:rPr>
              <w:t>r</w:t>
            </w:r>
            <w:r w:rsidRPr="00F54559">
              <w:rPr>
                <w:rFonts w:eastAsia="Franklin Gothic Book" w:cstheme="minorHAnsi"/>
                <w:sz w:val="24"/>
              </w:rPr>
              <w:t>n</w:t>
            </w:r>
            <w:r>
              <w:rPr>
                <w:rFonts w:eastAsia="Franklin Gothic Book" w:cstheme="minorHAnsi"/>
                <w:sz w:val="24"/>
              </w:rPr>
              <w:t xml:space="preserve">/ </w:t>
            </w:r>
            <w:r w:rsidRPr="00F54559">
              <w:rPr>
                <w:rFonts w:eastAsia="Franklin Gothic Book" w:cstheme="minorHAnsi"/>
                <w:spacing w:val="-7"/>
                <w:sz w:val="24"/>
              </w:rPr>
              <w:t>discount rate</w:t>
            </w:r>
          </w:p>
        </w:tc>
        <w:tc>
          <w:tcPr>
            <w:tcW w:w="3434" w:type="pct"/>
          </w:tcPr>
          <w:p w14:paraId="69C9085B" w14:textId="77777777" w:rsidR="00721CFD" w:rsidRPr="00A4427D" w:rsidRDefault="00721CFD" w:rsidP="007B5BB3">
            <w:pPr>
              <w:widowControl w:val="0"/>
              <w:rPr>
                <w:rFonts w:eastAsia="Franklin Gothic Book" w:cstheme="minorHAnsi"/>
                <w:sz w:val="24"/>
              </w:rPr>
            </w:pPr>
            <w:r w:rsidRPr="00A4427D">
              <w:rPr>
                <w:rFonts w:eastAsia="Franklin Gothic Book" w:cstheme="minorHAnsi"/>
                <w:sz w:val="24"/>
              </w:rPr>
              <w:t>2016 to 202</w:t>
            </w:r>
            <w:r w:rsidRPr="003959B0">
              <w:rPr>
                <w:rFonts w:eastAsia="Franklin Gothic Book" w:cstheme="minorHAnsi"/>
                <w:sz w:val="24"/>
              </w:rPr>
              <w:t>2</w:t>
            </w:r>
            <w:r w:rsidRPr="00A4427D">
              <w:rPr>
                <w:rFonts w:eastAsia="Franklin Gothic Book" w:cstheme="minorHAnsi"/>
                <w:sz w:val="24"/>
              </w:rPr>
              <w:t>:  6.25%,</w:t>
            </w:r>
            <w:r w:rsidRPr="00A4427D">
              <w:rPr>
                <w:rFonts w:eastAsia="Franklin Gothic Book" w:cstheme="minorHAnsi"/>
                <w:spacing w:val="-7"/>
                <w:sz w:val="24"/>
              </w:rPr>
              <w:t xml:space="preserve"> </w:t>
            </w:r>
            <w:r w:rsidRPr="00A4427D">
              <w:rPr>
                <w:rFonts w:eastAsia="Franklin Gothic Book" w:cstheme="minorHAnsi"/>
                <w:sz w:val="24"/>
              </w:rPr>
              <w:t>net</w:t>
            </w:r>
            <w:r w:rsidRPr="00A4427D">
              <w:rPr>
                <w:rFonts w:eastAsia="Franklin Gothic Book" w:cstheme="minorHAnsi"/>
                <w:spacing w:val="-8"/>
                <w:sz w:val="24"/>
              </w:rPr>
              <w:t xml:space="preserve"> </w:t>
            </w:r>
            <w:r w:rsidRPr="00A4427D">
              <w:rPr>
                <w:rFonts w:eastAsia="Franklin Gothic Book" w:cstheme="minorHAnsi"/>
                <w:sz w:val="24"/>
              </w:rPr>
              <w:t>of</w:t>
            </w:r>
            <w:r w:rsidRPr="00A4427D">
              <w:rPr>
                <w:rFonts w:eastAsia="Franklin Gothic Book" w:cstheme="minorHAnsi"/>
                <w:spacing w:val="-8"/>
                <w:sz w:val="24"/>
              </w:rPr>
              <w:t xml:space="preserve"> </w:t>
            </w:r>
            <w:r w:rsidRPr="00A4427D">
              <w:rPr>
                <w:rFonts w:eastAsia="Franklin Gothic Book" w:cstheme="minorHAnsi"/>
                <w:sz w:val="24"/>
              </w:rPr>
              <w:t>inv</w:t>
            </w:r>
            <w:r w:rsidRPr="00A4427D">
              <w:rPr>
                <w:rFonts w:eastAsia="Franklin Gothic Book" w:cstheme="minorHAnsi"/>
                <w:spacing w:val="-2"/>
                <w:sz w:val="24"/>
              </w:rPr>
              <w:t>e</w:t>
            </w:r>
            <w:r w:rsidRPr="00A4427D">
              <w:rPr>
                <w:rFonts w:eastAsia="Franklin Gothic Book" w:cstheme="minorHAnsi"/>
                <w:spacing w:val="1"/>
                <w:sz w:val="24"/>
              </w:rPr>
              <w:t>s</w:t>
            </w:r>
            <w:r w:rsidRPr="00A4427D">
              <w:rPr>
                <w:rFonts w:eastAsia="Franklin Gothic Book" w:cstheme="minorHAnsi"/>
                <w:sz w:val="24"/>
              </w:rPr>
              <w:t>tment</w:t>
            </w:r>
            <w:r w:rsidRPr="00A4427D">
              <w:rPr>
                <w:rFonts w:eastAsia="Franklin Gothic Book" w:cstheme="minorHAnsi"/>
                <w:spacing w:val="-8"/>
                <w:sz w:val="24"/>
              </w:rPr>
              <w:t xml:space="preserve"> </w:t>
            </w:r>
            <w:r w:rsidRPr="00A4427D">
              <w:rPr>
                <w:rFonts w:eastAsia="Franklin Gothic Book" w:cstheme="minorHAnsi"/>
                <w:sz w:val="24"/>
              </w:rPr>
              <w:t>e</w:t>
            </w:r>
            <w:r w:rsidRPr="00A4427D">
              <w:rPr>
                <w:rFonts w:eastAsia="Franklin Gothic Book" w:cstheme="minorHAnsi"/>
                <w:spacing w:val="-1"/>
                <w:sz w:val="24"/>
              </w:rPr>
              <w:t>xp</w:t>
            </w:r>
            <w:r w:rsidRPr="00A4427D">
              <w:rPr>
                <w:rFonts w:eastAsia="Franklin Gothic Book" w:cstheme="minorHAnsi"/>
                <w:sz w:val="24"/>
              </w:rPr>
              <w:t>enses, compounded annually</w:t>
            </w:r>
          </w:p>
          <w:p w14:paraId="6052706F" w14:textId="77777777" w:rsidR="00721CFD" w:rsidRPr="00A4427D" w:rsidRDefault="00721CFD" w:rsidP="007B5BB3">
            <w:pPr>
              <w:widowControl w:val="0"/>
              <w:rPr>
                <w:rFonts w:eastAsia="Franklin Gothic Book" w:cstheme="minorHAnsi"/>
                <w:sz w:val="24"/>
              </w:rPr>
            </w:pPr>
            <w:r w:rsidRPr="00A4427D">
              <w:rPr>
                <w:rFonts w:eastAsia="Franklin Gothic Book" w:cstheme="minorHAnsi"/>
                <w:sz w:val="24"/>
              </w:rPr>
              <w:t>2015:  6.75%,</w:t>
            </w:r>
            <w:r w:rsidRPr="00A4427D">
              <w:rPr>
                <w:rFonts w:eastAsia="Franklin Gothic Book" w:cstheme="minorHAnsi"/>
                <w:spacing w:val="-7"/>
                <w:sz w:val="24"/>
              </w:rPr>
              <w:t xml:space="preserve"> </w:t>
            </w:r>
            <w:r w:rsidRPr="00A4427D">
              <w:rPr>
                <w:rFonts w:eastAsia="Franklin Gothic Book" w:cstheme="minorHAnsi"/>
                <w:sz w:val="24"/>
              </w:rPr>
              <w:t>net</w:t>
            </w:r>
            <w:r w:rsidRPr="00A4427D">
              <w:rPr>
                <w:rFonts w:eastAsia="Franklin Gothic Book" w:cstheme="minorHAnsi"/>
                <w:spacing w:val="-8"/>
                <w:sz w:val="24"/>
              </w:rPr>
              <w:t xml:space="preserve"> </w:t>
            </w:r>
            <w:r w:rsidRPr="00A4427D">
              <w:rPr>
                <w:rFonts w:eastAsia="Franklin Gothic Book" w:cstheme="minorHAnsi"/>
                <w:sz w:val="24"/>
              </w:rPr>
              <w:t>of</w:t>
            </w:r>
            <w:r w:rsidRPr="00A4427D">
              <w:rPr>
                <w:rFonts w:eastAsia="Franklin Gothic Book" w:cstheme="minorHAnsi"/>
                <w:spacing w:val="-8"/>
                <w:sz w:val="24"/>
              </w:rPr>
              <w:t xml:space="preserve"> </w:t>
            </w:r>
            <w:r w:rsidRPr="00A4427D">
              <w:rPr>
                <w:rFonts w:eastAsia="Franklin Gothic Book" w:cstheme="minorHAnsi"/>
                <w:sz w:val="24"/>
              </w:rPr>
              <w:t>inv</w:t>
            </w:r>
            <w:r w:rsidRPr="00A4427D">
              <w:rPr>
                <w:rFonts w:eastAsia="Franklin Gothic Book" w:cstheme="minorHAnsi"/>
                <w:spacing w:val="-2"/>
                <w:sz w:val="24"/>
              </w:rPr>
              <w:t>e</w:t>
            </w:r>
            <w:r w:rsidRPr="00A4427D">
              <w:rPr>
                <w:rFonts w:eastAsia="Franklin Gothic Book" w:cstheme="minorHAnsi"/>
                <w:spacing w:val="1"/>
                <w:sz w:val="24"/>
              </w:rPr>
              <w:t>s</w:t>
            </w:r>
            <w:r w:rsidRPr="00A4427D">
              <w:rPr>
                <w:rFonts w:eastAsia="Franklin Gothic Book" w:cstheme="minorHAnsi"/>
                <w:sz w:val="24"/>
              </w:rPr>
              <w:t>tment</w:t>
            </w:r>
            <w:r w:rsidRPr="00A4427D">
              <w:rPr>
                <w:rFonts w:eastAsia="Franklin Gothic Book" w:cstheme="minorHAnsi"/>
                <w:spacing w:val="-8"/>
                <w:sz w:val="24"/>
              </w:rPr>
              <w:t xml:space="preserve"> </w:t>
            </w:r>
            <w:r w:rsidRPr="00A4427D">
              <w:rPr>
                <w:rFonts w:eastAsia="Franklin Gothic Book" w:cstheme="minorHAnsi"/>
                <w:sz w:val="24"/>
              </w:rPr>
              <w:t>e</w:t>
            </w:r>
            <w:r w:rsidRPr="00A4427D">
              <w:rPr>
                <w:rFonts w:eastAsia="Franklin Gothic Book" w:cstheme="minorHAnsi"/>
                <w:spacing w:val="-1"/>
                <w:sz w:val="24"/>
              </w:rPr>
              <w:t>xp</w:t>
            </w:r>
            <w:r w:rsidRPr="00A4427D">
              <w:rPr>
                <w:rFonts w:eastAsia="Franklin Gothic Book" w:cstheme="minorHAnsi"/>
                <w:sz w:val="24"/>
              </w:rPr>
              <w:t>enses, compounded annually</w:t>
            </w:r>
          </w:p>
          <w:p w14:paraId="55B0494F" w14:textId="77777777" w:rsidR="00721CFD" w:rsidRPr="003959B0" w:rsidRDefault="00721CFD" w:rsidP="007B5BB3">
            <w:pPr>
              <w:widowControl w:val="0"/>
              <w:rPr>
                <w:rFonts w:eastAsia="Franklin Gothic Book" w:cstheme="minorHAnsi"/>
                <w:sz w:val="24"/>
              </w:rPr>
            </w:pPr>
            <w:r w:rsidRPr="00A4427D">
              <w:rPr>
                <w:rFonts w:eastAsia="Franklin Gothic Book" w:cstheme="minorHAnsi"/>
                <w:sz w:val="24"/>
              </w:rPr>
              <w:t>2014: 7.25%, net of investment expenses, compounded annually</w:t>
            </w:r>
          </w:p>
        </w:tc>
      </w:tr>
    </w:tbl>
    <w:p w14:paraId="04172353" w14:textId="77777777" w:rsidR="00721CFD" w:rsidRPr="00F54559" w:rsidRDefault="00721CFD" w:rsidP="00721CFD">
      <w:pPr>
        <w:pStyle w:val="AFR4"/>
        <w:spacing w:after="240"/>
        <w:rPr>
          <w:rFonts w:cstheme="minorHAnsi"/>
          <w:bCs/>
          <w:color w:val="FF0000"/>
          <w:spacing w:val="-3"/>
        </w:rPr>
      </w:pPr>
      <w:r w:rsidRPr="00A74468">
        <w:rPr>
          <w:rFonts w:eastAsiaTheme="majorEastAsia" w:cstheme="minorHAnsi"/>
          <w:i/>
          <w:iCs/>
          <w:smallCaps/>
          <w:noProof/>
          <w:color w:val="000000" w:themeColor="text1"/>
          <w:sz w:val="26"/>
          <w:szCs w:val="26"/>
          <w:u w:color="5B9BD5"/>
        </w:rPr>
        <w:lastRenderedPageBreak/>
        <w:t>Defined Benefit Pension Plan – continued:</w:t>
      </w:r>
    </w:p>
    <w:tbl>
      <w:tblPr>
        <w:tblW w:w="10260" w:type="dxa"/>
        <w:tblLayout w:type="fixed"/>
        <w:tblLook w:val="04A0" w:firstRow="1" w:lastRow="0" w:firstColumn="1" w:lastColumn="0" w:noHBand="0" w:noVBand="1"/>
      </w:tblPr>
      <w:tblGrid>
        <w:gridCol w:w="2700"/>
        <w:gridCol w:w="900"/>
        <w:gridCol w:w="900"/>
        <w:gridCol w:w="810"/>
        <w:gridCol w:w="810"/>
        <w:gridCol w:w="810"/>
        <w:gridCol w:w="810"/>
        <w:gridCol w:w="810"/>
        <w:gridCol w:w="810"/>
        <w:gridCol w:w="900"/>
      </w:tblGrid>
      <w:tr w:rsidR="00721CFD" w:rsidRPr="00FE01A8" w14:paraId="37F0D062" w14:textId="77777777" w:rsidTr="00286FC6">
        <w:trPr>
          <w:trHeight w:val="612"/>
          <w:tblHeader/>
        </w:trPr>
        <w:tc>
          <w:tcPr>
            <w:tcW w:w="2700" w:type="dxa"/>
            <w:tcBorders>
              <w:top w:val="nil"/>
              <w:left w:val="nil"/>
              <w:bottom w:val="single" w:sz="12" w:space="0" w:color="00688D"/>
              <w:right w:val="nil"/>
            </w:tcBorders>
            <w:shd w:val="clear" w:color="auto" w:fill="FFFFFF" w:themeFill="background1"/>
            <w:vAlign w:val="bottom"/>
            <w:hideMark/>
          </w:tcPr>
          <w:p w14:paraId="06B2C74D" w14:textId="77777777" w:rsidR="00721CFD" w:rsidRPr="00FE01A8" w:rsidRDefault="00721CFD" w:rsidP="007B5BB3">
            <w:pPr>
              <w:rPr>
                <w:rFonts w:ascii="Calibri" w:eastAsia="Times New Roman" w:hAnsi="Calibri" w:cs="Calibri"/>
                <w:b/>
                <w:bCs/>
                <w:color w:val="0D0D0D"/>
              </w:rPr>
            </w:pPr>
            <w:r w:rsidRPr="00FE01A8">
              <w:rPr>
                <w:rFonts w:ascii="Calibri" w:eastAsia="Times New Roman" w:hAnsi="Calibri" w:cs="Calibri"/>
                <w:b/>
                <w:bCs/>
                <w:color w:val="0D0D0D"/>
              </w:rPr>
              <w:t>Investment Returns:</w:t>
            </w:r>
            <w:r w:rsidRPr="00FE01A8">
              <w:rPr>
                <w:rFonts w:ascii="Calibri" w:eastAsia="Times New Roman" w:hAnsi="Calibri" w:cs="Calibri"/>
                <w:b/>
                <w:bCs/>
                <w:color w:val="0D0D0D"/>
              </w:rPr>
              <w:br/>
              <w:t>Fiscal Year Ended June 30</w:t>
            </w:r>
          </w:p>
        </w:tc>
        <w:tc>
          <w:tcPr>
            <w:tcW w:w="900" w:type="dxa"/>
            <w:tcBorders>
              <w:top w:val="nil"/>
              <w:left w:val="nil"/>
              <w:bottom w:val="single" w:sz="12" w:space="0" w:color="00688D"/>
              <w:right w:val="nil"/>
            </w:tcBorders>
            <w:shd w:val="clear" w:color="auto" w:fill="auto"/>
            <w:vAlign w:val="bottom"/>
          </w:tcPr>
          <w:p w14:paraId="13948587" w14:textId="77777777" w:rsidR="00721CFD" w:rsidRPr="00FE01A8" w:rsidRDefault="00721CFD" w:rsidP="007B5BB3">
            <w:pPr>
              <w:jc w:val="center"/>
              <w:rPr>
                <w:rFonts w:ascii="Calibri" w:eastAsia="Times New Roman" w:hAnsi="Calibri" w:cs="Calibri"/>
                <w:b/>
                <w:bCs/>
                <w:color w:val="0D0D0D"/>
              </w:rPr>
            </w:pPr>
            <w:r w:rsidRPr="00FE01A8">
              <w:rPr>
                <w:rFonts w:ascii="Calibri" w:eastAsia="Times New Roman" w:hAnsi="Calibri" w:cs="Calibri"/>
                <w:b/>
                <w:bCs/>
                <w:color w:val="0D0D0D"/>
              </w:rPr>
              <w:t>202</w:t>
            </w:r>
            <w:r>
              <w:rPr>
                <w:rFonts w:ascii="Calibri" w:eastAsia="Times New Roman" w:hAnsi="Calibri" w:cs="Calibri"/>
                <w:b/>
                <w:bCs/>
                <w:color w:val="0D0D0D"/>
              </w:rPr>
              <w:t>2</w:t>
            </w:r>
          </w:p>
        </w:tc>
        <w:tc>
          <w:tcPr>
            <w:tcW w:w="900" w:type="dxa"/>
            <w:tcBorders>
              <w:top w:val="nil"/>
              <w:left w:val="nil"/>
              <w:bottom w:val="single" w:sz="12" w:space="0" w:color="00688D"/>
              <w:right w:val="nil"/>
            </w:tcBorders>
            <w:shd w:val="clear" w:color="auto" w:fill="F2F2F2" w:themeFill="background1" w:themeFillShade="F2"/>
            <w:vAlign w:val="bottom"/>
          </w:tcPr>
          <w:p w14:paraId="43D35A7E" w14:textId="77777777" w:rsidR="00721CFD" w:rsidRPr="00FE01A8" w:rsidRDefault="00721CFD" w:rsidP="007B5BB3">
            <w:pPr>
              <w:jc w:val="center"/>
              <w:rPr>
                <w:rFonts w:ascii="Calibri" w:eastAsia="Times New Roman" w:hAnsi="Calibri" w:cs="Calibri"/>
                <w:b/>
                <w:bCs/>
                <w:color w:val="0D0D0D"/>
              </w:rPr>
            </w:pPr>
            <w:r w:rsidRPr="00FE01A8">
              <w:rPr>
                <w:rFonts w:ascii="Calibri" w:eastAsia="Times New Roman" w:hAnsi="Calibri" w:cs="Calibri"/>
                <w:b/>
                <w:bCs/>
                <w:color w:val="0D0D0D"/>
              </w:rPr>
              <w:t>202</w:t>
            </w:r>
            <w:r>
              <w:rPr>
                <w:rFonts w:ascii="Calibri" w:eastAsia="Times New Roman" w:hAnsi="Calibri" w:cs="Calibri"/>
                <w:b/>
                <w:bCs/>
                <w:color w:val="0D0D0D"/>
              </w:rPr>
              <w:t>1</w:t>
            </w:r>
          </w:p>
        </w:tc>
        <w:tc>
          <w:tcPr>
            <w:tcW w:w="810" w:type="dxa"/>
            <w:tcBorders>
              <w:top w:val="nil"/>
              <w:left w:val="nil"/>
              <w:bottom w:val="single" w:sz="12" w:space="0" w:color="00688D"/>
              <w:right w:val="nil"/>
            </w:tcBorders>
            <w:shd w:val="clear" w:color="auto" w:fill="FFFFFF" w:themeFill="background1"/>
            <w:noWrap/>
            <w:vAlign w:val="bottom"/>
            <w:hideMark/>
          </w:tcPr>
          <w:p w14:paraId="1E43746F" w14:textId="77777777" w:rsidR="00721CFD" w:rsidRPr="00FE01A8" w:rsidRDefault="00721CFD" w:rsidP="007B5BB3">
            <w:pPr>
              <w:jc w:val="center"/>
              <w:rPr>
                <w:rFonts w:ascii="Calibri" w:eastAsia="Times New Roman" w:hAnsi="Calibri" w:cs="Calibri"/>
                <w:b/>
                <w:bCs/>
                <w:color w:val="0D0D0D"/>
              </w:rPr>
            </w:pPr>
            <w:r w:rsidRPr="00FE01A8">
              <w:rPr>
                <w:rFonts w:ascii="Calibri" w:eastAsia="Times New Roman" w:hAnsi="Calibri" w:cs="Calibri"/>
                <w:b/>
                <w:bCs/>
                <w:color w:val="0D0D0D"/>
              </w:rPr>
              <w:t>2020</w:t>
            </w:r>
          </w:p>
        </w:tc>
        <w:tc>
          <w:tcPr>
            <w:tcW w:w="810" w:type="dxa"/>
            <w:tcBorders>
              <w:top w:val="nil"/>
              <w:left w:val="nil"/>
              <w:bottom w:val="single" w:sz="12" w:space="0" w:color="00688D"/>
              <w:right w:val="nil"/>
            </w:tcBorders>
            <w:shd w:val="clear" w:color="auto" w:fill="F2F2F2" w:themeFill="background1" w:themeFillShade="F2"/>
            <w:noWrap/>
            <w:vAlign w:val="bottom"/>
            <w:hideMark/>
          </w:tcPr>
          <w:p w14:paraId="1CD685F1" w14:textId="77777777" w:rsidR="00721CFD" w:rsidRPr="00FE01A8" w:rsidRDefault="00721CFD" w:rsidP="007B5BB3">
            <w:pPr>
              <w:jc w:val="center"/>
              <w:rPr>
                <w:rFonts w:ascii="Calibri" w:eastAsia="Times New Roman" w:hAnsi="Calibri" w:cs="Calibri"/>
                <w:b/>
                <w:bCs/>
                <w:color w:val="0D0D0D"/>
              </w:rPr>
            </w:pPr>
            <w:r w:rsidRPr="00FE01A8">
              <w:rPr>
                <w:rFonts w:ascii="Calibri" w:eastAsia="Times New Roman" w:hAnsi="Calibri" w:cs="Calibri"/>
                <w:b/>
                <w:bCs/>
                <w:color w:val="0D0D0D"/>
              </w:rPr>
              <w:t>2019</w:t>
            </w:r>
          </w:p>
        </w:tc>
        <w:tc>
          <w:tcPr>
            <w:tcW w:w="810" w:type="dxa"/>
            <w:tcBorders>
              <w:top w:val="nil"/>
              <w:left w:val="nil"/>
              <w:bottom w:val="single" w:sz="12" w:space="0" w:color="00688D"/>
              <w:right w:val="nil"/>
            </w:tcBorders>
            <w:shd w:val="clear" w:color="auto" w:fill="FFFFFF" w:themeFill="background1"/>
            <w:noWrap/>
            <w:vAlign w:val="bottom"/>
            <w:hideMark/>
          </w:tcPr>
          <w:p w14:paraId="6CDD2A31" w14:textId="77777777" w:rsidR="00721CFD" w:rsidRPr="00FE01A8" w:rsidRDefault="00721CFD" w:rsidP="007B5BB3">
            <w:pPr>
              <w:jc w:val="center"/>
              <w:rPr>
                <w:rFonts w:ascii="Calibri" w:eastAsia="Times New Roman" w:hAnsi="Calibri" w:cs="Calibri"/>
                <w:b/>
                <w:bCs/>
                <w:color w:val="0D0D0D"/>
              </w:rPr>
            </w:pPr>
            <w:r w:rsidRPr="00FE01A8">
              <w:rPr>
                <w:rFonts w:ascii="Calibri" w:eastAsia="Times New Roman" w:hAnsi="Calibri" w:cs="Calibri"/>
                <w:b/>
                <w:bCs/>
                <w:color w:val="0D0D0D"/>
              </w:rPr>
              <w:t>2018</w:t>
            </w:r>
          </w:p>
        </w:tc>
        <w:tc>
          <w:tcPr>
            <w:tcW w:w="810" w:type="dxa"/>
            <w:tcBorders>
              <w:top w:val="nil"/>
              <w:left w:val="nil"/>
              <w:bottom w:val="single" w:sz="12" w:space="0" w:color="00688D"/>
              <w:right w:val="nil"/>
            </w:tcBorders>
            <w:shd w:val="clear" w:color="auto" w:fill="F2F2F2" w:themeFill="background1" w:themeFillShade="F2"/>
            <w:noWrap/>
            <w:vAlign w:val="bottom"/>
            <w:hideMark/>
          </w:tcPr>
          <w:p w14:paraId="7BA88A1D" w14:textId="77777777" w:rsidR="00721CFD" w:rsidRPr="00FE01A8" w:rsidRDefault="00721CFD" w:rsidP="007B5BB3">
            <w:pPr>
              <w:jc w:val="center"/>
              <w:rPr>
                <w:rFonts w:ascii="Calibri" w:eastAsia="Times New Roman" w:hAnsi="Calibri" w:cs="Calibri"/>
                <w:b/>
                <w:bCs/>
                <w:color w:val="0D0D0D"/>
              </w:rPr>
            </w:pPr>
            <w:r w:rsidRPr="00FE01A8">
              <w:rPr>
                <w:rFonts w:ascii="Calibri" w:eastAsia="Times New Roman" w:hAnsi="Calibri" w:cs="Calibri"/>
                <w:b/>
                <w:bCs/>
                <w:color w:val="0D0D0D"/>
              </w:rPr>
              <w:t>2017</w:t>
            </w:r>
          </w:p>
        </w:tc>
        <w:tc>
          <w:tcPr>
            <w:tcW w:w="810" w:type="dxa"/>
            <w:tcBorders>
              <w:top w:val="nil"/>
              <w:left w:val="nil"/>
              <w:bottom w:val="single" w:sz="12" w:space="0" w:color="00688D"/>
              <w:right w:val="nil"/>
            </w:tcBorders>
            <w:shd w:val="clear" w:color="auto" w:fill="FFFFFF" w:themeFill="background1"/>
            <w:noWrap/>
            <w:vAlign w:val="bottom"/>
            <w:hideMark/>
          </w:tcPr>
          <w:p w14:paraId="0BC78588" w14:textId="77777777" w:rsidR="00721CFD" w:rsidRPr="00FE01A8" w:rsidRDefault="00721CFD" w:rsidP="007B5BB3">
            <w:pPr>
              <w:jc w:val="center"/>
              <w:rPr>
                <w:rFonts w:ascii="Calibri" w:eastAsia="Times New Roman" w:hAnsi="Calibri" w:cs="Calibri"/>
                <w:b/>
                <w:bCs/>
                <w:color w:val="0D0D0D"/>
              </w:rPr>
            </w:pPr>
            <w:r w:rsidRPr="00FE01A8">
              <w:rPr>
                <w:rFonts w:ascii="Calibri" w:eastAsia="Times New Roman" w:hAnsi="Calibri" w:cs="Calibri"/>
                <w:b/>
                <w:bCs/>
                <w:color w:val="0D0D0D"/>
              </w:rPr>
              <w:t>2016</w:t>
            </w:r>
          </w:p>
        </w:tc>
        <w:tc>
          <w:tcPr>
            <w:tcW w:w="810" w:type="dxa"/>
            <w:tcBorders>
              <w:top w:val="nil"/>
              <w:left w:val="nil"/>
              <w:bottom w:val="single" w:sz="12" w:space="0" w:color="00688D"/>
              <w:right w:val="nil"/>
            </w:tcBorders>
            <w:shd w:val="clear" w:color="auto" w:fill="F2F2F2" w:themeFill="background1" w:themeFillShade="F2"/>
            <w:noWrap/>
            <w:vAlign w:val="bottom"/>
            <w:hideMark/>
          </w:tcPr>
          <w:p w14:paraId="005A63CA" w14:textId="77777777" w:rsidR="00721CFD" w:rsidRPr="00FE01A8" w:rsidRDefault="00721CFD" w:rsidP="007B5BB3">
            <w:pPr>
              <w:jc w:val="center"/>
              <w:rPr>
                <w:rFonts w:ascii="Calibri" w:eastAsia="Times New Roman" w:hAnsi="Calibri" w:cs="Calibri"/>
                <w:b/>
                <w:bCs/>
                <w:color w:val="0D0D0D"/>
              </w:rPr>
            </w:pPr>
            <w:r w:rsidRPr="00FE01A8">
              <w:rPr>
                <w:rFonts w:ascii="Calibri" w:eastAsia="Times New Roman" w:hAnsi="Calibri" w:cs="Calibri"/>
                <w:b/>
                <w:bCs/>
                <w:color w:val="0D0D0D"/>
              </w:rPr>
              <w:t>2015</w:t>
            </w:r>
          </w:p>
        </w:tc>
        <w:tc>
          <w:tcPr>
            <w:tcW w:w="900" w:type="dxa"/>
            <w:tcBorders>
              <w:top w:val="nil"/>
              <w:left w:val="nil"/>
              <w:bottom w:val="single" w:sz="12" w:space="0" w:color="00688D"/>
              <w:right w:val="nil"/>
            </w:tcBorders>
            <w:shd w:val="clear" w:color="auto" w:fill="FFFFFF" w:themeFill="background1"/>
            <w:noWrap/>
            <w:vAlign w:val="bottom"/>
            <w:hideMark/>
          </w:tcPr>
          <w:p w14:paraId="26B2E465" w14:textId="77777777" w:rsidR="00721CFD" w:rsidRPr="00FE01A8" w:rsidRDefault="00721CFD" w:rsidP="007B5BB3">
            <w:pPr>
              <w:jc w:val="center"/>
              <w:rPr>
                <w:rFonts w:ascii="Calibri" w:eastAsia="Times New Roman" w:hAnsi="Calibri" w:cs="Calibri"/>
                <w:b/>
                <w:bCs/>
                <w:color w:val="0D0D0D"/>
              </w:rPr>
            </w:pPr>
            <w:r w:rsidRPr="00FE01A8">
              <w:rPr>
                <w:rFonts w:ascii="Calibri" w:eastAsia="Times New Roman" w:hAnsi="Calibri" w:cs="Calibri"/>
                <w:b/>
                <w:bCs/>
                <w:color w:val="0D0D0D"/>
              </w:rPr>
              <w:t>2014</w:t>
            </w:r>
          </w:p>
        </w:tc>
      </w:tr>
      <w:tr w:rsidR="00721CFD" w:rsidRPr="00FE01A8" w14:paraId="5449276C" w14:textId="77777777" w:rsidTr="00286FC6">
        <w:trPr>
          <w:trHeight w:val="612"/>
        </w:trPr>
        <w:tc>
          <w:tcPr>
            <w:tcW w:w="2700" w:type="dxa"/>
            <w:tcBorders>
              <w:top w:val="nil"/>
              <w:left w:val="nil"/>
              <w:bottom w:val="nil"/>
              <w:right w:val="nil"/>
            </w:tcBorders>
            <w:shd w:val="clear" w:color="auto" w:fill="FFFFFF" w:themeFill="background1"/>
            <w:vAlign w:val="bottom"/>
            <w:hideMark/>
          </w:tcPr>
          <w:p w14:paraId="2C7711B9" w14:textId="77777777" w:rsidR="00721CFD" w:rsidRPr="00FE01A8" w:rsidRDefault="00721CFD" w:rsidP="007B5BB3">
            <w:pPr>
              <w:rPr>
                <w:rFonts w:ascii="Calibri" w:eastAsia="Times New Roman" w:hAnsi="Calibri" w:cs="Calibri"/>
                <w:color w:val="0D0D0D"/>
              </w:rPr>
            </w:pPr>
            <w:r w:rsidRPr="00FE01A8">
              <w:rPr>
                <w:rFonts w:ascii="Calibri" w:eastAsia="Times New Roman" w:hAnsi="Calibri" w:cs="Calibri"/>
                <w:color w:val="0D0D0D"/>
              </w:rPr>
              <w:t>Annual money-weighted rate of return, net of investment expenses</w:t>
            </w:r>
          </w:p>
        </w:tc>
        <w:tc>
          <w:tcPr>
            <w:tcW w:w="900" w:type="dxa"/>
            <w:tcBorders>
              <w:top w:val="single" w:sz="12" w:space="0" w:color="00688D"/>
              <w:left w:val="nil"/>
              <w:bottom w:val="nil"/>
              <w:right w:val="nil"/>
            </w:tcBorders>
            <w:shd w:val="clear" w:color="auto" w:fill="auto"/>
            <w:vAlign w:val="bottom"/>
          </w:tcPr>
          <w:p w14:paraId="6EEFC30A" w14:textId="77777777" w:rsidR="00721CFD" w:rsidRPr="003959B0" w:rsidRDefault="00721CFD" w:rsidP="007B5BB3">
            <w:pPr>
              <w:rPr>
                <w:rFonts w:ascii="Calibri" w:eastAsia="Times New Roman" w:hAnsi="Calibri" w:cs="Calibri"/>
                <w:color w:val="FF0000"/>
              </w:rPr>
            </w:pPr>
            <w:r w:rsidRPr="003959B0">
              <w:rPr>
                <w:rFonts w:ascii="Calibri" w:eastAsia="Times New Roman" w:hAnsi="Calibri" w:cs="Calibri"/>
              </w:rPr>
              <w:t>-7.21%</w:t>
            </w:r>
          </w:p>
        </w:tc>
        <w:tc>
          <w:tcPr>
            <w:tcW w:w="900" w:type="dxa"/>
            <w:tcBorders>
              <w:top w:val="single" w:sz="12" w:space="0" w:color="00688D"/>
              <w:left w:val="nil"/>
              <w:bottom w:val="nil"/>
              <w:right w:val="nil"/>
            </w:tcBorders>
            <w:shd w:val="clear" w:color="auto" w:fill="F2F2F2" w:themeFill="background1" w:themeFillShade="F2"/>
            <w:vAlign w:val="bottom"/>
          </w:tcPr>
          <w:p w14:paraId="7F1A58DB" w14:textId="77777777" w:rsidR="00721CFD" w:rsidRPr="00FE01A8" w:rsidRDefault="00721CFD" w:rsidP="007B5BB3">
            <w:pPr>
              <w:rPr>
                <w:rFonts w:ascii="Calibri" w:eastAsia="Times New Roman" w:hAnsi="Calibri" w:cs="Calibri"/>
                <w:color w:val="0D0D0D"/>
              </w:rPr>
            </w:pPr>
            <w:r>
              <w:rPr>
                <w:rFonts w:ascii="Calibri" w:eastAsia="Times New Roman" w:hAnsi="Calibri" w:cs="Calibri"/>
                <w:color w:val="0D0D0D"/>
              </w:rPr>
              <w:t>15.86</w:t>
            </w:r>
            <w:r w:rsidRPr="00FE01A8">
              <w:rPr>
                <w:rFonts w:ascii="Calibri" w:eastAsia="Times New Roman" w:hAnsi="Calibri" w:cs="Calibri"/>
                <w:color w:val="0D0D0D"/>
              </w:rPr>
              <w:t>%</w:t>
            </w:r>
          </w:p>
        </w:tc>
        <w:tc>
          <w:tcPr>
            <w:tcW w:w="810" w:type="dxa"/>
            <w:tcBorders>
              <w:top w:val="nil"/>
              <w:left w:val="nil"/>
              <w:bottom w:val="nil"/>
              <w:right w:val="nil"/>
            </w:tcBorders>
            <w:shd w:val="clear" w:color="auto" w:fill="FFFFFF" w:themeFill="background1"/>
            <w:noWrap/>
            <w:vAlign w:val="bottom"/>
            <w:hideMark/>
          </w:tcPr>
          <w:p w14:paraId="30CFBE13" w14:textId="77777777" w:rsidR="00721CFD" w:rsidRPr="00FE01A8" w:rsidRDefault="00721CFD" w:rsidP="007B5BB3">
            <w:pPr>
              <w:jc w:val="center"/>
              <w:rPr>
                <w:rFonts w:ascii="Calibri" w:eastAsia="Times New Roman" w:hAnsi="Calibri" w:cs="Calibri"/>
                <w:color w:val="0D0D0D"/>
              </w:rPr>
            </w:pPr>
            <w:r w:rsidRPr="00FE01A8">
              <w:rPr>
                <w:rFonts w:ascii="Calibri" w:eastAsia="Times New Roman" w:hAnsi="Calibri" w:cs="Calibri"/>
                <w:color w:val="0D0D0D"/>
              </w:rPr>
              <w:t>4.48%</w:t>
            </w:r>
          </w:p>
        </w:tc>
        <w:tc>
          <w:tcPr>
            <w:tcW w:w="810" w:type="dxa"/>
            <w:tcBorders>
              <w:top w:val="nil"/>
              <w:left w:val="nil"/>
              <w:bottom w:val="nil"/>
              <w:right w:val="nil"/>
            </w:tcBorders>
            <w:shd w:val="clear" w:color="auto" w:fill="F2F2F2" w:themeFill="background1" w:themeFillShade="F2"/>
            <w:noWrap/>
            <w:vAlign w:val="bottom"/>
            <w:hideMark/>
          </w:tcPr>
          <w:p w14:paraId="2CBBA3C3" w14:textId="77777777" w:rsidR="00721CFD" w:rsidRPr="00FE01A8" w:rsidRDefault="00721CFD" w:rsidP="007B5BB3">
            <w:pPr>
              <w:jc w:val="center"/>
              <w:rPr>
                <w:rFonts w:ascii="Calibri" w:eastAsia="Times New Roman" w:hAnsi="Calibri" w:cs="Calibri"/>
                <w:color w:val="0D0D0D"/>
              </w:rPr>
            </w:pPr>
            <w:r w:rsidRPr="00FE01A8">
              <w:rPr>
                <w:rFonts w:ascii="Calibri" w:eastAsia="Times New Roman" w:hAnsi="Calibri" w:cs="Calibri"/>
                <w:color w:val="0D0D0D"/>
              </w:rPr>
              <w:t>4.03%</w:t>
            </w:r>
          </w:p>
        </w:tc>
        <w:tc>
          <w:tcPr>
            <w:tcW w:w="810" w:type="dxa"/>
            <w:tcBorders>
              <w:top w:val="nil"/>
              <w:left w:val="nil"/>
              <w:bottom w:val="nil"/>
              <w:right w:val="nil"/>
            </w:tcBorders>
            <w:shd w:val="clear" w:color="auto" w:fill="FFFFFF" w:themeFill="background1"/>
            <w:noWrap/>
            <w:vAlign w:val="bottom"/>
            <w:hideMark/>
          </w:tcPr>
          <w:p w14:paraId="358646E8" w14:textId="77777777" w:rsidR="00721CFD" w:rsidRPr="00FE01A8" w:rsidRDefault="00721CFD" w:rsidP="007B5BB3">
            <w:pPr>
              <w:jc w:val="center"/>
              <w:rPr>
                <w:rFonts w:ascii="Calibri" w:eastAsia="Times New Roman" w:hAnsi="Calibri" w:cs="Calibri"/>
                <w:color w:val="0D0D0D"/>
              </w:rPr>
            </w:pPr>
            <w:r w:rsidRPr="00FE01A8">
              <w:rPr>
                <w:rFonts w:ascii="Calibri" w:eastAsia="Times New Roman" w:hAnsi="Calibri" w:cs="Calibri"/>
                <w:color w:val="0D0D0D"/>
              </w:rPr>
              <w:t>4.80%</w:t>
            </w:r>
          </w:p>
        </w:tc>
        <w:tc>
          <w:tcPr>
            <w:tcW w:w="810" w:type="dxa"/>
            <w:tcBorders>
              <w:top w:val="nil"/>
              <w:left w:val="nil"/>
              <w:bottom w:val="nil"/>
              <w:right w:val="nil"/>
            </w:tcBorders>
            <w:shd w:val="clear" w:color="auto" w:fill="F2F2F2" w:themeFill="background1" w:themeFillShade="F2"/>
            <w:noWrap/>
            <w:vAlign w:val="bottom"/>
            <w:hideMark/>
          </w:tcPr>
          <w:p w14:paraId="7B5B0EAA" w14:textId="77777777" w:rsidR="00721CFD" w:rsidRPr="00FE01A8" w:rsidRDefault="00721CFD" w:rsidP="007B5BB3">
            <w:pPr>
              <w:jc w:val="center"/>
              <w:rPr>
                <w:rFonts w:ascii="Calibri" w:eastAsia="Times New Roman" w:hAnsi="Calibri" w:cs="Calibri"/>
                <w:color w:val="0D0D0D"/>
              </w:rPr>
            </w:pPr>
            <w:r w:rsidRPr="00FE01A8">
              <w:rPr>
                <w:rFonts w:ascii="Calibri" w:eastAsia="Times New Roman" w:hAnsi="Calibri" w:cs="Calibri"/>
                <w:color w:val="0D0D0D"/>
              </w:rPr>
              <w:t>7.04%</w:t>
            </w:r>
          </w:p>
        </w:tc>
        <w:tc>
          <w:tcPr>
            <w:tcW w:w="810" w:type="dxa"/>
            <w:tcBorders>
              <w:top w:val="nil"/>
              <w:left w:val="nil"/>
              <w:bottom w:val="nil"/>
              <w:right w:val="nil"/>
            </w:tcBorders>
            <w:shd w:val="clear" w:color="auto" w:fill="FFFFFF" w:themeFill="background1"/>
            <w:noWrap/>
            <w:vAlign w:val="bottom"/>
            <w:hideMark/>
          </w:tcPr>
          <w:p w14:paraId="6F4E8E89" w14:textId="77777777" w:rsidR="00721CFD" w:rsidRPr="00FE01A8" w:rsidRDefault="00721CFD" w:rsidP="007B5BB3">
            <w:pPr>
              <w:jc w:val="center"/>
              <w:rPr>
                <w:rFonts w:ascii="Calibri" w:eastAsia="Times New Roman" w:hAnsi="Calibri" w:cs="Calibri"/>
                <w:color w:val="0D0D0D"/>
              </w:rPr>
            </w:pPr>
            <w:r w:rsidRPr="00FE01A8">
              <w:rPr>
                <w:rFonts w:ascii="Calibri" w:eastAsia="Times New Roman" w:hAnsi="Calibri" w:cs="Calibri"/>
                <w:color w:val="0D0D0D"/>
              </w:rPr>
              <w:t>0.64%</w:t>
            </w:r>
          </w:p>
        </w:tc>
        <w:tc>
          <w:tcPr>
            <w:tcW w:w="810" w:type="dxa"/>
            <w:tcBorders>
              <w:top w:val="nil"/>
              <w:left w:val="nil"/>
              <w:bottom w:val="nil"/>
              <w:right w:val="nil"/>
            </w:tcBorders>
            <w:shd w:val="clear" w:color="auto" w:fill="F2F2F2" w:themeFill="background1" w:themeFillShade="F2"/>
            <w:noWrap/>
            <w:vAlign w:val="bottom"/>
            <w:hideMark/>
          </w:tcPr>
          <w:p w14:paraId="33BF047F" w14:textId="77777777" w:rsidR="00721CFD" w:rsidRPr="00FE01A8" w:rsidRDefault="00721CFD" w:rsidP="007B5BB3">
            <w:pPr>
              <w:jc w:val="center"/>
              <w:rPr>
                <w:rFonts w:ascii="Calibri" w:eastAsia="Times New Roman" w:hAnsi="Calibri" w:cs="Calibri"/>
                <w:color w:val="0D0D0D"/>
              </w:rPr>
            </w:pPr>
            <w:r w:rsidRPr="00FE01A8">
              <w:rPr>
                <w:rFonts w:ascii="Calibri" w:eastAsia="Times New Roman" w:hAnsi="Calibri" w:cs="Calibri"/>
                <w:color w:val="0D0D0D"/>
              </w:rPr>
              <w:t>0.12%</w:t>
            </w:r>
          </w:p>
        </w:tc>
        <w:tc>
          <w:tcPr>
            <w:tcW w:w="900" w:type="dxa"/>
            <w:tcBorders>
              <w:top w:val="nil"/>
              <w:left w:val="nil"/>
              <w:bottom w:val="nil"/>
              <w:right w:val="nil"/>
            </w:tcBorders>
            <w:shd w:val="clear" w:color="auto" w:fill="FFFFFF" w:themeFill="background1"/>
            <w:noWrap/>
            <w:vAlign w:val="bottom"/>
            <w:hideMark/>
          </w:tcPr>
          <w:p w14:paraId="421C572D" w14:textId="77777777" w:rsidR="00721CFD" w:rsidRPr="00FE01A8" w:rsidRDefault="00721CFD" w:rsidP="007B5BB3">
            <w:pPr>
              <w:jc w:val="center"/>
              <w:rPr>
                <w:rFonts w:ascii="Calibri" w:eastAsia="Times New Roman" w:hAnsi="Calibri" w:cs="Calibri"/>
                <w:color w:val="0D0D0D"/>
              </w:rPr>
            </w:pPr>
            <w:r w:rsidRPr="00FE01A8">
              <w:rPr>
                <w:rFonts w:ascii="Calibri" w:eastAsia="Times New Roman" w:hAnsi="Calibri" w:cs="Calibri"/>
                <w:color w:val="0D0D0D"/>
              </w:rPr>
              <w:t>14.27%</w:t>
            </w:r>
          </w:p>
        </w:tc>
      </w:tr>
    </w:tbl>
    <w:p w14:paraId="73189644" w14:textId="4F389519" w:rsidR="007D03B3" w:rsidRPr="00F54559" w:rsidRDefault="00721CFD" w:rsidP="007D03B3">
      <w:pPr>
        <w:tabs>
          <w:tab w:val="left" w:pos="1440"/>
          <w:tab w:val="left" w:pos="7200"/>
        </w:tabs>
        <w:spacing w:before="240"/>
        <w:rPr>
          <w:rFonts w:eastAsia="Franklin Gothic Book" w:cstheme="minorHAnsi"/>
          <w:b/>
          <w:spacing w:val="1"/>
          <w:sz w:val="28"/>
          <w:szCs w:val="28"/>
        </w:rPr>
      </w:pPr>
      <w:r w:rsidRPr="00F54559">
        <w:rPr>
          <w:rFonts w:cstheme="minorHAnsi"/>
          <w:sz w:val="24"/>
          <w:szCs w:val="20"/>
        </w:rPr>
        <w:t>The money-weighted rate of return considers the changing amounts actually invested during a period and weights the amount of pension plan investments by the proportion of time they are available to earn a return during that period. The rate of return is then calculated by solving, through an iterative process, for the rate that equates the sum of the weighted external cash flows into and out of the pension plan investments to the ending fair value of pension plan investments.</w:t>
      </w:r>
      <w:r w:rsidR="007D03B3" w:rsidRPr="007D03B3">
        <w:rPr>
          <w:rFonts w:eastAsia="Franklin Gothic Book" w:cstheme="minorHAnsi"/>
          <w:b/>
          <w:spacing w:val="1"/>
          <w:sz w:val="28"/>
          <w:szCs w:val="28"/>
        </w:rPr>
        <w:t xml:space="preserve"> </w:t>
      </w:r>
      <w:r w:rsidR="007D03B3" w:rsidRPr="00F54559">
        <w:rPr>
          <w:rFonts w:eastAsia="Franklin Gothic Book" w:cstheme="minorHAnsi"/>
          <w:b/>
          <w:spacing w:val="1"/>
          <w:sz w:val="28"/>
          <w:szCs w:val="28"/>
        </w:rPr>
        <w:br w:type="page"/>
      </w:r>
    </w:p>
    <w:p w14:paraId="52DDDCAC" w14:textId="11499728" w:rsidR="007D03B3" w:rsidRDefault="007D03B3" w:rsidP="00721CFD">
      <w:pPr>
        <w:tabs>
          <w:tab w:val="left" w:pos="1440"/>
          <w:tab w:val="left" w:pos="7200"/>
        </w:tabs>
        <w:spacing w:before="240"/>
        <w:rPr>
          <w:rFonts w:cstheme="minorHAnsi"/>
          <w:sz w:val="24"/>
          <w:szCs w:val="20"/>
        </w:rPr>
        <w:sectPr w:rsidR="007D03B3" w:rsidSect="007B5BB3">
          <w:pgSz w:w="12240" w:h="15840" w:code="1"/>
          <w:pgMar w:top="1440" w:right="1440" w:bottom="1440" w:left="1440" w:header="720" w:footer="720" w:gutter="0"/>
          <w:cols w:space="0"/>
          <w:titlePg/>
          <w:docGrid w:linePitch="360"/>
        </w:sectPr>
      </w:pPr>
    </w:p>
    <w:p w14:paraId="0DB93CBB" w14:textId="77777777" w:rsidR="00721CFD" w:rsidRPr="0023665A" w:rsidRDefault="00721CFD" w:rsidP="00721CFD">
      <w:pPr>
        <w:pStyle w:val="AFR2"/>
        <w:rPr>
          <w:b w:val="0"/>
          <w:i w:val="0"/>
          <w:iCs w:val="0"/>
          <w:smallCaps w:val="0"/>
          <w:sz w:val="26"/>
          <w:szCs w:val="26"/>
        </w:rPr>
      </w:pPr>
      <w:r w:rsidRPr="0023665A">
        <w:rPr>
          <w:sz w:val="26"/>
          <w:szCs w:val="26"/>
        </w:rPr>
        <w:lastRenderedPageBreak/>
        <w:t>OPEB Plan:</w:t>
      </w:r>
      <w:r w:rsidRPr="0023665A">
        <w:rPr>
          <w:b w:val="0"/>
          <w:i w:val="0"/>
          <w:iCs w:val="0"/>
          <w:smallCaps w:val="0"/>
          <w:sz w:val="26"/>
          <w:szCs w:val="26"/>
        </w:rPr>
        <w:t xml:space="preserve"> </w:t>
      </w:r>
    </w:p>
    <w:p w14:paraId="165B8BB5" w14:textId="39DE9515" w:rsidR="00721CFD" w:rsidRDefault="00721CFD" w:rsidP="00721CFD">
      <w:pPr>
        <w:pStyle w:val="AFR2"/>
        <w:pBdr>
          <w:bottom w:val="none" w:sz="0" w:space="0" w:color="auto"/>
        </w:pBdr>
      </w:pPr>
      <w:r w:rsidRPr="00114A5E">
        <w:drawing>
          <wp:inline distT="0" distB="0" distL="0" distR="0" wp14:anchorId="2E1D25B4" wp14:editId="6FFB3BEF">
            <wp:extent cx="7863840" cy="5232406"/>
            <wp:effectExtent l="0" t="0" r="3810" b="6350"/>
            <wp:docPr id="56" name="Picture 56" descr="Changes in Net OPEB Liability and Related Ratios       &#10;Fiscal Year Ended June 30 2022 2021 2020 2019 2018 2017 2016**&#10;Changes for the year:       &#10;Service cost  $6,150   $6,964   $6,434   $6,583   $6,330   $6,174   $ &#10;Interest  11,969   15,725   14,769   15,354   14,482   15,567  &#10;Changes in benefit terms  -   (49,469)  (102)  -   -   (8,670) &#10;Differences between expected and actual experience   -   (8,908)  -   (30,871)  -   (17,138) &#10;Changes of assumptions  -   (8,539)  5,938   10,090   -   6,051  &#10;Benefit payments  (6,537)  (6,992)  (8,194)  (9,425)  (9,454)  (10,364) &#10;Net change in total OPEB liability  11,582   (51,219)  18,845   (8,269)  11,358   (8,380) &#10;Total OPEB liability – beginning   162,212   213,431   194,586   202,855   191,497   199,877  &#10;Total OPEB liability – ending (a)  173,794   162,212   213,431   194,586   202,855   191,497   199,877 &#10;Contributions – employer  4,937   12,473   12,694   11,868   11,942   16,146  &#10;Net investment income  (22,658)  37,389   1,561   3,546   7,979   11,565  &#10;Benefit payments  (6,537)  (6,992)  (8,194)  (9,425)  (9,454)  (10,364) &#10;Net change in plan fiduciary net position  (24,258)  42,870   6,061   5,989   10,467   17,347  &#10;Fiduciary net position – beginning   180,270   137,400   131,339   125,350   114,883   97,536  &#10;Fiduciary net position – ending (b)  156,012   180,270   137,400   131,339   125,350   114,883   97,536 &#10;Net OPEB liability (asset) – ending (a)-(b)  $17,782   $(18,058)  $76,031   $63,247   $77,505   $76,614   $102,341 &#10;Plan fiduciary net position as a percentage of the total OPEB liability (asset) 89.77% 111.13% 64.38% 67.50% 61.79% 59.99% 48.80%&#10;Covered payroll  $267,061   $258,827   $241,501   $237,125   $220,849   $214,956  &#10;Net OPEB liability (asset) as a percentage of covered payroll 6.66% -6.98% 31.48% 26.67% 35.09% 35.64% &#10;** Detailed information regarding the change in the total OPEB liability for FY16 has not been presented as that information was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nges in Net OPEB Liability and Related Ratios       &#10;Fiscal Year Ended June 30 2022 2021 2020 2019 2018 2017 2016**&#10;Changes for the year:       &#10;Service cost  $6,150   $6,964   $6,434   $6,583   $6,330   $6,174   $ &#10;Interest  11,969   15,725   14,769   15,354   14,482   15,567  &#10;Changes in benefit terms  -   (49,469)  (102)  -   -   (8,670) &#10;Differences between expected and actual experience   -   (8,908)  -   (30,871)  -   (17,138) &#10;Changes of assumptions  -   (8,539)  5,938   10,090   -   6,051  &#10;Benefit payments  (6,537)  (6,992)  (8,194)  (9,425)  (9,454)  (10,364) &#10;Net change in total OPEB liability  11,582   (51,219)  18,845   (8,269)  11,358   (8,380) &#10;Total OPEB liability – beginning   162,212   213,431   194,586   202,855   191,497   199,877  &#10;Total OPEB liability – ending (a)  173,794   162,212   213,431   194,586   202,855   191,497   199,877 &#10;Contributions – employer  4,937   12,473   12,694   11,868   11,942   16,146  &#10;Net investment income  (22,658)  37,389   1,561   3,546   7,979   11,565  &#10;Benefit payments  (6,537)  (6,992)  (8,194)  (9,425)  (9,454)  (10,364) &#10;Net change in plan fiduciary net position  (24,258)  42,870   6,061   5,989   10,467   17,347  &#10;Fiduciary net position – beginning   180,270   137,400   131,339   125,350   114,883   97,536  &#10;Fiduciary net position – ending (b)  156,012   180,270   137,400   131,339   125,350   114,883   97,536 &#10;Net OPEB liability (asset) – ending (a)-(b)  $17,782   $(18,058)  $76,031   $63,247   $77,505   $76,614   $102,341 &#10;Plan fiduciary net position as a percentage of the total OPEB liability (asset) 89.77% 111.13% 64.38% 67.50% 61.79% 59.99% 48.80%&#10;Covered payroll  $267,061   $258,827   $241,501   $237,125   $220,849   $214,956  &#10;Net OPEB liability (asset) as a percentage of covered payroll 6.66% -6.98% 31.48% 26.67% 35.09% 35.64% &#10;** Detailed information regarding the change in the total OPEB liability for FY16 has not been presented as that information was not availabl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63840" cy="5232406"/>
                    </a:xfrm>
                    <a:prstGeom prst="rect">
                      <a:avLst/>
                    </a:prstGeom>
                    <a:noFill/>
                    <a:ln>
                      <a:noFill/>
                    </a:ln>
                  </pic:spPr>
                </pic:pic>
              </a:graphicData>
            </a:graphic>
          </wp:inline>
        </w:drawing>
      </w:r>
    </w:p>
    <w:p w14:paraId="3AAC91E0" w14:textId="77777777" w:rsidR="00373110" w:rsidRPr="00FE714D" w:rsidRDefault="00373110" w:rsidP="00373110">
      <w:pPr>
        <w:pStyle w:val="AFR4"/>
        <w:spacing w:after="240"/>
        <w:rPr>
          <w:rFonts w:eastAsiaTheme="majorEastAsia" w:cstheme="minorHAnsi"/>
          <w:i/>
          <w:iCs/>
          <w:smallCaps/>
          <w:noProof/>
          <w:color w:val="000000" w:themeColor="text1"/>
          <w:sz w:val="26"/>
          <w:szCs w:val="26"/>
          <w:u w:val="none" w:color="5B9BD5"/>
        </w:rPr>
      </w:pPr>
      <w:r>
        <w:rPr>
          <w:rFonts w:cstheme="minorHAnsi"/>
          <w:sz w:val="28"/>
          <w:szCs w:val="28"/>
        </w:rPr>
        <w:lastRenderedPageBreak/>
        <w:fldChar w:fldCharType="begin"/>
      </w:r>
      <w:r>
        <w:rPr>
          <w:rFonts w:cstheme="minorHAnsi"/>
          <w:sz w:val="28"/>
          <w:szCs w:val="28"/>
        </w:rPr>
        <w:fldChar w:fldCharType="end"/>
      </w:r>
      <w:r w:rsidRPr="00A74468">
        <w:rPr>
          <w:rFonts w:eastAsiaTheme="majorEastAsia" w:cstheme="minorHAnsi"/>
          <w:i/>
          <w:iCs/>
          <w:smallCaps/>
          <w:noProof/>
          <w:color w:val="000000" w:themeColor="text1"/>
          <w:sz w:val="26"/>
          <w:szCs w:val="26"/>
          <w:u w:val="none" w:color="5B9BD5"/>
        </w:rPr>
        <w:t>OPEB Plan - continued:</w:t>
      </w:r>
    </w:p>
    <w:p w14:paraId="510B53F4" w14:textId="77777777" w:rsidR="00721CFD" w:rsidRPr="001A18A6" w:rsidRDefault="00721CFD" w:rsidP="00721CFD">
      <w:pPr>
        <w:spacing w:before="120" w:line="259" w:lineRule="auto"/>
        <w:jc w:val="center"/>
        <w:rPr>
          <w:rFonts w:cstheme="minorHAnsi"/>
          <w:b/>
          <w:sz w:val="12"/>
          <w:szCs w:val="28"/>
        </w:rPr>
      </w:pPr>
      <w:r w:rsidRPr="003B0D41">
        <w:rPr>
          <w:rFonts w:ascii="Calibri" w:eastAsia="Times New Roman" w:hAnsi="Calibri" w:cs="Calibri"/>
          <w:b/>
          <w:bCs/>
          <w:color w:val="0D0D0D"/>
        </w:rPr>
        <w:t>Schedule of Employer Contributions</w:t>
      </w:r>
    </w:p>
    <w:tbl>
      <w:tblPr>
        <w:tblW w:w="12960" w:type="dxa"/>
        <w:tblLook w:val="04A0" w:firstRow="1" w:lastRow="0" w:firstColumn="1" w:lastColumn="0" w:noHBand="0" w:noVBand="1"/>
      </w:tblPr>
      <w:tblGrid>
        <w:gridCol w:w="5364"/>
        <w:gridCol w:w="1266"/>
        <w:gridCol w:w="1266"/>
        <w:gridCol w:w="1266"/>
        <w:gridCol w:w="1266"/>
        <w:gridCol w:w="1266"/>
        <w:gridCol w:w="1266"/>
      </w:tblGrid>
      <w:tr w:rsidR="00721CFD" w:rsidRPr="003B0D41" w14:paraId="5F66E8E1" w14:textId="77777777" w:rsidTr="00731B89">
        <w:trPr>
          <w:trHeight w:val="339"/>
          <w:tblHeader/>
        </w:trPr>
        <w:tc>
          <w:tcPr>
            <w:tcW w:w="4134" w:type="dxa"/>
            <w:tcBorders>
              <w:top w:val="nil"/>
              <w:left w:val="nil"/>
              <w:bottom w:val="single" w:sz="8" w:space="0" w:color="00688D"/>
              <w:right w:val="nil"/>
            </w:tcBorders>
            <w:shd w:val="clear" w:color="000000" w:fill="FFFFFF"/>
            <w:vAlign w:val="center"/>
            <w:hideMark/>
          </w:tcPr>
          <w:p w14:paraId="3AA09022" w14:textId="77777777" w:rsidR="00721CFD" w:rsidRPr="00D02584" w:rsidRDefault="00721CFD" w:rsidP="007B5BB3">
            <w:pP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Fiscal Year Ended June 30</w:t>
            </w:r>
          </w:p>
        </w:tc>
        <w:tc>
          <w:tcPr>
            <w:tcW w:w="934" w:type="dxa"/>
            <w:tcBorders>
              <w:top w:val="nil"/>
              <w:left w:val="nil"/>
              <w:bottom w:val="single" w:sz="8" w:space="0" w:color="00688D"/>
              <w:right w:val="nil"/>
            </w:tcBorders>
            <w:shd w:val="clear" w:color="auto" w:fill="auto"/>
            <w:vAlign w:val="bottom"/>
          </w:tcPr>
          <w:p w14:paraId="3CC62FAF" w14:textId="77777777" w:rsidR="00721CFD" w:rsidRPr="00D02584" w:rsidRDefault="00721CFD" w:rsidP="007B5BB3">
            <w:pPr>
              <w:jc w:val="center"/>
              <w:rPr>
                <w:rFonts w:ascii="Calibri" w:eastAsia="Times New Roman" w:hAnsi="Calibri" w:cs="Calibri"/>
                <w:b/>
                <w:bCs/>
                <w:color w:val="0D0D0D"/>
                <w:sz w:val="20"/>
                <w:szCs w:val="20"/>
              </w:rPr>
            </w:pPr>
            <w:r>
              <w:rPr>
                <w:rFonts w:ascii="Calibri" w:eastAsia="Times New Roman" w:hAnsi="Calibri" w:cs="Calibri"/>
                <w:b/>
                <w:bCs/>
                <w:color w:val="0D0D0D"/>
                <w:sz w:val="20"/>
                <w:szCs w:val="20"/>
              </w:rPr>
              <w:t>2022</w:t>
            </w:r>
          </w:p>
        </w:tc>
        <w:tc>
          <w:tcPr>
            <w:tcW w:w="934" w:type="dxa"/>
            <w:tcBorders>
              <w:top w:val="nil"/>
              <w:left w:val="nil"/>
              <w:bottom w:val="single" w:sz="8" w:space="0" w:color="00688D"/>
              <w:right w:val="nil"/>
            </w:tcBorders>
            <w:shd w:val="clear" w:color="auto" w:fill="D9D9D9" w:themeFill="background1" w:themeFillShade="D9"/>
            <w:noWrap/>
            <w:vAlign w:val="bottom"/>
            <w:hideMark/>
          </w:tcPr>
          <w:p w14:paraId="1A20236B" w14:textId="77777777" w:rsidR="00721CFD" w:rsidRPr="00D02584" w:rsidRDefault="00721CFD" w:rsidP="007B5BB3">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2021</w:t>
            </w:r>
          </w:p>
        </w:tc>
        <w:tc>
          <w:tcPr>
            <w:tcW w:w="933" w:type="dxa"/>
            <w:tcBorders>
              <w:top w:val="nil"/>
              <w:left w:val="nil"/>
              <w:bottom w:val="single" w:sz="8" w:space="0" w:color="00688D"/>
              <w:right w:val="nil"/>
            </w:tcBorders>
            <w:shd w:val="clear" w:color="auto" w:fill="auto"/>
            <w:vAlign w:val="bottom"/>
          </w:tcPr>
          <w:p w14:paraId="5DFB875A" w14:textId="77777777" w:rsidR="00721CFD" w:rsidRPr="00D02584" w:rsidRDefault="00721CFD" w:rsidP="007B5BB3">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2020</w:t>
            </w:r>
          </w:p>
        </w:tc>
        <w:tc>
          <w:tcPr>
            <w:tcW w:w="933" w:type="dxa"/>
            <w:tcBorders>
              <w:top w:val="nil"/>
              <w:left w:val="nil"/>
              <w:bottom w:val="single" w:sz="8" w:space="0" w:color="00688D"/>
              <w:right w:val="nil"/>
            </w:tcBorders>
            <w:shd w:val="clear" w:color="auto" w:fill="D9D9D9" w:themeFill="background1" w:themeFillShade="D9"/>
            <w:noWrap/>
            <w:vAlign w:val="bottom"/>
            <w:hideMark/>
          </w:tcPr>
          <w:p w14:paraId="15846C7A" w14:textId="77777777" w:rsidR="00721CFD" w:rsidRPr="00D02584" w:rsidRDefault="00721CFD" w:rsidP="007B5BB3">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2019</w:t>
            </w:r>
          </w:p>
        </w:tc>
        <w:tc>
          <w:tcPr>
            <w:tcW w:w="933" w:type="dxa"/>
            <w:tcBorders>
              <w:top w:val="nil"/>
              <w:left w:val="nil"/>
              <w:bottom w:val="single" w:sz="8" w:space="0" w:color="00688D"/>
              <w:right w:val="nil"/>
            </w:tcBorders>
            <w:shd w:val="clear" w:color="000000" w:fill="FFFFFF"/>
            <w:noWrap/>
            <w:vAlign w:val="bottom"/>
            <w:hideMark/>
          </w:tcPr>
          <w:p w14:paraId="14424390" w14:textId="77777777" w:rsidR="00721CFD" w:rsidRPr="00D02584" w:rsidRDefault="00721CFD" w:rsidP="007B5BB3">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2018</w:t>
            </w:r>
          </w:p>
        </w:tc>
        <w:tc>
          <w:tcPr>
            <w:tcW w:w="933" w:type="dxa"/>
            <w:tcBorders>
              <w:top w:val="nil"/>
              <w:left w:val="nil"/>
              <w:bottom w:val="single" w:sz="8" w:space="0" w:color="00688D"/>
              <w:right w:val="nil"/>
            </w:tcBorders>
            <w:shd w:val="clear" w:color="auto" w:fill="D9D9D9" w:themeFill="background1" w:themeFillShade="D9"/>
            <w:noWrap/>
            <w:vAlign w:val="bottom"/>
            <w:hideMark/>
          </w:tcPr>
          <w:p w14:paraId="4D26AA7A" w14:textId="77777777" w:rsidR="00721CFD" w:rsidRPr="00D02584" w:rsidRDefault="00721CFD" w:rsidP="007B5BB3">
            <w:pPr>
              <w:jc w:val="center"/>
              <w:rPr>
                <w:rFonts w:ascii="Calibri" w:eastAsia="Times New Roman" w:hAnsi="Calibri" w:cs="Calibri"/>
                <w:b/>
                <w:bCs/>
                <w:color w:val="0D0D0D"/>
                <w:sz w:val="20"/>
                <w:szCs w:val="20"/>
              </w:rPr>
            </w:pPr>
            <w:r w:rsidRPr="00D02584">
              <w:rPr>
                <w:rFonts w:ascii="Calibri" w:eastAsia="Times New Roman" w:hAnsi="Calibri" w:cs="Calibri"/>
                <w:b/>
                <w:bCs/>
                <w:color w:val="0D0D0D"/>
                <w:sz w:val="20"/>
                <w:szCs w:val="20"/>
              </w:rPr>
              <w:t>2017</w:t>
            </w:r>
          </w:p>
        </w:tc>
      </w:tr>
      <w:tr w:rsidR="00721CFD" w:rsidRPr="003B0D41" w14:paraId="74A6D15C" w14:textId="77777777" w:rsidTr="00731B89">
        <w:trPr>
          <w:trHeight w:val="315"/>
        </w:trPr>
        <w:tc>
          <w:tcPr>
            <w:tcW w:w="4134" w:type="dxa"/>
            <w:tcBorders>
              <w:top w:val="nil"/>
              <w:left w:val="nil"/>
              <w:bottom w:val="nil"/>
              <w:right w:val="nil"/>
            </w:tcBorders>
            <w:shd w:val="clear" w:color="000000" w:fill="FFFFFF"/>
            <w:vAlign w:val="center"/>
            <w:hideMark/>
          </w:tcPr>
          <w:p w14:paraId="0A00E26C" w14:textId="77777777" w:rsidR="00721CFD" w:rsidRPr="00D02584" w:rsidRDefault="00721CFD" w:rsidP="007B5BB3">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Actuarially determined contribution</w:t>
            </w:r>
          </w:p>
        </w:tc>
        <w:tc>
          <w:tcPr>
            <w:tcW w:w="934" w:type="dxa"/>
            <w:tcBorders>
              <w:top w:val="nil"/>
              <w:left w:val="nil"/>
              <w:bottom w:val="nil"/>
              <w:right w:val="nil"/>
            </w:tcBorders>
            <w:shd w:val="clear" w:color="auto" w:fill="auto"/>
            <w:vAlign w:val="bottom"/>
          </w:tcPr>
          <w:p w14:paraId="5EFB052D" w14:textId="77777777" w:rsidR="00721CFD" w:rsidRPr="003959B0" w:rsidRDefault="00721CFD" w:rsidP="007B5BB3">
            <w:pPr>
              <w:jc w:val="right"/>
              <w:rPr>
                <w:rFonts w:ascii="Calibri" w:eastAsia="Times New Roman" w:hAnsi="Calibri" w:cs="Calibri"/>
                <w:sz w:val="20"/>
                <w:szCs w:val="20"/>
              </w:rPr>
            </w:pPr>
            <w:r w:rsidRPr="003959B0">
              <w:rPr>
                <w:rFonts w:ascii="Calibri" w:eastAsia="Times New Roman" w:hAnsi="Calibri" w:cs="Calibri"/>
                <w:sz w:val="20"/>
                <w:szCs w:val="20"/>
              </w:rPr>
              <w:t>$  6,595</w:t>
            </w:r>
          </w:p>
        </w:tc>
        <w:tc>
          <w:tcPr>
            <w:tcW w:w="934" w:type="dxa"/>
            <w:tcBorders>
              <w:top w:val="nil"/>
              <w:left w:val="nil"/>
              <w:bottom w:val="nil"/>
              <w:right w:val="nil"/>
            </w:tcBorders>
            <w:shd w:val="clear" w:color="auto" w:fill="D9D9D9" w:themeFill="background1" w:themeFillShade="D9"/>
            <w:noWrap/>
            <w:vAlign w:val="bottom"/>
            <w:hideMark/>
          </w:tcPr>
          <w:p w14:paraId="5F02752C"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13,564</w:t>
            </w:r>
          </w:p>
        </w:tc>
        <w:tc>
          <w:tcPr>
            <w:tcW w:w="933" w:type="dxa"/>
            <w:tcBorders>
              <w:top w:val="nil"/>
              <w:left w:val="nil"/>
              <w:bottom w:val="nil"/>
              <w:right w:val="nil"/>
            </w:tcBorders>
            <w:shd w:val="clear" w:color="auto" w:fill="auto"/>
            <w:vAlign w:val="bottom"/>
          </w:tcPr>
          <w:p w14:paraId="7C56136A"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11,942</w:t>
            </w:r>
          </w:p>
        </w:tc>
        <w:tc>
          <w:tcPr>
            <w:tcW w:w="933" w:type="dxa"/>
            <w:tcBorders>
              <w:top w:val="nil"/>
              <w:left w:val="nil"/>
              <w:bottom w:val="nil"/>
              <w:right w:val="nil"/>
            </w:tcBorders>
            <w:shd w:val="clear" w:color="auto" w:fill="D9D9D9" w:themeFill="background1" w:themeFillShade="D9"/>
            <w:noWrap/>
            <w:vAlign w:val="bottom"/>
            <w:hideMark/>
          </w:tcPr>
          <w:p w14:paraId="0D33C212"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13,216</w:t>
            </w:r>
          </w:p>
        </w:tc>
        <w:tc>
          <w:tcPr>
            <w:tcW w:w="933" w:type="dxa"/>
            <w:tcBorders>
              <w:top w:val="nil"/>
              <w:left w:val="nil"/>
              <w:bottom w:val="nil"/>
              <w:right w:val="nil"/>
            </w:tcBorders>
            <w:shd w:val="clear" w:color="000000" w:fill="FFFFFF"/>
            <w:noWrap/>
            <w:vAlign w:val="bottom"/>
            <w:hideMark/>
          </w:tcPr>
          <w:p w14:paraId="15A8EA0F"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$ 12,819</w:t>
            </w:r>
          </w:p>
        </w:tc>
        <w:tc>
          <w:tcPr>
            <w:tcW w:w="933" w:type="dxa"/>
            <w:tcBorders>
              <w:top w:val="nil"/>
              <w:left w:val="nil"/>
              <w:bottom w:val="nil"/>
              <w:right w:val="nil"/>
            </w:tcBorders>
            <w:shd w:val="clear" w:color="auto" w:fill="D9D9D9" w:themeFill="background1" w:themeFillShade="D9"/>
            <w:noWrap/>
            <w:vAlign w:val="bottom"/>
            <w:hideMark/>
          </w:tcPr>
          <w:p w14:paraId="0C27F9CC"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14,970</w:t>
            </w:r>
          </w:p>
        </w:tc>
      </w:tr>
      <w:tr w:rsidR="00721CFD" w:rsidRPr="003B0D41" w14:paraId="64F50F9B" w14:textId="77777777" w:rsidTr="00731B89">
        <w:trPr>
          <w:trHeight w:val="582"/>
        </w:trPr>
        <w:tc>
          <w:tcPr>
            <w:tcW w:w="4134" w:type="dxa"/>
            <w:tcBorders>
              <w:top w:val="nil"/>
              <w:left w:val="nil"/>
              <w:bottom w:val="nil"/>
              <w:right w:val="nil"/>
            </w:tcBorders>
            <w:shd w:val="clear" w:color="000000" w:fill="FFFFFF"/>
            <w:vAlign w:val="center"/>
            <w:hideMark/>
          </w:tcPr>
          <w:p w14:paraId="3EBAB6D9" w14:textId="77777777" w:rsidR="00721CFD" w:rsidRPr="00D02584" w:rsidRDefault="00721CFD" w:rsidP="007B5BB3">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Contributions in relation to the actuarially determined contribution</w:t>
            </w:r>
          </w:p>
        </w:tc>
        <w:tc>
          <w:tcPr>
            <w:tcW w:w="934" w:type="dxa"/>
            <w:tcBorders>
              <w:top w:val="nil"/>
              <w:left w:val="nil"/>
              <w:bottom w:val="nil"/>
              <w:right w:val="nil"/>
            </w:tcBorders>
            <w:shd w:val="clear" w:color="auto" w:fill="auto"/>
            <w:vAlign w:val="bottom"/>
          </w:tcPr>
          <w:p w14:paraId="1C058990" w14:textId="77777777" w:rsidR="00721CFD" w:rsidRPr="003959B0" w:rsidRDefault="00721CFD" w:rsidP="007B5BB3">
            <w:pPr>
              <w:jc w:val="right"/>
              <w:rPr>
                <w:rFonts w:ascii="Calibri" w:eastAsia="Times New Roman" w:hAnsi="Calibri" w:cs="Calibri"/>
                <w:sz w:val="20"/>
                <w:szCs w:val="20"/>
              </w:rPr>
            </w:pPr>
            <w:r w:rsidRPr="003959B0">
              <w:rPr>
                <w:rFonts w:ascii="Calibri" w:eastAsia="Times New Roman" w:hAnsi="Calibri" w:cs="Calibri"/>
                <w:sz w:val="20"/>
                <w:szCs w:val="20"/>
              </w:rPr>
              <w:t>4,937</w:t>
            </w:r>
          </w:p>
        </w:tc>
        <w:tc>
          <w:tcPr>
            <w:tcW w:w="934" w:type="dxa"/>
            <w:tcBorders>
              <w:top w:val="nil"/>
              <w:left w:val="nil"/>
              <w:bottom w:val="nil"/>
              <w:right w:val="nil"/>
            </w:tcBorders>
            <w:shd w:val="clear" w:color="auto" w:fill="D9D9D9" w:themeFill="background1" w:themeFillShade="D9"/>
            <w:noWrap/>
            <w:vAlign w:val="bottom"/>
            <w:hideMark/>
          </w:tcPr>
          <w:p w14:paraId="1B7B0DEA"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12,473</w:t>
            </w:r>
          </w:p>
        </w:tc>
        <w:tc>
          <w:tcPr>
            <w:tcW w:w="933" w:type="dxa"/>
            <w:tcBorders>
              <w:top w:val="nil"/>
              <w:left w:val="nil"/>
              <w:bottom w:val="nil"/>
              <w:right w:val="nil"/>
            </w:tcBorders>
            <w:shd w:val="clear" w:color="auto" w:fill="auto"/>
            <w:vAlign w:val="bottom"/>
          </w:tcPr>
          <w:p w14:paraId="5AD1911D"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12,694</w:t>
            </w:r>
          </w:p>
        </w:tc>
        <w:tc>
          <w:tcPr>
            <w:tcW w:w="933" w:type="dxa"/>
            <w:tcBorders>
              <w:top w:val="nil"/>
              <w:left w:val="nil"/>
              <w:bottom w:val="nil"/>
              <w:right w:val="nil"/>
            </w:tcBorders>
            <w:shd w:val="clear" w:color="auto" w:fill="D9D9D9" w:themeFill="background1" w:themeFillShade="D9"/>
            <w:noWrap/>
            <w:vAlign w:val="bottom"/>
            <w:hideMark/>
          </w:tcPr>
          <w:p w14:paraId="34B8EDD6"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11,868</w:t>
            </w:r>
          </w:p>
        </w:tc>
        <w:tc>
          <w:tcPr>
            <w:tcW w:w="933" w:type="dxa"/>
            <w:tcBorders>
              <w:top w:val="nil"/>
              <w:left w:val="nil"/>
              <w:bottom w:val="nil"/>
              <w:right w:val="nil"/>
            </w:tcBorders>
            <w:shd w:val="clear" w:color="auto" w:fill="auto"/>
            <w:noWrap/>
            <w:vAlign w:val="bottom"/>
            <w:hideMark/>
          </w:tcPr>
          <w:p w14:paraId="3588FE97"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11,942</w:t>
            </w:r>
          </w:p>
        </w:tc>
        <w:tc>
          <w:tcPr>
            <w:tcW w:w="933" w:type="dxa"/>
            <w:tcBorders>
              <w:top w:val="nil"/>
              <w:left w:val="nil"/>
              <w:bottom w:val="nil"/>
              <w:right w:val="nil"/>
            </w:tcBorders>
            <w:shd w:val="clear" w:color="auto" w:fill="D9D9D9" w:themeFill="background1" w:themeFillShade="D9"/>
            <w:noWrap/>
            <w:vAlign w:val="bottom"/>
            <w:hideMark/>
          </w:tcPr>
          <w:p w14:paraId="639BA425"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16,146</w:t>
            </w:r>
          </w:p>
        </w:tc>
      </w:tr>
      <w:tr w:rsidR="00721CFD" w:rsidRPr="003B0D41" w14:paraId="5C9BCA75" w14:textId="77777777" w:rsidTr="00731B89">
        <w:trPr>
          <w:trHeight w:val="379"/>
        </w:trPr>
        <w:tc>
          <w:tcPr>
            <w:tcW w:w="4134" w:type="dxa"/>
            <w:tcBorders>
              <w:top w:val="single" w:sz="4" w:space="0" w:color="00688D"/>
              <w:left w:val="nil"/>
              <w:bottom w:val="double" w:sz="6" w:space="0" w:color="00688D"/>
              <w:right w:val="nil"/>
            </w:tcBorders>
            <w:shd w:val="clear" w:color="000000" w:fill="FFFFFF"/>
            <w:vAlign w:val="bottom"/>
            <w:hideMark/>
          </w:tcPr>
          <w:p w14:paraId="2864AA4A" w14:textId="77777777" w:rsidR="00721CFD" w:rsidRPr="00D02584" w:rsidRDefault="00721CFD" w:rsidP="007B5BB3">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Contribution deficiency (excess)</w:t>
            </w:r>
          </w:p>
        </w:tc>
        <w:tc>
          <w:tcPr>
            <w:tcW w:w="934" w:type="dxa"/>
            <w:tcBorders>
              <w:top w:val="single" w:sz="4" w:space="0" w:color="00688D"/>
              <w:left w:val="nil"/>
              <w:bottom w:val="double" w:sz="6" w:space="0" w:color="00688D"/>
              <w:right w:val="nil"/>
            </w:tcBorders>
            <w:shd w:val="clear" w:color="auto" w:fill="auto"/>
            <w:vAlign w:val="bottom"/>
          </w:tcPr>
          <w:p w14:paraId="38E5B1D3" w14:textId="77777777" w:rsidR="00721CFD" w:rsidRPr="003959B0" w:rsidRDefault="00721CFD" w:rsidP="007B5BB3">
            <w:pPr>
              <w:jc w:val="right"/>
              <w:rPr>
                <w:rFonts w:ascii="Calibri" w:eastAsia="Times New Roman" w:hAnsi="Calibri" w:cs="Calibri"/>
                <w:sz w:val="20"/>
                <w:szCs w:val="20"/>
              </w:rPr>
            </w:pPr>
            <w:r w:rsidRPr="003959B0">
              <w:rPr>
                <w:rFonts w:ascii="Calibri" w:eastAsia="Times New Roman" w:hAnsi="Calibri" w:cs="Calibri"/>
                <w:sz w:val="20"/>
                <w:szCs w:val="20"/>
              </w:rPr>
              <w:t>$  1,658</w:t>
            </w:r>
          </w:p>
        </w:tc>
        <w:tc>
          <w:tcPr>
            <w:tcW w:w="934"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5EE3B66E"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1,091</w:t>
            </w:r>
          </w:p>
        </w:tc>
        <w:tc>
          <w:tcPr>
            <w:tcW w:w="933" w:type="dxa"/>
            <w:tcBorders>
              <w:top w:val="single" w:sz="4" w:space="0" w:color="00688D"/>
              <w:left w:val="nil"/>
              <w:bottom w:val="double" w:sz="6" w:space="0" w:color="00688D"/>
              <w:right w:val="nil"/>
            </w:tcBorders>
            <w:shd w:val="clear" w:color="auto" w:fill="auto"/>
            <w:vAlign w:val="bottom"/>
          </w:tcPr>
          <w:p w14:paraId="60DA7E70"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(752)</w:t>
            </w:r>
          </w:p>
        </w:tc>
        <w:tc>
          <w:tcPr>
            <w:tcW w:w="933"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39317EC8"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1,348</w:t>
            </w:r>
          </w:p>
        </w:tc>
        <w:tc>
          <w:tcPr>
            <w:tcW w:w="933" w:type="dxa"/>
            <w:tcBorders>
              <w:top w:val="single" w:sz="4" w:space="0" w:color="00688D"/>
              <w:left w:val="nil"/>
              <w:bottom w:val="double" w:sz="6" w:space="0" w:color="00688D"/>
              <w:right w:val="nil"/>
            </w:tcBorders>
            <w:shd w:val="clear" w:color="auto" w:fill="auto"/>
            <w:noWrap/>
            <w:vAlign w:val="bottom"/>
            <w:hideMark/>
          </w:tcPr>
          <w:p w14:paraId="3AD98E4E"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877</w:t>
            </w:r>
          </w:p>
        </w:tc>
        <w:tc>
          <w:tcPr>
            <w:tcW w:w="933" w:type="dxa"/>
            <w:tcBorders>
              <w:top w:val="single" w:sz="4" w:space="0" w:color="00688D"/>
              <w:left w:val="nil"/>
              <w:bottom w:val="double" w:sz="6" w:space="0" w:color="00688D"/>
              <w:right w:val="nil"/>
            </w:tcBorders>
            <w:shd w:val="clear" w:color="auto" w:fill="D9D9D9" w:themeFill="background1" w:themeFillShade="D9"/>
            <w:noWrap/>
            <w:vAlign w:val="bottom"/>
            <w:hideMark/>
          </w:tcPr>
          <w:p w14:paraId="47352366"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 (1,176)</w:t>
            </w:r>
          </w:p>
        </w:tc>
      </w:tr>
      <w:tr w:rsidR="00721CFD" w:rsidRPr="003B0D41" w14:paraId="0CC41B3F" w14:textId="77777777" w:rsidTr="00731B89">
        <w:trPr>
          <w:trHeight w:val="327"/>
        </w:trPr>
        <w:tc>
          <w:tcPr>
            <w:tcW w:w="4134" w:type="dxa"/>
            <w:tcBorders>
              <w:top w:val="nil"/>
              <w:left w:val="nil"/>
              <w:bottom w:val="nil"/>
              <w:right w:val="nil"/>
            </w:tcBorders>
            <w:shd w:val="clear" w:color="000000" w:fill="FFFFFF"/>
            <w:vAlign w:val="bottom"/>
            <w:hideMark/>
          </w:tcPr>
          <w:p w14:paraId="5FB2D281" w14:textId="77777777" w:rsidR="00721CFD" w:rsidRPr="00D02584" w:rsidRDefault="00721CFD" w:rsidP="007B5BB3">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Covered payroll</w:t>
            </w:r>
          </w:p>
        </w:tc>
        <w:tc>
          <w:tcPr>
            <w:tcW w:w="934" w:type="dxa"/>
            <w:tcBorders>
              <w:top w:val="nil"/>
              <w:left w:val="nil"/>
              <w:bottom w:val="nil"/>
              <w:right w:val="nil"/>
            </w:tcBorders>
            <w:shd w:val="clear" w:color="auto" w:fill="auto"/>
            <w:vAlign w:val="bottom"/>
          </w:tcPr>
          <w:p w14:paraId="6A427D32" w14:textId="77777777" w:rsidR="00721CFD" w:rsidRPr="003959B0" w:rsidRDefault="00721CFD" w:rsidP="007B5BB3">
            <w:pPr>
              <w:jc w:val="right"/>
              <w:rPr>
                <w:rFonts w:ascii="Calibri" w:eastAsia="Times New Roman" w:hAnsi="Calibri" w:cs="Calibri"/>
                <w:sz w:val="20"/>
                <w:szCs w:val="20"/>
              </w:rPr>
            </w:pPr>
            <w:r w:rsidRPr="003959B0">
              <w:rPr>
                <w:rFonts w:ascii="Calibri" w:eastAsia="Times New Roman" w:hAnsi="Calibri" w:cs="Calibri"/>
                <w:sz w:val="20"/>
                <w:szCs w:val="20"/>
              </w:rPr>
              <w:t>$267,061</w:t>
            </w:r>
          </w:p>
        </w:tc>
        <w:tc>
          <w:tcPr>
            <w:tcW w:w="934" w:type="dxa"/>
            <w:tcBorders>
              <w:top w:val="nil"/>
              <w:left w:val="nil"/>
              <w:bottom w:val="nil"/>
              <w:right w:val="nil"/>
            </w:tcBorders>
            <w:shd w:val="clear" w:color="auto" w:fill="D9D9D9" w:themeFill="background1" w:themeFillShade="D9"/>
            <w:noWrap/>
            <w:vAlign w:val="bottom"/>
            <w:hideMark/>
          </w:tcPr>
          <w:p w14:paraId="13C9DB4E"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$258,827</w:t>
            </w:r>
          </w:p>
        </w:tc>
        <w:tc>
          <w:tcPr>
            <w:tcW w:w="933" w:type="dxa"/>
            <w:tcBorders>
              <w:top w:val="nil"/>
              <w:left w:val="nil"/>
              <w:bottom w:val="nil"/>
              <w:right w:val="nil"/>
            </w:tcBorders>
            <w:shd w:val="clear" w:color="auto" w:fill="auto"/>
            <w:vAlign w:val="bottom"/>
          </w:tcPr>
          <w:p w14:paraId="41EF07A4"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$241,501</w:t>
            </w:r>
          </w:p>
        </w:tc>
        <w:tc>
          <w:tcPr>
            <w:tcW w:w="933" w:type="dxa"/>
            <w:tcBorders>
              <w:top w:val="nil"/>
              <w:left w:val="nil"/>
              <w:bottom w:val="nil"/>
              <w:right w:val="nil"/>
            </w:tcBorders>
            <w:shd w:val="clear" w:color="auto" w:fill="D9D9D9" w:themeFill="background1" w:themeFillShade="D9"/>
            <w:noWrap/>
            <w:vAlign w:val="bottom"/>
            <w:hideMark/>
          </w:tcPr>
          <w:p w14:paraId="0A050349"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$237,125</w:t>
            </w:r>
          </w:p>
        </w:tc>
        <w:tc>
          <w:tcPr>
            <w:tcW w:w="933" w:type="dxa"/>
            <w:tcBorders>
              <w:top w:val="nil"/>
              <w:left w:val="nil"/>
              <w:bottom w:val="nil"/>
              <w:right w:val="nil"/>
            </w:tcBorders>
            <w:shd w:val="clear" w:color="auto" w:fill="auto"/>
            <w:noWrap/>
            <w:vAlign w:val="bottom"/>
            <w:hideMark/>
          </w:tcPr>
          <w:p w14:paraId="7D5BBFCA"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$220,849</w:t>
            </w:r>
          </w:p>
        </w:tc>
        <w:tc>
          <w:tcPr>
            <w:tcW w:w="933" w:type="dxa"/>
            <w:tcBorders>
              <w:top w:val="nil"/>
              <w:left w:val="nil"/>
              <w:bottom w:val="nil"/>
              <w:right w:val="nil"/>
            </w:tcBorders>
            <w:shd w:val="clear" w:color="auto" w:fill="D9D9D9" w:themeFill="background1" w:themeFillShade="D9"/>
            <w:noWrap/>
            <w:vAlign w:val="bottom"/>
            <w:hideMark/>
          </w:tcPr>
          <w:p w14:paraId="43D99208"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$214,956</w:t>
            </w:r>
          </w:p>
        </w:tc>
      </w:tr>
      <w:tr w:rsidR="00721CFD" w:rsidRPr="003B0D41" w14:paraId="27BB166B" w14:textId="77777777" w:rsidTr="00731B89">
        <w:trPr>
          <w:trHeight w:val="315"/>
        </w:trPr>
        <w:tc>
          <w:tcPr>
            <w:tcW w:w="4134" w:type="dxa"/>
            <w:tcBorders>
              <w:top w:val="nil"/>
              <w:left w:val="nil"/>
              <w:bottom w:val="single" w:sz="4" w:space="0" w:color="00688D"/>
              <w:right w:val="nil"/>
            </w:tcBorders>
            <w:shd w:val="clear" w:color="000000" w:fill="FFFFFF"/>
            <w:vAlign w:val="center"/>
            <w:hideMark/>
          </w:tcPr>
          <w:p w14:paraId="5A55E74C" w14:textId="77777777" w:rsidR="00721CFD" w:rsidRPr="00D02584" w:rsidRDefault="00721CFD" w:rsidP="007B5BB3">
            <w:pPr>
              <w:rPr>
                <w:rFonts w:ascii="Calibri" w:eastAsia="Times New Roman" w:hAnsi="Calibri" w:cs="Calibri"/>
                <w:color w:val="0D0D0D"/>
                <w:sz w:val="20"/>
                <w:szCs w:val="20"/>
              </w:rPr>
            </w:pPr>
            <w:r w:rsidRPr="00D02584">
              <w:rPr>
                <w:rFonts w:ascii="Calibri" w:eastAsia="Times New Roman" w:hAnsi="Calibri" w:cs="Calibri"/>
                <w:color w:val="0D0D0D"/>
                <w:sz w:val="20"/>
                <w:szCs w:val="20"/>
              </w:rPr>
              <w:t>Contributions as a percentage of covered payroll</w:t>
            </w:r>
          </w:p>
        </w:tc>
        <w:tc>
          <w:tcPr>
            <w:tcW w:w="934" w:type="dxa"/>
            <w:tcBorders>
              <w:top w:val="nil"/>
              <w:left w:val="nil"/>
              <w:bottom w:val="single" w:sz="4" w:space="0" w:color="00688D"/>
              <w:right w:val="nil"/>
            </w:tcBorders>
            <w:shd w:val="clear" w:color="auto" w:fill="auto"/>
            <w:vAlign w:val="bottom"/>
          </w:tcPr>
          <w:p w14:paraId="2C973D48" w14:textId="77777777" w:rsidR="00721CFD" w:rsidRPr="003959B0" w:rsidRDefault="00721CFD" w:rsidP="007B5BB3">
            <w:pPr>
              <w:jc w:val="right"/>
              <w:rPr>
                <w:rFonts w:ascii="Calibri" w:eastAsia="Times New Roman" w:hAnsi="Calibri" w:cs="Calibri"/>
                <w:sz w:val="20"/>
                <w:szCs w:val="20"/>
              </w:rPr>
            </w:pPr>
            <w:r w:rsidRPr="003959B0">
              <w:rPr>
                <w:rFonts w:ascii="Calibri" w:eastAsia="Times New Roman" w:hAnsi="Calibri" w:cs="Calibri"/>
                <w:sz w:val="20"/>
                <w:szCs w:val="20"/>
              </w:rPr>
              <w:t>1.85%</w:t>
            </w:r>
          </w:p>
        </w:tc>
        <w:tc>
          <w:tcPr>
            <w:tcW w:w="934" w:type="dxa"/>
            <w:tcBorders>
              <w:top w:val="nil"/>
              <w:left w:val="nil"/>
              <w:bottom w:val="single" w:sz="4" w:space="0" w:color="00688D"/>
              <w:right w:val="nil"/>
            </w:tcBorders>
            <w:shd w:val="clear" w:color="auto" w:fill="D9D9D9" w:themeFill="background1" w:themeFillShade="D9"/>
            <w:noWrap/>
            <w:vAlign w:val="bottom"/>
            <w:hideMark/>
          </w:tcPr>
          <w:p w14:paraId="4116B17F"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4.82%</w:t>
            </w:r>
          </w:p>
        </w:tc>
        <w:tc>
          <w:tcPr>
            <w:tcW w:w="933" w:type="dxa"/>
            <w:tcBorders>
              <w:top w:val="nil"/>
              <w:left w:val="nil"/>
              <w:bottom w:val="single" w:sz="4" w:space="0" w:color="00688D"/>
              <w:right w:val="nil"/>
            </w:tcBorders>
            <w:shd w:val="clear" w:color="auto" w:fill="auto"/>
            <w:vAlign w:val="bottom"/>
          </w:tcPr>
          <w:p w14:paraId="1EA433C6"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5.26%</w:t>
            </w:r>
          </w:p>
        </w:tc>
        <w:tc>
          <w:tcPr>
            <w:tcW w:w="933" w:type="dxa"/>
            <w:tcBorders>
              <w:top w:val="nil"/>
              <w:left w:val="nil"/>
              <w:bottom w:val="single" w:sz="4" w:space="0" w:color="00688D"/>
              <w:right w:val="nil"/>
            </w:tcBorders>
            <w:shd w:val="clear" w:color="auto" w:fill="D9D9D9" w:themeFill="background1" w:themeFillShade="D9"/>
            <w:noWrap/>
            <w:vAlign w:val="bottom"/>
            <w:hideMark/>
          </w:tcPr>
          <w:p w14:paraId="1C62F638"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5.00%</w:t>
            </w:r>
          </w:p>
        </w:tc>
        <w:tc>
          <w:tcPr>
            <w:tcW w:w="933" w:type="dxa"/>
            <w:tcBorders>
              <w:top w:val="nil"/>
              <w:left w:val="nil"/>
              <w:bottom w:val="single" w:sz="4" w:space="0" w:color="00688D"/>
              <w:right w:val="nil"/>
            </w:tcBorders>
            <w:shd w:val="clear" w:color="000000" w:fill="FFFFFF"/>
            <w:noWrap/>
            <w:vAlign w:val="bottom"/>
            <w:hideMark/>
          </w:tcPr>
          <w:p w14:paraId="1B8C7A2B"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5.41%</w:t>
            </w:r>
          </w:p>
        </w:tc>
        <w:tc>
          <w:tcPr>
            <w:tcW w:w="933" w:type="dxa"/>
            <w:tcBorders>
              <w:top w:val="nil"/>
              <w:left w:val="nil"/>
              <w:bottom w:val="single" w:sz="4" w:space="0" w:color="00688D"/>
              <w:right w:val="nil"/>
            </w:tcBorders>
            <w:shd w:val="clear" w:color="auto" w:fill="D9D9D9" w:themeFill="background1" w:themeFillShade="D9"/>
            <w:noWrap/>
            <w:vAlign w:val="bottom"/>
            <w:hideMark/>
          </w:tcPr>
          <w:p w14:paraId="77378375" w14:textId="77777777" w:rsidR="00721CFD" w:rsidRPr="00D02584" w:rsidRDefault="00721CFD" w:rsidP="007B5BB3">
            <w:pPr>
              <w:jc w:val="right"/>
              <w:rPr>
                <w:rFonts w:ascii="Calibri" w:eastAsia="Times New Roman" w:hAnsi="Calibri" w:cs="Calibri"/>
                <w:color w:val="0D0D0D"/>
                <w:sz w:val="20"/>
                <w:szCs w:val="20"/>
              </w:rPr>
            </w:pPr>
            <w:r w:rsidRPr="00D02584">
              <w:rPr>
                <w:rFonts w:ascii="Calibri" w:eastAsia="Times New Roman" w:hAnsi="Calibri" w:cs="Calibri"/>
                <w:color w:val="0D0D0D"/>
                <w:sz w:val="20"/>
                <w:szCs w:val="20"/>
              </w:rPr>
              <w:t>7.51%</w:t>
            </w:r>
          </w:p>
        </w:tc>
      </w:tr>
    </w:tbl>
    <w:p w14:paraId="68A735E2" w14:textId="77777777" w:rsidR="007D03B3" w:rsidRDefault="00721CFD" w:rsidP="00721CFD">
      <w:pPr>
        <w:pStyle w:val="AFR4"/>
        <w:spacing w:after="240"/>
        <w:rPr>
          <w:rFonts w:cstheme="minorHAnsi"/>
          <w:sz w:val="28"/>
          <w:szCs w:val="28"/>
        </w:rPr>
        <w:sectPr w:rsidR="007D03B3" w:rsidSect="00731B89">
          <w:pgSz w:w="15840" w:h="12240" w:orient="landscape" w:code="1"/>
          <w:pgMar w:top="1440" w:right="1440" w:bottom="1440" w:left="1440" w:header="720" w:footer="720" w:gutter="0"/>
          <w:cols w:space="0"/>
          <w:titlePg/>
          <w:docGrid w:linePitch="360"/>
        </w:sectPr>
      </w:pPr>
      <w:r>
        <w:rPr>
          <w:rFonts w:cstheme="minorHAnsi"/>
          <w:sz w:val="28"/>
          <w:szCs w:val="28"/>
        </w:rPr>
        <w:br w:type="page"/>
      </w:r>
    </w:p>
    <w:p w14:paraId="751BA86A" w14:textId="77777777" w:rsidR="00721CFD" w:rsidRPr="00FE714D" w:rsidRDefault="00721CFD" w:rsidP="00721CFD">
      <w:pPr>
        <w:pStyle w:val="AFR4"/>
        <w:spacing w:after="240"/>
        <w:rPr>
          <w:rFonts w:eastAsiaTheme="majorEastAsia" w:cstheme="minorHAnsi"/>
          <w:i/>
          <w:iCs/>
          <w:smallCaps/>
          <w:noProof/>
          <w:color w:val="000000" w:themeColor="text1"/>
          <w:sz w:val="26"/>
          <w:szCs w:val="26"/>
          <w:u w:val="none" w:color="5B9BD5"/>
        </w:rPr>
      </w:pPr>
      <w:r>
        <w:rPr>
          <w:rFonts w:cstheme="minorHAnsi"/>
          <w:sz w:val="28"/>
          <w:szCs w:val="28"/>
        </w:rPr>
        <w:lastRenderedPageBreak/>
        <w:fldChar w:fldCharType="begin"/>
      </w:r>
      <w:r>
        <w:rPr>
          <w:rFonts w:cstheme="minorHAnsi"/>
          <w:sz w:val="28"/>
          <w:szCs w:val="28"/>
        </w:rPr>
        <w:fldChar w:fldCharType="end"/>
      </w:r>
      <w:r w:rsidRPr="00A74468">
        <w:rPr>
          <w:rFonts w:eastAsiaTheme="majorEastAsia" w:cstheme="minorHAnsi"/>
          <w:i/>
          <w:iCs/>
          <w:smallCaps/>
          <w:noProof/>
          <w:color w:val="000000" w:themeColor="text1"/>
          <w:sz w:val="26"/>
          <w:szCs w:val="26"/>
          <w:u w:val="none" w:color="5B9BD5"/>
        </w:rPr>
        <w:t>OPEB Plan - continued:</w:t>
      </w:r>
    </w:p>
    <w:p w14:paraId="4118D2E2" w14:textId="77777777" w:rsidR="00721CFD" w:rsidRDefault="00721CFD" w:rsidP="00721CFD">
      <w:pPr>
        <w:pStyle w:val="Heading3"/>
        <w:rPr>
          <w:rFonts w:asciiTheme="minorHAnsi" w:hAnsiTheme="minorHAnsi" w:cstheme="minorHAnsi"/>
        </w:rPr>
      </w:pPr>
      <w:r w:rsidRPr="00F54559">
        <w:rPr>
          <w:rFonts w:asciiTheme="minorHAnsi" w:hAnsiTheme="minorHAnsi" w:cstheme="minorHAnsi"/>
        </w:rPr>
        <w:t>Notes</w:t>
      </w:r>
      <w:r w:rsidRPr="00F54559">
        <w:rPr>
          <w:rFonts w:asciiTheme="minorHAnsi" w:hAnsiTheme="minorHAnsi" w:cstheme="minorHAnsi"/>
          <w:spacing w:val="-1"/>
        </w:rPr>
        <w:t xml:space="preserve"> </w:t>
      </w:r>
      <w:r w:rsidRPr="00F54559">
        <w:rPr>
          <w:rFonts w:asciiTheme="minorHAnsi" w:hAnsiTheme="minorHAnsi" w:cstheme="minorHAnsi"/>
        </w:rPr>
        <w:t>to</w:t>
      </w:r>
      <w:r w:rsidRPr="00F54559">
        <w:rPr>
          <w:rFonts w:asciiTheme="minorHAnsi" w:hAnsiTheme="minorHAnsi" w:cstheme="minorHAnsi"/>
          <w:spacing w:val="-2"/>
        </w:rPr>
        <w:t xml:space="preserve"> </w:t>
      </w:r>
      <w:r w:rsidRPr="00F54559">
        <w:rPr>
          <w:rFonts w:asciiTheme="minorHAnsi" w:hAnsiTheme="minorHAnsi" w:cstheme="minorHAnsi"/>
          <w:spacing w:val="2"/>
        </w:rPr>
        <w:t>R</w:t>
      </w:r>
      <w:r w:rsidRPr="00F54559">
        <w:rPr>
          <w:rFonts w:asciiTheme="minorHAnsi" w:hAnsiTheme="minorHAnsi" w:cstheme="minorHAnsi"/>
        </w:rPr>
        <w:t>eq</w:t>
      </w:r>
      <w:r w:rsidRPr="00F54559">
        <w:rPr>
          <w:rFonts w:asciiTheme="minorHAnsi" w:hAnsiTheme="minorHAnsi" w:cstheme="minorHAnsi"/>
          <w:spacing w:val="2"/>
        </w:rPr>
        <w:t>ui</w:t>
      </w:r>
      <w:r w:rsidRPr="00F54559">
        <w:rPr>
          <w:rFonts w:asciiTheme="minorHAnsi" w:hAnsiTheme="minorHAnsi" w:cstheme="minorHAnsi"/>
        </w:rPr>
        <w:t>red</w:t>
      </w:r>
      <w:r w:rsidRPr="00F54559">
        <w:rPr>
          <w:rFonts w:asciiTheme="minorHAnsi" w:hAnsiTheme="minorHAnsi" w:cstheme="minorHAnsi"/>
          <w:spacing w:val="-2"/>
        </w:rPr>
        <w:t xml:space="preserve"> </w:t>
      </w:r>
      <w:r w:rsidRPr="00F54559">
        <w:rPr>
          <w:rFonts w:asciiTheme="minorHAnsi" w:hAnsiTheme="minorHAnsi" w:cstheme="minorHAnsi"/>
        </w:rPr>
        <w:t>S</w:t>
      </w:r>
      <w:r w:rsidRPr="00F54559">
        <w:rPr>
          <w:rFonts w:asciiTheme="minorHAnsi" w:hAnsiTheme="minorHAnsi" w:cstheme="minorHAnsi"/>
          <w:spacing w:val="2"/>
        </w:rPr>
        <w:t>u</w:t>
      </w:r>
      <w:r w:rsidRPr="00F54559">
        <w:rPr>
          <w:rFonts w:asciiTheme="minorHAnsi" w:hAnsiTheme="minorHAnsi" w:cstheme="minorHAnsi"/>
        </w:rPr>
        <w:t>pp</w:t>
      </w:r>
      <w:r w:rsidRPr="00F54559">
        <w:rPr>
          <w:rFonts w:asciiTheme="minorHAnsi" w:hAnsiTheme="minorHAnsi" w:cstheme="minorHAnsi"/>
          <w:spacing w:val="2"/>
        </w:rPr>
        <w:t>l</w:t>
      </w:r>
      <w:r w:rsidRPr="00F54559">
        <w:rPr>
          <w:rFonts w:asciiTheme="minorHAnsi" w:hAnsiTheme="minorHAnsi" w:cstheme="minorHAnsi"/>
        </w:rPr>
        <w:t>eme</w:t>
      </w:r>
      <w:r w:rsidRPr="00F54559">
        <w:rPr>
          <w:rFonts w:asciiTheme="minorHAnsi" w:hAnsiTheme="minorHAnsi" w:cstheme="minorHAnsi"/>
          <w:spacing w:val="2"/>
        </w:rPr>
        <w:t>n</w:t>
      </w:r>
      <w:r w:rsidRPr="00F54559">
        <w:rPr>
          <w:rFonts w:asciiTheme="minorHAnsi" w:hAnsiTheme="minorHAnsi" w:cstheme="minorHAnsi"/>
        </w:rPr>
        <w:t>t</w:t>
      </w:r>
      <w:r w:rsidRPr="00F54559">
        <w:rPr>
          <w:rFonts w:asciiTheme="minorHAnsi" w:hAnsiTheme="minorHAnsi" w:cstheme="minorHAnsi"/>
          <w:spacing w:val="2"/>
        </w:rPr>
        <w:t>a</w:t>
      </w:r>
      <w:r w:rsidRPr="00F54559">
        <w:rPr>
          <w:rFonts w:asciiTheme="minorHAnsi" w:hAnsiTheme="minorHAnsi" w:cstheme="minorHAnsi"/>
        </w:rPr>
        <w:t xml:space="preserve">ry </w:t>
      </w:r>
      <w:r w:rsidRPr="00F54559">
        <w:rPr>
          <w:rFonts w:asciiTheme="minorHAnsi" w:hAnsiTheme="minorHAnsi" w:cstheme="minorHAnsi"/>
          <w:spacing w:val="2"/>
        </w:rPr>
        <w:t>Inf</w:t>
      </w:r>
      <w:r w:rsidRPr="00F54559">
        <w:rPr>
          <w:rFonts w:asciiTheme="minorHAnsi" w:hAnsiTheme="minorHAnsi" w:cstheme="minorHAnsi"/>
        </w:rPr>
        <w:t>orm</w:t>
      </w:r>
      <w:r w:rsidRPr="00F54559">
        <w:rPr>
          <w:rFonts w:asciiTheme="minorHAnsi" w:hAnsiTheme="minorHAnsi" w:cstheme="minorHAnsi"/>
          <w:spacing w:val="2"/>
        </w:rPr>
        <w:t>a</w:t>
      </w:r>
      <w:r w:rsidRPr="00F54559">
        <w:rPr>
          <w:rFonts w:asciiTheme="minorHAnsi" w:hAnsiTheme="minorHAnsi" w:cstheme="minorHAnsi"/>
        </w:rPr>
        <w:t>t</w:t>
      </w:r>
      <w:r w:rsidRPr="00F54559">
        <w:rPr>
          <w:rFonts w:asciiTheme="minorHAnsi" w:hAnsiTheme="minorHAnsi" w:cstheme="minorHAnsi"/>
          <w:spacing w:val="2"/>
        </w:rPr>
        <w:t>i</w:t>
      </w:r>
      <w:r w:rsidRPr="00F54559">
        <w:rPr>
          <w:rFonts w:asciiTheme="minorHAnsi" w:hAnsiTheme="minorHAnsi" w:cstheme="minorHAnsi"/>
        </w:rPr>
        <w:t>on:</w:t>
      </w:r>
    </w:p>
    <w:p w14:paraId="705F02FD" w14:textId="77777777" w:rsidR="00721CFD" w:rsidRDefault="00721CFD" w:rsidP="00721CFD">
      <w:pPr>
        <w:rPr>
          <w:rFonts w:cstheme="minorHAnsi"/>
          <w:sz w:val="24"/>
          <w:szCs w:val="24"/>
        </w:rPr>
      </w:pPr>
      <w:r w:rsidRPr="00F54559">
        <w:rPr>
          <w:rFonts w:cstheme="minorHAnsi"/>
          <w:i/>
          <w:sz w:val="24"/>
          <w:szCs w:val="24"/>
        </w:rPr>
        <w:t>Changes of benefit terms:</w:t>
      </w:r>
      <w:r>
        <w:rPr>
          <w:rFonts w:cstheme="minorHAnsi"/>
          <w:sz w:val="24"/>
          <w:szCs w:val="24"/>
        </w:rPr>
        <w:t xml:space="preserve"> </w:t>
      </w:r>
    </w:p>
    <w:p w14:paraId="08028A6A" w14:textId="77777777" w:rsidR="00721CFD" w:rsidRDefault="00721CFD" w:rsidP="00721CFD">
      <w:pPr>
        <w:rPr>
          <w:sz w:val="24"/>
          <w:szCs w:val="24"/>
        </w:rPr>
      </w:pPr>
      <w:r>
        <w:rPr>
          <w:sz w:val="24"/>
          <w:szCs w:val="24"/>
        </w:rPr>
        <w:t>2022:</w:t>
      </w:r>
      <w:r>
        <w:rPr>
          <w:sz w:val="24"/>
          <w:szCs w:val="24"/>
        </w:rPr>
        <w:tab/>
        <w:t xml:space="preserve"> None</w:t>
      </w:r>
    </w:p>
    <w:p w14:paraId="6484CA90" w14:textId="77777777" w:rsidR="00721CFD" w:rsidRPr="009C0A89" w:rsidRDefault="00721CFD" w:rsidP="00721CFD">
      <w:pPr>
        <w:ind w:left="720" w:hanging="720"/>
        <w:rPr>
          <w:sz w:val="24"/>
          <w:szCs w:val="24"/>
        </w:rPr>
      </w:pPr>
      <w:r>
        <w:rPr>
          <w:sz w:val="24"/>
          <w:szCs w:val="24"/>
        </w:rPr>
        <w:t>2021:</w:t>
      </w:r>
      <w:r>
        <w:rPr>
          <w:sz w:val="24"/>
          <w:szCs w:val="24"/>
        </w:rPr>
        <w:tab/>
      </w:r>
      <w:r w:rsidRPr="009C0A89">
        <w:rPr>
          <w:sz w:val="24"/>
          <w:szCs w:val="24"/>
        </w:rPr>
        <w:t>Effective</w:t>
      </w:r>
      <w:r>
        <w:rPr>
          <w:sz w:val="24"/>
          <w:szCs w:val="24"/>
        </w:rPr>
        <w:t xml:space="preserve"> </w:t>
      </w:r>
      <w:r w:rsidRPr="008F45FE">
        <w:rPr>
          <w:sz w:val="24"/>
          <w:szCs w:val="24"/>
        </w:rPr>
        <w:t xml:space="preserve">January 1, 2021 </w:t>
      </w:r>
      <w:r w:rsidRPr="009C0A89">
        <w:rPr>
          <w:sz w:val="24"/>
          <w:szCs w:val="24"/>
        </w:rPr>
        <w:t>UMS offered a funded Health Reimbursement Account (HRA) through a retiree health exchange. Retirees can choose from various individual Medicare coverages</w:t>
      </w:r>
      <w:r>
        <w:rPr>
          <w:sz w:val="24"/>
          <w:szCs w:val="24"/>
        </w:rPr>
        <w:t xml:space="preserve"> or the</w:t>
      </w:r>
      <w:r w:rsidRPr="009C0A89">
        <w:rPr>
          <w:sz w:val="24"/>
          <w:szCs w:val="24"/>
        </w:rPr>
        <w:t xml:space="preserve"> UMS sponsored group coverage. </w:t>
      </w:r>
      <w:r>
        <w:rPr>
          <w:sz w:val="24"/>
          <w:szCs w:val="24"/>
        </w:rPr>
        <w:t>The total OPEB liability decreased $51,219 from the prior year including changes of benefit terms of $49,469</w:t>
      </w:r>
      <w:r w:rsidRPr="009C0A89">
        <w:rPr>
          <w:sz w:val="24"/>
          <w:szCs w:val="24"/>
        </w:rPr>
        <w:t>.</w:t>
      </w:r>
    </w:p>
    <w:p w14:paraId="555BF025" w14:textId="77777777" w:rsidR="00721CFD" w:rsidRPr="009C0A89" w:rsidRDefault="00721CFD" w:rsidP="00721CFD"/>
    <w:p w14:paraId="4318A29E" w14:textId="77777777" w:rsidR="00721CFD" w:rsidRPr="00F54559" w:rsidRDefault="00721CFD" w:rsidP="00721CFD">
      <w:pPr>
        <w:rPr>
          <w:rFonts w:cstheme="minorHAnsi"/>
          <w:sz w:val="24"/>
          <w:szCs w:val="20"/>
        </w:rPr>
      </w:pPr>
      <w:r w:rsidRPr="00F54559">
        <w:rPr>
          <w:rFonts w:cstheme="minorHAnsi"/>
          <w:i/>
          <w:sz w:val="24"/>
          <w:szCs w:val="20"/>
        </w:rPr>
        <w:t>Changes of assumptions</w:t>
      </w:r>
      <w:r w:rsidRPr="00F54559">
        <w:rPr>
          <w:rFonts w:cstheme="minorHAnsi"/>
          <w:sz w:val="24"/>
          <w:szCs w:val="20"/>
        </w:rPr>
        <w:t>:</w:t>
      </w:r>
    </w:p>
    <w:p w14:paraId="232365CF" w14:textId="77777777" w:rsidR="00721CFD" w:rsidRPr="008F45FE" w:rsidRDefault="00721CFD" w:rsidP="00721CFD">
      <w:pPr>
        <w:ind w:left="720" w:hanging="720"/>
        <w:rPr>
          <w:rFonts w:cstheme="minorHAnsi"/>
          <w:sz w:val="24"/>
          <w:szCs w:val="24"/>
        </w:rPr>
      </w:pPr>
      <w:r w:rsidRPr="008F45FE">
        <w:rPr>
          <w:rFonts w:cstheme="minorHAnsi"/>
          <w:sz w:val="24"/>
          <w:szCs w:val="24"/>
        </w:rPr>
        <w:t>2022</w:t>
      </w:r>
      <w:r w:rsidRPr="003959B0">
        <w:rPr>
          <w:rFonts w:cstheme="minorHAnsi"/>
          <w:sz w:val="24"/>
          <w:szCs w:val="24"/>
        </w:rPr>
        <w:t>:</w:t>
      </w:r>
      <w:r w:rsidRPr="003959B0">
        <w:rPr>
          <w:rFonts w:cstheme="minorHAnsi"/>
          <w:sz w:val="24"/>
          <w:szCs w:val="24"/>
        </w:rPr>
        <w:tab/>
      </w:r>
      <w:r>
        <w:rPr>
          <w:rFonts w:cstheme="minorHAnsi"/>
          <w:sz w:val="24"/>
          <w:szCs w:val="24"/>
        </w:rPr>
        <w:t xml:space="preserve">The amortization method was changed from the level dollar amount over 30 years on a closed period to level dollar amount over 30 years on an open amortization period. The amortization period was reset at 30 years starting in FY23. </w:t>
      </w:r>
    </w:p>
    <w:p w14:paraId="20058AF2" w14:textId="77777777" w:rsidR="00721CFD" w:rsidRPr="002749F4" w:rsidRDefault="00721CFD" w:rsidP="00721CFD">
      <w:pPr>
        <w:ind w:left="720" w:hanging="720"/>
        <w:rPr>
          <w:rFonts w:cstheme="minorHAnsi"/>
          <w:sz w:val="24"/>
          <w:szCs w:val="24"/>
        </w:rPr>
      </w:pPr>
      <w:r w:rsidRPr="002749F4">
        <w:rPr>
          <w:rFonts w:cstheme="minorHAnsi"/>
          <w:sz w:val="24"/>
          <w:szCs w:val="24"/>
        </w:rPr>
        <w:t>2021:</w:t>
      </w:r>
      <w:r w:rsidRPr="002749F4">
        <w:rPr>
          <w:rFonts w:cstheme="minorHAnsi"/>
          <w:sz w:val="24"/>
          <w:szCs w:val="24"/>
        </w:rPr>
        <w:tab/>
      </w:r>
      <w:r w:rsidRPr="002749F4">
        <w:rPr>
          <w:rFonts w:eastAsia="Franklin Gothic Book" w:cstheme="minorHAnsi"/>
          <w:spacing w:val="-1"/>
          <w:sz w:val="24"/>
          <w:szCs w:val="24"/>
        </w:rPr>
        <w:t>Th</w:t>
      </w:r>
      <w:r w:rsidRPr="002749F4">
        <w:rPr>
          <w:rFonts w:cstheme="minorHAnsi"/>
          <w:sz w:val="24"/>
          <w:szCs w:val="24"/>
        </w:rPr>
        <w:t>e mortality tables were updated to the Pub-2010 amount-weighted mortality tables with scale MP-2020</w:t>
      </w:r>
      <w:r>
        <w:rPr>
          <w:rFonts w:cstheme="minorHAnsi"/>
          <w:sz w:val="24"/>
          <w:szCs w:val="24"/>
        </w:rPr>
        <w:t xml:space="preserve">. </w:t>
      </w:r>
      <w:r w:rsidRPr="00F54559">
        <w:rPr>
          <w:rFonts w:cstheme="minorHAnsi"/>
          <w:sz w:val="24"/>
          <w:szCs w:val="24"/>
        </w:rPr>
        <w:t>The health care cost rate was updated to reflect more recent trends.</w:t>
      </w:r>
      <w:r>
        <w:rPr>
          <w:rFonts w:cstheme="minorHAnsi"/>
          <w:sz w:val="24"/>
          <w:szCs w:val="24"/>
        </w:rPr>
        <w:t xml:space="preserve"> The inflation rate was changed from 2.4% to 2.2%.</w:t>
      </w:r>
    </w:p>
    <w:p w14:paraId="0FB02A1A" w14:textId="77777777" w:rsidR="00721CFD" w:rsidRDefault="00721CFD" w:rsidP="00721CFD">
      <w:pPr>
        <w:ind w:left="720" w:hanging="720"/>
        <w:rPr>
          <w:rFonts w:cstheme="minorHAnsi"/>
          <w:sz w:val="24"/>
          <w:szCs w:val="20"/>
        </w:rPr>
      </w:pPr>
      <w:r>
        <w:rPr>
          <w:rFonts w:cstheme="minorHAnsi"/>
          <w:sz w:val="24"/>
          <w:szCs w:val="20"/>
        </w:rPr>
        <w:t>2020:</w:t>
      </w:r>
      <w:r>
        <w:rPr>
          <w:rFonts w:cstheme="minorHAnsi"/>
          <w:sz w:val="24"/>
          <w:szCs w:val="20"/>
        </w:rPr>
        <w:tab/>
      </w:r>
      <w:r w:rsidRPr="00F54559">
        <w:rPr>
          <w:rFonts w:cstheme="minorHAnsi"/>
          <w:sz w:val="24"/>
          <w:szCs w:val="20"/>
        </w:rPr>
        <w:t>The investment rate of return/discount rate was changed from 7.</w:t>
      </w:r>
      <w:r>
        <w:rPr>
          <w:rFonts w:cstheme="minorHAnsi"/>
          <w:sz w:val="24"/>
          <w:szCs w:val="20"/>
        </w:rPr>
        <w:t>5</w:t>
      </w:r>
      <w:r w:rsidRPr="00F54559">
        <w:rPr>
          <w:rFonts w:cstheme="minorHAnsi"/>
          <w:sz w:val="24"/>
          <w:szCs w:val="20"/>
        </w:rPr>
        <w:t>% to 7.</w:t>
      </w:r>
      <w:r>
        <w:rPr>
          <w:rFonts w:cstheme="minorHAnsi"/>
          <w:sz w:val="24"/>
          <w:szCs w:val="20"/>
        </w:rPr>
        <w:t>25</w:t>
      </w:r>
      <w:r w:rsidRPr="00F54559">
        <w:rPr>
          <w:rFonts w:cstheme="minorHAnsi"/>
          <w:sz w:val="24"/>
          <w:szCs w:val="20"/>
        </w:rPr>
        <w:t>%</w:t>
      </w:r>
    </w:p>
    <w:p w14:paraId="744BE628" w14:textId="77777777" w:rsidR="00721CFD" w:rsidRPr="00F54559" w:rsidRDefault="00721CFD" w:rsidP="00721CFD">
      <w:pPr>
        <w:ind w:left="720" w:hanging="720"/>
        <w:rPr>
          <w:rFonts w:cstheme="minorHAnsi"/>
          <w:sz w:val="24"/>
          <w:szCs w:val="20"/>
        </w:rPr>
      </w:pPr>
      <w:r w:rsidRPr="00F54559">
        <w:rPr>
          <w:rFonts w:cstheme="minorHAnsi"/>
          <w:sz w:val="24"/>
          <w:szCs w:val="20"/>
        </w:rPr>
        <w:t>2019:</w:t>
      </w:r>
      <w:r w:rsidRPr="00F54559">
        <w:rPr>
          <w:rFonts w:cstheme="minorHAnsi"/>
          <w:sz w:val="24"/>
          <w:szCs w:val="20"/>
        </w:rPr>
        <w:tab/>
      </w:r>
      <w:r w:rsidRPr="00F54559">
        <w:rPr>
          <w:rFonts w:cstheme="minorHAnsi"/>
          <w:sz w:val="24"/>
          <w:szCs w:val="24"/>
        </w:rPr>
        <w:t>The mortality tables were updated to reflect more recent mortality tables and generational mortality improvement. The health care cost rate was updated to reflect more recent trends.</w:t>
      </w:r>
    </w:p>
    <w:p w14:paraId="1EC98E02" w14:textId="77777777" w:rsidR="00721CFD" w:rsidRPr="00F54559" w:rsidRDefault="00721CFD" w:rsidP="00721CFD">
      <w:pPr>
        <w:rPr>
          <w:rFonts w:cstheme="minorHAnsi"/>
          <w:sz w:val="24"/>
          <w:szCs w:val="20"/>
        </w:rPr>
      </w:pPr>
      <w:r w:rsidRPr="00F54559">
        <w:rPr>
          <w:rFonts w:cstheme="minorHAnsi"/>
          <w:sz w:val="24"/>
          <w:szCs w:val="20"/>
        </w:rPr>
        <w:t>2018:</w:t>
      </w:r>
      <w:r w:rsidRPr="00F54559">
        <w:rPr>
          <w:rFonts w:cstheme="minorHAnsi"/>
          <w:sz w:val="24"/>
          <w:szCs w:val="20"/>
        </w:rPr>
        <w:tab/>
      </w:r>
      <w:r w:rsidRPr="00F54559">
        <w:rPr>
          <w:rFonts w:cstheme="minorHAnsi"/>
          <w:i/>
          <w:sz w:val="24"/>
          <w:szCs w:val="20"/>
        </w:rPr>
        <w:t>None</w:t>
      </w:r>
    </w:p>
    <w:p w14:paraId="3559B7C5" w14:textId="77777777" w:rsidR="00721CFD" w:rsidRPr="00F54559" w:rsidRDefault="00721CFD" w:rsidP="00721CFD">
      <w:pPr>
        <w:ind w:left="720" w:hanging="720"/>
        <w:rPr>
          <w:rFonts w:cstheme="minorHAnsi"/>
          <w:sz w:val="24"/>
          <w:szCs w:val="20"/>
        </w:rPr>
      </w:pPr>
      <w:r w:rsidRPr="00F54559">
        <w:rPr>
          <w:rFonts w:cstheme="minorHAnsi"/>
          <w:sz w:val="24"/>
          <w:szCs w:val="20"/>
        </w:rPr>
        <w:t>2017:</w:t>
      </w:r>
      <w:r w:rsidRPr="00F54559">
        <w:rPr>
          <w:rFonts w:cstheme="minorHAnsi"/>
          <w:sz w:val="24"/>
          <w:szCs w:val="20"/>
        </w:rPr>
        <w:tab/>
        <w:t>The investment rate of return/discount rate was changed from 7.75% to 7.5% and the actuarial funding method was changed from Projected Unit Credit to Entry Age Normal.</w:t>
      </w:r>
    </w:p>
    <w:p w14:paraId="4DEBE0A0" w14:textId="77777777" w:rsidR="00721CFD" w:rsidRPr="00F54559" w:rsidRDefault="00721CFD" w:rsidP="00721CFD">
      <w:pPr>
        <w:rPr>
          <w:rFonts w:cstheme="minorHAnsi"/>
          <w:sz w:val="24"/>
          <w:szCs w:val="20"/>
        </w:rPr>
      </w:pPr>
    </w:p>
    <w:p w14:paraId="6D152EB7" w14:textId="77777777" w:rsidR="00721CFD" w:rsidRPr="00F54559" w:rsidRDefault="00721CFD" w:rsidP="00721CFD">
      <w:pPr>
        <w:rPr>
          <w:rFonts w:cstheme="minorHAnsi"/>
          <w:i/>
          <w:sz w:val="24"/>
          <w:szCs w:val="24"/>
        </w:rPr>
      </w:pPr>
      <w:r w:rsidRPr="00F54559">
        <w:rPr>
          <w:rFonts w:cstheme="minorHAnsi"/>
          <w:i/>
          <w:sz w:val="24"/>
          <w:szCs w:val="24"/>
        </w:rPr>
        <w:t>Methods and assumptions used in calculations of actuarially determined contributions:</w:t>
      </w:r>
    </w:p>
    <w:p w14:paraId="60AE2574" w14:textId="77777777" w:rsidR="00721CFD" w:rsidRPr="00F54559" w:rsidRDefault="00721CFD" w:rsidP="00721CFD">
      <w:pPr>
        <w:rPr>
          <w:rFonts w:cstheme="minorHAnsi"/>
          <w:sz w:val="24"/>
          <w:szCs w:val="20"/>
        </w:rPr>
      </w:pPr>
      <w:r w:rsidRPr="00F54559">
        <w:rPr>
          <w:rFonts w:cstheme="minorHAnsi"/>
          <w:sz w:val="24"/>
          <w:szCs w:val="20"/>
        </w:rPr>
        <w:t>The actuarially determined contributions in the schedule of employers' contributions are calculated as of July 1, one year prior to the end of the fiscal year in which contributions are reported. The following actuarial methods and assumptions were used to determine contributions reported in that schedule:</w:t>
      </w:r>
      <w:r>
        <w:rPr>
          <w:rFonts w:cstheme="minorHAnsi"/>
          <w:sz w:val="24"/>
          <w:szCs w:val="20"/>
        </w:rPr>
        <w:t xml:space="preserve"> </w:t>
      </w:r>
    </w:p>
    <w:p w14:paraId="13DFC077" w14:textId="77777777" w:rsidR="00721CFD" w:rsidRPr="00A74468" w:rsidRDefault="00721CFD" w:rsidP="00721CFD">
      <w:pPr>
        <w:rPr>
          <w:rFonts w:cstheme="minorHAnsi"/>
          <w:szCs w:val="20"/>
        </w:rPr>
      </w:pPr>
    </w:p>
    <w:tbl>
      <w:tblPr>
        <w:tblStyle w:val="TableGrid2"/>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Description w:val="Actuarial cost method since 2017 has been entry age normal.  Amortization method changed from level dollar amount over 30 years on a closed amortization period in 2017 &amp; 2018 to 28 years in 2019.  Asset valuation method is market value.  Inflation decreased from 3% per year in 2017 and 2018 to 2.6% in 2019.  Healthcare cost trend rate has changed from 8% decreasing 1% per year to an ultimate rate of 5% for 2020 and later years to 8% decreasing 0.5% per year to 5.5%, then grading down to an ultimate trend rate of 3.9% with the ultimate medical inflation rate reached in 2075.  The investment rate of return/discount rate has remained 7.5% net of OPEB plan investment expenses, including inflation since 2017."/>
      </w:tblPr>
      <w:tblGrid>
        <w:gridCol w:w="2809"/>
        <w:gridCol w:w="6102"/>
      </w:tblGrid>
      <w:tr w:rsidR="00721CFD" w:rsidRPr="00A454B4" w14:paraId="38C4408E" w14:textId="77777777" w:rsidTr="007B5BB3">
        <w:trPr>
          <w:trHeight w:val="246"/>
          <w:jc w:val="center"/>
        </w:trPr>
        <w:tc>
          <w:tcPr>
            <w:tcW w:w="1576" w:type="pct"/>
          </w:tcPr>
          <w:p w14:paraId="09E7493C" w14:textId="77777777" w:rsidR="00721CFD" w:rsidRPr="00D9538A" w:rsidRDefault="00721CFD" w:rsidP="007B5BB3">
            <w:pPr>
              <w:widowControl w:val="0"/>
              <w:rPr>
                <w:rFonts w:cstheme="minorHAnsi"/>
                <w:sz w:val="24"/>
                <w:szCs w:val="20"/>
              </w:rPr>
            </w:pPr>
            <w:r w:rsidRPr="00D9538A">
              <w:rPr>
                <w:rFonts w:eastAsia="Franklin Gothic Book" w:cstheme="minorHAnsi"/>
                <w:spacing w:val="-2"/>
                <w:sz w:val="24"/>
              </w:rPr>
              <w:t>A</w:t>
            </w:r>
            <w:r w:rsidRPr="00D9538A">
              <w:rPr>
                <w:rFonts w:eastAsia="Franklin Gothic Book" w:cstheme="minorHAnsi"/>
                <w:sz w:val="24"/>
              </w:rPr>
              <w:t>ctua</w:t>
            </w:r>
            <w:r w:rsidRPr="00D9538A">
              <w:rPr>
                <w:rFonts w:eastAsia="Franklin Gothic Book" w:cstheme="minorHAnsi"/>
                <w:spacing w:val="-1"/>
                <w:sz w:val="24"/>
              </w:rPr>
              <w:t>r</w:t>
            </w:r>
            <w:r w:rsidRPr="00D9538A">
              <w:rPr>
                <w:rFonts w:eastAsia="Franklin Gothic Book" w:cstheme="minorHAnsi"/>
                <w:sz w:val="24"/>
              </w:rPr>
              <w:t>ial</w:t>
            </w:r>
            <w:r w:rsidRPr="00D9538A">
              <w:rPr>
                <w:rFonts w:eastAsia="Franklin Gothic Book" w:cstheme="minorHAnsi"/>
                <w:spacing w:val="-2"/>
                <w:sz w:val="24"/>
              </w:rPr>
              <w:t xml:space="preserve"> </w:t>
            </w:r>
            <w:r w:rsidRPr="00D9538A">
              <w:rPr>
                <w:rFonts w:eastAsia="Franklin Gothic Book" w:cstheme="minorHAnsi"/>
                <w:spacing w:val="1"/>
                <w:sz w:val="24"/>
              </w:rPr>
              <w:t>c</w:t>
            </w:r>
            <w:r w:rsidRPr="00D9538A">
              <w:rPr>
                <w:rFonts w:eastAsia="Franklin Gothic Book" w:cstheme="minorHAnsi"/>
                <w:sz w:val="24"/>
              </w:rPr>
              <w:t>ost method</w:t>
            </w:r>
          </w:p>
        </w:tc>
        <w:tc>
          <w:tcPr>
            <w:tcW w:w="3424" w:type="pct"/>
          </w:tcPr>
          <w:p w14:paraId="08F13886" w14:textId="77777777" w:rsidR="00721CFD" w:rsidRPr="00FB0A60" w:rsidRDefault="00721CFD" w:rsidP="007B5BB3">
            <w:pPr>
              <w:widowControl w:val="0"/>
              <w:rPr>
                <w:rFonts w:eastAsia="Franklin Gothic Book" w:cstheme="minorHAnsi"/>
                <w:sz w:val="24"/>
              </w:rPr>
            </w:pPr>
            <w:r w:rsidRPr="00FB0A60">
              <w:rPr>
                <w:rFonts w:eastAsia="Franklin Gothic Book" w:cstheme="minorHAnsi"/>
                <w:spacing w:val="-2"/>
                <w:sz w:val="24"/>
              </w:rPr>
              <w:t>2017 to 202</w:t>
            </w:r>
            <w:r w:rsidRPr="003959B0">
              <w:rPr>
                <w:rFonts w:eastAsia="Franklin Gothic Book" w:cstheme="minorHAnsi"/>
                <w:spacing w:val="-2"/>
                <w:sz w:val="24"/>
              </w:rPr>
              <w:t>2</w:t>
            </w:r>
            <w:r w:rsidRPr="00FB0A60">
              <w:rPr>
                <w:rFonts w:eastAsia="Franklin Gothic Book" w:cstheme="minorHAnsi"/>
                <w:spacing w:val="-2"/>
                <w:sz w:val="24"/>
              </w:rPr>
              <w:t>: E</w:t>
            </w:r>
            <w:r w:rsidRPr="00FB0A60">
              <w:rPr>
                <w:rFonts w:eastAsia="Franklin Gothic Book" w:cstheme="minorHAnsi"/>
                <w:sz w:val="24"/>
              </w:rPr>
              <w:t>nt</w:t>
            </w:r>
            <w:r w:rsidRPr="00FB0A60">
              <w:rPr>
                <w:rFonts w:eastAsia="Franklin Gothic Book" w:cstheme="minorHAnsi"/>
                <w:spacing w:val="-1"/>
                <w:sz w:val="24"/>
              </w:rPr>
              <w:t>r</w:t>
            </w:r>
            <w:r w:rsidRPr="00FB0A60">
              <w:rPr>
                <w:rFonts w:eastAsia="Franklin Gothic Book" w:cstheme="minorHAnsi"/>
                <w:sz w:val="24"/>
              </w:rPr>
              <w:t>y</w:t>
            </w:r>
            <w:r w:rsidRPr="00FB0A60">
              <w:rPr>
                <w:rFonts w:eastAsia="Franklin Gothic Book" w:cstheme="minorHAnsi"/>
                <w:spacing w:val="-8"/>
                <w:sz w:val="24"/>
              </w:rPr>
              <w:t xml:space="preserve"> a</w:t>
            </w:r>
            <w:r w:rsidRPr="00FB0A60">
              <w:rPr>
                <w:rFonts w:eastAsia="Franklin Gothic Book" w:cstheme="minorHAnsi"/>
                <w:sz w:val="24"/>
              </w:rPr>
              <w:t>ge</w:t>
            </w:r>
            <w:r w:rsidRPr="00FB0A60">
              <w:rPr>
                <w:rFonts w:eastAsia="Franklin Gothic Book" w:cstheme="minorHAnsi"/>
                <w:spacing w:val="-6"/>
                <w:sz w:val="24"/>
              </w:rPr>
              <w:t xml:space="preserve"> n</w:t>
            </w:r>
            <w:r w:rsidRPr="00FB0A60">
              <w:rPr>
                <w:rFonts w:eastAsia="Franklin Gothic Book" w:cstheme="minorHAnsi"/>
                <w:sz w:val="24"/>
              </w:rPr>
              <w:t>o</w:t>
            </w:r>
            <w:r w:rsidRPr="00FB0A60">
              <w:rPr>
                <w:rFonts w:eastAsia="Franklin Gothic Book" w:cstheme="minorHAnsi"/>
                <w:spacing w:val="-2"/>
                <w:sz w:val="24"/>
              </w:rPr>
              <w:t>r</w:t>
            </w:r>
            <w:r w:rsidRPr="00FB0A60">
              <w:rPr>
                <w:rFonts w:eastAsia="Franklin Gothic Book" w:cstheme="minorHAnsi"/>
                <w:sz w:val="24"/>
              </w:rPr>
              <w:t>mal</w:t>
            </w:r>
          </w:p>
          <w:p w14:paraId="29122939" w14:textId="77777777" w:rsidR="00721CFD" w:rsidRPr="003959B0" w:rsidRDefault="00721CFD" w:rsidP="007B5BB3">
            <w:pPr>
              <w:widowControl w:val="0"/>
              <w:rPr>
                <w:rFonts w:eastAsia="Franklin Gothic Book" w:cstheme="minorHAnsi"/>
                <w:spacing w:val="-2"/>
                <w:sz w:val="16"/>
                <w:szCs w:val="16"/>
                <w:highlight w:val="yellow"/>
              </w:rPr>
            </w:pPr>
            <w:r w:rsidRPr="00FB0A60">
              <w:rPr>
                <w:rFonts w:eastAsia="Franklin Gothic Book" w:cstheme="minorHAnsi"/>
                <w:sz w:val="24"/>
              </w:rPr>
              <w:t>2016: Projected Unit Credit</w:t>
            </w:r>
          </w:p>
        </w:tc>
      </w:tr>
      <w:tr w:rsidR="00721CFD" w:rsidRPr="00A454B4" w14:paraId="46C4C454" w14:textId="77777777" w:rsidTr="007B5BB3">
        <w:trPr>
          <w:trHeight w:val="246"/>
          <w:jc w:val="center"/>
        </w:trPr>
        <w:tc>
          <w:tcPr>
            <w:tcW w:w="1576" w:type="pct"/>
          </w:tcPr>
          <w:p w14:paraId="5BED610D" w14:textId="77777777" w:rsidR="00721CFD" w:rsidRPr="00F54559" w:rsidRDefault="00721CFD" w:rsidP="007B5BB3">
            <w:pPr>
              <w:widowControl w:val="0"/>
              <w:rPr>
                <w:rFonts w:eastAsia="Franklin Gothic Book" w:cstheme="minorHAnsi"/>
                <w:spacing w:val="-2"/>
                <w:sz w:val="24"/>
              </w:rPr>
            </w:pPr>
            <w:r w:rsidRPr="00F54559">
              <w:rPr>
                <w:rFonts w:eastAsia="Franklin Gothic Book" w:cstheme="minorHAnsi"/>
                <w:spacing w:val="-2"/>
                <w:sz w:val="24"/>
              </w:rPr>
              <w:t>Amortization method</w:t>
            </w:r>
          </w:p>
        </w:tc>
        <w:tc>
          <w:tcPr>
            <w:tcW w:w="3424" w:type="pct"/>
          </w:tcPr>
          <w:p w14:paraId="3CB104EB" w14:textId="77777777" w:rsidR="00721CFD" w:rsidRPr="003959B0" w:rsidRDefault="00721CFD" w:rsidP="007B5BB3">
            <w:pPr>
              <w:widowControl w:val="0"/>
              <w:rPr>
                <w:rFonts w:eastAsia="Franklin Gothic Book" w:cstheme="minorHAnsi"/>
                <w:sz w:val="24"/>
              </w:rPr>
            </w:pPr>
            <w:r w:rsidRPr="003959B0">
              <w:rPr>
                <w:rFonts w:eastAsia="Franklin Gothic Book" w:cstheme="minorHAnsi"/>
                <w:sz w:val="24"/>
              </w:rPr>
              <w:t xml:space="preserve">2022: Level dollar amount over </w:t>
            </w:r>
            <w:r w:rsidRPr="00720B27">
              <w:rPr>
                <w:rFonts w:eastAsia="Franklin Gothic Book" w:cstheme="minorHAnsi"/>
                <w:sz w:val="24"/>
              </w:rPr>
              <w:t>30</w:t>
            </w:r>
            <w:r w:rsidRPr="003959B0">
              <w:rPr>
                <w:rFonts w:eastAsia="Franklin Gothic Book" w:cstheme="minorHAnsi"/>
                <w:sz w:val="24"/>
              </w:rPr>
              <w:t xml:space="preserve"> years on an open amortization period</w:t>
            </w:r>
            <w:r w:rsidRPr="003959B0" w:rsidDel="008F45FE">
              <w:rPr>
                <w:rFonts w:eastAsia="Franklin Gothic Book" w:cstheme="minorHAnsi"/>
                <w:sz w:val="24"/>
              </w:rPr>
              <w:t xml:space="preserve"> </w:t>
            </w:r>
          </w:p>
          <w:p w14:paraId="6E167300" w14:textId="77777777" w:rsidR="00721CFD" w:rsidRPr="00FB0A60" w:rsidRDefault="00721CFD" w:rsidP="007B5BB3">
            <w:pPr>
              <w:widowControl w:val="0"/>
              <w:rPr>
                <w:rFonts w:eastAsia="Franklin Gothic Book" w:cstheme="minorHAnsi"/>
                <w:sz w:val="24"/>
              </w:rPr>
            </w:pPr>
            <w:r w:rsidRPr="00FB0A60">
              <w:rPr>
                <w:rFonts w:eastAsia="Franklin Gothic Book" w:cstheme="minorHAnsi"/>
                <w:sz w:val="24"/>
              </w:rPr>
              <w:t>202</w:t>
            </w:r>
            <w:r w:rsidRPr="003959B0">
              <w:rPr>
                <w:rFonts w:eastAsia="Franklin Gothic Book" w:cstheme="minorHAnsi"/>
                <w:sz w:val="24"/>
              </w:rPr>
              <w:t>1</w:t>
            </w:r>
            <w:r w:rsidRPr="00FB0A60">
              <w:rPr>
                <w:rFonts w:eastAsia="Franklin Gothic Book" w:cstheme="minorHAnsi"/>
                <w:sz w:val="24"/>
              </w:rPr>
              <w:t>: Level dollar amount over 25 years on a closed amortization period</w:t>
            </w:r>
          </w:p>
          <w:p w14:paraId="6E46B9B6" w14:textId="77777777" w:rsidR="00721CFD" w:rsidRPr="00FB0A60" w:rsidRDefault="00721CFD" w:rsidP="007B5BB3">
            <w:pPr>
              <w:widowControl w:val="0"/>
              <w:rPr>
                <w:rFonts w:eastAsia="Franklin Gothic Book" w:cstheme="minorHAnsi"/>
                <w:sz w:val="24"/>
              </w:rPr>
            </w:pPr>
            <w:r w:rsidRPr="00FB0A60">
              <w:rPr>
                <w:rFonts w:eastAsia="Franklin Gothic Book" w:cstheme="minorHAnsi"/>
                <w:sz w:val="24"/>
              </w:rPr>
              <w:t>2020: Level dollar amount over 26 years on a closed amortization period</w:t>
            </w:r>
          </w:p>
          <w:p w14:paraId="2A4F7EEB" w14:textId="77777777" w:rsidR="00721CFD" w:rsidRPr="00FB0A60" w:rsidRDefault="00721CFD" w:rsidP="007B5BB3">
            <w:pPr>
              <w:widowControl w:val="0"/>
              <w:rPr>
                <w:rFonts w:cstheme="minorHAnsi"/>
                <w:sz w:val="24"/>
                <w:szCs w:val="20"/>
              </w:rPr>
            </w:pPr>
            <w:r w:rsidRPr="00FB0A60">
              <w:rPr>
                <w:rFonts w:eastAsia="Franklin Gothic Book" w:cstheme="minorHAnsi"/>
                <w:sz w:val="24"/>
              </w:rPr>
              <w:t>2019: Level dollar amount over 28 years on a closed amortization period</w:t>
            </w:r>
          </w:p>
        </w:tc>
      </w:tr>
      <w:tr w:rsidR="00721CFD" w:rsidRPr="00A454B4" w14:paraId="2A8AAC8F" w14:textId="77777777" w:rsidTr="007B5BB3">
        <w:trPr>
          <w:trHeight w:val="246"/>
          <w:jc w:val="center"/>
        </w:trPr>
        <w:tc>
          <w:tcPr>
            <w:tcW w:w="1576" w:type="pct"/>
          </w:tcPr>
          <w:p w14:paraId="05ACA4E2" w14:textId="77777777" w:rsidR="00721CFD" w:rsidRPr="00F54559" w:rsidRDefault="00721CFD" w:rsidP="007B5BB3">
            <w:pPr>
              <w:widowControl w:val="0"/>
              <w:rPr>
                <w:rFonts w:eastAsia="Franklin Gothic Book" w:cstheme="minorHAnsi"/>
                <w:spacing w:val="-2"/>
                <w:sz w:val="24"/>
              </w:rPr>
            </w:pPr>
          </w:p>
        </w:tc>
        <w:tc>
          <w:tcPr>
            <w:tcW w:w="3424" w:type="pct"/>
          </w:tcPr>
          <w:p w14:paraId="4B3E27D3" w14:textId="77777777" w:rsidR="00721CFD" w:rsidRPr="00FB0A60" w:rsidRDefault="00721CFD" w:rsidP="007B5BB3">
            <w:pPr>
              <w:widowControl w:val="0"/>
              <w:rPr>
                <w:rFonts w:eastAsia="Franklin Gothic Book" w:cstheme="minorHAnsi"/>
                <w:sz w:val="24"/>
              </w:rPr>
            </w:pPr>
            <w:r w:rsidRPr="00FB0A60">
              <w:rPr>
                <w:rFonts w:eastAsia="Franklin Gothic Book" w:cstheme="minorHAnsi"/>
                <w:sz w:val="24"/>
              </w:rPr>
              <w:t>2017 to 2018: Level dollar amount over 30 years on a closed amortization period</w:t>
            </w:r>
          </w:p>
        </w:tc>
      </w:tr>
    </w:tbl>
    <w:p w14:paraId="4B9EBC03" w14:textId="3A6B794A" w:rsidR="00373110" w:rsidRDefault="00373110">
      <w:r>
        <w:br w:type="page"/>
      </w:r>
    </w:p>
    <w:p w14:paraId="17CB340C" w14:textId="1EBC5F33" w:rsidR="00373110" w:rsidRPr="00FE714D" w:rsidRDefault="00373110" w:rsidP="00373110">
      <w:pPr>
        <w:pStyle w:val="AFR4"/>
        <w:spacing w:after="240"/>
        <w:rPr>
          <w:rFonts w:eastAsiaTheme="majorEastAsia" w:cstheme="minorHAnsi"/>
          <w:i/>
          <w:iCs/>
          <w:smallCaps/>
          <w:noProof/>
          <w:color w:val="000000" w:themeColor="text1"/>
          <w:sz w:val="26"/>
          <w:szCs w:val="26"/>
          <w:u w:val="none" w:color="5B9BD5"/>
        </w:rPr>
      </w:pPr>
      <w:r>
        <w:rPr>
          <w:rFonts w:cstheme="minorHAnsi"/>
          <w:sz w:val="28"/>
          <w:szCs w:val="28"/>
        </w:rPr>
        <w:lastRenderedPageBreak/>
        <w:fldChar w:fldCharType="begin"/>
      </w:r>
      <w:r>
        <w:rPr>
          <w:rFonts w:cstheme="minorHAnsi"/>
          <w:sz w:val="28"/>
          <w:szCs w:val="28"/>
        </w:rPr>
        <w:fldChar w:fldCharType="end"/>
      </w:r>
      <w:r w:rsidRPr="00A74468">
        <w:rPr>
          <w:rFonts w:eastAsiaTheme="majorEastAsia" w:cstheme="minorHAnsi"/>
          <w:i/>
          <w:iCs/>
          <w:smallCaps/>
          <w:noProof/>
          <w:color w:val="000000" w:themeColor="text1"/>
          <w:sz w:val="26"/>
          <w:szCs w:val="26"/>
          <w:u w:val="none" w:color="5B9BD5"/>
        </w:rPr>
        <w:t>OPEB Plan - continued:</w:t>
      </w:r>
    </w:p>
    <w:tbl>
      <w:tblPr>
        <w:tblStyle w:val="TableGrid2"/>
        <w:tblW w:w="47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Description w:val="Actuarial cost method since 2017 has been entry age normal.  Amortization method changed from level dollar amount over 30 years on a closed amortization period in 2017 &amp; 2018 to 28 years in 2019.  Asset valuation method is market value.  Inflation decreased from 3% per year in 2017 and 2018 to 2.6% in 2019.  Healthcare cost trend rate has changed from 8% decreasing 1% per year to an ultimate rate of 5% for 2020 and later years to 8% decreasing 0.5% per year to 5.5%, then grading down to an ultimate trend rate of 3.9% with the ultimate medical inflation rate reached in 2075.  The investment rate of return/discount rate has remained 7.5% net of OPEB plan investment expenses, including inflation since 2017."/>
      </w:tblPr>
      <w:tblGrid>
        <w:gridCol w:w="2809"/>
        <w:gridCol w:w="6102"/>
      </w:tblGrid>
      <w:tr w:rsidR="00721CFD" w:rsidRPr="00A454B4" w14:paraId="072C3471" w14:textId="77777777" w:rsidTr="007B5BB3">
        <w:trPr>
          <w:trHeight w:val="246"/>
          <w:jc w:val="center"/>
        </w:trPr>
        <w:tc>
          <w:tcPr>
            <w:tcW w:w="1576" w:type="pct"/>
          </w:tcPr>
          <w:p w14:paraId="250ABACC" w14:textId="6BCA5153" w:rsidR="00721CFD" w:rsidRPr="00F54559" w:rsidRDefault="00721CFD" w:rsidP="007B5BB3">
            <w:pPr>
              <w:widowControl w:val="0"/>
              <w:rPr>
                <w:rFonts w:eastAsia="Franklin Gothic Book" w:cstheme="minorHAnsi"/>
                <w:spacing w:val="-2"/>
                <w:sz w:val="24"/>
              </w:rPr>
            </w:pPr>
            <w:r w:rsidRPr="00F54559">
              <w:rPr>
                <w:rFonts w:eastAsia="Franklin Gothic Book" w:cstheme="minorHAnsi"/>
                <w:spacing w:val="-2"/>
                <w:sz w:val="24"/>
              </w:rPr>
              <w:t>Amortization period</w:t>
            </w:r>
          </w:p>
        </w:tc>
        <w:tc>
          <w:tcPr>
            <w:tcW w:w="3424" w:type="pct"/>
          </w:tcPr>
          <w:p w14:paraId="27ACFD93" w14:textId="77777777" w:rsidR="00721CFD" w:rsidRPr="003959B0" w:rsidRDefault="00721CFD" w:rsidP="007B5BB3">
            <w:pPr>
              <w:widowControl w:val="0"/>
              <w:rPr>
                <w:rFonts w:eastAsia="Franklin Gothic Book" w:cstheme="minorHAnsi"/>
                <w:sz w:val="24"/>
              </w:rPr>
            </w:pPr>
            <w:r w:rsidRPr="003959B0">
              <w:rPr>
                <w:rFonts w:eastAsia="Franklin Gothic Book" w:cstheme="minorHAnsi"/>
                <w:sz w:val="24"/>
              </w:rPr>
              <w:t xml:space="preserve">2022: </w:t>
            </w:r>
            <w:r>
              <w:rPr>
                <w:rFonts w:eastAsia="Franklin Gothic Book" w:cstheme="minorHAnsi"/>
                <w:sz w:val="24"/>
              </w:rPr>
              <w:t>30</w:t>
            </w:r>
            <w:r w:rsidRPr="003959B0">
              <w:rPr>
                <w:rFonts w:eastAsia="Franklin Gothic Book" w:cstheme="minorHAnsi"/>
                <w:sz w:val="24"/>
              </w:rPr>
              <w:t xml:space="preserve"> years</w:t>
            </w:r>
          </w:p>
          <w:p w14:paraId="3288C599" w14:textId="77777777" w:rsidR="00721CFD" w:rsidRPr="009D1607" w:rsidRDefault="00721CFD" w:rsidP="007B5BB3">
            <w:pPr>
              <w:widowControl w:val="0"/>
              <w:rPr>
                <w:rFonts w:eastAsia="Franklin Gothic Book" w:cstheme="minorHAnsi"/>
                <w:sz w:val="24"/>
              </w:rPr>
            </w:pPr>
            <w:r w:rsidRPr="009D1607">
              <w:rPr>
                <w:rFonts w:eastAsia="Franklin Gothic Book" w:cstheme="minorHAnsi"/>
                <w:sz w:val="24"/>
              </w:rPr>
              <w:t>2021: 25 years</w:t>
            </w:r>
          </w:p>
          <w:p w14:paraId="44114637" w14:textId="77777777" w:rsidR="00721CFD" w:rsidRPr="009D1607" w:rsidRDefault="00721CFD" w:rsidP="007B5BB3">
            <w:pPr>
              <w:widowControl w:val="0"/>
              <w:rPr>
                <w:rFonts w:eastAsia="Franklin Gothic Book" w:cstheme="minorHAnsi"/>
                <w:sz w:val="24"/>
              </w:rPr>
            </w:pPr>
            <w:r w:rsidRPr="009D1607">
              <w:rPr>
                <w:rFonts w:eastAsia="Franklin Gothic Book" w:cstheme="minorHAnsi"/>
                <w:sz w:val="24"/>
              </w:rPr>
              <w:t>2020: 26 years</w:t>
            </w:r>
          </w:p>
          <w:p w14:paraId="65BF7855" w14:textId="77777777" w:rsidR="00721CFD" w:rsidRPr="009D1607" w:rsidRDefault="00721CFD" w:rsidP="007B5BB3">
            <w:pPr>
              <w:widowControl w:val="0"/>
              <w:rPr>
                <w:rFonts w:eastAsia="Franklin Gothic Book" w:cstheme="minorHAnsi"/>
                <w:sz w:val="24"/>
              </w:rPr>
            </w:pPr>
            <w:r w:rsidRPr="009D1607">
              <w:rPr>
                <w:rFonts w:eastAsia="Franklin Gothic Book" w:cstheme="minorHAnsi"/>
                <w:sz w:val="24"/>
              </w:rPr>
              <w:t>2019: 28 years</w:t>
            </w:r>
          </w:p>
          <w:p w14:paraId="7D78323C" w14:textId="77777777" w:rsidR="00721CFD" w:rsidRPr="003959B0" w:rsidRDefault="00721CFD" w:rsidP="007B5BB3">
            <w:pPr>
              <w:widowControl w:val="0"/>
              <w:rPr>
                <w:rFonts w:eastAsia="Franklin Gothic Book" w:cstheme="minorHAnsi"/>
                <w:color w:val="FF0000"/>
                <w:sz w:val="24"/>
              </w:rPr>
            </w:pPr>
            <w:r w:rsidRPr="009D1607">
              <w:rPr>
                <w:rFonts w:eastAsia="Franklin Gothic Book" w:cstheme="minorHAnsi"/>
                <w:sz w:val="24"/>
              </w:rPr>
              <w:t>2017 to 2018: 30 years</w:t>
            </w:r>
          </w:p>
        </w:tc>
      </w:tr>
      <w:tr w:rsidR="00721CFD" w:rsidRPr="00A454B4" w14:paraId="030C6F27" w14:textId="77777777" w:rsidTr="007B5BB3">
        <w:trPr>
          <w:trHeight w:val="246"/>
          <w:jc w:val="center"/>
        </w:trPr>
        <w:tc>
          <w:tcPr>
            <w:tcW w:w="1576" w:type="pct"/>
          </w:tcPr>
          <w:p w14:paraId="45E48447" w14:textId="77777777" w:rsidR="00721CFD" w:rsidRPr="00F54559" w:rsidRDefault="00721CFD" w:rsidP="007B5BB3">
            <w:pPr>
              <w:widowControl w:val="0"/>
              <w:rPr>
                <w:rFonts w:eastAsia="Franklin Gothic Book" w:cstheme="minorHAnsi"/>
                <w:spacing w:val="-2"/>
                <w:sz w:val="24"/>
              </w:rPr>
            </w:pPr>
            <w:r w:rsidRPr="00F54559">
              <w:rPr>
                <w:rFonts w:eastAsia="Franklin Gothic Book" w:cstheme="minorHAnsi"/>
                <w:spacing w:val="-2"/>
                <w:sz w:val="24"/>
              </w:rPr>
              <w:t>A</w:t>
            </w:r>
            <w:r w:rsidRPr="00F54559">
              <w:rPr>
                <w:rFonts w:eastAsia="Franklin Gothic Book" w:cstheme="minorHAnsi"/>
                <w:spacing w:val="1"/>
                <w:sz w:val="24"/>
              </w:rPr>
              <w:t>ss</w:t>
            </w:r>
            <w:r w:rsidRPr="00F54559">
              <w:rPr>
                <w:rFonts w:eastAsia="Franklin Gothic Book" w:cstheme="minorHAnsi"/>
                <w:sz w:val="24"/>
              </w:rPr>
              <w:t>et</w:t>
            </w:r>
            <w:r w:rsidRPr="00F54559">
              <w:rPr>
                <w:rFonts w:eastAsia="Franklin Gothic Book" w:cstheme="minorHAnsi"/>
                <w:spacing w:val="-1"/>
                <w:sz w:val="24"/>
              </w:rPr>
              <w:t xml:space="preserve"> v</w:t>
            </w:r>
            <w:r w:rsidRPr="00F54559">
              <w:rPr>
                <w:rFonts w:eastAsia="Franklin Gothic Book" w:cstheme="minorHAnsi"/>
                <w:sz w:val="24"/>
              </w:rPr>
              <w:t>alua</w:t>
            </w:r>
            <w:r w:rsidRPr="00F54559">
              <w:rPr>
                <w:rFonts w:eastAsia="Franklin Gothic Book" w:cstheme="minorHAnsi"/>
                <w:spacing w:val="1"/>
                <w:sz w:val="24"/>
              </w:rPr>
              <w:t>t</w:t>
            </w:r>
            <w:r w:rsidRPr="00F54559">
              <w:rPr>
                <w:rFonts w:eastAsia="Franklin Gothic Book" w:cstheme="minorHAnsi"/>
                <w:sz w:val="24"/>
              </w:rPr>
              <w:t>ion</w:t>
            </w:r>
            <w:r w:rsidRPr="00F54559">
              <w:rPr>
                <w:rFonts w:eastAsia="Franklin Gothic Book" w:cstheme="minorHAnsi"/>
                <w:spacing w:val="-2"/>
                <w:sz w:val="24"/>
              </w:rPr>
              <w:t xml:space="preserve"> </w:t>
            </w:r>
            <w:r w:rsidRPr="00F54559">
              <w:rPr>
                <w:rFonts w:eastAsia="Franklin Gothic Book" w:cstheme="minorHAnsi"/>
                <w:spacing w:val="1"/>
                <w:sz w:val="24"/>
              </w:rPr>
              <w:t>m</w:t>
            </w:r>
            <w:r w:rsidRPr="00F54559">
              <w:rPr>
                <w:rFonts w:eastAsia="Franklin Gothic Book" w:cstheme="minorHAnsi"/>
                <w:sz w:val="24"/>
              </w:rPr>
              <w:t>ethod</w:t>
            </w:r>
          </w:p>
        </w:tc>
        <w:tc>
          <w:tcPr>
            <w:tcW w:w="3424" w:type="pct"/>
          </w:tcPr>
          <w:p w14:paraId="6AB37E98" w14:textId="77777777" w:rsidR="00721CFD" w:rsidRPr="00F54559" w:rsidRDefault="00721CFD" w:rsidP="007B5BB3">
            <w:pPr>
              <w:widowControl w:val="0"/>
              <w:rPr>
                <w:rFonts w:eastAsia="Franklin Gothic Book" w:cstheme="minorHAnsi"/>
                <w:sz w:val="24"/>
              </w:rPr>
            </w:pPr>
            <w:r w:rsidRPr="00F54559">
              <w:rPr>
                <w:rFonts w:eastAsia="Franklin Gothic Book" w:cstheme="minorHAnsi"/>
                <w:sz w:val="24"/>
              </w:rPr>
              <w:t>Market value</w:t>
            </w:r>
          </w:p>
        </w:tc>
      </w:tr>
      <w:tr w:rsidR="00073E0A" w:rsidRPr="00A454B4" w14:paraId="1D32DF90" w14:textId="77777777" w:rsidTr="007B5BB3">
        <w:trPr>
          <w:trHeight w:val="246"/>
          <w:jc w:val="center"/>
        </w:trPr>
        <w:tc>
          <w:tcPr>
            <w:tcW w:w="1576" w:type="pct"/>
          </w:tcPr>
          <w:p w14:paraId="193096D3" w14:textId="57AAC236" w:rsidR="00073E0A" w:rsidRPr="00F54559" w:rsidRDefault="00073E0A" w:rsidP="00073E0A">
            <w:pPr>
              <w:widowControl w:val="0"/>
              <w:rPr>
                <w:rFonts w:eastAsia="Franklin Gothic Book" w:cstheme="minorHAnsi"/>
                <w:spacing w:val="-2"/>
                <w:sz w:val="24"/>
              </w:rPr>
            </w:pPr>
            <w:r w:rsidRPr="00F54559">
              <w:rPr>
                <w:rFonts w:eastAsia="Franklin Gothic Book" w:cstheme="minorHAnsi"/>
                <w:sz w:val="24"/>
              </w:rPr>
              <w:t>Infla</w:t>
            </w:r>
            <w:r w:rsidRPr="00F54559">
              <w:rPr>
                <w:rFonts w:eastAsia="Franklin Gothic Book" w:cstheme="minorHAnsi"/>
                <w:spacing w:val="1"/>
                <w:sz w:val="24"/>
              </w:rPr>
              <w:t>t</w:t>
            </w:r>
            <w:r w:rsidRPr="00F54559">
              <w:rPr>
                <w:rFonts w:eastAsia="Franklin Gothic Book" w:cstheme="minorHAnsi"/>
                <w:sz w:val="24"/>
              </w:rPr>
              <w:t>ion</w:t>
            </w:r>
          </w:p>
        </w:tc>
        <w:tc>
          <w:tcPr>
            <w:tcW w:w="3424" w:type="pct"/>
          </w:tcPr>
          <w:p w14:paraId="4CE973D9" w14:textId="77777777" w:rsidR="00073E0A" w:rsidRPr="00943CF1" w:rsidRDefault="00073E0A" w:rsidP="00073E0A">
            <w:pPr>
              <w:widowControl w:val="0"/>
              <w:rPr>
                <w:rFonts w:eastAsia="Franklin Gothic Book" w:cstheme="minorHAnsi"/>
                <w:sz w:val="24"/>
              </w:rPr>
            </w:pPr>
            <w:r w:rsidRPr="00943CF1">
              <w:rPr>
                <w:rFonts w:eastAsia="Franklin Gothic Book" w:cstheme="minorHAnsi"/>
                <w:sz w:val="24"/>
              </w:rPr>
              <w:t>2022: 2.4%</w:t>
            </w:r>
          </w:p>
          <w:p w14:paraId="330E2AB1" w14:textId="77777777" w:rsidR="00073E0A" w:rsidRPr="009D1607" w:rsidRDefault="00073E0A" w:rsidP="00073E0A">
            <w:pPr>
              <w:widowControl w:val="0"/>
              <w:rPr>
                <w:rFonts w:eastAsia="Franklin Gothic Book" w:cstheme="minorHAnsi"/>
                <w:sz w:val="24"/>
              </w:rPr>
            </w:pPr>
            <w:r w:rsidRPr="009D1607">
              <w:rPr>
                <w:rFonts w:eastAsia="Franklin Gothic Book" w:cstheme="minorHAnsi"/>
                <w:sz w:val="24"/>
              </w:rPr>
              <w:t>2021: 2.2%</w:t>
            </w:r>
          </w:p>
          <w:p w14:paraId="4188A07E" w14:textId="77777777" w:rsidR="00073E0A" w:rsidRPr="009D1607" w:rsidRDefault="00073E0A" w:rsidP="00073E0A">
            <w:pPr>
              <w:widowControl w:val="0"/>
              <w:rPr>
                <w:rFonts w:eastAsia="Franklin Gothic Book" w:cstheme="minorHAnsi"/>
                <w:sz w:val="24"/>
              </w:rPr>
            </w:pPr>
            <w:r w:rsidRPr="009D1607">
              <w:rPr>
                <w:rFonts w:eastAsia="Franklin Gothic Book" w:cstheme="minorHAnsi"/>
                <w:sz w:val="24"/>
              </w:rPr>
              <w:t>2020: 2.4%</w:t>
            </w:r>
          </w:p>
          <w:p w14:paraId="7816C93B" w14:textId="3181D399" w:rsidR="00073E0A" w:rsidRPr="00F54559" w:rsidRDefault="00073E0A" w:rsidP="00073E0A">
            <w:pPr>
              <w:widowControl w:val="0"/>
              <w:rPr>
                <w:rFonts w:eastAsia="Franklin Gothic Book" w:cstheme="minorHAnsi"/>
                <w:sz w:val="24"/>
              </w:rPr>
            </w:pPr>
            <w:r w:rsidRPr="009D1607">
              <w:rPr>
                <w:rFonts w:eastAsia="Franklin Gothic Book" w:cstheme="minorHAnsi"/>
                <w:sz w:val="24"/>
              </w:rPr>
              <w:t>2019: 2.6%</w:t>
            </w:r>
          </w:p>
        </w:tc>
      </w:tr>
      <w:tr w:rsidR="00073E0A" w:rsidRPr="00A454B4" w14:paraId="6ED39A5C" w14:textId="77777777" w:rsidTr="007B5BB3">
        <w:trPr>
          <w:trHeight w:val="246"/>
          <w:jc w:val="center"/>
        </w:trPr>
        <w:tc>
          <w:tcPr>
            <w:tcW w:w="1576" w:type="pct"/>
          </w:tcPr>
          <w:p w14:paraId="3ECAA7F9" w14:textId="77777777" w:rsidR="00073E0A" w:rsidRPr="00F54559" w:rsidRDefault="00073E0A" w:rsidP="00073E0A">
            <w:pPr>
              <w:widowControl w:val="0"/>
              <w:rPr>
                <w:rFonts w:eastAsia="Franklin Gothic Book" w:cstheme="minorHAnsi"/>
                <w:sz w:val="24"/>
              </w:rPr>
            </w:pPr>
          </w:p>
        </w:tc>
        <w:tc>
          <w:tcPr>
            <w:tcW w:w="3424" w:type="pct"/>
          </w:tcPr>
          <w:p w14:paraId="7F9AC063" w14:textId="46D5BA20" w:rsidR="00073E0A" w:rsidRPr="00943CF1" w:rsidRDefault="00073E0A" w:rsidP="00073E0A">
            <w:pPr>
              <w:widowControl w:val="0"/>
              <w:rPr>
                <w:rFonts w:eastAsia="Franklin Gothic Book" w:cstheme="minorHAnsi"/>
                <w:sz w:val="24"/>
              </w:rPr>
            </w:pPr>
            <w:r w:rsidRPr="00FB0A60">
              <w:rPr>
                <w:rFonts w:eastAsia="Franklin Gothic Book" w:cstheme="minorHAnsi"/>
                <w:sz w:val="24"/>
              </w:rPr>
              <w:t>2017 to 2018: 3% per year</w:t>
            </w:r>
          </w:p>
        </w:tc>
      </w:tr>
      <w:tr w:rsidR="00073E0A" w:rsidRPr="00A454B4" w14:paraId="6C67C55E" w14:textId="77777777" w:rsidTr="007B5BB3">
        <w:trPr>
          <w:trHeight w:val="246"/>
          <w:jc w:val="center"/>
        </w:trPr>
        <w:tc>
          <w:tcPr>
            <w:tcW w:w="1576" w:type="pct"/>
          </w:tcPr>
          <w:p w14:paraId="041F0B91" w14:textId="640B9AB0" w:rsidR="00073E0A" w:rsidRPr="00F54559" w:rsidRDefault="00073E0A" w:rsidP="00073E0A">
            <w:pPr>
              <w:widowControl w:val="0"/>
              <w:rPr>
                <w:rFonts w:eastAsia="Franklin Gothic Book" w:cstheme="minorHAnsi"/>
                <w:sz w:val="24"/>
              </w:rPr>
            </w:pPr>
            <w:r w:rsidRPr="00F54559">
              <w:rPr>
                <w:rFonts w:cstheme="minorHAnsi"/>
                <w:sz w:val="24"/>
                <w:szCs w:val="20"/>
              </w:rPr>
              <w:t>Healthcare cost trend rate</w:t>
            </w:r>
          </w:p>
        </w:tc>
        <w:tc>
          <w:tcPr>
            <w:tcW w:w="3424" w:type="pct"/>
          </w:tcPr>
          <w:p w14:paraId="2C3A2F60" w14:textId="77777777" w:rsidR="00073E0A" w:rsidRPr="00FB0A60" w:rsidRDefault="00073E0A" w:rsidP="00073E0A">
            <w:pPr>
              <w:widowControl w:val="0"/>
              <w:rPr>
                <w:rFonts w:eastAsia="Franklin Gothic Book" w:cstheme="minorHAnsi"/>
                <w:spacing w:val="-1"/>
                <w:sz w:val="24"/>
              </w:rPr>
            </w:pPr>
            <w:r w:rsidRPr="00FB0A60">
              <w:rPr>
                <w:rFonts w:eastAsia="Franklin Gothic Book" w:cstheme="minorHAnsi"/>
                <w:spacing w:val="-1"/>
                <w:sz w:val="24"/>
              </w:rPr>
              <w:t>2021</w:t>
            </w:r>
            <w:r w:rsidRPr="003959B0">
              <w:rPr>
                <w:rFonts w:eastAsia="Franklin Gothic Book" w:cstheme="minorHAnsi"/>
                <w:spacing w:val="-1"/>
                <w:sz w:val="24"/>
              </w:rPr>
              <w:t xml:space="preserve"> to 2022</w:t>
            </w:r>
            <w:r w:rsidRPr="00FB0A60">
              <w:rPr>
                <w:rFonts w:eastAsia="Franklin Gothic Book" w:cstheme="minorHAnsi"/>
                <w:spacing w:val="-1"/>
                <w:sz w:val="24"/>
              </w:rPr>
              <w:t xml:space="preserve">: </w:t>
            </w:r>
            <w:r w:rsidRPr="00FB0A60">
              <w:rPr>
                <w:rFonts w:eastAsia="Franklin Gothic Book" w:cstheme="minorHAnsi"/>
                <w:spacing w:val="-1"/>
                <w:sz w:val="24"/>
                <w:szCs w:val="24"/>
              </w:rPr>
              <w:t>6% decreasing .25% per year to 5.25%, then grading down to an ultimate trend rate of 4%, utilizing the Society of Actuaries Getzen Medical Trend Model. The ultimate medical inflation rate is reached in 2075.</w:t>
            </w:r>
          </w:p>
          <w:p w14:paraId="360B5926" w14:textId="4F383CC2" w:rsidR="00073E0A" w:rsidRPr="00FB0A60" w:rsidRDefault="00073E0A" w:rsidP="00073E0A">
            <w:pPr>
              <w:widowControl w:val="0"/>
              <w:rPr>
                <w:rFonts w:eastAsia="Franklin Gothic Book" w:cstheme="minorHAnsi"/>
                <w:sz w:val="24"/>
              </w:rPr>
            </w:pPr>
            <w:r w:rsidRPr="00FB0A60">
              <w:rPr>
                <w:rFonts w:eastAsia="Franklin Gothic Book" w:cstheme="minorHAnsi"/>
                <w:spacing w:val="-1"/>
                <w:sz w:val="24"/>
              </w:rPr>
              <w:t>2019 to 2020: 8% decreasing .5% per year to 5.5%, then grading down to an ultimate trend rate of 3.9%, utilizing the Society of Actuaries Getzen Medical Trend Model. The ultimate medical inflation rate is reached in 2075.</w:t>
            </w:r>
          </w:p>
        </w:tc>
      </w:tr>
      <w:tr w:rsidR="00073E0A" w:rsidRPr="00A454B4" w14:paraId="275A0618" w14:textId="77777777" w:rsidTr="007B5BB3">
        <w:trPr>
          <w:trHeight w:val="246"/>
          <w:jc w:val="center"/>
        </w:trPr>
        <w:tc>
          <w:tcPr>
            <w:tcW w:w="1576" w:type="pct"/>
          </w:tcPr>
          <w:p w14:paraId="65F77EDF" w14:textId="77777777" w:rsidR="00073E0A" w:rsidRPr="00F54559" w:rsidRDefault="00073E0A" w:rsidP="00073E0A">
            <w:pPr>
              <w:widowControl w:val="0"/>
              <w:rPr>
                <w:rFonts w:cstheme="minorHAnsi"/>
                <w:sz w:val="24"/>
                <w:szCs w:val="20"/>
              </w:rPr>
            </w:pPr>
          </w:p>
        </w:tc>
        <w:tc>
          <w:tcPr>
            <w:tcW w:w="3424" w:type="pct"/>
          </w:tcPr>
          <w:p w14:paraId="62CB2BBE" w14:textId="43A89A0A" w:rsidR="00073E0A" w:rsidRPr="00FB0A60" w:rsidRDefault="00073E0A" w:rsidP="00073E0A">
            <w:pPr>
              <w:widowControl w:val="0"/>
              <w:rPr>
                <w:rFonts w:eastAsia="Franklin Gothic Book" w:cstheme="minorHAnsi"/>
                <w:spacing w:val="-1"/>
                <w:sz w:val="24"/>
              </w:rPr>
            </w:pPr>
            <w:r w:rsidRPr="00FB0A60">
              <w:rPr>
                <w:rFonts w:eastAsia="Franklin Gothic Book" w:cstheme="minorHAnsi"/>
                <w:spacing w:val="-1"/>
                <w:sz w:val="24"/>
              </w:rPr>
              <w:t>2017 to 2018: 8% decreasing 1% per year to an ultimate rate of 5% for 2020 and later years</w:t>
            </w:r>
          </w:p>
        </w:tc>
      </w:tr>
      <w:tr w:rsidR="00073E0A" w:rsidRPr="00A454B4" w14:paraId="2BD2E088" w14:textId="77777777" w:rsidTr="007B5BB3">
        <w:trPr>
          <w:trHeight w:val="246"/>
          <w:jc w:val="center"/>
        </w:trPr>
        <w:tc>
          <w:tcPr>
            <w:tcW w:w="1576" w:type="pct"/>
          </w:tcPr>
          <w:p w14:paraId="50D5D4C0" w14:textId="53FC98C6" w:rsidR="00073E0A" w:rsidRPr="00F54559" w:rsidRDefault="00073E0A" w:rsidP="00073E0A">
            <w:pPr>
              <w:widowControl w:val="0"/>
              <w:rPr>
                <w:rFonts w:cstheme="minorHAnsi"/>
                <w:sz w:val="24"/>
                <w:szCs w:val="20"/>
              </w:rPr>
            </w:pPr>
            <w:r w:rsidRPr="00F54559">
              <w:rPr>
                <w:rFonts w:eastAsia="Franklin Gothic Book" w:cstheme="minorHAnsi"/>
                <w:sz w:val="24"/>
              </w:rPr>
              <w:t>In</w:t>
            </w:r>
            <w:r w:rsidRPr="00F54559">
              <w:rPr>
                <w:rFonts w:eastAsia="Franklin Gothic Book" w:cstheme="minorHAnsi"/>
                <w:spacing w:val="-1"/>
                <w:sz w:val="24"/>
              </w:rPr>
              <w:t>v</w:t>
            </w:r>
            <w:r w:rsidRPr="00F54559">
              <w:rPr>
                <w:rFonts w:eastAsia="Franklin Gothic Book" w:cstheme="minorHAnsi"/>
                <w:sz w:val="24"/>
              </w:rPr>
              <w:t>es</w:t>
            </w:r>
            <w:r w:rsidRPr="00F54559">
              <w:rPr>
                <w:rFonts w:eastAsia="Franklin Gothic Book" w:cstheme="minorHAnsi"/>
                <w:spacing w:val="1"/>
                <w:sz w:val="24"/>
              </w:rPr>
              <w:t>t</w:t>
            </w:r>
            <w:r w:rsidRPr="00F54559">
              <w:rPr>
                <w:rFonts w:eastAsia="Franklin Gothic Book" w:cstheme="minorHAnsi"/>
                <w:sz w:val="24"/>
              </w:rPr>
              <w:t>ment</w:t>
            </w:r>
            <w:r w:rsidRPr="00F54559">
              <w:rPr>
                <w:rFonts w:eastAsia="Franklin Gothic Book" w:cstheme="minorHAnsi"/>
                <w:spacing w:val="-1"/>
                <w:sz w:val="24"/>
              </w:rPr>
              <w:t xml:space="preserve"> r</w:t>
            </w:r>
            <w:r w:rsidRPr="00F54559">
              <w:rPr>
                <w:rFonts w:eastAsia="Franklin Gothic Book" w:cstheme="minorHAnsi"/>
                <w:sz w:val="24"/>
              </w:rPr>
              <w:t>a</w:t>
            </w:r>
            <w:r w:rsidRPr="00F54559">
              <w:rPr>
                <w:rFonts w:eastAsia="Franklin Gothic Book" w:cstheme="minorHAnsi"/>
                <w:spacing w:val="1"/>
                <w:sz w:val="24"/>
              </w:rPr>
              <w:t>t</w:t>
            </w:r>
            <w:r w:rsidRPr="00F54559">
              <w:rPr>
                <w:rFonts w:eastAsia="Franklin Gothic Book" w:cstheme="minorHAnsi"/>
                <w:sz w:val="24"/>
              </w:rPr>
              <w:t>e</w:t>
            </w:r>
            <w:r w:rsidRPr="00F54559">
              <w:rPr>
                <w:rFonts w:eastAsia="Franklin Gothic Book" w:cstheme="minorHAnsi"/>
                <w:spacing w:val="-2"/>
                <w:sz w:val="24"/>
              </w:rPr>
              <w:t xml:space="preserve"> </w:t>
            </w:r>
            <w:r w:rsidRPr="00F54559">
              <w:rPr>
                <w:rFonts w:eastAsia="Franklin Gothic Book" w:cstheme="minorHAnsi"/>
                <w:sz w:val="24"/>
              </w:rPr>
              <w:t>of</w:t>
            </w:r>
            <w:r w:rsidRPr="00F54559">
              <w:rPr>
                <w:rFonts w:eastAsia="Franklin Gothic Book" w:cstheme="minorHAnsi"/>
                <w:spacing w:val="-2"/>
                <w:sz w:val="24"/>
              </w:rPr>
              <w:t xml:space="preserve"> </w:t>
            </w:r>
            <w:r w:rsidRPr="00F54559">
              <w:rPr>
                <w:rFonts w:eastAsia="Franklin Gothic Book" w:cstheme="minorHAnsi"/>
                <w:sz w:val="24"/>
              </w:rPr>
              <w:t>r</w:t>
            </w:r>
            <w:r w:rsidRPr="00F54559">
              <w:rPr>
                <w:rFonts w:eastAsia="Franklin Gothic Book" w:cstheme="minorHAnsi"/>
                <w:spacing w:val="-1"/>
                <w:sz w:val="24"/>
              </w:rPr>
              <w:t>e</w:t>
            </w:r>
            <w:r w:rsidRPr="00F54559">
              <w:rPr>
                <w:rFonts w:eastAsia="Franklin Gothic Book" w:cstheme="minorHAnsi"/>
                <w:sz w:val="24"/>
              </w:rPr>
              <w:t>tu</w:t>
            </w:r>
            <w:r w:rsidRPr="00F54559">
              <w:rPr>
                <w:rFonts w:eastAsia="Franklin Gothic Book" w:cstheme="minorHAnsi"/>
                <w:spacing w:val="-1"/>
                <w:sz w:val="24"/>
              </w:rPr>
              <w:t>r</w:t>
            </w:r>
            <w:r w:rsidRPr="00F54559">
              <w:rPr>
                <w:rFonts w:eastAsia="Franklin Gothic Book" w:cstheme="minorHAnsi"/>
                <w:sz w:val="24"/>
              </w:rPr>
              <w:t>n/ discount rate</w:t>
            </w:r>
          </w:p>
        </w:tc>
        <w:tc>
          <w:tcPr>
            <w:tcW w:w="3424" w:type="pct"/>
          </w:tcPr>
          <w:p w14:paraId="1C7DB5D4" w14:textId="77777777" w:rsidR="00073E0A" w:rsidRPr="009D1607" w:rsidRDefault="00073E0A" w:rsidP="00073E0A">
            <w:pPr>
              <w:widowControl w:val="0"/>
              <w:rPr>
                <w:rFonts w:eastAsia="Franklin Gothic Book" w:cstheme="minorHAnsi"/>
                <w:sz w:val="24"/>
              </w:rPr>
            </w:pPr>
            <w:r w:rsidRPr="009D1607">
              <w:rPr>
                <w:rFonts w:eastAsia="Franklin Gothic Book" w:cstheme="minorHAnsi"/>
                <w:sz w:val="24"/>
              </w:rPr>
              <w:t>2020 to 202</w:t>
            </w:r>
            <w:r w:rsidRPr="003959B0">
              <w:rPr>
                <w:rFonts w:eastAsia="Franklin Gothic Book" w:cstheme="minorHAnsi"/>
                <w:sz w:val="24"/>
              </w:rPr>
              <w:t>2</w:t>
            </w:r>
            <w:r w:rsidRPr="009D1607">
              <w:rPr>
                <w:rFonts w:eastAsia="Franklin Gothic Book" w:cstheme="minorHAnsi"/>
                <w:sz w:val="24"/>
              </w:rPr>
              <w:t>: 7.25%</w:t>
            </w:r>
            <w:r w:rsidRPr="009D1607">
              <w:rPr>
                <w:rFonts w:eastAsia="Franklin Gothic Book" w:cstheme="minorHAnsi"/>
                <w:spacing w:val="-1"/>
                <w:sz w:val="24"/>
              </w:rPr>
              <w:t xml:space="preserve"> net of investment expenses, including inflation</w:t>
            </w:r>
          </w:p>
          <w:p w14:paraId="364FBB58" w14:textId="1DB54DF3" w:rsidR="00073E0A" w:rsidRPr="00FB0A60" w:rsidRDefault="00073E0A" w:rsidP="00073E0A">
            <w:pPr>
              <w:widowControl w:val="0"/>
              <w:rPr>
                <w:rFonts w:eastAsia="Franklin Gothic Book" w:cstheme="minorHAnsi"/>
                <w:spacing w:val="-1"/>
                <w:sz w:val="24"/>
              </w:rPr>
            </w:pPr>
            <w:r w:rsidRPr="009D1607">
              <w:rPr>
                <w:rFonts w:eastAsia="Franklin Gothic Book" w:cstheme="minorHAnsi"/>
                <w:sz w:val="24"/>
              </w:rPr>
              <w:t xml:space="preserve">2017 to 2019: </w:t>
            </w:r>
            <w:r w:rsidRPr="009D1607">
              <w:rPr>
                <w:rFonts w:eastAsia="Franklin Gothic Book" w:cstheme="minorHAnsi"/>
                <w:spacing w:val="-1"/>
                <w:sz w:val="24"/>
              </w:rPr>
              <w:t>7.5% net of investment expenses, including inflation</w:t>
            </w:r>
          </w:p>
        </w:tc>
      </w:tr>
      <w:tr w:rsidR="00073E0A" w:rsidRPr="00A454B4" w14:paraId="3B0C101D" w14:textId="77777777" w:rsidTr="007B5BB3">
        <w:trPr>
          <w:trHeight w:val="246"/>
          <w:jc w:val="center"/>
        </w:trPr>
        <w:tc>
          <w:tcPr>
            <w:tcW w:w="1576" w:type="pct"/>
          </w:tcPr>
          <w:p w14:paraId="4EDD526A" w14:textId="77777777" w:rsidR="00073E0A" w:rsidRPr="00F54559" w:rsidRDefault="00073E0A" w:rsidP="00073E0A">
            <w:pPr>
              <w:widowControl w:val="0"/>
              <w:rPr>
                <w:rFonts w:eastAsia="Franklin Gothic Book" w:cstheme="minorHAnsi"/>
                <w:sz w:val="24"/>
              </w:rPr>
            </w:pPr>
          </w:p>
        </w:tc>
        <w:tc>
          <w:tcPr>
            <w:tcW w:w="3424" w:type="pct"/>
          </w:tcPr>
          <w:p w14:paraId="1BAF9C4E" w14:textId="58D2EFB7" w:rsidR="00073E0A" w:rsidRPr="009D1607" w:rsidRDefault="00073E0A" w:rsidP="00073E0A">
            <w:pPr>
              <w:widowControl w:val="0"/>
              <w:rPr>
                <w:rFonts w:eastAsia="Franklin Gothic Book" w:cstheme="minorHAnsi"/>
                <w:sz w:val="24"/>
              </w:rPr>
            </w:pPr>
            <w:r w:rsidRPr="009D1607">
              <w:rPr>
                <w:rFonts w:eastAsia="Franklin Gothic Book" w:cstheme="minorHAnsi"/>
                <w:spacing w:val="-1"/>
                <w:sz w:val="24"/>
              </w:rPr>
              <w:t>2016: 7.75% net of investment expenses, including inflation</w:t>
            </w:r>
          </w:p>
        </w:tc>
      </w:tr>
    </w:tbl>
    <w:p w14:paraId="119F71AF" w14:textId="6F86E0B2" w:rsidR="00721CFD" w:rsidRPr="00072C68" w:rsidRDefault="00721CFD" w:rsidP="00721CFD">
      <w:pPr>
        <w:pStyle w:val="AFR4"/>
        <w:spacing w:before="0" w:after="0"/>
        <w:rPr>
          <w:b w:val="0"/>
          <w:u w:val="none"/>
        </w:rPr>
      </w:pPr>
    </w:p>
    <w:tbl>
      <w:tblPr>
        <w:tblW w:w="10205" w:type="dxa"/>
        <w:tblLook w:val="04A0" w:firstRow="1" w:lastRow="0" w:firstColumn="1" w:lastColumn="0" w:noHBand="0" w:noVBand="1"/>
      </w:tblPr>
      <w:tblGrid>
        <w:gridCol w:w="4958"/>
        <w:gridCol w:w="935"/>
        <w:gridCol w:w="935"/>
        <w:gridCol w:w="814"/>
        <w:gridCol w:w="814"/>
        <w:gridCol w:w="814"/>
        <w:gridCol w:w="935"/>
      </w:tblGrid>
      <w:tr w:rsidR="00721CFD" w:rsidRPr="003B0D41" w14:paraId="7C2443F4" w14:textId="77777777" w:rsidTr="007B5BB3">
        <w:trPr>
          <w:trHeight w:val="750"/>
          <w:tblHeader/>
        </w:trPr>
        <w:tc>
          <w:tcPr>
            <w:tcW w:w="4958" w:type="dxa"/>
            <w:tcBorders>
              <w:top w:val="nil"/>
              <w:left w:val="nil"/>
              <w:bottom w:val="single" w:sz="12" w:space="0" w:color="00688D"/>
              <w:right w:val="nil"/>
            </w:tcBorders>
            <w:shd w:val="clear" w:color="000000" w:fill="FFFFFF"/>
            <w:vAlign w:val="bottom"/>
            <w:hideMark/>
          </w:tcPr>
          <w:p w14:paraId="2CD907B0" w14:textId="77777777" w:rsidR="00721CFD" w:rsidRPr="00770E90" w:rsidRDefault="00721CFD" w:rsidP="007B5BB3">
            <w:pP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Investment Returns:</w:t>
            </w:r>
            <w:r w:rsidRPr="00770E90">
              <w:rPr>
                <w:rFonts w:ascii="Calibri" w:eastAsia="Times New Roman" w:hAnsi="Calibri" w:cs="Calibri"/>
                <w:b/>
                <w:bCs/>
                <w:color w:val="0D0D0D"/>
                <w:sz w:val="24"/>
                <w:szCs w:val="24"/>
              </w:rPr>
              <w:br/>
              <w:t>Fiscal Year Ended June 30</w:t>
            </w:r>
          </w:p>
        </w:tc>
        <w:tc>
          <w:tcPr>
            <w:tcW w:w="935" w:type="dxa"/>
            <w:tcBorders>
              <w:top w:val="nil"/>
              <w:left w:val="nil"/>
              <w:bottom w:val="single" w:sz="12" w:space="0" w:color="00688D"/>
              <w:right w:val="nil"/>
            </w:tcBorders>
            <w:shd w:val="clear" w:color="auto" w:fill="auto"/>
            <w:vAlign w:val="bottom"/>
          </w:tcPr>
          <w:p w14:paraId="1D08BEDC" w14:textId="77777777" w:rsidR="00721CFD" w:rsidRPr="00770E90" w:rsidRDefault="00721CFD" w:rsidP="007B5BB3">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202</w:t>
            </w:r>
            <w:r>
              <w:rPr>
                <w:rFonts w:ascii="Calibri" w:eastAsia="Times New Roman" w:hAnsi="Calibri" w:cs="Calibri"/>
                <w:b/>
                <w:bCs/>
                <w:color w:val="0D0D0D"/>
                <w:sz w:val="24"/>
                <w:szCs w:val="24"/>
              </w:rPr>
              <w:t>2</w:t>
            </w:r>
          </w:p>
        </w:tc>
        <w:tc>
          <w:tcPr>
            <w:tcW w:w="935" w:type="dxa"/>
            <w:tcBorders>
              <w:top w:val="nil"/>
              <w:left w:val="nil"/>
              <w:bottom w:val="single" w:sz="12" w:space="0" w:color="00688D"/>
              <w:right w:val="nil"/>
            </w:tcBorders>
            <w:shd w:val="clear" w:color="auto" w:fill="D9D9D9" w:themeFill="background1" w:themeFillShade="D9"/>
            <w:vAlign w:val="bottom"/>
          </w:tcPr>
          <w:p w14:paraId="738EC22E" w14:textId="77777777" w:rsidR="00721CFD" w:rsidRPr="00770E90" w:rsidRDefault="00721CFD" w:rsidP="007B5BB3">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2021</w:t>
            </w:r>
          </w:p>
        </w:tc>
        <w:tc>
          <w:tcPr>
            <w:tcW w:w="814" w:type="dxa"/>
            <w:tcBorders>
              <w:top w:val="nil"/>
              <w:left w:val="nil"/>
              <w:bottom w:val="single" w:sz="12" w:space="0" w:color="00688D"/>
              <w:right w:val="nil"/>
            </w:tcBorders>
            <w:shd w:val="clear" w:color="000000" w:fill="FFFFFF"/>
            <w:noWrap/>
            <w:vAlign w:val="bottom"/>
            <w:hideMark/>
          </w:tcPr>
          <w:p w14:paraId="46BC4AC2" w14:textId="77777777" w:rsidR="00721CFD" w:rsidRPr="00770E90" w:rsidRDefault="00721CFD" w:rsidP="007B5BB3">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2020</w:t>
            </w:r>
          </w:p>
        </w:tc>
        <w:tc>
          <w:tcPr>
            <w:tcW w:w="814" w:type="dxa"/>
            <w:tcBorders>
              <w:top w:val="nil"/>
              <w:left w:val="nil"/>
              <w:bottom w:val="single" w:sz="12" w:space="0" w:color="00688D"/>
              <w:right w:val="nil"/>
            </w:tcBorders>
            <w:shd w:val="clear" w:color="auto" w:fill="D9D9D9" w:themeFill="background1" w:themeFillShade="D9"/>
            <w:noWrap/>
            <w:vAlign w:val="bottom"/>
            <w:hideMark/>
          </w:tcPr>
          <w:p w14:paraId="408CCB9E" w14:textId="77777777" w:rsidR="00721CFD" w:rsidRPr="00770E90" w:rsidRDefault="00721CFD" w:rsidP="007B5BB3">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2019</w:t>
            </w:r>
          </w:p>
        </w:tc>
        <w:tc>
          <w:tcPr>
            <w:tcW w:w="814" w:type="dxa"/>
            <w:tcBorders>
              <w:top w:val="nil"/>
              <w:left w:val="nil"/>
              <w:bottom w:val="single" w:sz="12" w:space="0" w:color="00688D"/>
              <w:right w:val="nil"/>
            </w:tcBorders>
            <w:shd w:val="clear" w:color="000000" w:fill="FFFFFF"/>
            <w:noWrap/>
            <w:vAlign w:val="bottom"/>
            <w:hideMark/>
          </w:tcPr>
          <w:p w14:paraId="746C4FC0" w14:textId="77777777" w:rsidR="00721CFD" w:rsidRPr="00770E90" w:rsidRDefault="00721CFD" w:rsidP="007B5BB3">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2018</w:t>
            </w:r>
          </w:p>
        </w:tc>
        <w:tc>
          <w:tcPr>
            <w:tcW w:w="935" w:type="dxa"/>
            <w:tcBorders>
              <w:top w:val="nil"/>
              <w:left w:val="nil"/>
              <w:bottom w:val="single" w:sz="12" w:space="0" w:color="00688D"/>
              <w:right w:val="nil"/>
            </w:tcBorders>
            <w:shd w:val="clear" w:color="auto" w:fill="D9D9D9" w:themeFill="background1" w:themeFillShade="D9"/>
            <w:noWrap/>
            <w:vAlign w:val="bottom"/>
            <w:hideMark/>
          </w:tcPr>
          <w:p w14:paraId="7A3C7368" w14:textId="77777777" w:rsidR="00721CFD" w:rsidRPr="00770E90" w:rsidRDefault="00721CFD" w:rsidP="007B5BB3">
            <w:pPr>
              <w:jc w:val="center"/>
              <w:rPr>
                <w:rFonts w:ascii="Calibri" w:eastAsia="Times New Roman" w:hAnsi="Calibri" w:cs="Calibri"/>
                <w:b/>
                <w:bCs/>
                <w:color w:val="0D0D0D"/>
                <w:sz w:val="24"/>
                <w:szCs w:val="24"/>
              </w:rPr>
            </w:pPr>
            <w:r w:rsidRPr="00770E90">
              <w:rPr>
                <w:rFonts w:ascii="Calibri" w:eastAsia="Times New Roman" w:hAnsi="Calibri" w:cs="Calibri"/>
                <w:b/>
                <w:bCs/>
                <w:color w:val="0D0D0D"/>
                <w:sz w:val="24"/>
                <w:szCs w:val="24"/>
              </w:rPr>
              <w:t>2017</w:t>
            </w:r>
          </w:p>
        </w:tc>
      </w:tr>
      <w:tr w:rsidR="00721CFD" w:rsidRPr="003B0D41" w14:paraId="03EA7B84" w14:textId="77777777" w:rsidTr="007B5BB3">
        <w:trPr>
          <w:trHeight w:val="324"/>
        </w:trPr>
        <w:tc>
          <w:tcPr>
            <w:tcW w:w="4958" w:type="dxa"/>
            <w:tcBorders>
              <w:top w:val="nil"/>
              <w:left w:val="nil"/>
              <w:bottom w:val="nil"/>
              <w:right w:val="nil"/>
            </w:tcBorders>
            <w:shd w:val="clear" w:color="000000" w:fill="FFFFFF"/>
            <w:vAlign w:val="bottom"/>
            <w:hideMark/>
          </w:tcPr>
          <w:p w14:paraId="164FEC7E" w14:textId="77777777" w:rsidR="00721CFD" w:rsidRPr="00770E90" w:rsidRDefault="00721CFD" w:rsidP="007B5BB3">
            <w:pPr>
              <w:rPr>
                <w:rFonts w:ascii="Calibri" w:eastAsia="Times New Roman" w:hAnsi="Calibri" w:cs="Calibri"/>
                <w:color w:val="0D0D0D"/>
                <w:sz w:val="24"/>
                <w:szCs w:val="24"/>
              </w:rPr>
            </w:pPr>
            <w:r w:rsidRPr="00770E90">
              <w:rPr>
                <w:rFonts w:ascii="Calibri" w:eastAsia="Times New Roman" w:hAnsi="Calibri" w:cs="Calibri"/>
                <w:color w:val="0D0D0D"/>
                <w:sz w:val="24"/>
                <w:szCs w:val="24"/>
              </w:rPr>
              <w:t>Annual money-weighted rate of return, net of investment expenses</w:t>
            </w:r>
          </w:p>
        </w:tc>
        <w:tc>
          <w:tcPr>
            <w:tcW w:w="935" w:type="dxa"/>
            <w:tcBorders>
              <w:top w:val="nil"/>
              <w:left w:val="nil"/>
              <w:bottom w:val="nil"/>
              <w:right w:val="nil"/>
            </w:tcBorders>
            <w:shd w:val="clear" w:color="auto" w:fill="auto"/>
            <w:vAlign w:val="bottom"/>
          </w:tcPr>
          <w:p w14:paraId="13305333" w14:textId="77777777" w:rsidR="00721CFD" w:rsidRPr="00770E90" w:rsidRDefault="00721CFD" w:rsidP="007B5BB3">
            <w:pPr>
              <w:jc w:val="center"/>
              <w:rPr>
                <w:rFonts w:ascii="Calibri" w:eastAsia="Times New Roman" w:hAnsi="Calibri" w:cs="Calibri"/>
                <w:sz w:val="24"/>
                <w:szCs w:val="24"/>
              </w:rPr>
            </w:pPr>
            <w:r w:rsidRPr="00943CF1">
              <w:rPr>
                <w:rFonts w:ascii="Calibri" w:eastAsia="Times New Roman" w:hAnsi="Calibri" w:cs="Calibri"/>
                <w:sz w:val="24"/>
                <w:szCs w:val="24"/>
              </w:rPr>
              <w:t>-12.59</w:t>
            </w:r>
          </w:p>
        </w:tc>
        <w:tc>
          <w:tcPr>
            <w:tcW w:w="935" w:type="dxa"/>
            <w:tcBorders>
              <w:top w:val="nil"/>
              <w:left w:val="nil"/>
              <w:bottom w:val="nil"/>
              <w:right w:val="nil"/>
            </w:tcBorders>
            <w:shd w:val="clear" w:color="auto" w:fill="D9D9D9" w:themeFill="background1" w:themeFillShade="D9"/>
            <w:vAlign w:val="bottom"/>
          </w:tcPr>
          <w:p w14:paraId="3FF4928F" w14:textId="77777777" w:rsidR="00721CFD" w:rsidRPr="00770E90" w:rsidRDefault="00721CFD" w:rsidP="007B5BB3">
            <w:pPr>
              <w:jc w:val="center"/>
              <w:rPr>
                <w:rFonts w:ascii="Calibri" w:eastAsia="Times New Roman" w:hAnsi="Calibri" w:cs="Calibri"/>
                <w:color w:val="0D0D0D"/>
                <w:sz w:val="24"/>
                <w:szCs w:val="24"/>
              </w:rPr>
            </w:pPr>
            <w:r w:rsidRPr="00770E90">
              <w:rPr>
                <w:rFonts w:ascii="Calibri" w:eastAsia="Times New Roman" w:hAnsi="Calibri" w:cs="Calibri"/>
                <w:sz w:val="24"/>
                <w:szCs w:val="24"/>
              </w:rPr>
              <w:t>26.88%</w:t>
            </w:r>
          </w:p>
        </w:tc>
        <w:tc>
          <w:tcPr>
            <w:tcW w:w="814" w:type="dxa"/>
            <w:tcBorders>
              <w:top w:val="nil"/>
              <w:left w:val="nil"/>
              <w:bottom w:val="nil"/>
              <w:right w:val="nil"/>
            </w:tcBorders>
            <w:shd w:val="clear" w:color="000000" w:fill="FFFFFF"/>
            <w:noWrap/>
            <w:vAlign w:val="bottom"/>
            <w:hideMark/>
          </w:tcPr>
          <w:p w14:paraId="24A75948" w14:textId="77777777" w:rsidR="00721CFD" w:rsidRPr="00770E90" w:rsidRDefault="00721CFD" w:rsidP="007B5BB3">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1.16%</w:t>
            </w:r>
          </w:p>
        </w:tc>
        <w:tc>
          <w:tcPr>
            <w:tcW w:w="814" w:type="dxa"/>
            <w:tcBorders>
              <w:top w:val="nil"/>
              <w:left w:val="nil"/>
              <w:bottom w:val="nil"/>
              <w:right w:val="nil"/>
            </w:tcBorders>
            <w:shd w:val="clear" w:color="auto" w:fill="D9D9D9" w:themeFill="background1" w:themeFillShade="D9"/>
            <w:noWrap/>
            <w:vAlign w:val="bottom"/>
            <w:hideMark/>
          </w:tcPr>
          <w:p w14:paraId="4318F71F" w14:textId="77777777" w:rsidR="00721CFD" w:rsidRPr="00770E90" w:rsidRDefault="00721CFD" w:rsidP="007B5BB3">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2.81%</w:t>
            </w:r>
          </w:p>
        </w:tc>
        <w:tc>
          <w:tcPr>
            <w:tcW w:w="814" w:type="dxa"/>
            <w:tcBorders>
              <w:top w:val="nil"/>
              <w:left w:val="nil"/>
              <w:bottom w:val="nil"/>
              <w:right w:val="nil"/>
            </w:tcBorders>
            <w:shd w:val="clear" w:color="000000" w:fill="FFFFFF"/>
            <w:noWrap/>
            <w:vAlign w:val="bottom"/>
            <w:hideMark/>
          </w:tcPr>
          <w:p w14:paraId="2FCD438B" w14:textId="77777777" w:rsidR="00721CFD" w:rsidRPr="00770E90" w:rsidRDefault="00721CFD" w:rsidP="007B5BB3">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6.90%</w:t>
            </w:r>
          </w:p>
        </w:tc>
        <w:tc>
          <w:tcPr>
            <w:tcW w:w="935" w:type="dxa"/>
            <w:tcBorders>
              <w:top w:val="nil"/>
              <w:left w:val="nil"/>
              <w:bottom w:val="nil"/>
              <w:right w:val="nil"/>
            </w:tcBorders>
            <w:shd w:val="clear" w:color="auto" w:fill="D9D9D9" w:themeFill="background1" w:themeFillShade="D9"/>
            <w:noWrap/>
            <w:vAlign w:val="bottom"/>
            <w:hideMark/>
          </w:tcPr>
          <w:p w14:paraId="70A4F8D2" w14:textId="77777777" w:rsidR="00721CFD" w:rsidRPr="00770E90" w:rsidRDefault="00721CFD" w:rsidP="007B5BB3">
            <w:pPr>
              <w:jc w:val="center"/>
              <w:rPr>
                <w:rFonts w:ascii="Calibri" w:eastAsia="Times New Roman" w:hAnsi="Calibri" w:cs="Calibri"/>
                <w:color w:val="0D0D0D"/>
                <w:sz w:val="24"/>
                <w:szCs w:val="24"/>
              </w:rPr>
            </w:pPr>
            <w:r w:rsidRPr="00770E90">
              <w:rPr>
                <w:rFonts w:ascii="Calibri" w:eastAsia="Times New Roman" w:hAnsi="Calibri" w:cs="Calibri"/>
                <w:color w:val="0D0D0D"/>
                <w:sz w:val="24"/>
                <w:szCs w:val="24"/>
              </w:rPr>
              <w:t>11.56%</w:t>
            </w:r>
          </w:p>
        </w:tc>
      </w:tr>
    </w:tbl>
    <w:p w14:paraId="559127BB" w14:textId="77777777" w:rsidR="00721CFD" w:rsidRPr="00F54559" w:rsidRDefault="00721CFD" w:rsidP="00721CFD">
      <w:pPr>
        <w:tabs>
          <w:tab w:val="left" w:pos="1440"/>
          <w:tab w:val="left" w:pos="7200"/>
        </w:tabs>
        <w:spacing w:before="240"/>
        <w:rPr>
          <w:rFonts w:cstheme="minorHAnsi"/>
          <w:b/>
          <w:sz w:val="28"/>
          <w:szCs w:val="28"/>
        </w:rPr>
      </w:pPr>
      <w:r w:rsidRPr="00F54559">
        <w:rPr>
          <w:rFonts w:cstheme="minorHAnsi"/>
          <w:sz w:val="24"/>
          <w:szCs w:val="20"/>
        </w:rPr>
        <w:t>The money-weighted rate of return considers the changing amounts actually invested during a period and weights the amount of OPEB plan investments by the proportion of time they are available to earn a return during that period. The rate of return is then calculated by solving, through an iterative process, for the rate that equates the sum of the weighted external cash flows into and out of the OPEB plan investments to the ending fair value of OPEB plan investments.</w:t>
      </w:r>
    </w:p>
    <w:p w14:paraId="3CAE144A" w14:textId="77777777" w:rsidR="00721CFD" w:rsidRPr="00F54559" w:rsidRDefault="00721CFD" w:rsidP="00721CFD">
      <w:pPr>
        <w:tabs>
          <w:tab w:val="left" w:pos="1440"/>
          <w:tab w:val="left" w:pos="7200"/>
        </w:tabs>
        <w:rPr>
          <w:rFonts w:cstheme="minorHAnsi"/>
          <w:szCs w:val="20"/>
        </w:rPr>
        <w:sectPr w:rsidR="00721CFD" w:rsidRPr="00F54559" w:rsidSect="007D03B3">
          <w:pgSz w:w="12240" w:h="15840" w:code="1"/>
          <w:pgMar w:top="1440" w:right="1440" w:bottom="1440" w:left="1440" w:header="720" w:footer="720" w:gutter="0"/>
          <w:cols w:space="0"/>
          <w:titlePg/>
          <w:docGrid w:linePitch="360"/>
        </w:sectPr>
      </w:pPr>
    </w:p>
    <w:p w14:paraId="77127337" w14:textId="77777777" w:rsidR="0052269E" w:rsidRDefault="0052269E">
      <w:pPr>
        <w:spacing w:after="160" w:line="259" w:lineRule="auto"/>
        <w:rPr>
          <w:rFonts w:cstheme="minorHAnsi"/>
          <w:b/>
          <w:i/>
          <w:sz w:val="26"/>
          <w:szCs w:val="26"/>
          <w:u w:color="000000" w:themeColor="text1"/>
        </w:rPr>
      </w:pPr>
      <w:r>
        <w:rPr>
          <w:rFonts w:cstheme="minorHAnsi"/>
          <w:b/>
          <w:i/>
          <w:sz w:val="26"/>
          <w:szCs w:val="26"/>
          <w:u w:color="000000" w:themeColor="text1"/>
        </w:rPr>
        <w:br w:type="page"/>
      </w:r>
    </w:p>
    <w:p w14:paraId="7D4D2F2C" w14:textId="00E1F220" w:rsidR="00721CFD" w:rsidRPr="00F54559" w:rsidRDefault="00721CFD" w:rsidP="00721CFD">
      <w:pPr>
        <w:rPr>
          <w:rFonts w:cstheme="minorHAnsi"/>
          <w:b/>
          <w:i/>
          <w:sz w:val="26"/>
          <w:szCs w:val="26"/>
          <w:u w:color="000000" w:themeColor="text1"/>
        </w:rPr>
      </w:pPr>
      <w:r w:rsidRPr="00F54559">
        <w:rPr>
          <w:rFonts w:cstheme="minorHAnsi"/>
          <w:b/>
          <w:i/>
          <w:sz w:val="26"/>
          <w:szCs w:val="26"/>
          <w:u w:color="000000" w:themeColor="text1"/>
        </w:rPr>
        <w:lastRenderedPageBreak/>
        <w:t>UNIVERSITY OF MAINE SYSTEM</w:t>
      </w:r>
    </w:p>
    <w:p w14:paraId="1517B874" w14:textId="77777777" w:rsidR="00721CFD" w:rsidRPr="00F54559" w:rsidRDefault="00721CFD" w:rsidP="00721CFD">
      <w:pPr>
        <w:pStyle w:val="AFR1"/>
        <w:spacing w:after="0"/>
        <w:rPr>
          <w:rFonts w:asciiTheme="minorHAnsi" w:hAnsiTheme="minorHAnsi" w:cstheme="minorHAnsi"/>
          <w:sz w:val="14"/>
        </w:rPr>
      </w:pPr>
      <w:r w:rsidRPr="00F54559">
        <w:rPr>
          <w:rFonts w:asciiTheme="minorHAnsi" w:hAnsiTheme="minorHAnsi" w:cstheme="minorHAnsi"/>
        </w:rPr>
        <w:t>Supplemental InformatioN REQUIRED BY THE STATE OF MAINE</w:t>
      </w:r>
    </w:p>
    <w:p w14:paraId="4A0BEB38" w14:textId="77777777" w:rsidR="00721CFD" w:rsidRPr="00F54559" w:rsidRDefault="00721CFD" w:rsidP="00721CFD">
      <w:pPr>
        <w:pStyle w:val="AFR1"/>
        <w:spacing w:after="0"/>
        <w:rPr>
          <w:rFonts w:asciiTheme="minorHAnsi" w:hAnsiTheme="minorHAnsi" w:cstheme="minorHAnsi"/>
        </w:rPr>
      </w:pPr>
      <w:r w:rsidRPr="00F54559">
        <w:rPr>
          <w:rFonts w:asciiTheme="minorHAnsi" w:hAnsiTheme="minorHAnsi" w:cstheme="minorHAnsi"/>
        </w:rPr>
        <w:t>SCHEDULES OF ACTIVITIES</w:t>
      </w:r>
    </w:p>
    <w:p w14:paraId="464B9C35" w14:textId="77777777" w:rsidR="00721CFD" w:rsidRPr="00F54559" w:rsidRDefault="00721CFD" w:rsidP="00721CFD">
      <w:pPr>
        <w:pStyle w:val="AFR1"/>
        <w:rPr>
          <w:rFonts w:asciiTheme="minorHAnsi" w:hAnsiTheme="minorHAnsi" w:cstheme="minorHAnsi"/>
          <w:sz w:val="24"/>
          <w:szCs w:val="24"/>
        </w:rPr>
      </w:pPr>
      <w:r w:rsidRPr="00F54559">
        <w:rPr>
          <w:rFonts w:asciiTheme="minorHAnsi" w:hAnsiTheme="minorHAnsi" w:cstheme="minorHAnsi"/>
          <w:sz w:val="24"/>
          <w:szCs w:val="24"/>
        </w:rPr>
        <w:t>(IN THOUSANDS)</w:t>
      </w:r>
    </w:p>
    <w:p w14:paraId="5DB4876D" w14:textId="439F62AC" w:rsidR="00721CFD" w:rsidRPr="00F54559" w:rsidRDefault="00435FA2" w:rsidP="00721CFD">
      <w:pPr>
        <w:tabs>
          <w:tab w:val="left" w:pos="1440"/>
          <w:tab w:val="left" w:pos="7200"/>
        </w:tabs>
        <w:spacing w:before="120" w:after="120"/>
        <w:rPr>
          <w:rFonts w:eastAsia="Times New Roman" w:cstheme="minorHAnsi"/>
          <w:b/>
          <w:shd w:val="clear" w:color="auto" w:fill="FFFFFF"/>
        </w:rPr>
      </w:pPr>
      <w:r w:rsidRPr="00435FA2">
        <w:rPr>
          <w:noProof/>
        </w:rPr>
        <w:drawing>
          <wp:inline distT="0" distB="0" distL="0" distR="0" wp14:anchorId="0FD47508" wp14:editId="29BB2B13">
            <wp:extent cx="5943600" cy="6268896"/>
            <wp:effectExtent l="0" t="0" r="0" b="0"/>
            <wp:docPr id="74" name="Picture 74" descr="Year Ended June 30, 2022      &#10;Functions/Programs Expenses &quot;Charges for&#10;Services&quot; &quot;Program&#10;Investment&#10;Income&quot; &quot;Operating&#10;Grants/ &#10;Contributions&quot; &quot;Capital&#10;Grants/&#10;Contributions&quot; &quot;Net&#10;(Expense)&#10;Revenue&quot;&#10;University of Maine System  $814,726   $303,671   $(26,295)  $189,080   $34,437   $(313,833)&#10; General Revenues:     &#10; Unrestricted interest and investment income      (13,664)&#10; Additions to endowments - gifts       2,782 &#10; State of Maine noncapital appropriation      229,357 &#10; State of Maine capital appropriation      25,392 &#10; Federal Pell grants      33,735 &#10; Coronavirus relief funding      62,886 &#10; Loss on disposal of capital assets      (558)&#10; Total Revenues and Extraordinary Items      339,930 &#10; Change in Net Position      26,097 &#10; Net Position, Beginning of Year      943,517 &#10; Net Position, End of Year      $969,614 &#10;      &#10;Year Ended June 30, 2021 Restated      &#10;Functions/Programs Expenses &quot;Charges for&#10;Services&quot; &quot;Program&#10;Investment&#10;Income&quot; &quot;Operating&#10;Grants/ &#10;Contributions&quot; &quot;Capital&#10;Grants/&#10;Contributions&quot; &quot;Net&#10;(Expense)&#10;Revenue&quot;&#10;University of Maine System  $683,695   $268,685   $29,406   $161,564   $8,225   $(215,815)&#10; General Revenues:     &#10; Unrestricted interest and investment income      22,525 &#10; Additions to endowments - gifts       2,582 &#10; State of Maine noncapital appropriation      218,157 &#10; State of Maine capital appropriation      15,988 &#10; Federal Pell grants      34,591 &#10; Coronavirus relief funding      36,602 &#10; Loss on disposal of capital assets      (2,395)&#10; Total Revenues and Extraordinary Items      328,050 &#10; Change in Net Position      112,235 &#10; Net Position, Beginning of Year      831,282 &#10; Net Position, End of Year      $94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Year Ended June 30, 2022      &#10;Functions/Programs Expenses &quot;Charges for&#10;Services&quot; &quot;Program&#10;Investment&#10;Income&quot; &quot;Operating&#10;Grants/ &#10;Contributions&quot; &quot;Capital&#10;Grants/&#10;Contributions&quot; &quot;Net&#10;(Expense)&#10;Revenue&quot;&#10;University of Maine System  $814,726   $303,671   $(26,295)  $189,080   $34,437   $(313,833)&#10; General Revenues:     &#10; Unrestricted interest and investment income      (13,664)&#10; Additions to endowments - gifts       2,782 &#10; State of Maine noncapital appropriation      229,357 &#10; State of Maine capital appropriation      25,392 &#10; Federal Pell grants      33,735 &#10; Coronavirus relief funding      62,886 &#10; Loss on disposal of capital assets      (558)&#10; Total Revenues and Extraordinary Items      339,930 &#10; Change in Net Position      26,097 &#10; Net Position, Beginning of Year      943,517 &#10; Net Position, End of Year      $969,614 &#10;      &#10;Year Ended June 30, 2021 Restated      &#10;Functions/Programs Expenses &quot;Charges for&#10;Services&quot; &quot;Program&#10;Investment&#10;Income&quot; &quot;Operating&#10;Grants/ &#10;Contributions&quot; &quot;Capital&#10;Grants/&#10;Contributions&quot; &quot;Net&#10;(Expense)&#10;Revenue&quot;&#10;University of Maine System  $683,695   $268,685   $29,406   $161,564   $8,225   $(215,815)&#10; General Revenues:     &#10; Unrestricted interest and investment income      22,525 &#10; Additions to endowments - gifts       2,582 &#10; State of Maine noncapital appropriation      218,157 &#10; State of Maine capital appropriation      15,988 &#10; Federal Pell grants      34,591 &#10; Coronavirus relief funding      36,602 &#10; Loss on disposal of capital assets      (2,395)&#10; Total Revenues and Extraordinary Items      328,050 &#10; Change in Net Position      112,235 &#10; Net Position, Beginning of Year      831,282 &#10; Net Position, End of Year      $943,5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6268896"/>
                    </a:xfrm>
                    <a:prstGeom prst="rect">
                      <a:avLst/>
                    </a:prstGeom>
                    <a:noFill/>
                    <a:ln>
                      <a:noFill/>
                    </a:ln>
                  </pic:spPr>
                </pic:pic>
              </a:graphicData>
            </a:graphic>
          </wp:inline>
        </w:drawing>
      </w:r>
      <w:r w:rsidR="00721CFD">
        <w:rPr>
          <w:rFonts w:eastAsia="Times New Roman" w:cstheme="minorHAnsi"/>
          <w:b/>
          <w:shd w:val="clear" w:color="auto" w:fill="FFFFFF"/>
        </w:rPr>
        <w:fldChar w:fldCharType="begin"/>
      </w:r>
      <w:r w:rsidR="00721CFD">
        <w:rPr>
          <w:rFonts w:eastAsia="Times New Roman" w:cstheme="minorHAnsi"/>
          <w:b/>
          <w:shd w:val="clear" w:color="auto" w:fill="FFFFFF"/>
        </w:rPr>
        <w:fldChar w:fldCharType="end"/>
      </w:r>
    </w:p>
    <w:p w14:paraId="7E692723" w14:textId="77777777" w:rsidR="0052269E" w:rsidRDefault="00872E0D">
      <w:pPr>
        <w:spacing w:after="160" w:line="259" w:lineRule="auto"/>
        <w:rPr>
          <w:rFonts w:ascii="Arial" w:eastAsia="Arial" w:hAnsi="Arial" w:cs="Times New Roman"/>
        </w:rPr>
        <w:sectPr w:rsidR="0052269E" w:rsidSect="0052269E">
          <w:type w:val="continuous"/>
          <w:pgSz w:w="12240" w:h="15840"/>
          <w:pgMar w:top="1440" w:right="1440" w:bottom="1440" w:left="1440" w:header="720" w:footer="720" w:gutter="0"/>
          <w:cols w:space="720"/>
          <w:docGrid w:linePitch="299"/>
        </w:sectPr>
      </w:pPr>
      <w:r>
        <w:rPr>
          <w:rFonts w:ascii="Arial" w:eastAsia="Arial" w:hAnsi="Arial" w:cs="Times New Roman"/>
        </w:rPr>
        <w:br w:type="page"/>
      </w:r>
    </w:p>
    <w:p w14:paraId="5606008C" w14:textId="77777777" w:rsidR="00317FFD" w:rsidRPr="00317FFD" w:rsidRDefault="00317FFD" w:rsidP="00317FFD">
      <w:pPr>
        <w:widowControl w:val="0"/>
        <w:autoSpaceDE w:val="0"/>
        <w:autoSpaceDN w:val="0"/>
        <w:spacing w:before="2"/>
        <w:rPr>
          <w:rFonts w:ascii="Times New Roman" w:eastAsia="Arial" w:hAnsi="Arial" w:cs="Arial"/>
          <w:sz w:val="9"/>
        </w:rPr>
      </w:pPr>
    </w:p>
    <w:p w14:paraId="3F4FDBD1" w14:textId="77777777" w:rsidR="00317FFD" w:rsidRPr="00317FFD" w:rsidRDefault="00317FFD" w:rsidP="00317FFD">
      <w:pPr>
        <w:widowControl w:val="0"/>
        <w:autoSpaceDE w:val="0"/>
        <w:autoSpaceDN w:val="0"/>
        <w:spacing w:before="66"/>
        <w:ind w:left="6428" w:right="1926"/>
        <w:rPr>
          <w:rFonts w:ascii="Calibri" w:eastAsia="Arial" w:hAnsi="Arial" w:cs="Arial"/>
          <w:b/>
          <w:sz w:val="17"/>
        </w:rPr>
      </w:pPr>
      <w:r w:rsidRPr="00317FFD">
        <w:rPr>
          <w:rFonts w:ascii="Arial" w:eastAsia="Arial" w:hAnsi="Arial" w:cs="Arial"/>
          <w:noProof/>
        </w:rPr>
        <w:drawing>
          <wp:anchor distT="0" distB="0" distL="0" distR="0" simplePos="0" relativeHeight="251662336" behindDoc="0" locked="0" layoutInCell="1" allowOverlap="1" wp14:anchorId="79B3BCA1" wp14:editId="166E96B3">
            <wp:simplePos x="0" y="0"/>
            <wp:positionH relativeFrom="page">
              <wp:posOffset>986245</wp:posOffset>
            </wp:positionH>
            <wp:positionV relativeFrom="paragraph">
              <wp:posOffset>-61579</wp:posOffset>
            </wp:positionV>
            <wp:extent cx="530223" cy="530214"/>
            <wp:effectExtent l="0" t="0" r="0" b="0"/>
            <wp:wrapNone/>
            <wp:docPr id="59"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30223" cy="530214"/>
                    </a:xfrm>
                    <a:prstGeom prst="rect">
                      <a:avLst/>
                    </a:prstGeom>
                  </pic:spPr>
                </pic:pic>
              </a:graphicData>
            </a:graphic>
          </wp:anchor>
        </w:drawing>
      </w:r>
      <w:r w:rsidRPr="00317FFD">
        <w:rPr>
          <w:rFonts w:ascii="Calibri" w:eastAsia="Arial" w:hAnsi="Arial" w:cs="Arial"/>
          <w:b/>
          <w:color w:val="2D334E"/>
          <w:sz w:val="17"/>
        </w:rPr>
        <w:t>CliftonLarsonAllen</w:t>
      </w:r>
      <w:r w:rsidRPr="00317FFD">
        <w:rPr>
          <w:rFonts w:ascii="Calibri" w:eastAsia="Arial" w:hAnsi="Arial" w:cs="Arial"/>
          <w:b/>
          <w:color w:val="2D334E"/>
          <w:spacing w:val="-10"/>
          <w:sz w:val="17"/>
        </w:rPr>
        <w:t xml:space="preserve"> </w:t>
      </w:r>
      <w:r w:rsidRPr="00317FFD">
        <w:rPr>
          <w:rFonts w:ascii="Calibri" w:eastAsia="Arial" w:hAnsi="Arial" w:cs="Arial"/>
          <w:b/>
          <w:color w:val="2D334E"/>
          <w:sz w:val="17"/>
        </w:rPr>
        <w:t>LLP</w:t>
      </w:r>
      <w:r w:rsidRPr="00317FFD">
        <w:rPr>
          <w:rFonts w:ascii="Calibri" w:eastAsia="Arial" w:hAnsi="Arial" w:cs="Arial"/>
          <w:b/>
          <w:color w:val="2D334E"/>
          <w:spacing w:val="40"/>
          <w:sz w:val="17"/>
        </w:rPr>
        <w:t xml:space="preserve"> </w:t>
      </w:r>
      <w:r w:rsidRPr="00317FFD">
        <w:rPr>
          <w:rFonts w:ascii="Calibri" w:eastAsia="Arial" w:hAnsi="Arial" w:cs="Arial"/>
          <w:b/>
          <w:color w:val="2D334E"/>
          <w:spacing w:val="-2"/>
          <w:sz w:val="17"/>
        </w:rPr>
        <w:t>CLAconnect.com</w:t>
      </w:r>
    </w:p>
    <w:p w14:paraId="75B0BC69" w14:textId="77777777" w:rsidR="00317FFD" w:rsidRPr="00317FFD" w:rsidRDefault="00317FFD" w:rsidP="00317FFD">
      <w:pPr>
        <w:widowControl w:val="0"/>
        <w:autoSpaceDE w:val="0"/>
        <w:autoSpaceDN w:val="0"/>
        <w:rPr>
          <w:rFonts w:ascii="Calibri" w:eastAsia="Arial" w:hAnsi="Arial" w:cs="Arial"/>
          <w:b/>
          <w:sz w:val="20"/>
        </w:rPr>
      </w:pPr>
    </w:p>
    <w:p w14:paraId="18390008" w14:textId="77777777" w:rsidR="00317FFD" w:rsidRPr="00317FFD" w:rsidRDefault="00317FFD" w:rsidP="00317FFD">
      <w:pPr>
        <w:widowControl w:val="0"/>
        <w:autoSpaceDE w:val="0"/>
        <w:autoSpaceDN w:val="0"/>
        <w:spacing w:before="11"/>
        <w:rPr>
          <w:rFonts w:ascii="Calibri" w:eastAsia="Arial" w:hAnsi="Arial" w:cs="Arial"/>
          <w:b/>
          <w:sz w:val="27"/>
        </w:rPr>
      </w:pPr>
    </w:p>
    <w:p w14:paraId="718B14F8" w14:textId="77777777" w:rsidR="00317FFD" w:rsidRDefault="00317FFD" w:rsidP="00317FFD">
      <w:pPr>
        <w:widowControl w:val="0"/>
        <w:tabs>
          <w:tab w:val="left" w:pos="9000"/>
        </w:tabs>
        <w:autoSpaceDE w:val="0"/>
        <w:autoSpaceDN w:val="0"/>
        <w:ind w:right="36" w:firstLine="2"/>
        <w:jc w:val="center"/>
        <w:rPr>
          <w:rFonts w:ascii="Arial" w:eastAsia="Arial" w:hAnsi="Arial" w:cs="Arial"/>
          <w:b/>
        </w:rPr>
      </w:pPr>
      <w:r w:rsidRPr="00317FFD">
        <w:rPr>
          <w:rFonts w:ascii="Arial" w:eastAsia="Arial" w:hAnsi="Arial" w:cs="Arial"/>
          <w:b/>
        </w:rPr>
        <w:t xml:space="preserve">INDEPENDENT AUDITORS’ REPORT ON INTERNAL CONTROL OVER </w:t>
      </w:r>
    </w:p>
    <w:p w14:paraId="2DBAF469" w14:textId="77777777" w:rsidR="00317FFD" w:rsidRDefault="00317FFD" w:rsidP="00317FFD">
      <w:pPr>
        <w:widowControl w:val="0"/>
        <w:tabs>
          <w:tab w:val="left" w:pos="9000"/>
        </w:tabs>
        <w:autoSpaceDE w:val="0"/>
        <w:autoSpaceDN w:val="0"/>
        <w:ind w:right="36" w:firstLine="2"/>
        <w:jc w:val="center"/>
        <w:rPr>
          <w:rFonts w:ascii="Arial" w:eastAsia="Arial" w:hAnsi="Arial" w:cs="Arial"/>
          <w:b/>
        </w:rPr>
      </w:pPr>
      <w:r w:rsidRPr="00317FFD">
        <w:rPr>
          <w:rFonts w:ascii="Arial" w:eastAsia="Arial" w:hAnsi="Arial" w:cs="Arial"/>
          <w:b/>
        </w:rPr>
        <w:t>FINANCIAL</w:t>
      </w:r>
      <w:r w:rsidRPr="00317FFD">
        <w:rPr>
          <w:rFonts w:ascii="Arial" w:eastAsia="Arial" w:hAnsi="Arial" w:cs="Arial"/>
          <w:b/>
          <w:spacing w:val="-5"/>
        </w:rPr>
        <w:t xml:space="preserve"> </w:t>
      </w:r>
      <w:r w:rsidRPr="00317FFD">
        <w:rPr>
          <w:rFonts w:ascii="Arial" w:eastAsia="Arial" w:hAnsi="Arial" w:cs="Arial"/>
          <w:b/>
        </w:rPr>
        <w:t>REPORTING</w:t>
      </w:r>
      <w:r w:rsidRPr="00317FFD">
        <w:rPr>
          <w:rFonts w:ascii="Arial" w:eastAsia="Arial" w:hAnsi="Arial" w:cs="Arial"/>
          <w:b/>
          <w:spacing w:val="-6"/>
        </w:rPr>
        <w:t xml:space="preserve"> </w:t>
      </w:r>
      <w:r w:rsidRPr="00317FFD">
        <w:rPr>
          <w:rFonts w:ascii="Arial" w:eastAsia="Arial" w:hAnsi="Arial" w:cs="Arial"/>
          <w:b/>
        </w:rPr>
        <w:t>AND</w:t>
      </w:r>
      <w:r w:rsidRPr="00317FFD">
        <w:rPr>
          <w:rFonts w:ascii="Arial" w:eastAsia="Arial" w:hAnsi="Arial" w:cs="Arial"/>
          <w:b/>
          <w:spacing w:val="-7"/>
        </w:rPr>
        <w:t xml:space="preserve"> </w:t>
      </w:r>
      <w:r w:rsidRPr="00317FFD">
        <w:rPr>
          <w:rFonts w:ascii="Arial" w:eastAsia="Arial" w:hAnsi="Arial" w:cs="Arial"/>
          <w:b/>
        </w:rPr>
        <w:t>ON</w:t>
      </w:r>
      <w:r w:rsidRPr="00317FFD">
        <w:rPr>
          <w:rFonts w:ascii="Arial" w:eastAsia="Arial" w:hAnsi="Arial" w:cs="Arial"/>
          <w:b/>
          <w:spacing w:val="-5"/>
        </w:rPr>
        <w:t xml:space="preserve"> </w:t>
      </w:r>
      <w:r w:rsidRPr="00317FFD">
        <w:rPr>
          <w:rFonts w:ascii="Arial" w:eastAsia="Arial" w:hAnsi="Arial" w:cs="Arial"/>
          <w:b/>
        </w:rPr>
        <w:t>COMPLIANCE</w:t>
      </w:r>
      <w:r w:rsidRPr="00317FFD">
        <w:rPr>
          <w:rFonts w:ascii="Arial" w:eastAsia="Arial" w:hAnsi="Arial" w:cs="Arial"/>
          <w:b/>
          <w:spacing w:val="-6"/>
        </w:rPr>
        <w:t xml:space="preserve"> </w:t>
      </w:r>
      <w:r w:rsidRPr="00317FFD">
        <w:rPr>
          <w:rFonts w:ascii="Arial" w:eastAsia="Arial" w:hAnsi="Arial" w:cs="Arial"/>
          <w:b/>
        </w:rPr>
        <w:t>AND</w:t>
      </w:r>
      <w:r w:rsidRPr="00317FFD">
        <w:rPr>
          <w:rFonts w:ascii="Arial" w:eastAsia="Arial" w:hAnsi="Arial" w:cs="Arial"/>
          <w:b/>
          <w:spacing w:val="-7"/>
        </w:rPr>
        <w:t xml:space="preserve"> </w:t>
      </w:r>
      <w:r w:rsidRPr="00317FFD">
        <w:rPr>
          <w:rFonts w:ascii="Arial" w:eastAsia="Arial" w:hAnsi="Arial" w:cs="Arial"/>
          <w:b/>
        </w:rPr>
        <w:t>OTHER</w:t>
      </w:r>
      <w:r w:rsidRPr="00317FFD">
        <w:rPr>
          <w:rFonts w:ascii="Arial" w:eastAsia="Arial" w:hAnsi="Arial" w:cs="Arial"/>
          <w:b/>
          <w:spacing w:val="-7"/>
        </w:rPr>
        <w:t xml:space="preserve"> </w:t>
      </w:r>
      <w:r w:rsidRPr="00317FFD">
        <w:rPr>
          <w:rFonts w:ascii="Arial" w:eastAsia="Arial" w:hAnsi="Arial" w:cs="Arial"/>
          <w:b/>
        </w:rPr>
        <w:t xml:space="preserve">MATTERS </w:t>
      </w:r>
    </w:p>
    <w:p w14:paraId="5DC2FE5C" w14:textId="7FB0690C" w:rsidR="00317FFD" w:rsidRPr="00317FFD" w:rsidRDefault="00317FFD" w:rsidP="00317FFD">
      <w:pPr>
        <w:widowControl w:val="0"/>
        <w:tabs>
          <w:tab w:val="left" w:pos="9900"/>
        </w:tabs>
        <w:autoSpaceDE w:val="0"/>
        <w:autoSpaceDN w:val="0"/>
        <w:ind w:right="36" w:firstLine="2"/>
        <w:jc w:val="center"/>
        <w:rPr>
          <w:rFonts w:ascii="Arial" w:eastAsia="Arial" w:hAnsi="Arial" w:cs="Arial"/>
          <w:b/>
        </w:rPr>
      </w:pPr>
      <w:r w:rsidRPr="00317FFD">
        <w:rPr>
          <w:rFonts w:ascii="Arial" w:eastAsia="Arial" w:hAnsi="Arial" w:cs="Arial"/>
          <w:b/>
        </w:rPr>
        <w:t>BASED ON AN AUDIT OF FINANCIAL STATEMENTS PERFORMED</w:t>
      </w:r>
    </w:p>
    <w:p w14:paraId="1CA4E5E4" w14:textId="77777777" w:rsidR="00317FFD" w:rsidRPr="00317FFD" w:rsidRDefault="00317FFD" w:rsidP="00317FFD">
      <w:pPr>
        <w:widowControl w:val="0"/>
        <w:autoSpaceDE w:val="0"/>
        <w:autoSpaceDN w:val="0"/>
        <w:spacing w:line="252" w:lineRule="exact"/>
        <w:ind w:right="36"/>
        <w:jc w:val="center"/>
        <w:rPr>
          <w:rFonts w:ascii="Arial" w:eastAsia="Arial" w:hAnsi="Arial" w:cs="Arial"/>
          <w:b/>
          <w:i/>
        </w:rPr>
      </w:pPr>
      <w:r w:rsidRPr="00317FFD">
        <w:rPr>
          <w:rFonts w:ascii="Arial" w:eastAsia="Arial" w:hAnsi="Arial" w:cs="Arial"/>
          <w:b/>
        </w:rPr>
        <w:t>IN</w:t>
      </w:r>
      <w:r w:rsidRPr="00317FFD">
        <w:rPr>
          <w:rFonts w:ascii="Arial" w:eastAsia="Arial" w:hAnsi="Arial" w:cs="Arial"/>
          <w:b/>
          <w:spacing w:val="-14"/>
        </w:rPr>
        <w:t xml:space="preserve"> </w:t>
      </w:r>
      <w:r w:rsidRPr="00317FFD">
        <w:rPr>
          <w:rFonts w:ascii="Arial" w:eastAsia="Arial" w:hAnsi="Arial" w:cs="Arial"/>
          <w:b/>
        </w:rPr>
        <w:t>ACCORDANCE</w:t>
      </w:r>
      <w:r w:rsidRPr="00317FFD">
        <w:rPr>
          <w:rFonts w:ascii="Arial" w:eastAsia="Arial" w:hAnsi="Arial" w:cs="Arial"/>
          <w:b/>
          <w:spacing w:val="-15"/>
        </w:rPr>
        <w:t xml:space="preserve"> </w:t>
      </w:r>
      <w:r w:rsidRPr="00317FFD">
        <w:rPr>
          <w:rFonts w:ascii="Arial" w:eastAsia="Arial" w:hAnsi="Arial" w:cs="Arial"/>
          <w:b/>
        </w:rPr>
        <w:t>WITH</w:t>
      </w:r>
      <w:r w:rsidRPr="00317FFD">
        <w:rPr>
          <w:rFonts w:ascii="Arial" w:eastAsia="Arial" w:hAnsi="Arial" w:cs="Arial"/>
          <w:b/>
          <w:spacing w:val="-14"/>
        </w:rPr>
        <w:t xml:space="preserve"> </w:t>
      </w:r>
      <w:r w:rsidRPr="00317FFD">
        <w:rPr>
          <w:rFonts w:ascii="Arial" w:eastAsia="Arial" w:hAnsi="Arial" w:cs="Arial"/>
          <w:b/>
          <w:i/>
        </w:rPr>
        <w:t>GOVERNMENT</w:t>
      </w:r>
      <w:r w:rsidRPr="00317FFD">
        <w:rPr>
          <w:rFonts w:ascii="Arial" w:eastAsia="Arial" w:hAnsi="Arial" w:cs="Arial"/>
          <w:b/>
          <w:i/>
          <w:spacing w:val="-15"/>
        </w:rPr>
        <w:t xml:space="preserve"> </w:t>
      </w:r>
      <w:r w:rsidRPr="00317FFD">
        <w:rPr>
          <w:rFonts w:ascii="Arial" w:eastAsia="Arial" w:hAnsi="Arial" w:cs="Arial"/>
          <w:b/>
          <w:i/>
        </w:rPr>
        <w:t>AUDITING</w:t>
      </w:r>
      <w:r w:rsidRPr="00317FFD">
        <w:rPr>
          <w:rFonts w:ascii="Arial" w:eastAsia="Arial" w:hAnsi="Arial" w:cs="Arial"/>
          <w:b/>
          <w:i/>
          <w:spacing w:val="-15"/>
        </w:rPr>
        <w:t xml:space="preserve"> </w:t>
      </w:r>
      <w:r w:rsidRPr="00317FFD">
        <w:rPr>
          <w:rFonts w:ascii="Arial" w:eastAsia="Arial" w:hAnsi="Arial" w:cs="Arial"/>
          <w:b/>
          <w:i/>
          <w:spacing w:val="-2"/>
        </w:rPr>
        <w:t>STANDARDS</w:t>
      </w:r>
    </w:p>
    <w:p w14:paraId="7D1426D4" w14:textId="77777777" w:rsidR="00317FFD" w:rsidRPr="00317FFD" w:rsidRDefault="00317FFD" w:rsidP="00317FFD">
      <w:pPr>
        <w:widowControl w:val="0"/>
        <w:autoSpaceDE w:val="0"/>
        <w:autoSpaceDN w:val="0"/>
        <w:rPr>
          <w:rFonts w:ascii="Arial" w:eastAsia="Arial" w:hAnsi="Arial" w:cs="Arial"/>
          <w:b/>
          <w:i/>
          <w:sz w:val="24"/>
        </w:rPr>
      </w:pPr>
    </w:p>
    <w:p w14:paraId="09228C67" w14:textId="77777777" w:rsidR="00317FFD" w:rsidRPr="00317FFD" w:rsidRDefault="00317FFD" w:rsidP="00317FFD">
      <w:pPr>
        <w:widowControl w:val="0"/>
        <w:autoSpaceDE w:val="0"/>
        <w:autoSpaceDN w:val="0"/>
        <w:rPr>
          <w:rFonts w:ascii="Arial" w:eastAsia="Arial" w:hAnsi="Arial" w:cs="Arial"/>
          <w:b/>
          <w:i/>
          <w:sz w:val="24"/>
        </w:rPr>
      </w:pPr>
    </w:p>
    <w:p w14:paraId="6357D20C" w14:textId="77777777" w:rsidR="00317FFD" w:rsidRDefault="00317FFD" w:rsidP="00317FFD">
      <w:pPr>
        <w:widowControl w:val="0"/>
        <w:autoSpaceDE w:val="0"/>
        <w:autoSpaceDN w:val="0"/>
        <w:ind w:right="36"/>
        <w:rPr>
          <w:rFonts w:ascii="Arial" w:eastAsia="Arial" w:hAnsi="Arial" w:cs="Arial"/>
        </w:rPr>
      </w:pPr>
      <w:r w:rsidRPr="00317FFD">
        <w:rPr>
          <w:rFonts w:ascii="Arial" w:eastAsia="Arial" w:hAnsi="Arial" w:cs="Arial"/>
        </w:rPr>
        <w:t xml:space="preserve">Board of Trustees </w:t>
      </w:r>
    </w:p>
    <w:p w14:paraId="25248B5C" w14:textId="77777777" w:rsidR="00317FFD" w:rsidRDefault="00317FFD" w:rsidP="00317FFD">
      <w:pPr>
        <w:widowControl w:val="0"/>
        <w:autoSpaceDE w:val="0"/>
        <w:autoSpaceDN w:val="0"/>
        <w:ind w:right="36"/>
        <w:rPr>
          <w:rFonts w:ascii="Arial" w:eastAsia="Arial" w:hAnsi="Arial" w:cs="Arial"/>
        </w:rPr>
      </w:pPr>
      <w:r w:rsidRPr="00317FFD">
        <w:rPr>
          <w:rFonts w:ascii="Arial" w:eastAsia="Arial" w:hAnsi="Arial" w:cs="Arial"/>
        </w:rPr>
        <w:t>University</w:t>
      </w:r>
      <w:r w:rsidRPr="00317FFD">
        <w:rPr>
          <w:rFonts w:ascii="Arial" w:eastAsia="Arial" w:hAnsi="Arial" w:cs="Arial"/>
          <w:spacing w:val="-12"/>
        </w:rPr>
        <w:t xml:space="preserve"> </w:t>
      </w:r>
      <w:r w:rsidRPr="00317FFD">
        <w:rPr>
          <w:rFonts w:ascii="Arial" w:eastAsia="Arial" w:hAnsi="Arial" w:cs="Arial"/>
        </w:rPr>
        <w:t>of</w:t>
      </w:r>
      <w:r w:rsidRPr="00317FFD">
        <w:rPr>
          <w:rFonts w:ascii="Arial" w:eastAsia="Arial" w:hAnsi="Arial" w:cs="Arial"/>
          <w:spacing w:val="-13"/>
        </w:rPr>
        <w:t xml:space="preserve"> </w:t>
      </w:r>
      <w:r w:rsidRPr="00317FFD">
        <w:rPr>
          <w:rFonts w:ascii="Arial" w:eastAsia="Arial" w:hAnsi="Arial" w:cs="Arial"/>
        </w:rPr>
        <w:t>Maine</w:t>
      </w:r>
      <w:r w:rsidRPr="00317FFD">
        <w:rPr>
          <w:rFonts w:ascii="Arial" w:eastAsia="Arial" w:hAnsi="Arial" w:cs="Arial"/>
          <w:spacing w:val="-12"/>
        </w:rPr>
        <w:t xml:space="preserve"> </w:t>
      </w:r>
      <w:r w:rsidRPr="00317FFD">
        <w:rPr>
          <w:rFonts w:ascii="Arial" w:eastAsia="Arial" w:hAnsi="Arial" w:cs="Arial"/>
        </w:rPr>
        <w:t xml:space="preserve">System </w:t>
      </w:r>
    </w:p>
    <w:p w14:paraId="0D7108CA" w14:textId="3B22124B" w:rsidR="00317FFD" w:rsidRPr="00317FFD" w:rsidRDefault="00317FFD" w:rsidP="00317FFD">
      <w:pPr>
        <w:widowControl w:val="0"/>
        <w:autoSpaceDE w:val="0"/>
        <w:autoSpaceDN w:val="0"/>
        <w:ind w:right="36"/>
        <w:rPr>
          <w:rFonts w:ascii="Arial" w:eastAsia="Arial" w:hAnsi="Arial" w:cs="Arial"/>
        </w:rPr>
      </w:pPr>
      <w:r w:rsidRPr="00317FFD">
        <w:rPr>
          <w:rFonts w:ascii="Arial" w:eastAsia="Arial" w:hAnsi="Arial" w:cs="Arial"/>
        </w:rPr>
        <w:t>Orono, Maine</w:t>
      </w:r>
    </w:p>
    <w:p w14:paraId="446AD7CB" w14:textId="77777777" w:rsidR="00317FFD" w:rsidRPr="00317FFD" w:rsidRDefault="00317FFD" w:rsidP="00317FFD">
      <w:pPr>
        <w:widowControl w:val="0"/>
        <w:autoSpaceDE w:val="0"/>
        <w:autoSpaceDN w:val="0"/>
        <w:ind w:right="36"/>
        <w:rPr>
          <w:rFonts w:ascii="Arial" w:eastAsia="Arial" w:hAnsi="Arial" w:cs="Arial"/>
          <w:sz w:val="24"/>
        </w:rPr>
      </w:pPr>
    </w:p>
    <w:p w14:paraId="51E5593E" w14:textId="77777777" w:rsidR="00317FFD" w:rsidRPr="00317FFD" w:rsidRDefault="00317FFD" w:rsidP="00317FFD">
      <w:pPr>
        <w:widowControl w:val="0"/>
        <w:autoSpaceDE w:val="0"/>
        <w:autoSpaceDN w:val="0"/>
        <w:ind w:right="36"/>
        <w:rPr>
          <w:rFonts w:ascii="Arial" w:eastAsia="Arial" w:hAnsi="Arial" w:cs="Arial"/>
          <w:sz w:val="20"/>
        </w:rPr>
      </w:pPr>
    </w:p>
    <w:p w14:paraId="669D78D6" w14:textId="77777777" w:rsidR="00317FFD" w:rsidRPr="00317FFD" w:rsidRDefault="00317FFD" w:rsidP="00317FFD">
      <w:pPr>
        <w:widowControl w:val="0"/>
        <w:autoSpaceDE w:val="0"/>
        <w:autoSpaceDN w:val="0"/>
        <w:ind w:right="36"/>
        <w:jc w:val="both"/>
        <w:rPr>
          <w:rFonts w:ascii="Arial" w:eastAsia="Arial" w:hAnsi="Arial" w:cs="Arial"/>
        </w:rPr>
      </w:pPr>
      <w:r w:rsidRPr="00317FFD">
        <w:rPr>
          <w:rFonts w:ascii="Arial" w:eastAsia="Arial" w:hAnsi="Arial" w:cs="Arial"/>
        </w:rPr>
        <w:t xml:space="preserve">We have audited, in accordance with the auditing standards generally accepted in the United States of America and the standards applicable to financial audits contained in </w:t>
      </w:r>
      <w:r w:rsidRPr="00317FFD">
        <w:rPr>
          <w:rFonts w:ascii="Arial" w:eastAsia="Arial" w:hAnsi="Arial" w:cs="Arial"/>
          <w:i/>
        </w:rPr>
        <w:t xml:space="preserve">Government Auditing Standards </w:t>
      </w:r>
      <w:r w:rsidRPr="00317FFD">
        <w:rPr>
          <w:rFonts w:ascii="Arial" w:eastAsia="Arial" w:hAnsi="Arial" w:cs="Arial"/>
        </w:rPr>
        <w:t>issued by the Comptroller General of the United States, the financial statements of the business-type activities,</w:t>
      </w:r>
      <w:r w:rsidRPr="00317FFD">
        <w:rPr>
          <w:rFonts w:ascii="Arial" w:eastAsia="Arial" w:hAnsi="Arial" w:cs="Arial"/>
          <w:spacing w:val="-1"/>
        </w:rPr>
        <w:t xml:space="preserve"> </w:t>
      </w:r>
      <w:r w:rsidRPr="00317FFD">
        <w:rPr>
          <w:rFonts w:ascii="Arial" w:eastAsia="Arial" w:hAnsi="Arial" w:cs="Arial"/>
        </w:rPr>
        <w:t>the</w:t>
      </w:r>
      <w:r w:rsidRPr="00317FFD">
        <w:rPr>
          <w:rFonts w:ascii="Arial" w:eastAsia="Arial" w:hAnsi="Arial" w:cs="Arial"/>
          <w:spacing w:val="-1"/>
        </w:rPr>
        <w:t xml:space="preserve"> </w:t>
      </w:r>
      <w:r w:rsidRPr="00317FFD">
        <w:rPr>
          <w:rFonts w:ascii="Arial" w:eastAsia="Arial" w:hAnsi="Arial" w:cs="Arial"/>
        </w:rPr>
        <w:t>discretely</w:t>
      </w:r>
      <w:r w:rsidRPr="00317FFD">
        <w:rPr>
          <w:rFonts w:ascii="Arial" w:eastAsia="Arial" w:hAnsi="Arial" w:cs="Arial"/>
          <w:spacing w:val="-2"/>
        </w:rPr>
        <w:t xml:space="preserve"> </w:t>
      </w:r>
      <w:r w:rsidRPr="00317FFD">
        <w:rPr>
          <w:rFonts w:ascii="Arial" w:eastAsia="Arial" w:hAnsi="Arial" w:cs="Arial"/>
        </w:rPr>
        <w:t>presented</w:t>
      </w:r>
      <w:r w:rsidRPr="00317FFD">
        <w:rPr>
          <w:rFonts w:ascii="Arial" w:eastAsia="Arial" w:hAnsi="Arial" w:cs="Arial"/>
          <w:spacing w:val="-1"/>
        </w:rPr>
        <w:t xml:space="preserve"> </w:t>
      </w:r>
      <w:r w:rsidRPr="00317FFD">
        <w:rPr>
          <w:rFonts w:ascii="Arial" w:eastAsia="Arial" w:hAnsi="Arial" w:cs="Arial"/>
        </w:rPr>
        <w:t>component</w:t>
      </w:r>
      <w:r w:rsidRPr="00317FFD">
        <w:rPr>
          <w:rFonts w:ascii="Arial" w:eastAsia="Arial" w:hAnsi="Arial" w:cs="Arial"/>
          <w:spacing w:val="-1"/>
        </w:rPr>
        <w:t xml:space="preserve"> </w:t>
      </w:r>
      <w:r w:rsidRPr="00317FFD">
        <w:rPr>
          <w:rFonts w:ascii="Arial" w:eastAsia="Arial" w:hAnsi="Arial" w:cs="Arial"/>
        </w:rPr>
        <w:t>unit,</w:t>
      </w:r>
      <w:r w:rsidRPr="00317FFD">
        <w:rPr>
          <w:rFonts w:ascii="Arial" w:eastAsia="Arial" w:hAnsi="Arial" w:cs="Arial"/>
          <w:spacing w:val="-1"/>
        </w:rPr>
        <w:t xml:space="preserve"> </w:t>
      </w:r>
      <w:r w:rsidRPr="00317FFD">
        <w:rPr>
          <w:rFonts w:ascii="Arial" w:eastAsia="Arial" w:hAnsi="Arial" w:cs="Arial"/>
        </w:rPr>
        <w:t>and</w:t>
      </w:r>
      <w:r w:rsidRPr="00317FFD">
        <w:rPr>
          <w:rFonts w:ascii="Arial" w:eastAsia="Arial" w:hAnsi="Arial" w:cs="Arial"/>
          <w:spacing w:val="-1"/>
        </w:rPr>
        <w:t xml:space="preserve"> </w:t>
      </w:r>
      <w:r w:rsidRPr="00317FFD">
        <w:rPr>
          <w:rFonts w:ascii="Arial" w:eastAsia="Arial" w:hAnsi="Arial" w:cs="Arial"/>
        </w:rPr>
        <w:t>the</w:t>
      </w:r>
      <w:r w:rsidRPr="00317FFD">
        <w:rPr>
          <w:rFonts w:ascii="Arial" w:eastAsia="Arial" w:hAnsi="Arial" w:cs="Arial"/>
          <w:spacing w:val="-3"/>
        </w:rPr>
        <w:t xml:space="preserve"> </w:t>
      </w:r>
      <w:r w:rsidRPr="00317FFD">
        <w:rPr>
          <w:rFonts w:ascii="Arial" w:eastAsia="Arial" w:hAnsi="Arial" w:cs="Arial"/>
        </w:rPr>
        <w:t>aggregate</w:t>
      </w:r>
      <w:r w:rsidRPr="00317FFD">
        <w:rPr>
          <w:rFonts w:ascii="Arial" w:eastAsia="Arial" w:hAnsi="Arial" w:cs="Arial"/>
          <w:spacing w:val="-1"/>
        </w:rPr>
        <w:t xml:space="preserve"> </w:t>
      </w:r>
      <w:r w:rsidRPr="00317FFD">
        <w:rPr>
          <w:rFonts w:ascii="Arial" w:eastAsia="Arial" w:hAnsi="Arial" w:cs="Arial"/>
        </w:rPr>
        <w:t>remaining</w:t>
      </w:r>
      <w:r w:rsidRPr="00317FFD">
        <w:rPr>
          <w:rFonts w:ascii="Arial" w:eastAsia="Arial" w:hAnsi="Arial" w:cs="Arial"/>
          <w:spacing w:val="-1"/>
        </w:rPr>
        <w:t xml:space="preserve"> </w:t>
      </w:r>
      <w:r w:rsidRPr="00317FFD">
        <w:rPr>
          <w:rFonts w:ascii="Arial" w:eastAsia="Arial" w:hAnsi="Arial" w:cs="Arial"/>
        </w:rPr>
        <w:t>fund</w:t>
      </w:r>
      <w:r w:rsidRPr="00317FFD">
        <w:rPr>
          <w:rFonts w:ascii="Arial" w:eastAsia="Arial" w:hAnsi="Arial" w:cs="Arial"/>
          <w:spacing w:val="-1"/>
        </w:rPr>
        <w:t xml:space="preserve"> </w:t>
      </w:r>
      <w:r w:rsidRPr="00317FFD">
        <w:rPr>
          <w:rFonts w:ascii="Arial" w:eastAsia="Arial" w:hAnsi="Arial" w:cs="Arial"/>
        </w:rPr>
        <w:t>information</w:t>
      </w:r>
      <w:r w:rsidRPr="00317FFD">
        <w:rPr>
          <w:rFonts w:ascii="Arial" w:eastAsia="Arial" w:hAnsi="Arial" w:cs="Arial"/>
          <w:spacing w:val="-1"/>
        </w:rPr>
        <w:t xml:space="preserve"> </w:t>
      </w:r>
      <w:r w:rsidRPr="00317FFD">
        <w:rPr>
          <w:rFonts w:ascii="Arial" w:eastAsia="Arial" w:hAnsi="Arial" w:cs="Arial"/>
        </w:rPr>
        <w:t>of</w:t>
      </w:r>
      <w:r w:rsidRPr="00317FFD">
        <w:rPr>
          <w:rFonts w:ascii="Arial" w:eastAsia="Arial" w:hAnsi="Arial" w:cs="Arial"/>
          <w:spacing w:val="-1"/>
        </w:rPr>
        <w:t xml:space="preserve"> </w:t>
      </w:r>
      <w:r w:rsidRPr="00317FFD">
        <w:rPr>
          <w:rFonts w:ascii="Arial" w:eastAsia="Arial" w:hAnsi="Arial" w:cs="Arial"/>
        </w:rPr>
        <w:t>the University of Maine System (the System) (a component unit of the state of Maine), as of and for the</w:t>
      </w:r>
      <w:r w:rsidRPr="00317FFD">
        <w:rPr>
          <w:rFonts w:ascii="Arial" w:eastAsia="Arial" w:hAnsi="Arial" w:cs="Arial"/>
          <w:spacing w:val="40"/>
        </w:rPr>
        <w:t xml:space="preserve"> </w:t>
      </w:r>
      <w:r w:rsidRPr="00317FFD">
        <w:rPr>
          <w:rFonts w:ascii="Arial" w:eastAsia="Arial" w:hAnsi="Arial" w:cs="Arial"/>
        </w:rPr>
        <w:t>year ended June 30, 2022 for the business-type activities and the aggregate remaining fund information, and as of and for the six month period ended December 31, 2021 for the discretely presented component unit, and the related notes to the financial statements, which collectively</w:t>
      </w:r>
      <w:r w:rsidRPr="00317FFD">
        <w:rPr>
          <w:rFonts w:ascii="Arial" w:eastAsia="Arial" w:hAnsi="Arial" w:cs="Arial"/>
          <w:spacing w:val="40"/>
        </w:rPr>
        <w:t xml:space="preserve"> </w:t>
      </w:r>
      <w:r w:rsidRPr="00317FFD">
        <w:rPr>
          <w:rFonts w:ascii="Arial" w:eastAsia="Arial" w:hAnsi="Arial" w:cs="Arial"/>
        </w:rPr>
        <w:t xml:space="preserve">comprise the System’s basic financial statements, and have issued our report thereon dated October 28, 2022. Our report includes a reference to other auditors who audited the financial statements of the University of Maine Foundation (Foundation), as described in our report on the System’s financial statements. The financial statements of the Foundation were not audited in accordance with </w:t>
      </w:r>
      <w:r w:rsidRPr="00317FFD">
        <w:rPr>
          <w:rFonts w:ascii="Arial" w:eastAsia="Arial" w:hAnsi="Arial" w:cs="Arial"/>
          <w:i/>
        </w:rPr>
        <w:t>Government Auditing Standards</w:t>
      </w:r>
      <w:r w:rsidRPr="00317FFD">
        <w:rPr>
          <w:rFonts w:ascii="Arial" w:eastAsia="Arial" w:hAnsi="Arial" w:cs="Arial"/>
        </w:rPr>
        <w:t xml:space="preserve">, and accordingly, this report does not include reporting on internal control over financial reporting or instances of reportable noncompliance associated with the </w:t>
      </w:r>
      <w:r w:rsidRPr="00317FFD">
        <w:rPr>
          <w:rFonts w:ascii="Arial" w:eastAsia="Arial" w:hAnsi="Arial" w:cs="Arial"/>
          <w:spacing w:val="-2"/>
        </w:rPr>
        <w:t>Foundation.</w:t>
      </w:r>
    </w:p>
    <w:p w14:paraId="4231975D" w14:textId="77777777" w:rsidR="00317FFD" w:rsidRPr="00317FFD" w:rsidRDefault="00317FFD" w:rsidP="00317FFD">
      <w:pPr>
        <w:widowControl w:val="0"/>
        <w:autoSpaceDE w:val="0"/>
        <w:autoSpaceDN w:val="0"/>
        <w:ind w:right="36"/>
        <w:rPr>
          <w:rFonts w:ascii="Arial" w:eastAsia="Arial" w:hAnsi="Arial" w:cs="Arial"/>
        </w:rPr>
      </w:pPr>
    </w:p>
    <w:p w14:paraId="03889AAA" w14:textId="77777777" w:rsidR="00317FFD" w:rsidRPr="00317FFD" w:rsidRDefault="00317FFD" w:rsidP="00317FFD">
      <w:pPr>
        <w:widowControl w:val="0"/>
        <w:autoSpaceDE w:val="0"/>
        <w:autoSpaceDN w:val="0"/>
        <w:ind w:right="36"/>
        <w:jc w:val="both"/>
        <w:outlineLvl w:val="0"/>
        <w:rPr>
          <w:rFonts w:ascii="Arial" w:eastAsia="Arial" w:hAnsi="Arial" w:cs="Arial"/>
          <w:b/>
          <w:bCs/>
          <w:i/>
          <w:iCs/>
        </w:rPr>
      </w:pPr>
      <w:r w:rsidRPr="00317FFD">
        <w:rPr>
          <w:rFonts w:ascii="Arial" w:eastAsia="Arial" w:hAnsi="Arial" w:cs="Arial"/>
          <w:b/>
          <w:bCs/>
          <w:i/>
          <w:iCs/>
        </w:rPr>
        <w:t>Report</w:t>
      </w:r>
      <w:r w:rsidRPr="00317FFD">
        <w:rPr>
          <w:rFonts w:ascii="Arial" w:eastAsia="Arial" w:hAnsi="Arial" w:cs="Arial"/>
          <w:b/>
          <w:bCs/>
          <w:i/>
          <w:iCs/>
          <w:spacing w:val="-7"/>
        </w:rPr>
        <w:t xml:space="preserve"> </w:t>
      </w:r>
      <w:r w:rsidRPr="00317FFD">
        <w:rPr>
          <w:rFonts w:ascii="Arial" w:eastAsia="Arial" w:hAnsi="Arial" w:cs="Arial"/>
          <w:b/>
          <w:bCs/>
          <w:i/>
          <w:iCs/>
        </w:rPr>
        <w:t>on</w:t>
      </w:r>
      <w:r w:rsidRPr="00317FFD">
        <w:rPr>
          <w:rFonts w:ascii="Arial" w:eastAsia="Arial" w:hAnsi="Arial" w:cs="Arial"/>
          <w:b/>
          <w:bCs/>
          <w:i/>
          <w:iCs/>
          <w:spacing w:val="-6"/>
        </w:rPr>
        <w:t xml:space="preserve"> </w:t>
      </w:r>
      <w:r w:rsidRPr="00317FFD">
        <w:rPr>
          <w:rFonts w:ascii="Arial" w:eastAsia="Arial" w:hAnsi="Arial" w:cs="Arial"/>
          <w:b/>
          <w:bCs/>
          <w:i/>
          <w:iCs/>
        </w:rPr>
        <w:t>Internal</w:t>
      </w:r>
      <w:r w:rsidRPr="00317FFD">
        <w:rPr>
          <w:rFonts w:ascii="Arial" w:eastAsia="Arial" w:hAnsi="Arial" w:cs="Arial"/>
          <w:b/>
          <w:bCs/>
          <w:i/>
          <w:iCs/>
          <w:spacing w:val="-6"/>
        </w:rPr>
        <w:t xml:space="preserve"> </w:t>
      </w:r>
      <w:r w:rsidRPr="00317FFD">
        <w:rPr>
          <w:rFonts w:ascii="Arial" w:eastAsia="Arial" w:hAnsi="Arial" w:cs="Arial"/>
          <w:b/>
          <w:bCs/>
          <w:i/>
          <w:iCs/>
        </w:rPr>
        <w:t>Control</w:t>
      </w:r>
      <w:r w:rsidRPr="00317FFD">
        <w:rPr>
          <w:rFonts w:ascii="Arial" w:eastAsia="Arial" w:hAnsi="Arial" w:cs="Arial"/>
          <w:b/>
          <w:bCs/>
          <w:i/>
          <w:iCs/>
          <w:spacing w:val="-6"/>
        </w:rPr>
        <w:t xml:space="preserve"> </w:t>
      </w:r>
      <w:r w:rsidRPr="00317FFD">
        <w:rPr>
          <w:rFonts w:ascii="Arial" w:eastAsia="Arial" w:hAnsi="Arial" w:cs="Arial"/>
          <w:b/>
          <w:bCs/>
          <w:i/>
          <w:iCs/>
        </w:rPr>
        <w:t>Over</w:t>
      </w:r>
      <w:r w:rsidRPr="00317FFD">
        <w:rPr>
          <w:rFonts w:ascii="Arial" w:eastAsia="Arial" w:hAnsi="Arial" w:cs="Arial"/>
          <w:b/>
          <w:bCs/>
          <w:i/>
          <w:iCs/>
          <w:spacing w:val="-6"/>
        </w:rPr>
        <w:t xml:space="preserve"> </w:t>
      </w:r>
      <w:r w:rsidRPr="00317FFD">
        <w:rPr>
          <w:rFonts w:ascii="Arial" w:eastAsia="Arial" w:hAnsi="Arial" w:cs="Arial"/>
          <w:b/>
          <w:bCs/>
          <w:i/>
          <w:iCs/>
        </w:rPr>
        <w:t>Financial</w:t>
      </w:r>
      <w:r w:rsidRPr="00317FFD">
        <w:rPr>
          <w:rFonts w:ascii="Arial" w:eastAsia="Arial" w:hAnsi="Arial" w:cs="Arial"/>
          <w:b/>
          <w:bCs/>
          <w:i/>
          <w:iCs/>
          <w:spacing w:val="-7"/>
        </w:rPr>
        <w:t xml:space="preserve"> </w:t>
      </w:r>
      <w:r w:rsidRPr="00317FFD">
        <w:rPr>
          <w:rFonts w:ascii="Arial" w:eastAsia="Arial" w:hAnsi="Arial" w:cs="Arial"/>
          <w:b/>
          <w:bCs/>
          <w:i/>
          <w:iCs/>
          <w:spacing w:val="-2"/>
        </w:rPr>
        <w:t>Reporting</w:t>
      </w:r>
    </w:p>
    <w:p w14:paraId="2AA21100" w14:textId="77777777" w:rsidR="00317FFD" w:rsidRPr="00317FFD" w:rsidRDefault="00317FFD" w:rsidP="00317FFD">
      <w:pPr>
        <w:widowControl w:val="0"/>
        <w:autoSpaceDE w:val="0"/>
        <w:autoSpaceDN w:val="0"/>
        <w:spacing w:before="60"/>
        <w:ind w:right="36"/>
        <w:jc w:val="both"/>
        <w:rPr>
          <w:rFonts w:ascii="Arial" w:eastAsia="Arial" w:hAnsi="Arial" w:cs="Arial"/>
        </w:rPr>
      </w:pPr>
      <w:r w:rsidRPr="00317FFD">
        <w:rPr>
          <w:rFonts w:ascii="Arial" w:eastAsia="Arial" w:hAnsi="Arial" w:cs="Arial"/>
        </w:rPr>
        <w:t xml:space="preserve">In planning and performing our audit of the financial statements, we considered System’s </w:t>
      </w:r>
      <w:r w:rsidRPr="00317FFD">
        <w:rPr>
          <w:rFonts w:ascii="Arial" w:eastAsia="Arial" w:hAnsi="Arial" w:cs="Arial"/>
          <w:color w:val="242424"/>
        </w:rPr>
        <w:t>internal control over financial reporting (internal control) as a basis for designing audit procedures that are appropriate in the circumstances for the purpose of expressing our opinions on the financial</w:t>
      </w:r>
      <w:r w:rsidRPr="00317FFD">
        <w:rPr>
          <w:rFonts w:ascii="Arial" w:eastAsia="Arial" w:hAnsi="Arial" w:cs="Arial"/>
          <w:color w:val="242424"/>
          <w:spacing w:val="40"/>
        </w:rPr>
        <w:t xml:space="preserve"> </w:t>
      </w:r>
      <w:r w:rsidRPr="00317FFD">
        <w:rPr>
          <w:rFonts w:ascii="Arial" w:eastAsia="Arial" w:hAnsi="Arial" w:cs="Arial"/>
          <w:color w:val="242424"/>
        </w:rPr>
        <w:t xml:space="preserve">statements, but not for the purpose of expressing an opinion on the effectiveness of </w:t>
      </w:r>
      <w:r w:rsidRPr="00317FFD">
        <w:rPr>
          <w:rFonts w:ascii="Arial" w:eastAsia="Arial" w:hAnsi="Arial" w:cs="Arial"/>
        </w:rPr>
        <w:t>System’s internal control. Accordingly, we do not express an opinion on the effectiveness of System’s internal control.</w:t>
      </w:r>
    </w:p>
    <w:p w14:paraId="2672EB0B" w14:textId="77777777" w:rsidR="00317FFD" w:rsidRPr="00317FFD" w:rsidRDefault="00317FFD" w:rsidP="00317FFD">
      <w:pPr>
        <w:widowControl w:val="0"/>
        <w:autoSpaceDE w:val="0"/>
        <w:autoSpaceDN w:val="0"/>
        <w:ind w:right="36"/>
        <w:rPr>
          <w:rFonts w:ascii="Arial" w:eastAsia="Arial" w:hAnsi="Arial" w:cs="Arial"/>
        </w:rPr>
      </w:pPr>
    </w:p>
    <w:p w14:paraId="21AFC7C2" w14:textId="77777777" w:rsidR="00317FFD" w:rsidRPr="00317FFD" w:rsidRDefault="00317FFD" w:rsidP="00317FFD">
      <w:pPr>
        <w:widowControl w:val="0"/>
        <w:autoSpaceDE w:val="0"/>
        <w:autoSpaceDN w:val="0"/>
        <w:ind w:right="36"/>
        <w:jc w:val="both"/>
        <w:rPr>
          <w:rFonts w:ascii="Arial" w:eastAsia="Arial" w:hAnsi="Arial" w:cs="Arial"/>
        </w:rPr>
      </w:pPr>
      <w:r w:rsidRPr="00317FFD">
        <w:rPr>
          <w:rFonts w:ascii="Arial" w:eastAsia="Arial" w:hAnsi="Arial" w:cs="Arial"/>
        </w:rPr>
        <w:t xml:space="preserve">A </w:t>
      </w:r>
      <w:r w:rsidRPr="00317FFD">
        <w:rPr>
          <w:rFonts w:ascii="Arial" w:eastAsia="Arial" w:hAnsi="Arial" w:cs="Arial"/>
          <w:i/>
        </w:rPr>
        <w:t xml:space="preserve">deficiency in internal control </w:t>
      </w:r>
      <w:r w:rsidRPr="00317FFD">
        <w:rPr>
          <w:rFonts w:ascii="Arial" w:eastAsia="Arial" w:hAnsi="Arial" w:cs="Arial"/>
        </w:rPr>
        <w:t xml:space="preserve">exists when the design or operation of a control does not allow management or employees, in the normal course of performing their assigned functions, to prevent, or detect and correct, misstatements on a timely basis. A </w:t>
      </w:r>
      <w:r w:rsidRPr="00317FFD">
        <w:rPr>
          <w:rFonts w:ascii="Arial" w:eastAsia="Arial" w:hAnsi="Arial" w:cs="Arial"/>
          <w:i/>
        </w:rPr>
        <w:t xml:space="preserve">material weakness </w:t>
      </w:r>
      <w:r w:rsidRPr="00317FFD">
        <w:rPr>
          <w:rFonts w:ascii="Arial" w:eastAsia="Arial" w:hAnsi="Arial" w:cs="Arial"/>
        </w:rPr>
        <w:t>is a deficiency, or a combination</w:t>
      </w:r>
      <w:r w:rsidRPr="00317FFD">
        <w:rPr>
          <w:rFonts w:ascii="Arial" w:eastAsia="Arial" w:hAnsi="Arial" w:cs="Arial"/>
          <w:spacing w:val="-1"/>
        </w:rPr>
        <w:t xml:space="preserve"> </w:t>
      </w:r>
      <w:r w:rsidRPr="00317FFD">
        <w:rPr>
          <w:rFonts w:ascii="Arial" w:eastAsia="Arial" w:hAnsi="Arial" w:cs="Arial"/>
        </w:rPr>
        <w:t>of deficiencies, in internal control, such that there is a reasonable possibility that a</w:t>
      </w:r>
      <w:r w:rsidRPr="00317FFD">
        <w:rPr>
          <w:rFonts w:ascii="Arial" w:eastAsia="Arial" w:hAnsi="Arial" w:cs="Arial"/>
          <w:spacing w:val="-1"/>
        </w:rPr>
        <w:t xml:space="preserve"> </w:t>
      </w:r>
      <w:r w:rsidRPr="00317FFD">
        <w:rPr>
          <w:rFonts w:ascii="Arial" w:eastAsia="Arial" w:hAnsi="Arial" w:cs="Arial"/>
        </w:rPr>
        <w:t xml:space="preserve">material misstatement of the entity’s financial statements will not be prevented, or detected and corrected, on a timely basis. A </w:t>
      </w:r>
      <w:r w:rsidRPr="00317FFD">
        <w:rPr>
          <w:rFonts w:ascii="Arial" w:eastAsia="Arial" w:hAnsi="Arial" w:cs="Arial"/>
          <w:i/>
        </w:rPr>
        <w:t xml:space="preserve">significant deficiency </w:t>
      </w:r>
      <w:r w:rsidRPr="00317FFD">
        <w:rPr>
          <w:rFonts w:ascii="Arial" w:eastAsia="Arial" w:hAnsi="Arial" w:cs="Arial"/>
        </w:rPr>
        <w:t>is a deficiency, or a combination of deficiencies, in internal control that is less severe than a material weakness, yet important enough to merit attention by those charged with governance.</w:t>
      </w:r>
    </w:p>
    <w:p w14:paraId="6F8F313E" w14:textId="77777777" w:rsidR="00317FFD" w:rsidRPr="00317FFD" w:rsidRDefault="00317FFD" w:rsidP="00317FFD">
      <w:pPr>
        <w:widowControl w:val="0"/>
        <w:autoSpaceDE w:val="0"/>
        <w:autoSpaceDN w:val="0"/>
        <w:rPr>
          <w:rFonts w:ascii="Arial" w:eastAsia="Arial" w:hAnsi="Arial" w:cs="Arial"/>
          <w:sz w:val="20"/>
        </w:rPr>
      </w:pPr>
    </w:p>
    <w:p w14:paraId="1690CBC7" w14:textId="77777777" w:rsidR="00317FFD" w:rsidRPr="00317FFD" w:rsidRDefault="00317FFD" w:rsidP="00317FFD">
      <w:pPr>
        <w:widowControl w:val="0"/>
        <w:autoSpaceDE w:val="0"/>
        <w:autoSpaceDN w:val="0"/>
        <w:spacing w:before="4"/>
        <w:rPr>
          <w:rFonts w:ascii="Arial" w:eastAsia="Arial" w:hAnsi="Arial" w:cs="Arial"/>
          <w:sz w:val="25"/>
        </w:rPr>
      </w:pPr>
    </w:p>
    <w:p w14:paraId="4BE64A03" w14:textId="77777777" w:rsidR="00317FFD" w:rsidRPr="00317FFD" w:rsidRDefault="00317FFD" w:rsidP="00317FFD">
      <w:pPr>
        <w:widowControl w:val="0"/>
        <w:autoSpaceDE w:val="0"/>
        <w:autoSpaceDN w:val="0"/>
        <w:spacing w:before="69"/>
        <w:ind w:left="480"/>
        <w:rPr>
          <w:rFonts w:ascii="Calibri" w:eastAsia="Arial" w:hAnsi="Arial" w:cs="Arial"/>
          <w:sz w:val="15"/>
        </w:rPr>
      </w:pPr>
      <w:r w:rsidRPr="00F556F2">
        <w:rPr>
          <w:rFonts w:ascii="Calibri" w:eastAsia="Arial" w:hAnsi="Arial" w:cs="Arial"/>
          <w:color w:val="595959" w:themeColor="text1" w:themeTint="A6"/>
          <w:sz w:val="15"/>
        </w:rPr>
        <w:t>CLA</w:t>
      </w:r>
      <w:r w:rsidRPr="00F556F2">
        <w:rPr>
          <w:rFonts w:ascii="Calibri" w:eastAsia="Arial" w:hAnsi="Arial" w:cs="Arial"/>
          <w:color w:val="595959" w:themeColor="text1" w:themeTint="A6"/>
          <w:spacing w:val="-5"/>
          <w:sz w:val="15"/>
        </w:rPr>
        <w:t xml:space="preserve"> </w:t>
      </w:r>
      <w:r w:rsidRPr="00F556F2">
        <w:rPr>
          <w:rFonts w:ascii="Calibri" w:eastAsia="Arial" w:hAnsi="Arial" w:cs="Arial"/>
          <w:color w:val="595959" w:themeColor="text1" w:themeTint="A6"/>
          <w:sz w:val="15"/>
        </w:rPr>
        <w:t>(CliftonLarsonAllen</w:t>
      </w:r>
      <w:r w:rsidRPr="00F556F2">
        <w:rPr>
          <w:rFonts w:ascii="Calibri" w:eastAsia="Arial" w:hAnsi="Arial" w:cs="Arial"/>
          <w:color w:val="595959" w:themeColor="text1" w:themeTint="A6"/>
          <w:spacing w:val="-2"/>
          <w:sz w:val="15"/>
        </w:rPr>
        <w:t xml:space="preserve"> </w:t>
      </w:r>
      <w:r w:rsidRPr="00F556F2">
        <w:rPr>
          <w:rFonts w:ascii="Calibri" w:eastAsia="Arial" w:hAnsi="Arial" w:cs="Arial"/>
          <w:color w:val="595959" w:themeColor="text1" w:themeTint="A6"/>
          <w:sz w:val="15"/>
        </w:rPr>
        <w:t>LLP)</w:t>
      </w:r>
      <w:r w:rsidRPr="00F556F2">
        <w:rPr>
          <w:rFonts w:ascii="Calibri" w:eastAsia="Arial" w:hAnsi="Arial" w:cs="Arial"/>
          <w:color w:val="595959" w:themeColor="text1" w:themeTint="A6"/>
          <w:spacing w:val="-3"/>
          <w:sz w:val="15"/>
        </w:rPr>
        <w:t xml:space="preserve"> </w:t>
      </w:r>
      <w:r w:rsidRPr="00F556F2">
        <w:rPr>
          <w:rFonts w:ascii="Calibri" w:eastAsia="Arial" w:hAnsi="Arial" w:cs="Arial"/>
          <w:color w:val="595959" w:themeColor="text1" w:themeTint="A6"/>
          <w:sz w:val="15"/>
        </w:rPr>
        <w:t>is</w:t>
      </w:r>
      <w:r w:rsidRPr="00F556F2">
        <w:rPr>
          <w:rFonts w:ascii="Calibri" w:eastAsia="Arial" w:hAnsi="Arial" w:cs="Arial"/>
          <w:color w:val="595959" w:themeColor="text1" w:themeTint="A6"/>
          <w:spacing w:val="-3"/>
          <w:sz w:val="15"/>
        </w:rPr>
        <w:t xml:space="preserve"> </w:t>
      </w:r>
      <w:r w:rsidRPr="00F556F2">
        <w:rPr>
          <w:rFonts w:ascii="Calibri" w:eastAsia="Arial" w:hAnsi="Arial" w:cs="Arial"/>
          <w:color w:val="595959" w:themeColor="text1" w:themeTint="A6"/>
          <w:sz w:val="15"/>
        </w:rPr>
        <w:t>an</w:t>
      </w:r>
      <w:r w:rsidRPr="00F556F2">
        <w:rPr>
          <w:rFonts w:ascii="Calibri" w:eastAsia="Arial" w:hAnsi="Arial" w:cs="Arial"/>
          <w:color w:val="595959" w:themeColor="text1" w:themeTint="A6"/>
          <w:spacing w:val="-2"/>
          <w:sz w:val="15"/>
        </w:rPr>
        <w:t xml:space="preserve"> </w:t>
      </w:r>
      <w:r w:rsidRPr="00F556F2">
        <w:rPr>
          <w:rFonts w:ascii="Calibri" w:eastAsia="Arial" w:hAnsi="Arial" w:cs="Arial"/>
          <w:color w:val="595959" w:themeColor="text1" w:themeTint="A6"/>
          <w:sz w:val="15"/>
        </w:rPr>
        <w:t>independent</w:t>
      </w:r>
      <w:r w:rsidRPr="00F556F2">
        <w:rPr>
          <w:rFonts w:ascii="Calibri" w:eastAsia="Arial" w:hAnsi="Arial" w:cs="Arial"/>
          <w:color w:val="595959" w:themeColor="text1" w:themeTint="A6"/>
          <w:spacing w:val="-3"/>
          <w:sz w:val="15"/>
        </w:rPr>
        <w:t xml:space="preserve"> </w:t>
      </w:r>
      <w:r w:rsidRPr="00F556F2">
        <w:rPr>
          <w:rFonts w:ascii="Calibri" w:eastAsia="Arial" w:hAnsi="Arial" w:cs="Arial"/>
          <w:color w:val="595959" w:themeColor="text1" w:themeTint="A6"/>
          <w:sz w:val="15"/>
        </w:rPr>
        <w:t>network</w:t>
      </w:r>
      <w:r w:rsidRPr="00F556F2">
        <w:rPr>
          <w:rFonts w:ascii="Calibri" w:eastAsia="Arial" w:hAnsi="Arial" w:cs="Arial"/>
          <w:color w:val="595959" w:themeColor="text1" w:themeTint="A6"/>
          <w:spacing w:val="-3"/>
          <w:sz w:val="15"/>
        </w:rPr>
        <w:t xml:space="preserve"> </w:t>
      </w:r>
      <w:r w:rsidRPr="00F556F2">
        <w:rPr>
          <w:rFonts w:ascii="Calibri" w:eastAsia="Arial" w:hAnsi="Arial" w:cs="Arial"/>
          <w:color w:val="595959" w:themeColor="text1" w:themeTint="A6"/>
          <w:sz w:val="15"/>
        </w:rPr>
        <w:t>member</w:t>
      </w:r>
      <w:r w:rsidRPr="00F556F2">
        <w:rPr>
          <w:rFonts w:ascii="Calibri" w:eastAsia="Arial" w:hAnsi="Arial" w:cs="Arial"/>
          <w:color w:val="595959" w:themeColor="text1" w:themeTint="A6"/>
          <w:spacing w:val="-2"/>
          <w:sz w:val="15"/>
        </w:rPr>
        <w:t xml:space="preserve"> </w:t>
      </w:r>
      <w:r w:rsidRPr="00F556F2">
        <w:rPr>
          <w:rFonts w:ascii="Calibri" w:eastAsia="Arial" w:hAnsi="Arial" w:cs="Arial"/>
          <w:color w:val="595959" w:themeColor="text1" w:themeTint="A6"/>
          <w:sz w:val="15"/>
        </w:rPr>
        <w:t>of</w:t>
      </w:r>
      <w:r w:rsidRPr="00F556F2">
        <w:rPr>
          <w:rFonts w:ascii="Calibri" w:eastAsia="Arial" w:hAnsi="Arial" w:cs="Arial"/>
          <w:color w:val="595959" w:themeColor="text1" w:themeTint="A6"/>
          <w:spacing w:val="-3"/>
          <w:sz w:val="15"/>
        </w:rPr>
        <w:t xml:space="preserve"> </w:t>
      </w:r>
      <w:r w:rsidRPr="00F556F2">
        <w:rPr>
          <w:rFonts w:ascii="Calibri" w:eastAsia="Arial" w:hAnsi="Arial" w:cs="Arial"/>
          <w:color w:val="595959" w:themeColor="text1" w:themeTint="A6"/>
          <w:sz w:val="15"/>
        </w:rPr>
        <w:t>CLA</w:t>
      </w:r>
      <w:r w:rsidRPr="00F556F2">
        <w:rPr>
          <w:rFonts w:ascii="Calibri" w:eastAsia="Arial" w:hAnsi="Arial" w:cs="Arial"/>
          <w:color w:val="595959" w:themeColor="text1" w:themeTint="A6"/>
          <w:spacing w:val="-3"/>
          <w:sz w:val="15"/>
        </w:rPr>
        <w:t xml:space="preserve"> </w:t>
      </w:r>
      <w:r w:rsidRPr="00F556F2">
        <w:rPr>
          <w:rFonts w:ascii="Calibri" w:eastAsia="Arial" w:hAnsi="Arial" w:cs="Arial"/>
          <w:color w:val="595959" w:themeColor="text1" w:themeTint="A6"/>
          <w:sz w:val="15"/>
        </w:rPr>
        <w:t>Global.</w:t>
      </w:r>
      <w:r w:rsidRPr="00F556F2">
        <w:rPr>
          <w:rFonts w:ascii="Calibri" w:eastAsia="Arial" w:hAnsi="Arial" w:cs="Arial"/>
          <w:color w:val="595959" w:themeColor="text1" w:themeTint="A6"/>
          <w:spacing w:val="-3"/>
          <w:sz w:val="15"/>
        </w:rPr>
        <w:t xml:space="preserve"> </w:t>
      </w:r>
      <w:r w:rsidRPr="00F556F2">
        <w:rPr>
          <w:rFonts w:ascii="Calibri" w:eastAsia="Arial" w:hAnsi="Arial" w:cs="Arial"/>
          <w:color w:val="595959" w:themeColor="text1" w:themeTint="A6"/>
          <w:sz w:val="15"/>
        </w:rPr>
        <w:t>See</w:t>
      </w:r>
      <w:r w:rsidRPr="00317FFD">
        <w:rPr>
          <w:rFonts w:ascii="Calibri" w:eastAsia="Arial" w:hAnsi="Arial" w:cs="Arial"/>
          <w:color w:val="ABADAB"/>
          <w:spacing w:val="-2"/>
          <w:sz w:val="15"/>
        </w:rPr>
        <w:t xml:space="preserve"> </w:t>
      </w:r>
      <w:r w:rsidRPr="00317FFD">
        <w:rPr>
          <w:rFonts w:ascii="Calibri" w:eastAsia="Arial" w:hAnsi="Arial" w:cs="Arial"/>
          <w:color w:val="0000FF"/>
          <w:spacing w:val="-2"/>
          <w:sz w:val="15"/>
          <w:u w:val="single" w:color="0000FF"/>
        </w:rPr>
        <w:t>CLAglobal.com/disclaimer</w:t>
      </w:r>
      <w:r w:rsidRPr="00F556F2">
        <w:rPr>
          <w:rFonts w:ascii="Calibri" w:eastAsia="Arial" w:hAnsi="Arial" w:cs="Arial"/>
          <w:color w:val="595959" w:themeColor="text1" w:themeTint="A6"/>
          <w:spacing w:val="-2"/>
          <w:sz w:val="15"/>
        </w:rPr>
        <w:t>.</w:t>
      </w:r>
    </w:p>
    <w:p w14:paraId="3DA1F0E6" w14:textId="77777777" w:rsidR="00317FFD" w:rsidRPr="00317FFD" w:rsidRDefault="00317FFD" w:rsidP="00317FFD">
      <w:pPr>
        <w:widowControl w:val="0"/>
        <w:autoSpaceDE w:val="0"/>
        <w:autoSpaceDN w:val="0"/>
        <w:jc w:val="center"/>
        <w:rPr>
          <w:rFonts w:ascii="Arial" w:eastAsia="Arial" w:hAnsi="Arial" w:cs="Arial"/>
          <w:sz w:val="18"/>
        </w:rPr>
        <w:sectPr w:rsidR="00317FFD" w:rsidRPr="00317FFD" w:rsidSect="00317FFD">
          <w:headerReference w:type="default" r:id="rId88"/>
          <w:type w:val="continuous"/>
          <w:pgSz w:w="12240" w:h="15840"/>
          <w:pgMar w:top="1440" w:right="1152" w:bottom="1440" w:left="1152" w:header="720" w:footer="720" w:gutter="0"/>
          <w:cols w:space="720"/>
        </w:sectPr>
      </w:pPr>
    </w:p>
    <w:p w14:paraId="08A369A5" w14:textId="77777777" w:rsidR="00317FFD" w:rsidRPr="00317FFD" w:rsidRDefault="00317FFD" w:rsidP="00317FFD">
      <w:pPr>
        <w:widowControl w:val="0"/>
        <w:autoSpaceDE w:val="0"/>
        <w:autoSpaceDN w:val="0"/>
        <w:spacing w:before="80"/>
        <w:ind w:right="7056"/>
        <w:rPr>
          <w:rFonts w:ascii="Arial" w:eastAsia="Arial" w:hAnsi="Arial" w:cs="Arial"/>
        </w:rPr>
      </w:pPr>
      <w:r w:rsidRPr="00317FFD">
        <w:rPr>
          <w:rFonts w:ascii="Arial" w:eastAsia="Arial" w:hAnsi="Arial" w:cs="Arial"/>
        </w:rPr>
        <w:lastRenderedPageBreak/>
        <w:t>Board of Trustees University</w:t>
      </w:r>
      <w:r w:rsidRPr="00317FFD">
        <w:rPr>
          <w:rFonts w:ascii="Arial" w:eastAsia="Arial" w:hAnsi="Arial" w:cs="Arial"/>
          <w:spacing w:val="-13"/>
        </w:rPr>
        <w:t xml:space="preserve"> </w:t>
      </w:r>
      <w:r w:rsidRPr="00317FFD">
        <w:rPr>
          <w:rFonts w:ascii="Arial" w:eastAsia="Arial" w:hAnsi="Arial" w:cs="Arial"/>
        </w:rPr>
        <w:t>of</w:t>
      </w:r>
      <w:r w:rsidRPr="00317FFD">
        <w:rPr>
          <w:rFonts w:ascii="Arial" w:eastAsia="Arial" w:hAnsi="Arial" w:cs="Arial"/>
          <w:spacing w:val="-14"/>
        </w:rPr>
        <w:t xml:space="preserve"> </w:t>
      </w:r>
      <w:r w:rsidRPr="00317FFD">
        <w:rPr>
          <w:rFonts w:ascii="Arial" w:eastAsia="Arial" w:hAnsi="Arial" w:cs="Arial"/>
        </w:rPr>
        <w:t>Maine</w:t>
      </w:r>
      <w:r w:rsidRPr="00317FFD">
        <w:rPr>
          <w:rFonts w:ascii="Arial" w:eastAsia="Arial" w:hAnsi="Arial" w:cs="Arial"/>
          <w:spacing w:val="-13"/>
        </w:rPr>
        <w:t xml:space="preserve"> </w:t>
      </w:r>
      <w:r w:rsidRPr="00317FFD">
        <w:rPr>
          <w:rFonts w:ascii="Arial" w:eastAsia="Arial" w:hAnsi="Arial" w:cs="Arial"/>
        </w:rPr>
        <w:t>System</w:t>
      </w:r>
    </w:p>
    <w:p w14:paraId="00189A5D" w14:textId="77777777" w:rsidR="00317FFD" w:rsidRPr="00317FFD" w:rsidRDefault="00317FFD" w:rsidP="00317FFD">
      <w:pPr>
        <w:widowControl w:val="0"/>
        <w:autoSpaceDE w:val="0"/>
        <w:autoSpaceDN w:val="0"/>
        <w:rPr>
          <w:rFonts w:ascii="Arial" w:eastAsia="Arial" w:hAnsi="Arial" w:cs="Arial"/>
          <w:sz w:val="20"/>
        </w:rPr>
      </w:pPr>
    </w:p>
    <w:p w14:paraId="62D13AA1" w14:textId="77777777" w:rsidR="00317FFD" w:rsidRPr="00317FFD" w:rsidRDefault="00317FFD" w:rsidP="00317FFD">
      <w:pPr>
        <w:widowControl w:val="0"/>
        <w:autoSpaceDE w:val="0"/>
        <w:autoSpaceDN w:val="0"/>
        <w:spacing w:before="8"/>
        <w:rPr>
          <w:rFonts w:ascii="Arial" w:eastAsia="Arial" w:hAnsi="Arial" w:cs="Arial"/>
          <w:sz w:val="27"/>
        </w:rPr>
      </w:pPr>
    </w:p>
    <w:p w14:paraId="0FC31240" w14:textId="77777777" w:rsidR="00317FFD" w:rsidRPr="00317FFD" w:rsidRDefault="00317FFD" w:rsidP="00317FFD">
      <w:pPr>
        <w:widowControl w:val="0"/>
        <w:autoSpaceDE w:val="0"/>
        <w:autoSpaceDN w:val="0"/>
        <w:spacing w:before="93"/>
        <w:ind w:right="118"/>
        <w:jc w:val="both"/>
        <w:rPr>
          <w:rFonts w:ascii="Arial" w:eastAsia="Arial" w:hAnsi="Arial" w:cs="Arial"/>
        </w:rPr>
      </w:pPr>
      <w:r w:rsidRPr="00317FFD">
        <w:rPr>
          <w:rFonts w:ascii="Arial" w:eastAsia="Arial" w:hAnsi="Arial" w:cs="Arial"/>
        </w:rPr>
        <w:t>Our consideration of internal control was for the limited purpose described in the first paragraph of this section and was not designed to identify all deficiencies in internal control that might be material weaknesses or significant deficiencies and therefore, material weaknesses or significant deficiencies may exist that were not identified. Given these limitations, during our audit we did not identify any deficiencies in internal control that we consider to be material weaknesses. We identified certain deficiencies in internal control, described in the accompanying schedule of findings and responses as item 2022-001 that we consider to be a significant deficiency.</w:t>
      </w:r>
    </w:p>
    <w:p w14:paraId="499FD9F8" w14:textId="77777777" w:rsidR="00317FFD" w:rsidRPr="00317FFD" w:rsidRDefault="00317FFD" w:rsidP="00317FFD">
      <w:pPr>
        <w:widowControl w:val="0"/>
        <w:autoSpaceDE w:val="0"/>
        <w:autoSpaceDN w:val="0"/>
        <w:rPr>
          <w:rFonts w:ascii="Arial" w:eastAsia="Arial" w:hAnsi="Arial" w:cs="Arial"/>
        </w:rPr>
      </w:pPr>
    </w:p>
    <w:p w14:paraId="1479EC31" w14:textId="77777777" w:rsidR="00317FFD" w:rsidRPr="00317FFD" w:rsidRDefault="00317FFD" w:rsidP="00317FFD">
      <w:pPr>
        <w:widowControl w:val="0"/>
        <w:autoSpaceDE w:val="0"/>
        <w:autoSpaceDN w:val="0"/>
        <w:jc w:val="both"/>
        <w:outlineLvl w:val="0"/>
        <w:rPr>
          <w:rFonts w:ascii="Arial" w:eastAsia="Arial" w:hAnsi="Arial" w:cs="Arial"/>
          <w:b/>
          <w:bCs/>
          <w:i/>
          <w:iCs/>
        </w:rPr>
      </w:pPr>
      <w:r w:rsidRPr="00317FFD">
        <w:rPr>
          <w:rFonts w:ascii="Arial" w:eastAsia="Arial" w:hAnsi="Arial" w:cs="Arial"/>
          <w:b/>
          <w:bCs/>
          <w:i/>
          <w:iCs/>
        </w:rPr>
        <w:t>Report</w:t>
      </w:r>
      <w:r w:rsidRPr="00317FFD">
        <w:rPr>
          <w:rFonts w:ascii="Arial" w:eastAsia="Arial" w:hAnsi="Arial" w:cs="Arial"/>
          <w:b/>
          <w:bCs/>
          <w:i/>
          <w:iCs/>
          <w:spacing w:val="-7"/>
        </w:rPr>
        <w:t xml:space="preserve"> </w:t>
      </w:r>
      <w:r w:rsidRPr="00317FFD">
        <w:rPr>
          <w:rFonts w:ascii="Arial" w:eastAsia="Arial" w:hAnsi="Arial" w:cs="Arial"/>
          <w:b/>
          <w:bCs/>
          <w:i/>
          <w:iCs/>
        </w:rPr>
        <w:t>on</w:t>
      </w:r>
      <w:r w:rsidRPr="00317FFD">
        <w:rPr>
          <w:rFonts w:ascii="Arial" w:eastAsia="Arial" w:hAnsi="Arial" w:cs="Arial"/>
          <w:b/>
          <w:bCs/>
          <w:i/>
          <w:iCs/>
          <w:spacing w:val="-5"/>
        </w:rPr>
        <w:t xml:space="preserve"> </w:t>
      </w:r>
      <w:r w:rsidRPr="00317FFD">
        <w:rPr>
          <w:rFonts w:ascii="Arial" w:eastAsia="Arial" w:hAnsi="Arial" w:cs="Arial"/>
          <w:b/>
          <w:bCs/>
          <w:i/>
          <w:iCs/>
        </w:rPr>
        <w:t>Compliance</w:t>
      </w:r>
      <w:r w:rsidRPr="00317FFD">
        <w:rPr>
          <w:rFonts w:ascii="Arial" w:eastAsia="Arial" w:hAnsi="Arial" w:cs="Arial"/>
          <w:b/>
          <w:bCs/>
          <w:i/>
          <w:iCs/>
          <w:spacing w:val="-7"/>
        </w:rPr>
        <w:t xml:space="preserve"> </w:t>
      </w:r>
      <w:r w:rsidRPr="00317FFD">
        <w:rPr>
          <w:rFonts w:ascii="Arial" w:eastAsia="Arial" w:hAnsi="Arial" w:cs="Arial"/>
          <w:b/>
          <w:bCs/>
          <w:i/>
          <w:iCs/>
        </w:rPr>
        <w:t>and</w:t>
      </w:r>
      <w:r w:rsidRPr="00317FFD">
        <w:rPr>
          <w:rFonts w:ascii="Arial" w:eastAsia="Arial" w:hAnsi="Arial" w:cs="Arial"/>
          <w:b/>
          <w:bCs/>
          <w:i/>
          <w:iCs/>
          <w:spacing w:val="-6"/>
        </w:rPr>
        <w:t xml:space="preserve"> </w:t>
      </w:r>
      <w:r w:rsidRPr="00317FFD">
        <w:rPr>
          <w:rFonts w:ascii="Arial" w:eastAsia="Arial" w:hAnsi="Arial" w:cs="Arial"/>
          <w:b/>
          <w:bCs/>
          <w:i/>
          <w:iCs/>
        </w:rPr>
        <w:t>Other</w:t>
      </w:r>
      <w:r w:rsidRPr="00317FFD">
        <w:rPr>
          <w:rFonts w:ascii="Arial" w:eastAsia="Arial" w:hAnsi="Arial" w:cs="Arial"/>
          <w:b/>
          <w:bCs/>
          <w:i/>
          <w:iCs/>
          <w:spacing w:val="-7"/>
        </w:rPr>
        <w:t xml:space="preserve"> </w:t>
      </w:r>
      <w:r w:rsidRPr="00317FFD">
        <w:rPr>
          <w:rFonts w:ascii="Arial" w:eastAsia="Arial" w:hAnsi="Arial" w:cs="Arial"/>
          <w:b/>
          <w:bCs/>
          <w:i/>
          <w:iCs/>
          <w:spacing w:val="-2"/>
        </w:rPr>
        <w:t>Matters</w:t>
      </w:r>
    </w:p>
    <w:p w14:paraId="2466D943" w14:textId="77777777" w:rsidR="00317FFD" w:rsidRPr="00317FFD" w:rsidRDefault="00317FFD" w:rsidP="00317FFD">
      <w:pPr>
        <w:widowControl w:val="0"/>
        <w:autoSpaceDE w:val="0"/>
        <w:autoSpaceDN w:val="0"/>
        <w:spacing w:before="59"/>
        <w:ind w:right="118"/>
        <w:jc w:val="both"/>
        <w:rPr>
          <w:rFonts w:ascii="Arial" w:eastAsia="Arial" w:hAnsi="Arial" w:cs="Arial"/>
          <w:i/>
        </w:rPr>
      </w:pPr>
      <w:r w:rsidRPr="00317FFD">
        <w:rPr>
          <w:rFonts w:ascii="Arial" w:eastAsia="Arial" w:hAnsi="Arial" w:cs="Arial"/>
        </w:rPr>
        <w:t>As part of obtaining reasonable assurance about whether System’s financial statements are free from material</w:t>
      </w:r>
      <w:r w:rsidRPr="00317FFD">
        <w:rPr>
          <w:rFonts w:ascii="Arial" w:eastAsia="Arial" w:hAnsi="Arial" w:cs="Arial"/>
          <w:spacing w:val="-3"/>
        </w:rPr>
        <w:t xml:space="preserve"> </w:t>
      </w:r>
      <w:r w:rsidRPr="00317FFD">
        <w:rPr>
          <w:rFonts w:ascii="Arial" w:eastAsia="Arial" w:hAnsi="Arial" w:cs="Arial"/>
        </w:rPr>
        <w:t>misstatement,</w:t>
      </w:r>
      <w:r w:rsidRPr="00317FFD">
        <w:rPr>
          <w:rFonts w:ascii="Arial" w:eastAsia="Arial" w:hAnsi="Arial" w:cs="Arial"/>
          <w:spacing w:val="-3"/>
        </w:rPr>
        <w:t xml:space="preserve"> </w:t>
      </w:r>
      <w:r w:rsidRPr="00317FFD">
        <w:rPr>
          <w:rFonts w:ascii="Arial" w:eastAsia="Arial" w:hAnsi="Arial" w:cs="Arial"/>
        </w:rPr>
        <w:t>we</w:t>
      </w:r>
      <w:r w:rsidRPr="00317FFD">
        <w:rPr>
          <w:rFonts w:ascii="Arial" w:eastAsia="Arial" w:hAnsi="Arial" w:cs="Arial"/>
          <w:spacing w:val="-3"/>
        </w:rPr>
        <w:t xml:space="preserve"> </w:t>
      </w:r>
      <w:r w:rsidRPr="00317FFD">
        <w:rPr>
          <w:rFonts w:ascii="Arial" w:eastAsia="Arial" w:hAnsi="Arial" w:cs="Arial"/>
        </w:rPr>
        <w:t>performed</w:t>
      </w:r>
      <w:r w:rsidRPr="00317FFD">
        <w:rPr>
          <w:rFonts w:ascii="Arial" w:eastAsia="Arial" w:hAnsi="Arial" w:cs="Arial"/>
          <w:spacing w:val="-3"/>
        </w:rPr>
        <w:t xml:space="preserve"> </w:t>
      </w:r>
      <w:r w:rsidRPr="00317FFD">
        <w:rPr>
          <w:rFonts w:ascii="Arial" w:eastAsia="Arial" w:hAnsi="Arial" w:cs="Arial"/>
        </w:rPr>
        <w:t>tests</w:t>
      </w:r>
      <w:r w:rsidRPr="00317FFD">
        <w:rPr>
          <w:rFonts w:ascii="Arial" w:eastAsia="Arial" w:hAnsi="Arial" w:cs="Arial"/>
          <w:spacing w:val="-3"/>
        </w:rPr>
        <w:t xml:space="preserve"> </w:t>
      </w:r>
      <w:r w:rsidRPr="00317FFD">
        <w:rPr>
          <w:rFonts w:ascii="Arial" w:eastAsia="Arial" w:hAnsi="Arial" w:cs="Arial"/>
        </w:rPr>
        <w:t>of</w:t>
      </w:r>
      <w:r w:rsidRPr="00317FFD">
        <w:rPr>
          <w:rFonts w:ascii="Arial" w:eastAsia="Arial" w:hAnsi="Arial" w:cs="Arial"/>
          <w:spacing w:val="-3"/>
        </w:rPr>
        <w:t xml:space="preserve"> </w:t>
      </w:r>
      <w:r w:rsidRPr="00317FFD">
        <w:rPr>
          <w:rFonts w:ascii="Arial" w:eastAsia="Arial" w:hAnsi="Arial" w:cs="Arial"/>
        </w:rPr>
        <w:t>its</w:t>
      </w:r>
      <w:r w:rsidRPr="00317FFD">
        <w:rPr>
          <w:rFonts w:ascii="Arial" w:eastAsia="Arial" w:hAnsi="Arial" w:cs="Arial"/>
          <w:spacing w:val="-3"/>
        </w:rPr>
        <w:t xml:space="preserve"> </w:t>
      </w:r>
      <w:r w:rsidRPr="00317FFD">
        <w:rPr>
          <w:rFonts w:ascii="Arial" w:eastAsia="Arial" w:hAnsi="Arial" w:cs="Arial"/>
        </w:rPr>
        <w:t>compliance</w:t>
      </w:r>
      <w:r w:rsidRPr="00317FFD">
        <w:rPr>
          <w:rFonts w:ascii="Arial" w:eastAsia="Arial" w:hAnsi="Arial" w:cs="Arial"/>
          <w:spacing w:val="-4"/>
        </w:rPr>
        <w:t xml:space="preserve"> </w:t>
      </w:r>
      <w:r w:rsidRPr="00317FFD">
        <w:rPr>
          <w:rFonts w:ascii="Arial" w:eastAsia="Arial" w:hAnsi="Arial" w:cs="Arial"/>
        </w:rPr>
        <w:t>with</w:t>
      </w:r>
      <w:r w:rsidRPr="00317FFD">
        <w:rPr>
          <w:rFonts w:ascii="Arial" w:eastAsia="Arial" w:hAnsi="Arial" w:cs="Arial"/>
          <w:spacing w:val="-3"/>
        </w:rPr>
        <w:t xml:space="preserve"> </w:t>
      </w:r>
      <w:r w:rsidRPr="00317FFD">
        <w:rPr>
          <w:rFonts w:ascii="Arial" w:eastAsia="Arial" w:hAnsi="Arial" w:cs="Arial"/>
        </w:rPr>
        <w:t>certain</w:t>
      </w:r>
      <w:r w:rsidRPr="00317FFD">
        <w:rPr>
          <w:rFonts w:ascii="Arial" w:eastAsia="Arial" w:hAnsi="Arial" w:cs="Arial"/>
          <w:spacing w:val="-3"/>
        </w:rPr>
        <w:t xml:space="preserve"> </w:t>
      </w:r>
      <w:r w:rsidRPr="00317FFD">
        <w:rPr>
          <w:rFonts w:ascii="Arial" w:eastAsia="Arial" w:hAnsi="Arial" w:cs="Arial"/>
        </w:rPr>
        <w:t>provisions</w:t>
      </w:r>
      <w:r w:rsidRPr="00317FFD">
        <w:rPr>
          <w:rFonts w:ascii="Arial" w:eastAsia="Arial" w:hAnsi="Arial" w:cs="Arial"/>
          <w:spacing w:val="-3"/>
        </w:rPr>
        <w:t xml:space="preserve"> </w:t>
      </w:r>
      <w:r w:rsidRPr="00317FFD">
        <w:rPr>
          <w:rFonts w:ascii="Arial" w:eastAsia="Arial" w:hAnsi="Arial" w:cs="Arial"/>
        </w:rPr>
        <w:t>of</w:t>
      </w:r>
      <w:r w:rsidRPr="00317FFD">
        <w:rPr>
          <w:rFonts w:ascii="Arial" w:eastAsia="Arial" w:hAnsi="Arial" w:cs="Arial"/>
          <w:spacing w:val="-3"/>
        </w:rPr>
        <w:t xml:space="preserve"> </w:t>
      </w:r>
      <w:r w:rsidRPr="00317FFD">
        <w:rPr>
          <w:rFonts w:ascii="Arial" w:eastAsia="Arial" w:hAnsi="Arial" w:cs="Arial"/>
        </w:rPr>
        <w:t>laws,</w:t>
      </w:r>
      <w:r w:rsidRPr="00317FFD">
        <w:rPr>
          <w:rFonts w:ascii="Arial" w:eastAsia="Arial" w:hAnsi="Arial" w:cs="Arial"/>
          <w:spacing w:val="-3"/>
        </w:rPr>
        <w:t xml:space="preserve"> </w:t>
      </w:r>
      <w:r w:rsidRPr="00317FFD">
        <w:rPr>
          <w:rFonts w:ascii="Arial" w:eastAsia="Arial" w:hAnsi="Arial" w:cs="Arial"/>
        </w:rPr>
        <w:t>regulations, contracts, and grant agreements, noncompliance with which could have a direct and material effect on the financial statements. However, providing an opinion on compliance with those provisions was not</w:t>
      </w:r>
      <w:r w:rsidRPr="00317FFD">
        <w:rPr>
          <w:rFonts w:ascii="Arial" w:eastAsia="Arial" w:hAnsi="Arial" w:cs="Arial"/>
          <w:spacing w:val="40"/>
        </w:rPr>
        <w:t xml:space="preserve"> </w:t>
      </w:r>
      <w:r w:rsidRPr="00317FFD">
        <w:rPr>
          <w:rFonts w:ascii="Arial" w:eastAsia="Arial" w:hAnsi="Arial" w:cs="Arial"/>
        </w:rPr>
        <w:t xml:space="preserve">an objective of our audit, and accordingly, we do not express such an opinion. The results of our tests disclosed no instances of noncompliance or other matters that are required to be reported under </w:t>
      </w:r>
      <w:r w:rsidRPr="00317FFD">
        <w:rPr>
          <w:rFonts w:ascii="Arial" w:eastAsia="Arial" w:hAnsi="Arial" w:cs="Arial"/>
          <w:i/>
        </w:rPr>
        <w:t>Government Auditing Standards.</w:t>
      </w:r>
    </w:p>
    <w:p w14:paraId="18A9A16E" w14:textId="77777777" w:rsidR="00317FFD" w:rsidRPr="00317FFD" w:rsidRDefault="00317FFD" w:rsidP="00317FFD">
      <w:pPr>
        <w:widowControl w:val="0"/>
        <w:autoSpaceDE w:val="0"/>
        <w:autoSpaceDN w:val="0"/>
        <w:rPr>
          <w:rFonts w:ascii="Arial" w:eastAsia="Arial" w:hAnsi="Arial" w:cs="Arial"/>
          <w:i/>
        </w:rPr>
      </w:pPr>
    </w:p>
    <w:p w14:paraId="3EA2B461" w14:textId="77777777" w:rsidR="00317FFD" w:rsidRPr="00317FFD" w:rsidRDefault="00317FFD" w:rsidP="00317FFD">
      <w:pPr>
        <w:widowControl w:val="0"/>
        <w:autoSpaceDE w:val="0"/>
        <w:autoSpaceDN w:val="0"/>
        <w:spacing w:before="1"/>
        <w:jc w:val="both"/>
        <w:outlineLvl w:val="0"/>
        <w:rPr>
          <w:rFonts w:ascii="Arial" w:eastAsia="Arial" w:hAnsi="Arial" w:cs="Arial"/>
          <w:b/>
          <w:bCs/>
          <w:i/>
          <w:iCs/>
        </w:rPr>
      </w:pPr>
      <w:r w:rsidRPr="00317FFD">
        <w:rPr>
          <w:rFonts w:ascii="Arial" w:eastAsia="Arial" w:hAnsi="Arial" w:cs="Arial"/>
          <w:b/>
          <w:bCs/>
          <w:i/>
          <w:iCs/>
        </w:rPr>
        <w:t>System’s</w:t>
      </w:r>
      <w:r w:rsidRPr="00317FFD">
        <w:rPr>
          <w:rFonts w:ascii="Arial" w:eastAsia="Arial" w:hAnsi="Arial" w:cs="Arial"/>
          <w:b/>
          <w:bCs/>
          <w:i/>
          <w:iCs/>
          <w:spacing w:val="-8"/>
        </w:rPr>
        <w:t xml:space="preserve"> </w:t>
      </w:r>
      <w:r w:rsidRPr="00317FFD">
        <w:rPr>
          <w:rFonts w:ascii="Arial" w:eastAsia="Arial" w:hAnsi="Arial" w:cs="Arial"/>
          <w:b/>
          <w:bCs/>
          <w:i/>
          <w:iCs/>
        </w:rPr>
        <w:t>Response</w:t>
      </w:r>
      <w:r w:rsidRPr="00317FFD">
        <w:rPr>
          <w:rFonts w:ascii="Arial" w:eastAsia="Arial" w:hAnsi="Arial" w:cs="Arial"/>
          <w:b/>
          <w:bCs/>
          <w:i/>
          <w:iCs/>
          <w:spacing w:val="-7"/>
        </w:rPr>
        <w:t xml:space="preserve"> </w:t>
      </w:r>
      <w:r w:rsidRPr="00317FFD">
        <w:rPr>
          <w:rFonts w:ascii="Arial" w:eastAsia="Arial" w:hAnsi="Arial" w:cs="Arial"/>
          <w:b/>
          <w:bCs/>
          <w:i/>
          <w:iCs/>
        </w:rPr>
        <w:t>to</w:t>
      </w:r>
      <w:r w:rsidRPr="00317FFD">
        <w:rPr>
          <w:rFonts w:ascii="Arial" w:eastAsia="Arial" w:hAnsi="Arial" w:cs="Arial"/>
          <w:b/>
          <w:bCs/>
          <w:i/>
          <w:iCs/>
          <w:spacing w:val="-8"/>
        </w:rPr>
        <w:t xml:space="preserve"> </w:t>
      </w:r>
      <w:r w:rsidRPr="00317FFD">
        <w:rPr>
          <w:rFonts w:ascii="Arial" w:eastAsia="Arial" w:hAnsi="Arial" w:cs="Arial"/>
          <w:b/>
          <w:bCs/>
          <w:i/>
          <w:iCs/>
          <w:spacing w:val="-2"/>
        </w:rPr>
        <w:t>Findings</w:t>
      </w:r>
    </w:p>
    <w:p w14:paraId="02EEC8A8" w14:textId="77777777" w:rsidR="00317FFD" w:rsidRPr="00317FFD" w:rsidRDefault="00317FFD" w:rsidP="00317FFD">
      <w:pPr>
        <w:widowControl w:val="0"/>
        <w:autoSpaceDE w:val="0"/>
        <w:autoSpaceDN w:val="0"/>
        <w:spacing w:before="60"/>
        <w:ind w:right="118"/>
        <w:jc w:val="both"/>
        <w:rPr>
          <w:rFonts w:ascii="Arial" w:eastAsia="Arial" w:hAnsi="Arial" w:cs="Arial"/>
        </w:rPr>
      </w:pPr>
      <w:r w:rsidRPr="00317FFD">
        <w:rPr>
          <w:rFonts w:ascii="Arial" w:eastAsia="Arial" w:hAnsi="Arial" w:cs="Arial"/>
          <w:i/>
        </w:rPr>
        <w:t xml:space="preserve">Government Auditing Standards </w:t>
      </w:r>
      <w:r w:rsidRPr="00317FFD">
        <w:rPr>
          <w:rFonts w:ascii="Arial" w:eastAsia="Arial" w:hAnsi="Arial" w:cs="Arial"/>
        </w:rPr>
        <w:t>requires the auditor to perform limited procedures on the System’s response to the findings identified in our audit and described in the accompanying schedule of findings and responses. The System’s response was not subjected to the other auditing procedures applied in the audit of the financial statements and, accordingly, we express no opinion on the response.</w:t>
      </w:r>
    </w:p>
    <w:p w14:paraId="1D947939" w14:textId="77777777" w:rsidR="00317FFD" w:rsidRPr="00317FFD" w:rsidRDefault="00317FFD" w:rsidP="00317FFD">
      <w:pPr>
        <w:widowControl w:val="0"/>
        <w:autoSpaceDE w:val="0"/>
        <w:autoSpaceDN w:val="0"/>
        <w:spacing w:before="11"/>
        <w:rPr>
          <w:rFonts w:ascii="Arial" w:eastAsia="Arial" w:hAnsi="Arial" w:cs="Arial"/>
          <w:sz w:val="21"/>
        </w:rPr>
      </w:pPr>
    </w:p>
    <w:p w14:paraId="63FB4F48" w14:textId="77777777" w:rsidR="00317FFD" w:rsidRPr="00317FFD" w:rsidRDefault="00317FFD" w:rsidP="00317FFD">
      <w:pPr>
        <w:widowControl w:val="0"/>
        <w:autoSpaceDE w:val="0"/>
        <w:autoSpaceDN w:val="0"/>
        <w:jc w:val="both"/>
        <w:outlineLvl w:val="0"/>
        <w:rPr>
          <w:rFonts w:ascii="Arial" w:eastAsia="Arial" w:hAnsi="Arial" w:cs="Arial"/>
          <w:b/>
          <w:bCs/>
          <w:i/>
          <w:iCs/>
        </w:rPr>
      </w:pPr>
      <w:r w:rsidRPr="00317FFD">
        <w:rPr>
          <w:rFonts w:ascii="Arial" w:eastAsia="Arial" w:hAnsi="Arial" w:cs="Arial"/>
          <w:b/>
          <w:bCs/>
          <w:i/>
          <w:iCs/>
        </w:rPr>
        <w:t>Purpose</w:t>
      </w:r>
      <w:r w:rsidRPr="00317FFD">
        <w:rPr>
          <w:rFonts w:ascii="Arial" w:eastAsia="Arial" w:hAnsi="Arial" w:cs="Arial"/>
          <w:b/>
          <w:bCs/>
          <w:i/>
          <w:iCs/>
          <w:spacing w:val="-6"/>
        </w:rPr>
        <w:t xml:space="preserve"> </w:t>
      </w:r>
      <w:r w:rsidRPr="00317FFD">
        <w:rPr>
          <w:rFonts w:ascii="Arial" w:eastAsia="Arial" w:hAnsi="Arial" w:cs="Arial"/>
          <w:b/>
          <w:bCs/>
          <w:i/>
          <w:iCs/>
        </w:rPr>
        <w:t>of</w:t>
      </w:r>
      <w:r w:rsidRPr="00317FFD">
        <w:rPr>
          <w:rFonts w:ascii="Arial" w:eastAsia="Arial" w:hAnsi="Arial" w:cs="Arial"/>
          <w:b/>
          <w:bCs/>
          <w:i/>
          <w:iCs/>
          <w:spacing w:val="-5"/>
        </w:rPr>
        <w:t xml:space="preserve"> </w:t>
      </w:r>
      <w:r w:rsidRPr="00317FFD">
        <w:rPr>
          <w:rFonts w:ascii="Arial" w:eastAsia="Arial" w:hAnsi="Arial" w:cs="Arial"/>
          <w:b/>
          <w:bCs/>
          <w:i/>
          <w:iCs/>
        </w:rPr>
        <w:t>This</w:t>
      </w:r>
      <w:r w:rsidRPr="00317FFD">
        <w:rPr>
          <w:rFonts w:ascii="Arial" w:eastAsia="Arial" w:hAnsi="Arial" w:cs="Arial"/>
          <w:b/>
          <w:bCs/>
          <w:i/>
          <w:iCs/>
          <w:spacing w:val="-5"/>
        </w:rPr>
        <w:t xml:space="preserve"> </w:t>
      </w:r>
      <w:r w:rsidRPr="00317FFD">
        <w:rPr>
          <w:rFonts w:ascii="Arial" w:eastAsia="Arial" w:hAnsi="Arial" w:cs="Arial"/>
          <w:b/>
          <w:bCs/>
          <w:i/>
          <w:iCs/>
          <w:spacing w:val="-2"/>
        </w:rPr>
        <w:t>Report</w:t>
      </w:r>
    </w:p>
    <w:p w14:paraId="3B1D6A41" w14:textId="77777777" w:rsidR="00317FFD" w:rsidRPr="00317FFD" w:rsidRDefault="00317FFD" w:rsidP="00317FFD">
      <w:pPr>
        <w:widowControl w:val="0"/>
        <w:autoSpaceDE w:val="0"/>
        <w:autoSpaceDN w:val="0"/>
        <w:spacing w:before="60"/>
        <w:ind w:right="116"/>
        <w:jc w:val="both"/>
        <w:rPr>
          <w:rFonts w:ascii="Arial" w:eastAsia="Arial" w:hAnsi="Arial" w:cs="Arial"/>
        </w:rPr>
      </w:pPr>
      <w:r w:rsidRPr="00317FFD">
        <w:rPr>
          <w:rFonts w:ascii="Arial" w:eastAsia="Arial" w:hAnsi="Arial" w:cs="Arial"/>
          <w:noProof/>
        </w:rPr>
        <w:drawing>
          <wp:anchor distT="0" distB="0" distL="0" distR="0" simplePos="0" relativeHeight="251663360" behindDoc="0" locked="0" layoutInCell="1" allowOverlap="1" wp14:anchorId="7EF54C8B" wp14:editId="2B9813DD">
            <wp:simplePos x="0" y="0"/>
            <wp:positionH relativeFrom="margin">
              <wp:align>left</wp:align>
            </wp:positionH>
            <wp:positionV relativeFrom="paragraph">
              <wp:posOffset>1150204</wp:posOffset>
            </wp:positionV>
            <wp:extent cx="1700453" cy="576452"/>
            <wp:effectExtent l="0" t="0" r="0" b="0"/>
            <wp:wrapNone/>
            <wp:docPr id="61"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700453" cy="576452"/>
                    </a:xfrm>
                    <a:prstGeom prst="rect">
                      <a:avLst/>
                    </a:prstGeom>
                  </pic:spPr>
                </pic:pic>
              </a:graphicData>
            </a:graphic>
          </wp:anchor>
        </w:drawing>
      </w:r>
      <w:r w:rsidRPr="00317FFD">
        <w:rPr>
          <w:rFonts w:ascii="Arial" w:eastAsia="Arial" w:hAnsi="Arial" w:cs="Arial"/>
        </w:rPr>
        <w:t xml:space="preserve">The purpose of this report is solely to describe the scope of our testing of internal control and compliance and the results of that testing, and not to provide an opinion on the effectiveness of the entity’s internal control or on compliance. This report is an integral part of an audit performed in accordance with </w:t>
      </w:r>
      <w:r w:rsidRPr="00317FFD">
        <w:rPr>
          <w:rFonts w:ascii="Arial" w:eastAsia="Arial" w:hAnsi="Arial" w:cs="Arial"/>
          <w:i/>
        </w:rPr>
        <w:t xml:space="preserve">Government Auditing Standards </w:t>
      </w:r>
      <w:r w:rsidRPr="00317FFD">
        <w:rPr>
          <w:rFonts w:ascii="Arial" w:eastAsia="Arial" w:hAnsi="Arial" w:cs="Arial"/>
        </w:rPr>
        <w:t>in considering the entity’s internal control and compliance. Accordingly, this communication is not suitable for any other purpose.</w:t>
      </w:r>
    </w:p>
    <w:p w14:paraId="72820512" w14:textId="77777777" w:rsidR="00317FFD" w:rsidRPr="00317FFD" w:rsidRDefault="00317FFD" w:rsidP="00317FFD">
      <w:pPr>
        <w:widowControl w:val="0"/>
        <w:autoSpaceDE w:val="0"/>
        <w:autoSpaceDN w:val="0"/>
        <w:rPr>
          <w:rFonts w:ascii="Arial" w:eastAsia="Arial" w:hAnsi="Arial" w:cs="Arial"/>
          <w:sz w:val="24"/>
        </w:rPr>
      </w:pPr>
    </w:p>
    <w:p w14:paraId="01096BFE" w14:textId="77777777" w:rsidR="00317FFD" w:rsidRPr="00317FFD" w:rsidRDefault="00317FFD" w:rsidP="00317FFD">
      <w:pPr>
        <w:widowControl w:val="0"/>
        <w:autoSpaceDE w:val="0"/>
        <w:autoSpaceDN w:val="0"/>
        <w:rPr>
          <w:rFonts w:ascii="Arial" w:eastAsia="Arial" w:hAnsi="Arial" w:cs="Arial"/>
          <w:sz w:val="24"/>
        </w:rPr>
      </w:pPr>
    </w:p>
    <w:p w14:paraId="6180AAD7" w14:textId="77777777" w:rsidR="00317FFD" w:rsidRPr="00317FFD" w:rsidRDefault="00317FFD" w:rsidP="00317FFD">
      <w:pPr>
        <w:widowControl w:val="0"/>
        <w:autoSpaceDE w:val="0"/>
        <w:autoSpaceDN w:val="0"/>
        <w:rPr>
          <w:rFonts w:ascii="Arial" w:eastAsia="Arial" w:hAnsi="Arial" w:cs="Arial"/>
          <w:sz w:val="24"/>
        </w:rPr>
      </w:pPr>
    </w:p>
    <w:p w14:paraId="2026E375" w14:textId="77777777" w:rsidR="00317FFD" w:rsidRPr="00317FFD" w:rsidRDefault="00317FFD" w:rsidP="00317FFD">
      <w:pPr>
        <w:widowControl w:val="0"/>
        <w:autoSpaceDE w:val="0"/>
        <w:autoSpaceDN w:val="0"/>
        <w:rPr>
          <w:rFonts w:ascii="Arial" w:eastAsia="Arial" w:hAnsi="Arial" w:cs="Arial"/>
          <w:sz w:val="24"/>
        </w:rPr>
      </w:pPr>
    </w:p>
    <w:p w14:paraId="0EF0CD48" w14:textId="77777777" w:rsidR="00317FFD" w:rsidRPr="00317FFD" w:rsidRDefault="00317FFD" w:rsidP="00317FFD">
      <w:pPr>
        <w:widowControl w:val="0"/>
        <w:autoSpaceDE w:val="0"/>
        <w:autoSpaceDN w:val="0"/>
        <w:spacing w:before="162"/>
        <w:jc w:val="both"/>
        <w:rPr>
          <w:rFonts w:ascii="Arial" w:eastAsia="Arial" w:hAnsi="Arial" w:cs="Arial"/>
          <w:b/>
          <w:sz w:val="24"/>
        </w:rPr>
      </w:pPr>
      <w:r w:rsidRPr="00317FFD">
        <w:rPr>
          <w:rFonts w:ascii="Arial" w:eastAsia="Arial" w:hAnsi="Arial" w:cs="Arial"/>
          <w:b/>
          <w:spacing w:val="-2"/>
          <w:sz w:val="24"/>
        </w:rPr>
        <w:t>CliftonLarsonAllen</w:t>
      </w:r>
      <w:r w:rsidRPr="00317FFD">
        <w:rPr>
          <w:rFonts w:ascii="Arial" w:eastAsia="Arial" w:hAnsi="Arial" w:cs="Arial"/>
          <w:b/>
          <w:spacing w:val="17"/>
          <w:sz w:val="24"/>
        </w:rPr>
        <w:t xml:space="preserve"> </w:t>
      </w:r>
      <w:r w:rsidRPr="00317FFD">
        <w:rPr>
          <w:rFonts w:ascii="Arial" w:eastAsia="Arial" w:hAnsi="Arial" w:cs="Arial"/>
          <w:b/>
          <w:spacing w:val="-5"/>
          <w:sz w:val="24"/>
        </w:rPr>
        <w:t>LLP</w:t>
      </w:r>
    </w:p>
    <w:p w14:paraId="47000B76" w14:textId="77777777" w:rsidR="00317FFD" w:rsidRPr="00317FFD" w:rsidRDefault="00317FFD" w:rsidP="00317FFD">
      <w:pPr>
        <w:widowControl w:val="0"/>
        <w:autoSpaceDE w:val="0"/>
        <w:autoSpaceDN w:val="0"/>
        <w:spacing w:before="9"/>
        <w:rPr>
          <w:rFonts w:ascii="Arial" w:eastAsia="Arial" w:hAnsi="Arial" w:cs="Arial"/>
          <w:b/>
          <w:sz w:val="20"/>
        </w:rPr>
      </w:pPr>
    </w:p>
    <w:p w14:paraId="67C49292" w14:textId="77777777" w:rsidR="00317FFD" w:rsidRPr="00317FFD" w:rsidRDefault="00317FFD" w:rsidP="00317FFD">
      <w:pPr>
        <w:widowControl w:val="0"/>
        <w:autoSpaceDE w:val="0"/>
        <w:autoSpaceDN w:val="0"/>
        <w:ind w:right="7236"/>
        <w:rPr>
          <w:rFonts w:ascii="Arial" w:eastAsia="Arial" w:hAnsi="Arial" w:cs="Arial"/>
        </w:rPr>
      </w:pPr>
      <w:r w:rsidRPr="00317FFD">
        <w:rPr>
          <w:rFonts w:ascii="Arial" w:eastAsia="Arial" w:hAnsi="Arial" w:cs="Arial"/>
        </w:rPr>
        <w:t>Quincy,</w:t>
      </w:r>
      <w:r w:rsidRPr="00317FFD">
        <w:rPr>
          <w:rFonts w:ascii="Arial" w:eastAsia="Arial" w:hAnsi="Arial" w:cs="Arial"/>
          <w:spacing w:val="-16"/>
        </w:rPr>
        <w:t xml:space="preserve"> </w:t>
      </w:r>
      <w:r w:rsidRPr="00317FFD">
        <w:rPr>
          <w:rFonts w:ascii="Arial" w:eastAsia="Arial" w:hAnsi="Arial" w:cs="Arial"/>
        </w:rPr>
        <w:t>Massachusetts October 28, 2022</w:t>
      </w:r>
    </w:p>
    <w:p w14:paraId="7B37C9AC" w14:textId="77777777" w:rsidR="00317FFD" w:rsidRPr="00317FFD" w:rsidRDefault="00317FFD" w:rsidP="00317FFD">
      <w:pPr>
        <w:widowControl w:val="0"/>
        <w:autoSpaceDE w:val="0"/>
        <w:autoSpaceDN w:val="0"/>
        <w:rPr>
          <w:rFonts w:ascii="Arial" w:eastAsia="Arial" w:hAnsi="Arial" w:cs="Arial"/>
        </w:rPr>
        <w:sectPr w:rsidR="00317FFD" w:rsidRPr="00317FFD" w:rsidSect="00322930">
          <w:pgSz w:w="12240" w:h="15840" w:code="1"/>
          <w:pgMar w:top="1440" w:right="1152" w:bottom="1440" w:left="1152" w:header="720" w:footer="720" w:gutter="0"/>
          <w:cols w:space="720"/>
        </w:sectPr>
      </w:pPr>
    </w:p>
    <w:p w14:paraId="6A2206C7" w14:textId="77777777" w:rsidR="00317FFD" w:rsidRDefault="00317FFD">
      <w:pPr>
        <w:spacing w:after="160" w:line="259" w:lineRule="auto"/>
        <w:rPr>
          <w:rFonts w:ascii="Arial" w:eastAsia="Arial" w:hAnsi="Arial" w:cs="Arial"/>
          <w:b/>
        </w:rPr>
      </w:pPr>
      <w:r>
        <w:rPr>
          <w:rFonts w:ascii="Arial" w:eastAsia="Arial" w:hAnsi="Arial" w:cs="Arial"/>
          <w:b/>
        </w:rPr>
        <w:br w:type="page"/>
      </w:r>
    </w:p>
    <w:p w14:paraId="2640B523" w14:textId="4FAAE50D" w:rsidR="00317FFD" w:rsidRPr="00317FFD" w:rsidRDefault="00317FFD" w:rsidP="00317FFD">
      <w:pPr>
        <w:widowControl w:val="0"/>
        <w:autoSpaceDE w:val="0"/>
        <w:autoSpaceDN w:val="0"/>
        <w:spacing w:before="80"/>
        <w:ind w:right="36"/>
        <w:jc w:val="center"/>
        <w:rPr>
          <w:rFonts w:ascii="Arial" w:eastAsia="Arial" w:hAnsi="Arial" w:cs="Arial"/>
          <w:b/>
        </w:rPr>
      </w:pPr>
      <w:r w:rsidRPr="00317FFD">
        <w:rPr>
          <w:rFonts w:ascii="Arial" w:eastAsia="Arial" w:hAnsi="Arial" w:cs="Arial"/>
          <w:b/>
        </w:rPr>
        <w:lastRenderedPageBreak/>
        <w:t>UNIVERSITY</w:t>
      </w:r>
      <w:r w:rsidRPr="00317FFD">
        <w:rPr>
          <w:rFonts w:ascii="Arial" w:eastAsia="Arial" w:hAnsi="Arial" w:cs="Arial"/>
          <w:b/>
          <w:spacing w:val="-8"/>
        </w:rPr>
        <w:t xml:space="preserve"> </w:t>
      </w:r>
      <w:r w:rsidRPr="00317FFD">
        <w:rPr>
          <w:rFonts w:ascii="Arial" w:eastAsia="Arial" w:hAnsi="Arial" w:cs="Arial"/>
          <w:b/>
        </w:rPr>
        <w:t>OF</w:t>
      </w:r>
      <w:r w:rsidRPr="00317FFD">
        <w:rPr>
          <w:rFonts w:ascii="Arial" w:eastAsia="Arial" w:hAnsi="Arial" w:cs="Arial"/>
          <w:b/>
          <w:spacing w:val="-7"/>
        </w:rPr>
        <w:t xml:space="preserve"> </w:t>
      </w:r>
      <w:r w:rsidRPr="00317FFD">
        <w:rPr>
          <w:rFonts w:ascii="Arial" w:eastAsia="Arial" w:hAnsi="Arial" w:cs="Arial"/>
          <w:b/>
        </w:rPr>
        <w:t>MAINE</w:t>
      </w:r>
      <w:r w:rsidRPr="00317FFD">
        <w:rPr>
          <w:rFonts w:ascii="Arial" w:eastAsia="Arial" w:hAnsi="Arial" w:cs="Arial"/>
          <w:b/>
          <w:spacing w:val="-7"/>
        </w:rPr>
        <w:t xml:space="preserve"> </w:t>
      </w:r>
      <w:r w:rsidRPr="00317FFD">
        <w:rPr>
          <w:rFonts w:ascii="Arial" w:eastAsia="Arial" w:hAnsi="Arial" w:cs="Arial"/>
          <w:b/>
          <w:spacing w:val="-2"/>
        </w:rPr>
        <w:t>SYSTEM</w:t>
      </w:r>
    </w:p>
    <w:p w14:paraId="50877834" w14:textId="77777777" w:rsidR="00317FFD" w:rsidRDefault="00317FFD" w:rsidP="00317FFD">
      <w:pPr>
        <w:widowControl w:val="0"/>
        <w:autoSpaceDE w:val="0"/>
        <w:autoSpaceDN w:val="0"/>
        <w:ind w:right="36"/>
        <w:jc w:val="center"/>
        <w:rPr>
          <w:rFonts w:ascii="Arial" w:eastAsia="Arial" w:hAnsi="Arial" w:cs="Arial"/>
          <w:b/>
        </w:rPr>
      </w:pPr>
      <w:r w:rsidRPr="00317FFD">
        <w:rPr>
          <w:rFonts w:ascii="Arial" w:eastAsia="Arial" w:hAnsi="Arial" w:cs="Arial"/>
          <w:b/>
        </w:rPr>
        <w:t>(A</w:t>
      </w:r>
      <w:r w:rsidRPr="00317FFD">
        <w:rPr>
          <w:rFonts w:ascii="Arial" w:eastAsia="Arial" w:hAnsi="Arial" w:cs="Arial"/>
          <w:b/>
          <w:spacing w:val="-6"/>
        </w:rPr>
        <w:t xml:space="preserve"> </w:t>
      </w:r>
      <w:r w:rsidRPr="00317FFD">
        <w:rPr>
          <w:rFonts w:ascii="Arial" w:eastAsia="Arial" w:hAnsi="Arial" w:cs="Arial"/>
          <w:b/>
        </w:rPr>
        <w:t>COMPONENT</w:t>
      </w:r>
      <w:r w:rsidRPr="00317FFD">
        <w:rPr>
          <w:rFonts w:ascii="Arial" w:eastAsia="Arial" w:hAnsi="Arial" w:cs="Arial"/>
          <w:b/>
          <w:spacing w:val="-5"/>
        </w:rPr>
        <w:t xml:space="preserve"> </w:t>
      </w:r>
      <w:r w:rsidRPr="00317FFD">
        <w:rPr>
          <w:rFonts w:ascii="Arial" w:eastAsia="Arial" w:hAnsi="Arial" w:cs="Arial"/>
          <w:b/>
        </w:rPr>
        <w:t>UNIT</w:t>
      </w:r>
      <w:r w:rsidRPr="00317FFD">
        <w:rPr>
          <w:rFonts w:ascii="Arial" w:eastAsia="Arial" w:hAnsi="Arial" w:cs="Arial"/>
          <w:b/>
          <w:spacing w:val="-5"/>
        </w:rPr>
        <w:t xml:space="preserve"> </w:t>
      </w:r>
      <w:r w:rsidRPr="00317FFD">
        <w:rPr>
          <w:rFonts w:ascii="Arial" w:eastAsia="Arial" w:hAnsi="Arial" w:cs="Arial"/>
          <w:b/>
        </w:rPr>
        <w:t>OF</w:t>
      </w:r>
      <w:r w:rsidRPr="00317FFD">
        <w:rPr>
          <w:rFonts w:ascii="Arial" w:eastAsia="Arial" w:hAnsi="Arial" w:cs="Arial"/>
          <w:b/>
          <w:spacing w:val="-6"/>
        </w:rPr>
        <w:t xml:space="preserve"> </w:t>
      </w:r>
      <w:r w:rsidRPr="00317FFD">
        <w:rPr>
          <w:rFonts w:ascii="Arial" w:eastAsia="Arial" w:hAnsi="Arial" w:cs="Arial"/>
          <w:b/>
        </w:rPr>
        <w:t>THE</w:t>
      </w:r>
      <w:r w:rsidRPr="00317FFD">
        <w:rPr>
          <w:rFonts w:ascii="Arial" w:eastAsia="Arial" w:hAnsi="Arial" w:cs="Arial"/>
          <w:b/>
          <w:spacing w:val="-6"/>
        </w:rPr>
        <w:t xml:space="preserve"> </w:t>
      </w:r>
      <w:r w:rsidRPr="00317FFD">
        <w:rPr>
          <w:rFonts w:ascii="Arial" w:eastAsia="Arial" w:hAnsi="Arial" w:cs="Arial"/>
          <w:b/>
        </w:rPr>
        <w:t>STATE</w:t>
      </w:r>
      <w:r w:rsidRPr="00317FFD">
        <w:rPr>
          <w:rFonts w:ascii="Arial" w:eastAsia="Arial" w:hAnsi="Arial" w:cs="Arial"/>
          <w:b/>
          <w:spacing w:val="-6"/>
        </w:rPr>
        <w:t xml:space="preserve"> </w:t>
      </w:r>
      <w:r w:rsidRPr="00317FFD">
        <w:rPr>
          <w:rFonts w:ascii="Arial" w:eastAsia="Arial" w:hAnsi="Arial" w:cs="Arial"/>
          <w:b/>
        </w:rPr>
        <w:t>OF</w:t>
      </w:r>
      <w:r w:rsidRPr="00317FFD">
        <w:rPr>
          <w:rFonts w:ascii="Arial" w:eastAsia="Arial" w:hAnsi="Arial" w:cs="Arial"/>
          <w:b/>
          <w:spacing w:val="-6"/>
        </w:rPr>
        <w:t xml:space="preserve"> </w:t>
      </w:r>
      <w:r w:rsidRPr="00317FFD">
        <w:rPr>
          <w:rFonts w:ascii="Arial" w:eastAsia="Arial" w:hAnsi="Arial" w:cs="Arial"/>
          <w:b/>
        </w:rPr>
        <w:t xml:space="preserve">MAINE) </w:t>
      </w:r>
    </w:p>
    <w:p w14:paraId="48FE17B5" w14:textId="77777777" w:rsidR="00317FFD" w:rsidRDefault="00317FFD" w:rsidP="00317FFD">
      <w:pPr>
        <w:widowControl w:val="0"/>
        <w:autoSpaceDE w:val="0"/>
        <w:autoSpaceDN w:val="0"/>
        <w:ind w:right="36"/>
        <w:jc w:val="center"/>
        <w:rPr>
          <w:rFonts w:ascii="Arial" w:eastAsia="Arial" w:hAnsi="Arial" w:cs="Arial"/>
          <w:b/>
        </w:rPr>
      </w:pPr>
      <w:r w:rsidRPr="00317FFD">
        <w:rPr>
          <w:rFonts w:ascii="Arial" w:eastAsia="Arial" w:hAnsi="Arial" w:cs="Arial"/>
          <w:b/>
        </w:rPr>
        <w:t xml:space="preserve">SCHEDULE OF FINDINGS AND RESPONSES </w:t>
      </w:r>
    </w:p>
    <w:p w14:paraId="1B71B7B0" w14:textId="781B439F" w:rsidR="00317FFD" w:rsidRPr="00317FFD" w:rsidRDefault="00317FFD" w:rsidP="00317FFD">
      <w:pPr>
        <w:widowControl w:val="0"/>
        <w:autoSpaceDE w:val="0"/>
        <w:autoSpaceDN w:val="0"/>
        <w:ind w:right="36"/>
        <w:jc w:val="center"/>
        <w:rPr>
          <w:rFonts w:ascii="Arial" w:eastAsia="Arial" w:hAnsi="Arial" w:cs="Arial"/>
          <w:b/>
        </w:rPr>
      </w:pPr>
      <w:r w:rsidRPr="00317FFD">
        <w:rPr>
          <w:rFonts w:ascii="Arial" w:eastAsia="Arial" w:hAnsi="Arial" w:cs="Arial"/>
          <w:b/>
        </w:rPr>
        <w:t>YEAR ENDED JUNE 30, 2022</w:t>
      </w:r>
    </w:p>
    <w:p w14:paraId="74A0A8B6" w14:textId="77777777" w:rsidR="00317FFD" w:rsidRPr="00317FFD" w:rsidRDefault="00317FFD" w:rsidP="00317FFD">
      <w:pPr>
        <w:widowControl w:val="0"/>
        <w:autoSpaceDE w:val="0"/>
        <w:autoSpaceDN w:val="0"/>
        <w:rPr>
          <w:rFonts w:ascii="Arial" w:eastAsia="Arial" w:hAnsi="Arial" w:cs="Arial"/>
          <w:b/>
          <w:sz w:val="20"/>
        </w:rPr>
      </w:pPr>
    </w:p>
    <w:p w14:paraId="52753CC9" w14:textId="77777777" w:rsidR="00317FFD" w:rsidRPr="00317FFD" w:rsidRDefault="00317FFD" w:rsidP="00317FFD">
      <w:pPr>
        <w:widowControl w:val="0"/>
        <w:autoSpaceDE w:val="0"/>
        <w:autoSpaceDN w:val="0"/>
        <w:spacing w:before="8"/>
        <w:rPr>
          <w:rFonts w:ascii="Arial" w:eastAsia="Arial" w:hAnsi="Arial" w:cs="Arial"/>
          <w:b/>
          <w:sz w:val="21"/>
        </w:rPr>
      </w:pPr>
    </w:p>
    <w:p w14:paraId="76A9CFCC" w14:textId="77777777" w:rsidR="00317FFD" w:rsidRPr="00317FFD" w:rsidRDefault="00317FFD" w:rsidP="00317FFD">
      <w:pPr>
        <w:widowControl w:val="0"/>
        <w:autoSpaceDE w:val="0"/>
        <w:autoSpaceDN w:val="0"/>
        <w:spacing w:before="92" w:line="480" w:lineRule="auto"/>
        <w:ind w:right="5796"/>
        <w:rPr>
          <w:rFonts w:ascii="Arial" w:eastAsia="Arial" w:hAnsi="Arial" w:cs="Arial"/>
          <w:b/>
        </w:rPr>
      </w:pPr>
      <w:r w:rsidRPr="00317FFD">
        <w:rPr>
          <w:rFonts w:ascii="Arial" w:eastAsia="Arial" w:hAnsi="Arial" w:cs="Arial"/>
          <w:b/>
        </w:rPr>
        <w:t>Financial</w:t>
      </w:r>
      <w:r w:rsidRPr="00317FFD">
        <w:rPr>
          <w:rFonts w:ascii="Arial" w:eastAsia="Arial" w:hAnsi="Arial" w:cs="Arial"/>
          <w:b/>
          <w:spacing w:val="-16"/>
        </w:rPr>
        <w:t xml:space="preserve"> </w:t>
      </w:r>
      <w:r w:rsidRPr="00317FFD">
        <w:rPr>
          <w:rFonts w:ascii="Arial" w:eastAsia="Arial" w:hAnsi="Arial" w:cs="Arial"/>
          <w:b/>
        </w:rPr>
        <w:t>Statement</w:t>
      </w:r>
      <w:r w:rsidRPr="00317FFD">
        <w:rPr>
          <w:rFonts w:ascii="Arial" w:eastAsia="Arial" w:hAnsi="Arial" w:cs="Arial"/>
          <w:b/>
          <w:spacing w:val="-15"/>
        </w:rPr>
        <w:t xml:space="preserve"> </w:t>
      </w:r>
      <w:r w:rsidRPr="00317FFD">
        <w:rPr>
          <w:rFonts w:ascii="Arial" w:eastAsia="Arial" w:hAnsi="Arial" w:cs="Arial"/>
          <w:b/>
        </w:rPr>
        <w:t xml:space="preserve">Finding </w:t>
      </w:r>
      <w:r w:rsidRPr="00317FFD">
        <w:rPr>
          <w:rFonts w:ascii="Arial" w:eastAsia="Arial" w:hAnsi="Arial" w:cs="Arial"/>
          <w:b/>
          <w:spacing w:val="-2"/>
        </w:rPr>
        <w:t>2022-001</w:t>
      </w:r>
    </w:p>
    <w:p w14:paraId="6B95AAB6" w14:textId="77777777" w:rsidR="00317FFD" w:rsidRPr="00317FFD" w:rsidRDefault="00317FFD" w:rsidP="00317FFD">
      <w:pPr>
        <w:widowControl w:val="0"/>
        <w:autoSpaceDE w:val="0"/>
        <w:autoSpaceDN w:val="0"/>
        <w:spacing w:line="253" w:lineRule="exact"/>
        <w:rPr>
          <w:rFonts w:ascii="Arial" w:eastAsia="Arial" w:hAnsi="Arial" w:cs="Arial"/>
        </w:rPr>
      </w:pPr>
      <w:r w:rsidRPr="00317FFD">
        <w:rPr>
          <w:rFonts w:ascii="Arial" w:eastAsia="Arial" w:hAnsi="Arial" w:cs="Arial"/>
          <w:b/>
        </w:rPr>
        <w:t>Type</w:t>
      </w:r>
      <w:r w:rsidRPr="00317FFD">
        <w:rPr>
          <w:rFonts w:ascii="Arial" w:eastAsia="Arial" w:hAnsi="Arial" w:cs="Arial"/>
          <w:b/>
          <w:spacing w:val="-8"/>
        </w:rPr>
        <w:t xml:space="preserve"> </w:t>
      </w:r>
      <w:r w:rsidRPr="00317FFD">
        <w:rPr>
          <w:rFonts w:ascii="Arial" w:eastAsia="Arial" w:hAnsi="Arial" w:cs="Arial"/>
          <w:b/>
        </w:rPr>
        <w:t>of</w:t>
      </w:r>
      <w:r w:rsidRPr="00317FFD">
        <w:rPr>
          <w:rFonts w:ascii="Arial" w:eastAsia="Arial" w:hAnsi="Arial" w:cs="Arial"/>
          <w:b/>
          <w:spacing w:val="-7"/>
        </w:rPr>
        <w:t xml:space="preserve"> </w:t>
      </w:r>
      <w:r w:rsidRPr="00317FFD">
        <w:rPr>
          <w:rFonts w:ascii="Arial" w:eastAsia="Arial" w:hAnsi="Arial" w:cs="Arial"/>
          <w:b/>
        </w:rPr>
        <w:t>Finding</w:t>
      </w:r>
      <w:r w:rsidRPr="00317FFD">
        <w:rPr>
          <w:rFonts w:ascii="Arial" w:eastAsia="Arial" w:hAnsi="Arial" w:cs="Arial"/>
        </w:rPr>
        <w:t>:</w:t>
      </w:r>
      <w:r w:rsidRPr="00317FFD">
        <w:rPr>
          <w:rFonts w:ascii="Arial" w:eastAsia="Arial" w:hAnsi="Arial" w:cs="Arial"/>
          <w:spacing w:val="-7"/>
        </w:rPr>
        <w:t xml:space="preserve"> </w:t>
      </w:r>
      <w:r w:rsidRPr="00317FFD">
        <w:rPr>
          <w:rFonts w:ascii="Arial" w:eastAsia="Arial" w:hAnsi="Arial" w:cs="Arial"/>
        </w:rPr>
        <w:t>Significant</w:t>
      </w:r>
      <w:r w:rsidRPr="00317FFD">
        <w:rPr>
          <w:rFonts w:ascii="Arial" w:eastAsia="Arial" w:hAnsi="Arial" w:cs="Arial"/>
          <w:spacing w:val="-7"/>
        </w:rPr>
        <w:t xml:space="preserve"> </w:t>
      </w:r>
      <w:r w:rsidRPr="00317FFD">
        <w:rPr>
          <w:rFonts w:ascii="Arial" w:eastAsia="Arial" w:hAnsi="Arial" w:cs="Arial"/>
        </w:rPr>
        <w:t>Deficiency</w:t>
      </w:r>
      <w:r w:rsidRPr="00317FFD">
        <w:rPr>
          <w:rFonts w:ascii="Arial" w:eastAsia="Arial" w:hAnsi="Arial" w:cs="Arial"/>
          <w:spacing w:val="-7"/>
        </w:rPr>
        <w:t xml:space="preserve"> </w:t>
      </w:r>
      <w:r w:rsidRPr="00317FFD">
        <w:rPr>
          <w:rFonts w:ascii="Arial" w:eastAsia="Arial" w:hAnsi="Arial" w:cs="Arial"/>
        </w:rPr>
        <w:t>in</w:t>
      </w:r>
      <w:r w:rsidRPr="00317FFD">
        <w:rPr>
          <w:rFonts w:ascii="Arial" w:eastAsia="Arial" w:hAnsi="Arial" w:cs="Arial"/>
          <w:spacing w:val="-7"/>
        </w:rPr>
        <w:t xml:space="preserve"> </w:t>
      </w:r>
      <w:r w:rsidRPr="00317FFD">
        <w:rPr>
          <w:rFonts w:ascii="Arial" w:eastAsia="Arial" w:hAnsi="Arial" w:cs="Arial"/>
        </w:rPr>
        <w:t>Internal</w:t>
      </w:r>
      <w:r w:rsidRPr="00317FFD">
        <w:rPr>
          <w:rFonts w:ascii="Arial" w:eastAsia="Arial" w:hAnsi="Arial" w:cs="Arial"/>
          <w:spacing w:val="-7"/>
        </w:rPr>
        <w:t xml:space="preserve"> </w:t>
      </w:r>
      <w:r w:rsidRPr="00317FFD">
        <w:rPr>
          <w:rFonts w:ascii="Arial" w:eastAsia="Arial" w:hAnsi="Arial" w:cs="Arial"/>
        </w:rPr>
        <w:t>Control</w:t>
      </w:r>
      <w:r w:rsidRPr="00317FFD">
        <w:rPr>
          <w:rFonts w:ascii="Arial" w:eastAsia="Arial" w:hAnsi="Arial" w:cs="Arial"/>
          <w:spacing w:val="-7"/>
        </w:rPr>
        <w:t xml:space="preserve"> </w:t>
      </w:r>
      <w:r w:rsidRPr="00317FFD">
        <w:rPr>
          <w:rFonts w:ascii="Arial" w:eastAsia="Arial" w:hAnsi="Arial" w:cs="Arial"/>
        </w:rPr>
        <w:t>over</w:t>
      </w:r>
      <w:r w:rsidRPr="00317FFD">
        <w:rPr>
          <w:rFonts w:ascii="Arial" w:eastAsia="Arial" w:hAnsi="Arial" w:cs="Arial"/>
          <w:spacing w:val="-7"/>
        </w:rPr>
        <w:t xml:space="preserve"> </w:t>
      </w:r>
      <w:r w:rsidRPr="00317FFD">
        <w:rPr>
          <w:rFonts w:ascii="Arial" w:eastAsia="Arial" w:hAnsi="Arial" w:cs="Arial"/>
        </w:rPr>
        <w:t>Financial</w:t>
      </w:r>
      <w:r w:rsidRPr="00317FFD">
        <w:rPr>
          <w:rFonts w:ascii="Arial" w:eastAsia="Arial" w:hAnsi="Arial" w:cs="Arial"/>
          <w:spacing w:val="-7"/>
        </w:rPr>
        <w:t xml:space="preserve"> </w:t>
      </w:r>
      <w:r w:rsidRPr="00317FFD">
        <w:rPr>
          <w:rFonts w:ascii="Arial" w:eastAsia="Arial" w:hAnsi="Arial" w:cs="Arial"/>
          <w:spacing w:val="-2"/>
        </w:rPr>
        <w:t>Reporting</w:t>
      </w:r>
    </w:p>
    <w:p w14:paraId="67C2EDA5" w14:textId="77777777" w:rsidR="00317FFD" w:rsidRPr="00317FFD" w:rsidRDefault="00317FFD" w:rsidP="00317FFD">
      <w:pPr>
        <w:widowControl w:val="0"/>
        <w:autoSpaceDE w:val="0"/>
        <w:autoSpaceDN w:val="0"/>
        <w:spacing w:before="1"/>
        <w:rPr>
          <w:rFonts w:ascii="Arial" w:eastAsia="Arial" w:hAnsi="Arial" w:cs="Arial"/>
        </w:rPr>
      </w:pPr>
    </w:p>
    <w:p w14:paraId="3C23B194" w14:textId="77777777" w:rsidR="00317FFD" w:rsidRPr="00317FFD" w:rsidRDefault="00317FFD" w:rsidP="00317FFD">
      <w:pPr>
        <w:widowControl w:val="0"/>
        <w:autoSpaceDE w:val="0"/>
        <w:autoSpaceDN w:val="0"/>
        <w:rPr>
          <w:rFonts w:ascii="Arial" w:eastAsia="Arial" w:hAnsi="Arial" w:cs="Arial"/>
        </w:rPr>
      </w:pPr>
      <w:r w:rsidRPr="00317FFD">
        <w:rPr>
          <w:rFonts w:ascii="Arial" w:eastAsia="Arial" w:hAnsi="Arial" w:cs="Arial"/>
          <w:b/>
        </w:rPr>
        <w:t>Repeat</w:t>
      </w:r>
      <w:r w:rsidRPr="00317FFD">
        <w:rPr>
          <w:rFonts w:ascii="Arial" w:eastAsia="Arial" w:hAnsi="Arial" w:cs="Arial"/>
          <w:b/>
          <w:spacing w:val="-8"/>
        </w:rPr>
        <w:t xml:space="preserve"> </w:t>
      </w:r>
      <w:r w:rsidRPr="00317FFD">
        <w:rPr>
          <w:rFonts w:ascii="Arial" w:eastAsia="Arial" w:hAnsi="Arial" w:cs="Arial"/>
          <w:b/>
        </w:rPr>
        <w:t>Finding:</w:t>
      </w:r>
      <w:r w:rsidRPr="00317FFD">
        <w:rPr>
          <w:rFonts w:ascii="Arial" w:eastAsia="Arial" w:hAnsi="Arial" w:cs="Arial"/>
          <w:b/>
          <w:spacing w:val="-9"/>
        </w:rPr>
        <w:t xml:space="preserve"> </w:t>
      </w:r>
      <w:r w:rsidRPr="00317FFD">
        <w:rPr>
          <w:rFonts w:ascii="Arial" w:eastAsia="Arial" w:hAnsi="Arial" w:cs="Arial"/>
          <w:spacing w:val="-5"/>
        </w:rPr>
        <w:t>No</w:t>
      </w:r>
    </w:p>
    <w:p w14:paraId="40603E0D" w14:textId="77777777" w:rsidR="00317FFD" w:rsidRPr="00317FFD" w:rsidRDefault="00317FFD" w:rsidP="00317FFD">
      <w:pPr>
        <w:widowControl w:val="0"/>
        <w:autoSpaceDE w:val="0"/>
        <w:autoSpaceDN w:val="0"/>
        <w:spacing w:before="10"/>
        <w:rPr>
          <w:rFonts w:ascii="Arial" w:eastAsia="Arial" w:hAnsi="Arial" w:cs="Arial"/>
          <w:sz w:val="21"/>
        </w:rPr>
      </w:pPr>
    </w:p>
    <w:p w14:paraId="473956E8" w14:textId="77777777" w:rsidR="00317FFD" w:rsidRPr="00317FFD" w:rsidRDefault="00317FFD" w:rsidP="00317FFD">
      <w:pPr>
        <w:widowControl w:val="0"/>
        <w:autoSpaceDE w:val="0"/>
        <w:autoSpaceDN w:val="0"/>
        <w:spacing w:before="1"/>
        <w:rPr>
          <w:rFonts w:ascii="Arial" w:eastAsia="Arial" w:hAnsi="Arial" w:cs="Arial"/>
        </w:rPr>
      </w:pPr>
      <w:r w:rsidRPr="00317FFD">
        <w:rPr>
          <w:rFonts w:ascii="Arial" w:eastAsia="Arial" w:hAnsi="Arial" w:cs="Arial"/>
          <w:b/>
        </w:rPr>
        <w:t>Condition:</w:t>
      </w:r>
      <w:r w:rsidRPr="00317FFD">
        <w:rPr>
          <w:rFonts w:ascii="Arial" w:eastAsia="Arial" w:hAnsi="Arial" w:cs="Arial"/>
          <w:b/>
          <w:spacing w:val="-7"/>
        </w:rPr>
        <w:t xml:space="preserve"> </w:t>
      </w:r>
      <w:r w:rsidRPr="00317FFD">
        <w:rPr>
          <w:rFonts w:ascii="Arial" w:eastAsia="Arial" w:hAnsi="Arial" w:cs="Arial"/>
        </w:rPr>
        <w:t>The</w:t>
      </w:r>
      <w:r w:rsidRPr="00317FFD">
        <w:rPr>
          <w:rFonts w:ascii="Arial" w:eastAsia="Arial" w:hAnsi="Arial" w:cs="Arial"/>
          <w:spacing w:val="-6"/>
        </w:rPr>
        <w:t xml:space="preserve"> </w:t>
      </w:r>
      <w:r w:rsidRPr="00317FFD">
        <w:rPr>
          <w:rFonts w:ascii="Arial" w:eastAsia="Arial" w:hAnsi="Arial" w:cs="Arial"/>
        </w:rPr>
        <w:t>University</w:t>
      </w:r>
      <w:r w:rsidRPr="00317FFD">
        <w:rPr>
          <w:rFonts w:ascii="Arial" w:eastAsia="Arial" w:hAnsi="Arial" w:cs="Arial"/>
          <w:spacing w:val="-6"/>
        </w:rPr>
        <w:t xml:space="preserve"> </w:t>
      </w:r>
      <w:r w:rsidRPr="00317FFD">
        <w:rPr>
          <w:rFonts w:ascii="Arial" w:eastAsia="Arial" w:hAnsi="Arial" w:cs="Arial"/>
        </w:rPr>
        <w:t>of</w:t>
      </w:r>
      <w:r w:rsidRPr="00317FFD">
        <w:rPr>
          <w:rFonts w:ascii="Arial" w:eastAsia="Arial" w:hAnsi="Arial" w:cs="Arial"/>
          <w:spacing w:val="-5"/>
        </w:rPr>
        <w:t xml:space="preserve"> </w:t>
      </w:r>
      <w:r w:rsidRPr="00317FFD">
        <w:rPr>
          <w:rFonts w:ascii="Arial" w:eastAsia="Arial" w:hAnsi="Arial" w:cs="Arial"/>
        </w:rPr>
        <w:t>Maine</w:t>
      </w:r>
      <w:r w:rsidRPr="00317FFD">
        <w:rPr>
          <w:rFonts w:ascii="Arial" w:eastAsia="Arial" w:hAnsi="Arial" w:cs="Arial"/>
          <w:spacing w:val="-7"/>
        </w:rPr>
        <w:t xml:space="preserve"> </w:t>
      </w:r>
      <w:r w:rsidRPr="00317FFD">
        <w:rPr>
          <w:rFonts w:ascii="Arial" w:eastAsia="Arial" w:hAnsi="Arial" w:cs="Arial"/>
        </w:rPr>
        <w:t>System's</w:t>
      </w:r>
      <w:r w:rsidRPr="00317FFD">
        <w:rPr>
          <w:rFonts w:ascii="Arial" w:eastAsia="Arial" w:hAnsi="Arial" w:cs="Arial"/>
          <w:spacing w:val="-6"/>
        </w:rPr>
        <w:t xml:space="preserve"> </w:t>
      </w:r>
      <w:r w:rsidRPr="00317FFD">
        <w:rPr>
          <w:rFonts w:ascii="Arial" w:eastAsia="Arial" w:hAnsi="Arial" w:cs="Arial"/>
        </w:rPr>
        <w:t>(the</w:t>
      </w:r>
      <w:r w:rsidRPr="00317FFD">
        <w:rPr>
          <w:rFonts w:ascii="Arial" w:eastAsia="Arial" w:hAnsi="Arial" w:cs="Arial"/>
          <w:spacing w:val="-6"/>
        </w:rPr>
        <w:t xml:space="preserve"> </w:t>
      </w:r>
      <w:r w:rsidRPr="00317FFD">
        <w:rPr>
          <w:rFonts w:ascii="Arial" w:eastAsia="Arial" w:hAnsi="Arial" w:cs="Arial"/>
        </w:rPr>
        <w:t>System)</w:t>
      </w:r>
      <w:r w:rsidRPr="00317FFD">
        <w:rPr>
          <w:rFonts w:ascii="Arial" w:eastAsia="Arial" w:hAnsi="Arial" w:cs="Arial"/>
          <w:spacing w:val="-5"/>
        </w:rPr>
        <w:t xml:space="preserve"> </w:t>
      </w:r>
      <w:r w:rsidRPr="00317FFD">
        <w:rPr>
          <w:rFonts w:ascii="Arial" w:eastAsia="Arial" w:hAnsi="Arial" w:cs="Arial"/>
        </w:rPr>
        <w:t>wire</w:t>
      </w:r>
      <w:r w:rsidRPr="00317FFD">
        <w:rPr>
          <w:rFonts w:ascii="Arial" w:eastAsia="Arial" w:hAnsi="Arial" w:cs="Arial"/>
          <w:spacing w:val="-6"/>
        </w:rPr>
        <w:t xml:space="preserve"> </w:t>
      </w:r>
      <w:r w:rsidRPr="00317FFD">
        <w:rPr>
          <w:rFonts w:ascii="Arial" w:eastAsia="Arial" w:hAnsi="Arial" w:cs="Arial"/>
        </w:rPr>
        <w:t>payment</w:t>
      </w:r>
      <w:r w:rsidRPr="00317FFD">
        <w:rPr>
          <w:rFonts w:ascii="Arial" w:eastAsia="Arial" w:hAnsi="Arial" w:cs="Arial"/>
          <w:spacing w:val="-6"/>
        </w:rPr>
        <w:t xml:space="preserve"> </w:t>
      </w:r>
      <w:r w:rsidRPr="00317FFD">
        <w:rPr>
          <w:rFonts w:ascii="Arial" w:eastAsia="Arial" w:hAnsi="Arial" w:cs="Arial"/>
        </w:rPr>
        <w:t>set</w:t>
      </w:r>
      <w:r w:rsidRPr="00317FFD">
        <w:rPr>
          <w:rFonts w:ascii="Arial" w:eastAsia="Arial" w:hAnsi="Arial" w:cs="Arial"/>
          <w:spacing w:val="-6"/>
        </w:rPr>
        <w:t xml:space="preserve"> </w:t>
      </w:r>
      <w:r w:rsidRPr="00317FFD">
        <w:rPr>
          <w:rFonts w:ascii="Arial" w:eastAsia="Arial" w:hAnsi="Arial" w:cs="Arial"/>
        </w:rPr>
        <w:t>up</w:t>
      </w:r>
      <w:r w:rsidRPr="00317FFD">
        <w:rPr>
          <w:rFonts w:ascii="Arial" w:eastAsia="Arial" w:hAnsi="Arial" w:cs="Arial"/>
          <w:spacing w:val="-5"/>
        </w:rPr>
        <w:t xml:space="preserve"> </w:t>
      </w:r>
      <w:r w:rsidRPr="00317FFD">
        <w:rPr>
          <w:rFonts w:ascii="Arial" w:eastAsia="Arial" w:hAnsi="Arial" w:cs="Arial"/>
        </w:rPr>
        <w:t>and</w:t>
      </w:r>
      <w:r w:rsidRPr="00317FFD">
        <w:rPr>
          <w:rFonts w:ascii="Arial" w:eastAsia="Arial" w:hAnsi="Arial" w:cs="Arial"/>
          <w:spacing w:val="-6"/>
        </w:rPr>
        <w:t xml:space="preserve"> </w:t>
      </w:r>
      <w:r w:rsidRPr="00317FFD">
        <w:rPr>
          <w:rFonts w:ascii="Arial" w:eastAsia="Arial" w:hAnsi="Arial" w:cs="Arial"/>
          <w:spacing w:val="-2"/>
        </w:rPr>
        <w:t>authentication</w:t>
      </w:r>
    </w:p>
    <w:p w14:paraId="7DC7E87B" w14:textId="77777777" w:rsidR="00317FFD" w:rsidRPr="00317FFD" w:rsidRDefault="00317FFD" w:rsidP="00317FFD">
      <w:pPr>
        <w:widowControl w:val="0"/>
        <w:autoSpaceDE w:val="0"/>
        <w:autoSpaceDN w:val="0"/>
        <w:rPr>
          <w:rFonts w:ascii="Arial" w:eastAsia="Arial" w:hAnsi="Arial" w:cs="Arial"/>
        </w:rPr>
      </w:pPr>
      <w:r w:rsidRPr="00317FFD">
        <w:rPr>
          <w:rFonts w:ascii="Arial" w:eastAsia="Arial" w:hAnsi="Arial" w:cs="Arial"/>
        </w:rPr>
        <w:t>procedures</w:t>
      </w:r>
      <w:r w:rsidRPr="00317FFD">
        <w:rPr>
          <w:rFonts w:ascii="Arial" w:eastAsia="Arial" w:hAnsi="Arial" w:cs="Arial"/>
          <w:spacing w:val="-7"/>
        </w:rPr>
        <w:t xml:space="preserve"> </w:t>
      </w:r>
      <w:r w:rsidRPr="00317FFD">
        <w:rPr>
          <w:rFonts w:ascii="Arial" w:eastAsia="Arial" w:hAnsi="Arial" w:cs="Arial"/>
        </w:rPr>
        <w:t>lack</w:t>
      </w:r>
      <w:r w:rsidRPr="00317FFD">
        <w:rPr>
          <w:rFonts w:ascii="Arial" w:eastAsia="Arial" w:hAnsi="Arial" w:cs="Arial"/>
          <w:spacing w:val="-7"/>
        </w:rPr>
        <w:t xml:space="preserve"> </w:t>
      </w:r>
      <w:r w:rsidRPr="00317FFD">
        <w:rPr>
          <w:rFonts w:ascii="Arial" w:eastAsia="Arial" w:hAnsi="Arial" w:cs="Arial"/>
        </w:rPr>
        <w:t>centralized</w:t>
      </w:r>
      <w:r w:rsidRPr="00317FFD">
        <w:rPr>
          <w:rFonts w:ascii="Arial" w:eastAsia="Arial" w:hAnsi="Arial" w:cs="Arial"/>
          <w:spacing w:val="-6"/>
        </w:rPr>
        <w:t xml:space="preserve"> </w:t>
      </w:r>
      <w:r w:rsidRPr="00317FFD">
        <w:rPr>
          <w:rFonts w:ascii="Arial" w:eastAsia="Arial" w:hAnsi="Arial" w:cs="Arial"/>
        </w:rPr>
        <w:t>control</w:t>
      </w:r>
      <w:r w:rsidRPr="00317FFD">
        <w:rPr>
          <w:rFonts w:ascii="Arial" w:eastAsia="Arial" w:hAnsi="Arial" w:cs="Arial"/>
          <w:spacing w:val="-7"/>
        </w:rPr>
        <w:t xml:space="preserve"> </w:t>
      </w:r>
      <w:r w:rsidRPr="00317FFD">
        <w:rPr>
          <w:rFonts w:ascii="Arial" w:eastAsia="Arial" w:hAnsi="Arial" w:cs="Arial"/>
        </w:rPr>
        <w:t>in</w:t>
      </w:r>
      <w:r w:rsidRPr="00317FFD">
        <w:rPr>
          <w:rFonts w:ascii="Arial" w:eastAsia="Arial" w:hAnsi="Arial" w:cs="Arial"/>
          <w:spacing w:val="-6"/>
        </w:rPr>
        <w:t xml:space="preserve"> </w:t>
      </w:r>
      <w:r w:rsidRPr="00317FFD">
        <w:rPr>
          <w:rFonts w:ascii="Arial" w:eastAsia="Arial" w:hAnsi="Arial" w:cs="Arial"/>
        </w:rPr>
        <w:t>some</w:t>
      </w:r>
      <w:r w:rsidRPr="00317FFD">
        <w:rPr>
          <w:rFonts w:ascii="Arial" w:eastAsia="Arial" w:hAnsi="Arial" w:cs="Arial"/>
          <w:spacing w:val="-7"/>
        </w:rPr>
        <w:t xml:space="preserve"> </w:t>
      </w:r>
      <w:r w:rsidRPr="00317FFD">
        <w:rPr>
          <w:rFonts w:ascii="Arial" w:eastAsia="Arial" w:hAnsi="Arial" w:cs="Arial"/>
          <w:spacing w:val="-2"/>
        </w:rPr>
        <w:t>areas.</w:t>
      </w:r>
    </w:p>
    <w:p w14:paraId="792EAD97" w14:textId="77777777" w:rsidR="00317FFD" w:rsidRPr="00317FFD" w:rsidRDefault="00317FFD" w:rsidP="00317FFD">
      <w:pPr>
        <w:widowControl w:val="0"/>
        <w:autoSpaceDE w:val="0"/>
        <w:autoSpaceDN w:val="0"/>
        <w:rPr>
          <w:rFonts w:ascii="Arial" w:eastAsia="Arial" w:hAnsi="Arial" w:cs="Arial"/>
        </w:rPr>
      </w:pPr>
    </w:p>
    <w:p w14:paraId="0EC68440" w14:textId="77777777" w:rsidR="00317FFD" w:rsidRPr="00317FFD" w:rsidRDefault="00317FFD" w:rsidP="00317FFD">
      <w:pPr>
        <w:widowControl w:val="0"/>
        <w:autoSpaceDE w:val="0"/>
        <w:autoSpaceDN w:val="0"/>
        <w:ind w:right="348"/>
        <w:rPr>
          <w:rFonts w:ascii="Arial" w:eastAsia="Arial" w:hAnsi="Arial" w:cs="Arial"/>
        </w:rPr>
      </w:pPr>
      <w:r w:rsidRPr="00317FFD">
        <w:rPr>
          <w:rFonts w:ascii="Arial" w:eastAsia="Arial" w:hAnsi="Arial" w:cs="Arial"/>
          <w:b/>
        </w:rPr>
        <w:t xml:space="preserve">Criteria or Specific Requirement: </w:t>
      </w:r>
      <w:r w:rsidRPr="00317FFD">
        <w:rPr>
          <w:rFonts w:ascii="Arial" w:eastAsia="Arial" w:hAnsi="Arial" w:cs="Arial"/>
        </w:rPr>
        <w:t>Internal controls should be established to provide reasonable assurance</w:t>
      </w:r>
      <w:r w:rsidRPr="00317FFD">
        <w:rPr>
          <w:rFonts w:ascii="Arial" w:eastAsia="Arial" w:hAnsi="Arial" w:cs="Arial"/>
          <w:spacing w:val="-3"/>
        </w:rPr>
        <w:t xml:space="preserve"> </w:t>
      </w:r>
      <w:r w:rsidRPr="00317FFD">
        <w:rPr>
          <w:rFonts w:ascii="Arial" w:eastAsia="Arial" w:hAnsi="Arial" w:cs="Arial"/>
        </w:rPr>
        <w:t>that</w:t>
      </w:r>
      <w:r w:rsidRPr="00317FFD">
        <w:rPr>
          <w:rFonts w:ascii="Arial" w:eastAsia="Arial" w:hAnsi="Arial" w:cs="Arial"/>
          <w:spacing w:val="-3"/>
        </w:rPr>
        <w:t xml:space="preserve"> </w:t>
      </w:r>
      <w:r w:rsidRPr="00317FFD">
        <w:rPr>
          <w:rFonts w:ascii="Arial" w:eastAsia="Arial" w:hAnsi="Arial" w:cs="Arial"/>
        </w:rPr>
        <w:t>the</w:t>
      </w:r>
      <w:r w:rsidRPr="00317FFD">
        <w:rPr>
          <w:rFonts w:ascii="Arial" w:eastAsia="Arial" w:hAnsi="Arial" w:cs="Arial"/>
          <w:spacing w:val="-3"/>
        </w:rPr>
        <w:t xml:space="preserve"> </w:t>
      </w:r>
      <w:r w:rsidRPr="00317FFD">
        <w:rPr>
          <w:rFonts w:ascii="Arial" w:eastAsia="Arial" w:hAnsi="Arial" w:cs="Arial"/>
        </w:rPr>
        <w:t>financial</w:t>
      </w:r>
      <w:r w:rsidRPr="00317FFD">
        <w:rPr>
          <w:rFonts w:ascii="Arial" w:eastAsia="Arial" w:hAnsi="Arial" w:cs="Arial"/>
          <w:spacing w:val="-3"/>
        </w:rPr>
        <w:t xml:space="preserve"> </w:t>
      </w:r>
      <w:r w:rsidRPr="00317FFD">
        <w:rPr>
          <w:rFonts w:ascii="Arial" w:eastAsia="Arial" w:hAnsi="Arial" w:cs="Arial"/>
        </w:rPr>
        <w:t>statements</w:t>
      </w:r>
      <w:r w:rsidRPr="00317FFD">
        <w:rPr>
          <w:rFonts w:ascii="Arial" w:eastAsia="Arial" w:hAnsi="Arial" w:cs="Arial"/>
          <w:spacing w:val="-3"/>
        </w:rPr>
        <w:t xml:space="preserve"> </w:t>
      </w:r>
      <w:r w:rsidRPr="00317FFD">
        <w:rPr>
          <w:rFonts w:ascii="Arial" w:eastAsia="Arial" w:hAnsi="Arial" w:cs="Arial"/>
        </w:rPr>
        <w:t>will</w:t>
      </w:r>
      <w:r w:rsidRPr="00317FFD">
        <w:rPr>
          <w:rFonts w:ascii="Arial" w:eastAsia="Arial" w:hAnsi="Arial" w:cs="Arial"/>
          <w:spacing w:val="-3"/>
        </w:rPr>
        <w:t xml:space="preserve"> </w:t>
      </w:r>
      <w:r w:rsidRPr="00317FFD">
        <w:rPr>
          <w:rFonts w:ascii="Arial" w:eastAsia="Arial" w:hAnsi="Arial" w:cs="Arial"/>
        </w:rPr>
        <w:t>not</w:t>
      </w:r>
      <w:r w:rsidRPr="00317FFD">
        <w:rPr>
          <w:rFonts w:ascii="Arial" w:eastAsia="Arial" w:hAnsi="Arial" w:cs="Arial"/>
          <w:spacing w:val="-3"/>
        </w:rPr>
        <w:t xml:space="preserve"> </w:t>
      </w:r>
      <w:r w:rsidRPr="00317FFD">
        <w:rPr>
          <w:rFonts w:ascii="Arial" w:eastAsia="Arial" w:hAnsi="Arial" w:cs="Arial"/>
        </w:rPr>
        <w:t>be</w:t>
      </w:r>
      <w:r w:rsidRPr="00317FFD">
        <w:rPr>
          <w:rFonts w:ascii="Arial" w:eastAsia="Arial" w:hAnsi="Arial" w:cs="Arial"/>
          <w:spacing w:val="-3"/>
        </w:rPr>
        <w:t xml:space="preserve"> </w:t>
      </w:r>
      <w:r w:rsidRPr="00317FFD">
        <w:rPr>
          <w:rFonts w:ascii="Arial" w:eastAsia="Arial" w:hAnsi="Arial" w:cs="Arial"/>
        </w:rPr>
        <w:t>misstated</w:t>
      </w:r>
      <w:r w:rsidRPr="00317FFD">
        <w:rPr>
          <w:rFonts w:ascii="Arial" w:eastAsia="Arial" w:hAnsi="Arial" w:cs="Arial"/>
          <w:spacing w:val="-3"/>
        </w:rPr>
        <w:t xml:space="preserve"> </w:t>
      </w:r>
      <w:r w:rsidRPr="00317FFD">
        <w:rPr>
          <w:rFonts w:ascii="Arial" w:eastAsia="Arial" w:hAnsi="Arial" w:cs="Arial"/>
        </w:rPr>
        <w:t>due</w:t>
      </w:r>
      <w:r w:rsidRPr="00317FFD">
        <w:rPr>
          <w:rFonts w:ascii="Arial" w:eastAsia="Arial" w:hAnsi="Arial" w:cs="Arial"/>
          <w:spacing w:val="-3"/>
        </w:rPr>
        <w:t xml:space="preserve"> </w:t>
      </w:r>
      <w:r w:rsidRPr="00317FFD">
        <w:rPr>
          <w:rFonts w:ascii="Arial" w:eastAsia="Arial" w:hAnsi="Arial" w:cs="Arial"/>
        </w:rPr>
        <w:t>to</w:t>
      </w:r>
      <w:r w:rsidRPr="00317FFD">
        <w:rPr>
          <w:rFonts w:ascii="Arial" w:eastAsia="Arial" w:hAnsi="Arial" w:cs="Arial"/>
          <w:spacing w:val="-3"/>
        </w:rPr>
        <w:t xml:space="preserve"> </w:t>
      </w:r>
      <w:r w:rsidRPr="00317FFD">
        <w:rPr>
          <w:rFonts w:ascii="Arial" w:eastAsia="Arial" w:hAnsi="Arial" w:cs="Arial"/>
        </w:rPr>
        <w:t>error</w:t>
      </w:r>
      <w:r w:rsidRPr="00317FFD">
        <w:rPr>
          <w:rFonts w:ascii="Arial" w:eastAsia="Arial" w:hAnsi="Arial" w:cs="Arial"/>
          <w:spacing w:val="-3"/>
        </w:rPr>
        <w:t xml:space="preserve"> </w:t>
      </w:r>
      <w:r w:rsidRPr="00317FFD">
        <w:rPr>
          <w:rFonts w:ascii="Arial" w:eastAsia="Arial" w:hAnsi="Arial" w:cs="Arial"/>
        </w:rPr>
        <w:t>or</w:t>
      </w:r>
      <w:r w:rsidRPr="00317FFD">
        <w:rPr>
          <w:rFonts w:ascii="Arial" w:eastAsia="Arial" w:hAnsi="Arial" w:cs="Arial"/>
          <w:spacing w:val="-3"/>
        </w:rPr>
        <w:t xml:space="preserve"> </w:t>
      </w:r>
      <w:r w:rsidRPr="00317FFD">
        <w:rPr>
          <w:rFonts w:ascii="Arial" w:eastAsia="Arial" w:hAnsi="Arial" w:cs="Arial"/>
        </w:rPr>
        <w:t>fraud</w:t>
      </w:r>
      <w:r w:rsidRPr="00317FFD">
        <w:rPr>
          <w:rFonts w:ascii="Arial" w:eastAsia="Arial" w:hAnsi="Arial" w:cs="Arial"/>
          <w:spacing w:val="-3"/>
        </w:rPr>
        <w:t xml:space="preserve"> </w:t>
      </w:r>
      <w:r w:rsidRPr="00317FFD">
        <w:rPr>
          <w:rFonts w:ascii="Arial" w:eastAsia="Arial" w:hAnsi="Arial" w:cs="Arial"/>
        </w:rPr>
        <w:t>and</w:t>
      </w:r>
      <w:r w:rsidRPr="00317FFD">
        <w:rPr>
          <w:rFonts w:ascii="Arial" w:eastAsia="Arial" w:hAnsi="Arial" w:cs="Arial"/>
          <w:spacing w:val="-3"/>
        </w:rPr>
        <w:t xml:space="preserve"> </w:t>
      </w:r>
      <w:r w:rsidRPr="00317FFD">
        <w:rPr>
          <w:rFonts w:ascii="Arial" w:eastAsia="Arial" w:hAnsi="Arial" w:cs="Arial"/>
        </w:rPr>
        <w:t>System</w:t>
      </w:r>
      <w:r w:rsidRPr="00317FFD">
        <w:rPr>
          <w:rFonts w:ascii="Arial" w:eastAsia="Arial" w:hAnsi="Arial" w:cs="Arial"/>
          <w:spacing w:val="-3"/>
        </w:rPr>
        <w:t xml:space="preserve"> </w:t>
      </w:r>
      <w:r w:rsidRPr="00317FFD">
        <w:rPr>
          <w:rFonts w:ascii="Arial" w:eastAsia="Arial" w:hAnsi="Arial" w:cs="Arial"/>
        </w:rPr>
        <w:t>assets are appropriately safeguarded.</w:t>
      </w:r>
    </w:p>
    <w:p w14:paraId="70CC519B" w14:textId="77777777" w:rsidR="00317FFD" w:rsidRPr="00317FFD" w:rsidRDefault="00317FFD" w:rsidP="00317FFD">
      <w:pPr>
        <w:widowControl w:val="0"/>
        <w:autoSpaceDE w:val="0"/>
        <w:autoSpaceDN w:val="0"/>
        <w:rPr>
          <w:rFonts w:ascii="Arial" w:eastAsia="Arial" w:hAnsi="Arial" w:cs="Arial"/>
        </w:rPr>
      </w:pPr>
    </w:p>
    <w:p w14:paraId="696396A6" w14:textId="77777777" w:rsidR="00317FFD" w:rsidRPr="00317FFD" w:rsidRDefault="00317FFD" w:rsidP="00317FFD">
      <w:pPr>
        <w:widowControl w:val="0"/>
        <w:autoSpaceDE w:val="0"/>
        <w:autoSpaceDN w:val="0"/>
        <w:ind w:right="348"/>
        <w:rPr>
          <w:rFonts w:ascii="Arial" w:eastAsia="Arial" w:hAnsi="Arial" w:cs="Arial"/>
        </w:rPr>
      </w:pPr>
      <w:r w:rsidRPr="00317FFD">
        <w:rPr>
          <w:rFonts w:ascii="Arial" w:eastAsia="Arial" w:hAnsi="Arial" w:cs="Arial"/>
          <w:b/>
        </w:rPr>
        <w:t>Effect:</w:t>
      </w:r>
      <w:r w:rsidRPr="00317FFD">
        <w:rPr>
          <w:rFonts w:ascii="Arial" w:eastAsia="Arial" w:hAnsi="Arial" w:cs="Arial"/>
          <w:b/>
          <w:spacing w:val="-3"/>
        </w:rPr>
        <w:t xml:space="preserve"> </w:t>
      </w:r>
      <w:r w:rsidRPr="00317FFD">
        <w:rPr>
          <w:rFonts w:ascii="Arial" w:eastAsia="Arial" w:hAnsi="Arial" w:cs="Arial"/>
        </w:rPr>
        <w:t>The</w:t>
      </w:r>
      <w:r w:rsidRPr="00317FFD">
        <w:rPr>
          <w:rFonts w:ascii="Arial" w:eastAsia="Arial" w:hAnsi="Arial" w:cs="Arial"/>
          <w:spacing w:val="-3"/>
        </w:rPr>
        <w:t xml:space="preserve"> </w:t>
      </w:r>
      <w:r w:rsidRPr="00317FFD">
        <w:rPr>
          <w:rFonts w:ascii="Arial" w:eastAsia="Arial" w:hAnsi="Arial" w:cs="Arial"/>
        </w:rPr>
        <w:t>current</w:t>
      </w:r>
      <w:r w:rsidRPr="00317FFD">
        <w:rPr>
          <w:rFonts w:ascii="Arial" w:eastAsia="Arial" w:hAnsi="Arial" w:cs="Arial"/>
          <w:spacing w:val="-3"/>
        </w:rPr>
        <w:t xml:space="preserve"> </w:t>
      </w:r>
      <w:r w:rsidRPr="00317FFD">
        <w:rPr>
          <w:rFonts w:ascii="Arial" w:eastAsia="Arial" w:hAnsi="Arial" w:cs="Arial"/>
        </w:rPr>
        <w:t>internal</w:t>
      </w:r>
      <w:r w:rsidRPr="00317FFD">
        <w:rPr>
          <w:rFonts w:ascii="Arial" w:eastAsia="Arial" w:hAnsi="Arial" w:cs="Arial"/>
          <w:spacing w:val="-3"/>
        </w:rPr>
        <w:t xml:space="preserve"> </w:t>
      </w:r>
      <w:r w:rsidRPr="00317FFD">
        <w:rPr>
          <w:rFonts w:ascii="Arial" w:eastAsia="Arial" w:hAnsi="Arial" w:cs="Arial"/>
        </w:rPr>
        <w:t>control</w:t>
      </w:r>
      <w:r w:rsidRPr="00317FFD">
        <w:rPr>
          <w:rFonts w:ascii="Arial" w:eastAsia="Arial" w:hAnsi="Arial" w:cs="Arial"/>
          <w:spacing w:val="-4"/>
        </w:rPr>
        <w:t xml:space="preserve"> </w:t>
      </w:r>
      <w:r w:rsidRPr="00317FFD">
        <w:rPr>
          <w:rFonts w:ascii="Arial" w:eastAsia="Arial" w:hAnsi="Arial" w:cs="Arial"/>
        </w:rPr>
        <w:t>structure</w:t>
      </w:r>
      <w:r w:rsidRPr="00317FFD">
        <w:rPr>
          <w:rFonts w:ascii="Arial" w:eastAsia="Arial" w:hAnsi="Arial" w:cs="Arial"/>
          <w:spacing w:val="-3"/>
        </w:rPr>
        <w:t xml:space="preserve"> </w:t>
      </w:r>
      <w:r w:rsidRPr="00317FFD">
        <w:rPr>
          <w:rFonts w:ascii="Arial" w:eastAsia="Arial" w:hAnsi="Arial" w:cs="Arial"/>
        </w:rPr>
        <w:t>may</w:t>
      </w:r>
      <w:r w:rsidRPr="00317FFD">
        <w:rPr>
          <w:rFonts w:ascii="Arial" w:eastAsia="Arial" w:hAnsi="Arial" w:cs="Arial"/>
          <w:spacing w:val="-3"/>
        </w:rPr>
        <w:t xml:space="preserve"> </w:t>
      </w:r>
      <w:r w:rsidRPr="00317FFD">
        <w:rPr>
          <w:rFonts w:ascii="Arial" w:eastAsia="Arial" w:hAnsi="Arial" w:cs="Arial"/>
        </w:rPr>
        <w:t>not</w:t>
      </w:r>
      <w:r w:rsidRPr="00317FFD">
        <w:rPr>
          <w:rFonts w:ascii="Arial" w:eastAsia="Arial" w:hAnsi="Arial" w:cs="Arial"/>
          <w:spacing w:val="-3"/>
        </w:rPr>
        <w:t xml:space="preserve"> </w:t>
      </w:r>
      <w:r w:rsidRPr="00317FFD">
        <w:rPr>
          <w:rFonts w:ascii="Arial" w:eastAsia="Arial" w:hAnsi="Arial" w:cs="Arial"/>
        </w:rPr>
        <w:t>timely</w:t>
      </w:r>
      <w:r w:rsidRPr="00317FFD">
        <w:rPr>
          <w:rFonts w:ascii="Arial" w:eastAsia="Arial" w:hAnsi="Arial" w:cs="Arial"/>
          <w:spacing w:val="-3"/>
        </w:rPr>
        <w:t xml:space="preserve"> </w:t>
      </w:r>
      <w:r w:rsidRPr="00317FFD">
        <w:rPr>
          <w:rFonts w:ascii="Arial" w:eastAsia="Arial" w:hAnsi="Arial" w:cs="Arial"/>
        </w:rPr>
        <w:t>identify</w:t>
      </w:r>
      <w:r w:rsidRPr="00317FFD">
        <w:rPr>
          <w:rFonts w:ascii="Arial" w:eastAsia="Arial" w:hAnsi="Arial" w:cs="Arial"/>
          <w:spacing w:val="-4"/>
        </w:rPr>
        <w:t xml:space="preserve"> </w:t>
      </w:r>
      <w:r w:rsidRPr="00317FFD">
        <w:rPr>
          <w:rFonts w:ascii="Arial" w:eastAsia="Arial" w:hAnsi="Arial" w:cs="Arial"/>
        </w:rPr>
        <w:t>wire</w:t>
      </w:r>
      <w:r w:rsidRPr="00317FFD">
        <w:rPr>
          <w:rFonts w:ascii="Arial" w:eastAsia="Arial" w:hAnsi="Arial" w:cs="Arial"/>
          <w:spacing w:val="-3"/>
        </w:rPr>
        <w:t xml:space="preserve"> </w:t>
      </w:r>
      <w:r w:rsidRPr="00317FFD">
        <w:rPr>
          <w:rFonts w:ascii="Arial" w:eastAsia="Arial" w:hAnsi="Arial" w:cs="Arial"/>
        </w:rPr>
        <w:t>transfers</w:t>
      </w:r>
      <w:r w:rsidRPr="00317FFD">
        <w:rPr>
          <w:rFonts w:ascii="Arial" w:eastAsia="Arial" w:hAnsi="Arial" w:cs="Arial"/>
          <w:spacing w:val="-3"/>
        </w:rPr>
        <w:t xml:space="preserve"> </w:t>
      </w:r>
      <w:r w:rsidRPr="00317FFD">
        <w:rPr>
          <w:rFonts w:ascii="Arial" w:eastAsia="Arial" w:hAnsi="Arial" w:cs="Arial"/>
        </w:rPr>
        <w:t>made</w:t>
      </w:r>
      <w:r w:rsidRPr="00317FFD">
        <w:rPr>
          <w:rFonts w:ascii="Arial" w:eastAsia="Arial" w:hAnsi="Arial" w:cs="Arial"/>
          <w:spacing w:val="-3"/>
        </w:rPr>
        <w:t xml:space="preserve"> </w:t>
      </w:r>
      <w:r w:rsidRPr="00317FFD">
        <w:rPr>
          <w:rFonts w:ascii="Arial" w:eastAsia="Arial" w:hAnsi="Arial" w:cs="Arial"/>
        </w:rPr>
        <w:t>to</w:t>
      </w:r>
      <w:r w:rsidRPr="00317FFD">
        <w:rPr>
          <w:rFonts w:ascii="Arial" w:eastAsia="Arial" w:hAnsi="Arial" w:cs="Arial"/>
          <w:spacing w:val="-3"/>
        </w:rPr>
        <w:t xml:space="preserve"> </w:t>
      </w:r>
      <w:r w:rsidRPr="00317FFD">
        <w:rPr>
          <w:rFonts w:ascii="Arial" w:eastAsia="Arial" w:hAnsi="Arial" w:cs="Arial"/>
        </w:rPr>
        <w:t>an incorrect bank account.</w:t>
      </w:r>
    </w:p>
    <w:p w14:paraId="2C975B83" w14:textId="77777777" w:rsidR="00317FFD" w:rsidRPr="00317FFD" w:rsidRDefault="00317FFD" w:rsidP="00317FFD">
      <w:pPr>
        <w:widowControl w:val="0"/>
        <w:autoSpaceDE w:val="0"/>
        <w:autoSpaceDN w:val="0"/>
        <w:spacing w:before="11"/>
        <w:rPr>
          <w:rFonts w:ascii="Arial" w:eastAsia="Arial" w:hAnsi="Arial" w:cs="Arial"/>
          <w:sz w:val="21"/>
        </w:rPr>
      </w:pPr>
    </w:p>
    <w:p w14:paraId="459E7812" w14:textId="77777777" w:rsidR="00317FFD" w:rsidRPr="00317FFD" w:rsidRDefault="00317FFD" w:rsidP="00317FFD">
      <w:pPr>
        <w:widowControl w:val="0"/>
        <w:autoSpaceDE w:val="0"/>
        <w:autoSpaceDN w:val="0"/>
        <w:rPr>
          <w:rFonts w:ascii="Arial" w:eastAsia="Arial" w:hAnsi="Arial" w:cs="Arial"/>
        </w:rPr>
      </w:pPr>
      <w:r w:rsidRPr="00317FFD">
        <w:rPr>
          <w:rFonts w:ascii="Arial" w:eastAsia="Arial" w:hAnsi="Arial" w:cs="Arial"/>
          <w:b/>
        </w:rPr>
        <w:t>Cause:</w:t>
      </w:r>
      <w:r w:rsidRPr="00317FFD">
        <w:rPr>
          <w:rFonts w:ascii="Arial" w:eastAsia="Arial" w:hAnsi="Arial" w:cs="Arial"/>
          <w:b/>
          <w:spacing w:val="40"/>
        </w:rPr>
        <w:t xml:space="preserve"> </w:t>
      </w:r>
      <w:r w:rsidRPr="00317FFD">
        <w:rPr>
          <w:rFonts w:ascii="Arial" w:eastAsia="Arial" w:hAnsi="Arial" w:cs="Arial"/>
        </w:rPr>
        <w:t>The</w:t>
      </w:r>
      <w:r w:rsidRPr="00317FFD">
        <w:rPr>
          <w:rFonts w:ascii="Arial" w:eastAsia="Arial" w:hAnsi="Arial" w:cs="Arial"/>
          <w:spacing w:val="-3"/>
        </w:rPr>
        <w:t xml:space="preserve"> </w:t>
      </w:r>
      <w:r w:rsidRPr="00317FFD">
        <w:rPr>
          <w:rFonts w:ascii="Arial" w:eastAsia="Arial" w:hAnsi="Arial" w:cs="Arial"/>
        </w:rPr>
        <w:t>System</w:t>
      </w:r>
      <w:r w:rsidRPr="00317FFD">
        <w:rPr>
          <w:rFonts w:ascii="Arial" w:eastAsia="Arial" w:hAnsi="Arial" w:cs="Arial"/>
          <w:spacing w:val="-3"/>
        </w:rPr>
        <w:t xml:space="preserve"> </w:t>
      </w:r>
      <w:r w:rsidRPr="00317FFD">
        <w:rPr>
          <w:rFonts w:ascii="Arial" w:eastAsia="Arial" w:hAnsi="Arial" w:cs="Arial"/>
        </w:rPr>
        <w:t>does</w:t>
      </w:r>
      <w:r w:rsidRPr="00317FFD">
        <w:rPr>
          <w:rFonts w:ascii="Arial" w:eastAsia="Arial" w:hAnsi="Arial" w:cs="Arial"/>
          <w:spacing w:val="-3"/>
        </w:rPr>
        <w:t xml:space="preserve"> </w:t>
      </w:r>
      <w:r w:rsidRPr="00317FFD">
        <w:rPr>
          <w:rFonts w:ascii="Arial" w:eastAsia="Arial" w:hAnsi="Arial" w:cs="Arial"/>
        </w:rPr>
        <w:t>not</w:t>
      </w:r>
      <w:r w:rsidRPr="00317FFD">
        <w:rPr>
          <w:rFonts w:ascii="Arial" w:eastAsia="Arial" w:hAnsi="Arial" w:cs="Arial"/>
          <w:spacing w:val="-3"/>
        </w:rPr>
        <w:t xml:space="preserve"> </w:t>
      </w:r>
      <w:r w:rsidRPr="00317FFD">
        <w:rPr>
          <w:rFonts w:ascii="Arial" w:eastAsia="Arial" w:hAnsi="Arial" w:cs="Arial"/>
        </w:rPr>
        <w:t>have</w:t>
      </w:r>
      <w:r w:rsidRPr="00317FFD">
        <w:rPr>
          <w:rFonts w:ascii="Arial" w:eastAsia="Arial" w:hAnsi="Arial" w:cs="Arial"/>
          <w:spacing w:val="-4"/>
        </w:rPr>
        <w:t xml:space="preserve"> </w:t>
      </w:r>
      <w:r w:rsidRPr="00317FFD">
        <w:rPr>
          <w:rFonts w:ascii="Arial" w:eastAsia="Arial" w:hAnsi="Arial" w:cs="Arial"/>
        </w:rPr>
        <w:t>formally</w:t>
      </w:r>
      <w:r w:rsidRPr="00317FFD">
        <w:rPr>
          <w:rFonts w:ascii="Arial" w:eastAsia="Arial" w:hAnsi="Arial" w:cs="Arial"/>
          <w:spacing w:val="-3"/>
        </w:rPr>
        <w:t xml:space="preserve"> </w:t>
      </w:r>
      <w:r w:rsidRPr="00317FFD">
        <w:rPr>
          <w:rFonts w:ascii="Arial" w:eastAsia="Arial" w:hAnsi="Arial" w:cs="Arial"/>
        </w:rPr>
        <w:t>documented</w:t>
      </w:r>
      <w:r w:rsidRPr="00317FFD">
        <w:rPr>
          <w:rFonts w:ascii="Arial" w:eastAsia="Arial" w:hAnsi="Arial" w:cs="Arial"/>
          <w:spacing w:val="-3"/>
        </w:rPr>
        <w:t xml:space="preserve"> </w:t>
      </w:r>
      <w:r w:rsidRPr="00317FFD">
        <w:rPr>
          <w:rFonts w:ascii="Arial" w:eastAsia="Arial" w:hAnsi="Arial" w:cs="Arial"/>
        </w:rPr>
        <w:t>policies</w:t>
      </w:r>
      <w:r w:rsidRPr="00317FFD">
        <w:rPr>
          <w:rFonts w:ascii="Arial" w:eastAsia="Arial" w:hAnsi="Arial" w:cs="Arial"/>
          <w:spacing w:val="-3"/>
        </w:rPr>
        <w:t xml:space="preserve"> </w:t>
      </w:r>
      <w:r w:rsidRPr="00317FFD">
        <w:rPr>
          <w:rFonts w:ascii="Arial" w:eastAsia="Arial" w:hAnsi="Arial" w:cs="Arial"/>
        </w:rPr>
        <w:t>and</w:t>
      </w:r>
      <w:r w:rsidRPr="00317FFD">
        <w:rPr>
          <w:rFonts w:ascii="Arial" w:eastAsia="Arial" w:hAnsi="Arial" w:cs="Arial"/>
          <w:spacing w:val="-4"/>
        </w:rPr>
        <w:t xml:space="preserve"> </w:t>
      </w:r>
      <w:r w:rsidRPr="00317FFD">
        <w:rPr>
          <w:rFonts w:ascii="Arial" w:eastAsia="Arial" w:hAnsi="Arial" w:cs="Arial"/>
        </w:rPr>
        <w:t>controls</w:t>
      </w:r>
      <w:r w:rsidRPr="00317FFD">
        <w:rPr>
          <w:rFonts w:ascii="Arial" w:eastAsia="Arial" w:hAnsi="Arial" w:cs="Arial"/>
          <w:spacing w:val="-3"/>
        </w:rPr>
        <w:t xml:space="preserve"> </w:t>
      </w:r>
      <w:r w:rsidRPr="00317FFD">
        <w:rPr>
          <w:rFonts w:ascii="Arial" w:eastAsia="Arial" w:hAnsi="Arial" w:cs="Arial"/>
        </w:rPr>
        <w:t>regarding</w:t>
      </w:r>
      <w:r w:rsidRPr="00317FFD">
        <w:rPr>
          <w:rFonts w:ascii="Arial" w:eastAsia="Arial" w:hAnsi="Arial" w:cs="Arial"/>
          <w:spacing w:val="-3"/>
        </w:rPr>
        <w:t xml:space="preserve"> </w:t>
      </w:r>
      <w:r w:rsidRPr="00317FFD">
        <w:rPr>
          <w:rFonts w:ascii="Arial" w:eastAsia="Arial" w:hAnsi="Arial" w:cs="Arial"/>
        </w:rPr>
        <w:t>the authentication of vendor banking information.</w:t>
      </w:r>
    </w:p>
    <w:p w14:paraId="6B712F51" w14:textId="77777777" w:rsidR="00317FFD" w:rsidRPr="00317FFD" w:rsidRDefault="00317FFD" w:rsidP="00317FFD">
      <w:pPr>
        <w:widowControl w:val="0"/>
        <w:autoSpaceDE w:val="0"/>
        <w:autoSpaceDN w:val="0"/>
        <w:rPr>
          <w:rFonts w:ascii="Arial" w:eastAsia="Arial" w:hAnsi="Arial" w:cs="Arial"/>
        </w:rPr>
      </w:pPr>
    </w:p>
    <w:p w14:paraId="70311C07" w14:textId="77777777" w:rsidR="00317FFD" w:rsidRPr="00317FFD" w:rsidRDefault="00317FFD" w:rsidP="00317FFD">
      <w:pPr>
        <w:widowControl w:val="0"/>
        <w:autoSpaceDE w:val="0"/>
        <w:autoSpaceDN w:val="0"/>
        <w:ind w:right="348"/>
        <w:rPr>
          <w:rFonts w:ascii="Arial" w:eastAsia="Arial" w:hAnsi="Arial" w:cs="Arial"/>
        </w:rPr>
      </w:pPr>
      <w:r w:rsidRPr="00317FFD">
        <w:rPr>
          <w:rFonts w:ascii="Arial" w:eastAsia="Arial" w:hAnsi="Arial" w:cs="Arial"/>
          <w:b/>
        </w:rPr>
        <w:t>Recommendation:</w:t>
      </w:r>
      <w:r w:rsidRPr="00317FFD">
        <w:rPr>
          <w:rFonts w:ascii="Arial" w:eastAsia="Arial" w:hAnsi="Arial" w:cs="Arial"/>
          <w:b/>
          <w:spacing w:val="-4"/>
        </w:rPr>
        <w:t xml:space="preserve"> </w:t>
      </w:r>
      <w:r w:rsidRPr="00317FFD">
        <w:rPr>
          <w:rFonts w:ascii="Arial" w:eastAsia="Arial" w:hAnsi="Arial" w:cs="Arial"/>
        </w:rPr>
        <w:t>The</w:t>
      </w:r>
      <w:r w:rsidRPr="00317FFD">
        <w:rPr>
          <w:rFonts w:ascii="Arial" w:eastAsia="Arial" w:hAnsi="Arial" w:cs="Arial"/>
          <w:spacing w:val="-4"/>
        </w:rPr>
        <w:t xml:space="preserve"> </w:t>
      </w:r>
      <w:r w:rsidRPr="00317FFD">
        <w:rPr>
          <w:rFonts w:ascii="Arial" w:eastAsia="Arial" w:hAnsi="Arial" w:cs="Arial"/>
        </w:rPr>
        <w:t>System</w:t>
      </w:r>
      <w:r w:rsidRPr="00317FFD">
        <w:rPr>
          <w:rFonts w:ascii="Arial" w:eastAsia="Arial" w:hAnsi="Arial" w:cs="Arial"/>
          <w:spacing w:val="-4"/>
        </w:rPr>
        <w:t xml:space="preserve"> </w:t>
      </w:r>
      <w:r w:rsidRPr="00317FFD">
        <w:rPr>
          <w:rFonts w:ascii="Arial" w:eastAsia="Arial" w:hAnsi="Arial" w:cs="Arial"/>
        </w:rPr>
        <w:t>should</w:t>
      </w:r>
      <w:r w:rsidRPr="00317FFD">
        <w:rPr>
          <w:rFonts w:ascii="Arial" w:eastAsia="Arial" w:hAnsi="Arial" w:cs="Arial"/>
          <w:spacing w:val="-4"/>
        </w:rPr>
        <w:t xml:space="preserve"> </w:t>
      </w:r>
      <w:r w:rsidRPr="00317FFD">
        <w:rPr>
          <w:rFonts w:ascii="Arial" w:eastAsia="Arial" w:hAnsi="Arial" w:cs="Arial"/>
        </w:rPr>
        <w:t>evaluate</w:t>
      </w:r>
      <w:r w:rsidRPr="00317FFD">
        <w:rPr>
          <w:rFonts w:ascii="Arial" w:eastAsia="Arial" w:hAnsi="Arial" w:cs="Arial"/>
          <w:spacing w:val="-5"/>
        </w:rPr>
        <w:t xml:space="preserve"> </w:t>
      </w:r>
      <w:r w:rsidRPr="00317FFD">
        <w:rPr>
          <w:rFonts w:ascii="Arial" w:eastAsia="Arial" w:hAnsi="Arial" w:cs="Arial"/>
        </w:rPr>
        <w:t>their</w:t>
      </w:r>
      <w:r w:rsidRPr="00317FFD">
        <w:rPr>
          <w:rFonts w:ascii="Arial" w:eastAsia="Arial" w:hAnsi="Arial" w:cs="Arial"/>
          <w:spacing w:val="-4"/>
        </w:rPr>
        <w:t xml:space="preserve"> </w:t>
      </w:r>
      <w:r w:rsidRPr="00317FFD">
        <w:rPr>
          <w:rFonts w:ascii="Arial" w:eastAsia="Arial" w:hAnsi="Arial" w:cs="Arial"/>
        </w:rPr>
        <w:t>processes</w:t>
      </w:r>
      <w:r w:rsidRPr="00317FFD">
        <w:rPr>
          <w:rFonts w:ascii="Arial" w:eastAsia="Arial" w:hAnsi="Arial" w:cs="Arial"/>
          <w:spacing w:val="-4"/>
        </w:rPr>
        <w:t xml:space="preserve"> </w:t>
      </w:r>
      <w:r w:rsidRPr="00317FFD">
        <w:rPr>
          <w:rFonts w:ascii="Arial" w:eastAsia="Arial" w:hAnsi="Arial" w:cs="Arial"/>
        </w:rPr>
        <w:t>and</w:t>
      </w:r>
      <w:r w:rsidRPr="00317FFD">
        <w:rPr>
          <w:rFonts w:ascii="Arial" w:eastAsia="Arial" w:hAnsi="Arial" w:cs="Arial"/>
          <w:spacing w:val="-4"/>
        </w:rPr>
        <w:t xml:space="preserve"> </w:t>
      </w:r>
      <w:r w:rsidRPr="00317FFD">
        <w:rPr>
          <w:rFonts w:ascii="Arial" w:eastAsia="Arial" w:hAnsi="Arial" w:cs="Arial"/>
        </w:rPr>
        <w:t>controls</w:t>
      </w:r>
      <w:r w:rsidRPr="00317FFD">
        <w:rPr>
          <w:rFonts w:ascii="Arial" w:eastAsia="Arial" w:hAnsi="Arial" w:cs="Arial"/>
          <w:spacing w:val="-4"/>
        </w:rPr>
        <w:t xml:space="preserve"> </w:t>
      </w:r>
      <w:r w:rsidRPr="00317FFD">
        <w:rPr>
          <w:rFonts w:ascii="Arial" w:eastAsia="Arial" w:hAnsi="Arial" w:cs="Arial"/>
        </w:rPr>
        <w:t>surrounding</w:t>
      </w:r>
      <w:r w:rsidRPr="00317FFD">
        <w:rPr>
          <w:rFonts w:ascii="Arial" w:eastAsia="Arial" w:hAnsi="Arial" w:cs="Arial"/>
          <w:spacing w:val="-4"/>
        </w:rPr>
        <w:t xml:space="preserve"> </w:t>
      </w:r>
      <w:r w:rsidRPr="00317FFD">
        <w:rPr>
          <w:rFonts w:ascii="Arial" w:eastAsia="Arial" w:hAnsi="Arial" w:cs="Arial"/>
        </w:rPr>
        <w:t>wire transfers to determine if additional controls can be implemented.</w:t>
      </w:r>
    </w:p>
    <w:p w14:paraId="270D1E13" w14:textId="77777777" w:rsidR="00317FFD" w:rsidRPr="00317FFD" w:rsidRDefault="00317FFD" w:rsidP="00317FFD">
      <w:pPr>
        <w:widowControl w:val="0"/>
        <w:autoSpaceDE w:val="0"/>
        <w:autoSpaceDN w:val="0"/>
        <w:rPr>
          <w:rFonts w:ascii="Arial" w:eastAsia="Arial" w:hAnsi="Arial" w:cs="Arial"/>
        </w:rPr>
      </w:pPr>
    </w:p>
    <w:p w14:paraId="3D47772D" w14:textId="77777777" w:rsidR="00317FFD" w:rsidRPr="00317FFD" w:rsidRDefault="00317FFD" w:rsidP="00317FFD">
      <w:pPr>
        <w:widowControl w:val="0"/>
        <w:autoSpaceDE w:val="0"/>
        <w:autoSpaceDN w:val="0"/>
        <w:ind w:right="36"/>
        <w:rPr>
          <w:rFonts w:ascii="Arial" w:eastAsia="Arial" w:hAnsi="Arial" w:cs="Arial"/>
        </w:rPr>
      </w:pPr>
      <w:r w:rsidRPr="00317FFD">
        <w:rPr>
          <w:rFonts w:ascii="Arial" w:eastAsia="Arial" w:hAnsi="Arial" w:cs="Arial"/>
          <w:b/>
        </w:rPr>
        <w:t>Views</w:t>
      </w:r>
      <w:r w:rsidRPr="00317FFD">
        <w:rPr>
          <w:rFonts w:ascii="Arial" w:eastAsia="Arial" w:hAnsi="Arial" w:cs="Arial"/>
          <w:b/>
          <w:spacing w:val="-4"/>
        </w:rPr>
        <w:t xml:space="preserve"> </w:t>
      </w:r>
      <w:r w:rsidRPr="00317FFD">
        <w:rPr>
          <w:rFonts w:ascii="Arial" w:eastAsia="Arial" w:hAnsi="Arial" w:cs="Arial"/>
          <w:b/>
        </w:rPr>
        <w:t>of</w:t>
      </w:r>
      <w:r w:rsidRPr="00317FFD">
        <w:rPr>
          <w:rFonts w:ascii="Arial" w:eastAsia="Arial" w:hAnsi="Arial" w:cs="Arial"/>
          <w:b/>
          <w:spacing w:val="-4"/>
        </w:rPr>
        <w:t xml:space="preserve"> </w:t>
      </w:r>
      <w:r w:rsidRPr="00317FFD">
        <w:rPr>
          <w:rFonts w:ascii="Arial" w:eastAsia="Arial" w:hAnsi="Arial" w:cs="Arial"/>
          <w:b/>
        </w:rPr>
        <w:t>Reasonable</w:t>
      </w:r>
      <w:r w:rsidRPr="00317FFD">
        <w:rPr>
          <w:rFonts w:ascii="Arial" w:eastAsia="Arial" w:hAnsi="Arial" w:cs="Arial"/>
          <w:b/>
          <w:spacing w:val="-4"/>
        </w:rPr>
        <w:t xml:space="preserve"> </w:t>
      </w:r>
      <w:r w:rsidRPr="00317FFD">
        <w:rPr>
          <w:rFonts w:ascii="Arial" w:eastAsia="Arial" w:hAnsi="Arial" w:cs="Arial"/>
          <w:b/>
        </w:rPr>
        <w:t>Officials</w:t>
      </w:r>
      <w:r w:rsidRPr="00317FFD">
        <w:rPr>
          <w:rFonts w:ascii="Arial" w:eastAsia="Arial" w:hAnsi="Arial" w:cs="Arial"/>
          <w:b/>
          <w:spacing w:val="-4"/>
        </w:rPr>
        <w:t xml:space="preserve"> </w:t>
      </w:r>
      <w:r w:rsidRPr="00317FFD">
        <w:rPr>
          <w:rFonts w:ascii="Arial" w:eastAsia="Arial" w:hAnsi="Arial" w:cs="Arial"/>
          <w:b/>
        </w:rPr>
        <w:t>and</w:t>
      </w:r>
      <w:r w:rsidRPr="00317FFD">
        <w:rPr>
          <w:rFonts w:ascii="Arial" w:eastAsia="Arial" w:hAnsi="Arial" w:cs="Arial"/>
          <w:b/>
          <w:spacing w:val="-4"/>
        </w:rPr>
        <w:t xml:space="preserve"> </w:t>
      </w:r>
      <w:r w:rsidRPr="00317FFD">
        <w:rPr>
          <w:rFonts w:ascii="Arial" w:eastAsia="Arial" w:hAnsi="Arial" w:cs="Arial"/>
          <w:b/>
        </w:rPr>
        <w:t>Planned</w:t>
      </w:r>
      <w:r w:rsidRPr="00317FFD">
        <w:rPr>
          <w:rFonts w:ascii="Arial" w:eastAsia="Arial" w:hAnsi="Arial" w:cs="Arial"/>
          <w:b/>
          <w:spacing w:val="-4"/>
        </w:rPr>
        <w:t xml:space="preserve"> </w:t>
      </w:r>
      <w:r w:rsidRPr="00317FFD">
        <w:rPr>
          <w:rFonts w:ascii="Arial" w:eastAsia="Arial" w:hAnsi="Arial" w:cs="Arial"/>
          <w:b/>
        </w:rPr>
        <w:t>Corrective</w:t>
      </w:r>
      <w:r w:rsidRPr="00317FFD">
        <w:rPr>
          <w:rFonts w:ascii="Arial" w:eastAsia="Arial" w:hAnsi="Arial" w:cs="Arial"/>
          <w:b/>
          <w:spacing w:val="-3"/>
        </w:rPr>
        <w:t xml:space="preserve"> </w:t>
      </w:r>
      <w:r w:rsidRPr="00317FFD">
        <w:rPr>
          <w:rFonts w:ascii="Arial" w:eastAsia="Arial" w:hAnsi="Arial" w:cs="Arial"/>
          <w:b/>
        </w:rPr>
        <w:t>Action:</w:t>
      </w:r>
      <w:r w:rsidRPr="00317FFD">
        <w:rPr>
          <w:rFonts w:ascii="Arial" w:eastAsia="Arial" w:hAnsi="Arial" w:cs="Arial"/>
          <w:b/>
          <w:spacing w:val="-4"/>
        </w:rPr>
        <w:t xml:space="preserve"> </w:t>
      </w:r>
      <w:r w:rsidRPr="00317FFD">
        <w:rPr>
          <w:rFonts w:ascii="Arial" w:eastAsia="Arial" w:hAnsi="Arial" w:cs="Arial"/>
        </w:rPr>
        <w:t>System</w:t>
      </w:r>
      <w:r w:rsidRPr="00317FFD">
        <w:rPr>
          <w:rFonts w:ascii="Arial" w:eastAsia="Arial" w:hAnsi="Arial" w:cs="Arial"/>
          <w:spacing w:val="-4"/>
        </w:rPr>
        <w:t xml:space="preserve"> </w:t>
      </w:r>
      <w:r w:rsidRPr="00317FFD">
        <w:rPr>
          <w:rFonts w:ascii="Arial" w:eastAsia="Arial" w:hAnsi="Arial" w:cs="Arial"/>
        </w:rPr>
        <w:t>management</w:t>
      </w:r>
      <w:r w:rsidRPr="00317FFD">
        <w:rPr>
          <w:rFonts w:ascii="Arial" w:eastAsia="Arial" w:hAnsi="Arial" w:cs="Arial"/>
          <w:spacing w:val="-4"/>
        </w:rPr>
        <w:t xml:space="preserve"> </w:t>
      </w:r>
      <w:r w:rsidRPr="00317FFD">
        <w:rPr>
          <w:rFonts w:ascii="Arial" w:eastAsia="Arial" w:hAnsi="Arial" w:cs="Arial"/>
        </w:rPr>
        <w:t>agrees</w:t>
      </w:r>
      <w:r w:rsidRPr="00317FFD">
        <w:rPr>
          <w:rFonts w:ascii="Arial" w:eastAsia="Arial" w:hAnsi="Arial" w:cs="Arial"/>
          <w:spacing w:val="-4"/>
        </w:rPr>
        <w:t xml:space="preserve"> </w:t>
      </w:r>
      <w:r w:rsidRPr="00317FFD">
        <w:rPr>
          <w:rFonts w:ascii="Arial" w:eastAsia="Arial" w:hAnsi="Arial" w:cs="Arial"/>
        </w:rPr>
        <w:t>with the finding and is reviewing its procurement and wire payment process to identify weaknesses and strengthen its internal control structure.</w:t>
      </w:r>
      <w:r w:rsidRPr="00317FFD">
        <w:rPr>
          <w:rFonts w:ascii="Arial" w:eastAsia="Arial" w:hAnsi="Arial" w:cs="Arial"/>
          <w:spacing w:val="40"/>
        </w:rPr>
        <w:t xml:space="preserve"> </w:t>
      </w:r>
      <w:r w:rsidRPr="00317FFD">
        <w:rPr>
          <w:rFonts w:ascii="Arial" w:eastAsia="Arial" w:hAnsi="Arial" w:cs="Arial"/>
        </w:rPr>
        <w:t>The System's Organizational Effectiveness Office and an outside consulting firm is assisting with this review.</w:t>
      </w:r>
    </w:p>
    <w:p w14:paraId="102A50FE" w14:textId="1DCAF505" w:rsidR="00CD64DF" w:rsidRDefault="00CD64DF">
      <w:pPr>
        <w:spacing w:after="160" w:line="259" w:lineRule="auto"/>
        <w:rPr>
          <w:rFonts w:ascii="Arial" w:eastAsia="Arial" w:hAnsi="Arial" w:cs="Times New Roman"/>
        </w:rPr>
      </w:pPr>
    </w:p>
    <w:sectPr w:rsidR="00CD64DF" w:rsidSect="00317FFD">
      <w:type w:val="continuous"/>
      <w:pgSz w:w="12240" w:h="15840" w:code="1"/>
      <w:pgMar w:top="1440" w:right="1152" w:bottom="1440" w:left="1152" w:header="720" w:footer="97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58A97" w14:textId="77777777" w:rsidR="00185B1B" w:rsidRDefault="00185B1B">
      <w:r>
        <w:separator/>
      </w:r>
    </w:p>
  </w:endnote>
  <w:endnote w:type="continuationSeparator" w:id="0">
    <w:p w14:paraId="39A6ECEC" w14:textId="77777777" w:rsidR="00185B1B" w:rsidRDefault="00185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270D" w14:textId="77777777" w:rsidR="00185B1B" w:rsidRPr="00176957" w:rsidRDefault="00185B1B" w:rsidP="007B5BB3">
    <w:pPr>
      <w:pStyle w:val="Footer"/>
      <w:jc w:val="right"/>
      <w:rPr>
        <w:rFonts w:ascii="Calibri" w:hAnsi="Calibri"/>
        <w:sz w:val="2"/>
      </w:rPr>
    </w:pPr>
  </w:p>
  <w:p w14:paraId="67C7C7FB" w14:textId="490920B3" w:rsidR="00185B1B" w:rsidRPr="00C233B6" w:rsidRDefault="00185B1B" w:rsidP="007B5BB3">
    <w:pPr>
      <w:pStyle w:val="Heading7"/>
      <w:pBdr>
        <w:top w:val="none" w:sz="0" w:space="0" w:color="auto"/>
      </w:pBdr>
    </w:pPr>
    <w:r w:rsidRPr="00C233B6">
      <w:t>|</w:t>
    </w:r>
    <w:r>
      <w:t xml:space="preserve"> </w:t>
    </w:r>
    <w:r w:rsidRPr="00C233B6">
      <w:fldChar w:fldCharType="begin"/>
    </w:r>
    <w:r w:rsidRPr="00C233B6">
      <w:instrText xml:space="preserve"> PAGE   \* MERGEFORMAT </w:instrText>
    </w:r>
    <w:r w:rsidRPr="00C233B6">
      <w:fldChar w:fldCharType="separate"/>
    </w:r>
    <w:r>
      <w:rPr>
        <w:noProof/>
      </w:rPr>
      <w:t>2</w:t>
    </w:r>
    <w:r w:rsidRPr="00C233B6">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716DA" w14:textId="61599B2E" w:rsidR="00185B1B" w:rsidRPr="001C0A99" w:rsidRDefault="00185B1B" w:rsidP="007B5BB3">
    <w:pPr>
      <w:pStyle w:val="Heading7"/>
      <w:pBdr>
        <w:top w:val="single" w:sz="18" w:space="1" w:color="00688D"/>
      </w:pBdr>
      <w:tabs>
        <w:tab w:val="clear" w:pos="720"/>
        <w:tab w:val="clear" w:pos="1440"/>
        <w:tab w:val="clear" w:pos="4262"/>
        <w:tab w:val="clear" w:pos="5220"/>
        <w:tab w:val="clear" w:pos="6691"/>
        <w:tab w:val="clear" w:pos="7621"/>
        <w:tab w:val="left" w:pos="0"/>
        <w:tab w:val="left" w:pos="12960"/>
      </w:tabs>
      <w:ind w:left="0" w:firstLine="0"/>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22</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4237A6">
      <w:rPr>
        <w:noProof/>
        <w:sz w:val="20"/>
      </w:rPr>
      <w:t>59</w:t>
    </w:r>
    <w:r w:rsidRPr="003571FF">
      <w:rPr>
        <w:noProof/>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3964" w14:textId="77777777" w:rsidR="00185B1B" w:rsidRDefault="00185B1B" w:rsidP="004260BF">
    <w:pPr>
      <w:jc w:val="center"/>
    </w:pPr>
    <w:r w:rsidRPr="00840745">
      <w:rPr>
        <w:sz w:val="20"/>
      </w:rPr>
      <w:t>See accompanying notes to the basic financial statements.</w:t>
    </w:r>
  </w:p>
  <w:p w14:paraId="74B85FB7" w14:textId="58CA451A" w:rsidR="00185B1B" w:rsidRPr="003571FF" w:rsidRDefault="00185B1B" w:rsidP="004260BF">
    <w:pPr>
      <w:pStyle w:val="Heading7"/>
      <w:pBdr>
        <w:top w:val="single" w:sz="18" w:space="1" w:color="00688D"/>
      </w:pBdr>
      <w:tabs>
        <w:tab w:val="clear" w:pos="720"/>
        <w:tab w:val="clear" w:pos="1440"/>
        <w:tab w:val="clear" w:pos="4262"/>
        <w:tab w:val="clear" w:pos="5220"/>
        <w:tab w:val="clear" w:pos="6691"/>
        <w:tab w:val="clear" w:pos="7621"/>
        <w:tab w:val="left" w:pos="0"/>
        <w:tab w:val="left" w:pos="12960"/>
      </w:tabs>
      <w:ind w:left="0" w:firstLine="0"/>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22</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4237A6">
      <w:rPr>
        <w:noProof/>
        <w:sz w:val="20"/>
      </w:rPr>
      <w:t>48</w:t>
    </w:r>
    <w:r w:rsidRPr="003571FF">
      <w:rPr>
        <w:noProof/>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E286" w14:textId="486FAEB0" w:rsidR="00185B1B" w:rsidRDefault="00185B1B" w:rsidP="004260BF">
    <w:pPr>
      <w:jc w:val="center"/>
    </w:pPr>
  </w:p>
  <w:p w14:paraId="6FC3096A" w14:textId="4440A066" w:rsidR="00185B1B" w:rsidRPr="003571FF" w:rsidRDefault="00185B1B" w:rsidP="004260BF">
    <w:pPr>
      <w:pStyle w:val="Heading7"/>
      <w:pBdr>
        <w:top w:val="single" w:sz="18" w:space="1" w:color="00688D"/>
      </w:pBdr>
      <w:tabs>
        <w:tab w:val="clear" w:pos="720"/>
        <w:tab w:val="clear" w:pos="1440"/>
        <w:tab w:val="clear" w:pos="4262"/>
        <w:tab w:val="clear" w:pos="5220"/>
        <w:tab w:val="clear" w:pos="6691"/>
        <w:tab w:val="clear" w:pos="7621"/>
        <w:tab w:val="left" w:pos="0"/>
        <w:tab w:val="left" w:pos="12960"/>
      </w:tabs>
      <w:ind w:left="0" w:firstLine="0"/>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22</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4237A6">
      <w:rPr>
        <w:noProof/>
        <w:sz w:val="20"/>
      </w:rPr>
      <w:t>50</w:t>
    </w:r>
    <w:r w:rsidRPr="003571FF">
      <w:rPr>
        <w:noProof/>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9F44" w14:textId="77777777" w:rsidR="00185B1B" w:rsidRPr="00176957" w:rsidRDefault="00185B1B" w:rsidP="007B5BB3">
    <w:pPr>
      <w:pStyle w:val="Footer"/>
      <w:jc w:val="right"/>
      <w:rPr>
        <w:rFonts w:ascii="Calibri" w:hAnsi="Calibri"/>
        <w:sz w:val="2"/>
      </w:rPr>
    </w:pPr>
  </w:p>
  <w:p w14:paraId="25B1B44B" w14:textId="27FF4686" w:rsidR="00185B1B" w:rsidRPr="000950E3" w:rsidRDefault="00185B1B" w:rsidP="007B5BB3">
    <w:pPr>
      <w:pStyle w:val="Heading7"/>
      <w:pBdr>
        <w:top w:val="single" w:sz="18" w:space="1" w:color="00688D"/>
      </w:pBdr>
      <w:tabs>
        <w:tab w:val="clear" w:pos="4262"/>
        <w:tab w:val="clear" w:pos="5220"/>
        <w:tab w:val="clear" w:pos="6691"/>
        <w:tab w:val="clear" w:pos="7621"/>
        <w:tab w:val="clear" w:pos="9630"/>
        <w:tab w:val="left" w:pos="12510"/>
        <w:tab w:val="left" w:pos="12960"/>
      </w:tabs>
      <w:jc w:val="left"/>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22</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4237A6">
      <w:rPr>
        <w:noProof/>
        <w:sz w:val="20"/>
      </w:rPr>
      <w:t>61</w:t>
    </w:r>
    <w:r w:rsidRPr="000950E3">
      <w:rPr>
        <w:noProof/>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28DC" w14:textId="77777777" w:rsidR="00185B1B" w:rsidRPr="00176957" w:rsidRDefault="00185B1B" w:rsidP="007B5BB3">
    <w:pPr>
      <w:pStyle w:val="Footer"/>
      <w:jc w:val="right"/>
      <w:rPr>
        <w:rFonts w:ascii="Calibri" w:hAnsi="Calibri"/>
        <w:sz w:val="2"/>
      </w:rPr>
    </w:pPr>
  </w:p>
  <w:p w14:paraId="115642FC" w14:textId="61C29554" w:rsidR="00185B1B" w:rsidRPr="000950E3" w:rsidRDefault="00185B1B" w:rsidP="007B5BB3">
    <w:pPr>
      <w:pStyle w:val="Heading7"/>
      <w:pBdr>
        <w:top w:val="single" w:sz="18" w:space="1" w:color="00688D"/>
      </w:pBdr>
      <w:tabs>
        <w:tab w:val="clear" w:pos="4262"/>
        <w:tab w:val="clear" w:pos="5220"/>
        <w:tab w:val="clear" w:pos="6691"/>
        <w:tab w:val="clear" w:pos="7621"/>
        <w:tab w:val="right" w:pos="9360"/>
      </w:tabs>
      <w:jc w:val="left"/>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22</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4237A6">
      <w:rPr>
        <w:noProof/>
        <w:sz w:val="20"/>
      </w:rPr>
      <w:t>62</w:t>
    </w:r>
    <w:r w:rsidRPr="000950E3">
      <w:rPr>
        <w:noProof/>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3F39" w14:textId="77777777" w:rsidR="00185B1B" w:rsidRPr="00176957" w:rsidRDefault="00185B1B" w:rsidP="007B5BB3">
    <w:pPr>
      <w:pStyle w:val="Footer"/>
      <w:jc w:val="right"/>
      <w:rPr>
        <w:rFonts w:ascii="Calibri" w:hAnsi="Calibri"/>
        <w:sz w:val="2"/>
      </w:rPr>
    </w:pPr>
    <w:r>
      <w:rPr>
        <w:rFonts w:ascii="Calibri" w:hAnsi="Calibri"/>
        <w:sz w:val="2"/>
      </w:rPr>
      <w:t xml:space="preserve"> </w:t>
    </w:r>
  </w:p>
  <w:p w14:paraId="581716C4" w14:textId="7077253C" w:rsidR="00185B1B" w:rsidRPr="000950E3" w:rsidRDefault="00185B1B" w:rsidP="007B5BB3">
    <w:pPr>
      <w:pStyle w:val="Heading7"/>
      <w:pBdr>
        <w:top w:val="single" w:sz="18" w:space="1" w:color="00688D"/>
      </w:pBdr>
      <w:tabs>
        <w:tab w:val="clear" w:pos="4262"/>
        <w:tab w:val="clear" w:pos="5220"/>
        <w:tab w:val="clear" w:pos="6691"/>
        <w:tab w:val="clear" w:pos="7621"/>
        <w:tab w:val="clear" w:pos="9630"/>
        <w:tab w:val="right" w:pos="12870"/>
        <w:tab w:val="right" w:pos="12960"/>
      </w:tabs>
      <w:jc w:val="both"/>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22</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674D4D">
      <w:rPr>
        <w:noProof/>
        <w:sz w:val="20"/>
      </w:rPr>
      <w:t>117</w:t>
    </w:r>
    <w:r w:rsidRPr="000950E3">
      <w:rPr>
        <w:noProof/>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769A" w14:textId="76A6CC17" w:rsidR="00185B1B" w:rsidRPr="003571FF" w:rsidRDefault="00185B1B" w:rsidP="004260BF">
    <w:pPr>
      <w:pStyle w:val="Heading7"/>
      <w:pBdr>
        <w:top w:val="single" w:sz="18" w:space="1" w:color="00688D"/>
      </w:pBdr>
      <w:tabs>
        <w:tab w:val="clear" w:pos="720"/>
        <w:tab w:val="clear" w:pos="1440"/>
        <w:tab w:val="clear" w:pos="4262"/>
        <w:tab w:val="clear" w:pos="5220"/>
        <w:tab w:val="clear" w:pos="6691"/>
        <w:tab w:val="clear" w:pos="7621"/>
        <w:tab w:val="left" w:pos="0"/>
        <w:tab w:val="left" w:pos="12960"/>
      </w:tabs>
      <w:ind w:left="0" w:firstLine="0"/>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22</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4237A6">
      <w:rPr>
        <w:noProof/>
        <w:sz w:val="20"/>
      </w:rPr>
      <w:t>65</w:t>
    </w:r>
    <w:r w:rsidRPr="003571FF">
      <w:rPr>
        <w:noProof/>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46BE1" w14:textId="3B6865D7" w:rsidR="00185B1B" w:rsidRPr="003571FF" w:rsidRDefault="00185B1B" w:rsidP="007B5BB3">
    <w:pPr>
      <w:pStyle w:val="Heading7"/>
      <w:pBdr>
        <w:top w:val="single" w:sz="18" w:space="1" w:color="00688D"/>
      </w:pBdr>
      <w:tabs>
        <w:tab w:val="clear" w:pos="720"/>
        <w:tab w:val="clear" w:pos="1440"/>
        <w:tab w:val="clear" w:pos="4262"/>
        <w:tab w:val="clear" w:pos="5220"/>
        <w:tab w:val="clear" w:pos="6691"/>
        <w:tab w:val="clear" w:pos="7621"/>
        <w:tab w:val="clear" w:pos="9630"/>
        <w:tab w:val="left" w:pos="0"/>
        <w:tab w:val="right" w:pos="12870"/>
        <w:tab w:val="left" w:pos="12960"/>
      </w:tabs>
      <w:ind w:left="0" w:firstLine="0"/>
      <w:jc w:val="left"/>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22</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674D4D">
      <w:rPr>
        <w:noProof/>
        <w:sz w:val="20"/>
      </w:rPr>
      <w:t>112</w:t>
    </w:r>
    <w:r w:rsidRPr="003571FF">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FE3C4" w14:textId="77777777" w:rsidR="00185B1B" w:rsidRPr="00176957" w:rsidRDefault="00185B1B" w:rsidP="007B5BB3">
    <w:pPr>
      <w:pStyle w:val="Footer"/>
      <w:jc w:val="right"/>
      <w:rPr>
        <w:rFonts w:ascii="Calibri" w:hAnsi="Calibri"/>
        <w:sz w:val="2"/>
      </w:rPr>
    </w:pPr>
  </w:p>
  <w:p w14:paraId="6611A361" w14:textId="1A03FB69" w:rsidR="00185B1B" w:rsidRPr="00A56028" w:rsidRDefault="00185B1B" w:rsidP="007B5BB3">
    <w:pPr>
      <w:pStyle w:val="Heading7"/>
      <w:pBdr>
        <w:top w:val="single" w:sz="18" w:space="1" w:color="00688D"/>
      </w:pBdr>
      <w:tabs>
        <w:tab w:val="clear" w:pos="4262"/>
        <w:tab w:val="clear" w:pos="5220"/>
        <w:tab w:val="clear" w:pos="6691"/>
        <w:tab w:val="clear" w:pos="7621"/>
        <w:tab w:val="right" w:pos="9360"/>
      </w:tabs>
      <w:ind w:left="0" w:right="-90" w:firstLine="0"/>
      <w:jc w:val="both"/>
      <w:rPr>
        <w:sz w:val="20"/>
        <w:szCs w:val="18"/>
      </w:rPr>
    </w:pPr>
    <w:r w:rsidRPr="00A56028">
      <w:rPr>
        <w:sz w:val="20"/>
        <w:szCs w:val="18"/>
      </w:rPr>
      <w:t>UNIVERSITY OF MAINE SYSTEM ANNUAL FINANCIAL REPORT 2022</w:t>
    </w:r>
    <w:r w:rsidRPr="00A56028">
      <w:rPr>
        <w:sz w:val="18"/>
        <w:szCs w:val="18"/>
      </w:rPr>
      <w:tab/>
    </w:r>
    <w:r w:rsidRPr="00A56028">
      <w:rPr>
        <w:sz w:val="20"/>
        <w:szCs w:val="18"/>
      </w:rPr>
      <w:t xml:space="preserve">| </w:t>
    </w:r>
    <w:r w:rsidRPr="00A56028">
      <w:rPr>
        <w:sz w:val="20"/>
        <w:szCs w:val="18"/>
      </w:rPr>
      <w:fldChar w:fldCharType="begin"/>
    </w:r>
    <w:r w:rsidRPr="00A56028">
      <w:rPr>
        <w:sz w:val="20"/>
        <w:szCs w:val="18"/>
      </w:rPr>
      <w:instrText xml:space="preserve"> PAGE   \* MERGEFORMAT </w:instrText>
    </w:r>
    <w:r w:rsidRPr="00A56028">
      <w:rPr>
        <w:sz w:val="20"/>
        <w:szCs w:val="18"/>
      </w:rPr>
      <w:fldChar w:fldCharType="separate"/>
    </w:r>
    <w:r w:rsidR="001647E8">
      <w:rPr>
        <w:noProof/>
        <w:sz w:val="20"/>
        <w:szCs w:val="18"/>
      </w:rPr>
      <w:t>2</w:t>
    </w:r>
    <w:r w:rsidRPr="00A56028">
      <w:rPr>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BD7FF" w14:textId="77777777" w:rsidR="00185B1B" w:rsidRPr="00176957" w:rsidRDefault="00185B1B" w:rsidP="007B5BB3">
    <w:pPr>
      <w:pStyle w:val="Footer"/>
      <w:jc w:val="right"/>
      <w:rPr>
        <w:rFonts w:ascii="Calibri" w:hAnsi="Calibri"/>
        <w:sz w:val="2"/>
      </w:rPr>
    </w:pPr>
  </w:p>
  <w:p w14:paraId="7B9A4F37" w14:textId="529C3614" w:rsidR="00185B1B" w:rsidRDefault="00185B1B" w:rsidP="005C4E4F">
    <w:pPr>
      <w:pStyle w:val="Heading7"/>
      <w:pBdr>
        <w:top w:val="single" w:sz="18" w:space="1" w:color="00688D"/>
      </w:pBdr>
      <w:tabs>
        <w:tab w:val="clear" w:pos="4262"/>
        <w:tab w:val="clear" w:pos="5220"/>
        <w:tab w:val="clear" w:pos="6691"/>
        <w:tab w:val="clear" w:pos="7621"/>
        <w:tab w:val="clear" w:pos="9630"/>
        <w:tab w:val="right" w:pos="9360"/>
        <w:tab w:val="left" w:pos="9900"/>
      </w:tabs>
      <w:jc w:val="both"/>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22</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1647E8">
      <w:rPr>
        <w:noProof/>
        <w:sz w:val="20"/>
      </w:rPr>
      <w:t>8</w:t>
    </w:r>
    <w:r w:rsidRPr="000950E3">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8743" w14:textId="71A4587B" w:rsidR="00185B1B" w:rsidRDefault="00185B1B" w:rsidP="007B5BB3">
    <w:pPr>
      <w:pStyle w:val="Heading7"/>
      <w:pBdr>
        <w:top w:val="single" w:sz="18" w:space="1" w:color="00688D"/>
      </w:pBdr>
      <w:tabs>
        <w:tab w:val="clear" w:pos="4262"/>
        <w:tab w:val="clear" w:pos="5220"/>
        <w:tab w:val="clear" w:pos="6691"/>
        <w:tab w:val="clear" w:pos="7621"/>
        <w:tab w:val="right" w:pos="9360"/>
      </w:tabs>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22</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1647E8">
      <w:rPr>
        <w:noProof/>
        <w:sz w:val="20"/>
      </w:rPr>
      <w:t>7</w:t>
    </w:r>
    <w:r w:rsidRPr="003571FF">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9DE8" w14:textId="77777777" w:rsidR="00185B1B" w:rsidRPr="00176957" w:rsidRDefault="00185B1B" w:rsidP="007B5BB3">
    <w:pPr>
      <w:pStyle w:val="Footer"/>
      <w:jc w:val="right"/>
      <w:rPr>
        <w:rFonts w:ascii="Calibri" w:hAnsi="Calibri"/>
        <w:sz w:val="2"/>
      </w:rPr>
    </w:pPr>
  </w:p>
  <w:p w14:paraId="187BC94A" w14:textId="7E109AE0" w:rsidR="00185B1B" w:rsidRPr="000950E3" w:rsidRDefault="00185B1B" w:rsidP="007B5BB3">
    <w:pPr>
      <w:pStyle w:val="Heading7"/>
      <w:pBdr>
        <w:top w:val="single" w:sz="18" w:space="1" w:color="00688D"/>
      </w:pBdr>
      <w:tabs>
        <w:tab w:val="clear" w:pos="4262"/>
        <w:tab w:val="clear" w:pos="5220"/>
        <w:tab w:val="clear" w:pos="6691"/>
        <w:tab w:val="clear" w:pos="7621"/>
        <w:tab w:val="right" w:pos="9360"/>
      </w:tabs>
      <w:jc w:val="both"/>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22</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1647E8">
      <w:rPr>
        <w:noProof/>
        <w:sz w:val="20"/>
      </w:rPr>
      <w:t>21</w:t>
    </w:r>
    <w:r w:rsidRPr="000950E3">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F32F" w14:textId="77777777" w:rsidR="00185B1B" w:rsidRPr="00176957" w:rsidRDefault="00185B1B" w:rsidP="007B5BB3">
    <w:pPr>
      <w:pStyle w:val="Footer"/>
      <w:jc w:val="right"/>
      <w:rPr>
        <w:rFonts w:ascii="Calibri" w:hAnsi="Calibri"/>
        <w:sz w:val="2"/>
      </w:rPr>
    </w:pPr>
  </w:p>
  <w:p w14:paraId="4870629C" w14:textId="77777777" w:rsidR="00185B1B" w:rsidRDefault="00185B1B" w:rsidP="00024AB9">
    <w:pPr>
      <w:jc w:val="center"/>
    </w:pPr>
    <w:r w:rsidRPr="00840745">
      <w:rPr>
        <w:sz w:val="20"/>
      </w:rPr>
      <w:t>See accompanying notes to the basic financial statements.</w:t>
    </w:r>
  </w:p>
  <w:p w14:paraId="644D4FA7" w14:textId="77168FE5" w:rsidR="00185B1B" w:rsidRPr="000950E3" w:rsidRDefault="00185B1B" w:rsidP="007B5BB3">
    <w:pPr>
      <w:pStyle w:val="Heading7"/>
      <w:pBdr>
        <w:top w:val="single" w:sz="18" w:space="1" w:color="00688D"/>
      </w:pBdr>
      <w:tabs>
        <w:tab w:val="clear" w:pos="4262"/>
        <w:tab w:val="clear" w:pos="5220"/>
        <w:tab w:val="clear" w:pos="6691"/>
        <w:tab w:val="clear" w:pos="7621"/>
        <w:tab w:val="right" w:pos="9360"/>
      </w:tabs>
      <w:jc w:val="both"/>
      <w:rPr>
        <w:sz w:val="20"/>
      </w:rPr>
    </w:pPr>
    <w:r>
      <w:rPr>
        <w:sz w:val="20"/>
      </w:rPr>
      <w:t xml:space="preserve">UNIVERSITY OF MAINE SYSTEM </w:t>
    </w:r>
    <w:r w:rsidRPr="000950E3">
      <w:rPr>
        <w:sz w:val="20"/>
      </w:rPr>
      <w:t xml:space="preserve">ANNUAL </w:t>
    </w:r>
    <w:r>
      <w:rPr>
        <w:sz w:val="20"/>
      </w:rPr>
      <w:t xml:space="preserve">FINANCIAL </w:t>
    </w:r>
    <w:r w:rsidRPr="000950E3">
      <w:rPr>
        <w:sz w:val="20"/>
      </w:rPr>
      <w:t>REPORT 20</w:t>
    </w:r>
    <w:r>
      <w:rPr>
        <w:sz w:val="20"/>
      </w:rPr>
      <w:t>22</w:t>
    </w:r>
    <w:r>
      <w:rPr>
        <w:sz w:val="20"/>
      </w:rPr>
      <w:tab/>
    </w:r>
    <w:r w:rsidRPr="000950E3">
      <w:rPr>
        <w:sz w:val="20"/>
      </w:rPr>
      <w:t xml:space="preserve">| </w:t>
    </w:r>
    <w:r w:rsidRPr="000950E3">
      <w:rPr>
        <w:sz w:val="20"/>
      </w:rPr>
      <w:fldChar w:fldCharType="begin"/>
    </w:r>
    <w:r w:rsidRPr="000950E3">
      <w:rPr>
        <w:sz w:val="20"/>
      </w:rPr>
      <w:instrText xml:space="preserve"> PAGE   \* MERGEFORMAT </w:instrText>
    </w:r>
    <w:r w:rsidRPr="000950E3">
      <w:rPr>
        <w:sz w:val="20"/>
      </w:rPr>
      <w:fldChar w:fldCharType="separate"/>
    </w:r>
    <w:r w:rsidR="001647E8">
      <w:rPr>
        <w:noProof/>
        <w:sz w:val="20"/>
      </w:rPr>
      <w:t>41</w:t>
    </w:r>
    <w:r w:rsidRPr="000950E3">
      <w:rPr>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E82D" w14:textId="77777777" w:rsidR="00185B1B" w:rsidRDefault="00185B1B" w:rsidP="007B5BB3">
    <w:pPr>
      <w:jc w:val="center"/>
    </w:pPr>
    <w:r w:rsidRPr="00840745">
      <w:rPr>
        <w:sz w:val="20"/>
      </w:rPr>
      <w:t>See accompanying notes to the basic financial statements.</w:t>
    </w:r>
  </w:p>
  <w:p w14:paraId="3234C1D8" w14:textId="00D0775E" w:rsidR="00185B1B" w:rsidRPr="003571FF" w:rsidRDefault="00185B1B" w:rsidP="007B5BB3">
    <w:pPr>
      <w:pStyle w:val="Heading7"/>
      <w:pBdr>
        <w:top w:val="single" w:sz="18" w:space="1" w:color="00688D"/>
      </w:pBdr>
      <w:tabs>
        <w:tab w:val="clear" w:pos="4262"/>
        <w:tab w:val="clear" w:pos="5220"/>
        <w:tab w:val="clear" w:pos="6691"/>
        <w:tab w:val="clear" w:pos="7621"/>
        <w:tab w:val="right" w:pos="9360"/>
      </w:tabs>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22</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1647E8">
      <w:rPr>
        <w:noProof/>
        <w:sz w:val="20"/>
      </w:rPr>
      <w:t>46</w:t>
    </w:r>
    <w:r w:rsidRPr="003571FF">
      <w:rPr>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7CD9" w14:textId="5F8398FA" w:rsidR="00185B1B" w:rsidRPr="00F54559" w:rsidRDefault="00185B1B" w:rsidP="007B5BB3">
    <w:pPr>
      <w:pStyle w:val="Heading7"/>
      <w:pBdr>
        <w:top w:val="single" w:sz="18" w:space="1" w:color="00688D"/>
      </w:pBdr>
      <w:tabs>
        <w:tab w:val="clear" w:pos="4262"/>
        <w:tab w:val="clear" w:pos="5220"/>
        <w:tab w:val="clear" w:pos="6691"/>
        <w:tab w:val="clear" w:pos="7621"/>
      </w:tabs>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21</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Pr>
        <w:noProof/>
        <w:sz w:val="20"/>
      </w:rPr>
      <w:t>48</w:t>
    </w:r>
    <w:r w:rsidRPr="003571FF">
      <w:rPr>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ED72" w14:textId="77777777" w:rsidR="00185B1B" w:rsidRDefault="00185B1B" w:rsidP="007B5BB3">
    <w:pPr>
      <w:jc w:val="center"/>
    </w:pPr>
    <w:r w:rsidRPr="00840745">
      <w:rPr>
        <w:sz w:val="20"/>
      </w:rPr>
      <w:t>See accompanying notes to the basic financial statements.</w:t>
    </w:r>
  </w:p>
  <w:p w14:paraId="33CAE87C" w14:textId="44A28440" w:rsidR="00185B1B" w:rsidRPr="00F54559" w:rsidRDefault="00185B1B" w:rsidP="007B5BB3">
    <w:pPr>
      <w:pStyle w:val="Heading7"/>
      <w:pBdr>
        <w:top w:val="single" w:sz="18" w:space="1" w:color="00688D"/>
      </w:pBdr>
      <w:tabs>
        <w:tab w:val="clear" w:pos="4262"/>
        <w:tab w:val="clear" w:pos="5220"/>
        <w:tab w:val="clear" w:pos="6691"/>
        <w:tab w:val="clear" w:pos="7621"/>
        <w:tab w:val="clear" w:pos="9630"/>
        <w:tab w:val="left" w:pos="9000"/>
        <w:tab w:val="right" w:pos="12870"/>
      </w:tabs>
      <w:jc w:val="left"/>
      <w:rPr>
        <w:sz w:val="20"/>
      </w:rPr>
    </w:pPr>
    <w:r>
      <w:rPr>
        <w:sz w:val="20"/>
      </w:rPr>
      <w:t xml:space="preserve">UNIVERSITY OF MAINE SYSTEM </w:t>
    </w:r>
    <w:r w:rsidRPr="003571FF">
      <w:rPr>
        <w:sz w:val="20"/>
      </w:rPr>
      <w:t xml:space="preserve">ANNUAL </w:t>
    </w:r>
    <w:r>
      <w:rPr>
        <w:sz w:val="20"/>
      </w:rPr>
      <w:t xml:space="preserve">FINANCIAL </w:t>
    </w:r>
    <w:r w:rsidRPr="003571FF">
      <w:rPr>
        <w:sz w:val="20"/>
      </w:rPr>
      <w:t>REPORT 20</w:t>
    </w:r>
    <w:r>
      <w:rPr>
        <w:sz w:val="20"/>
      </w:rPr>
      <w:t>22</w:t>
    </w:r>
    <w:r>
      <w:rPr>
        <w:sz w:val="20"/>
      </w:rPr>
      <w:tab/>
    </w:r>
    <w:r w:rsidRPr="003571FF">
      <w:rPr>
        <w:sz w:val="20"/>
      </w:rPr>
      <w:t xml:space="preserve">| </w:t>
    </w:r>
    <w:r w:rsidRPr="003571FF">
      <w:rPr>
        <w:sz w:val="20"/>
      </w:rPr>
      <w:fldChar w:fldCharType="begin"/>
    </w:r>
    <w:r w:rsidRPr="003571FF">
      <w:rPr>
        <w:sz w:val="20"/>
      </w:rPr>
      <w:instrText xml:space="preserve"> PAGE   \* MERGEFORMAT </w:instrText>
    </w:r>
    <w:r w:rsidRPr="003571FF">
      <w:rPr>
        <w:sz w:val="20"/>
      </w:rPr>
      <w:fldChar w:fldCharType="separate"/>
    </w:r>
    <w:r w:rsidR="001647E8">
      <w:rPr>
        <w:noProof/>
        <w:sz w:val="20"/>
      </w:rPr>
      <w:t>47</w:t>
    </w:r>
    <w:r w:rsidRPr="003571FF">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16F98" w14:textId="77777777" w:rsidR="00185B1B" w:rsidRDefault="00185B1B">
      <w:r>
        <w:separator/>
      </w:r>
    </w:p>
  </w:footnote>
  <w:footnote w:type="continuationSeparator" w:id="0">
    <w:p w14:paraId="4585DF6E" w14:textId="77777777" w:rsidR="00185B1B" w:rsidRDefault="00185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945D" w14:textId="77777777" w:rsidR="00185B1B" w:rsidRPr="00823425" w:rsidRDefault="00185B1B" w:rsidP="007B5BB3">
    <w:pPr>
      <w:pStyle w:val="Heading4"/>
      <w:tabs>
        <w:tab w:val="clear" w:pos="1440"/>
        <w:tab w:val="clear" w:pos="5400"/>
        <w:tab w:val="clear" w:pos="10620"/>
        <w:tab w:val="left" w:pos="936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4F35" w14:textId="77777777" w:rsidR="00185B1B" w:rsidRPr="00A46BC1" w:rsidRDefault="009044F3" w:rsidP="007B5BB3">
    <w:pPr>
      <w:pStyle w:val="Heading4"/>
      <w:rPr>
        <w:i w:val="0"/>
        <w:szCs w:val="16"/>
        <w:u w:color="5B9BD5"/>
      </w:rPr>
    </w:pPr>
    <w:sdt>
      <w:sdtPr>
        <w:rPr>
          <w:i w:val="0"/>
          <w:szCs w:val="16"/>
          <w:u w:color="5B9BD5"/>
        </w:rPr>
        <w:id w:val="-693763270"/>
        <w:docPartObj>
          <w:docPartGallery w:val="Page Numbers (Top of Page)"/>
          <w:docPartUnique/>
        </w:docPartObj>
      </w:sdtPr>
      <w:sdtEndPr/>
      <w:sdtContent>
        <w:r w:rsidR="00185B1B" w:rsidRPr="00A46BC1">
          <w:rPr>
            <w:i w:val="0"/>
            <w:szCs w:val="16"/>
            <w:u w:color="5B9BD5"/>
          </w:rPr>
          <w:t>NOTES TO FINANCIAL STATEMENTS</w:t>
        </w:r>
      </w:sdtContent>
    </w:sdt>
    <w:r w:rsidR="00185B1B">
      <w:rPr>
        <w:i w:val="0"/>
        <w:szCs w:val="16"/>
        <w:u w:color="5B9BD5"/>
      </w:rPr>
      <w:t xml:space="preserve"> </w:t>
    </w:r>
    <w:r w:rsidR="00185B1B" w:rsidRPr="00AC0D21">
      <w:rPr>
        <w:i w:val="0"/>
        <w:sz w:val="18"/>
        <w:szCs w:val="18"/>
        <w:u w:color="5B9BD5"/>
      </w:rPr>
      <w:t>(IN THOUSANDS)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CEF9" w14:textId="77777777" w:rsidR="00185B1B" w:rsidRPr="00E94D7A" w:rsidRDefault="009044F3" w:rsidP="007B5BB3">
    <w:pPr>
      <w:pStyle w:val="Heading4"/>
      <w:rPr>
        <w:i w:val="0"/>
        <w:szCs w:val="16"/>
        <w:u w:color="5B9BD5"/>
      </w:rPr>
    </w:pPr>
    <w:sdt>
      <w:sdtPr>
        <w:rPr>
          <w:i w:val="0"/>
          <w:szCs w:val="16"/>
          <w:u w:color="5B9BD5"/>
        </w:rPr>
        <w:id w:val="-1634171943"/>
        <w:docPartObj>
          <w:docPartGallery w:val="Page Numbers (Top of Page)"/>
          <w:docPartUnique/>
        </w:docPartObj>
      </w:sdtPr>
      <w:sdtEndPr/>
      <w:sdtContent>
        <w:r w:rsidR="00185B1B" w:rsidRPr="00A46BC1">
          <w:rPr>
            <w:i w:val="0"/>
            <w:szCs w:val="16"/>
            <w:u w:color="5B9BD5"/>
          </w:rPr>
          <w:t>NOTES TO FINANCIAL STATEMENTS</w:t>
        </w:r>
      </w:sdtContent>
    </w:sdt>
    <w:r w:rsidR="00185B1B">
      <w:rPr>
        <w:i w:val="0"/>
        <w:szCs w:val="16"/>
        <w:u w:color="5B9BD5"/>
      </w:rPr>
      <w:t xml:space="preserve"> </w:t>
    </w:r>
    <w:r w:rsidR="00185B1B" w:rsidRPr="00AC0D21">
      <w:rPr>
        <w:i w:val="0"/>
        <w:sz w:val="18"/>
        <w:szCs w:val="18"/>
        <w:u w:color="5B9BD5"/>
      </w:rPr>
      <w:t>(IN THOUSANDS)</w:t>
    </w:r>
  </w:p>
  <w:p w14:paraId="63DB0D55" w14:textId="77777777" w:rsidR="00185B1B" w:rsidRDefault="00185B1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DD86" w14:textId="77777777" w:rsidR="00185B1B" w:rsidRPr="00B252E3" w:rsidRDefault="009044F3" w:rsidP="007B5BB3">
    <w:pPr>
      <w:pStyle w:val="Heading4"/>
      <w:rPr>
        <w:i w:val="0"/>
        <w:szCs w:val="16"/>
        <w:u w:color="5B9BD5"/>
      </w:rPr>
    </w:pPr>
    <w:sdt>
      <w:sdtPr>
        <w:rPr>
          <w:i w:val="0"/>
          <w:szCs w:val="16"/>
          <w:u w:color="5B9BD5"/>
        </w:rPr>
        <w:id w:val="1571073165"/>
        <w:docPartObj>
          <w:docPartGallery w:val="Page Numbers (Top of Page)"/>
          <w:docPartUnique/>
        </w:docPartObj>
      </w:sdtPr>
      <w:sdtEndPr/>
      <w:sdtContent>
        <w:r w:rsidR="00185B1B" w:rsidRPr="00A46BC1">
          <w:rPr>
            <w:i w:val="0"/>
            <w:szCs w:val="16"/>
            <w:u w:color="5B9BD5"/>
          </w:rPr>
          <w:t>NOTES TO FINANCIAL STATEMENTS</w:t>
        </w:r>
      </w:sdtContent>
    </w:sdt>
    <w:r w:rsidR="00185B1B">
      <w:rPr>
        <w:i w:val="0"/>
        <w:szCs w:val="16"/>
        <w:u w:color="5B9BD5"/>
      </w:rPr>
      <w:t xml:space="preserve"> </w:t>
    </w:r>
    <w:r w:rsidR="00185B1B" w:rsidRPr="00AC0D21">
      <w:rPr>
        <w:i w:val="0"/>
        <w:sz w:val="18"/>
        <w:szCs w:val="18"/>
        <w:u w:color="5B9BD5"/>
      </w:rPr>
      <w:t>(IN THOUSANDS)</w:t>
    </w:r>
  </w:p>
  <w:p w14:paraId="6E32205D" w14:textId="77777777" w:rsidR="00185B1B" w:rsidRDefault="00185B1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C8529" w14:textId="3C454B62" w:rsidR="00185B1B" w:rsidRPr="00B252E3" w:rsidRDefault="009044F3" w:rsidP="007B5BB3">
    <w:pPr>
      <w:pStyle w:val="Heading4"/>
      <w:rPr>
        <w:i w:val="0"/>
        <w:szCs w:val="16"/>
        <w:u w:color="5B9BD5"/>
      </w:rPr>
    </w:pPr>
    <w:sdt>
      <w:sdtPr>
        <w:rPr>
          <w:i w:val="0"/>
          <w:szCs w:val="16"/>
          <w:u w:color="5B9BD5"/>
        </w:rPr>
        <w:id w:val="-2034171630"/>
        <w:docPartObj>
          <w:docPartGallery w:val="Page Numbers (Top of Page)"/>
          <w:docPartUnique/>
        </w:docPartObj>
      </w:sdtPr>
      <w:sdtEndPr/>
      <w:sdtContent>
        <w:r w:rsidR="00185B1B">
          <w:rPr>
            <w:i w:val="0"/>
            <w:szCs w:val="16"/>
            <w:u w:color="5B9BD5"/>
          </w:rPr>
          <w:t>REQUIRED SUPPLEMENTAL INFORMATION – RETIRMENT PLANS (UNAUDITED)</w:t>
        </w:r>
      </w:sdtContent>
    </w:sdt>
    <w:r w:rsidR="00185B1B">
      <w:rPr>
        <w:i w:val="0"/>
        <w:szCs w:val="16"/>
        <w:u w:color="5B9BD5"/>
      </w:rPr>
      <w:t xml:space="preserve"> </w:t>
    </w:r>
    <w:r w:rsidR="00185B1B" w:rsidRPr="00AC0D21">
      <w:rPr>
        <w:i w:val="0"/>
        <w:sz w:val="18"/>
        <w:szCs w:val="18"/>
        <w:u w:color="5B9BD5"/>
      </w:rPr>
      <w:t>(IN THOUSANDS)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9A26" w14:textId="68B77447" w:rsidR="00185B1B" w:rsidRPr="00B252E3" w:rsidRDefault="00185B1B" w:rsidP="007B5BB3">
    <w:pPr>
      <w:pStyle w:val="Heading4"/>
      <w:rPr>
        <w:i w:val="0"/>
        <w:szCs w:val="16"/>
        <w:u w:color="5B9BD5"/>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47B2" w14:textId="55228FD2" w:rsidR="00185B1B" w:rsidRPr="00B252E3" w:rsidRDefault="009044F3" w:rsidP="007B5BB3">
    <w:pPr>
      <w:pStyle w:val="Heading4"/>
      <w:rPr>
        <w:i w:val="0"/>
        <w:szCs w:val="16"/>
        <w:u w:color="5B9BD5"/>
      </w:rPr>
    </w:pPr>
    <w:sdt>
      <w:sdtPr>
        <w:rPr>
          <w:i w:val="0"/>
          <w:szCs w:val="16"/>
          <w:u w:color="5B9BD5"/>
        </w:rPr>
        <w:id w:val="-26877214"/>
        <w:docPartObj>
          <w:docPartGallery w:val="Page Numbers (Top of Page)"/>
          <w:docPartUnique/>
        </w:docPartObj>
      </w:sdtPr>
      <w:sdtEndPr/>
      <w:sdtContent>
        <w:r w:rsidR="00185B1B">
          <w:rPr>
            <w:i w:val="0"/>
            <w:szCs w:val="16"/>
            <w:u w:color="5B9BD5"/>
          </w:rPr>
          <w:t>REQUIRED SUPPLEMENTAL INFORMATION – RETIRMENT PLANS (UNAUDITED)</w:t>
        </w:r>
      </w:sdtContent>
    </w:sdt>
    <w:r w:rsidR="00185B1B">
      <w:rPr>
        <w:i w:val="0"/>
        <w:szCs w:val="16"/>
        <w:u w:color="5B9BD5"/>
      </w:rPr>
      <w:t xml:space="preserve"> </w:t>
    </w:r>
    <w:r w:rsidR="00185B1B" w:rsidRPr="00AC0D21">
      <w:rPr>
        <w:i w:val="0"/>
        <w:sz w:val="18"/>
        <w:szCs w:val="18"/>
        <w:u w:color="5B9BD5"/>
      </w:rPr>
      <w:t>(IN THOUSANDS)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E775" w14:textId="0EB21850" w:rsidR="0052269E" w:rsidRPr="00B252E3" w:rsidRDefault="0052269E" w:rsidP="007B5BB3">
    <w:pPr>
      <w:pStyle w:val="Heading4"/>
      <w:rPr>
        <w:i w:val="0"/>
        <w:szCs w:val="16"/>
        <w:u w:color="5B9BD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FCFD" w14:textId="77777777" w:rsidR="00185B1B" w:rsidRPr="003571FF" w:rsidRDefault="00185B1B" w:rsidP="007B5BB3">
    <w:pPr>
      <w:pStyle w:val="Heading4"/>
    </w:pPr>
  </w:p>
  <w:p w14:paraId="15BE518D" w14:textId="77777777" w:rsidR="00185B1B" w:rsidRDefault="00185B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0F95" w14:textId="77777777" w:rsidR="00185B1B" w:rsidRPr="003571FF" w:rsidRDefault="00185B1B" w:rsidP="007B5BB3">
    <w:pPr>
      <w:pStyle w:val="Heading4"/>
    </w:pPr>
  </w:p>
  <w:p w14:paraId="64E9B592" w14:textId="77777777" w:rsidR="00185B1B" w:rsidRDefault="00185B1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1D99D" w14:textId="59DE9373" w:rsidR="00185B1B" w:rsidRPr="00A72B6B" w:rsidRDefault="00185B1B" w:rsidP="007B5BB3">
    <w:pPr>
      <w:pStyle w:val="Heading4"/>
      <w:rPr>
        <w:i w:val="0"/>
      </w:rPr>
    </w:pPr>
    <w:r>
      <w:rPr>
        <w:i w:val="0"/>
      </w:rPr>
      <w:t>MANAGEMENT’S DISCUSSION AND ANALYSIS (UNAUDITED)</w:t>
    </w:r>
  </w:p>
  <w:p w14:paraId="2A0642B0" w14:textId="77777777" w:rsidR="00185B1B" w:rsidRDefault="00185B1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761E" w14:textId="77777777" w:rsidR="00185B1B" w:rsidRPr="00A72B6B" w:rsidRDefault="00185B1B" w:rsidP="007B5BB3">
    <w:pPr>
      <w:pStyle w:val="Heading4"/>
      <w:rPr>
        <w:i w:val="0"/>
      </w:rPr>
    </w:pPr>
    <w:r>
      <w:rPr>
        <w:i w:val="0"/>
      </w:rPr>
      <w:t>MANAGEMENT’S DISCUSSION AND ANALYSIS (UNAUDITED)</w:t>
    </w:r>
  </w:p>
  <w:p w14:paraId="2A7262B9" w14:textId="77777777" w:rsidR="00185B1B" w:rsidRDefault="00185B1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AFA0" w14:textId="3C5145D6" w:rsidR="00185B1B" w:rsidRPr="00A72B6B" w:rsidRDefault="00185B1B" w:rsidP="007B5BB3">
    <w:pPr>
      <w:pStyle w:val="Heading4"/>
      <w:rPr>
        <w:i w:val="0"/>
      </w:rPr>
    </w:pPr>
  </w:p>
  <w:p w14:paraId="30445D26" w14:textId="77777777" w:rsidR="00185B1B" w:rsidRDefault="00185B1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szCs w:val="16"/>
        <w:u w:color="5B9BD5"/>
      </w:rPr>
      <w:id w:val="1024129526"/>
      <w:docPartObj>
        <w:docPartGallery w:val="Page Numbers (Top of Page)"/>
        <w:docPartUnique/>
      </w:docPartObj>
    </w:sdtPr>
    <w:sdtEndPr/>
    <w:sdtContent>
      <w:p w14:paraId="5CEAF919" w14:textId="43C53705" w:rsidR="00185B1B" w:rsidRPr="00D65483" w:rsidRDefault="009044F3" w:rsidP="007B5BB3">
        <w:pPr>
          <w:pStyle w:val="Heading4"/>
          <w:rPr>
            <w:rFonts w:eastAsiaTheme="minorHAnsi" w:cstheme="minorBidi"/>
            <w:color w:val="auto"/>
            <w:sz w:val="22"/>
            <w:szCs w:val="16"/>
            <w:u w:color="5B9BD5"/>
          </w:rP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szCs w:val="16"/>
        <w:u w:color="5B9BD5"/>
      </w:rPr>
      <w:id w:val="-1172254889"/>
      <w:docPartObj>
        <w:docPartGallery w:val="Page Numbers (Top of Page)"/>
        <w:docPartUnique/>
      </w:docPartObj>
    </w:sdtPr>
    <w:sdtEndPr/>
    <w:sdtContent>
      <w:p w14:paraId="33458E19" w14:textId="77777777" w:rsidR="00185B1B" w:rsidRPr="002B1325" w:rsidRDefault="00185B1B" w:rsidP="007B5BB3">
        <w:pPr>
          <w:pStyle w:val="Heading4"/>
          <w:rPr>
            <w:i w:val="0"/>
            <w:szCs w:val="16"/>
            <w:u w:color="5B9BD5"/>
          </w:rPr>
        </w:pPr>
        <w:r w:rsidRPr="00A46BC1">
          <w:rPr>
            <w:i w:val="0"/>
            <w:szCs w:val="16"/>
            <w:u w:color="5B9BD5"/>
          </w:rPr>
          <w:t>NOTES TO FINANCIAL STATEMENTS</w:t>
        </w:r>
        <w:r>
          <w:rPr>
            <w:i w:val="0"/>
            <w:szCs w:val="16"/>
            <w:u w:color="5B9BD5"/>
          </w:rPr>
          <w:t xml:space="preserve"> </w:t>
        </w:r>
        <w:r w:rsidRPr="00EF108B">
          <w:rPr>
            <w:i w:val="0"/>
            <w:sz w:val="18"/>
            <w:szCs w:val="18"/>
            <w:u w:color="5B9BD5"/>
          </w:rPr>
          <w:t>(IN THOUSANDS)</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szCs w:val="16"/>
        <w:u w:color="5B9BD5"/>
      </w:rPr>
      <w:id w:val="593518437"/>
      <w:docPartObj>
        <w:docPartGallery w:val="Page Numbers (Top of Page)"/>
        <w:docPartUnique/>
      </w:docPartObj>
    </w:sdtPr>
    <w:sdtEndPr/>
    <w:sdtContent>
      <w:p w14:paraId="7C4756CE" w14:textId="77777777" w:rsidR="00185B1B" w:rsidRPr="00D65483" w:rsidRDefault="00185B1B" w:rsidP="007B5BB3">
        <w:pPr>
          <w:pStyle w:val="Heading4"/>
          <w:rPr>
            <w:rFonts w:eastAsiaTheme="minorHAnsi" w:cstheme="minorBidi"/>
            <w:color w:val="auto"/>
            <w:sz w:val="22"/>
            <w:szCs w:val="16"/>
            <w:u w:color="5B9BD5"/>
          </w:rPr>
        </w:pPr>
        <w:r w:rsidRPr="00A46BC1">
          <w:rPr>
            <w:i w:val="0"/>
            <w:szCs w:val="16"/>
            <w:u w:color="5B9BD5"/>
          </w:rPr>
          <w:t>NOTES TO FINANCIAL STATEMENTS</w:t>
        </w:r>
        <w:r>
          <w:rPr>
            <w:i w:val="0"/>
            <w:szCs w:val="16"/>
            <w:u w:color="5B9BD5"/>
          </w:rPr>
          <w:t xml:space="preserve"> </w:t>
        </w:r>
        <w:r w:rsidRPr="00EF108B">
          <w:rPr>
            <w:i w:val="0"/>
            <w:sz w:val="18"/>
            <w:szCs w:val="18"/>
            <w:u w:color="5B9BD5"/>
          </w:rPr>
          <w:t>(IN THOUSANDS)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114F"/>
    <w:multiLevelType w:val="hybridMultilevel"/>
    <w:tmpl w:val="4F46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503B1"/>
    <w:multiLevelType w:val="hybridMultilevel"/>
    <w:tmpl w:val="4FE20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26027"/>
    <w:multiLevelType w:val="multilevel"/>
    <w:tmpl w:val="19DA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E3095"/>
    <w:multiLevelType w:val="hybridMultilevel"/>
    <w:tmpl w:val="1EC241E8"/>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37C3D94"/>
    <w:multiLevelType w:val="hybridMultilevel"/>
    <w:tmpl w:val="2FEE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16142"/>
    <w:multiLevelType w:val="hybridMultilevel"/>
    <w:tmpl w:val="DE38C6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13AD1134"/>
    <w:multiLevelType w:val="hybridMultilevel"/>
    <w:tmpl w:val="6E44901A"/>
    <w:lvl w:ilvl="0" w:tplc="9A842D1E">
      <w:numFmt w:val="bullet"/>
      <w:lvlText w:val=""/>
      <w:lvlJc w:val="left"/>
      <w:pPr>
        <w:ind w:left="899" w:hanging="361"/>
      </w:pPr>
      <w:rPr>
        <w:rFonts w:ascii="Symbol" w:eastAsia="Symbol" w:hAnsi="Symbol" w:cs="Symbol" w:hint="default"/>
        <w:b w:val="0"/>
        <w:bCs w:val="0"/>
        <w:i w:val="0"/>
        <w:iCs w:val="0"/>
        <w:w w:val="99"/>
        <w:sz w:val="22"/>
        <w:szCs w:val="22"/>
        <w:lang w:val="en-US" w:eastAsia="en-US" w:bidi="ar-SA"/>
      </w:rPr>
    </w:lvl>
    <w:lvl w:ilvl="1" w:tplc="4BC8A4E2">
      <w:numFmt w:val="bullet"/>
      <w:lvlText w:val="•"/>
      <w:lvlJc w:val="left"/>
      <w:pPr>
        <w:ind w:left="1848" w:hanging="361"/>
      </w:pPr>
      <w:rPr>
        <w:rFonts w:hint="default"/>
        <w:lang w:val="en-US" w:eastAsia="en-US" w:bidi="ar-SA"/>
      </w:rPr>
    </w:lvl>
    <w:lvl w:ilvl="2" w:tplc="04661CA6">
      <w:numFmt w:val="bullet"/>
      <w:lvlText w:val="•"/>
      <w:lvlJc w:val="left"/>
      <w:pPr>
        <w:ind w:left="2796" w:hanging="361"/>
      </w:pPr>
      <w:rPr>
        <w:rFonts w:hint="default"/>
        <w:lang w:val="en-US" w:eastAsia="en-US" w:bidi="ar-SA"/>
      </w:rPr>
    </w:lvl>
    <w:lvl w:ilvl="3" w:tplc="8BF471A4">
      <w:numFmt w:val="bullet"/>
      <w:lvlText w:val="•"/>
      <w:lvlJc w:val="left"/>
      <w:pPr>
        <w:ind w:left="3744" w:hanging="361"/>
      </w:pPr>
      <w:rPr>
        <w:rFonts w:hint="default"/>
        <w:lang w:val="en-US" w:eastAsia="en-US" w:bidi="ar-SA"/>
      </w:rPr>
    </w:lvl>
    <w:lvl w:ilvl="4" w:tplc="0C046890">
      <w:numFmt w:val="bullet"/>
      <w:lvlText w:val="•"/>
      <w:lvlJc w:val="left"/>
      <w:pPr>
        <w:ind w:left="4692" w:hanging="361"/>
      </w:pPr>
      <w:rPr>
        <w:rFonts w:hint="default"/>
        <w:lang w:val="en-US" w:eastAsia="en-US" w:bidi="ar-SA"/>
      </w:rPr>
    </w:lvl>
    <w:lvl w:ilvl="5" w:tplc="F1F286D8">
      <w:numFmt w:val="bullet"/>
      <w:lvlText w:val="•"/>
      <w:lvlJc w:val="left"/>
      <w:pPr>
        <w:ind w:left="5640" w:hanging="361"/>
      </w:pPr>
      <w:rPr>
        <w:rFonts w:hint="default"/>
        <w:lang w:val="en-US" w:eastAsia="en-US" w:bidi="ar-SA"/>
      </w:rPr>
    </w:lvl>
    <w:lvl w:ilvl="6" w:tplc="AD52909C">
      <w:numFmt w:val="bullet"/>
      <w:lvlText w:val="•"/>
      <w:lvlJc w:val="left"/>
      <w:pPr>
        <w:ind w:left="6588" w:hanging="361"/>
      </w:pPr>
      <w:rPr>
        <w:rFonts w:hint="default"/>
        <w:lang w:val="en-US" w:eastAsia="en-US" w:bidi="ar-SA"/>
      </w:rPr>
    </w:lvl>
    <w:lvl w:ilvl="7" w:tplc="3BE29846">
      <w:numFmt w:val="bullet"/>
      <w:lvlText w:val="•"/>
      <w:lvlJc w:val="left"/>
      <w:pPr>
        <w:ind w:left="7536" w:hanging="361"/>
      </w:pPr>
      <w:rPr>
        <w:rFonts w:hint="default"/>
        <w:lang w:val="en-US" w:eastAsia="en-US" w:bidi="ar-SA"/>
      </w:rPr>
    </w:lvl>
    <w:lvl w:ilvl="8" w:tplc="1D14ED74">
      <w:numFmt w:val="bullet"/>
      <w:lvlText w:val="•"/>
      <w:lvlJc w:val="left"/>
      <w:pPr>
        <w:ind w:left="8484" w:hanging="361"/>
      </w:pPr>
      <w:rPr>
        <w:rFonts w:hint="default"/>
        <w:lang w:val="en-US" w:eastAsia="en-US" w:bidi="ar-SA"/>
      </w:rPr>
    </w:lvl>
  </w:abstractNum>
  <w:abstractNum w:abstractNumId="7" w15:restartNumberingAfterBreak="0">
    <w:nsid w:val="15510748"/>
    <w:multiLevelType w:val="hybridMultilevel"/>
    <w:tmpl w:val="25048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449B1"/>
    <w:multiLevelType w:val="hybridMultilevel"/>
    <w:tmpl w:val="DBAA818C"/>
    <w:lvl w:ilvl="0" w:tplc="85C453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536024"/>
    <w:multiLevelType w:val="hybridMultilevel"/>
    <w:tmpl w:val="40CE7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57724"/>
    <w:multiLevelType w:val="hybridMultilevel"/>
    <w:tmpl w:val="D450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90055E"/>
    <w:multiLevelType w:val="hybridMultilevel"/>
    <w:tmpl w:val="379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4D2E2F"/>
    <w:multiLevelType w:val="hybridMultilevel"/>
    <w:tmpl w:val="52D6509E"/>
    <w:lvl w:ilvl="0" w:tplc="E3AE206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043A7"/>
    <w:multiLevelType w:val="hybridMultilevel"/>
    <w:tmpl w:val="5684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25CB8"/>
    <w:multiLevelType w:val="hybridMultilevel"/>
    <w:tmpl w:val="7B608696"/>
    <w:lvl w:ilvl="0" w:tplc="B524DBDC">
      <w:start w:val="1"/>
      <w:numFmt w:val="decimal"/>
      <w:lvlText w:val="%1."/>
      <w:lvlJc w:val="left"/>
      <w:pPr>
        <w:ind w:left="720" w:hanging="360"/>
      </w:pPr>
      <w:rPr>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5B4DB9"/>
    <w:multiLevelType w:val="hybridMultilevel"/>
    <w:tmpl w:val="09405C6C"/>
    <w:lvl w:ilvl="0" w:tplc="D31435F2">
      <w:start w:val="1"/>
      <w:numFmt w:val="decimal"/>
      <w:lvlText w:val="Leve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7625E5"/>
    <w:multiLevelType w:val="hybridMultilevel"/>
    <w:tmpl w:val="DE5C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96B4F"/>
    <w:multiLevelType w:val="hybridMultilevel"/>
    <w:tmpl w:val="2E30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A1683"/>
    <w:multiLevelType w:val="hybridMultilevel"/>
    <w:tmpl w:val="AEB277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521B2410"/>
    <w:multiLevelType w:val="hybridMultilevel"/>
    <w:tmpl w:val="5E0E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80020"/>
    <w:multiLevelType w:val="hybridMultilevel"/>
    <w:tmpl w:val="096CDB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5FDB1E3E"/>
    <w:multiLevelType w:val="hybridMultilevel"/>
    <w:tmpl w:val="E7F42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033984"/>
    <w:multiLevelType w:val="hybridMultilevel"/>
    <w:tmpl w:val="DBAA818C"/>
    <w:lvl w:ilvl="0" w:tplc="85C453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1F23C4"/>
    <w:multiLevelType w:val="hybridMultilevel"/>
    <w:tmpl w:val="BD2A8920"/>
    <w:lvl w:ilvl="0" w:tplc="15DA8CA0">
      <w:numFmt w:val="bullet"/>
      <w:lvlText w:val=""/>
      <w:lvlJc w:val="left"/>
      <w:pPr>
        <w:ind w:left="839" w:hanging="361"/>
      </w:pPr>
      <w:rPr>
        <w:rFonts w:ascii="Symbol" w:eastAsia="Symbol" w:hAnsi="Symbol" w:cs="Symbol" w:hint="default"/>
        <w:b w:val="0"/>
        <w:bCs w:val="0"/>
        <w:i w:val="0"/>
        <w:iCs w:val="0"/>
        <w:w w:val="99"/>
        <w:sz w:val="22"/>
        <w:szCs w:val="22"/>
        <w:lang w:val="en-US" w:eastAsia="en-US" w:bidi="ar-SA"/>
      </w:rPr>
    </w:lvl>
    <w:lvl w:ilvl="1" w:tplc="6C1CF5FA">
      <w:numFmt w:val="bullet"/>
      <w:lvlText w:val="•"/>
      <w:lvlJc w:val="left"/>
      <w:pPr>
        <w:ind w:left="1788" w:hanging="361"/>
      </w:pPr>
      <w:rPr>
        <w:rFonts w:hint="default"/>
        <w:lang w:val="en-US" w:eastAsia="en-US" w:bidi="ar-SA"/>
      </w:rPr>
    </w:lvl>
    <w:lvl w:ilvl="2" w:tplc="04F206A8">
      <w:numFmt w:val="bullet"/>
      <w:lvlText w:val="•"/>
      <w:lvlJc w:val="left"/>
      <w:pPr>
        <w:ind w:left="2736" w:hanging="361"/>
      </w:pPr>
      <w:rPr>
        <w:rFonts w:hint="default"/>
        <w:lang w:val="en-US" w:eastAsia="en-US" w:bidi="ar-SA"/>
      </w:rPr>
    </w:lvl>
    <w:lvl w:ilvl="3" w:tplc="B36CA9E0">
      <w:numFmt w:val="bullet"/>
      <w:lvlText w:val="•"/>
      <w:lvlJc w:val="left"/>
      <w:pPr>
        <w:ind w:left="3684" w:hanging="361"/>
      </w:pPr>
      <w:rPr>
        <w:rFonts w:hint="default"/>
        <w:lang w:val="en-US" w:eastAsia="en-US" w:bidi="ar-SA"/>
      </w:rPr>
    </w:lvl>
    <w:lvl w:ilvl="4" w:tplc="9032361C">
      <w:numFmt w:val="bullet"/>
      <w:lvlText w:val="•"/>
      <w:lvlJc w:val="left"/>
      <w:pPr>
        <w:ind w:left="4632" w:hanging="361"/>
      </w:pPr>
      <w:rPr>
        <w:rFonts w:hint="default"/>
        <w:lang w:val="en-US" w:eastAsia="en-US" w:bidi="ar-SA"/>
      </w:rPr>
    </w:lvl>
    <w:lvl w:ilvl="5" w:tplc="4A5889C4">
      <w:numFmt w:val="bullet"/>
      <w:lvlText w:val="•"/>
      <w:lvlJc w:val="left"/>
      <w:pPr>
        <w:ind w:left="5580" w:hanging="361"/>
      </w:pPr>
      <w:rPr>
        <w:rFonts w:hint="default"/>
        <w:lang w:val="en-US" w:eastAsia="en-US" w:bidi="ar-SA"/>
      </w:rPr>
    </w:lvl>
    <w:lvl w:ilvl="6" w:tplc="BD18BAA0">
      <w:numFmt w:val="bullet"/>
      <w:lvlText w:val="•"/>
      <w:lvlJc w:val="left"/>
      <w:pPr>
        <w:ind w:left="6528" w:hanging="361"/>
      </w:pPr>
      <w:rPr>
        <w:rFonts w:hint="default"/>
        <w:lang w:val="en-US" w:eastAsia="en-US" w:bidi="ar-SA"/>
      </w:rPr>
    </w:lvl>
    <w:lvl w:ilvl="7" w:tplc="2D928A00">
      <w:numFmt w:val="bullet"/>
      <w:lvlText w:val="•"/>
      <w:lvlJc w:val="left"/>
      <w:pPr>
        <w:ind w:left="7476" w:hanging="361"/>
      </w:pPr>
      <w:rPr>
        <w:rFonts w:hint="default"/>
        <w:lang w:val="en-US" w:eastAsia="en-US" w:bidi="ar-SA"/>
      </w:rPr>
    </w:lvl>
    <w:lvl w:ilvl="8" w:tplc="ACE69F78">
      <w:numFmt w:val="bullet"/>
      <w:lvlText w:val="•"/>
      <w:lvlJc w:val="left"/>
      <w:pPr>
        <w:ind w:left="8424" w:hanging="361"/>
      </w:pPr>
      <w:rPr>
        <w:rFonts w:hint="default"/>
        <w:lang w:val="en-US" w:eastAsia="en-US" w:bidi="ar-SA"/>
      </w:rPr>
    </w:lvl>
  </w:abstractNum>
  <w:abstractNum w:abstractNumId="24" w15:restartNumberingAfterBreak="0">
    <w:nsid w:val="69D02EFE"/>
    <w:multiLevelType w:val="multilevel"/>
    <w:tmpl w:val="D24C2368"/>
    <w:lvl w:ilvl="0">
      <w:start w:val="1"/>
      <w:numFmt w:val="decimal"/>
      <w:pStyle w:val="LTNumber1"/>
      <w:lvlText w:val="%1."/>
      <w:lvlJc w:val="left"/>
      <w:pPr>
        <w:tabs>
          <w:tab w:val="num" w:pos="547"/>
        </w:tabs>
        <w:ind w:left="547" w:hanging="547"/>
      </w:pPr>
      <w:rPr>
        <w:rFonts w:ascii="Times New Roman" w:hAnsi="Times New Roman" w:hint="default"/>
        <w:b w:val="0"/>
        <w:i w:val="0"/>
        <w:caps w:val="0"/>
        <w:strike w:val="0"/>
        <w:dstrike w:val="0"/>
        <w:vanish w:val="0"/>
        <w:color w:val="auto"/>
        <w:sz w:val="22"/>
        <w:szCs w:val="22"/>
        <w:u w:val="none"/>
        <w:vertAlign w:val="baseline"/>
      </w:rPr>
    </w:lvl>
    <w:lvl w:ilvl="1">
      <w:start w:val="1"/>
      <w:numFmt w:val="lowerLetter"/>
      <w:pStyle w:val="LTNumber2"/>
      <w:lvlText w:val="(%2)"/>
      <w:lvlJc w:val="left"/>
      <w:pPr>
        <w:tabs>
          <w:tab w:val="num" w:pos="1094"/>
        </w:tabs>
        <w:ind w:left="1094" w:hanging="547"/>
      </w:pPr>
      <w:rPr>
        <w:rFonts w:ascii="Times New Roman" w:hAnsi="Times New Roman" w:hint="default"/>
        <w:b w:val="0"/>
        <w:i w:val="0"/>
        <w:caps w:val="0"/>
        <w:strike w:val="0"/>
        <w:dstrike w:val="0"/>
        <w:vanish w:val="0"/>
        <w:color w:val="auto"/>
        <w:sz w:val="22"/>
        <w:szCs w:val="22"/>
        <w:u w:val="none"/>
        <w:vertAlign w:val="baseline"/>
      </w:rPr>
    </w:lvl>
    <w:lvl w:ilvl="2">
      <w:start w:val="1"/>
      <w:numFmt w:val="lowerRoman"/>
      <w:lvlText w:val="%3)"/>
      <w:lvlJc w:val="left"/>
      <w:pPr>
        <w:tabs>
          <w:tab w:val="num" w:pos="1267"/>
        </w:tabs>
        <w:ind w:left="1267" w:hanging="360"/>
      </w:pPr>
      <w:rPr>
        <w:rFonts w:hint="default"/>
      </w:rPr>
    </w:lvl>
    <w:lvl w:ilvl="3">
      <w:start w:val="1"/>
      <w:numFmt w:val="decimal"/>
      <w:lvlText w:val="(%4)"/>
      <w:lvlJc w:val="left"/>
      <w:pPr>
        <w:tabs>
          <w:tab w:val="num" w:pos="1627"/>
        </w:tabs>
        <w:ind w:left="1627" w:hanging="360"/>
      </w:pPr>
      <w:rPr>
        <w:rFonts w:hint="default"/>
      </w:rPr>
    </w:lvl>
    <w:lvl w:ilvl="4">
      <w:start w:val="1"/>
      <w:numFmt w:val="lowerLetter"/>
      <w:lvlText w:val="(%5)"/>
      <w:lvlJc w:val="left"/>
      <w:pPr>
        <w:tabs>
          <w:tab w:val="num" w:pos="1987"/>
        </w:tabs>
        <w:ind w:left="1987" w:hanging="360"/>
      </w:pPr>
      <w:rPr>
        <w:rFonts w:hint="default"/>
      </w:rPr>
    </w:lvl>
    <w:lvl w:ilvl="5">
      <w:start w:val="1"/>
      <w:numFmt w:val="lowerRoman"/>
      <w:lvlText w:val="(%6)"/>
      <w:lvlJc w:val="left"/>
      <w:pPr>
        <w:tabs>
          <w:tab w:val="num" w:pos="2347"/>
        </w:tabs>
        <w:ind w:left="2347" w:hanging="360"/>
      </w:pPr>
      <w:rPr>
        <w:rFonts w:hint="default"/>
      </w:rPr>
    </w:lvl>
    <w:lvl w:ilvl="6">
      <w:start w:val="1"/>
      <w:numFmt w:val="decimal"/>
      <w:lvlText w:val="%7."/>
      <w:lvlJc w:val="left"/>
      <w:pPr>
        <w:tabs>
          <w:tab w:val="num" w:pos="2707"/>
        </w:tabs>
        <w:ind w:left="2707" w:hanging="360"/>
      </w:pPr>
      <w:rPr>
        <w:rFonts w:hint="default"/>
      </w:rPr>
    </w:lvl>
    <w:lvl w:ilvl="7">
      <w:start w:val="1"/>
      <w:numFmt w:val="lowerLetter"/>
      <w:lvlText w:val="%8."/>
      <w:lvlJc w:val="left"/>
      <w:pPr>
        <w:tabs>
          <w:tab w:val="num" w:pos="3067"/>
        </w:tabs>
        <w:ind w:left="3067" w:hanging="360"/>
      </w:pPr>
      <w:rPr>
        <w:rFonts w:hint="default"/>
      </w:rPr>
    </w:lvl>
    <w:lvl w:ilvl="8">
      <w:start w:val="1"/>
      <w:numFmt w:val="lowerRoman"/>
      <w:lvlText w:val="%9."/>
      <w:lvlJc w:val="left"/>
      <w:pPr>
        <w:tabs>
          <w:tab w:val="num" w:pos="3427"/>
        </w:tabs>
        <w:ind w:left="3427" w:hanging="360"/>
      </w:pPr>
      <w:rPr>
        <w:rFonts w:hint="default"/>
      </w:rPr>
    </w:lvl>
  </w:abstractNum>
  <w:abstractNum w:abstractNumId="25" w15:restartNumberingAfterBreak="0">
    <w:nsid w:val="6A4352BC"/>
    <w:multiLevelType w:val="hybridMultilevel"/>
    <w:tmpl w:val="99666E2E"/>
    <w:lvl w:ilvl="0" w:tplc="EA5434D6">
      <w:start w:val="1"/>
      <w:numFmt w:val="bullet"/>
      <w:lvlText w:val="*"/>
      <w:lvlJc w:val="left"/>
      <w:pPr>
        <w:tabs>
          <w:tab w:val="num" w:pos="2880"/>
        </w:tabs>
        <w:ind w:left="2880" w:hanging="360"/>
      </w:pPr>
      <w:rPr>
        <w:rFonts w:ascii="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F">
      <w:start w:val="1"/>
      <w:numFmt w:val="decimal"/>
      <w:lvlText w:val="%3."/>
      <w:lvlJc w:val="left"/>
      <w:pPr>
        <w:tabs>
          <w:tab w:val="num" w:pos="3600"/>
        </w:tabs>
        <w:ind w:left="3600" w:hanging="360"/>
      </w:pPr>
      <w:rPr>
        <w:rFont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6C9A2DE9"/>
    <w:multiLevelType w:val="hybridMultilevel"/>
    <w:tmpl w:val="EFAE6D62"/>
    <w:lvl w:ilvl="0" w:tplc="D31435F2">
      <w:start w:val="1"/>
      <w:numFmt w:val="decimal"/>
      <w:lvlText w:val="Level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0E52B2"/>
    <w:multiLevelType w:val="hybridMultilevel"/>
    <w:tmpl w:val="67DE19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8ED79FC"/>
    <w:multiLevelType w:val="hybridMultilevel"/>
    <w:tmpl w:val="2C82008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7B4027DA"/>
    <w:multiLevelType w:val="hybridMultilevel"/>
    <w:tmpl w:val="3D92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96506">
    <w:abstractNumId w:val="18"/>
  </w:num>
  <w:num w:numId="2" w16cid:durableId="766271049">
    <w:abstractNumId w:val="27"/>
  </w:num>
  <w:num w:numId="3" w16cid:durableId="354308422">
    <w:abstractNumId w:val="24"/>
  </w:num>
  <w:num w:numId="4" w16cid:durableId="381298014">
    <w:abstractNumId w:val="17"/>
  </w:num>
  <w:num w:numId="5" w16cid:durableId="463042613">
    <w:abstractNumId w:val="19"/>
  </w:num>
  <w:num w:numId="6" w16cid:durableId="573665940">
    <w:abstractNumId w:val="1"/>
  </w:num>
  <w:num w:numId="7" w16cid:durableId="1389299019">
    <w:abstractNumId w:val="15"/>
  </w:num>
  <w:num w:numId="8" w16cid:durableId="1444107762">
    <w:abstractNumId w:val="26"/>
  </w:num>
  <w:num w:numId="9" w16cid:durableId="1515461366">
    <w:abstractNumId w:val="3"/>
  </w:num>
  <w:num w:numId="10" w16cid:durableId="1656950066">
    <w:abstractNumId w:val="22"/>
  </w:num>
  <w:num w:numId="11" w16cid:durableId="271255356">
    <w:abstractNumId w:val="14"/>
  </w:num>
  <w:num w:numId="12" w16cid:durableId="377246089">
    <w:abstractNumId w:val="25"/>
    <w:lvlOverride w:ilvl="0"/>
    <w:lvlOverride w:ilvl="1"/>
    <w:lvlOverride w:ilvl="2">
      <w:startOverride w:val="1"/>
    </w:lvlOverride>
    <w:lvlOverride w:ilvl="3"/>
    <w:lvlOverride w:ilvl="4"/>
    <w:lvlOverride w:ilvl="5"/>
    <w:lvlOverride w:ilvl="6"/>
    <w:lvlOverride w:ilvl="7"/>
    <w:lvlOverride w:ilvl="8"/>
  </w:num>
  <w:num w:numId="13" w16cid:durableId="215897544">
    <w:abstractNumId w:val="16"/>
  </w:num>
  <w:num w:numId="14" w16cid:durableId="1659381228">
    <w:abstractNumId w:val="10"/>
  </w:num>
  <w:num w:numId="15" w16cid:durableId="1033266982">
    <w:abstractNumId w:val="28"/>
  </w:num>
  <w:num w:numId="16" w16cid:durableId="379520180">
    <w:abstractNumId w:val="29"/>
  </w:num>
  <w:num w:numId="17" w16cid:durableId="672144053">
    <w:abstractNumId w:val="21"/>
  </w:num>
  <w:num w:numId="18" w16cid:durableId="1751930509">
    <w:abstractNumId w:val="0"/>
  </w:num>
  <w:num w:numId="19" w16cid:durableId="1946420062">
    <w:abstractNumId w:val="11"/>
  </w:num>
  <w:num w:numId="20" w16cid:durableId="462963895">
    <w:abstractNumId w:val="13"/>
  </w:num>
  <w:num w:numId="21" w16cid:durableId="465466790">
    <w:abstractNumId w:val="7"/>
  </w:num>
  <w:num w:numId="22" w16cid:durableId="463348899">
    <w:abstractNumId w:val="2"/>
  </w:num>
  <w:num w:numId="23" w16cid:durableId="2057703815">
    <w:abstractNumId w:val="20"/>
  </w:num>
  <w:num w:numId="24" w16cid:durableId="257256606">
    <w:abstractNumId w:val="4"/>
  </w:num>
  <w:num w:numId="25" w16cid:durableId="18244577">
    <w:abstractNumId w:val="9"/>
  </w:num>
  <w:num w:numId="26" w16cid:durableId="576939428">
    <w:abstractNumId w:val="12"/>
  </w:num>
  <w:num w:numId="27" w16cid:durableId="1661230081">
    <w:abstractNumId w:val="8"/>
  </w:num>
  <w:num w:numId="28" w16cid:durableId="429011218">
    <w:abstractNumId w:val="23"/>
  </w:num>
  <w:num w:numId="29" w16cid:durableId="610624935">
    <w:abstractNumId w:val="6"/>
  </w:num>
  <w:num w:numId="30" w16cid:durableId="398478661">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33"/>
    <w:rsid w:val="00003A42"/>
    <w:rsid w:val="00011A7F"/>
    <w:rsid w:val="00020C15"/>
    <w:rsid w:val="0002159C"/>
    <w:rsid w:val="00022F3B"/>
    <w:rsid w:val="0002388D"/>
    <w:rsid w:val="00024AB9"/>
    <w:rsid w:val="00026CDA"/>
    <w:rsid w:val="0003007A"/>
    <w:rsid w:val="00040E01"/>
    <w:rsid w:val="00042E28"/>
    <w:rsid w:val="00051238"/>
    <w:rsid w:val="0005684B"/>
    <w:rsid w:val="00060B8A"/>
    <w:rsid w:val="000618D7"/>
    <w:rsid w:val="00062C22"/>
    <w:rsid w:val="0006438E"/>
    <w:rsid w:val="00067DA4"/>
    <w:rsid w:val="0007246A"/>
    <w:rsid w:val="00073248"/>
    <w:rsid w:val="00073E0A"/>
    <w:rsid w:val="0007776B"/>
    <w:rsid w:val="000859D9"/>
    <w:rsid w:val="0009254F"/>
    <w:rsid w:val="00094916"/>
    <w:rsid w:val="000975DC"/>
    <w:rsid w:val="000A220F"/>
    <w:rsid w:val="000A2E36"/>
    <w:rsid w:val="000A5316"/>
    <w:rsid w:val="000B0AAD"/>
    <w:rsid w:val="000B4F29"/>
    <w:rsid w:val="000C05E4"/>
    <w:rsid w:val="000D0571"/>
    <w:rsid w:val="000D0F12"/>
    <w:rsid w:val="000D1A53"/>
    <w:rsid w:val="000D58D0"/>
    <w:rsid w:val="000D6E45"/>
    <w:rsid w:val="000E574B"/>
    <w:rsid w:val="000E63CB"/>
    <w:rsid w:val="000E6F2B"/>
    <w:rsid w:val="000E7B4B"/>
    <w:rsid w:val="000F0424"/>
    <w:rsid w:val="000F2AE3"/>
    <w:rsid w:val="000F2F84"/>
    <w:rsid w:val="000F3C0D"/>
    <w:rsid w:val="00100DE0"/>
    <w:rsid w:val="00102416"/>
    <w:rsid w:val="001041E7"/>
    <w:rsid w:val="00105820"/>
    <w:rsid w:val="00107C41"/>
    <w:rsid w:val="0011178C"/>
    <w:rsid w:val="00111AB6"/>
    <w:rsid w:val="00113E55"/>
    <w:rsid w:val="001148D4"/>
    <w:rsid w:val="00115B7C"/>
    <w:rsid w:val="00117563"/>
    <w:rsid w:val="00121C9D"/>
    <w:rsid w:val="00125298"/>
    <w:rsid w:val="00144924"/>
    <w:rsid w:val="00144FAC"/>
    <w:rsid w:val="0014676D"/>
    <w:rsid w:val="00151921"/>
    <w:rsid w:val="00162AE8"/>
    <w:rsid w:val="001647E8"/>
    <w:rsid w:val="001649E3"/>
    <w:rsid w:val="001673CF"/>
    <w:rsid w:val="0016773F"/>
    <w:rsid w:val="00174BB1"/>
    <w:rsid w:val="0018120B"/>
    <w:rsid w:val="00185161"/>
    <w:rsid w:val="00185B1B"/>
    <w:rsid w:val="0019007E"/>
    <w:rsid w:val="001943BA"/>
    <w:rsid w:val="001A2830"/>
    <w:rsid w:val="001A72BF"/>
    <w:rsid w:val="001B0CB6"/>
    <w:rsid w:val="001B1A88"/>
    <w:rsid w:val="001C196F"/>
    <w:rsid w:val="001C1AE7"/>
    <w:rsid w:val="001C1FB7"/>
    <w:rsid w:val="001C2B49"/>
    <w:rsid w:val="001C54A3"/>
    <w:rsid w:val="001C5B70"/>
    <w:rsid w:val="001D1B94"/>
    <w:rsid w:val="001E1FD4"/>
    <w:rsid w:val="001E2CF5"/>
    <w:rsid w:val="001E3BE6"/>
    <w:rsid w:val="001E6659"/>
    <w:rsid w:val="00207502"/>
    <w:rsid w:val="002076D4"/>
    <w:rsid w:val="00210051"/>
    <w:rsid w:val="002101BA"/>
    <w:rsid w:val="002101E5"/>
    <w:rsid w:val="0021530C"/>
    <w:rsid w:val="00216106"/>
    <w:rsid w:val="002162A8"/>
    <w:rsid w:val="00230E58"/>
    <w:rsid w:val="002332B4"/>
    <w:rsid w:val="002339CB"/>
    <w:rsid w:val="002452F7"/>
    <w:rsid w:val="00251620"/>
    <w:rsid w:val="0025499B"/>
    <w:rsid w:val="002575A4"/>
    <w:rsid w:val="002576DD"/>
    <w:rsid w:val="00263D54"/>
    <w:rsid w:val="00265EC2"/>
    <w:rsid w:val="0027230E"/>
    <w:rsid w:val="00274965"/>
    <w:rsid w:val="00282503"/>
    <w:rsid w:val="00285301"/>
    <w:rsid w:val="00286FC6"/>
    <w:rsid w:val="00287F46"/>
    <w:rsid w:val="002A10A4"/>
    <w:rsid w:val="002A33E5"/>
    <w:rsid w:val="002A3E51"/>
    <w:rsid w:val="002A45FF"/>
    <w:rsid w:val="002B144B"/>
    <w:rsid w:val="002B2909"/>
    <w:rsid w:val="002B67C2"/>
    <w:rsid w:val="002C0103"/>
    <w:rsid w:val="002C201C"/>
    <w:rsid w:val="002C50B3"/>
    <w:rsid w:val="002D3DE3"/>
    <w:rsid w:val="002D4706"/>
    <w:rsid w:val="002D6291"/>
    <w:rsid w:val="002D6C4E"/>
    <w:rsid w:val="002D77D4"/>
    <w:rsid w:val="002E26CE"/>
    <w:rsid w:val="002F0314"/>
    <w:rsid w:val="002F0353"/>
    <w:rsid w:val="002F2C2D"/>
    <w:rsid w:val="00300692"/>
    <w:rsid w:val="00303B07"/>
    <w:rsid w:val="00304161"/>
    <w:rsid w:val="00306C96"/>
    <w:rsid w:val="003166EF"/>
    <w:rsid w:val="00317FFD"/>
    <w:rsid w:val="00322930"/>
    <w:rsid w:val="00324F99"/>
    <w:rsid w:val="003265D1"/>
    <w:rsid w:val="00326EBA"/>
    <w:rsid w:val="0033413A"/>
    <w:rsid w:val="00334585"/>
    <w:rsid w:val="00335095"/>
    <w:rsid w:val="00335BE6"/>
    <w:rsid w:val="003375FC"/>
    <w:rsid w:val="00346E2C"/>
    <w:rsid w:val="003470C1"/>
    <w:rsid w:val="003532EE"/>
    <w:rsid w:val="00355F1D"/>
    <w:rsid w:val="00357FCC"/>
    <w:rsid w:val="003715F8"/>
    <w:rsid w:val="00373110"/>
    <w:rsid w:val="0037477F"/>
    <w:rsid w:val="003A3310"/>
    <w:rsid w:val="003A3329"/>
    <w:rsid w:val="003A4A61"/>
    <w:rsid w:val="003B2FB3"/>
    <w:rsid w:val="003B7305"/>
    <w:rsid w:val="003C16FD"/>
    <w:rsid w:val="003C1E06"/>
    <w:rsid w:val="003C6997"/>
    <w:rsid w:val="003D420A"/>
    <w:rsid w:val="003D63F2"/>
    <w:rsid w:val="003E5E8E"/>
    <w:rsid w:val="003E6462"/>
    <w:rsid w:val="003F37CD"/>
    <w:rsid w:val="003F4D9A"/>
    <w:rsid w:val="0040178E"/>
    <w:rsid w:val="00402D33"/>
    <w:rsid w:val="00403B99"/>
    <w:rsid w:val="00404A7A"/>
    <w:rsid w:val="00404B15"/>
    <w:rsid w:val="00407D27"/>
    <w:rsid w:val="004221ED"/>
    <w:rsid w:val="00422839"/>
    <w:rsid w:val="00423705"/>
    <w:rsid w:val="004237A6"/>
    <w:rsid w:val="00424070"/>
    <w:rsid w:val="0042433C"/>
    <w:rsid w:val="004260BF"/>
    <w:rsid w:val="00426531"/>
    <w:rsid w:val="00427065"/>
    <w:rsid w:val="00427466"/>
    <w:rsid w:val="00432103"/>
    <w:rsid w:val="00435B74"/>
    <w:rsid w:val="00435FA2"/>
    <w:rsid w:val="00441B23"/>
    <w:rsid w:val="00442EC1"/>
    <w:rsid w:val="00444F68"/>
    <w:rsid w:val="00454A0D"/>
    <w:rsid w:val="004634B2"/>
    <w:rsid w:val="00467E88"/>
    <w:rsid w:val="0047353B"/>
    <w:rsid w:val="004818E6"/>
    <w:rsid w:val="0048480B"/>
    <w:rsid w:val="00485434"/>
    <w:rsid w:val="00485D09"/>
    <w:rsid w:val="0049002A"/>
    <w:rsid w:val="00492AEC"/>
    <w:rsid w:val="00493B1F"/>
    <w:rsid w:val="0049439C"/>
    <w:rsid w:val="004961B2"/>
    <w:rsid w:val="004A1EDF"/>
    <w:rsid w:val="004B314A"/>
    <w:rsid w:val="004B537E"/>
    <w:rsid w:val="004B5787"/>
    <w:rsid w:val="004C0B11"/>
    <w:rsid w:val="004C366D"/>
    <w:rsid w:val="004C5B29"/>
    <w:rsid w:val="004C6518"/>
    <w:rsid w:val="004C662D"/>
    <w:rsid w:val="004C689A"/>
    <w:rsid w:val="004C7A01"/>
    <w:rsid w:val="004D7844"/>
    <w:rsid w:val="004E1772"/>
    <w:rsid w:val="004E555D"/>
    <w:rsid w:val="004F0CF9"/>
    <w:rsid w:val="004F5C2B"/>
    <w:rsid w:val="005012B8"/>
    <w:rsid w:val="00503079"/>
    <w:rsid w:val="005119C2"/>
    <w:rsid w:val="005158FB"/>
    <w:rsid w:val="005221D9"/>
    <w:rsid w:val="0052269E"/>
    <w:rsid w:val="005245B7"/>
    <w:rsid w:val="00524B8E"/>
    <w:rsid w:val="005273CC"/>
    <w:rsid w:val="00532081"/>
    <w:rsid w:val="00535993"/>
    <w:rsid w:val="0053792C"/>
    <w:rsid w:val="0054068E"/>
    <w:rsid w:val="005441DC"/>
    <w:rsid w:val="00553D9D"/>
    <w:rsid w:val="00554E4D"/>
    <w:rsid w:val="00562515"/>
    <w:rsid w:val="00564D02"/>
    <w:rsid w:val="00570515"/>
    <w:rsid w:val="0057707F"/>
    <w:rsid w:val="0058641D"/>
    <w:rsid w:val="0058646A"/>
    <w:rsid w:val="005933AB"/>
    <w:rsid w:val="005955F3"/>
    <w:rsid w:val="00596C98"/>
    <w:rsid w:val="005A5C0C"/>
    <w:rsid w:val="005A5C32"/>
    <w:rsid w:val="005B0FD4"/>
    <w:rsid w:val="005B26A1"/>
    <w:rsid w:val="005B6CCB"/>
    <w:rsid w:val="005C4E4F"/>
    <w:rsid w:val="005D6B29"/>
    <w:rsid w:val="005D6E34"/>
    <w:rsid w:val="005D76E7"/>
    <w:rsid w:val="005E4912"/>
    <w:rsid w:val="005F3144"/>
    <w:rsid w:val="00600223"/>
    <w:rsid w:val="006028D4"/>
    <w:rsid w:val="0060490F"/>
    <w:rsid w:val="00605153"/>
    <w:rsid w:val="00605949"/>
    <w:rsid w:val="00606AE7"/>
    <w:rsid w:val="00615C27"/>
    <w:rsid w:val="00616EC6"/>
    <w:rsid w:val="00616F3F"/>
    <w:rsid w:val="0061718B"/>
    <w:rsid w:val="006223C2"/>
    <w:rsid w:val="0062262D"/>
    <w:rsid w:val="00622C7D"/>
    <w:rsid w:val="00624B76"/>
    <w:rsid w:val="00626E01"/>
    <w:rsid w:val="00643AEE"/>
    <w:rsid w:val="006473BD"/>
    <w:rsid w:val="0065355B"/>
    <w:rsid w:val="00661051"/>
    <w:rsid w:val="006628EC"/>
    <w:rsid w:val="006662FE"/>
    <w:rsid w:val="00670A10"/>
    <w:rsid w:val="00671E8D"/>
    <w:rsid w:val="00673FF8"/>
    <w:rsid w:val="00674D4D"/>
    <w:rsid w:val="0067694E"/>
    <w:rsid w:val="0068384E"/>
    <w:rsid w:val="0068687A"/>
    <w:rsid w:val="00694777"/>
    <w:rsid w:val="006A2C84"/>
    <w:rsid w:val="006A6DC1"/>
    <w:rsid w:val="006A730E"/>
    <w:rsid w:val="006B2877"/>
    <w:rsid w:val="006B2BFC"/>
    <w:rsid w:val="006B2CB2"/>
    <w:rsid w:val="006B39DC"/>
    <w:rsid w:val="006B4707"/>
    <w:rsid w:val="006B4BE5"/>
    <w:rsid w:val="006B537A"/>
    <w:rsid w:val="006D1928"/>
    <w:rsid w:val="006D5ACB"/>
    <w:rsid w:val="006D6C84"/>
    <w:rsid w:val="006E11EC"/>
    <w:rsid w:val="006E1EB2"/>
    <w:rsid w:val="006E459B"/>
    <w:rsid w:val="006E72C1"/>
    <w:rsid w:val="006F1636"/>
    <w:rsid w:val="006F78D3"/>
    <w:rsid w:val="007150B2"/>
    <w:rsid w:val="007153DB"/>
    <w:rsid w:val="00715CF8"/>
    <w:rsid w:val="00716FB7"/>
    <w:rsid w:val="0071730F"/>
    <w:rsid w:val="00721CFD"/>
    <w:rsid w:val="00731B89"/>
    <w:rsid w:val="00746DB0"/>
    <w:rsid w:val="00753E47"/>
    <w:rsid w:val="0075598E"/>
    <w:rsid w:val="007601BD"/>
    <w:rsid w:val="00764E3D"/>
    <w:rsid w:val="0076692F"/>
    <w:rsid w:val="00766F8E"/>
    <w:rsid w:val="00767FC6"/>
    <w:rsid w:val="00776DB5"/>
    <w:rsid w:val="00777751"/>
    <w:rsid w:val="00782F42"/>
    <w:rsid w:val="007840A5"/>
    <w:rsid w:val="00787923"/>
    <w:rsid w:val="007906AF"/>
    <w:rsid w:val="00790722"/>
    <w:rsid w:val="007951E7"/>
    <w:rsid w:val="00797329"/>
    <w:rsid w:val="007B5BB3"/>
    <w:rsid w:val="007C0D53"/>
    <w:rsid w:val="007C1003"/>
    <w:rsid w:val="007C137C"/>
    <w:rsid w:val="007C62D3"/>
    <w:rsid w:val="007D03B3"/>
    <w:rsid w:val="007D18D0"/>
    <w:rsid w:val="007D292D"/>
    <w:rsid w:val="007E0D29"/>
    <w:rsid w:val="007E1034"/>
    <w:rsid w:val="007E42A0"/>
    <w:rsid w:val="008063EB"/>
    <w:rsid w:val="0081248E"/>
    <w:rsid w:val="00821E2C"/>
    <w:rsid w:val="008419F5"/>
    <w:rsid w:val="00843996"/>
    <w:rsid w:val="00846900"/>
    <w:rsid w:val="00846D10"/>
    <w:rsid w:val="00850E1F"/>
    <w:rsid w:val="008579CB"/>
    <w:rsid w:val="008642EB"/>
    <w:rsid w:val="00865618"/>
    <w:rsid w:val="00867299"/>
    <w:rsid w:val="00871C7B"/>
    <w:rsid w:val="00872E0D"/>
    <w:rsid w:val="00873829"/>
    <w:rsid w:val="00875313"/>
    <w:rsid w:val="00881C2A"/>
    <w:rsid w:val="0088371E"/>
    <w:rsid w:val="00892F07"/>
    <w:rsid w:val="008A349A"/>
    <w:rsid w:val="008A54B4"/>
    <w:rsid w:val="008A7CF7"/>
    <w:rsid w:val="008B0799"/>
    <w:rsid w:val="008B2881"/>
    <w:rsid w:val="008B28D7"/>
    <w:rsid w:val="008B3CCB"/>
    <w:rsid w:val="008B4F92"/>
    <w:rsid w:val="008C17EA"/>
    <w:rsid w:val="008C6901"/>
    <w:rsid w:val="008D30D8"/>
    <w:rsid w:val="008D4532"/>
    <w:rsid w:val="008E2E89"/>
    <w:rsid w:val="008E3C9D"/>
    <w:rsid w:val="008E42BB"/>
    <w:rsid w:val="008E5540"/>
    <w:rsid w:val="008E6480"/>
    <w:rsid w:val="008F40AC"/>
    <w:rsid w:val="008F64C7"/>
    <w:rsid w:val="009006C6"/>
    <w:rsid w:val="00900E5F"/>
    <w:rsid w:val="00901112"/>
    <w:rsid w:val="00902FE7"/>
    <w:rsid w:val="009044F3"/>
    <w:rsid w:val="00907E1D"/>
    <w:rsid w:val="00910989"/>
    <w:rsid w:val="00910C78"/>
    <w:rsid w:val="009176D6"/>
    <w:rsid w:val="00933838"/>
    <w:rsid w:val="00936C31"/>
    <w:rsid w:val="00940116"/>
    <w:rsid w:val="00942243"/>
    <w:rsid w:val="009429F3"/>
    <w:rsid w:val="00943494"/>
    <w:rsid w:val="00944211"/>
    <w:rsid w:val="009473E8"/>
    <w:rsid w:val="0095224D"/>
    <w:rsid w:val="00957345"/>
    <w:rsid w:val="0096108B"/>
    <w:rsid w:val="00961F94"/>
    <w:rsid w:val="00971850"/>
    <w:rsid w:val="0097589E"/>
    <w:rsid w:val="0098154F"/>
    <w:rsid w:val="00987D33"/>
    <w:rsid w:val="00992EB4"/>
    <w:rsid w:val="00995F47"/>
    <w:rsid w:val="009A449F"/>
    <w:rsid w:val="009A4CF5"/>
    <w:rsid w:val="009A7150"/>
    <w:rsid w:val="009A718B"/>
    <w:rsid w:val="009B5659"/>
    <w:rsid w:val="009B795B"/>
    <w:rsid w:val="009C56B3"/>
    <w:rsid w:val="009C66AE"/>
    <w:rsid w:val="009D1777"/>
    <w:rsid w:val="009D6ECE"/>
    <w:rsid w:val="009E1B0C"/>
    <w:rsid w:val="009E2A0F"/>
    <w:rsid w:val="009E768F"/>
    <w:rsid w:val="009F05DE"/>
    <w:rsid w:val="009F10BE"/>
    <w:rsid w:val="009F7B28"/>
    <w:rsid w:val="00A07FFB"/>
    <w:rsid w:val="00A11117"/>
    <w:rsid w:val="00A147D5"/>
    <w:rsid w:val="00A15807"/>
    <w:rsid w:val="00A16F53"/>
    <w:rsid w:val="00A17DB4"/>
    <w:rsid w:val="00A20757"/>
    <w:rsid w:val="00A2128F"/>
    <w:rsid w:val="00A26172"/>
    <w:rsid w:val="00A26A74"/>
    <w:rsid w:val="00A35AE0"/>
    <w:rsid w:val="00A37D0D"/>
    <w:rsid w:val="00A41B6F"/>
    <w:rsid w:val="00A4359C"/>
    <w:rsid w:val="00A50F70"/>
    <w:rsid w:val="00A53DA7"/>
    <w:rsid w:val="00A54AA2"/>
    <w:rsid w:val="00A56028"/>
    <w:rsid w:val="00A63656"/>
    <w:rsid w:val="00A723A5"/>
    <w:rsid w:val="00A72B6B"/>
    <w:rsid w:val="00A764E8"/>
    <w:rsid w:val="00A84C16"/>
    <w:rsid w:val="00A85083"/>
    <w:rsid w:val="00A87B23"/>
    <w:rsid w:val="00A90034"/>
    <w:rsid w:val="00A92E3A"/>
    <w:rsid w:val="00A93093"/>
    <w:rsid w:val="00A948C1"/>
    <w:rsid w:val="00AA29D3"/>
    <w:rsid w:val="00AA2AB7"/>
    <w:rsid w:val="00AA2E43"/>
    <w:rsid w:val="00AA7335"/>
    <w:rsid w:val="00AB5A22"/>
    <w:rsid w:val="00AC3566"/>
    <w:rsid w:val="00AC4341"/>
    <w:rsid w:val="00AC5C43"/>
    <w:rsid w:val="00AD1246"/>
    <w:rsid w:val="00AD5F47"/>
    <w:rsid w:val="00AE03BF"/>
    <w:rsid w:val="00AE3B63"/>
    <w:rsid w:val="00AE3BB9"/>
    <w:rsid w:val="00AE574F"/>
    <w:rsid w:val="00AF1489"/>
    <w:rsid w:val="00AF49F3"/>
    <w:rsid w:val="00AF5F28"/>
    <w:rsid w:val="00AF7F71"/>
    <w:rsid w:val="00B03B77"/>
    <w:rsid w:val="00B05A52"/>
    <w:rsid w:val="00B103EB"/>
    <w:rsid w:val="00B11891"/>
    <w:rsid w:val="00B12AB6"/>
    <w:rsid w:val="00B1305F"/>
    <w:rsid w:val="00B143DB"/>
    <w:rsid w:val="00B14CBD"/>
    <w:rsid w:val="00B15041"/>
    <w:rsid w:val="00B1627A"/>
    <w:rsid w:val="00B4145F"/>
    <w:rsid w:val="00B44CD8"/>
    <w:rsid w:val="00B50055"/>
    <w:rsid w:val="00B532A6"/>
    <w:rsid w:val="00B57583"/>
    <w:rsid w:val="00B61106"/>
    <w:rsid w:val="00B702B1"/>
    <w:rsid w:val="00B7178A"/>
    <w:rsid w:val="00B7356B"/>
    <w:rsid w:val="00B74147"/>
    <w:rsid w:val="00B742D5"/>
    <w:rsid w:val="00B74C59"/>
    <w:rsid w:val="00B7664E"/>
    <w:rsid w:val="00B777C0"/>
    <w:rsid w:val="00B80482"/>
    <w:rsid w:val="00B90970"/>
    <w:rsid w:val="00BA329E"/>
    <w:rsid w:val="00BB389A"/>
    <w:rsid w:val="00BB5ECA"/>
    <w:rsid w:val="00BB64C9"/>
    <w:rsid w:val="00BC09F3"/>
    <w:rsid w:val="00BC63C4"/>
    <w:rsid w:val="00BD0B91"/>
    <w:rsid w:val="00BD251A"/>
    <w:rsid w:val="00BD3ABC"/>
    <w:rsid w:val="00BD3F1C"/>
    <w:rsid w:val="00BD6112"/>
    <w:rsid w:val="00BE2DEA"/>
    <w:rsid w:val="00BF2E4A"/>
    <w:rsid w:val="00BF6DBA"/>
    <w:rsid w:val="00C00CBD"/>
    <w:rsid w:val="00C020D3"/>
    <w:rsid w:val="00C020E4"/>
    <w:rsid w:val="00C06FD7"/>
    <w:rsid w:val="00C07554"/>
    <w:rsid w:val="00C20A15"/>
    <w:rsid w:val="00C20CD9"/>
    <w:rsid w:val="00C32D18"/>
    <w:rsid w:val="00C405A5"/>
    <w:rsid w:val="00C424F1"/>
    <w:rsid w:val="00C44A69"/>
    <w:rsid w:val="00C535AA"/>
    <w:rsid w:val="00C5780A"/>
    <w:rsid w:val="00C63380"/>
    <w:rsid w:val="00C65C44"/>
    <w:rsid w:val="00C65F83"/>
    <w:rsid w:val="00C7151E"/>
    <w:rsid w:val="00C719D8"/>
    <w:rsid w:val="00C7561B"/>
    <w:rsid w:val="00C8134D"/>
    <w:rsid w:val="00C92252"/>
    <w:rsid w:val="00C95891"/>
    <w:rsid w:val="00C959E4"/>
    <w:rsid w:val="00C96769"/>
    <w:rsid w:val="00C97354"/>
    <w:rsid w:val="00CB3868"/>
    <w:rsid w:val="00CB3F8E"/>
    <w:rsid w:val="00CC12D2"/>
    <w:rsid w:val="00CC6081"/>
    <w:rsid w:val="00CD5AA5"/>
    <w:rsid w:val="00CD64DF"/>
    <w:rsid w:val="00CD768A"/>
    <w:rsid w:val="00CD7D5B"/>
    <w:rsid w:val="00CE0D3B"/>
    <w:rsid w:val="00CF0899"/>
    <w:rsid w:val="00CF0B34"/>
    <w:rsid w:val="00CF1A31"/>
    <w:rsid w:val="00CF534B"/>
    <w:rsid w:val="00CF6370"/>
    <w:rsid w:val="00D023F3"/>
    <w:rsid w:val="00D0786F"/>
    <w:rsid w:val="00D10F67"/>
    <w:rsid w:val="00D151E7"/>
    <w:rsid w:val="00D16959"/>
    <w:rsid w:val="00D20377"/>
    <w:rsid w:val="00D22FED"/>
    <w:rsid w:val="00D255F4"/>
    <w:rsid w:val="00D2701E"/>
    <w:rsid w:val="00D27CDA"/>
    <w:rsid w:val="00D27EB0"/>
    <w:rsid w:val="00D33EF6"/>
    <w:rsid w:val="00D34C74"/>
    <w:rsid w:val="00D353D7"/>
    <w:rsid w:val="00D36823"/>
    <w:rsid w:val="00D44223"/>
    <w:rsid w:val="00D46B78"/>
    <w:rsid w:val="00D46CF8"/>
    <w:rsid w:val="00D53411"/>
    <w:rsid w:val="00D552CD"/>
    <w:rsid w:val="00D5763F"/>
    <w:rsid w:val="00D611D7"/>
    <w:rsid w:val="00D65483"/>
    <w:rsid w:val="00D654D2"/>
    <w:rsid w:val="00D74F57"/>
    <w:rsid w:val="00D755C7"/>
    <w:rsid w:val="00D82C3E"/>
    <w:rsid w:val="00D83E6F"/>
    <w:rsid w:val="00D85047"/>
    <w:rsid w:val="00D90957"/>
    <w:rsid w:val="00D919C5"/>
    <w:rsid w:val="00D9332F"/>
    <w:rsid w:val="00D94C09"/>
    <w:rsid w:val="00D95F78"/>
    <w:rsid w:val="00DA2324"/>
    <w:rsid w:val="00DA43C8"/>
    <w:rsid w:val="00DA5471"/>
    <w:rsid w:val="00DA573C"/>
    <w:rsid w:val="00DB5E4B"/>
    <w:rsid w:val="00DC03CF"/>
    <w:rsid w:val="00DC24A1"/>
    <w:rsid w:val="00DC59C6"/>
    <w:rsid w:val="00DC6B34"/>
    <w:rsid w:val="00DD1720"/>
    <w:rsid w:val="00DD496C"/>
    <w:rsid w:val="00DE0FA7"/>
    <w:rsid w:val="00DE3919"/>
    <w:rsid w:val="00DE7E2B"/>
    <w:rsid w:val="00DF326A"/>
    <w:rsid w:val="00DF3302"/>
    <w:rsid w:val="00E07466"/>
    <w:rsid w:val="00E12915"/>
    <w:rsid w:val="00E12C39"/>
    <w:rsid w:val="00E14B7F"/>
    <w:rsid w:val="00E25872"/>
    <w:rsid w:val="00E266A6"/>
    <w:rsid w:val="00E34202"/>
    <w:rsid w:val="00E377A7"/>
    <w:rsid w:val="00E44FB8"/>
    <w:rsid w:val="00E56947"/>
    <w:rsid w:val="00E56F1B"/>
    <w:rsid w:val="00E575CF"/>
    <w:rsid w:val="00E72007"/>
    <w:rsid w:val="00E72898"/>
    <w:rsid w:val="00E851A0"/>
    <w:rsid w:val="00E85ECB"/>
    <w:rsid w:val="00E914B7"/>
    <w:rsid w:val="00E933F2"/>
    <w:rsid w:val="00E94785"/>
    <w:rsid w:val="00E97217"/>
    <w:rsid w:val="00EA1F01"/>
    <w:rsid w:val="00EA3805"/>
    <w:rsid w:val="00EA4D04"/>
    <w:rsid w:val="00EA5B76"/>
    <w:rsid w:val="00EA5D1F"/>
    <w:rsid w:val="00EB217C"/>
    <w:rsid w:val="00EB2724"/>
    <w:rsid w:val="00EB5AE8"/>
    <w:rsid w:val="00EB5ED1"/>
    <w:rsid w:val="00EB7246"/>
    <w:rsid w:val="00EC2CD8"/>
    <w:rsid w:val="00EC4DBC"/>
    <w:rsid w:val="00EC6706"/>
    <w:rsid w:val="00EC7344"/>
    <w:rsid w:val="00ED5B89"/>
    <w:rsid w:val="00EE2F94"/>
    <w:rsid w:val="00EE6F2E"/>
    <w:rsid w:val="00EF436F"/>
    <w:rsid w:val="00EF5CF4"/>
    <w:rsid w:val="00EF6142"/>
    <w:rsid w:val="00EF7A8C"/>
    <w:rsid w:val="00F0015A"/>
    <w:rsid w:val="00F00998"/>
    <w:rsid w:val="00F02E2A"/>
    <w:rsid w:val="00F04DC2"/>
    <w:rsid w:val="00F10230"/>
    <w:rsid w:val="00F12A06"/>
    <w:rsid w:val="00F12B5C"/>
    <w:rsid w:val="00F13B46"/>
    <w:rsid w:val="00F20C01"/>
    <w:rsid w:val="00F31AA0"/>
    <w:rsid w:val="00F33619"/>
    <w:rsid w:val="00F36681"/>
    <w:rsid w:val="00F442EB"/>
    <w:rsid w:val="00F47C7E"/>
    <w:rsid w:val="00F5445B"/>
    <w:rsid w:val="00F54C22"/>
    <w:rsid w:val="00F556F2"/>
    <w:rsid w:val="00F57252"/>
    <w:rsid w:val="00F70F37"/>
    <w:rsid w:val="00F72A51"/>
    <w:rsid w:val="00F85263"/>
    <w:rsid w:val="00F900C7"/>
    <w:rsid w:val="00F93D2A"/>
    <w:rsid w:val="00F9691F"/>
    <w:rsid w:val="00F96F8B"/>
    <w:rsid w:val="00FA1924"/>
    <w:rsid w:val="00FA25EA"/>
    <w:rsid w:val="00FB20BE"/>
    <w:rsid w:val="00FB47FE"/>
    <w:rsid w:val="00FC4B1F"/>
    <w:rsid w:val="00FC73D2"/>
    <w:rsid w:val="00FD47AB"/>
    <w:rsid w:val="00FE09F6"/>
    <w:rsid w:val="00FE4517"/>
    <w:rsid w:val="00FF0463"/>
    <w:rsid w:val="00FF072C"/>
    <w:rsid w:val="00FF11E6"/>
    <w:rsid w:val="00FF6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14:docId w14:val="33883B73"/>
  <w15:chartTrackingRefBased/>
  <w15:docId w15:val="{846BC629-EBEE-4505-B09F-F570533A3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33"/>
    <w:pPr>
      <w:spacing w:after="0" w:line="240" w:lineRule="auto"/>
    </w:pPr>
  </w:style>
  <w:style w:type="paragraph" w:styleId="Heading1">
    <w:name w:val="heading 1"/>
    <w:basedOn w:val="Normal"/>
    <w:next w:val="Normal"/>
    <w:link w:val="Heading1Char"/>
    <w:autoRedefine/>
    <w:uiPriority w:val="1"/>
    <w:qFormat/>
    <w:rsid w:val="00987D33"/>
    <w:pPr>
      <w:keepNext/>
      <w:pBdr>
        <w:bottom w:val="single" w:sz="8" w:space="1" w:color="00688D"/>
      </w:pBdr>
      <w:tabs>
        <w:tab w:val="center" w:pos="5112"/>
      </w:tabs>
      <w:suppressAutoHyphens/>
      <w:spacing w:before="240" w:after="60"/>
      <w:outlineLvl w:val="0"/>
    </w:pPr>
    <w:rPr>
      <w:rFonts w:ascii="Calibri" w:hAnsi="Calibri" w:cs="Tahoma"/>
      <w:b/>
      <w:i/>
      <w:smallCaps/>
      <w:noProof/>
      <w:color w:val="000000" w:themeColor="text1"/>
      <w:spacing w:val="-3"/>
      <w:sz w:val="24"/>
      <w:szCs w:val="24"/>
      <w:u w:color="5B9BD5"/>
      <w14:textOutline w14:w="25400" w14:cap="rnd" w14:cmpd="sng" w14:algn="ctr">
        <w14:noFill/>
        <w14:prstDash w14:val="solid"/>
        <w14:bevel/>
      </w14:textOutline>
    </w:rPr>
  </w:style>
  <w:style w:type="paragraph" w:styleId="Heading2">
    <w:name w:val="heading 2"/>
    <w:basedOn w:val="Normal"/>
    <w:next w:val="Normal"/>
    <w:link w:val="Heading2Char"/>
    <w:autoRedefine/>
    <w:uiPriority w:val="1"/>
    <w:qFormat/>
    <w:rsid w:val="00AF1489"/>
    <w:pPr>
      <w:keepNext/>
      <w:tabs>
        <w:tab w:val="left" w:pos="720"/>
        <w:tab w:val="left" w:pos="1022"/>
        <w:tab w:val="left" w:pos="1440"/>
        <w:tab w:val="right" w:pos="4262"/>
        <w:tab w:val="right" w:pos="5220"/>
        <w:tab w:val="right" w:pos="6691"/>
        <w:tab w:val="right" w:pos="7621"/>
        <w:tab w:val="right" w:pos="9187"/>
      </w:tabs>
      <w:suppressAutoHyphens/>
      <w:jc w:val="both"/>
      <w:outlineLvl w:val="1"/>
    </w:pPr>
    <w:rPr>
      <w:rFonts w:ascii="Arial" w:eastAsia="Times New Roman" w:hAnsi="Arial" w:cs="Arial"/>
      <w:b/>
      <w:i/>
      <w:color w:val="000000"/>
      <w:spacing w:val="-3"/>
    </w:rPr>
  </w:style>
  <w:style w:type="paragraph" w:styleId="Heading3">
    <w:name w:val="heading 3"/>
    <w:basedOn w:val="Normal"/>
    <w:next w:val="Normal"/>
    <w:link w:val="Heading3Char"/>
    <w:autoRedefine/>
    <w:qFormat/>
    <w:rsid w:val="00987D33"/>
    <w:pPr>
      <w:keepNext/>
      <w:tabs>
        <w:tab w:val="center" w:pos="5112"/>
      </w:tabs>
      <w:suppressAutoHyphens/>
      <w:spacing w:after="120"/>
      <w:jc w:val="both"/>
      <w:outlineLvl w:val="2"/>
    </w:pPr>
    <w:rPr>
      <w:rFonts w:ascii="Calibri" w:eastAsia="Times New Roman" w:hAnsi="Calibri" w:cs="Times New Roman"/>
      <w:b/>
      <w:color w:val="000000"/>
      <w:spacing w:val="-3"/>
      <w:sz w:val="24"/>
      <w:szCs w:val="20"/>
      <w:u w:val="single"/>
    </w:rPr>
  </w:style>
  <w:style w:type="paragraph" w:styleId="Heading4">
    <w:name w:val="heading 4"/>
    <w:basedOn w:val="Normal"/>
    <w:next w:val="Normal"/>
    <w:link w:val="Heading4Char"/>
    <w:qFormat/>
    <w:rsid w:val="00987D33"/>
    <w:pPr>
      <w:keepNext/>
      <w:pBdr>
        <w:bottom w:val="single" w:sz="18" w:space="1" w:color="00688D"/>
      </w:pBdr>
      <w:tabs>
        <w:tab w:val="left" w:pos="720"/>
        <w:tab w:val="left" w:pos="1440"/>
        <w:tab w:val="center" w:pos="5400"/>
        <w:tab w:val="left" w:pos="10620"/>
      </w:tabs>
      <w:spacing w:after="40" w:line="240" w:lineRule="atLeast"/>
      <w:outlineLvl w:val="3"/>
    </w:pPr>
    <w:rPr>
      <w:rFonts w:eastAsia="Times New Roman" w:cs="Times New Roman"/>
      <w:i/>
      <w:color w:val="000000"/>
      <w:sz w:val="20"/>
      <w:szCs w:val="20"/>
    </w:rPr>
  </w:style>
  <w:style w:type="paragraph" w:styleId="Heading5">
    <w:name w:val="heading 5"/>
    <w:basedOn w:val="Normal"/>
    <w:next w:val="Normal"/>
    <w:link w:val="Heading5Char"/>
    <w:qFormat/>
    <w:rsid w:val="00987D33"/>
    <w:pPr>
      <w:keepNext/>
      <w:pBdr>
        <w:bottom w:val="single" w:sz="18" w:space="1" w:color="5B9BD5"/>
      </w:pBdr>
      <w:tabs>
        <w:tab w:val="center" w:pos="5112"/>
      </w:tabs>
      <w:suppressAutoHyphens/>
      <w:jc w:val="center"/>
      <w:outlineLvl w:val="4"/>
    </w:pPr>
    <w:rPr>
      <w:rFonts w:ascii="Calibri" w:eastAsia="Times New Roman" w:hAnsi="Calibri" w:cs="Times New Roman"/>
      <w:b/>
      <w:i/>
      <w:color w:val="000000"/>
      <w:spacing w:val="-3"/>
      <w:sz w:val="40"/>
      <w:szCs w:val="20"/>
    </w:rPr>
  </w:style>
  <w:style w:type="paragraph" w:styleId="Heading6">
    <w:name w:val="heading 6"/>
    <w:basedOn w:val="Normal"/>
    <w:next w:val="Normal"/>
    <w:link w:val="Heading6Char"/>
    <w:qFormat/>
    <w:rsid w:val="00987D33"/>
    <w:pPr>
      <w:keepNext/>
      <w:tabs>
        <w:tab w:val="left" w:pos="720"/>
        <w:tab w:val="left" w:pos="1022"/>
        <w:tab w:val="left" w:pos="1440"/>
        <w:tab w:val="right" w:pos="4262"/>
        <w:tab w:val="right" w:pos="5220"/>
        <w:tab w:val="right" w:pos="6691"/>
        <w:tab w:val="right" w:pos="7621"/>
        <w:tab w:val="right" w:pos="9187"/>
      </w:tabs>
      <w:suppressAutoHyphens/>
      <w:ind w:left="1022"/>
      <w:jc w:val="both"/>
      <w:outlineLvl w:val="5"/>
    </w:pPr>
    <w:rPr>
      <w:rFonts w:ascii="Arial" w:eastAsia="Times New Roman" w:hAnsi="Arial" w:cs="Times New Roman"/>
      <w:b/>
      <w:szCs w:val="20"/>
    </w:rPr>
  </w:style>
  <w:style w:type="paragraph" w:styleId="Heading7">
    <w:name w:val="heading 7"/>
    <w:basedOn w:val="Normal"/>
    <w:next w:val="Normal"/>
    <w:link w:val="Heading7Char"/>
    <w:qFormat/>
    <w:rsid w:val="00987D33"/>
    <w:pPr>
      <w:keepNext/>
      <w:pBdr>
        <w:top w:val="single" w:sz="24" w:space="1" w:color="00688D"/>
      </w:pBdr>
      <w:tabs>
        <w:tab w:val="left" w:pos="720"/>
        <w:tab w:val="left" w:pos="1440"/>
        <w:tab w:val="right" w:pos="4262"/>
        <w:tab w:val="right" w:pos="5220"/>
        <w:tab w:val="right" w:pos="6691"/>
        <w:tab w:val="right" w:pos="7621"/>
        <w:tab w:val="right" w:pos="9630"/>
      </w:tabs>
      <w:suppressAutoHyphens/>
      <w:ind w:left="720" w:hanging="720"/>
      <w:jc w:val="right"/>
      <w:outlineLvl w:val="6"/>
    </w:pPr>
    <w:rPr>
      <w:rFonts w:ascii="Calibri" w:eastAsia="Times New Roman" w:hAnsi="Calibri" w:cs="Times New Roman"/>
      <w:color w:val="000000"/>
      <w:spacing w:val="-3"/>
      <w:szCs w:val="20"/>
    </w:rPr>
  </w:style>
  <w:style w:type="paragraph" w:styleId="Heading8">
    <w:name w:val="heading 8"/>
    <w:basedOn w:val="Normal"/>
    <w:next w:val="Normal"/>
    <w:link w:val="Heading8Char"/>
    <w:qFormat/>
    <w:rsid w:val="00987D33"/>
    <w:pPr>
      <w:keepNext/>
      <w:tabs>
        <w:tab w:val="left" w:pos="720"/>
        <w:tab w:val="left" w:pos="1440"/>
        <w:tab w:val="left" w:pos="1848"/>
        <w:tab w:val="left" w:pos="5040"/>
        <w:tab w:val="right" w:pos="7260"/>
      </w:tabs>
      <w:suppressAutoHyphens/>
      <w:jc w:val="both"/>
      <w:outlineLvl w:val="7"/>
    </w:pPr>
    <w:rPr>
      <w:rFonts w:ascii="Arial" w:eastAsia="Times New Roman" w:hAnsi="Arial" w:cs="Times New Roman"/>
      <w:b/>
      <w:bCs/>
      <w:spacing w:val="-3"/>
      <w:szCs w:val="20"/>
    </w:rPr>
  </w:style>
  <w:style w:type="paragraph" w:styleId="Heading9">
    <w:name w:val="heading 9"/>
    <w:basedOn w:val="Normal"/>
    <w:next w:val="Normal"/>
    <w:link w:val="Heading9Char"/>
    <w:qFormat/>
    <w:rsid w:val="00987D33"/>
    <w:pPr>
      <w:keepNext/>
      <w:tabs>
        <w:tab w:val="left" w:pos="1440"/>
        <w:tab w:val="right" w:pos="4262"/>
        <w:tab w:val="right" w:pos="5220"/>
        <w:tab w:val="right" w:pos="6691"/>
        <w:tab w:val="right" w:pos="7621"/>
        <w:tab w:val="right" w:pos="9187"/>
      </w:tabs>
      <w:suppressAutoHyphens/>
      <w:ind w:left="1440"/>
      <w:jc w:val="both"/>
      <w:outlineLvl w:val="8"/>
    </w:pPr>
    <w:rPr>
      <w:rFonts w:ascii="Arial" w:eastAsia="Times New Roman" w:hAnsi="Arial"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87D33"/>
    <w:rPr>
      <w:rFonts w:ascii="Calibri" w:hAnsi="Calibri" w:cs="Tahoma"/>
      <w:b/>
      <w:i/>
      <w:smallCaps/>
      <w:noProof/>
      <w:color w:val="000000" w:themeColor="text1"/>
      <w:spacing w:val="-3"/>
      <w:sz w:val="24"/>
      <w:szCs w:val="24"/>
      <w:u w:color="5B9BD5"/>
      <w14:textOutline w14:w="25400" w14:cap="rnd" w14:cmpd="sng" w14:algn="ctr">
        <w14:noFill/>
        <w14:prstDash w14:val="solid"/>
        <w14:bevel/>
      </w14:textOutline>
    </w:rPr>
  </w:style>
  <w:style w:type="character" w:customStyle="1" w:styleId="Heading2Char">
    <w:name w:val="Heading 2 Char"/>
    <w:basedOn w:val="DefaultParagraphFont"/>
    <w:link w:val="Heading2"/>
    <w:uiPriority w:val="1"/>
    <w:rsid w:val="00AF1489"/>
    <w:rPr>
      <w:rFonts w:ascii="Arial" w:eastAsia="Times New Roman" w:hAnsi="Arial" w:cs="Arial"/>
      <w:b/>
      <w:i/>
      <w:color w:val="000000"/>
      <w:spacing w:val="-3"/>
    </w:rPr>
  </w:style>
  <w:style w:type="character" w:customStyle="1" w:styleId="Heading3Char">
    <w:name w:val="Heading 3 Char"/>
    <w:basedOn w:val="DefaultParagraphFont"/>
    <w:link w:val="Heading3"/>
    <w:rsid w:val="00987D33"/>
    <w:rPr>
      <w:rFonts w:ascii="Calibri" w:eastAsia="Times New Roman" w:hAnsi="Calibri" w:cs="Times New Roman"/>
      <w:b/>
      <w:color w:val="000000"/>
      <w:spacing w:val="-3"/>
      <w:sz w:val="24"/>
      <w:szCs w:val="20"/>
      <w:u w:val="single"/>
    </w:rPr>
  </w:style>
  <w:style w:type="character" w:customStyle="1" w:styleId="Heading4Char">
    <w:name w:val="Heading 4 Char"/>
    <w:basedOn w:val="DefaultParagraphFont"/>
    <w:link w:val="Heading4"/>
    <w:rsid w:val="00987D33"/>
    <w:rPr>
      <w:rFonts w:eastAsia="Times New Roman" w:cs="Times New Roman"/>
      <w:i/>
      <w:color w:val="000000"/>
      <w:sz w:val="20"/>
      <w:szCs w:val="20"/>
    </w:rPr>
  </w:style>
  <w:style w:type="character" w:customStyle="1" w:styleId="Heading5Char">
    <w:name w:val="Heading 5 Char"/>
    <w:basedOn w:val="DefaultParagraphFont"/>
    <w:link w:val="Heading5"/>
    <w:rsid w:val="00987D33"/>
    <w:rPr>
      <w:rFonts w:ascii="Calibri" w:eastAsia="Times New Roman" w:hAnsi="Calibri" w:cs="Times New Roman"/>
      <w:b/>
      <w:i/>
      <w:color w:val="000000"/>
      <w:spacing w:val="-3"/>
      <w:sz w:val="40"/>
      <w:szCs w:val="20"/>
    </w:rPr>
  </w:style>
  <w:style w:type="character" w:customStyle="1" w:styleId="Heading6Char">
    <w:name w:val="Heading 6 Char"/>
    <w:basedOn w:val="DefaultParagraphFont"/>
    <w:link w:val="Heading6"/>
    <w:rsid w:val="00987D33"/>
    <w:rPr>
      <w:rFonts w:ascii="Arial" w:eastAsia="Times New Roman" w:hAnsi="Arial" w:cs="Times New Roman"/>
      <w:b/>
      <w:szCs w:val="20"/>
    </w:rPr>
  </w:style>
  <w:style w:type="character" w:customStyle="1" w:styleId="Heading7Char">
    <w:name w:val="Heading 7 Char"/>
    <w:basedOn w:val="DefaultParagraphFont"/>
    <w:link w:val="Heading7"/>
    <w:rsid w:val="00987D33"/>
    <w:rPr>
      <w:rFonts w:ascii="Calibri" w:eastAsia="Times New Roman" w:hAnsi="Calibri" w:cs="Times New Roman"/>
      <w:color w:val="000000"/>
      <w:spacing w:val="-3"/>
      <w:szCs w:val="20"/>
    </w:rPr>
  </w:style>
  <w:style w:type="character" w:customStyle="1" w:styleId="Heading8Char">
    <w:name w:val="Heading 8 Char"/>
    <w:basedOn w:val="DefaultParagraphFont"/>
    <w:link w:val="Heading8"/>
    <w:rsid w:val="00987D33"/>
    <w:rPr>
      <w:rFonts w:ascii="Arial" w:eastAsia="Times New Roman" w:hAnsi="Arial" w:cs="Times New Roman"/>
      <w:b/>
      <w:bCs/>
      <w:spacing w:val="-3"/>
      <w:szCs w:val="20"/>
    </w:rPr>
  </w:style>
  <w:style w:type="character" w:customStyle="1" w:styleId="Heading9Char">
    <w:name w:val="Heading 9 Char"/>
    <w:basedOn w:val="DefaultParagraphFont"/>
    <w:link w:val="Heading9"/>
    <w:rsid w:val="00987D33"/>
    <w:rPr>
      <w:rFonts w:ascii="Arial" w:eastAsia="Times New Roman" w:hAnsi="Arial" w:cs="Arial"/>
      <w:b/>
      <w:szCs w:val="20"/>
    </w:rPr>
  </w:style>
  <w:style w:type="paragraph" w:styleId="Header">
    <w:name w:val="header"/>
    <w:basedOn w:val="Normal"/>
    <w:link w:val="HeaderChar"/>
    <w:uiPriority w:val="99"/>
    <w:unhideWhenUsed/>
    <w:rsid w:val="00987D33"/>
    <w:pPr>
      <w:tabs>
        <w:tab w:val="center" w:pos="4680"/>
        <w:tab w:val="right" w:pos="9360"/>
      </w:tabs>
    </w:pPr>
  </w:style>
  <w:style w:type="character" w:customStyle="1" w:styleId="HeaderChar">
    <w:name w:val="Header Char"/>
    <w:basedOn w:val="DefaultParagraphFont"/>
    <w:link w:val="Header"/>
    <w:uiPriority w:val="99"/>
    <w:rsid w:val="00987D33"/>
  </w:style>
  <w:style w:type="paragraph" w:styleId="Footer">
    <w:name w:val="footer"/>
    <w:basedOn w:val="Normal"/>
    <w:link w:val="FooterChar"/>
    <w:uiPriority w:val="99"/>
    <w:unhideWhenUsed/>
    <w:qFormat/>
    <w:rsid w:val="00987D33"/>
    <w:pPr>
      <w:tabs>
        <w:tab w:val="center" w:pos="4680"/>
        <w:tab w:val="right" w:pos="9360"/>
      </w:tabs>
    </w:pPr>
  </w:style>
  <w:style w:type="character" w:customStyle="1" w:styleId="FooterChar">
    <w:name w:val="Footer Char"/>
    <w:basedOn w:val="DefaultParagraphFont"/>
    <w:link w:val="Footer"/>
    <w:uiPriority w:val="99"/>
    <w:rsid w:val="00987D33"/>
  </w:style>
  <w:style w:type="paragraph" w:styleId="NoSpacing">
    <w:name w:val="No Spacing"/>
    <w:uiPriority w:val="1"/>
    <w:qFormat/>
    <w:rsid w:val="00987D33"/>
    <w:pPr>
      <w:spacing w:after="0" w:line="240" w:lineRule="auto"/>
    </w:pPr>
    <w:rPr>
      <w:color w:val="44546A" w:themeColor="text2"/>
      <w:sz w:val="20"/>
      <w:szCs w:val="20"/>
    </w:rPr>
  </w:style>
  <w:style w:type="table" w:styleId="TableGrid">
    <w:name w:val="Table Grid"/>
    <w:basedOn w:val="TableNormal"/>
    <w:rsid w:val="0098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7D33"/>
    <w:rPr>
      <w:color w:val="0563C1" w:themeColor="hyperlink"/>
      <w:u w:val="single"/>
    </w:rPr>
  </w:style>
  <w:style w:type="paragraph" w:styleId="BalloonText">
    <w:name w:val="Balloon Text"/>
    <w:basedOn w:val="Normal"/>
    <w:link w:val="BalloonTextChar"/>
    <w:semiHidden/>
    <w:unhideWhenUsed/>
    <w:rsid w:val="00987D33"/>
    <w:rPr>
      <w:rFonts w:ascii="Segoe UI" w:hAnsi="Segoe UI" w:cs="Segoe UI"/>
      <w:sz w:val="18"/>
      <w:szCs w:val="18"/>
    </w:rPr>
  </w:style>
  <w:style w:type="character" w:customStyle="1" w:styleId="BalloonTextChar">
    <w:name w:val="Balloon Text Char"/>
    <w:basedOn w:val="DefaultParagraphFont"/>
    <w:link w:val="BalloonText"/>
    <w:semiHidden/>
    <w:rsid w:val="00987D33"/>
    <w:rPr>
      <w:rFonts w:ascii="Segoe UI" w:hAnsi="Segoe UI" w:cs="Segoe UI"/>
      <w:sz w:val="18"/>
      <w:szCs w:val="18"/>
    </w:rPr>
  </w:style>
  <w:style w:type="character" w:styleId="FollowedHyperlink">
    <w:name w:val="FollowedHyperlink"/>
    <w:basedOn w:val="DefaultParagraphFont"/>
    <w:unhideWhenUsed/>
    <w:rsid w:val="00987D33"/>
    <w:rPr>
      <w:color w:val="954F72" w:themeColor="followedHyperlink"/>
      <w:u w:val="single"/>
    </w:rPr>
  </w:style>
  <w:style w:type="paragraph" w:styleId="Title">
    <w:name w:val="Title"/>
    <w:basedOn w:val="Normal"/>
    <w:link w:val="TitleChar"/>
    <w:uiPriority w:val="1"/>
    <w:qFormat/>
    <w:rsid w:val="00987D33"/>
    <w:pPr>
      <w:jc w:val="center"/>
    </w:pPr>
    <w:rPr>
      <w:rFonts w:ascii="Arial" w:eastAsia="Times New Roman" w:hAnsi="Arial" w:cs="Arial"/>
      <w:b/>
      <w:bCs/>
      <w:sz w:val="28"/>
      <w:szCs w:val="24"/>
    </w:rPr>
  </w:style>
  <w:style w:type="character" w:customStyle="1" w:styleId="TitleChar">
    <w:name w:val="Title Char"/>
    <w:basedOn w:val="DefaultParagraphFont"/>
    <w:link w:val="Title"/>
    <w:uiPriority w:val="10"/>
    <w:rsid w:val="00987D33"/>
    <w:rPr>
      <w:rFonts w:ascii="Arial" w:eastAsia="Times New Roman" w:hAnsi="Arial" w:cs="Arial"/>
      <w:b/>
      <w:bCs/>
      <w:sz w:val="28"/>
      <w:szCs w:val="24"/>
    </w:rPr>
  </w:style>
  <w:style w:type="character" w:styleId="PageNumber">
    <w:name w:val="page number"/>
    <w:basedOn w:val="DefaultParagraphFont"/>
    <w:rsid w:val="00987D33"/>
  </w:style>
  <w:style w:type="paragraph" w:styleId="TOC1">
    <w:name w:val="toc 1"/>
    <w:basedOn w:val="Normal"/>
    <w:next w:val="Normal"/>
    <w:autoRedefine/>
    <w:uiPriority w:val="39"/>
    <w:rsid w:val="00987D33"/>
    <w:pPr>
      <w:tabs>
        <w:tab w:val="left" w:leader="dot" w:pos="9000"/>
        <w:tab w:val="right" w:pos="9360"/>
      </w:tabs>
      <w:suppressAutoHyphens/>
      <w:spacing w:before="480"/>
      <w:ind w:left="720" w:right="720" w:hanging="720"/>
    </w:pPr>
    <w:rPr>
      <w:rFonts w:ascii="CG Times Bold" w:eastAsia="Times New Roman" w:hAnsi="CG Times Bold" w:cs="Times New Roman"/>
      <w:b/>
      <w:sz w:val="24"/>
      <w:szCs w:val="20"/>
    </w:rPr>
  </w:style>
  <w:style w:type="paragraph" w:styleId="TOC2">
    <w:name w:val="toc 2"/>
    <w:basedOn w:val="Normal"/>
    <w:next w:val="Normal"/>
    <w:autoRedefine/>
    <w:uiPriority w:val="39"/>
    <w:rsid w:val="00987D33"/>
    <w:pPr>
      <w:tabs>
        <w:tab w:val="left" w:leader="dot" w:pos="9000"/>
        <w:tab w:val="right" w:pos="9360"/>
      </w:tabs>
      <w:suppressAutoHyphens/>
      <w:ind w:left="1440" w:right="720" w:hanging="720"/>
    </w:pPr>
    <w:rPr>
      <w:rFonts w:ascii="CG Times Bold" w:eastAsia="Times New Roman" w:hAnsi="CG Times Bold" w:cs="Times New Roman"/>
      <w:b/>
      <w:sz w:val="24"/>
      <w:szCs w:val="20"/>
    </w:rPr>
  </w:style>
  <w:style w:type="paragraph" w:styleId="TOC3">
    <w:name w:val="toc 3"/>
    <w:basedOn w:val="Normal"/>
    <w:next w:val="Normal"/>
    <w:autoRedefine/>
    <w:uiPriority w:val="39"/>
    <w:rsid w:val="00987D33"/>
    <w:pPr>
      <w:tabs>
        <w:tab w:val="left" w:leader="dot" w:pos="9000"/>
        <w:tab w:val="right" w:pos="9360"/>
      </w:tabs>
      <w:suppressAutoHyphens/>
      <w:ind w:left="2160" w:right="720" w:hanging="720"/>
    </w:pPr>
    <w:rPr>
      <w:rFonts w:ascii="CG Times Bold" w:eastAsia="Times New Roman" w:hAnsi="CG Times Bold" w:cs="Times New Roman"/>
      <w:b/>
      <w:sz w:val="24"/>
      <w:szCs w:val="20"/>
    </w:rPr>
  </w:style>
  <w:style w:type="paragraph" w:styleId="TOC4">
    <w:name w:val="toc 4"/>
    <w:basedOn w:val="Normal"/>
    <w:next w:val="Normal"/>
    <w:autoRedefine/>
    <w:semiHidden/>
    <w:rsid w:val="00987D33"/>
    <w:pPr>
      <w:tabs>
        <w:tab w:val="left" w:leader="dot" w:pos="9000"/>
        <w:tab w:val="right" w:pos="9360"/>
      </w:tabs>
      <w:suppressAutoHyphens/>
      <w:ind w:left="2880" w:right="720" w:hanging="720"/>
    </w:pPr>
    <w:rPr>
      <w:rFonts w:ascii="CG Times Bold" w:eastAsia="Times New Roman" w:hAnsi="CG Times Bold" w:cs="Times New Roman"/>
      <w:b/>
      <w:sz w:val="24"/>
      <w:szCs w:val="20"/>
    </w:rPr>
  </w:style>
  <w:style w:type="paragraph" w:styleId="TOC5">
    <w:name w:val="toc 5"/>
    <w:basedOn w:val="Normal"/>
    <w:next w:val="Normal"/>
    <w:autoRedefine/>
    <w:semiHidden/>
    <w:rsid w:val="00987D33"/>
    <w:pPr>
      <w:tabs>
        <w:tab w:val="left" w:leader="dot" w:pos="9000"/>
        <w:tab w:val="right" w:pos="9360"/>
      </w:tabs>
      <w:suppressAutoHyphens/>
      <w:ind w:left="3600" w:right="720" w:hanging="720"/>
    </w:pPr>
    <w:rPr>
      <w:rFonts w:ascii="CG Times Bold" w:eastAsia="Times New Roman" w:hAnsi="CG Times Bold" w:cs="Times New Roman"/>
      <w:b/>
      <w:sz w:val="24"/>
      <w:szCs w:val="20"/>
    </w:rPr>
  </w:style>
  <w:style w:type="paragraph" w:styleId="TOC6">
    <w:name w:val="toc 6"/>
    <w:basedOn w:val="Normal"/>
    <w:next w:val="Normal"/>
    <w:autoRedefine/>
    <w:semiHidden/>
    <w:rsid w:val="00987D33"/>
    <w:pPr>
      <w:tabs>
        <w:tab w:val="left" w:pos="9000"/>
        <w:tab w:val="right" w:pos="9360"/>
      </w:tabs>
      <w:suppressAutoHyphens/>
      <w:ind w:left="720" w:hanging="720"/>
    </w:pPr>
    <w:rPr>
      <w:rFonts w:ascii="CG Times Bold" w:eastAsia="Times New Roman" w:hAnsi="CG Times Bold" w:cs="Times New Roman"/>
      <w:b/>
      <w:sz w:val="24"/>
      <w:szCs w:val="20"/>
    </w:rPr>
  </w:style>
  <w:style w:type="paragraph" w:styleId="TOC7">
    <w:name w:val="toc 7"/>
    <w:basedOn w:val="Normal"/>
    <w:next w:val="Normal"/>
    <w:autoRedefine/>
    <w:semiHidden/>
    <w:rsid w:val="00987D33"/>
    <w:pPr>
      <w:suppressAutoHyphens/>
      <w:ind w:left="720" w:hanging="720"/>
    </w:pPr>
    <w:rPr>
      <w:rFonts w:ascii="CG Times Bold" w:eastAsia="Times New Roman" w:hAnsi="CG Times Bold" w:cs="Times New Roman"/>
      <w:b/>
      <w:sz w:val="24"/>
      <w:szCs w:val="20"/>
    </w:rPr>
  </w:style>
  <w:style w:type="paragraph" w:styleId="TOC8">
    <w:name w:val="toc 8"/>
    <w:basedOn w:val="Normal"/>
    <w:next w:val="Normal"/>
    <w:autoRedefine/>
    <w:semiHidden/>
    <w:rsid w:val="00987D33"/>
    <w:pPr>
      <w:tabs>
        <w:tab w:val="left" w:pos="9000"/>
        <w:tab w:val="right" w:pos="9360"/>
      </w:tabs>
      <w:suppressAutoHyphens/>
      <w:ind w:left="720" w:hanging="720"/>
    </w:pPr>
    <w:rPr>
      <w:rFonts w:ascii="CG Times Bold" w:eastAsia="Times New Roman" w:hAnsi="CG Times Bold" w:cs="Times New Roman"/>
      <w:b/>
      <w:sz w:val="24"/>
      <w:szCs w:val="20"/>
    </w:rPr>
  </w:style>
  <w:style w:type="paragraph" w:styleId="TOC9">
    <w:name w:val="toc 9"/>
    <w:basedOn w:val="Normal"/>
    <w:next w:val="Normal"/>
    <w:autoRedefine/>
    <w:semiHidden/>
    <w:rsid w:val="00987D33"/>
    <w:pPr>
      <w:tabs>
        <w:tab w:val="left" w:leader="dot" w:pos="9000"/>
        <w:tab w:val="right" w:pos="9360"/>
      </w:tabs>
      <w:suppressAutoHyphens/>
      <w:ind w:left="720" w:hanging="720"/>
    </w:pPr>
    <w:rPr>
      <w:rFonts w:ascii="CG Times Bold" w:eastAsia="Times New Roman" w:hAnsi="CG Times Bold" w:cs="Times New Roman"/>
      <w:b/>
      <w:sz w:val="24"/>
      <w:szCs w:val="20"/>
    </w:rPr>
  </w:style>
  <w:style w:type="paragraph" w:styleId="Index1">
    <w:name w:val="index 1"/>
    <w:basedOn w:val="Normal"/>
    <w:next w:val="Normal"/>
    <w:autoRedefine/>
    <w:semiHidden/>
    <w:rsid w:val="00987D33"/>
    <w:pPr>
      <w:tabs>
        <w:tab w:val="left" w:leader="dot" w:pos="9000"/>
        <w:tab w:val="right" w:pos="9360"/>
      </w:tabs>
      <w:suppressAutoHyphens/>
      <w:ind w:left="1440" w:right="720" w:hanging="1440"/>
    </w:pPr>
    <w:rPr>
      <w:rFonts w:ascii="CG Times Bold" w:eastAsia="Times New Roman" w:hAnsi="CG Times Bold" w:cs="Times New Roman"/>
      <w:b/>
      <w:sz w:val="24"/>
      <w:szCs w:val="20"/>
    </w:rPr>
  </w:style>
  <w:style w:type="paragraph" w:styleId="Index2">
    <w:name w:val="index 2"/>
    <w:basedOn w:val="Normal"/>
    <w:next w:val="Normal"/>
    <w:autoRedefine/>
    <w:semiHidden/>
    <w:rsid w:val="00987D33"/>
    <w:pPr>
      <w:tabs>
        <w:tab w:val="left" w:leader="dot" w:pos="9000"/>
        <w:tab w:val="right" w:pos="9360"/>
      </w:tabs>
      <w:suppressAutoHyphens/>
      <w:ind w:left="1440" w:right="720" w:hanging="720"/>
    </w:pPr>
    <w:rPr>
      <w:rFonts w:ascii="CG Times Bold" w:eastAsia="Times New Roman" w:hAnsi="CG Times Bold" w:cs="Times New Roman"/>
      <w:b/>
      <w:sz w:val="24"/>
      <w:szCs w:val="20"/>
    </w:rPr>
  </w:style>
  <w:style w:type="paragraph" w:styleId="TOAHeading">
    <w:name w:val="toa heading"/>
    <w:basedOn w:val="Normal"/>
    <w:next w:val="Normal"/>
    <w:semiHidden/>
    <w:rsid w:val="00987D33"/>
    <w:pPr>
      <w:tabs>
        <w:tab w:val="left" w:pos="9000"/>
        <w:tab w:val="right" w:pos="9360"/>
      </w:tabs>
      <w:suppressAutoHyphens/>
    </w:pPr>
    <w:rPr>
      <w:rFonts w:ascii="CG Times Bold" w:eastAsia="Times New Roman" w:hAnsi="CG Times Bold" w:cs="Times New Roman"/>
      <w:b/>
      <w:sz w:val="24"/>
      <w:szCs w:val="20"/>
    </w:rPr>
  </w:style>
  <w:style w:type="paragraph" w:styleId="Caption">
    <w:name w:val="caption"/>
    <w:basedOn w:val="Normal"/>
    <w:next w:val="Normal"/>
    <w:qFormat/>
    <w:rsid w:val="00987D33"/>
    <w:rPr>
      <w:rFonts w:ascii="CG Times Bold" w:eastAsia="Times New Roman" w:hAnsi="CG Times Bold" w:cs="Times New Roman"/>
      <w:sz w:val="24"/>
      <w:szCs w:val="20"/>
    </w:rPr>
  </w:style>
  <w:style w:type="paragraph" w:styleId="BodyTextIndent">
    <w:name w:val="Body Text Indent"/>
    <w:basedOn w:val="Normal"/>
    <w:link w:val="BodyTextIndentChar"/>
    <w:rsid w:val="00987D33"/>
    <w:pPr>
      <w:tabs>
        <w:tab w:val="left" w:pos="720"/>
        <w:tab w:val="left" w:pos="1440"/>
        <w:tab w:val="decimal" w:pos="6786"/>
        <w:tab w:val="decimal" w:pos="9079"/>
      </w:tabs>
      <w:suppressAutoHyphens/>
      <w:ind w:left="720" w:hanging="720"/>
      <w:jc w:val="both"/>
    </w:pPr>
    <w:rPr>
      <w:rFonts w:ascii="Arial" w:eastAsia="Times New Roman" w:hAnsi="Arial" w:cs="Times New Roman"/>
      <w:spacing w:val="-3"/>
      <w:sz w:val="24"/>
      <w:szCs w:val="20"/>
    </w:rPr>
  </w:style>
  <w:style w:type="character" w:customStyle="1" w:styleId="BodyTextIndentChar">
    <w:name w:val="Body Text Indent Char"/>
    <w:basedOn w:val="DefaultParagraphFont"/>
    <w:link w:val="BodyTextIndent"/>
    <w:rsid w:val="00987D33"/>
    <w:rPr>
      <w:rFonts w:ascii="Arial" w:eastAsia="Times New Roman" w:hAnsi="Arial" w:cs="Times New Roman"/>
      <w:spacing w:val="-3"/>
      <w:sz w:val="24"/>
      <w:szCs w:val="20"/>
    </w:rPr>
  </w:style>
  <w:style w:type="paragraph" w:styleId="DocumentMap">
    <w:name w:val="Document Map"/>
    <w:basedOn w:val="Normal"/>
    <w:link w:val="DocumentMapChar"/>
    <w:semiHidden/>
    <w:rsid w:val="00987D33"/>
    <w:pPr>
      <w:shd w:val="clear" w:color="auto" w:fill="000080"/>
    </w:pPr>
    <w:rPr>
      <w:rFonts w:ascii="Tahoma" w:eastAsia="Times New Roman" w:hAnsi="Tahoma" w:cs="Times New Roman"/>
      <w:b/>
      <w:sz w:val="24"/>
      <w:szCs w:val="20"/>
    </w:rPr>
  </w:style>
  <w:style w:type="character" w:customStyle="1" w:styleId="DocumentMapChar">
    <w:name w:val="Document Map Char"/>
    <w:basedOn w:val="DefaultParagraphFont"/>
    <w:link w:val="DocumentMap"/>
    <w:semiHidden/>
    <w:rsid w:val="00987D33"/>
    <w:rPr>
      <w:rFonts w:ascii="Tahoma" w:eastAsia="Times New Roman" w:hAnsi="Tahoma" w:cs="Times New Roman"/>
      <w:b/>
      <w:sz w:val="24"/>
      <w:szCs w:val="20"/>
      <w:shd w:val="clear" w:color="auto" w:fill="000080"/>
    </w:rPr>
  </w:style>
  <w:style w:type="paragraph" w:styleId="BodyTextIndent2">
    <w:name w:val="Body Text Indent 2"/>
    <w:basedOn w:val="Normal"/>
    <w:link w:val="BodyTextIndent2Char"/>
    <w:rsid w:val="00987D33"/>
    <w:pPr>
      <w:tabs>
        <w:tab w:val="left" w:pos="720"/>
        <w:tab w:val="left" w:pos="1440"/>
        <w:tab w:val="right" w:pos="4262"/>
        <w:tab w:val="right" w:pos="5220"/>
        <w:tab w:val="right" w:pos="6691"/>
        <w:tab w:val="right" w:pos="7621"/>
        <w:tab w:val="right" w:pos="9408"/>
      </w:tabs>
      <w:suppressAutoHyphens/>
      <w:ind w:left="720" w:hanging="720"/>
      <w:jc w:val="both"/>
    </w:pPr>
    <w:rPr>
      <w:rFonts w:ascii="Arial" w:eastAsia="Times New Roman" w:hAnsi="Arial" w:cs="Times New Roman"/>
      <w:color w:val="000000"/>
      <w:spacing w:val="-3"/>
      <w:szCs w:val="20"/>
    </w:rPr>
  </w:style>
  <w:style w:type="character" w:customStyle="1" w:styleId="BodyTextIndent2Char">
    <w:name w:val="Body Text Indent 2 Char"/>
    <w:basedOn w:val="DefaultParagraphFont"/>
    <w:link w:val="BodyTextIndent2"/>
    <w:rsid w:val="00987D33"/>
    <w:rPr>
      <w:rFonts w:ascii="Arial" w:eastAsia="Times New Roman" w:hAnsi="Arial" w:cs="Times New Roman"/>
      <w:color w:val="000000"/>
      <w:spacing w:val="-3"/>
      <w:szCs w:val="20"/>
    </w:rPr>
  </w:style>
  <w:style w:type="paragraph" w:styleId="BodyText">
    <w:name w:val="Body Text"/>
    <w:basedOn w:val="Normal"/>
    <w:link w:val="BodyTextChar"/>
    <w:uiPriority w:val="1"/>
    <w:qFormat/>
    <w:rsid w:val="00987D33"/>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987D33"/>
    <w:rPr>
      <w:rFonts w:ascii="Times New Roman" w:eastAsia="Times New Roman" w:hAnsi="Times New Roman" w:cs="Times New Roman"/>
      <w:sz w:val="24"/>
      <w:szCs w:val="20"/>
    </w:rPr>
  </w:style>
  <w:style w:type="paragraph" w:styleId="BodyText2">
    <w:name w:val="Body Text 2"/>
    <w:basedOn w:val="Normal"/>
    <w:link w:val="BodyText2Char"/>
    <w:rsid w:val="00987D33"/>
    <w:rPr>
      <w:rFonts w:ascii="CG Times" w:eastAsia="Times New Roman" w:hAnsi="CG Times" w:cs="Times New Roman"/>
      <w:szCs w:val="20"/>
    </w:rPr>
  </w:style>
  <w:style w:type="character" w:customStyle="1" w:styleId="BodyText2Char">
    <w:name w:val="Body Text 2 Char"/>
    <w:basedOn w:val="DefaultParagraphFont"/>
    <w:link w:val="BodyText2"/>
    <w:rsid w:val="00987D33"/>
    <w:rPr>
      <w:rFonts w:ascii="CG Times" w:eastAsia="Times New Roman" w:hAnsi="CG Times" w:cs="Times New Roman"/>
      <w:szCs w:val="20"/>
    </w:rPr>
  </w:style>
  <w:style w:type="paragraph" w:styleId="BodyTextIndent3">
    <w:name w:val="Body Text Indent 3"/>
    <w:basedOn w:val="Normal"/>
    <w:link w:val="BodyTextIndent3Char"/>
    <w:rsid w:val="00987D33"/>
    <w:pPr>
      <w:ind w:left="720"/>
      <w:jc w:val="both"/>
    </w:pPr>
    <w:rPr>
      <w:rFonts w:ascii="CG Times" w:eastAsia="Times New Roman" w:hAnsi="CG Times" w:cs="Times New Roman"/>
      <w:szCs w:val="20"/>
    </w:rPr>
  </w:style>
  <w:style w:type="character" w:customStyle="1" w:styleId="BodyTextIndent3Char">
    <w:name w:val="Body Text Indent 3 Char"/>
    <w:basedOn w:val="DefaultParagraphFont"/>
    <w:link w:val="BodyTextIndent3"/>
    <w:rsid w:val="00987D33"/>
    <w:rPr>
      <w:rFonts w:ascii="CG Times" w:eastAsia="Times New Roman" w:hAnsi="CG Times" w:cs="Times New Roman"/>
      <w:szCs w:val="20"/>
    </w:rPr>
  </w:style>
  <w:style w:type="paragraph" w:styleId="BodyText3">
    <w:name w:val="Body Text 3"/>
    <w:basedOn w:val="Normal"/>
    <w:link w:val="BodyText3Char"/>
    <w:rsid w:val="00987D33"/>
    <w:pPr>
      <w:jc w:val="both"/>
    </w:pPr>
    <w:rPr>
      <w:rFonts w:ascii="CG Times" w:eastAsia="Times New Roman" w:hAnsi="CG Times" w:cs="Times New Roman"/>
      <w:szCs w:val="20"/>
    </w:rPr>
  </w:style>
  <w:style w:type="character" w:customStyle="1" w:styleId="BodyText3Char">
    <w:name w:val="Body Text 3 Char"/>
    <w:basedOn w:val="DefaultParagraphFont"/>
    <w:link w:val="BodyText3"/>
    <w:rsid w:val="00987D33"/>
    <w:rPr>
      <w:rFonts w:ascii="CG Times" w:eastAsia="Times New Roman" w:hAnsi="CG Times" w:cs="Times New Roman"/>
      <w:szCs w:val="20"/>
    </w:rPr>
  </w:style>
  <w:style w:type="paragraph" w:customStyle="1" w:styleId="NoteText2">
    <w:name w:val="Note Text 2"/>
    <w:aliases w:val="nt2"/>
    <w:basedOn w:val="Normal"/>
    <w:rsid w:val="00987D33"/>
    <w:pPr>
      <w:spacing w:after="200"/>
      <w:ind w:left="1080"/>
      <w:jc w:val="both"/>
    </w:pPr>
    <w:rPr>
      <w:rFonts w:ascii="Times New Roman" w:eastAsia="Times New Roman" w:hAnsi="Times New Roman" w:cs="Times New Roman"/>
      <w:szCs w:val="20"/>
    </w:rPr>
  </w:style>
  <w:style w:type="paragraph" w:customStyle="1" w:styleId="HeadingLevel2">
    <w:name w:val="Heading Level 2"/>
    <w:aliases w:val="hl2"/>
    <w:basedOn w:val="Normal"/>
    <w:next w:val="NoteText2"/>
    <w:rsid w:val="00987D33"/>
    <w:pPr>
      <w:keepNext/>
      <w:keepLines/>
      <w:spacing w:after="140"/>
      <w:ind w:left="1094" w:hanging="547"/>
    </w:pPr>
    <w:rPr>
      <w:rFonts w:ascii="Times New Roman" w:eastAsia="Times New Roman" w:hAnsi="Times New Roman" w:cs="Times New Roman"/>
      <w:b/>
      <w:i/>
      <w:szCs w:val="20"/>
    </w:rPr>
  </w:style>
  <w:style w:type="paragraph" w:styleId="Subtitle">
    <w:name w:val="Subtitle"/>
    <w:basedOn w:val="Normal"/>
    <w:link w:val="SubtitleChar"/>
    <w:qFormat/>
    <w:rsid w:val="00987D33"/>
    <w:pPr>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987D33"/>
    <w:rPr>
      <w:rFonts w:ascii="Times New Roman" w:eastAsia="Times New Roman" w:hAnsi="Times New Roman" w:cs="Times New Roman"/>
      <w:b/>
      <w:sz w:val="24"/>
      <w:szCs w:val="20"/>
    </w:rPr>
  </w:style>
  <w:style w:type="paragraph" w:styleId="BlockText">
    <w:name w:val="Block Text"/>
    <w:basedOn w:val="Normal"/>
    <w:rsid w:val="00987D33"/>
    <w:pPr>
      <w:tabs>
        <w:tab w:val="left" w:pos="1858"/>
        <w:tab w:val="left" w:pos="2570"/>
        <w:tab w:val="left" w:pos="3283"/>
        <w:tab w:val="left" w:pos="3996"/>
        <w:tab w:val="left" w:pos="4709"/>
        <w:tab w:val="left" w:pos="5472"/>
      </w:tabs>
      <w:suppressAutoHyphens/>
      <w:ind w:left="1080" w:right="360"/>
      <w:jc w:val="both"/>
    </w:pPr>
    <w:rPr>
      <w:rFonts w:ascii="Arial" w:eastAsia="Times New Roman" w:hAnsi="Arial" w:cs="Arial"/>
      <w:color w:val="000000"/>
      <w:spacing w:val="-3"/>
      <w:szCs w:val="24"/>
    </w:rPr>
  </w:style>
  <w:style w:type="paragraph" w:customStyle="1" w:styleId="Salutation1">
    <w:name w:val="Salutation1"/>
    <w:aliases w:val="sa,Salutation11"/>
    <w:basedOn w:val="Normal"/>
    <w:next w:val="Normal"/>
    <w:rsid w:val="00987D33"/>
    <w:pPr>
      <w:keepLines/>
      <w:tabs>
        <w:tab w:val="left" w:pos="180"/>
      </w:tabs>
      <w:spacing w:after="360"/>
    </w:pPr>
    <w:rPr>
      <w:rFonts w:ascii="Times New Roman" w:eastAsia="Times New Roman" w:hAnsi="Times New Roman" w:cs="Times New Roman"/>
      <w:szCs w:val="20"/>
    </w:rPr>
  </w:style>
  <w:style w:type="paragraph" w:customStyle="1" w:styleId="OpinionHeading">
    <w:name w:val="Opinion Heading"/>
    <w:aliases w:val="oh"/>
    <w:basedOn w:val="Normal"/>
    <w:next w:val="Salutation1"/>
    <w:rsid w:val="00987D33"/>
    <w:pPr>
      <w:keepNext/>
      <w:keepLines/>
      <w:spacing w:before="2400" w:after="600"/>
      <w:jc w:val="center"/>
    </w:pPr>
    <w:rPr>
      <w:rFonts w:ascii="Times New Roman" w:eastAsia="Times New Roman" w:hAnsi="Times New Roman" w:cs="Times New Roman"/>
      <w:b/>
      <w:szCs w:val="20"/>
    </w:rPr>
  </w:style>
  <w:style w:type="paragraph" w:styleId="EndnoteText">
    <w:name w:val="endnote text"/>
    <w:basedOn w:val="Normal"/>
    <w:link w:val="EndnoteTextChar"/>
    <w:semiHidden/>
    <w:rsid w:val="00987D33"/>
    <w:rPr>
      <w:rFonts w:ascii="Arial" w:eastAsia="Times New Roman" w:hAnsi="Arial" w:cs="Times New Roman"/>
      <w:sz w:val="16"/>
      <w:szCs w:val="20"/>
    </w:rPr>
  </w:style>
  <w:style w:type="character" w:customStyle="1" w:styleId="EndnoteTextChar">
    <w:name w:val="Endnote Text Char"/>
    <w:basedOn w:val="DefaultParagraphFont"/>
    <w:link w:val="EndnoteText"/>
    <w:semiHidden/>
    <w:rsid w:val="00987D33"/>
    <w:rPr>
      <w:rFonts w:ascii="Arial" w:eastAsia="Times New Roman" w:hAnsi="Arial" w:cs="Times New Roman"/>
      <w:sz w:val="16"/>
      <w:szCs w:val="20"/>
    </w:rPr>
  </w:style>
  <w:style w:type="paragraph" w:customStyle="1" w:styleId="OpinionDate">
    <w:name w:val="Opinion Date"/>
    <w:aliases w:val="od"/>
    <w:basedOn w:val="Normal"/>
    <w:rsid w:val="00987D33"/>
    <w:pPr>
      <w:keepLines/>
      <w:tabs>
        <w:tab w:val="left" w:pos="180"/>
      </w:tabs>
      <w:spacing w:before="1440" w:after="200"/>
    </w:pPr>
    <w:rPr>
      <w:rFonts w:ascii="Times New Roman" w:eastAsia="Times New Roman" w:hAnsi="Times New Roman" w:cs="Times New Roman"/>
      <w:szCs w:val="20"/>
    </w:rPr>
  </w:style>
  <w:style w:type="paragraph" w:customStyle="1" w:styleId="NormalKeepWithNext">
    <w:name w:val="Normal Keep With Next"/>
    <w:aliases w:val="nkwn"/>
    <w:basedOn w:val="Normal"/>
    <w:next w:val="Normal"/>
    <w:rsid w:val="00987D33"/>
    <w:pPr>
      <w:keepNext/>
      <w:spacing w:after="200"/>
      <w:jc w:val="both"/>
    </w:pPr>
    <w:rPr>
      <w:rFonts w:ascii="Times New Roman" w:eastAsia="Times New Roman" w:hAnsi="Times New Roman" w:cs="Times New Roman"/>
      <w:szCs w:val="20"/>
    </w:rPr>
  </w:style>
  <w:style w:type="paragraph" w:customStyle="1" w:styleId="HeadingLevel1">
    <w:name w:val="Heading Level 1"/>
    <w:aliases w:val="hl1"/>
    <w:basedOn w:val="Normal"/>
    <w:next w:val="Normal"/>
    <w:rsid w:val="00987D33"/>
    <w:pPr>
      <w:keepNext/>
      <w:keepLines/>
      <w:spacing w:after="140"/>
      <w:ind w:left="547" w:hanging="547"/>
    </w:pPr>
    <w:rPr>
      <w:rFonts w:ascii="Times New Roman" w:eastAsia="Times New Roman" w:hAnsi="Times New Roman" w:cs="Times New Roman"/>
      <w:b/>
      <w:szCs w:val="20"/>
    </w:rPr>
  </w:style>
  <w:style w:type="character" w:styleId="FootnoteReference">
    <w:name w:val="footnote reference"/>
    <w:basedOn w:val="DefaultParagraphFont"/>
    <w:semiHidden/>
    <w:rsid w:val="00987D33"/>
    <w:rPr>
      <w:sz w:val="20"/>
      <w:vertAlign w:val="superscript"/>
    </w:rPr>
  </w:style>
  <w:style w:type="paragraph" w:customStyle="1" w:styleId="Center">
    <w:name w:val="Center"/>
    <w:rsid w:val="00987D33"/>
    <w:pPr>
      <w:widowControl w:val="0"/>
      <w:spacing w:before="112" w:after="112" w:line="240" w:lineRule="auto"/>
      <w:jc w:val="center"/>
    </w:pPr>
    <w:rPr>
      <w:rFonts w:ascii="Times New Roman" w:eastAsia="Times New Roman" w:hAnsi="Times New Roman" w:cs="Times New Roman"/>
      <w:snapToGrid w:val="0"/>
      <w:color w:val="000000"/>
      <w:sz w:val="24"/>
      <w:szCs w:val="20"/>
    </w:rPr>
  </w:style>
  <w:style w:type="paragraph" w:customStyle="1" w:styleId="Indent">
    <w:name w:val="Indent"/>
    <w:rsid w:val="00987D33"/>
    <w:pPr>
      <w:widowControl w:val="0"/>
      <w:spacing w:before="114" w:after="114" w:line="240" w:lineRule="auto"/>
      <w:ind w:left="720"/>
    </w:pPr>
    <w:rPr>
      <w:rFonts w:ascii="Times New Roman" w:eastAsia="Times New Roman" w:hAnsi="Times New Roman" w:cs="Times New Roman"/>
      <w:snapToGrid w:val="0"/>
      <w:color w:val="000000"/>
      <w:sz w:val="24"/>
      <w:szCs w:val="20"/>
    </w:rPr>
  </w:style>
  <w:style w:type="paragraph" w:customStyle="1" w:styleId="MainHeading">
    <w:name w:val="Main Heading"/>
    <w:rsid w:val="00987D33"/>
    <w:pPr>
      <w:widowControl w:val="0"/>
      <w:spacing w:before="114" w:after="114" w:line="240" w:lineRule="auto"/>
    </w:pPr>
    <w:rPr>
      <w:rFonts w:ascii="Times New Roman" w:eastAsia="Times New Roman" w:hAnsi="Times New Roman" w:cs="Times New Roman"/>
      <w:b/>
      <w:snapToGrid w:val="0"/>
      <w:color w:val="000000"/>
      <w:sz w:val="28"/>
      <w:szCs w:val="20"/>
    </w:rPr>
  </w:style>
  <w:style w:type="paragraph" w:styleId="ListParagraph">
    <w:name w:val="List Paragraph"/>
    <w:basedOn w:val="Normal"/>
    <w:uiPriority w:val="1"/>
    <w:qFormat/>
    <w:rsid w:val="00987D33"/>
    <w:pPr>
      <w:ind w:left="720"/>
      <w:contextualSpacing/>
    </w:pPr>
    <w:rPr>
      <w:rFonts w:ascii="Times New Roman" w:eastAsia="Times New Roman" w:hAnsi="Times New Roman" w:cs="Times New Roman"/>
      <w:sz w:val="24"/>
      <w:szCs w:val="24"/>
    </w:rPr>
  </w:style>
  <w:style w:type="paragraph" w:styleId="Revision">
    <w:name w:val="Revision"/>
    <w:hidden/>
    <w:uiPriority w:val="99"/>
    <w:semiHidden/>
    <w:rsid w:val="00987D33"/>
    <w:pPr>
      <w:spacing w:after="0" w:line="240" w:lineRule="auto"/>
    </w:pPr>
    <w:rPr>
      <w:rFonts w:ascii="Times New Roman" w:eastAsia="Times New Roman" w:hAnsi="Times New Roman" w:cs="Times New Roman"/>
      <w:sz w:val="24"/>
      <w:szCs w:val="24"/>
    </w:rPr>
  </w:style>
  <w:style w:type="paragraph" w:customStyle="1" w:styleId="LTNormal">
    <w:name w:val="LT Normal"/>
    <w:rsid w:val="00987D33"/>
    <w:pPr>
      <w:spacing w:after="200" w:line="240" w:lineRule="auto"/>
      <w:jc w:val="both"/>
    </w:pPr>
    <w:rPr>
      <w:rFonts w:ascii="Times New Roman" w:eastAsia="Times New Roman" w:hAnsi="Times New Roman" w:cs="Times New Roman"/>
      <w:szCs w:val="24"/>
    </w:rPr>
  </w:style>
  <w:style w:type="paragraph" w:customStyle="1" w:styleId="LTDate">
    <w:name w:val="LT Date"/>
    <w:next w:val="LTNormal"/>
    <w:rsid w:val="00987D33"/>
    <w:pPr>
      <w:spacing w:after="600" w:line="240" w:lineRule="auto"/>
    </w:pPr>
    <w:rPr>
      <w:rFonts w:ascii="Times New Roman" w:eastAsia="Times New Roman" w:hAnsi="Times New Roman" w:cs="Times New Roman"/>
      <w:szCs w:val="24"/>
    </w:rPr>
  </w:style>
  <w:style w:type="paragraph" w:customStyle="1" w:styleId="LTSalutation">
    <w:name w:val="LT Salutation"/>
    <w:next w:val="LTNormal"/>
    <w:rsid w:val="00987D33"/>
    <w:pPr>
      <w:spacing w:after="360" w:line="240" w:lineRule="auto"/>
    </w:pPr>
    <w:rPr>
      <w:rFonts w:ascii="Times New Roman" w:eastAsia="Times New Roman" w:hAnsi="Times New Roman" w:cs="Times New Roman"/>
      <w:szCs w:val="24"/>
    </w:rPr>
  </w:style>
  <w:style w:type="paragraph" w:customStyle="1" w:styleId="LTNumber1">
    <w:name w:val="LT Number 1"/>
    <w:rsid w:val="00987D33"/>
    <w:pPr>
      <w:numPr>
        <w:numId w:val="3"/>
      </w:numPr>
      <w:spacing w:after="120" w:line="240" w:lineRule="auto"/>
      <w:jc w:val="both"/>
    </w:pPr>
    <w:rPr>
      <w:rFonts w:ascii="Times New Roman" w:eastAsia="Times New Roman" w:hAnsi="Times New Roman" w:cs="Times New Roman"/>
    </w:rPr>
  </w:style>
  <w:style w:type="paragraph" w:customStyle="1" w:styleId="LTNumber2">
    <w:name w:val="LT Number 2"/>
    <w:rsid w:val="00987D33"/>
    <w:pPr>
      <w:numPr>
        <w:ilvl w:val="1"/>
        <w:numId w:val="3"/>
      </w:numPr>
      <w:spacing w:after="120" w:line="240" w:lineRule="auto"/>
      <w:jc w:val="both"/>
    </w:pPr>
    <w:rPr>
      <w:rFonts w:ascii="Times New Roman" w:eastAsia="Times New Roman" w:hAnsi="Times New Roman" w:cs="Times New Roman"/>
      <w:szCs w:val="24"/>
    </w:rPr>
  </w:style>
  <w:style w:type="paragraph" w:customStyle="1" w:styleId="LTElectronicSignature">
    <w:name w:val="LT Electronic Signature"/>
    <w:basedOn w:val="LTNormal"/>
    <w:rsid w:val="00987D33"/>
    <w:pPr>
      <w:keepNext/>
      <w:jc w:val="center"/>
    </w:pPr>
  </w:style>
  <w:style w:type="paragraph" w:customStyle="1" w:styleId="LTReportHeading">
    <w:name w:val="LT Report Heading"/>
    <w:basedOn w:val="Normal"/>
    <w:rsid w:val="00987D33"/>
    <w:rPr>
      <w:rFonts w:ascii="Times New Roman" w:eastAsia="Times New Roman" w:hAnsi="Times New Roman" w:cs="Times New Roman"/>
      <w:b/>
      <w:szCs w:val="24"/>
    </w:rPr>
  </w:style>
  <w:style w:type="paragraph" w:customStyle="1" w:styleId="LTHeading1">
    <w:name w:val="LT Heading 1"/>
    <w:next w:val="LTNormal"/>
    <w:rsid w:val="00987D33"/>
    <w:pPr>
      <w:keepNext/>
      <w:spacing w:after="120" w:line="240" w:lineRule="auto"/>
    </w:pPr>
    <w:rPr>
      <w:rFonts w:ascii="Times New Roman" w:eastAsia="Times New Roman" w:hAnsi="Times New Roman" w:cs="Times New Roman"/>
      <w:b/>
      <w:szCs w:val="24"/>
    </w:rPr>
  </w:style>
  <w:style w:type="paragraph" w:customStyle="1" w:styleId="LTNormalInd">
    <w:name w:val="LT Normal Ind"/>
    <w:basedOn w:val="LTNormal"/>
    <w:rsid w:val="00987D33"/>
    <w:pPr>
      <w:ind w:left="547"/>
    </w:pPr>
  </w:style>
  <w:style w:type="character" w:styleId="PlaceholderText">
    <w:name w:val="Placeholder Text"/>
    <w:basedOn w:val="DefaultParagraphFont"/>
    <w:uiPriority w:val="99"/>
    <w:semiHidden/>
    <w:rsid w:val="00987D33"/>
    <w:rPr>
      <w:color w:val="808080"/>
    </w:rPr>
  </w:style>
  <w:style w:type="character" w:styleId="CommentReference">
    <w:name w:val="annotation reference"/>
    <w:basedOn w:val="DefaultParagraphFont"/>
    <w:rsid w:val="00987D33"/>
    <w:rPr>
      <w:sz w:val="16"/>
      <w:szCs w:val="16"/>
    </w:rPr>
  </w:style>
  <w:style w:type="paragraph" w:styleId="CommentText">
    <w:name w:val="annotation text"/>
    <w:basedOn w:val="Normal"/>
    <w:link w:val="CommentTextChar"/>
    <w:rsid w:val="00987D33"/>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87D3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987D33"/>
    <w:rPr>
      <w:b/>
      <w:bCs/>
    </w:rPr>
  </w:style>
  <w:style w:type="character" w:customStyle="1" w:styleId="CommentSubjectChar">
    <w:name w:val="Comment Subject Char"/>
    <w:basedOn w:val="CommentTextChar"/>
    <w:link w:val="CommentSubject"/>
    <w:rsid w:val="00987D33"/>
    <w:rPr>
      <w:rFonts w:ascii="Times New Roman" w:eastAsia="Times New Roman" w:hAnsi="Times New Roman" w:cs="Times New Roman"/>
      <w:b/>
      <w:bCs/>
      <w:sz w:val="20"/>
      <w:szCs w:val="20"/>
    </w:rPr>
  </w:style>
  <w:style w:type="paragraph" w:styleId="NormalWeb">
    <w:name w:val="Normal (Web)"/>
    <w:basedOn w:val="Normal"/>
    <w:uiPriority w:val="99"/>
    <w:unhideWhenUsed/>
    <w:rsid w:val="00987D33"/>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987D33"/>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converted-space">
    <w:name w:val="apple-converted-space"/>
    <w:basedOn w:val="DefaultParagraphFont"/>
    <w:rsid w:val="00987D33"/>
  </w:style>
  <w:style w:type="paragraph" w:customStyle="1" w:styleId="PAParaText">
    <w:name w:val="PA_ParaText"/>
    <w:basedOn w:val="Normal"/>
    <w:rsid w:val="00987D33"/>
    <w:pPr>
      <w:spacing w:after="120"/>
      <w:jc w:val="both"/>
    </w:pPr>
    <w:rPr>
      <w:rFonts w:ascii="Arial" w:eastAsia="SimSun" w:hAnsi="Arial" w:cs="Times New Roman"/>
      <w:sz w:val="20"/>
      <w:szCs w:val="20"/>
      <w:lang w:eastAsia="zh-CN"/>
    </w:rPr>
  </w:style>
  <w:style w:type="character" w:customStyle="1" w:styleId="CLPracticalLink">
    <w:name w:val="CL_PracticalLink"/>
    <w:basedOn w:val="DefaultParagraphFont"/>
    <w:rsid w:val="00987D33"/>
    <w:rPr>
      <w:vanish/>
      <w:webHidden w:val="0"/>
      <w:color w:val="auto"/>
      <w:u w:val="words" w:color="FFFFFF"/>
      <w:vertAlign w:val="superscript"/>
      <w:specVanish w:val="0"/>
    </w:rPr>
  </w:style>
  <w:style w:type="paragraph" w:styleId="PlainText">
    <w:name w:val="Plain Text"/>
    <w:basedOn w:val="Normal"/>
    <w:link w:val="PlainTextChar"/>
    <w:uiPriority w:val="99"/>
    <w:unhideWhenUsed/>
    <w:rsid w:val="00987D33"/>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987D33"/>
    <w:rPr>
      <w:rFonts w:ascii="Consolas" w:eastAsia="Times New Roman" w:hAnsi="Consolas" w:cs="Consolas"/>
      <w:sz w:val="21"/>
      <w:szCs w:val="21"/>
    </w:rPr>
  </w:style>
  <w:style w:type="paragraph" w:customStyle="1" w:styleId="TableParagraph">
    <w:name w:val="Table Paragraph"/>
    <w:basedOn w:val="Normal"/>
    <w:uiPriority w:val="1"/>
    <w:qFormat/>
    <w:rsid w:val="00987D33"/>
    <w:pPr>
      <w:widowControl w:val="0"/>
    </w:pPr>
  </w:style>
  <w:style w:type="character" w:customStyle="1" w:styleId="Date1">
    <w:name w:val="Date1"/>
    <w:basedOn w:val="DefaultParagraphFont"/>
    <w:rsid w:val="00987D33"/>
  </w:style>
  <w:style w:type="paragraph" w:customStyle="1" w:styleId="ReportHeading1">
    <w:name w:val="Report Heading 1"/>
    <w:basedOn w:val="Heading2"/>
    <w:link w:val="ReportHeading1Char"/>
    <w:qFormat/>
    <w:rsid w:val="00987D33"/>
    <w:pPr>
      <w:pBdr>
        <w:bottom w:val="single" w:sz="18" w:space="1" w:color="5B9BD5"/>
      </w:pBdr>
      <w:shd w:val="clear" w:color="auto" w:fill="F2F2F2" w:themeFill="background1" w:themeFillShade="F2"/>
      <w:tabs>
        <w:tab w:val="clear" w:pos="720"/>
        <w:tab w:val="clear" w:pos="1022"/>
        <w:tab w:val="clear" w:pos="1440"/>
        <w:tab w:val="clear" w:pos="4262"/>
        <w:tab w:val="clear" w:pos="5220"/>
        <w:tab w:val="clear" w:pos="6691"/>
        <w:tab w:val="clear" w:pos="7621"/>
        <w:tab w:val="clear" w:pos="9187"/>
      </w:tabs>
      <w:jc w:val="left"/>
      <w:outlineLvl w:val="0"/>
    </w:pPr>
    <w:rPr>
      <w:i w:val="0"/>
      <w:caps/>
      <w:sz w:val="36"/>
      <w:szCs w:val="36"/>
    </w:rPr>
  </w:style>
  <w:style w:type="character" w:customStyle="1" w:styleId="ReportHeading1Char">
    <w:name w:val="Report Heading 1 Char"/>
    <w:basedOn w:val="Heading2Char"/>
    <w:link w:val="ReportHeading1"/>
    <w:rsid w:val="00987D33"/>
    <w:rPr>
      <w:rFonts w:ascii="Calibri" w:eastAsia="Times New Roman" w:hAnsi="Calibri" w:cs="Times New Roman"/>
      <w:b/>
      <w:i w:val="0"/>
      <w:caps/>
      <w:color w:val="000000"/>
      <w:spacing w:val="-3"/>
      <w:sz w:val="36"/>
      <w:szCs w:val="36"/>
      <w:u w:val="single"/>
      <w:shd w:val="clear" w:color="auto" w:fill="F2F2F2" w:themeFill="background1" w:themeFillShade="F2"/>
    </w:rPr>
  </w:style>
  <w:style w:type="paragraph" w:customStyle="1" w:styleId="ReportHeading2">
    <w:name w:val="Report Heading 2"/>
    <w:link w:val="ReportHeading2Char"/>
    <w:qFormat/>
    <w:rsid w:val="00987D33"/>
    <w:pPr>
      <w:pBdr>
        <w:bottom w:val="single" w:sz="8" w:space="1" w:color="00688D"/>
      </w:pBdr>
      <w:spacing w:before="240" w:after="240" w:line="240" w:lineRule="auto"/>
    </w:pPr>
    <w:rPr>
      <w:rFonts w:eastAsiaTheme="majorEastAsia" w:cstheme="majorBidi"/>
      <w:b/>
      <w:i/>
      <w:iCs/>
      <w:smallCaps/>
      <w:color w:val="000000" w:themeColor="text1"/>
      <w:sz w:val="32"/>
    </w:rPr>
  </w:style>
  <w:style w:type="character" w:customStyle="1" w:styleId="ReportHeading2Char">
    <w:name w:val="Report Heading 2 Char"/>
    <w:basedOn w:val="DefaultParagraphFont"/>
    <w:link w:val="ReportHeading2"/>
    <w:rsid w:val="00987D33"/>
    <w:rPr>
      <w:rFonts w:eastAsiaTheme="majorEastAsia" w:cstheme="majorBidi"/>
      <w:b/>
      <w:i/>
      <w:iCs/>
      <w:smallCaps/>
      <w:color w:val="000000" w:themeColor="text1"/>
      <w:sz w:val="32"/>
    </w:rPr>
  </w:style>
  <w:style w:type="paragraph" w:customStyle="1" w:styleId="ReportHeading3">
    <w:name w:val="Report Heading 3"/>
    <w:basedOn w:val="Normal"/>
    <w:link w:val="ReportHeading3Char"/>
    <w:qFormat/>
    <w:rsid w:val="00987D33"/>
    <w:pPr>
      <w:spacing w:before="160" w:after="120"/>
    </w:pPr>
    <w:rPr>
      <w:b/>
      <w:i/>
      <w:sz w:val="26"/>
      <w:u w:val="single"/>
    </w:rPr>
  </w:style>
  <w:style w:type="character" w:customStyle="1" w:styleId="ReportHeading3Char">
    <w:name w:val="Report Heading 3 Char"/>
    <w:basedOn w:val="DefaultParagraphFont"/>
    <w:link w:val="ReportHeading3"/>
    <w:rsid w:val="00987D33"/>
    <w:rPr>
      <w:b/>
      <w:i/>
      <w:sz w:val="26"/>
      <w:u w:val="single"/>
    </w:rPr>
  </w:style>
  <w:style w:type="paragraph" w:customStyle="1" w:styleId="ReportHeading4">
    <w:name w:val="Report Heading 4"/>
    <w:link w:val="ReportHeading4Char"/>
    <w:qFormat/>
    <w:rsid w:val="00987D33"/>
    <w:pPr>
      <w:spacing w:before="60" w:after="60" w:line="240" w:lineRule="auto"/>
    </w:pPr>
    <w:rPr>
      <w:i/>
      <w:sz w:val="24"/>
      <w:u w:val="single"/>
    </w:rPr>
  </w:style>
  <w:style w:type="character" w:customStyle="1" w:styleId="ReportHeading4Char">
    <w:name w:val="Report Heading 4 Char"/>
    <w:basedOn w:val="DefaultParagraphFont"/>
    <w:link w:val="ReportHeading4"/>
    <w:rsid w:val="00987D33"/>
    <w:rPr>
      <w:i/>
      <w:sz w:val="24"/>
      <w:u w:val="single"/>
    </w:rPr>
  </w:style>
  <w:style w:type="paragraph" w:customStyle="1" w:styleId="ReportHeading5">
    <w:name w:val="Report Heading 5"/>
    <w:link w:val="ReportHeading5Char"/>
    <w:qFormat/>
    <w:rsid w:val="00987D33"/>
    <w:pPr>
      <w:spacing w:before="60" w:after="0" w:line="240" w:lineRule="auto"/>
    </w:pPr>
    <w:rPr>
      <w:i/>
      <w:color w:val="000000" w:themeColor="text1"/>
      <w:sz w:val="24"/>
    </w:rPr>
  </w:style>
  <w:style w:type="character" w:customStyle="1" w:styleId="ReportHeading5Char">
    <w:name w:val="Report Heading 5 Char"/>
    <w:basedOn w:val="DefaultParagraphFont"/>
    <w:link w:val="ReportHeading5"/>
    <w:rsid w:val="00987D33"/>
    <w:rPr>
      <w:i/>
      <w:color w:val="000000" w:themeColor="text1"/>
      <w:sz w:val="24"/>
    </w:rPr>
  </w:style>
  <w:style w:type="table" w:customStyle="1" w:styleId="TableGrid1">
    <w:name w:val="Table Grid1"/>
    <w:basedOn w:val="TableNormal"/>
    <w:next w:val="TableGrid"/>
    <w:rsid w:val="0098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8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otal">
    <w:name w:val="Report Total"/>
    <w:basedOn w:val="Normal"/>
    <w:link w:val="ReportTotalChar"/>
    <w:qFormat/>
    <w:rsid w:val="00987D33"/>
    <w:pPr>
      <w:tabs>
        <w:tab w:val="left" w:pos="720"/>
        <w:tab w:val="left" w:pos="1440"/>
        <w:tab w:val="decimal" w:pos="6786"/>
        <w:tab w:val="decimal" w:pos="8100"/>
      </w:tabs>
      <w:suppressAutoHyphens/>
      <w:jc w:val="both"/>
    </w:pPr>
    <w:rPr>
      <w:rFonts w:ascii="Calibri" w:eastAsia="Times New Roman" w:hAnsi="Calibri" w:cs="Tahoma"/>
      <w:bCs/>
      <w:spacing w:val="-3"/>
      <w:sz w:val="24"/>
      <w:szCs w:val="24"/>
    </w:rPr>
  </w:style>
  <w:style w:type="character" w:customStyle="1" w:styleId="ReportTotalChar">
    <w:name w:val="Report Total Char"/>
    <w:basedOn w:val="DefaultParagraphFont"/>
    <w:link w:val="ReportTotal"/>
    <w:rsid w:val="00987D33"/>
    <w:rPr>
      <w:rFonts w:ascii="Calibri" w:eastAsia="Times New Roman" w:hAnsi="Calibri" w:cs="Tahoma"/>
      <w:bCs/>
      <w:spacing w:val="-3"/>
      <w:sz w:val="24"/>
      <w:szCs w:val="24"/>
    </w:rPr>
  </w:style>
  <w:style w:type="paragraph" w:styleId="TOCHeading">
    <w:name w:val="TOC Heading"/>
    <w:basedOn w:val="Heading1"/>
    <w:next w:val="Normal"/>
    <w:uiPriority w:val="39"/>
    <w:unhideWhenUsed/>
    <w:qFormat/>
    <w:rsid w:val="00987D33"/>
    <w:pPr>
      <w:keepLines/>
      <w:pBdr>
        <w:bottom w:val="none" w:sz="0" w:space="0" w:color="auto"/>
      </w:pBdr>
      <w:tabs>
        <w:tab w:val="clear" w:pos="5112"/>
      </w:tabs>
      <w:suppressAutoHyphens w:val="0"/>
      <w:spacing w:after="0" w:line="259" w:lineRule="auto"/>
      <w:outlineLvl w:val="9"/>
    </w:pPr>
    <w:rPr>
      <w:rFonts w:asciiTheme="majorHAnsi" w:eastAsiaTheme="majorEastAsia" w:hAnsiTheme="majorHAnsi" w:cstheme="majorBidi"/>
      <w:b w:val="0"/>
      <w:i w:val="0"/>
      <w:smallCaps w:val="0"/>
      <w:noProof w:val="0"/>
      <w:color w:val="2F5496" w:themeColor="accent1" w:themeShade="BF"/>
      <w:spacing w:val="0"/>
      <w:szCs w:val="32"/>
      <w14:textOutline w14:w="0" w14:cap="rnd" w14:cmpd="sng" w14:algn="ctr">
        <w14:noFill/>
        <w14:prstDash w14:val="solid"/>
        <w14:bevel/>
      </w14:textOutline>
    </w:rPr>
  </w:style>
  <w:style w:type="paragraph" w:customStyle="1" w:styleId="AFR1">
    <w:name w:val="AFR1"/>
    <w:basedOn w:val="Normal"/>
    <w:link w:val="AFR1Char"/>
    <w:qFormat/>
    <w:rsid w:val="00987D33"/>
    <w:pPr>
      <w:keepNext/>
      <w:pBdr>
        <w:bottom w:val="single" w:sz="18" w:space="1" w:color="00688D"/>
      </w:pBdr>
      <w:suppressAutoHyphens/>
      <w:spacing w:after="240"/>
      <w:outlineLvl w:val="0"/>
    </w:pPr>
    <w:rPr>
      <w:rFonts w:ascii="Calibri" w:eastAsia="Times New Roman" w:hAnsi="Calibri" w:cs="Times New Roman"/>
      <w:b/>
      <w:i/>
      <w:caps/>
      <w:color w:val="000000"/>
      <w:spacing w:val="-3"/>
      <w:sz w:val="26"/>
      <w:szCs w:val="36"/>
      <w:u w:color="000000" w:themeColor="text1"/>
    </w:rPr>
  </w:style>
  <w:style w:type="paragraph" w:customStyle="1" w:styleId="AFR2">
    <w:name w:val="AFR2"/>
    <w:basedOn w:val="ReportHeading2"/>
    <w:link w:val="AFR2Char"/>
    <w:qFormat/>
    <w:rsid w:val="00987D33"/>
    <w:pPr>
      <w:spacing w:before="360"/>
    </w:pPr>
    <w:rPr>
      <w:noProof/>
      <w:szCs w:val="28"/>
      <w:u w:color="5B9BD5"/>
    </w:rPr>
  </w:style>
  <w:style w:type="character" w:customStyle="1" w:styleId="AFR1Char">
    <w:name w:val="AFR1 Char"/>
    <w:basedOn w:val="DefaultParagraphFont"/>
    <w:link w:val="AFR1"/>
    <w:rsid w:val="00987D33"/>
    <w:rPr>
      <w:rFonts w:ascii="Calibri" w:eastAsia="Times New Roman" w:hAnsi="Calibri" w:cs="Times New Roman"/>
      <w:b/>
      <w:i/>
      <w:caps/>
      <w:color w:val="000000"/>
      <w:spacing w:val="-3"/>
      <w:sz w:val="26"/>
      <w:szCs w:val="36"/>
      <w:u w:color="000000" w:themeColor="text1"/>
    </w:rPr>
  </w:style>
  <w:style w:type="paragraph" w:customStyle="1" w:styleId="AFR3">
    <w:name w:val="AFR3"/>
    <w:basedOn w:val="ReportHeading3"/>
    <w:link w:val="AFR3Char"/>
    <w:qFormat/>
    <w:rsid w:val="00987D33"/>
    <w:pPr>
      <w:spacing w:before="240"/>
    </w:pPr>
    <w:rPr>
      <w:u w:color="000000" w:themeColor="text1"/>
    </w:rPr>
  </w:style>
  <w:style w:type="character" w:customStyle="1" w:styleId="AFR2Char">
    <w:name w:val="AFR2 Char"/>
    <w:basedOn w:val="ReportHeading2Char"/>
    <w:link w:val="AFR2"/>
    <w:rsid w:val="00987D33"/>
    <w:rPr>
      <w:rFonts w:eastAsiaTheme="majorEastAsia" w:cstheme="majorBidi"/>
      <w:b/>
      <w:i/>
      <w:iCs/>
      <w:smallCaps/>
      <w:noProof/>
      <w:color w:val="000000" w:themeColor="text1"/>
      <w:sz w:val="32"/>
      <w:szCs w:val="28"/>
      <w:u w:color="5B9BD5"/>
    </w:rPr>
  </w:style>
  <w:style w:type="character" w:customStyle="1" w:styleId="AFR3Char">
    <w:name w:val="AFR3 Char"/>
    <w:basedOn w:val="ReportHeading3Char"/>
    <w:link w:val="AFR3"/>
    <w:rsid w:val="00987D33"/>
    <w:rPr>
      <w:b/>
      <w:i/>
      <w:sz w:val="26"/>
      <w:u w:val="single" w:color="000000" w:themeColor="text1"/>
    </w:rPr>
  </w:style>
  <w:style w:type="paragraph" w:customStyle="1" w:styleId="AFR4">
    <w:name w:val="AFR4"/>
    <w:basedOn w:val="ReportHeading3"/>
    <w:link w:val="AFR4Char"/>
    <w:qFormat/>
    <w:rsid w:val="00987D33"/>
    <w:rPr>
      <w:i w:val="0"/>
      <w:sz w:val="24"/>
      <w:szCs w:val="24"/>
    </w:rPr>
  </w:style>
  <w:style w:type="character" w:customStyle="1" w:styleId="AFR4Char">
    <w:name w:val="AFR4 Char"/>
    <w:basedOn w:val="ReportHeading3Char"/>
    <w:link w:val="AFR4"/>
    <w:rsid w:val="00987D33"/>
    <w:rPr>
      <w:b/>
      <w:i w:val="0"/>
      <w:sz w:val="24"/>
      <w:szCs w:val="24"/>
      <w:u w:val="single"/>
    </w:rPr>
  </w:style>
  <w:style w:type="paragraph" w:customStyle="1" w:styleId="AFR5">
    <w:name w:val="AFR5"/>
    <w:basedOn w:val="Normal"/>
    <w:link w:val="AFR5Char"/>
    <w:qFormat/>
    <w:rsid w:val="00987D33"/>
    <w:pPr>
      <w:spacing w:before="120"/>
      <w:ind w:left="720"/>
      <w:jc w:val="both"/>
    </w:pPr>
    <w:rPr>
      <w:rFonts w:ascii="Calibri" w:hAnsi="Calibri" w:cs="Tahoma"/>
      <w:b/>
      <w:i/>
      <w:sz w:val="24"/>
    </w:rPr>
  </w:style>
  <w:style w:type="character" w:customStyle="1" w:styleId="AFR5Char">
    <w:name w:val="AFR5 Char"/>
    <w:basedOn w:val="DefaultParagraphFont"/>
    <w:link w:val="AFR5"/>
    <w:rsid w:val="00987D33"/>
    <w:rPr>
      <w:rFonts w:ascii="Calibri" w:hAnsi="Calibri" w:cs="Tahoma"/>
      <w:b/>
      <w:i/>
      <w:sz w:val="24"/>
    </w:rPr>
  </w:style>
  <w:style w:type="paragraph" w:customStyle="1" w:styleId="Style1">
    <w:name w:val="Style1"/>
    <w:basedOn w:val="Normal"/>
    <w:link w:val="Style1Char"/>
    <w:qFormat/>
    <w:rsid w:val="00987D33"/>
    <w:pPr>
      <w:keepNext/>
      <w:pBdr>
        <w:bottom w:val="single" w:sz="18" w:space="1" w:color="00688D"/>
      </w:pBdr>
      <w:suppressAutoHyphens/>
      <w:outlineLvl w:val="0"/>
    </w:pPr>
    <w:rPr>
      <w:rFonts w:ascii="Calibri" w:eastAsia="Times New Roman" w:hAnsi="Calibri" w:cs="Times New Roman"/>
      <w:b/>
      <w:i/>
      <w:caps/>
      <w:color w:val="000000"/>
      <w:spacing w:val="-3"/>
      <w:sz w:val="26"/>
      <w:szCs w:val="26"/>
      <w:u w:color="000000" w:themeColor="text1"/>
    </w:rPr>
  </w:style>
  <w:style w:type="character" w:customStyle="1" w:styleId="Style1Char">
    <w:name w:val="Style1 Char"/>
    <w:basedOn w:val="DefaultParagraphFont"/>
    <w:link w:val="Style1"/>
    <w:rsid w:val="00987D33"/>
    <w:rPr>
      <w:rFonts w:ascii="Calibri" w:eastAsia="Times New Roman" w:hAnsi="Calibri" w:cs="Times New Roman"/>
      <w:b/>
      <w:i/>
      <w:caps/>
      <w:color w:val="000000"/>
      <w:spacing w:val="-3"/>
      <w:sz w:val="26"/>
      <w:szCs w:val="26"/>
      <w:u w:color="000000" w:themeColor="text1"/>
    </w:rPr>
  </w:style>
  <w:style w:type="character" w:styleId="EndnoteReference">
    <w:name w:val="endnote reference"/>
    <w:basedOn w:val="DefaultParagraphFont"/>
    <w:uiPriority w:val="99"/>
    <w:semiHidden/>
    <w:unhideWhenUsed/>
    <w:rsid w:val="00987D33"/>
    <w:rPr>
      <w:vertAlign w:val="superscript"/>
    </w:rPr>
  </w:style>
  <w:style w:type="character" w:customStyle="1" w:styleId="UnresolvedMention1">
    <w:name w:val="Unresolved Mention1"/>
    <w:basedOn w:val="DefaultParagraphFont"/>
    <w:uiPriority w:val="99"/>
    <w:semiHidden/>
    <w:unhideWhenUsed/>
    <w:rsid w:val="00987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3497">
      <w:bodyDiv w:val="1"/>
      <w:marLeft w:val="0"/>
      <w:marRight w:val="0"/>
      <w:marTop w:val="0"/>
      <w:marBottom w:val="0"/>
      <w:divBdr>
        <w:top w:val="none" w:sz="0" w:space="0" w:color="auto"/>
        <w:left w:val="none" w:sz="0" w:space="0" w:color="auto"/>
        <w:bottom w:val="none" w:sz="0" w:space="0" w:color="auto"/>
        <w:right w:val="none" w:sz="0" w:space="0" w:color="auto"/>
      </w:divBdr>
    </w:div>
    <w:div w:id="73355888">
      <w:bodyDiv w:val="1"/>
      <w:marLeft w:val="0"/>
      <w:marRight w:val="0"/>
      <w:marTop w:val="0"/>
      <w:marBottom w:val="0"/>
      <w:divBdr>
        <w:top w:val="none" w:sz="0" w:space="0" w:color="auto"/>
        <w:left w:val="none" w:sz="0" w:space="0" w:color="auto"/>
        <w:bottom w:val="none" w:sz="0" w:space="0" w:color="auto"/>
        <w:right w:val="none" w:sz="0" w:space="0" w:color="auto"/>
      </w:divBdr>
    </w:div>
    <w:div w:id="95636902">
      <w:bodyDiv w:val="1"/>
      <w:marLeft w:val="0"/>
      <w:marRight w:val="0"/>
      <w:marTop w:val="0"/>
      <w:marBottom w:val="0"/>
      <w:divBdr>
        <w:top w:val="none" w:sz="0" w:space="0" w:color="auto"/>
        <w:left w:val="none" w:sz="0" w:space="0" w:color="auto"/>
        <w:bottom w:val="none" w:sz="0" w:space="0" w:color="auto"/>
        <w:right w:val="none" w:sz="0" w:space="0" w:color="auto"/>
      </w:divBdr>
    </w:div>
    <w:div w:id="175266738">
      <w:bodyDiv w:val="1"/>
      <w:marLeft w:val="0"/>
      <w:marRight w:val="0"/>
      <w:marTop w:val="0"/>
      <w:marBottom w:val="0"/>
      <w:divBdr>
        <w:top w:val="none" w:sz="0" w:space="0" w:color="auto"/>
        <w:left w:val="none" w:sz="0" w:space="0" w:color="auto"/>
        <w:bottom w:val="none" w:sz="0" w:space="0" w:color="auto"/>
        <w:right w:val="none" w:sz="0" w:space="0" w:color="auto"/>
      </w:divBdr>
    </w:div>
    <w:div w:id="191039971">
      <w:bodyDiv w:val="1"/>
      <w:marLeft w:val="0"/>
      <w:marRight w:val="0"/>
      <w:marTop w:val="0"/>
      <w:marBottom w:val="0"/>
      <w:divBdr>
        <w:top w:val="none" w:sz="0" w:space="0" w:color="auto"/>
        <w:left w:val="none" w:sz="0" w:space="0" w:color="auto"/>
        <w:bottom w:val="none" w:sz="0" w:space="0" w:color="auto"/>
        <w:right w:val="none" w:sz="0" w:space="0" w:color="auto"/>
      </w:divBdr>
    </w:div>
    <w:div w:id="353383895">
      <w:bodyDiv w:val="1"/>
      <w:marLeft w:val="0"/>
      <w:marRight w:val="0"/>
      <w:marTop w:val="0"/>
      <w:marBottom w:val="0"/>
      <w:divBdr>
        <w:top w:val="none" w:sz="0" w:space="0" w:color="auto"/>
        <w:left w:val="none" w:sz="0" w:space="0" w:color="auto"/>
        <w:bottom w:val="none" w:sz="0" w:space="0" w:color="auto"/>
        <w:right w:val="none" w:sz="0" w:space="0" w:color="auto"/>
      </w:divBdr>
    </w:div>
    <w:div w:id="356778164">
      <w:bodyDiv w:val="1"/>
      <w:marLeft w:val="0"/>
      <w:marRight w:val="0"/>
      <w:marTop w:val="0"/>
      <w:marBottom w:val="0"/>
      <w:divBdr>
        <w:top w:val="none" w:sz="0" w:space="0" w:color="auto"/>
        <w:left w:val="none" w:sz="0" w:space="0" w:color="auto"/>
        <w:bottom w:val="none" w:sz="0" w:space="0" w:color="auto"/>
        <w:right w:val="none" w:sz="0" w:space="0" w:color="auto"/>
      </w:divBdr>
    </w:div>
    <w:div w:id="422729219">
      <w:bodyDiv w:val="1"/>
      <w:marLeft w:val="0"/>
      <w:marRight w:val="0"/>
      <w:marTop w:val="0"/>
      <w:marBottom w:val="0"/>
      <w:divBdr>
        <w:top w:val="none" w:sz="0" w:space="0" w:color="auto"/>
        <w:left w:val="none" w:sz="0" w:space="0" w:color="auto"/>
        <w:bottom w:val="none" w:sz="0" w:space="0" w:color="auto"/>
        <w:right w:val="none" w:sz="0" w:space="0" w:color="auto"/>
      </w:divBdr>
    </w:div>
    <w:div w:id="586888083">
      <w:bodyDiv w:val="1"/>
      <w:marLeft w:val="0"/>
      <w:marRight w:val="0"/>
      <w:marTop w:val="0"/>
      <w:marBottom w:val="0"/>
      <w:divBdr>
        <w:top w:val="none" w:sz="0" w:space="0" w:color="auto"/>
        <w:left w:val="none" w:sz="0" w:space="0" w:color="auto"/>
        <w:bottom w:val="none" w:sz="0" w:space="0" w:color="auto"/>
        <w:right w:val="none" w:sz="0" w:space="0" w:color="auto"/>
      </w:divBdr>
    </w:div>
    <w:div w:id="752974056">
      <w:bodyDiv w:val="1"/>
      <w:marLeft w:val="0"/>
      <w:marRight w:val="0"/>
      <w:marTop w:val="0"/>
      <w:marBottom w:val="0"/>
      <w:divBdr>
        <w:top w:val="none" w:sz="0" w:space="0" w:color="auto"/>
        <w:left w:val="none" w:sz="0" w:space="0" w:color="auto"/>
        <w:bottom w:val="none" w:sz="0" w:space="0" w:color="auto"/>
        <w:right w:val="none" w:sz="0" w:space="0" w:color="auto"/>
      </w:divBdr>
    </w:div>
    <w:div w:id="925188559">
      <w:bodyDiv w:val="1"/>
      <w:marLeft w:val="0"/>
      <w:marRight w:val="0"/>
      <w:marTop w:val="0"/>
      <w:marBottom w:val="0"/>
      <w:divBdr>
        <w:top w:val="none" w:sz="0" w:space="0" w:color="auto"/>
        <w:left w:val="none" w:sz="0" w:space="0" w:color="auto"/>
        <w:bottom w:val="none" w:sz="0" w:space="0" w:color="auto"/>
        <w:right w:val="none" w:sz="0" w:space="0" w:color="auto"/>
      </w:divBdr>
    </w:div>
    <w:div w:id="1025209195">
      <w:bodyDiv w:val="1"/>
      <w:marLeft w:val="0"/>
      <w:marRight w:val="0"/>
      <w:marTop w:val="0"/>
      <w:marBottom w:val="0"/>
      <w:divBdr>
        <w:top w:val="none" w:sz="0" w:space="0" w:color="auto"/>
        <w:left w:val="none" w:sz="0" w:space="0" w:color="auto"/>
        <w:bottom w:val="none" w:sz="0" w:space="0" w:color="auto"/>
        <w:right w:val="none" w:sz="0" w:space="0" w:color="auto"/>
      </w:divBdr>
    </w:div>
    <w:div w:id="1034161980">
      <w:bodyDiv w:val="1"/>
      <w:marLeft w:val="0"/>
      <w:marRight w:val="0"/>
      <w:marTop w:val="0"/>
      <w:marBottom w:val="0"/>
      <w:divBdr>
        <w:top w:val="none" w:sz="0" w:space="0" w:color="auto"/>
        <w:left w:val="none" w:sz="0" w:space="0" w:color="auto"/>
        <w:bottom w:val="none" w:sz="0" w:space="0" w:color="auto"/>
        <w:right w:val="none" w:sz="0" w:space="0" w:color="auto"/>
      </w:divBdr>
    </w:div>
    <w:div w:id="1128545584">
      <w:bodyDiv w:val="1"/>
      <w:marLeft w:val="0"/>
      <w:marRight w:val="0"/>
      <w:marTop w:val="0"/>
      <w:marBottom w:val="0"/>
      <w:divBdr>
        <w:top w:val="none" w:sz="0" w:space="0" w:color="auto"/>
        <w:left w:val="none" w:sz="0" w:space="0" w:color="auto"/>
        <w:bottom w:val="none" w:sz="0" w:space="0" w:color="auto"/>
        <w:right w:val="none" w:sz="0" w:space="0" w:color="auto"/>
      </w:divBdr>
    </w:div>
    <w:div w:id="1163354011">
      <w:bodyDiv w:val="1"/>
      <w:marLeft w:val="0"/>
      <w:marRight w:val="0"/>
      <w:marTop w:val="0"/>
      <w:marBottom w:val="0"/>
      <w:divBdr>
        <w:top w:val="none" w:sz="0" w:space="0" w:color="auto"/>
        <w:left w:val="none" w:sz="0" w:space="0" w:color="auto"/>
        <w:bottom w:val="none" w:sz="0" w:space="0" w:color="auto"/>
        <w:right w:val="none" w:sz="0" w:space="0" w:color="auto"/>
      </w:divBdr>
    </w:div>
    <w:div w:id="1180238498">
      <w:bodyDiv w:val="1"/>
      <w:marLeft w:val="0"/>
      <w:marRight w:val="0"/>
      <w:marTop w:val="0"/>
      <w:marBottom w:val="0"/>
      <w:divBdr>
        <w:top w:val="none" w:sz="0" w:space="0" w:color="auto"/>
        <w:left w:val="none" w:sz="0" w:space="0" w:color="auto"/>
        <w:bottom w:val="none" w:sz="0" w:space="0" w:color="auto"/>
        <w:right w:val="none" w:sz="0" w:space="0" w:color="auto"/>
      </w:divBdr>
    </w:div>
    <w:div w:id="1204438721">
      <w:bodyDiv w:val="1"/>
      <w:marLeft w:val="0"/>
      <w:marRight w:val="0"/>
      <w:marTop w:val="0"/>
      <w:marBottom w:val="0"/>
      <w:divBdr>
        <w:top w:val="none" w:sz="0" w:space="0" w:color="auto"/>
        <w:left w:val="none" w:sz="0" w:space="0" w:color="auto"/>
        <w:bottom w:val="none" w:sz="0" w:space="0" w:color="auto"/>
        <w:right w:val="none" w:sz="0" w:space="0" w:color="auto"/>
      </w:divBdr>
    </w:div>
    <w:div w:id="1206016696">
      <w:bodyDiv w:val="1"/>
      <w:marLeft w:val="0"/>
      <w:marRight w:val="0"/>
      <w:marTop w:val="0"/>
      <w:marBottom w:val="0"/>
      <w:divBdr>
        <w:top w:val="none" w:sz="0" w:space="0" w:color="auto"/>
        <w:left w:val="none" w:sz="0" w:space="0" w:color="auto"/>
        <w:bottom w:val="none" w:sz="0" w:space="0" w:color="auto"/>
        <w:right w:val="none" w:sz="0" w:space="0" w:color="auto"/>
      </w:divBdr>
    </w:div>
    <w:div w:id="1206989403">
      <w:bodyDiv w:val="1"/>
      <w:marLeft w:val="0"/>
      <w:marRight w:val="0"/>
      <w:marTop w:val="0"/>
      <w:marBottom w:val="0"/>
      <w:divBdr>
        <w:top w:val="none" w:sz="0" w:space="0" w:color="auto"/>
        <w:left w:val="none" w:sz="0" w:space="0" w:color="auto"/>
        <w:bottom w:val="none" w:sz="0" w:space="0" w:color="auto"/>
        <w:right w:val="none" w:sz="0" w:space="0" w:color="auto"/>
      </w:divBdr>
    </w:div>
    <w:div w:id="1225723215">
      <w:bodyDiv w:val="1"/>
      <w:marLeft w:val="0"/>
      <w:marRight w:val="0"/>
      <w:marTop w:val="0"/>
      <w:marBottom w:val="0"/>
      <w:divBdr>
        <w:top w:val="none" w:sz="0" w:space="0" w:color="auto"/>
        <w:left w:val="none" w:sz="0" w:space="0" w:color="auto"/>
        <w:bottom w:val="none" w:sz="0" w:space="0" w:color="auto"/>
        <w:right w:val="none" w:sz="0" w:space="0" w:color="auto"/>
      </w:divBdr>
    </w:div>
    <w:div w:id="1250504143">
      <w:bodyDiv w:val="1"/>
      <w:marLeft w:val="0"/>
      <w:marRight w:val="0"/>
      <w:marTop w:val="0"/>
      <w:marBottom w:val="0"/>
      <w:divBdr>
        <w:top w:val="none" w:sz="0" w:space="0" w:color="auto"/>
        <w:left w:val="none" w:sz="0" w:space="0" w:color="auto"/>
        <w:bottom w:val="none" w:sz="0" w:space="0" w:color="auto"/>
        <w:right w:val="none" w:sz="0" w:space="0" w:color="auto"/>
      </w:divBdr>
    </w:div>
    <w:div w:id="1505703668">
      <w:bodyDiv w:val="1"/>
      <w:marLeft w:val="0"/>
      <w:marRight w:val="0"/>
      <w:marTop w:val="0"/>
      <w:marBottom w:val="0"/>
      <w:divBdr>
        <w:top w:val="none" w:sz="0" w:space="0" w:color="auto"/>
        <w:left w:val="none" w:sz="0" w:space="0" w:color="auto"/>
        <w:bottom w:val="none" w:sz="0" w:space="0" w:color="auto"/>
        <w:right w:val="none" w:sz="0" w:space="0" w:color="auto"/>
      </w:divBdr>
    </w:div>
    <w:div w:id="1510094572">
      <w:bodyDiv w:val="1"/>
      <w:marLeft w:val="0"/>
      <w:marRight w:val="0"/>
      <w:marTop w:val="0"/>
      <w:marBottom w:val="0"/>
      <w:divBdr>
        <w:top w:val="none" w:sz="0" w:space="0" w:color="auto"/>
        <w:left w:val="none" w:sz="0" w:space="0" w:color="auto"/>
        <w:bottom w:val="none" w:sz="0" w:space="0" w:color="auto"/>
        <w:right w:val="none" w:sz="0" w:space="0" w:color="auto"/>
      </w:divBdr>
    </w:div>
    <w:div w:id="1600019590">
      <w:bodyDiv w:val="1"/>
      <w:marLeft w:val="0"/>
      <w:marRight w:val="0"/>
      <w:marTop w:val="0"/>
      <w:marBottom w:val="0"/>
      <w:divBdr>
        <w:top w:val="none" w:sz="0" w:space="0" w:color="auto"/>
        <w:left w:val="none" w:sz="0" w:space="0" w:color="auto"/>
        <w:bottom w:val="none" w:sz="0" w:space="0" w:color="auto"/>
        <w:right w:val="none" w:sz="0" w:space="0" w:color="auto"/>
      </w:divBdr>
    </w:div>
    <w:div w:id="1600481342">
      <w:bodyDiv w:val="1"/>
      <w:marLeft w:val="0"/>
      <w:marRight w:val="0"/>
      <w:marTop w:val="0"/>
      <w:marBottom w:val="0"/>
      <w:divBdr>
        <w:top w:val="none" w:sz="0" w:space="0" w:color="auto"/>
        <w:left w:val="none" w:sz="0" w:space="0" w:color="auto"/>
        <w:bottom w:val="none" w:sz="0" w:space="0" w:color="auto"/>
        <w:right w:val="none" w:sz="0" w:space="0" w:color="auto"/>
      </w:divBdr>
    </w:div>
    <w:div w:id="1737049635">
      <w:bodyDiv w:val="1"/>
      <w:marLeft w:val="0"/>
      <w:marRight w:val="0"/>
      <w:marTop w:val="0"/>
      <w:marBottom w:val="0"/>
      <w:divBdr>
        <w:top w:val="none" w:sz="0" w:space="0" w:color="auto"/>
        <w:left w:val="none" w:sz="0" w:space="0" w:color="auto"/>
        <w:bottom w:val="none" w:sz="0" w:space="0" w:color="auto"/>
        <w:right w:val="none" w:sz="0" w:space="0" w:color="auto"/>
      </w:divBdr>
    </w:div>
    <w:div w:id="1975912328">
      <w:bodyDiv w:val="1"/>
      <w:marLeft w:val="0"/>
      <w:marRight w:val="0"/>
      <w:marTop w:val="0"/>
      <w:marBottom w:val="0"/>
      <w:divBdr>
        <w:top w:val="none" w:sz="0" w:space="0" w:color="auto"/>
        <w:left w:val="none" w:sz="0" w:space="0" w:color="auto"/>
        <w:bottom w:val="none" w:sz="0" w:space="0" w:color="auto"/>
        <w:right w:val="none" w:sz="0" w:space="0" w:color="auto"/>
      </w:divBdr>
    </w:div>
    <w:div w:id="1978140354">
      <w:bodyDiv w:val="1"/>
      <w:marLeft w:val="0"/>
      <w:marRight w:val="0"/>
      <w:marTop w:val="0"/>
      <w:marBottom w:val="0"/>
      <w:divBdr>
        <w:top w:val="none" w:sz="0" w:space="0" w:color="auto"/>
        <w:left w:val="none" w:sz="0" w:space="0" w:color="auto"/>
        <w:bottom w:val="none" w:sz="0" w:space="0" w:color="auto"/>
        <w:right w:val="none" w:sz="0" w:space="0" w:color="auto"/>
      </w:divBdr>
    </w:div>
    <w:div w:id="2087603261">
      <w:bodyDiv w:val="1"/>
      <w:marLeft w:val="0"/>
      <w:marRight w:val="0"/>
      <w:marTop w:val="0"/>
      <w:marBottom w:val="0"/>
      <w:divBdr>
        <w:top w:val="none" w:sz="0" w:space="0" w:color="auto"/>
        <w:left w:val="none" w:sz="0" w:space="0" w:color="auto"/>
        <w:bottom w:val="none" w:sz="0" w:space="0" w:color="auto"/>
        <w:right w:val="none" w:sz="0" w:space="0" w:color="auto"/>
      </w:divBdr>
    </w:div>
    <w:div w:id="210511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chart" Target="charts/chart1.xml"/><Relationship Id="rId42" Type="http://schemas.openxmlformats.org/officeDocument/2006/relationships/header" Target="header6.xml"/><Relationship Id="rId47" Type="http://schemas.openxmlformats.org/officeDocument/2006/relationships/image" Target="media/image16.emf"/><Relationship Id="rId63" Type="http://schemas.openxmlformats.org/officeDocument/2006/relationships/footer" Target="footer13.xml"/><Relationship Id="rId68" Type="http://schemas.openxmlformats.org/officeDocument/2006/relationships/image" Target="media/image24.emf"/><Relationship Id="rId84" Type="http://schemas.openxmlformats.org/officeDocument/2006/relationships/header" Target="header15.xml"/><Relationship Id="rId89"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0.emf"/><Relationship Id="rId53" Type="http://schemas.openxmlformats.org/officeDocument/2006/relationships/footer" Target="footer9.xml"/><Relationship Id="rId58" Type="http://schemas.openxmlformats.org/officeDocument/2006/relationships/footer" Target="footer11.xml"/><Relationship Id="rId74" Type="http://schemas.openxmlformats.org/officeDocument/2006/relationships/image" Target="media/image30.emf"/><Relationship Id="rId79" Type="http://schemas.openxmlformats.org/officeDocument/2006/relationships/header" Target="header12.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3.emf"/><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image" Target="media/image8.emf"/><Relationship Id="rId35" Type="http://schemas.openxmlformats.org/officeDocument/2006/relationships/chart" Target="charts/chart10.xml"/><Relationship Id="rId43" Type="http://schemas.openxmlformats.org/officeDocument/2006/relationships/footer" Target="footer6.xml"/><Relationship Id="rId48" Type="http://schemas.openxmlformats.org/officeDocument/2006/relationships/image" Target="media/image17.emf"/><Relationship Id="rId56" Type="http://schemas.openxmlformats.org/officeDocument/2006/relationships/footer" Target="footer10.xml"/><Relationship Id="rId64" Type="http://schemas.openxmlformats.org/officeDocument/2006/relationships/image" Target="media/image22.emf"/><Relationship Id="rId69" Type="http://schemas.openxmlformats.org/officeDocument/2006/relationships/image" Target="media/image25.emf"/><Relationship Id="rId77" Type="http://schemas.openxmlformats.org/officeDocument/2006/relationships/image" Target="media/image33.emf"/><Relationship Id="rId8" Type="http://schemas.openxmlformats.org/officeDocument/2006/relationships/image" Target="media/image1.jpeg"/><Relationship Id="rId51" Type="http://schemas.openxmlformats.org/officeDocument/2006/relationships/image" Target="media/image19.emf"/><Relationship Id="rId72" Type="http://schemas.openxmlformats.org/officeDocument/2006/relationships/image" Target="media/image28.emf"/><Relationship Id="rId80" Type="http://schemas.openxmlformats.org/officeDocument/2006/relationships/footer" Target="footer16.xml"/><Relationship Id="rId85"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chart" Target="charts/chart8.xml"/><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header" Target="header9.xml"/><Relationship Id="rId67" Type="http://schemas.openxmlformats.org/officeDocument/2006/relationships/image" Target="media/image23.emf"/><Relationship Id="rId20" Type="http://schemas.openxmlformats.org/officeDocument/2006/relationships/image" Target="media/image5.png"/><Relationship Id="rId41" Type="http://schemas.openxmlformats.org/officeDocument/2006/relationships/image" Target="media/image12.emf"/><Relationship Id="rId54" Type="http://schemas.openxmlformats.org/officeDocument/2006/relationships/image" Target="media/image20.emf"/><Relationship Id="rId62" Type="http://schemas.openxmlformats.org/officeDocument/2006/relationships/header" Target="header10.xml"/><Relationship Id="rId70" Type="http://schemas.openxmlformats.org/officeDocument/2006/relationships/image" Target="media/image26.emf"/><Relationship Id="rId75" Type="http://schemas.openxmlformats.org/officeDocument/2006/relationships/image" Target="media/image31.emf"/><Relationship Id="rId83" Type="http://schemas.openxmlformats.org/officeDocument/2006/relationships/footer" Target="footer17.xml"/><Relationship Id="rId88"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chart" Target="charts/chart6.xml"/><Relationship Id="rId36" Type="http://schemas.openxmlformats.org/officeDocument/2006/relationships/chart" Target="charts/chart11.xml"/><Relationship Id="rId49" Type="http://schemas.openxmlformats.org/officeDocument/2006/relationships/image" Target="media/image18.emf"/><Relationship Id="rId57" Type="http://schemas.openxmlformats.org/officeDocument/2006/relationships/header" Target="header8.xml"/><Relationship Id="rId10" Type="http://schemas.openxmlformats.org/officeDocument/2006/relationships/footer" Target="footer1.xml"/><Relationship Id="rId31" Type="http://schemas.openxmlformats.org/officeDocument/2006/relationships/chart" Target="charts/chart7.xml"/><Relationship Id="rId44" Type="http://schemas.openxmlformats.org/officeDocument/2006/relationships/image" Target="media/image13.emf"/><Relationship Id="rId52" Type="http://schemas.openxmlformats.org/officeDocument/2006/relationships/footer" Target="footer8.xml"/><Relationship Id="rId60" Type="http://schemas.openxmlformats.org/officeDocument/2006/relationships/footer" Target="footer12.xml"/><Relationship Id="rId65" Type="http://schemas.openxmlformats.org/officeDocument/2006/relationships/footer" Target="footer14.xml"/><Relationship Id="rId73" Type="http://schemas.openxmlformats.org/officeDocument/2006/relationships/image" Target="media/image29.emf"/><Relationship Id="rId78" Type="http://schemas.openxmlformats.org/officeDocument/2006/relationships/header" Target="header11.xml"/><Relationship Id="rId81" Type="http://schemas.openxmlformats.org/officeDocument/2006/relationships/header" Target="header13.xml"/><Relationship Id="rId86"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yperlink" Target="https://www.maine.edu/finance/policies-procedures-and-reports/annual-financial-reports/" TargetMode="External"/><Relationship Id="rId13" Type="http://schemas.openxmlformats.org/officeDocument/2006/relationships/image" Target="media/image2.png"/><Relationship Id="rId18" Type="http://schemas.openxmlformats.org/officeDocument/2006/relationships/footer" Target="footer4.xml"/><Relationship Id="rId39" Type="http://schemas.openxmlformats.org/officeDocument/2006/relationships/header" Target="header5.xml"/><Relationship Id="rId34" Type="http://schemas.openxmlformats.org/officeDocument/2006/relationships/chart" Target="charts/chart9.xml"/><Relationship Id="rId50" Type="http://schemas.openxmlformats.org/officeDocument/2006/relationships/footer" Target="footer7.xml"/><Relationship Id="rId55" Type="http://schemas.openxmlformats.org/officeDocument/2006/relationships/header" Target="header7.xml"/><Relationship Id="rId76" Type="http://schemas.openxmlformats.org/officeDocument/2006/relationships/image" Target="media/image32.emf"/><Relationship Id="rId7" Type="http://schemas.openxmlformats.org/officeDocument/2006/relationships/endnotes" Target="endnotes.xml"/><Relationship Id="rId71"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6.emf"/><Relationship Id="rId40" Type="http://schemas.openxmlformats.org/officeDocument/2006/relationships/footer" Target="footer5.xml"/><Relationship Id="rId45" Type="http://schemas.openxmlformats.org/officeDocument/2006/relationships/image" Target="media/image14.emf"/><Relationship Id="rId66" Type="http://schemas.openxmlformats.org/officeDocument/2006/relationships/footer" Target="footer15.xml"/><Relationship Id="rId87" Type="http://schemas.openxmlformats.org/officeDocument/2006/relationships/image" Target="media/image36.emf"/><Relationship Id="rId61" Type="http://schemas.openxmlformats.org/officeDocument/2006/relationships/image" Target="media/image21.emf"/><Relationship Id="rId82" Type="http://schemas.openxmlformats.org/officeDocument/2006/relationships/header" Target="header14.xml"/><Relationship Id="rId19"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2\YEFY22%20WKPS\Fin%20Stmts%20FY22\AFS%20FY22\2022%20MD&amp;A%20Charts%20&amp;%20Tables\C1.C2.T1%20Fall%20Enrol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2\YEFY22%20WKPS\Fin%20Stmts%20FY22\AFS%20FY22\2022%20MD&amp;A%20Charts%20&amp;%20Tables\C10.Noncapital%20State%20Appr%20202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2\YEFY22%20WKPS\Fin%20Stmts%20FY22\AFS%20FY22\2022%20MD&amp;A%20Charts%20&amp;%20Tables\IP.C12%20Gifts%20by%20Donor%20Type%20202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WV-O-FS-SWS1.sws.ad.maine.edu\groupshares\McMahan\ACCTG%20DEPT%20-%20WRKG\GL%20CLOSE%20WKPS\YE%20CLOSE%202022\YEFY22%20WKPS\Fin%20Stmts%20FY22\AFS%20FY22\2022%20MD&amp;A%20Charts%20&amp;%20Tables\C1.C2.T1%20Fall%20Enroll.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2\YEFY22%20WKPS\Fin%20Stmts%20FY22\AFS%20FY22\2022%20MD&amp;A%20Charts%20&amp;%20Tables\C4-7%20MIP%20&amp;%20Endowment%20Investments%20202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WV-O-FS-SWS1.sws.ad.maine.edu\groupshares\McMahan\ACCTG%20DEPT%20-%20WRKG\GL%20CLOSE%20WKPS\YE%20CLOSE%202022\YEFY22%20WKPS\Fin%20Stmts%20FY22\AFS%20FY22\2022%20MD&amp;A%20Charts%20&amp;%20Tables\IP.C4-7%20MIP%20&amp;%20Endowment%20Investments%2020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2\YEFY22%20WKPS\Fin%20Stmts%20FY22\AFS%20FY22\2022%20MD&amp;A%20Charts%20&amp;%20Tables\IP.C4-7%20MIP%20&amp;%20Endowment%20Investments%202022.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WV-O-FS-SWS1.sws.ad.maine.edu\groupshares\McMahan\ACCTG%20DEPT%20-%20WRKG\GL%20CLOSE%20WKPS\YE%20CLOSE%202022\YEFY22%20WKPS\Fin%20Stmts%20FY22\AFS%20FY22\2022%20MD&amp;A%20Charts%20&amp;%20Tables\IP.C4-7%20MIP%20&amp;%20Endowment%20Investments%202022.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2\YEFY22%20WKPS\Fin%20Stmts%20FY22\AFS%20FY22\2022%20MD&amp;A%20Charts%20&amp;%20Tables\IP.C8.%20Oper%20and%20Nonoper%20Revenue%2020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2\YEFY22%20WKPS\Fin%20Stmts%20FY22\AFS%20FY22\2022%20MD&amp;A%20Charts%20&amp;%20Tables\IP.C9%20Student%20Financial%20Aid%2020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V-O-FS-SWS1.sws.ad.maine.edu\groupshares\McMahan\ACCTG%20DEPT%20-%20WRKG\GL%20CLOSE%20WKPS\YE%20CLOSE%202022\YEFY22%20WKPS\Fin%20Stmts%20FY22\AFS%20FY22\2022%20MD&amp;A%20Charts%20&amp;%20Tables\IP.C10%20Grants%20&amp;%20Contracts%20Recovery%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1: Student Enrollment by Headcount</a:t>
            </a:r>
          </a:p>
        </c:rich>
      </c:tx>
      <c:layout>
        <c:manualLayout>
          <c:xMode val="edge"/>
          <c:yMode val="edge"/>
          <c:x val="0.2542845946340041"/>
          <c:y val="7.9365079365079361E-3"/>
        </c:manualLayout>
      </c:layout>
      <c:overlay val="0"/>
      <c:spPr>
        <a:noFill/>
        <a:ln>
          <a:noFill/>
        </a:ln>
        <a:effectLst/>
      </c:spPr>
    </c:title>
    <c:autoTitleDeleted val="0"/>
    <c:plotArea>
      <c:layout>
        <c:manualLayout>
          <c:layoutTarget val="inner"/>
          <c:xMode val="edge"/>
          <c:yMode val="edge"/>
          <c:x val="0.12192825896762904"/>
          <c:y val="0.17496031746031745"/>
          <c:w val="0.85307174103237104"/>
          <c:h val="0.65411354830646173"/>
        </c:manualLayout>
      </c:layout>
      <c:lineChart>
        <c:grouping val="standard"/>
        <c:varyColors val="0"/>
        <c:ser>
          <c:idx val="3"/>
          <c:order val="0"/>
          <c:tx>
            <c:strRef>
              <c:f>'Chart 1 Enroll by Headcount'!$E$4</c:f>
              <c:strCache>
                <c:ptCount val="1"/>
                <c:pt idx="0">
                  <c:v>Total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2017</c:v>
                </c:pt>
                <c:pt idx="1">
                  <c:v>Fall 2018</c:v>
                </c:pt>
                <c:pt idx="2">
                  <c:v>Fall 2019</c:v>
                </c:pt>
                <c:pt idx="3">
                  <c:v>Fall 2020</c:v>
                </c:pt>
                <c:pt idx="4">
                  <c:v>Fall 2021</c:v>
                </c:pt>
              </c:strCache>
            </c:strRef>
          </c:cat>
          <c:val>
            <c:numRef>
              <c:f>'Chart 1 Enroll by Headcount'!$E$5:$E$9</c:f>
              <c:numCache>
                <c:formatCode>_(* #,##0_);_(* \(#,##0\);_(* "-"??_);_(@_)</c:formatCode>
                <c:ptCount val="5"/>
                <c:pt idx="0">
                  <c:v>28997</c:v>
                </c:pt>
                <c:pt idx="1">
                  <c:v>29735</c:v>
                </c:pt>
                <c:pt idx="2">
                  <c:v>29974</c:v>
                </c:pt>
                <c:pt idx="3">
                  <c:v>29683</c:v>
                </c:pt>
                <c:pt idx="4">
                  <c:v>30139</c:v>
                </c:pt>
              </c:numCache>
            </c:numRef>
          </c:val>
          <c:smooth val="0"/>
          <c:extLst>
            <c:ext xmlns:c16="http://schemas.microsoft.com/office/drawing/2014/chart" uri="{C3380CC4-5D6E-409C-BE32-E72D297353CC}">
              <c16:uniqueId val="{00000000-FC90-46C5-AB06-AE83231989A6}"/>
            </c:ext>
          </c:extLst>
        </c:ser>
        <c:ser>
          <c:idx val="1"/>
          <c:order val="1"/>
          <c:tx>
            <c:strRef>
              <c:f>'Chart 1 Enroll by Headcount'!$C$4</c:f>
              <c:strCache>
                <c:ptCount val="1"/>
                <c:pt idx="0">
                  <c:v>Full-Time</c:v>
                </c:pt>
              </c:strCache>
            </c:strRef>
          </c:tx>
          <c:spPr>
            <a:ln w="28575" cap="rnd">
              <a:solidFill>
                <a:schemeClr val="accent2"/>
              </a:solidFill>
              <a:round/>
            </a:ln>
            <a:effectLst/>
          </c:spPr>
          <c:marker>
            <c:symbol val="square"/>
            <c:size val="5"/>
            <c:spPr>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2017</c:v>
                </c:pt>
                <c:pt idx="1">
                  <c:v>Fall 2018</c:v>
                </c:pt>
                <c:pt idx="2">
                  <c:v>Fall 2019</c:v>
                </c:pt>
                <c:pt idx="3">
                  <c:v>Fall 2020</c:v>
                </c:pt>
                <c:pt idx="4">
                  <c:v>Fall 2021</c:v>
                </c:pt>
              </c:strCache>
            </c:strRef>
          </c:cat>
          <c:val>
            <c:numRef>
              <c:f>'Chart 1 Enroll by Headcount'!$C$5:$C$9</c:f>
              <c:numCache>
                <c:formatCode>_(* #,##0_);_(* \(#,##0\);_(* "-"??_);_(@_)</c:formatCode>
                <c:ptCount val="5"/>
                <c:pt idx="0">
                  <c:v>18771</c:v>
                </c:pt>
                <c:pt idx="1">
                  <c:v>18877</c:v>
                </c:pt>
                <c:pt idx="2">
                  <c:v>18750</c:v>
                </c:pt>
                <c:pt idx="3">
                  <c:v>18631</c:v>
                </c:pt>
                <c:pt idx="4">
                  <c:v>18500</c:v>
                </c:pt>
              </c:numCache>
            </c:numRef>
          </c:val>
          <c:smooth val="0"/>
          <c:extLst>
            <c:ext xmlns:c16="http://schemas.microsoft.com/office/drawing/2014/chart" uri="{C3380CC4-5D6E-409C-BE32-E72D297353CC}">
              <c16:uniqueId val="{00000001-FC90-46C5-AB06-AE83231989A6}"/>
            </c:ext>
          </c:extLst>
        </c:ser>
        <c:ser>
          <c:idx val="2"/>
          <c:order val="2"/>
          <c:tx>
            <c:strRef>
              <c:f>'Chart 1 Enroll by Headcount'!$D$4</c:f>
              <c:strCache>
                <c:ptCount val="1"/>
                <c:pt idx="0">
                  <c:v>Part-Time</c:v>
                </c:pt>
              </c:strCache>
            </c:strRef>
          </c:tx>
          <c:spPr>
            <a:ln w="28575" cap="rnd">
              <a:solidFill>
                <a:schemeClr val="accent3"/>
              </a:solidFill>
              <a:round/>
            </a:ln>
            <a:effectLst/>
          </c:spPr>
          <c:marker>
            <c:symbol val="triangle"/>
            <c:size val="5"/>
            <c:spPr>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2017</c:v>
                </c:pt>
                <c:pt idx="1">
                  <c:v>Fall 2018</c:v>
                </c:pt>
                <c:pt idx="2">
                  <c:v>Fall 2019</c:v>
                </c:pt>
                <c:pt idx="3">
                  <c:v>Fall 2020</c:v>
                </c:pt>
                <c:pt idx="4">
                  <c:v>Fall 2021</c:v>
                </c:pt>
              </c:strCache>
            </c:strRef>
          </c:cat>
          <c:val>
            <c:numRef>
              <c:f>'Chart 1 Enroll by Headcount'!$D$5:$D$9</c:f>
              <c:numCache>
                <c:formatCode>_(* #,##0_);_(* \(#,##0\);_(* "-"??_);_(@_)</c:formatCode>
                <c:ptCount val="5"/>
                <c:pt idx="0">
                  <c:v>7954</c:v>
                </c:pt>
                <c:pt idx="1">
                  <c:v>7885</c:v>
                </c:pt>
                <c:pt idx="2">
                  <c:v>7657</c:v>
                </c:pt>
                <c:pt idx="3">
                  <c:v>7621</c:v>
                </c:pt>
                <c:pt idx="4">
                  <c:v>7611</c:v>
                </c:pt>
              </c:numCache>
            </c:numRef>
          </c:val>
          <c:smooth val="0"/>
          <c:extLst>
            <c:ext xmlns:c16="http://schemas.microsoft.com/office/drawing/2014/chart" uri="{C3380CC4-5D6E-409C-BE32-E72D297353CC}">
              <c16:uniqueId val="{00000002-FC90-46C5-AB06-AE83231989A6}"/>
            </c:ext>
          </c:extLst>
        </c:ser>
        <c:ser>
          <c:idx val="0"/>
          <c:order val="3"/>
          <c:tx>
            <c:strRef>
              <c:f>'Chart 1 Enroll by Headcount'!$B$4</c:f>
              <c:strCache>
                <c:ptCount val="1"/>
                <c:pt idx="0">
                  <c:v>Early College</c:v>
                </c:pt>
              </c:strCache>
            </c:strRef>
          </c:tx>
          <c:spPr>
            <a:ln w="28575" cap="rnd">
              <a:solidFill>
                <a:schemeClr val="accent1"/>
              </a:solidFill>
              <a:round/>
            </a:ln>
            <a:effectLst/>
          </c:spPr>
          <c:marker>
            <c:spPr>
              <a:scene3d>
                <a:camera prst="orthographicFront"/>
                <a:lightRig rig="threePt" dir="t"/>
              </a:scene3d>
              <a:sp3d>
                <a:bevelT h="50800"/>
                <a:bevelB/>
              </a:sp3d>
            </c:spPr>
          </c:marker>
          <c:dLbls>
            <c:numFmt formatCode="#,##0" sourceLinked="0"/>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'Chart 1 Enroll by Headcount'!$A$5:$A$9</c:f>
              <c:strCache>
                <c:ptCount val="5"/>
                <c:pt idx="0">
                  <c:v>Fall 2017</c:v>
                </c:pt>
                <c:pt idx="1">
                  <c:v>Fall 2018</c:v>
                </c:pt>
                <c:pt idx="2">
                  <c:v>Fall 2019</c:v>
                </c:pt>
                <c:pt idx="3">
                  <c:v>Fall 2020</c:v>
                </c:pt>
                <c:pt idx="4">
                  <c:v>Fall 2021</c:v>
                </c:pt>
              </c:strCache>
            </c:strRef>
          </c:cat>
          <c:val>
            <c:numRef>
              <c:f>'Chart 1 Enroll by Headcount'!$B$5:$B$9</c:f>
              <c:numCache>
                <c:formatCode>_(* #,##0_);_(* \(#,##0\);_(* "-"??_);_(@_)</c:formatCode>
                <c:ptCount val="5"/>
                <c:pt idx="0">
                  <c:v>2272</c:v>
                </c:pt>
                <c:pt idx="1">
                  <c:v>2973</c:v>
                </c:pt>
                <c:pt idx="2">
                  <c:v>3567</c:v>
                </c:pt>
                <c:pt idx="3">
                  <c:v>3431</c:v>
                </c:pt>
                <c:pt idx="4">
                  <c:v>4028</c:v>
                </c:pt>
              </c:numCache>
            </c:numRef>
          </c:val>
          <c:smooth val="0"/>
          <c:extLst>
            <c:ext xmlns:c16="http://schemas.microsoft.com/office/drawing/2014/chart" uri="{C3380CC4-5D6E-409C-BE32-E72D297353CC}">
              <c16:uniqueId val="{00000003-FC90-46C5-AB06-AE83231989A6}"/>
            </c:ext>
          </c:extLst>
        </c:ser>
        <c:dLbls>
          <c:dLblPos val="t"/>
          <c:showLegendKey val="0"/>
          <c:showVal val="1"/>
          <c:showCatName val="0"/>
          <c:showSerName val="0"/>
          <c:showPercent val="0"/>
          <c:showBubbleSize val="0"/>
        </c:dLbls>
        <c:marker val="1"/>
        <c:smooth val="0"/>
        <c:axId val="1935212159"/>
        <c:axId val="157327727"/>
      </c:lineChart>
      <c:catAx>
        <c:axId val="193521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57327727"/>
        <c:crosses val="autoZero"/>
        <c:auto val="1"/>
        <c:lblAlgn val="ctr"/>
        <c:lblOffset val="100"/>
        <c:noMultiLvlLbl val="0"/>
      </c:catAx>
      <c:valAx>
        <c:axId val="157327727"/>
        <c:scaling>
          <c:orientation val="minMax"/>
          <c:max val="3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935212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10: Noncapital State Appropriation</a:t>
            </a:r>
            <a:r>
              <a:rPr lang="en-US" sz="1200" b="1" baseline="0">
                <a:solidFill>
                  <a:schemeClr val="tx1">
                    <a:lumMod val="95000"/>
                    <a:lumOff val="5000"/>
                  </a:schemeClr>
                </a:solidFill>
              </a:rPr>
              <a:t> and Annual Percentage Change</a:t>
            </a:r>
          </a:p>
          <a:p>
            <a:pPr>
              <a:defRPr sz="1400" b="1" i="0" u="none" strike="noStrike" kern="1200" spc="0" baseline="0">
                <a:solidFill>
                  <a:schemeClr val="tx1">
                    <a:lumMod val="95000"/>
                    <a:lumOff val="5000"/>
                  </a:schemeClr>
                </a:solidFill>
                <a:latin typeface="+mn-lt"/>
                <a:ea typeface="+mn-ea"/>
                <a:cs typeface="+mn-cs"/>
              </a:defRPr>
            </a:pPr>
            <a:r>
              <a:rPr lang="en-US" sz="1100" b="1" baseline="0">
                <a:solidFill>
                  <a:schemeClr val="tx1">
                    <a:lumMod val="95000"/>
                    <a:lumOff val="5000"/>
                  </a:schemeClr>
                </a:solidFill>
              </a:rPr>
              <a:t>(In millions)</a:t>
            </a:r>
            <a:endParaRPr lang="en-US" sz="1100" b="1">
              <a:solidFill>
                <a:schemeClr val="tx1">
                  <a:lumMod val="95000"/>
                  <a:lumOff val="5000"/>
                </a:schemeClr>
              </a:solidFill>
            </a:endParaRPr>
          </a:p>
        </c:rich>
      </c:tx>
      <c:layout>
        <c:manualLayout>
          <c:xMode val="edge"/>
          <c:yMode val="edge"/>
          <c:x val="0.13208333333333333"/>
          <c:y val="9.2592592592592587E-3"/>
        </c:manualLayout>
      </c:layout>
      <c:overlay val="0"/>
      <c:spPr>
        <a:noFill/>
        <a:ln>
          <a:noFill/>
        </a:ln>
        <a:effectLst/>
      </c:spPr>
    </c:title>
    <c:autoTitleDeleted val="0"/>
    <c:plotArea>
      <c:layout/>
      <c:barChart>
        <c:barDir val="col"/>
        <c:grouping val="clustered"/>
        <c:varyColors val="0"/>
        <c:ser>
          <c:idx val="0"/>
          <c:order val="0"/>
          <c:spPr>
            <a:solidFill>
              <a:srgbClr val="00688D"/>
            </a:solidFill>
            <a:ln>
              <a:noFill/>
            </a:ln>
            <a:effectLst/>
            <a:scene3d>
              <a:camera prst="orthographicFront"/>
              <a:lightRig rig="threePt" dir="t"/>
            </a:scene3d>
            <a:sp3d>
              <a:bevelT h="50800"/>
            </a:sp3d>
          </c:spPr>
          <c:invertIfNegative val="0"/>
          <c:dLbls>
            <c:dLbl>
              <c:idx val="0"/>
              <c:tx>
                <c:rich>
                  <a:bodyPr/>
                  <a:lstStyle/>
                  <a:p>
                    <a:fld id="{CB39097E-21ED-4FFF-9F33-575A639C47AC}" type="VALUE">
                      <a:rPr lang="en-US"/>
                      <a:pPr/>
                      <a:t>[VALUE]</a:t>
                    </a:fld>
                    <a:r>
                      <a:rPr lang="en-US"/>
                      <a:t> </a:t>
                    </a:r>
                  </a:p>
                  <a:p>
                    <a:r>
                      <a:rPr lang="en-US"/>
                      <a:t>Change: (0.5%)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6ED-4FDF-83CB-9D529E3006E8}"/>
                </c:ext>
              </c:extLst>
            </c:dLbl>
            <c:dLbl>
              <c:idx val="1"/>
              <c:tx>
                <c:rich>
                  <a:bodyPr/>
                  <a:lstStyle/>
                  <a:p>
                    <a:fld id="{28EA1716-4905-47E0-AB3C-5BCDE6C72FD2}" type="VALUE">
                      <a:rPr lang="en-US"/>
                      <a:pPr/>
                      <a:t>[VALUE]</a:t>
                    </a:fld>
                    <a:r>
                      <a:rPr lang="en-US"/>
                      <a:t> </a:t>
                    </a:r>
                  </a:p>
                  <a:p>
                    <a:r>
                      <a:rPr lang="en-US"/>
                      <a:t>Change:</a:t>
                    </a:r>
                    <a:r>
                      <a:rPr lang="en-US" baseline="0"/>
                      <a:t> 0.5%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6ED-4FDF-83CB-9D529E3006E8}"/>
                </c:ext>
              </c:extLst>
            </c:dLbl>
            <c:dLbl>
              <c:idx val="2"/>
              <c:tx>
                <c:rich>
                  <a:bodyPr/>
                  <a:lstStyle/>
                  <a:p>
                    <a:fld id="{C69C5B44-D5B1-481C-8767-39CD6FAA510F}" type="VALUE">
                      <a:rPr lang="en-US"/>
                      <a:pPr/>
                      <a:t>[VALUE]</a:t>
                    </a:fld>
                    <a:r>
                      <a:rPr lang="en-US"/>
                      <a:t> </a:t>
                    </a:r>
                  </a:p>
                  <a:p>
                    <a:r>
                      <a:rPr lang="en-US"/>
                      <a:t>Change:</a:t>
                    </a:r>
                    <a:r>
                      <a:rPr lang="en-US" baseline="0"/>
                      <a:t> 3.8%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6ED-4FDF-83CB-9D529E3006E8}"/>
                </c:ext>
              </c:extLst>
            </c:dLbl>
            <c:dLbl>
              <c:idx val="3"/>
              <c:tx>
                <c:rich>
                  <a:bodyPr/>
                  <a:lstStyle/>
                  <a:p>
                    <a:fld id="{78C9CB1C-826D-4AC7-8B16-CD438DF91128}" type="VALUE">
                      <a:rPr lang="en-US"/>
                      <a:pPr/>
                      <a:t>[VALUE]</a:t>
                    </a:fld>
                    <a:r>
                      <a:rPr lang="en-US"/>
                      <a:t> </a:t>
                    </a:r>
                  </a:p>
                  <a:p>
                    <a:r>
                      <a:rPr lang="en-US"/>
                      <a:t>Change: (0.9%)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6ED-4FDF-83CB-9D529E3006E8}"/>
                </c:ext>
              </c:extLst>
            </c:dLbl>
            <c:dLbl>
              <c:idx val="4"/>
              <c:tx>
                <c:rich>
                  <a:bodyPr/>
                  <a:lstStyle/>
                  <a:p>
                    <a:fld id="{B1DE2D50-34EC-4ED9-B161-A94B7E82DAF4}" type="VALUE">
                      <a:rPr lang="en-US"/>
                      <a:pPr/>
                      <a:t>[VALUE]</a:t>
                    </a:fld>
                    <a:r>
                      <a:rPr lang="en-US"/>
                      <a:t> </a:t>
                    </a:r>
                  </a:p>
                  <a:p>
                    <a:r>
                      <a:rPr lang="en-US"/>
                      <a:t>Change:</a:t>
                    </a:r>
                    <a:r>
                      <a:rPr lang="en-US" baseline="0"/>
                      <a:t> 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6ED-4FDF-83CB-9D529E3006E8}"/>
                </c:ext>
              </c:extLst>
            </c:dLbl>
            <c:spPr>
              <a:noFill/>
              <a:ln>
                <a:noFill/>
              </a:ln>
              <a:effectLst/>
            </c:spPr>
            <c:txPr>
              <a:bodyPr wrap="square" lIns="38100" tIns="19050" rIns="38100" bIns="19050" anchor="ctr">
                <a:spAutoFit/>
              </a:bodyPr>
              <a:lstStyle/>
              <a:p>
                <a:pPr>
                  <a:defRPr sz="800" b="0" i="0" baseline="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10'!$A$7:$A$11</c:f>
              <c:strCache>
                <c:ptCount val="5"/>
                <c:pt idx="0">
                  <c:v>FY18</c:v>
                </c:pt>
                <c:pt idx="1">
                  <c:v>FY19</c:v>
                </c:pt>
                <c:pt idx="2">
                  <c:v>FY20</c:v>
                </c:pt>
                <c:pt idx="3">
                  <c:v>FY21</c:v>
                </c:pt>
                <c:pt idx="4">
                  <c:v>FY22</c:v>
                </c:pt>
              </c:strCache>
            </c:strRef>
          </c:cat>
          <c:val>
            <c:numRef>
              <c:f>'Chart 10'!$D$7:$D$11</c:f>
              <c:numCache>
                <c:formatCode>"$"#,##0</c:formatCode>
                <c:ptCount val="5"/>
                <c:pt idx="0">
                  <c:v>211</c:v>
                </c:pt>
                <c:pt idx="1">
                  <c:v>212</c:v>
                </c:pt>
                <c:pt idx="2">
                  <c:v>220</c:v>
                </c:pt>
                <c:pt idx="3">
                  <c:v>218</c:v>
                </c:pt>
                <c:pt idx="4">
                  <c:v>229</c:v>
                </c:pt>
              </c:numCache>
            </c:numRef>
          </c:val>
          <c:extLst>
            <c:ext xmlns:c16="http://schemas.microsoft.com/office/drawing/2014/chart" uri="{C3380CC4-5D6E-409C-BE32-E72D297353CC}">
              <c16:uniqueId val="{00000005-F6ED-4FDF-83CB-9D529E3006E8}"/>
            </c:ext>
          </c:extLst>
        </c:ser>
        <c:dLbls>
          <c:dLblPos val="outEnd"/>
          <c:showLegendKey val="0"/>
          <c:showVal val="1"/>
          <c:showCatName val="0"/>
          <c:showSerName val="0"/>
          <c:showPercent val="0"/>
          <c:showBubbleSize val="0"/>
        </c:dLbls>
        <c:gapWidth val="219"/>
        <c:overlap val="-27"/>
        <c:axId val="1109976976"/>
        <c:axId val="1109976560"/>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'Chart 10'!$A$7:$A$11</c15:sqref>
                        </c15:formulaRef>
                      </c:ext>
                    </c:extLst>
                    <c:strCache>
                      <c:ptCount val="5"/>
                      <c:pt idx="0">
                        <c:v>FY18</c:v>
                      </c:pt>
                      <c:pt idx="1">
                        <c:v>FY19</c:v>
                      </c:pt>
                      <c:pt idx="2">
                        <c:v>FY20</c:v>
                      </c:pt>
                      <c:pt idx="3">
                        <c:v>FY21</c:v>
                      </c:pt>
                      <c:pt idx="4">
                        <c:v>FY22</c:v>
                      </c:pt>
                    </c:strCache>
                  </c:strRef>
                </c:cat>
                <c:val>
                  <c:numRef>
                    <c:extLst>
                      <c:ext uri="{02D57815-91ED-43cb-92C2-25804820EDAC}">
                        <c15:formulaRef>
                          <c15:sqref>'Chart 10'!$E$7:$E$11</c15:sqref>
                        </c15:formulaRef>
                      </c:ext>
                    </c:extLst>
                    <c:numCache>
                      <c:formatCode>0.0%_);\(0.0%\)</c:formatCode>
                      <c:ptCount val="5"/>
                      <c:pt idx="0">
                        <c:v>-4.7169811320754715E-3</c:v>
                      </c:pt>
                      <c:pt idx="1">
                        <c:v>4.7393364928909956E-3</c:v>
                      </c:pt>
                      <c:pt idx="2">
                        <c:v>3.7735849056603772E-2</c:v>
                      </c:pt>
                      <c:pt idx="3">
                        <c:v>-9.0909090909090905E-3</c:v>
                      </c:pt>
                      <c:pt idx="4">
                        <c:v>5.0458715596330278E-2</c:v>
                      </c:pt>
                    </c:numCache>
                  </c:numRef>
                </c:val>
                <c:extLst>
                  <c:ext xmlns:c16="http://schemas.microsoft.com/office/drawing/2014/chart" uri="{C3380CC4-5D6E-409C-BE32-E72D297353CC}">
                    <c16:uniqueId val="{00000006-F6ED-4FDF-83CB-9D529E3006E8}"/>
                  </c:ext>
                </c:extLst>
              </c15:ser>
            </c15:filteredBarSeries>
          </c:ext>
        </c:extLst>
      </c:barChart>
      <c:catAx>
        <c:axId val="110997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109976560"/>
        <c:crosses val="autoZero"/>
        <c:auto val="1"/>
        <c:lblAlgn val="ctr"/>
        <c:lblOffset val="100"/>
        <c:noMultiLvlLbl val="0"/>
      </c:catAx>
      <c:valAx>
        <c:axId val="1109976560"/>
        <c:scaling>
          <c:orientation val="minMax"/>
          <c:min val="19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109976976"/>
        <c:crosses val="autoZero"/>
        <c:crossBetween val="between"/>
        <c:majorUnit val="10"/>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11: Gifts by Donor Type
</a:t>
            </a:r>
            <a:r>
              <a:rPr lang="en-US" sz="1050" b="1">
                <a:solidFill>
                  <a:schemeClr val="tx1">
                    <a:lumMod val="95000"/>
                    <a:lumOff val="5000"/>
                  </a:schemeClr>
                </a:solidFill>
              </a:rPr>
              <a:t>(In millions)</a:t>
            </a:r>
          </a:p>
        </c:rich>
      </c:tx>
      <c:overlay val="0"/>
      <c:spPr>
        <a:noFill/>
        <a:ln>
          <a:noFill/>
        </a:ln>
        <a:effectLst/>
      </c:spPr>
    </c:title>
    <c:autoTitleDeleted val="0"/>
    <c:plotArea>
      <c:layout/>
      <c:barChart>
        <c:barDir val="col"/>
        <c:grouping val="clustered"/>
        <c:varyColors val="0"/>
        <c:ser>
          <c:idx val="0"/>
          <c:order val="0"/>
          <c:tx>
            <c:strRef>
              <c:f>'Chart 12'!$B$1</c:f>
              <c:strCache>
                <c:ptCount val="1"/>
                <c:pt idx="0">
                  <c:v>University Foundations</c:v>
                </c:pt>
              </c:strCache>
            </c:strRef>
          </c:tx>
          <c:spPr>
            <a:solidFill>
              <a:srgbClr val="00688D"/>
            </a:solidFill>
            <a:ln>
              <a:noFill/>
            </a:ln>
            <a:effectLst/>
            <a:scene3d>
              <a:camera prst="orthographicFront"/>
              <a:lightRig rig="threePt" dir="t"/>
            </a:scene3d>
            <a:sp3d>
              <a:bevelT h="50800"/>
            </a:sp3d>
          </c:spPr>
          <c:invertIfNegative val="0"/>
          <c:cat>
            <c:strRef>
              <c:f>'Chart 12'!$A$10:$A$14</c:f>
              <c:strCache>
                <c:ptCount val="5"/>
                <c:pt idx="0">
                  <c:v>FY18</c:v>
                </c:pt>
                <c:pt idx="1">
                  <c:v>FY19</c:v>
                </c:pt>
                <c:pt idx="2">
                  <c:v>FY20</c:v>
                </c:pt>
                <c:pt idx="3">
                  <c:v>FY21</c:v>
                </c:pt>
                <c:pt idx="4">
                  <c:v>FY22</c:v>
                </c:pt>
              </c:strCache>
              <c:extLst/>
            </c:strRef>
          </c:cat>
          <c:val>
            <c:numRef>
              <c:f>'Chart 12'!$B$10:$B$14</c:f>
              <c:numCache>
                <c:formatCode>"$"#,##0_);[Red]\("$"#,##0\)</c:formatCode>
                <c:ptCount val="5"/>
                <c:pt idx="0">
                  <c:v>11</c:v>
                </c:pt>
                <c:pt idx="1">
                  <c:v>13</c:v>
                </c:pt>
                <c:pt idx="2">
                  <c:v>13.67212818</c:v>
                </c:pt>
                <c:pt idx="3">
                  <c:v>15</c:v>
                </c:pt>
                <c:pt idx="4">
                  <c:v>38</c:v>
                </c:pt>
              </c:numCache>
              <c:extLst/>
            </c:numRef>
          </c:val>
          <c:extLst>
            <c:ext xmlns:c16="http://schemas.microsoft.com/office/drawing/2014/chart" uri="{C3380CC4-5D6E-409C-BE32-E72D297353CC}">
              <c16:uniqueId val="{00000000-62B4-47DF-A64E-873F320ADEA1}"/>
            </c:ext>
          </c:extLst>
        </c:ser>
        <c:ser>
          <c:idx val="1"/>
          <c:order val="1"/>
          <c:tx>
            <c:strRef>
              <c:f>'Chart 12'!$C$1</c:f>
              <c:strCache>
                <c:ptCount val="1"/>
                <c:pt idx="0">
                  <c:v>Corporations</c:v>
                </c:pt>
              </c:strCache>
            </c:strRef>
          </c:tx>
          <c:spPr>
            <a:solidFill>
              <a:srgbClr val="F6A800"/>
            </a:solidFill>
            <a:ln>
              <a:noFill/>
            </a:ln>
            <a:effectLst/>
            <a:scene3d>
              <a:camera prst="orthographicFront"/>
              <a:lightRig rig="threePt" dir="t"/>
            </a:scene3d>
            <a:sp3d>
              <a:bevelT h="50800"/>
            </a:sp3d>
          </c:spPr>
          <c:invertIfNegative val="0"/>
          <c:cat>
            <c:strRef>
              <c:f>'Chart 12'!$A$10:$A$14</c:f>
              <c:strCache>
                <c:ptCount val="5"/>
                <c:pt idx="0">
                  <c:v>FY18</c:v>
                </c:pt>
                <c:pt idx="1">
                  <c:v>FY19</c:v>
                </c:pt>
                <c:pt idx="2">
                  <c:v>FY20</c:v>
                </c:pt>
                <c:pt idx="3">
                  <c:v>FY21</c:v>
                </c:pt>
                <c:pt idx="4">
                  <c:v>FY22</c:v>
                </c:pt>
              </c:strCache>
              <c:extLst/>
            </c:strRef>
          </c:cat>
          <c:val>
            <c:numRef>
              <c:f>'Chart 12'!$C$10:$C$14</c:f>
              <c:numCache>
                <c:formatCode>"$"#,##0_);[Red]\("$"#,##0\)</c:formatCode>
                <c:ptCount val="5"/>
                <c:pt idx="0">
                  <c:v>2</c:v>
                </c:pt>
                <c:pt idx="1">
                  <c:v>2</c:v>
                </c:pt>
                <c:pt idx="2">
                  <c:v>1.0671135599999999</c:v>
                </c:pt>
                <c:pt idx="3">
                  <c:v>2</c:v>
                </c:pt>
                <c:pt idx="4">
                  <c:v>2</c:v>
                </c:pt>
              </c:numCache>
              <c:extLst/>
            </c:numRef>
          </c:val>
          <c:extLst>
            <c:ext xmlns:c16="http://schemas.microsoft.com/office/drawing/2014/chart" uri="{C3380CC4-5D6E-409C-BE32-E72D297353CC}">
              <c16:uniqueId val="{00000001-62B4-47DF-A64E-873F320ADEA1}"/>
            </c:ext>
          </c:extLst>
        </c:ser>
        <c:ser>
          <c:idx val="2"/>
          <c:order val="2"/>
          <c:tx>
            <c:strRef>
              <c:f>'Chart 12'!$D$1</c:f>
              <c:strCache>
                <c:ptCount val="1"/>
                <c:pt idx="0">
                  <c:v>Non-Profits</c:v>
                </c:pt>
              </c:strCache>
            </c:strRef>
          </c:tx>
          <c:spPr>
            <a:solidFill>
              <a:srgbClr val="791134"/>
            </a:solidFill>
            <a:ln>
              <a:noFill/>
            </a:ln>
            <a:effectLst/>
            <a:scene3d>
              <a:camera prst="orthographicFront"/>
              <a:lightRig rig="threePt" dir="t"/>
            </a:scene3d>
            <a:sp3d>
              <a:bevelT h="50800"/>
            </a:sp3d>
          </c:spPr>
          <c:invertIfNegative val="0"/>
          <c:cat>
            <c:strRef>
              <c:f>'Chart 12'!$A$10:$A$14</c:f>
              <c:strCache>
                <c:ptCount val="5"/>
                <c:pt idx="0">
                  <c:v>FY18</c:v>
                </c:pt>
                <c:pt idx="1">
                  <c:v>FY19</c:v>
                </c:pt>
                <c:pt idx="2">
                  <c:v>FY20</c:v>
                </c:pt>
                <c:pt idx="3">
                  <c:v>FY21</c:v>
                </c:pt>
                <c:pt idx="4">
                  <c:v>FY22</c:v>
                </c:pt>
              </c:strCache>
              <c:extLst/>
            </c:strRef>
          </c:cat>
          <c:val>
            <c:numRef>
              <c:f>'Chart 12'!$D$10:$D$14</c:f>
              <c:numCache>
                <c:formatCode>"$"#,##0_);[Red]\("$"#,##0\)</c:formatCode>
                <c:ptCount val="5"/>
                <c:pt idx="0">
                  <c:v>3</c:v>
                </c:pt>
                <c:pt idx="1">
                  <c:v>8</c:v>
                </c:pt>
                <c:pt idx="2">
                  <c:v>2.59343718</c:v>
                </c:pt>
                <c:pt idx="3">
                  <c:v>4</c:v>
                </c:pt>
                <c:pt idx="4">
                  <c:v>3</c:v>
                </c:pt>
              </c:numCache>
              <c:extLst/>
            </c:numRef>
          </c:val>
          <c:extLst>
            <c:ext xmlns:c16="http://schemas.microsoft.com/office/drawing/2014/chart" uri="{C3380CC4-5D6E-409C-BE32-E72D297353CC}">
              <c16:uniqueId val="{00000002-62B4-47DF-A64E-873F320ADEA1}"/>
            </c:ext>
          </c:extLst>
        </c:ser>
        <c:ser>
          <c:idx val="3"/>
          <c:order val="3"/>
          <c:tx>
            <c:strRef>
              <c:f>'Chart 12'!$E$1</c:f>
              <c:strCache>
                <c:ptCount val="1"/>
                <c:pt idx="0">
                  <c:v>Alumni</c:v>
                </c:pt>
              </c:strCache>
            </c:strRef>
          </c:tx>
          <c:spPr>
            <a:solidFill>
              <a:srgbClr val="919494"/>
            </a:solidFill>
            <a:ln>
              <a:noFill/>
            </a:ln>
            <a:effectLst/>
            <a:scene3d>
              <a:camera prst="orthographicFront"/>
              <a:lightRig rig="threePt" dir="t"/>
            </a:scene3d>
            <a:sp3d>
              <a:bevelT h="50800"/>
            </a:sp3d>
          </c:spPr>
          <c:invertIfNegative val="0"/>
          <c:cat>
            <c:strRef>
              <c:f>'Chart 12'!$A$10:$A$14</c:f>
              <c:strCache>
                <c:ptCount val="5"/>
                <c:pt idx="0">
                  <c:v>FY18</c:v>
                </c:pt>
                <c:pt idx="1">
                  <c:v>FY19</c:v>
                </c:pt>
                <c:pt idx="2">
                  <c:v>FY20</c:v>
                </c:pt>
                <c:pt idx="3">
                  <c:v>FY21</c:v>
                </c:pt>
                <c:pt idx="4">
                  <c:v>FY22</c:v>
                </c:pt>
              </c:strCache>
              <c:extLst/>
            </c:strRef>
          </c:cat>
          <c:val>
            <c:numRef>
              <c:f>'Chart 12'!$E$10:$E$14</c:f>
              <c:numCache>
                <c:formatCode>"$"#,##0_);[Red]\("$"#,##0\)</c:formatCode>
                <c:ptCount val="5"/>
                <c:pt idx="0">
                  <c:v>0</c:v>
                </c:pt>
                <c:pt idx="1">
                  <c:v>1</c:v>
                </c:pt>
                <c:pt idx="2">
                  <c:v>0.23400000000000001</c:v>
                </c:pt>
                <c:pt idx="3">
                  <c:v>2</c:v>
                </c:pt>
                <c:pt idx="4">
                  <c:v>2</c:v>
                </c:pt>
              </c:numCache>
              <c:extLst/>
            </c:numRef>
          </c:val>
          <c:extLst>
            <c:ext xmlns:c16="http://schemas.microsoft.com/office/drawing/2014/chart" uri="{C3380CC4-5D6E-409C-BE32-E72D297353CC}">
              <c16:uniqueId val="{00000003-62B4-47DF-A64E-873F320ADEA1}"/>
            </c:ext>
          </c:extLst>
        </c:ser>
        <c:ser>
          <c:idx val="4"/>
          <c:order val="4"/>
          <c:tx>
            <c:strRef>
              <c:f>'Chart 12'!$F$1</c:f>
              <c:strCache>
                <c:ptCount val="1"/>
                <c:pt idx="0">
                  <c:v>Other</c:v>
                </c:pt>
              </c:strCache>
            </c:strRef>
          </c:tx>
          <c:spPr>
            <a:solidFill>
              <a:srgbClr val="05543F"/>
            </a:solidFill>
            <a:ln>
              <a:noFill/>
            </a:ln>
            <a:effectLst/>
            <a:scene3d>
              <a:camera prst="orthographicFront"/>
              <a:lightRig rig="threePt" dir="t"/>
            </a:scene3d>
            <a:sp3d>
              <a:bevelT h="50800"/>
            </a:sp3d>
          </c:spPr>
          <c:invertIfNegative val="0"/>
          <c:cat>
            <c:strRef>
              <c:f>'Chart 12'!$A$10:$A$14</c:f>
              <c:strCache>
                <c:ptCount val="5"/>
                <c:pt idx="0">
                  <c:v>FY18</c:v>
                </c:pt>
                <c:pt idx="1">
                  <c:v>FY19</c:v>
                </c:pt>
                <c:pt idx="2">
                  <c:v>FY20</c:v>
                </c:pt>
                <c:pt idx="3">
                  <c:v>FY21</c:v>
                </c:pt>
                <c:pt idx="4">
                  <c:v>FY22</c:v>
                </c:pt>
              </c:strCache>
              <c:extLst/>
            </c:strRef>
          </c:cat>
          <c:val>
            <c:numRef>
              <c:f>'Chart 12'!$F$10:$F$14</c:f>
              <c:numCache>
                <c:formatCode>"$"#,##0_);[Red]\("$"#,##0\)</c:formatCode>
                <c:ptCount val="5"/>
                <c:pt idx="0">
                  <c:v>1</c:v>
                </c:pt>
                <c:pt idx="1">
                  <c:v>3</c:v>
                </c:pt>
                <c:pt idx="2">
                  <c:v>2.0920000000000001</c:v>
                </c:pt>
                <c:pt idx="3">
                  <c:v>3</c:v>
                </c:pt>
                <c:pt idx="4">
                  <c:v>2</c:v>
                </c:pt>
              </c:numCache>
              <c:extLst/>
            </c:numRef>
          </c:val>
          <c:extLst>
            <c:ext xmlns:c16="http://schemas.microsoft.com/office/drawing/2014/chart" uri="{C3380CC4-5D6E-409C-BE32-E72D297353CC}">
              <c16:uniqueId val="{00000004-62B4-47DF-A64E-873F320ADEA1}"/>
            </c:ext>
          </c:extLst>
        </c:ser>
        <c:dLbls>
          <c:showLegendKey val="0"/>
          <c:showVal val="0"/>
          <c:showCatName val="0"/>
          <c:showSerName val="0"/>
          <c:showPercent val="0"/>
          <c:showBubbleSize val="0"/>
        </c:dLbls>
        <c:gapWidth val="219"/>
        <c:axId val="1238056320"/>
        <c:axId val="1238056736"/>
      </c:barChart>
      <c:barChart>
        <c:barDir val="col"/>
        <c:grouping val="clustered"/>
        <c:varyColors val="0"/>
        <c:ser>
          <c:idx val="5"/>
          <c:order val="5"/>
          <c:tx>
            <c:strRef>
              <c:f>'Chart 12'!$G$1</c:f>
              <c:strCache>
                <c:ptCount val="1"/>
                <c:pt idx="0">
                  <c:v>Total</c:v>
                </c:pt>
              </c:strCache>
            </c:strRef>
          </c:tx>
          <c:spPr>
            <a:solidFill>
              <a:srgbClr val="8CB8DC">
                <a:alpha val="25000"/>
              </a:srgbClr>
            </a:solidFill>
            <a:ln>
              <a:solidFill>
                <a:srgbClr val="8CB8DC">
                  <a:alpha val="50000"/>
                </a:srgbClr>
              </a:solidFill>
            </a:ln>
            <a:scene3d>
              <a:camera prst="orthographicFront"/>
              <a:lightRig rig="threePt" dir="t"/>
            </a:scene3d>
            <a:sp3d>
              <a:bevelT h="50800"/>
            </a:sp3d>
          </c:spPr>
          <c:invertIfNegative val="0"/>
          <c:dLbls>
            <c:spPr>
              <a:noFill/>
              <a:ln>
                <a:noFill/>
              </a:ln>
              <a:effectLst/>
            </c:spPr>
            <c:txPr>
              <a:bodyPr wrap="square" lIns="0" tIns="0" rIns="0" bIns="0" anchor="ctr">
                <a:spAutoFit/>
              </a:bodyPr>
              <a:lstStyle/>
              <a:p>
                <a:pPr>
                  <a:defRPr sz="900" b="1">
                    <a:solidFill>
                      <a:schemeClr val="tx1">
                        <a:lumMod val="95000"/>
                        <a:lumOff val="5000"/>
                      </a:schemeClr>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12'!$A$10:$A$14</c:f>
              <c:strCache>
                <c:ptCount val="5"/>
                <c:pt idx="0">
                  <c:v>FY18</c:v>
                </c:pt>
                <c:pt idx="1">
                  <c:v>FY19</c:v>
                </c:pt>
                <c:pt idx="2">
                  <c:v>FY20</c:v>
                </c:pt>
                <c:pt idx="3">
                  <c:v>FY21</c:v>
                </c:pt>
                <c:pt idx="4">
                  <c:v>FY22</c:v>
                </c:pt>
              </c:strCache>
              <c:extLst/>
            </c:strRef>
          </c:cat>
          <c:val>
            <c:numRef>
              <c:f>'Chart 12'!$G$10:$G$14</c:f>
              <c:numCache>
                <c:formatCode>"$"#,##0_);[Red]\("$"#,##0\)</c:formatCode>
                <c:ptCount val="5"/>
                <c:pt idx="0">
                  <c:v>17</c:v>
                </c:pt>
                <c:pt idx="1">
                  <c:v>27</c:v>
                </c:pt>
                <c:pt idx="2">
                  <c:v>19.658783</c:v>
                </c:pt>
                <c:pt idx="3">
                  <c:v>26</c:v>
                </c:pt>
                <c:pt idx="4">
                  <c:v>47</c:v>
                </c:pt>
              </c:numCache>
              <c:extLst/>
            </c:numRef>
          </c:val>
          <c:extLst>
            <c:ext xmlns:c16="http://schemas.microsoft.com/office/drawing/2014/chart" uri="{C3380CC4-5D6E-409C-BE32-E72D297353CC}">
              <c16:uniqueId val="{00000005-62B4-47DF-A64E-873F320ADEA1}"/>
            </c:ext>
          </c:extLst>
        </c:ser>
        <c:dLbls>
          <c:showLegendKey val="0"/>
          <c:showVal val="0"/>
          <c:showCatName val="0"/>
          <c:showSerName val="0"/>
          <c:showPercent val="0"/>
          <c:showBubbleSize val="0"/>
        </c:dLbls>
        <c:gapWidth val="44"/>
        <c:axId val="831240768"/>
        <c:axId val="1267723936"/>
      </c:barChart>
      <c:catAx>
        <c:axId val="12380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736"/>
        <c:crosses val="autoZero"/>
        <c:auto val="1"/>
        <c:lblAlgn val="ctr"/>
        <c:lblOffset val="100"/>
        <c:noMultiLvlLbl val="0"/>
      </c:catAx>
      <c:valAx>
        <c:axId val="1238056736"/>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320"/>
        <c:crosses val="autoZero"/>
        <c:crossBetween val="between"/>
      </c:valAx>
      <c:valAx>
        <c:axId val="1267723936"/>
        <c:scaling>
          <c:orientation val="minMax"/>
        </c:scaling>
        <c:delete val="1"/>
        <c:axPos val="r"/>
        <c:numFmt formatCode="&quot;$&quot;#,##0_);[Red]\(&quot;$&quot;#,##0\)" sourceLinked="1"/>
        <c:majorTickMark val="out"/>
        <c:minorTickMark val="none"/>
        <c:tickLblPos val="nextTo"/>
        <c:crossAx val="831240768"/>
        <c:crosses val="max"/>
        <c:crossBetween val="between"/>
      </c:valAx>
      <c:catAx>
        <c:axId val="831240768"/>
        <c:scaling>
          <c:orientation val="minMax"/>
        </c:scaling>
        <c:delete val="1"/>
        <c:axPos val="b"/>
        <c:numFmt formatCode="General" sourceLinked="1"/>
        <c:majorTickMark val="out"/>
        <c:minorTickMark val="none"/>
        <c:tickLblPos val="nextTo"/>
        <c:crossAx val="1267723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Chart 2: Student FTE Enrollment</a:t>
            </a:r>
          </a:p>
          <a:p>
            <a:pPr>
              <a:defRPr sz="1400" b="1" i="0" u="none" strike="noStrike" kern="1200" spc="0" baseline="0">
                <a:solidFill>
                  <a:schemeClr val="tx1"/>
                </a:solidFill>
                <a:latin typeface="+mn-lt"/>
                <a:ea typeface="+mn-ea"/>
                <a:cs typeface="+mn-cs"/>
              </a:defRPr>
            </a:pPr>
            <a:endParaRPr lang="en-US" sz="1000" b="1">
              <a:solidFill>
                <a:schemeClr val="tx1"/>
              </a:solidFill>
            </a:endParaRPr>
          </a:p>
        </c:rich>
      </c:tx>
      <c:overlay val="0"/>
      <c:spPr>
        <a:noFill/>
        <a:ln>
          <a:noFill/>
        </a:ln>
        <a:effectLst/>
      </c:spPr>
    </c:title>
    <c:autoTitleDeleted val="0"/>
    <c:plotArea>
      <c:layout/>
      <c:lineChart>
        <c:grouping val="standard"/>
        <c:varyColors val="0"/>
        <c:ser>
          <c:idx val="0"/>
          <c:order val="0"/>
          <c:tx>
            <c:strRef>
              <c:f>'Chart 2 FTE Enrollment'!$B$3:$B$4</c:f>
              <c:strCache>
                <c:ptCount val="2"/>
                <c:pt idx="1">
                  <c:v> Total </c:v>
                </c:pt>
              </c:strCache>
            </c:strRef>
          </c:tx>
          <c:spPr>
            <a:ln w="28575" cap="rnd">
              <a:solidFill>
                <a:srgbClr val="00688D"/>
              </a:solidFill>
              <a:round/>
            </a:ln>
            <a:effectLst/>
          </c:spPr>
          <c:marker>
            <c:symbol val="diamond"/>
            <c:size val="5"/>
            <c:spPr>
              <a:scene3d>
                <a:camera prst="orthographicFront"/>
                <a:lightRig rig="threePt" dir="t"/>
              </a:scene3d>
              <a:sp3d>
                <a:bevelT h="50800"/>
                <a:bevelB/>
              </a:sp3d>
            </c:spPr>
          </c:marker>
          <c:dLbls>
            <c:dLbl>
              <c:idx val="1"/>
              <c:layout>
                <c:manualLayout>
                  <c:x val="-4.6923569182827453E-2"/>
                  <c:y val="-6.576458001400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79-4624-B814-10B818ACE03C}"/>
                </c:ext>
              </c:extLst>
            </c:dLbl>
            <c:dLbl>
              <c:idx val="2"/>
              <c:layout>
                <c:manualLayout>
                  <c:x val="-4.2833161755840593E-2"/>
                  <c:y val="-4.31911700187036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79-4624-B814-10B818ACE03C}"/>
                </c:ext>
              </c:extLst>
            </c:dLbl>
            <c:dLbl>
              <c:idx val="3"/>
              <c:layout>
                <c:manualLayout>
                  <c:x val="-3.4858796360702347E-2"/>
                  <c:y val="-4.2616359172112282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9753299388813144E-2"/>
                      <c:h val="4.3371587349235304E-2"/>
                    </c:manualLayout>
                  </c15:layout>
                </c:ext>
                <c:ext xmlns:c16="http://schemas.microsoft.com/office/drawing/2014/chart" uri="{C3380CC4-5D6E-409C-BE32-E72D297353CC}">
                  <c16:uniqueId val="{00000002-3C79-4624-B814-10B818ACE03C}"/>
                </c:ext>
              </c:extLst>
            </c:dLbl>
            <c:dLbl>
              <c:idx val="4"/>
              <c:layout>
                <c:manualLayout>
                  <c:x val="-1.9276035725216498E-2"/>
                  <c:y val="-5.1011306871098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79-4624-B814-10B818ACE03C}"/>
                </c:ext>
              </c:extLst>
            </c:dLbl>
            <c:numFmt formatCode="#,##0"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'Chart 2 FTE Enrollment'!$A$5:$A$9</c:f>
              <c:strCache>
                <c:ptCount val="5"/>
                <c:pt idx="0">
                  <c:v>Fall 2017</c:v>
                </c:pt>
                <c:pt idx="1">
                  <c:v>Fall 2018</c:v>
                </c:pt>
                <c:pt idx="2">
                  <c:v>Fall 2019</c:v>
                </c:pt>
                <c:pt idx="3">
                  <c:v>Fall 2020</c:v>
                </c:pt>
                <c:pt idx="4">
                  <c:v>Fall 2021</c:v>
                </c:pt>
              </c:strCache>
            </c:strRef>
          </c:cat>
          <c:val>
            <c:numRef>
              <c:f>'Chart 2 FTE Enrollment'!$B$5:$B$9</c:f>
              <c:numCache>
                <c:formatCode>_(* #,##0_);_(* \(#,##0\);_(* "-"??_);_(@_)</c:formatCode>
                <c:ptCount val="5"/>
                <c:pt idx="0">
                  <c:v>21812</c:v>
                </c:pt>
                <c:pt idx="1">
                  <c:v>22033</c:v>
                </c:pt>
                <c:pt idx="2">
                  <c:v>21924</c:v>
                </c:pt>
                <c:pt idx="3">
                  <c:v>21618</c:v>
                </c:pt>
                <c:pt idx="4">
                  <c:v>21535.399999999998</c:v>
                </c:pt>
              </c:numCache>
            </c:numRef>
          </c:val>
          <c:smooth val="0"/>
          <c:extLst>
            <c:ext xmlns:c16="http://schemas.microsoft.com/office/drawing/2014/chart" uri="{C3380CC4-5D6E-409C-BE32-E72D297353CC}">
              <c16:uniqueId val="{00000004-3C79-4624-B814-10B818ACE03C}"/>
            </c:ext>
          </c:extLst>
        </c:ser>
        <c:ser>
          <c:idx val="2"/>
          <c:order val="1"/>
          <c:tx>
            <c:strRef>
              <c:f>'Chart 2 FTE Enrollment'!$D$3:$D$4</c:f>
              <c:strCache>
                <c:ptCount val="2"/>
                <c:pt idx="0">
                  <c:v>Regular Enrollment</c:v>
                </c:pt>
              </c:strCache>
            </c:strRef>
          </c:tx>
          <c:marker>
            <c:symbol val="triangle"/>
            <c:size val="5"/>
            <c:spPr>
              <a:scene3d>
                <a:camera prst="orthographicFront"/>
                <a:lightRig rig="threePt" dir="t"/>
              </a:scene3d>
              <a:sp3d>
                <a:bevelT h="50800"/>
                <a:bevelB/>
              </a:sp3d>
            </c:spPr>
          </c:marker>
          <c:dLbls>
            <c:spPr>
              <a:noFill/>
              <a:ln>
                <a:noFill/>
              </a:ln>
              <a:effectLst/>
            </c:spPr>
            <c:txPr>
              <a:bodyPr wrap="square" lIns="0" tIns="0" rIns="0" bIns="0" anchor="ctr">
                <a:spAutoFit/>
              </a:bodyPr>
              <a:lstStyle/>
              <a:p>
                <a:pPr>
                  <a:defRPr sz="900"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2 FTE Enrollment'!$A$5:$A$9</c:f>
              <c:strCache>
                <c:ptCount val="5"/>
                <c:pt idx="0">
                  <c:v>Fall 2017</c:v>
                </c:pt>
                <c:pt idx="1">
                  <c:v>Fall 2018</c:v>
                </c:pt>
                <c:pt idx="2">
                  <c:v>Fall 2019</c:v>
                </c:pt>
                <c:pt idx="3">
                  <c:v>Fall 2020</c:v>
                </c:pt>
                <c:pt idx="4">
                  <c:v>Fall 2021</c:v>
                </c:pt>
              </c:strCache>
            </c:strRef>
          </c:cat>
          <c:val>
            <c:numRef>
              <c:f>'Chart 2 FTE Enrollment'!$D$5:$D$9</c:f>
              <c:numCache>
                <c:formatCode>_(* #,##0_);_(* \(#,##0\);_(* "-"??_);_(@_)</c:formatCode>
                <c:ptCount val="5"/>
                <c:pt idx="0">
                  <c:v>21085</c:v>
                </c:pt>
                <c:pt idx="1">
                  <c:v>21119</c:v>
                </c:pt>
                <c:pt idx="2">
                  <c:v>20882</c:v>
                </c:pt>
                <c:pt idx="3">
                  <c:v>20612</c:v>
                </c:pt>
                <c:pt idx="4">
                  <c:v>20373.3</c:v>
                </c:pt>
              </c:numCache>
            </c:numRef>
          </c:val>
          <c:smooth val="0"/>
          <c:extLst>
            <c:ext xmlns:c16="http://schemas.microsoft.com/office/drawing/2014/chart" uri="{C3380CC4-5D6E-409C-BE32-E72D297353CC}">
              <c16:uniqueId val="{00000005-3C79-4624-B814-10B818ACE03C}"/>
            </c:ext>
          </c:extLst>
        </c:ser>
        <c:ser>
          <c:idx val="1"/>
          <c:order val="2"/>
          <c:tx>
            <c:strRef>
              <c:f>'Chart 2 FTE Enrollment'!$C$3:$C$4</c:f>
              <c:strCache>
                <c:ptCount val="2"/>
                <c:pt idx="0">
                  <c:v>Early College</c:v>
                </c:pt>
              </c:strCache>
            </c:strRef>
          </c:tx>
          <c:marker>
            <c:symbol val="square"/>
            <c:size val="5"/>
            <c:spPr>
              <a:scene3d>
                <a:camera prst="orthographicFront"/>
                <a:lightRig rig="threePt" dir="t"/>
              </a:scene3d>
              <a:sp3d>
                <a:bevelT h="50800"/>
                <a:bevelB/>
              </a:sp3d>
            </c:spPr>
          </c:marker>
          <c:dLbls>
            <c:spPr>
              <a:noFill/>
              <a:ln>
                <a:noFill/>
              </a:ln>
              <a:effectLst/>
            </c:spPr>
            <c:txPr>
              <a:bodyPr wrap="square" lIns="0" tIns="0" rIns="0" bIns="0" anchor="ctr">
                <a:spAutoFit/>
              </a:bodyPr>
              <a:lstStyle/>
              <a:p>
                <a:pPr>
                  <a:defRPr sz="9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'Chart 2 FTE Enrollment'!$A$5:$A$9</c:f>
              <c:strCache>
                <c:ptCount val="5"/>
                <c:pt idx="0">
                  <c:v>Fall 2017</c:v>
                </c:pt>
                <c:pt idx="1">
                  <c:v>Fall 2018</c:v>
                </c:pt>
                <c:pt idx="2">
                  <c:v>Fall 2019</c:v>
                </c:pt>
                <c:pt idx="3">
                  <c:v>Fall 2020</c:v>
                </c:pt>
                <c:pt idx="4">
                  <c:v>Fall 2021</c:v>
                </c:pt>
              </c:strCache>
            </c:strRef>
          </c:cat>
          <c:val>
            <c:numRef>
              <c:f>'Chart 2 FTE Enrollment'!$C$5:$C$9</c:f>
              <c:numCache>
                <c:formatCode>_(* #,##0_);_(* \(#,##0\);_(* "-"??_);_(@_)</c:formatCode>
                <c:ptCount val="5"/>
                <c:pt idx="0">
                  <c:v>727</c:v>
                </c:pt>
                <c:pt idx="1">
                  <c:v>914</c:v>
                </c:pt>
                <c:pt idx="2">
                  <c:v>1042</c:v>
                </c:pt>
                <c:pt idx="3">
                  <c:v>1006</c:v>
                </c:pt>
                <c:pt idx="4">
                  <c:v>1162.0999999999999</c:v>
                </c:pt>
              </c:numCache>
            </c:numRef>
          </c:val>
          <c:smooth val="0"/>
          <c:extLst>
            <c:ext xmlns:c16="http://schemas.microsoft.com/office/drawing/2014/chart" uri="{C3380CC4-5D6E-409C-BE32-E72D297353CC}">
              <c16:uniqueId val="{00000006-3C79-4624-B814-10B818ACE03C}"/>
            </c:ext>
          </c:extLst>
        </c:ser>
        <c:dLbls>
          <c:dLblPos val="t"/>
          <c:showLegendKey val="0"/>
          <c:showVal val="1"/>
          <c:showCatName val="0"/>
          <c:showSerName val="0"/>
          <c:showPercent val="0"/>
          <c:showBubbleSize val="0"/>
        </c:dLbls>
        <c:marker val="1"/>
        <c:smooth val="0"/>
        <c:axId val="1047093920"/>
        <c:axId val="1047093088"/>
      </c:lineChart>
      <c:catAx>
        <c:axId val="104709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47093088"/>
        <c:crosses val="autoZero"/>
        <c:auto val="1"/>
        <c:lblAlgn val="ctr"/>
        <c:lblOffset val="100"/>
        <c:noMultiLvlLbl val="0"/>
      </c:catAx>
      <c:valAx>
        <c:axId val="1047093088"/>
        <c:scaling>
          <c:orientation val="minMax"/>
          <c:max val="25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47093920"/>
        <c:crosses val="autoZero"/>
        <c:crossBetween val="between"/>
        <c:majorUnit val="2500"/>
      </c:valAx>
      <c:spPr>
        <a:noFill/>
        <a:ln>
          <a:noFill/>
        </a:ln>
        <a:effectLst/>
      </c:spPr>
    </c:plotArea>
    <c:legend>
      <c:legendPos val="b"/>
      <c:overlay val="0"/>
      <c:txPr>
        <a:bodyPr/>
        <a:lstStyle/>
        <a:p>
          <a:pPr>
            <a:defRPr sz="900"/>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3: Fair Value of MIP Investments by Entity
</a:t>
            </a:r>
            <a:r>
              <a:rPr lang="en-US" sz="1100" b="1">
                <a:solidFill>
                  <a:schemeClr val="tx1">
                    <a:lumMod val="95000"/>
                    <a:lumOff val="5000"/>
                  </a:schemeClr>
                </a:solidFill>
              </a:rPr>
              <a:t>(In millions)</a:t>
            </a:r>
          </a:p>
        </c:rich>
      </c:tx>
      <c:overlay val="0"/>
      <c:spPr>
        <a:noFill/>
        <a:ln>
          <a:noFill/>
        </a:ln>
        <a:effectLst/>
      </c:spPr>
    </c:title>
    <c:autoTitleDeleted val="0"/>
    <c:plotArea>
      <c:layout/>
      <c:barChart>
        <c:barDir val="col"/>
        <c:grouping val="clustered"/>
        <c:varyColors val="0"/>
        <c:ser>
          <c:idx val="0"/>
          <c:order val="0"/>
          <c:tx>
            <c:strRef>
              <c:f>'Report Chart 4 MV of MIP'!$B$3</c:f>
              <c:strCache>
                <c:ptCount val="1"/>
                <c:pt idx="0">
                  <c:v>UMS Endowments</c:v>
                </c:pt>
              </c:strCache>
            </c:strRef>
          </c:tx>
          <c:spPr>
            <a:solidFill>
              <a:srgbClr val="00688D"/>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4 MV of MIP'!$A$4:$A$6</c:f>
              <c:numCache>
                <c:formatCode>General</c:formatCode>
                <c:ptCount val="3"/>
                <c:pt idx="0">
                  <c:v>2020</c:v>
                </c:pt>
                <c:pt idx="1">
                  <c:v>2021</c:v>
                </c:pt>
                <c:pt idx="2">
                  <c:v>2022</c:v>
                </c:pt>
              </c:numCache>
            </c:numRef>
          </c:cat>
          <c:val>
            <c:numRef>
              <c:f>'Report Chart 4 MV of MIP'!$B$4:$B$6</c:f>
              <c:numCache>
                <c:formatCode>_("$"* #,##0_);_("$"* \(#,##0\);_("$"* "-"??_);_(@_)</c:formatCode>
                <c:ptCount val="3"/>
                <c:pt idx="0">
                  <c:v>135</c:v>
                </c:pt>
                <c:pt idx="1">
                  <c:v>161</c:v>
                </c:pt>
                <c:pt idx="2">
                  <c:v>138</c:v>
                </c:pt>
              </c:numCache>
            </c:numRef>
          </c:val>
          <c:extLst>
            <c:ext xmlns:c16="http://schemas.microsoft.com/office/drawing/2014/chart" uri="{C3380CC4-5D6E-409C-BE32-E72D297353CC}">
              <c16:uniqueId val="{00000000-C4F7-4CD9-B5C0-58BE8053DA2D}"/>
            </c:ext>
          </c:extLst>
        </c:ser>
        <c:ser>
          <c:idx val="5"/>
          <c:order val="1"/>
          <c:tx>
            <c:strRef>
              <c:f>'Report Chart 4 MV of MIP'!$C$3</c:f>
              <c:strCache>
                <c:ptCount val="1"/>
                <c:pt idx="0">
                  <c:v>UMS Affiliates Endowments</c:v>
                </c:pt>
              </c:strCache>
            </c:strRef>
          </c:tx>
          <c:spPr>
            <a:scene3d>
              <a:camera prst="orthographicFront"/>
              <a:lightRig rig="threePt" dir="t"/>
            </a:scene3d>
            <a:sp3d>
              <a:bevelT/>
            </a:sp3d>
          </c:spPr>
          <c:invertIfNegative val="0"/>
          <c:dLbls>
            <c:spPr>
              <a:noFill/>
              <a:ln>
                <a:noFill/>
              </a:ln>
              <a:effectLst/>
            </c:spPr>
            <c:txPr>
              <a:bodyPr wrap="square" lIns="0" tIns="0" rIns="0" bIns="0" anchor="ctr">
                <a:spAutoFit/>
              </a:bodyPr>
              <a:lstStyle/>
              <a:p>
                <a:pPr>
                  <a:defRPr sz="9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val>
            <c:numRef>
              <c:f>'Report Chart 4 MV of MIP'!$C$4:$C$6</c:f>
              <c:numCache>
                <c:formatCode>_("$"* #,##0_);_("$"* \(#,##0\);_("$"* "-"??_);_(@_)</c:formatCode>
                <c:ptCount val="3"/>
                <c:pt idx="0">
                  <c:v>26</c:v>
                </c:pt>
                <c:pt idx="1">
                  <c:v>35</c:v>
                </c:pt>
                <c:pt idx="2">
                  <c:v>30</c:v>
                </c:pt>
              </c:numCache>
            </c:numRef>
          </c:val>
          <c:extLst>
            <c:ext xmlns:c16="http://schemas.microsoft.com/office/drawing/2014/chart" uri="{C3380CC4-5D6E-409C-BE32-E72D297353CC}">
              <c16:uniqueId val="{00000001-C4F7-4CD9-B5C0-58BE8053DA2D}"/>
            </c:ext>
          </c:extLst>
        </c:ser>
        <c:ser>
          <c:idx val="1"/>
          <c:order val="2"/>
          <c:tx>
            <c:strRef>
              <c:f>'Report Chart 4 MV of MIP'!$D$3</c:f>
              <c:strCache>
                <c:ptCount val="1"/>
                <c:pt idx="0">
                  <c:v>OPEB Trust</c:v>
                </c:pt>
              </c:strCache>
            </c:strRef>
          </c:tx>
          <c:spPr>
            <a:solidFill>
              <a:srgbClr val="F6A800"/>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4 MV of MIP'!$A$4:$A$6</c:f>
              <c:numCache>
                <c:formatCode>General</c:formatCode>
                <c:ptCount val="3"/>
                <c:pt idx="0">
                  <c:v>2020</c:v>
                </c:pt>
                <c:pt idx="1">
                  <c:v>2021</c:v>
                </c:pt>
                <c:pt idx="2">
                  <c:v>2022</c:v>
                </c:pt>
              </c:numCache>
            </c:numRef>
          </c:cat>
          <c:val>
            <c:numRef>
              <c:f>'Report Chart 4 MV of MIP'!$D$4:$D$6</c:f>
              <c:numCache>
                <c:formatCode>_("$"* #,##0_);_("$"* \(#,##0\);_("$"* "-"??_);_(@_)</c:formatCode>
                <c:ptCount val="3"/>
                <c:pt idx="0">
                  <c:v>137</c:v>
                </c:pt>
                <c:pt idx="1">
                  <c:v>180</c:v>
                </c:pt>
                <c:pt idx="2">
                  <c:v>156</c:v>
                </c:pt>
              </c:numCache>
            </c:numRef>
          </c:val>
          <c:extLst>
            <c:ext xmlns:c16="http://schemas.microsoft.com/office/drawing/2014/chart" uri="{C3380CC4-5D6E-409C-BE32-E72D297353CC}">
              <c16:uniqueId val="{00000002-C4F7-4CD9-B5C0-58BE8053DA2D}"/>
            </c:ext>
          </c:extLst>
        </c:ser>
        <c:ser>
          <c:idx val="2"/>
          <c:order val="3"/>
          <c:tx>
            <c:strRef>
              <c:f>'Report Chart 4 MV of MIP'!$E$3</c:f>
              <c:strCache>
                <c:ptCount val="1"/>
                <c:pt idx="0">
                  <c:v>MMA</c:v>
                </c:pt>
              </c:strCache>
            </c:strRef>
          </c:tx>
          <c:spPr>
            <a:solidFill>
              <a:srgbClr val="791134"/>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4 MV of MIP'!$A$4:$A$6</c:f>
              <c:numCache>
                <c:formatCode>General</c:formatCode>
                <c:ptCount val="3"/>
                <c:pt idx="0">
                  <c:v>2020</c:v>
                </c:pt>
                <c:pt idx="1">
                  <c:v>2021</c:v>
                </c:pt>
                <c:pt idx="2">
                  <c:v>2022</c:v>
                </c:pt>
              </c:numCache>
            </c:numRef>
          </c:cat>
          <c:val>
            <c:numRef>
              <c:f>'Report Chart 4 MV of MIP'!$E$4:$E$6</c:f>
              <c:numCache>
                <c:formatCode>_("$"* #,##0_);_("$"* \(#,##0\);_("$"* "-"??_);_(@_)</c:formatCode>
                <c:ptCount val="3"/>
                <c:pt idx="0">
                  <c:v>51</c:v>
                </c:pt>
                <c:pt idx="1">
                  <c:v>62</c:v>
                </c:pt>
                <c:pt idx="2">
                  <c:v>0</c:v>
                </c:pt>
              </c:numCache>
            </c:numRef>
          </c:val>
          <c:extLst>
            <c:ext xmlns:c16="http://schemas.microsoft.com/office/drawing/2014/chart" uri="{C3380CC4-5D6E-409C-BE32-E72D297353CC}">
              <c16:uniqueId val="{00000003-C4F7-4CD9-B5C0-58BE8053DA2D}"/>
            </c:ext>
          </c:extLst>
        </c:ser>
        <c:ser>
          <c:idx val="3"/>
          <c:order val="4"/>
          <c:tx>
            <c:strRef>
              <c:f>'Report Chart 4 MV of MIP'!$F$3</c:f>
              <c:strCache>
                <c:ptCount val="1"/>
                <c:pt idx="0">
                  <c:v>University of Maine School of Law Foundation</c:v>
                </c:pt>
              </c:strCache>
            </c:strRef>
          </c:tx>
          <c:spPr>
            <a:solidFill>
              <a:srgbClr val="000066"/>
            </a:solidFill>
            <a:ln>
              <a:noFill/>
            </a:ln>
            <a:effectLst/>
            <a:scene3d>
              <a:camera prst="orthographicFront"/>
              <a:lightRig rig="threePt" dir="t"/>
            </a:scene3d>
            <a:sp3d>
              <a:bevelT h="50800"/>
            </a:sp3d>
          </c:spPr>
          <c:invertIfNegative val="0"/>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4 MV of MIP'!$A$4:$A$6</c:f>
              <c:numCache>
                <c:formatCode>General</c:formatCode>
                <c:ptCount val="3"/>
                <c:pt idx="0">
                  <c:v>2020</c:v>
                </c:pt>
                <c:pt idx="1">
                  <c:v>2021</c:v>
                </c:pt>
                <c:pt idx="2">
                  <c:v>2022</c:v>
                </c:pt>
              </c:numCache>
            </c:numRef>
          </c:cat>
          <c:val>
            <c:numRef>
              <c:f>'Report Chart 4 MV of MIP'!$F$4:$F$6</c:f>
              <c:numCache>
                <c:formatCode>_("$"* #,##0_);_("$"* \(#,##0\);_("$"* "-"??_);_(@_)</c:formatCode>
                <c:ptCount val="3"/>
                <c:pt idx="0">
                  <c:v>4</c:v>
                </c:pt>
                <c:pt idx="1">
                  <c:v>5</c:v>
                </c:pt>
                <c:pt idx="2">
                  <c:v>4</c:v>
                </c:pt>
              </c:numCache>
            </c:numRef>
          </c:val>
          <c:extLst>
            <c:ext xmlns:c16="http://schemas.microsoft.com/office/drawing/2014/chart" uri="{C3380CC4-5D6E-409C-BE32-E72D297353CC}">
              <c16:uniqueId val="{00000004-C4F7-4CD9-B5C0-58BE8053DA2D}"/>
            </c:ext>
          </c:extLst>
        </c:ser>
        <c:ser>
          <c:idx val="6"/>
          <c:order val="5"/>
          <c:tx>
            <c:strRef>
              <c:f>'Report Chart 4 MV of MIP'!$G$3</c:f>
              <c:strCache>
                <c:ptCount val="1"/>
                <c:pt idx="0">
                  <c:v>USM Osher Map Library Foundation</c:v>
                </c:pt>
              </c:strCache>
            </c:strRef>
          </c:tx>
          <c:spPr>
            <a:scene3d>
              <a:camera prst="orthographicFront"/>
              <a:lightRig rig="threePt" dir="t"/>
            </a:scene3d>
            <a:sp3d>
              <a:bevelT/>
            </a:sp3d>
          </c:spPr>
          <c:invertIfNegative val="0"/>
          <c:dLbls>
            <c:spPr>
              <a:noFill/>
              <a:ln>
                <a:noFill/>
              </a:ln>
              <a:effectLst/>
            </c:spPr>
            <c:txPr>
              <a:bodyPr wrap="square" lIns="0" tIns="0" rIns="0" bIns="0" anchor="ctr">
                <a:spAutoFit/>
              </a:bodyPr>
              <a:lstStyle/>
              <a:p>
                <a:pPr>
                  <a:defRPr sz="9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'Report Chart 4 MV of MIP'!$A$4:$A$6</c:f>
              <c:numCache>
                <c:formatCode>General</c:formatCode>
                <c:ptCount val="3"/>
                <c:pt idx="0">
                  <c:v>2020</c:v>
                </c:pt>
                <c:pt idx="1">
                  <c:v>2021</c:v>
                </c:pt>
                <c:pt idx="2">
                  <c:v>2022</c:v>
                </c:pt>
              </c:numCache>
            </c:numRef>
          </c:cat>
          <c:val>
            <c:numRef>
              <c:f>'Report Chart 4 MV of MIP'!$G$4:$G$6</c:f>
              <c:numCache>
                <c:formatCode>_("$"* #,##0_);_("$"* \(#,##0\);_("$"* "-"??_);_(@_)</c:formatCode>
                <c:ptCount val="3"/>
                <c:pt idx="0">
                  <c:v>0</c:v>
                </c:pt>
                <c:pt idx="1">
                  <c:v>0</c:v>
                </c:pt>
                <c:pt idx="2">
                  <c:v>7</c:v>
                </c:pt>
              </c:numCache>
            </c:numRef>
          </c:val>
          <c:extLst>
            <c:ext xmlns:c16="http://schemas.microsoft.com/office/drawing/2014/chart" uri="{C3380CC4-5D6E-409C-BE32-E72D297353CC}">
              <c16:uniqueId val="{00000005-C4F7-4CD9-B5C0-58BE8053DA2D}"/>
            </c:ext>
          </c:extLst>
        </c:ser>
        <c:dLbls>
          <c:showLegendKey val="0"/>
          <c:showVal val="0"/>
          <c:showCatName val="0"/>
          <c:showSerName val="0"/>
          <c:showPercent val="0"/>
          <c:showBubbleSize val="0"/>
        </c:dLbls>
        <c:gapWidth val="86"/>
        <c:overlap val="-1"/>
        <c:axId val="1238056320"/>
        <c:axId val="1238056736"/>
      </c:barChart>
      <c:barChart>
        <c:barDir val="col"/>
        <c:grouping val="clustered"/>
        <c:varyColors val="0"/>
        <c:ser>
          <c:idx val="4"/>
          <c:order val="6"/>
          <c:tx>
            <c:strRef>
              <c:f>'Report Chart 4 MV of MIP'!$H$3</c:f>
              <c:strCache>
                <c:ptCount val="1"/>
                <c:pt idx="0">
                  <c:v>Total</c:v>
                </c:pt>
              </c:strCache>
            </c:strRef>
          </c:tx>
          <c:spPr>
            <a:solidFill>
              <a:srgbClr val="8CB8DC">
                <a:alpha val="25000"/>
              </a:srgbClr>
            </a:solidFill>
            <a:ln>
              <a:solidFill>
                <a:srgbClr val="8CB8DC">
                  <a:alpha val="50000"/>
                </a:srgbClr>
              </a:solidFill>
            </a:ln>
            <a:effectLst/>
            <a:scene3d>
              <a:camera prst="orthographicFront"/>
              <a:lightRig rig="threePt" dir="t"/>
            </a:scene3d>
            <a:sp3d>
              <a:bevelT h="50800"/>
            </a:sp3d>
          </c:spPr>
          <c:invertIfNegative val="0"/>
          <c:dPt>
            <c:idx val="0"/>
            <c:invertIfNegative val="0"/>
            <c:bubble3D val="0"/>
            <c:spPr>
              <a:solidFill>
                <a:srgbClr val="8CB8DC">
                  <a:alpha val="25000"/>
                </a:srgbClr>
              </a:solidFill>
              <a:ln>
                <a:solidFill>
                  <a:srgbClr val="8CB8DC">
                    <a:alpha val="58000"/>
                  </a:srgbClr>
                </a:solidFill>
              </a:ln>
              <a:effectLst/>
              <a:scene3d>
                <a:camera prst="orthographicFront"/>
                <a:lightRig rig="threePt" dir="t"/>
              </a:scene3d>
              <a:sp3d>
                <a:bevelT h="50800"/>
              </a:sp3d>
            </c:spPr>
            <c:extLst>
              <c:ext xmlns:c16="http://schemas.microsoft.com/office/drawing/2014/chart" uri="{C3380CC4-5D6E-409C-BE32-E72D297353CC}">
                <c16:uniqueId val="{00000007-C4F7-4CD9-B5C0-58BE8053DA2D}"/>
              </c:ext>
            </c:extLst>
          </c:dPt>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'Report Chart 4 MV of MIP'!$A$4:$A$6</c:f>
              <c:numCache>
                <c:formatCode>General</c:formatCode>
                <c:ptCount val="3"/>
                <c:pt idx="0">
                  <c:v>2020</c:v>
                </c:pt>
                <c:pt idx="1">
                  <c:v>2021</c:v>
                </c:pt>
                <c:pt idx="2">
                  <c:v>2022</c:v>
                </c:pt>
              </c:numCache>
            </c:numRef>
          </c:cat>
          <c:val>
            <c:numRef>
              <c:f>'Report Chart 4 MV of MIP'!$H$4:$H$6</c:f>
              <c:numCache>
                <c:formatCode>_("$"* #,##0_);_("$"* \(#,##0\);_("$"* "-"??_);_(@_)</c:formatCode>
                <c:ptCount val="3"/>
                <c:pt idx="0">
                  <c:v>353</c:v>
                </c:pt>
                <c:pt idx="1">
                  <c:v>443</c:v>
                </c:pt>
                <c:pt idx="2">
                  <c:v>335</c:v>
                </c:pt>
              </c:numCache>
            </c:numRef>
          </c:val>
          <c:extLst>
            <c:ext xmlns:c16="http://schemas.microsoft.com/office/drawing/2014/chart" uri="{C3380CC4-5D6E-409C-BE32-E72D297353CC}">
              <c16:uniqueId val="{00000008-C4F7-4CD9-B5C0-58BE8053DA2D}"/>
            </c:ext>
          </c:extLst>
        </c:ser>
        <c:dLbls>
          <c:dLblPos val="outEnd"/>
          <c:showLegendKey val="0"/>
          <c:showVal val="1"/>
          <c:showCatName val="0"/>
          <c:showSerName val="0"/>
          <c:showPercent val="0"/>
          <c:showBubbleSize val="0"/>
        </c:dLbls>
        <c:gapWidth val="14"/>
        <c:overlap val="43"/>
        <c:axId val="1258629568"/>
        <c:axId val="1206044976"/>
      </c:barChart>
      <c:catAx>
        <c:axId val="12380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238056736"/>
        <c:crosses val="autoZero"/>
        <c:auto val="1"/>
        <c:lblAlgn val="ctr"/>
        <c:lblOffset val="100"/>
        <c:noMultiLvlLbl val="0"/>
      </c:catAx>
      <c:valAx>
        <c:axId val="1238056736"/>
        <c:scaling>
          <c:orientation val="minMax"/>
          <c:max val="450"/>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38056320"/>
        <c:crosses val="autoZero"/>
        <c:crossBetween val="between"/>
      </c:valAx>
      <c:valAx>
        <c:axId val="1206044976"/>
        <c:scaling>
          <c:orientation val="minMax"/>
        </c:scaling>
        <c:delete val="1"/>
        <c:axPos val="r"/>
        <c:numFmt formatCode="_(&quot;$&quot;* #,##0_);_(&quot;$&quot;* \(#,##0\);_(&quot;$&quot;* &quot;-&quot;??_);_(@_)" sourceLinked="1"/>
        <c:majorTickMark val="out"/>
        <c:minorTickMark val="none"/>
        <c:tickLblPos val="nextTo"/>
        <c:crossAx val="1258629568"/>
        <c:crosses val="max"/>
        <c:crossBetween val="between"/>
      </c:valAx>
      <c:catAx>
        <c:axId val="1258629568"/>
        <c:scaling>
          <c:orientation val="minMax"/>
        </c:scaling>
        <c:delete val="1"/>
        <c:axPos val="b"/>
        <c:numFmt formatCode="General" sourceLinked="1"/>
        <c:majorTickMark val="out"/>
        <c:minorTickMark val="none"/>
        <c:tickLblPos val="nextTo"/>
        <c:crossAx val="1206044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300" b="1" i="0" u="none" strike="noStrike" kern="1200" cap="all" spc="0" normalizeH="0" baseline="0">
                <a:solidFill>
                  <a:schemeClr val="tx1">
                    <a:lumMod val="95000"/>
                    <a:lumOff val="5000"/>
                  </a:schemeClr>
                </a:solidFill>
                <a:latin typeface="+mn-lt"/>
                <a:ea typeface="+mn-ea"/>
                <a:cs typeface="+mn-cs"/>
              </a:defRPr>
            </a:pPr>
            <a:r>
              <a:rPr lang="en-US" sz="1200" b="1" i="0" cap="none" spc="0" baseline="0">
                <a:solidFill>
                  <a:schemeClr val="tx1">
                    <a:lumMod val="95000"/>
                    <a:lumOff val="5000"/>
                  </a:schemeClr>
                </a:solidFill>
                <a:latin typeface="Calibri" panose="020F0502020204030204" pitchFamily="34" charset="0"/>
              </a:rPr>
              <a:t>Chart 4: Asset Allocation Percentages for Managed Investment Pool</a:t>
            </a:r>
          </a:p>
        </c:rich>
      </c:tx>
      <c:layout>
        <c:manualLayout>
          <c:xMode val="edge"/>
          <c:yMode val="edge"/>
          <c:x val="0.17360413911952383"/>
          <c:y val="5.122278866207005E-2"/>
        </c:manualLayout>
      </c:layout>
      <c:overlay val="1"/>
      <c:spPr>
        <a:noFill/>
        <a:ln>
          <a:noFill/>
        </a:ln>
        <a:effectLst/>
      </c:spPr>
      <c:txPr>
        <a:bodyPr rot="0" spcFirstLastPara="1" vertOverflow="ellipsis" vert="horz" wrap="square" anchor="ctr" anchorCtr="1"/>
        <a:lstStyle/>
        <a:p>
          <a:pPr algn="ctr">
            <a:defRPr sz="1300" b="1" i="0" u="none" strike="noStrike" kern="1200" cap="all" spc="0" normalizeH="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1085646388795995"/>
          <c:y val="0.21401045296733326"/>
          <c:w val="0.83335205876938545"/>
          <c:h val="0.6504989007179941"/>
        </c:manualLayout>
      </c:layout>
      <c:areaChart>
        <c:grouping val="stacked"/>
        <c:varyColors val="0"/>
        <c:ser>
          <c:idx val="7"/>
          <c:order val="0"/>
          <c:tx>
            <c:strRef>
              <c:f>'Report Chart 5 Asset Alloc MIP'!$A$12</c:f>
              <c:strCache>
                <c:ptCount val="1"/>
                <c:pt idx="0">
                  <c:v>Cash</c:v>
                </c:pt>
              </c:strCache>
            </c:strRef>
          </c:tx>
          <c:spPr>
            <a:solidFill>
              <a:schemeClr val="accent2">
                <a:lumMod val="60000"/>
              </a:schemeClr>
            </a:solidFill>
            <a:ln>
              <a:noFill/>
            </a:ln>
            <a:effectLst/>
          </c:spPr>
          <c:dLbls>
            <c:dLbl>
              <c:idx val="0"/>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F3-4D0D-BB54-25B1F9D34A49}"/>
                </c:ext>
              </c:extLst>
            </c:dLbl>
            <c:dLbl>
              <c:idx val="4"/>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F3-4D0D-BB54-25B1F9D34A49}"/>
                </c:ext>
              </c:extLst>
            </c:dLbl>
            <c:spPr>
              <a:noFill/>
              <a:ln>
                <a:noFill/>
              </a:ln>
              <a:effectLst/>
            </c:spPr>
            <c:txPr>
              <a:bodyPr rot="0" spcFirstLastPara="1" vertOverflow="ellipsis" vert="horz" wrap="square" lIns="0" tIns="0" rIns="0" bIns="0" anchor="b" anchorCtr="1">
                <a:spAutoFit/>
              </a:bodyPr>
              <a:lstStyle/>
              <a:p>
                <a:pPr>
                  <a:defRPr sz="8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2018</c:v>
                </c:pt>
                <c:pt idx="1">
                  <c:v>2019</c:v>
                </c:pt>
                <c:pt idx="2">
                  <c:v>2020</c:v>
                </c:pt>
                <c:pt idx="3">
                  <c:v>2021</c:v>
                </c:pt>
                <c:pt idx="4">
                  <c:v>2022</c:v>
                </c:pt>
              </c:numCache>
            </c:numRef>
          </c:cat>
          <c:val>
            <c:numRef>
              <c:f>'Report Chart 5 Asset Alloc MIP'!$B$12:$F$12</c:f>
              <c:numCache>
                <c:formatCode>0%</c:formatCode>
                <c:ptCount val="5"/>
                <c:pt idx="0">
                  <c:v>0</c:v>
                </c:pt>
                <c:pt idx="1">
                  <c:v>0</c:v>
                </c:pt>
                <c:pt idx="2">
                  <c:v>0.02</c:v>
                </c:pt>
                <c:pt idx="3">
                  <c:v>0</c:v>
                </c:pt>
                <c:pt idx="4">
                  <c:v>0</c:v>
                </c:pt>
              </c:numCache>
            </c:numRef>
          </c:val>
          <c:extLst>
            <c:ext xmlns:c16="http://schemas.microsoft.com/office/drawing/2014/chart" uri="{C3380CC4-5D6E-409C-BE32-E72D297353CC}">
              <c16:uniqueId val="{00000000-6791-4C37-B6AC-CBFFD1AE0522}"/>
            </c:ext>
          </c:extLst>
        </c:ser>
        <c:ser>
          <c:idx val="0"/>
          <c:order val="1"/>
          <c:tx>
            <c:strRef>
              <c:f>'Report Chart 5 Asset Alloc MIP'!$A$4</c:f>
              <c:strCache>
                <c:ptCount val="1"/>
                <c:pt idx="0">
                  <c:v>Domestic Equities</c:v>
                </c:pt>
              </c:strCache>
            </c:strRef>
          </c:tx>
          <c:spPr>
            <a:solidFill>
              <a:srgbClr val="63D0CD"/>
            </a:solidFill>
            <a:ln>
              <a:noFill/>
            </a:ln>
            <a:effectLst/>
            <a:scene3d>
              <a:camera prst="orthographicFront"/>
              <a:lightRig rig="threePt" dir="t"/>
            </a:scene3d>
            <a:sp3d>
              <a:bevelT h="50800"/>
            </a:sp3d>
          </c:spPr>
          <c:dLbls>
            <c:dLbl>
              <c:idx val="0"/>
              <c:layout>
                <c:manualLayout>
                  <c:x val="1.282051282051282E-2"/>
                  <c:y val="0"/>
                </c:manualLayout>
              </c:layout>
              <c:tx>
                <c:rich>
                  <a:bodyPr/>
                  <a:lstStyle/>
                  <a:p>
                    <a:fld id="{B379B1BC-5995-4A47-9EE4-BE428B5671AE}"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791-4C37-B6AC-CBFFD1AE0522}"/>
                </c:ext>
              </c:extLst>
            </c:dLbl>
            <c:dLbl>
              <c:idx val="1"/>
              <c:layout>
                <c:manualLayout>
                  <c:x val="-1.4957264957264958E-2"/>
                  <c:y val="0"/>
                </c:manualLayout>
              </c:layout>
              <c:tx>
                <c:rich>
                  <a:bodyPr/>
                  <a:lstStyle/>
                  <a:p>
                    <a:fld id="{00F42FD8-565B-4796-BD5B-28D0E2F50149}"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791-4C37-B6AC-CBFFD1AE0522}"/>
                </c:ext>
              </c:extLst>
            </c:dLbl>
            <c:dLbl>
              <c:idx val="2"/>
              <c:layout>
                <c:manualLayout>
                  <c:x val="-2.18760109042440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91-4C37-B6AC-CBFFD1AE0522}"/>
                </c:ext>
              </c:extLst>
            </c:dLbl>
            <c:dLbl>
              <c:idx val="4"/>
              <c:layout>
                <c:manualLayout>
                  <c:x val="-1.282051282051282E-2"/>
                  <c:y val="-1.348271487225503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F3-4D0D-BB54-25B1F9D34A49}"/>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prstDash val="solid"/>
                      <a:round/>
                    </a:ln>
                    <a:effectLst/>
                  </c:spPr>
                </c15:leaderLines>
              </c:ext>
            </c:extLst>
          </c:dLbls>
          <c:cat>
            <c:numRef>
              <c:f>'Report Chart 5 Asset Alloc MIP'!$B$3:$F$3</c:f>
              <c:numCache>
                <c:formatCode>General</c:formatCode>
                <c:ptCount val="5"/>
                <c:pt idx="0">
                  <c:v>2018</c:v>
                </c:pt>
                <c:pt idx="1">
                  <c:v>2019</c:v>
                </c:pt>
                <c:pt idx="2">
                  <c:v>2020</c:v>
                </c:pt>
                <c:pt idx="3">
                  <c:v>2021</c:v>
                </c:pt>
                <c:pt idx="4">
                  <c:v>2022</c:v>
                </c:pt>
              </c:numCache>
            </c:numRef>
          </c:cat>
          <c:val>
            <c:numRef>
              <c:f>'Report Chart 5 Asset Alloc MIP'!$B$4:$F$4</c:f>
              <c:numCache>
                <c:formatCode>0%</c:formatCode>
                <c:ptCount val="5"/>
                <c:pt idx="0">
                  <c:v>0.25</c:v>
                </c:pt>
                <c:pt idx="1">
                  <c:v>0.3</c:v>
                </c:pt>
                <c:pt idx="2">
                  <c:v>0.24</c:v>
                </c:pt>
                <c:pt idx="3">
                  <c:v>0.28999999999999998</c:v>
                </c:pt>
                <c:pt idx="4">
                  <c:v>0.28999999999999998</c:v>
                </c:pt>
              </c:numCache>
            </c:numRef>
          </c:val>
          <c:extLst>
            <c:ext xmlns:c16="http://schemas.microsoft.com/office/drawing/2014/chart" uri="{C3380CC4-5D6E-409C-BE32-E72D297353CC}">
              <c16:uniqueId val="{00000004-6791-4C37-B6AC-CBFFD1AE0522}"/>
            </c:ext>
          </c:extLst>
        </c:ser>
        <c:ser>
          <c:idx val="6"/>
          <c:order val="2"/>
          <c:tx>
            <c:strRef>
              <c:f>'Report Chart 5 Asset Alloc MIP'!$A$11</c:f>
              <c:strCache>
                <c:ptCount val="1"/>
                <c:pt idx="0">
                  <c:v>Private Equity</c:v>
                </c:pt>
              </c:strCache>
            </c:strRef>
          </c:tx>
          <c:spPr>
            <a:solidFill>
              <a:schemeClr val="accent1">
                <a:lumMod val="60000"/>
              </a:schemeClr>
            </a:solidFill>
            <a:ln>
              <a:noFill/>
            </a:ln>
            <a:effectLst/>
            <a:scene3d>
              <a:camera prst="orthographicFront"/>
              <a:lightRig rig="threePt" dir="t"/>
            </a:scene3d>
            <a:sp3d>
              <a:bevelT h="50800"/>
            </a:sp3d>
          </c:spPr>
          <c:dLbls>
            <c:dLbl>
              <c:idx val="0"/>
              <c:layout>
                <c:manualLayout>
                  <c:x val="1.282051282051282E-2"/>
                  <c:y val="-1.3482714872255039E-16"/>
                </c:manualLayout>
              </c:layout>
              <c:tx>
                <c:rich>
                  <a:bodyPr/>
                  <a:lstStyle/>
                  <a:p>
                    <a:fld id="{A6AD7ED0-67E4-4D00-AC77-B003CF16610B}"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791-4C37-B6AC-CBFFD1AE0522}"/>
                </c:ext>
              </c:extLst>
            </c:dLbl>
            <c:dLbl>
              <c:idx val="1"/>
              <c:layout>
                <c:manualLayout>
                  <c:x val="-1.282051282051282E-2"/>
                  <c:y val="-1.2652257796790056E-16"/>
                </c:manualLayout>
              </c:layout>
              <c:tx>
                <c:rich>
                  <a:bodyPr/>
                  <a:lstStyle/>
                  <a:p>
                    <a:fld id="{09E4C67C-065C-47E1-AD0A-08A498744B96}"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791-4C37-B6AC-CBFFD1AE0522}"/>
                </c:ext>
              </c:extLst>
            </c:dLbl>
            <c:dLbl>
              <c:idx val="2"/>
              <c:layout>
                <c:manualLayout>
                  <c:x val="-1.3125606542546429E-2"/>
                  <c:y val="6.6050988242404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91-4C37-B6AC-CBFFD1AE0522}"/>
                </c:ext>
              </c:extLst>
            </c:dLbl>
            <c:dLbl>
              <c:idx val="4"/>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F3-4D0D-BB54-25B1F9D34A49}"/>
                </c:ext>
              </c:extLst>
            </c:dLbl>
            <c:spPr>
              <a:noFill/>
              <a:ln>
                <a:noFill/>
              </a:ln>
              <a:effectLst/>
            </c:spPr>
            <c:txPr>
              <a:bodyPr rot="0" spcFirstLastPara="1" vertOverflow="ellipsis" vert="horz" wrap="square" lIns="0" tIns="0" rIns="0" bIns="0" anchor="t" anchorCtr="0">
                <a:spAutoFit/>
              </a:bodyPr>
              <a:lstStyle/>
              <a:p>
                <a:pPr>
                  <a:defRPr sz="8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2018</c:v>
                </c:pt>
                <c:pt idx="1">
                  <c:v>2019</c:v>
                </c:pt>
                <c:pt idx="2">
                  <c:v>2020</c:v>
                </c:pt>
                <c:pt idx="3">
                  <c:v>2021</c:v>
                </c:pt>
                <c:pt idx="4">
                  <c:v>2022</c:v>
                </c:pt>
              </c:numCache>
            </c:numRef>
          </c:cat>
          <c:val>
            <c:numRef>
              <c:f>'Report Chart 5 Asset Alloc MIP'!$B$11:$F$11</c:f>
              <c:numCache>
                <c:formatCode>0%</c:formatCode>
                <c:ptCount val="5"/>
                <c:pt idx="0">
                  <c:v>0.01</c:v>
                </c:pt>
                <c:pt idx="1">
                  <c:v>0.01</c:v>
                </c:pt>
                <c:pt idx="2">
                  <c:v>0.01</c:v>
                </c:pt>
                <c:pt idx="3">
                  <c:v>0.01</c:v>
                </c:pt>
                <c:pt idx="4">
                  <c:v>0.01</c:v>
                </c:pt>
              </c:numCache>
            </c:numRef>
          </c:val>
          <c:extLst>
            <c:ext xmlns:c16="http://schemas.microsoft.com/office/drawing/2014/chart" uri="{C3380CC4-5D6E-409C-BE32-E72D297353CC}">
              <c16:uniqueId val="{00000008-6791-4C37-B6AC-CBFFD1AE0522}"/>
            </c:ext>
          </c:extLst>
        </c:ser>
        <c:ser>
          <c:idx val="2"/>
          <c:order val="3"/>
          <c:tx>
            <c:strRef>
              <c:f>'Report Chart 5 Asset Alloc MIP'!$A$7</c:f>
              <c:strCache>
                <c:ptCount val="1"/>
                <c:pt idx="0">
                  <c:v>Fixed Income</c:v>
                </c:pt>
              </c:strCache>
            </c:strRef>
          </c:tx>
          <c:spPr>
            <a:solidFill>
              <a:schemeClr val="accent3"/>
            </a:solidFill>
            <a:ln>
              <a:noFill/>
            </a:ln>
            <a:effectLst/>
            <a:scene3d>
              <a:camera prst="orthographicFront"/>
              <a:lightRig rig="threePt" dir="t"/>
            </a:scene3d>
            <a:sp3d>
              <a:bevelT h="50800"/>
            </a:sp3d>
          </c:spPr>
          <c:dLbls>
            <c:dLbl>
              <c:idx val="0"/>
              <c:layout>
                <c:manualLayout>
                  <c:x val="1.4957264957264937E-2"/>
                  <c:y val="0"/>
                </c:manualLayout>
              </c:layout>
              <c:tx>
                <c:rich>
                  <a:bodyPr/>
                  <a:lstStyle/>
                  <a:p>
                    <a:fld id="{C2BE507C-53C3-4FA1-8FE6-550EA3B44D60}"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791-4C37-B6AC-CBFFD1AE0522}"/>
                </c:ext>
              </c:extLst>
            </c:dLbl>
            <c:dLbl>
              <c:idx val="1"/>
              <c:layout>
                <c:manualLayout>
                  <c:x val="-1.4957264957264958E-2"/>
                  <c:y val="0"/>
                </c:manualLayout>
              </c:layout>
              <c:tx>
                <c:rich>
                  <a:bodyPr/>
                  <a:lstStyle/>
                  <a:p>
                    <a:fld id="{BA052B49-E18C-4108-AC72-5AC18D0D46C0}"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791-4C37-B6AC-CBFFD1AE0522}"/>
                </c:ext>
              </c:extLst>
            </c:dLbl>
            <c:dLbl>
              <c:idx val="2"/>
              <c:layout>
                <c:manualLayout>
                  <c:x val="-2.18760109042440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791-4C37-B6AC-CBFFD1AE0522}"/>
                </c:ext>
              </c:extLst>
            </c:dLbl>
            <c:dLbl>
              <c:idx val="4"/>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F3-4D0D-BB54-25B1F9D34A49}"/>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2018</c:v>
                </c:pt>
                <c:pt idx="1">
                  <c:v>2019</c:v>
                </c:pt>
                <c:pt idx="2">
                  <c:v>2020</c:v>
                </c:pt>
                <c:pt idx="3">
                  <c:v>2021</c:v>
                </c:pt>
                <c:pt idx="4">
                  <c:v>2022</c:v>
                </c:pt>
              </c:numCache>
            </c:numRef>
          </c:cat>
          <c:val>
            <c:numRef>
              <c:f>'Report Chart 5 Asset Alloc MIP'!$B$7:$F$7</c:f>
              <c:numCache>
                <c:formatCode>0%</c:formatCode>
                <c:ptCount val="5"/>
                <c:pt idx="0">
                  <c:v>0.21</c:v>
                </c:pt>
                <c:pt idx="1">
                  <c:v>0.23</c:v>
                </c:pt>
                <c:pt idx="2">
                  <c:v>0.22</c:v>
                </c:pt>
                <c:pt idx="3">
                  <c:v>0.25</c:v>
                </c:pt>
                <c:pt idx="4">
                  <c:v>0.28000000000000003</c:v>
                </c:pt>
              </c:numCache>
            </c:numRef>
          </c:val>
          <c:extLst>
            <c:ext xmlns:c16="http://schemas.microsoft.com/office/drawing/2014/chart" uri="{C3380CC4-5D6E-409C-BE32-E72D297353CC}">
              <c16:uniqueId val="{0000000C-6791-4C37-B6AC-CBFFD1AE0522}"/>
            </c:ext>
          </c:extLst>
        </c:ser>
        <c:ser>
          <c:idx val="8"/>
          <c:order val="4"/>
          <c:tx>
            <c:strRef>
              <c:f>'Report Chart 5 Asset Alloc MIP'!$A$6</c:f>
              <c:strCache>
                <c:ptCount val="1"/>
                <c:pt idx="0">
                  <c:v>Global Equities</c:v>
                </c:pt>
              </c:strCache>
            </c:strRef>
          </c:tx>
          <c:spPr>
            <a:solidFill>
              <a:schemeClr val="accent6"/>
            </a:solidFill>
            <a:ln w="25400">
              <a:noFill/>
            </a:ln>
            <a:effectLst/>
            <a:scene3d>
              <a:camera prst="orthographicFront"/>
              <a:lightRig rig="threePt" dir="t"/>
            </a:scene3d>
            <a:sp3d>
              <a:bevelT/>
            </a:sp3d>
          </c:spPr>
          <c:dLbls>
            <c:dLbl>
              <c:idx val="0"/>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F3-4D0D-BB54-25B1F9D34A49}"/>
                </c:ext>
              </c:extLst>
            </c:dLbl>
            <c:dLbl>
              <c:idx val="4"/>
              <c:layout>
                <c:manualLayout>
                  <c:x val="-1.0683760683760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F3-4D0D-BB54-25B1F9D34A49}"/>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val>
            <c:numRef>
              <c:f>'Report Chart 5 Asset Alloc MIP'!$B$6:$F$6</c:f>
              <c:numCache>
                <c:formatCode>0%</c:formatCode>
                <c:ptCount val="5"/>
                <c:pt idx="0">
                  <c:v>0</c:v>
                </c:pt>
                <c:pt idx="1">
                  <c:v>0</c:v>
                </c:pt>
                <c:pt idx="2">
                  <c:v>0.09</c:v>
                </c:pt>
                <c:pt idx="3">
                  <c:v>0.1</c:v>
                </c:pt>
                <c:pt idx="4">
                  <c:v>0.09</c:v>
                </c:pt>
              </c:numCache>
            </c:numRef>
          </c:val>
          <c:extLst>
            <c:ext xmlns:c16="http://schemas.microsoft.com/office/drawing/2014/chart" uri="{C3380CC4-5D6E-409C-BE32-E72D297353CC}">
              <c16:uniqueId val="{0000000D-6791-4C37-B6AC-CBFFD1AE0522}"/>
            </c:ext>
          </c:extLst>
        </c:ser>
        <c:ser>
          <c:idx val="3"/>
          <c:order val="5"/>
          <c:tx>
            <c:strRef>
              <c:f>'Report Chart 5 Asset Alloc MIP'!$A$8</c:f>
              <c:strCache>
                <c:ptCount val="1"/>
                <c:pt idx="0">
                  <c:v>Global Asset Allocation</c:v>
                </c:pt>
              </c:strCache>
            </c:strRef>
          </c:tx>
          <c:spPr>
            <a:solidFill>
              <a:schemeClr val="accent4"/>
            </a:solidFill>
            <a:ln>
              <a:noFill/>
            </a:ln>
            <a:effectLst/>
            <a:scene3d>
              <a:camera prst="orthographicFront"/>
              <a:lightRig rig="threePt" dir="t"/>
            </a:scene3d>
            <a:sp3d>
              <a:bevelT h="50800"/>
            </a:sp3d>
          </c:spPr>
          <c:dLbls>
            <c:dLbl>
              <c:idx val="0"/>
              <c:layout>
                <c:manualLayout>
                  <c:x val="1.4957264957264937E-2"/>
                  <c:y val="0"/>
                </c:manualLayout>
              </c:layout>
              <c:tx>
                <c:rich>
                  <a:bodyPr/>
                  <a:lstStyle/>
                  <a:p>
                    <a:fld id="{0AE131BB-B74A-45F2-B26E-9F78D5ACD1DF}"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791-4C37-B6AC-CBFFD1AE0522}"/>
                </c:ext>
              </c:extLst>
            </c:dLbl>
            <c:dLbl>
              <c:idx val="1"/>
              <c:layout>
                <c:manualLayout>
                  <c:x val="-1.4957264957264958E-2"/>
                  <c:y val="0"/>
                </c:manualLayout>
              </c:layout>
              <c:tx>
                <c:rich>
                  <a:bodyPr/>
                  <a:lstStyle/>
                  <a:p>
                    <a:fld id="{8DDF81DA-B01C-4B71-87F6-11227C0FACEF}"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6791-4C37-B6AC-CBFFD1AE0522}"/>
                </c:ext>
              </c:extLst>
            </c:dLbl>
            <c:dLbl>
              <c:idx val="2"/>
              <c:layout>
                <c:manualLayout>
                  <c:x val="-2.1876010904244049E-2"/>
                  <c:y val="-3.3025494121202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791-4C37-B6AC-CBFFD1AE0522}"/>
                </c:ext>
              </c:extLst>
            </c:dLbl>
            <c:dLbl>
              <c:idx val="4"/>
              <c:layout>
                <c:manualLayout>
                  <c:x val="-1.068376068376084E-2"/>
                  <c:y val="-6.74135743612751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F3-4D0D-BB54-25B1F9D34A49}"/>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2018</c:v>
                </c:pt>
                <c:pt idx="1">
                  <c:v>2019</c:v>
                </c:pt>
                <c:pt idx="2">
                  <c:v>2020</c:v>
                </c:pt>
                <c:pt idx="3">
                  <c:v>2021</c:v>
                </c:pt>
                <c:pt idx="4">
                  <c:v>2022</c:v>
                </c:pt>
              </c:numCache>
            </c:numRef>
          </c:cat>
          <c:val>
            <c:numRef>
              <c:f>'Report Chart 5 Asset Alloc MIP'!$B$8:$F$8</c:f>
              <c:numCache>
                <c:formatCode>0%</c:formatCode>
                <c:ptCount val="5"/>
                <c:pt idx="0">
                  <c:v>0.23</c:v>
                </c:pt>
                <c:pt idx="1">
                  <c:v>0.15</c:v>
                </c:pt>
                <c:pt idx="2">
                  <c:v>0.14000000000000001</c:v>
                </c:pt>
                <c:pt idx="3">
                  <c:v>7.0000000000000007E-2</c:v>
                </c:pt>
                <c:pt idx="4">
                  <c:v>0.08</c:v>
                </c:pt>
              </c:numCache>
            </c:numRef>
          </c:val>
          <c:extLst>
            <c:ext xmlns:c16="http://schemas.microsoft.com/office/drawing/2014/chart" uri="{C3380CC4-5D6E-409C-BE32-E72D297353CC}">
              <c16:uniqueId val="{00000011-6791-4C37-B6AC-CBFFD1AE0522}"/>
            </c:ext>
          </c:extLst>
        </c:ser>
        <c:ser>
          <c:idx val="4"/>
          <c:order val="6"/>
          <c:tx>
            <c:strRef>
              <c:f>'Report Chart 5 Asset Alloc MIP'!$A$9</c:f>
              <c:strCache>
                <c:ptCount val="1"/>
                <c:pt idx="0">
                  <c:v>Hedge Funds</c:v>
                </c:pt>
              </c:strCache>
            </c:strRef>
          </c:tx>
          <c:spPr>
            <a:solidFill>
              <a:schemeClr val="accent5"/>
            </a:solidFill>
            <a:ln>
              <a:noFill/>
            </a:ln>
            <a:effectLst/>
            <a:scene3d>
              <a:camera prst="orthographicFront"/>
              <a:lightRig rig="threePt" dir="t"/>
            </a:scene3d>
            <a:sp3d>
              <a:bevelT h="50800"/>
            </a:sp3d>
          </c:spPr>
          <c:dLbls>
            <c:dLbl>
              <c:idx val="0"/>
              <c:layout>
                <c:manualLayout>
                  <c:x val="1.282051282051282E-2"/>
                  <c:y val="0"/>
                </c:manualLayout>
              </c:layout>
              <c:tx>
                <c:rich>
                  <a:bodyPr/>
                  <a:lstStyle/>
                  <a:p>
                    <a:fld id="{E0563275-A21E-45F9-8C45-A95D259E2124}"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6791-4C37-B6AC-CBFFD1AE0522}"/>
                </c:ext>
              </c:extLst>
            </c:dLbl>
            <c:dLbl>
              <c:idx val="1"/>
              <c:layout>
                <c:manualLayout>
                  <c:x val="-1.282051282051282E-2"/>
                  <c:y val="-6.3261288983950278E-17"/>
                </c:manualLayout>
              </c:layout>
              <c:tx>
                <c:rich>
                  <a:bodyPr/>
                  <a:lstStyle/>
                  <a:p>
                    <a:fld id="{35B9055B-4776-40A8-B81E-BD5BBCB93470}"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791-4C37-B6AC-CBFFD1AE0522}"/>
                </c:ext>
              </c:extLst>
            </c:dLbl>
            <c:dLbl>
              <c:idx val="2"/>
              <c:layout>
                <c:manualLayout>
                  <c:x val="-1.09380054521220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791-4C37-B6AC-CBFFD1AE0522}"/>
                </c:ext>
              </c:extLst>
            </c:dLbl>
            <c:dLbl>
              <c:idx val="4"/>
              <c:layout>
                <c:manualLayout>
                  <c:x val="-1.0683760683760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F3-4D0D-BB54-25B1F9D34A49}"/>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2018</c:v>
                </c:pt>
                <c:pt idx="1">
                  <c:v>2019</c:v>
                </c:pt>
                <c:pt idx="2">
                  <c:v>2020</c:v>
                </c:pt>
                <c:pt idx="3">
                  <c:v>2021</c:v>
                </c:pt>
                <c:pt idx="4">
                  <c:v>2022</c:v>
                </c:pt>
              </c:numCache>
            </c:numRef>
          </c:cat>
          <c:val>
            <c:numRef>
              <c:f>'Report Chart 5 Asset Alloc MIP'!$B$9:$F$9</c:f>
              <c:numCache>
                <c:formatCode>0%</c:formatCode>
                <c:ptCount val="5"/>
                <c:pt idx="0">
                  <c:v>0.06</c:v>
                </c:pt>
                <c:pt idx="1">
                  <c:v>0.06</c:v>
                </c:pt>
                <c:pt idx="2">
                  <c:v>0.06</c:v>
                </c:pt>
                <c:pt idx="3">
                  <c:v>7.0000000000000007E-2</c:v>
                </c:pt>
                <c:pt idx="4">
                  <c:v>0.09</c:v>
                </c:pt>
              </c:numCache>
            </c:numRef>
          </c:val>
          <c:extLst>
            <c:ext xmlns:c16="http://schemas.microsoft.com/office/drawing/2014/chart" uri="{C3380CC4-5D6E-409C-BE32-E72D297353CC}">
              <c16:uniqueId val="{00000015-6791-4C37-B6AC-CBFFD1AE0522}"/>
            </c:ext>
          </c:extLst>
        </c:ser>
        <c:ser>
          <c:idx val="1"/>
          <c:order val="7"/>
          <c:tx>
            <c:strRef>
              <c:f>'Report Chart 5 Asset Alloc MIP'!$A$5</c:f>
              <c:strCache>
                <c:ptCount val="1"/>
                <c:pt idx="0">
                  <c:v>International Equities</c:v>
                </c:pt>
              </c:strCache>
            </c:strRef>
          </c:tx>
          <c:spPr>
            <a:solidFill>
              <a:schemeClr val="accent2"/>
            </a:solidFill>
            <a:ln>
              <a:noFill/>
            </a:ln>
            <a:effectLst/>
            <a:scene3d>
              <a:camera prst="orthographicFront"/>
              <a:lightRig rig="threePt" dir="t"/>
            </a:scene3d>
            <a:sp3d>
              <a:bevelT h="50800"/>
            </a:sp3d>
          </c:spPr>
          <c:dLbls>
            <c:dLbl>
              <c:idx val="0"/>
              <c:layout>
                <c:manualLayout>
                  <c:x val="1.4957264957264937E-2"/>
                  <c:y val="0"/>
                </c:manualLayout>
              </c:layout>
              <c:tx>
                <c:rich>
                  <a:bodyPr/>
                  <a:lstStyle/>
                  <a:p>
                    <a:fld id="{DA971F08-BC58-4F51-B993-A7433CCDB546}"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6791-4C37-B6AC-CBFFD1AE0522}"/>
                </c:ext>
              </c:extLst>
            </c:dLbl>
            <c:dLbl>
              <c:idx val="1"/>
              <c:layout>
                <c:manualLayout>
                  <c:x val="-1.4957264957264958E-2"/>
                  <c:y val="0"/>
                </c:manualLayout>
              </c:layout>
              <c:tx>
                <c:rich>
                  <a:bodyPr/>
                  <a:lstStyle/>
                  <a:p>
                    <a:fld id="{851BE512-3898-472D-8E74-8E0479BBD7B7}" type="VALUE">
                      <a:rPr lang="en-US" baseline="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6791-4C37-B6AC-CBFFD1AE0522}"/>
                </c:ext>
              </c:extLst>
            </c:dLbl>
            <c:dLbl>
              <c:idx val="2"/>
              <c:layout>
                <c:manualLayout>
                  <c:x val="-1.9688409813819644E-2"/>
                  <c:y val="-3.3025494121202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791-4C37-B6AC-CBFFD1AE0522}"/>
                </c:ext>
              </c:extLst>
            </c:dLbl>
            <c:dLbl>
              <c:idx val="4"/>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F3-4D0D-BB54-25B1F9D34A49}"/>
                </c:ext>
              </c:extLst>
            </c:dLbl>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2018</c:v>
                </c:pt>
                <c:pt idx="1">
                  <c:v>2019</c:v>
                </c:pt>
                <c:pt idx="2">
                  <c:v>2020</c:v>
                </c:pt>
                <c:pt idx="3">
                  <c:v>2021</c:v>
                </c:pt>
                <c:pt idx="4">
                  <c:v>2022</c:v>
                </c:pt>
              </c:numCache>
            </c:numRef>
          </c:cat>
          <c:val>
            <c:numRef>
              <c:f>'Report Chart 5 Asset Alloc MIP'!$B$5:$F$5</c:f>
              <c:numCache>
                <c:formatCode>0%</c:formatCode>
                <c:ptCount val="5"/>
                <c:pt idx="0">
                  <c:v>0.23</c:v>
                </c:pt>
                <c:pt idx="1">
                  <c:v>0.25</c:v>
                </c:pt>
                <c:pt idx="2">
                  <c:v>0.22</c:v>
                </c:pt>
                <c:pt idx="3">
                  <c:v>0.21</c:v>
                </c:pt>
                <c:pt idx="4">
                  <c:v>0.16</c:v>
                </c:pt>
              </c:numCache>
            </c:numRef>
          </c:val>
          <c:extLst>
            <c:ext xmlns:c16="http://schemas.microsoft.com/office/drawing/2014/chart" uri="{C3380CC4-5D6E-409C-BE32-E72D297353CC}">
              <c16:uniqueId val="{00000019-6791-4C37-B6AC-CBFFD1AE0522}"/>
            </c:ext>
          </c:extLst>
        </c:ser>
        <c:ser>
          <c:idx val="5"/>
          <c:order val="8"/>
          <c:tx>
            <c:strRef>
              <c:f>'Report Chart 5 Asset Alloc MIP'!$A$10</c:f>
              <c:strCache>
                <c:ptCount val="1"/>
                <c:pt idx="0">
                  <c:v>Timber</c:v>
                </c:pt>
              </c:strCache>
            </c:strRef>
          </c:tx>
          <c:spPr>
            <a:solidFill>
              <a:schemeClr val="accent6"/>
            </a:solidFill>
            <a:ln>
              <a:noFill/>
            </a:ln>
            <a:effectLst/>
            <a:scene3d>
              <a:camera prst="orthographicFront"/>
              <a:lightRig rig="threePt" dir="t"/>
            </a:scene3d>
            <a:sp3d>
              <a:bevelT h="50800"/>
            </a:sp3d>
          </c:spPr>
          <c:dLbls>
            <c:dLbl>
              <c:idx val="0"/>
              <c:layout>
                <c:manualLayout>
                  <c:x val="1.282051282051282E-2"/>
                  <c:y val="0"/>
                </c:manualLayout>
              </c:layout>
              <c:tx>
                <c:rich>
                  <a:bodyPr/>
                  <a:lstStyle/>
                  <a:p>
                    <a:fld id="{CFAAF9E8-90A0-4ED2-B9BF-4DF1A188A40C}"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6791-4C37-B6AC-CBFFD1AE0522}"/>
                </c:ext>
              </c:extLst>
            </c:dLbl>
            <c:dLbl>
              <c:idx val="1"/>
              <c:layout>
                <c:manualLayout>
                  <c:x val="-1.282051282051282E-2"/>
                  <c:y val="3.4506556245686363E-3"/>
                </c:manualLayout>
              </c:layout>
              <c:tx>
                <c:rich>
                  <a:bodyPr/>
                  <a:lstStyle/>
                  <a:p>
                    <a:fld id="{5D07BAF6-8A2A-42CA-93B9-BE0F5A82A7CB}"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6791-4C37-B6AC-CBFFD1AE0522}"/>
                </c:ext>
              </c:extLst>
            </c:dLbl>
            <c:dLbl>
              <c:idx val="2"/>
              <c:layout>
                <c:manualLayout>
                  <c:x val="-1.4219407087758632E-2"/>
                  <c:y val="-1.6512747060601002E-3"/>
                </c:manualLayout>
              </c:layout>
              <c:tx>
                <c:rich>
                  <a:bodyPr rot="0" spcFirstLastPara="1" vertOverflow="ellipsis" vert="horz" wrap="square" lIns="0" tIns="0" rIns="0" bIns="0" anchor="t" anchorCtr="0">
                    <a:noAutofit/>
                  </a:bodyPr>
                  <a:lstStyle/>
                  <a:p>
                    <a:pPr>
                      <a:defRPr sz="800" b="1" i="0" u="none" strike="noStrike" kern="1200" baseline="0">
                        <a:solidFill>
                          <a:schemeClr val="tx1">
                            <a:lumMod val="95000"/>
                            <a:lumOff val="5000"/>
                          </a:schemeClr>
                        </a:solidFill>
                        <a:latin typeface="+mn-lt"/>
                        <a:ea typeface="+mn-ea"/>
                        <a:cs typeface="+mn-cs"/>
                      </a:defRPr>
                    </a:pPr>
                    <a:fld id="{6A7399D2-27DC-478A-A076-205F9AEFFA5D}" type="VALUE">
                      <a:rPr lang="en-US" sz="800" b="1" baseline="0">
                        <a:solidFill>
                          <a:schemeClr val="tx1">
                            <a:lumMod val="95000"/>
                            <a:lumOff val="5000"/>
                          </a:schemeClr>
                        </a:solidFill>
                      </a:rPr>
                      <a:pPr>
                        <a:defRPr sz="800" b="1">
                          <a:solidFill>
                            <a:schemeClr val="tx1">
                              <a:lumMod val="95000"/>
                              <a:lumOff val="5000"/>
                            </a:schemeClr>
                          </a:solidFill>
                        </a:defRPr>
                      </a:pPr>
                      <a:t>[VALUE]</a:t>
                    </a:fld>
                    <a:endParaRPr lang="en-US"/>
                  </a:p>
                </c:rich>
              </c:tx>
              <c:spPr>
                <a:noFill/>
                <a:ln>
                  <a:noFill/>
                </a:ln>
                <a:effectLst/>
              </c:spPr>
              <c:txPr>
                <a:bodyPr rot="0" spcFirstLastPara="1" vertOverflow="ellipsis" vert="horz" wrap="square" lIns="0" tIns="0" rIns="0" bIns="0" anchor="t" anchorCtr="0">
                  <a:noAutofit/>
                </a:bodyPr>
                <a:lstStyle/>
                <a:p>
                  <a:pPr>
                    <a:defRPr sz="8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6.72137851252083E-2"/>
                      <c:h val="3.5866986831929362E-2"/>
                    </c:manualLayout>
                  </c15:layout>
                  <c15:dlblFieldTable/>
                  <c15:showDataLabelsRange val="0"/>
                </c:ext>
                <c:ext xmlns:c16="http://schemas.microsoft.com/office/drawing/2014/chart" uri="{C3380CC4-5D6E-409C-BE32-E72D297353CC}">
                  <c16:uniqueId val="{0000001C-6791-4C37-B6AC-CBFFD1AE0522}"/>
                </c:ext>
              </c:extLst>
            </c:dLbl>
            <c:dLbl>
              <c:idx val="4"/>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F3-4D0D-BB54-25B1F9D34A49}"/>
                </c:ext>
              </c:extLst>
            </c:dLbl>
            <c:spPr>
              <a:noFill/>
              <a:ln>
                <a:noFill/>
              </a:ln>
              <a:effectLst/>
            </c:spPr>
            <c:txPr>
              <a:bodyPr rot="0" spcFirstLastPara="1" vertOverflow="ellipsis" vert="horz" wrap="square" lIns="0" tIns="0" rIns="0" bIns="0" anchor="t" anchorCtr="0">
                <a:spAutoFit/>
              </a:bodyPr>
              <a:lstStyle/>
              <a:p>
                <a:pPr>
                  <a:defRPr sz="8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'Report Chart 5 Asset Alloc MIP'!$B$3:$F$3</c:f>
              <c:numCache>
                <c:formatCode>General</c:formatCode>
                <c:ptCount val="5"/>
                <c:pt idx="0">
                  <c:v>2018</c:v>
                </c:pt>
                <c:pt idx="1">
                  <c:v>2019</c:v>
                </c:pt>
                <c:pt idx="2">
                  <c:v>2020</c:v>
                </c:pt>
                <c:pt idx="3">
                  <c:v>2021</c:v>
                </c:pt>
                <c:pt idx="4">
                  <c:v>2022</c:v>
                </c:pt>
              </c:numCache>
            </c:numRef>
          </c:cat>
          <c:val>
            <c:numRef>
              <c:f>'Report Chart 5 Asset Alloc MIP'!$B$10:$F$10</c:f>
              <c:numCache>
                <c:formatCode>0%</c:formatCode>
                <c:ptCount val="5"/>
                <c:pt idx="0">
                  <c:v>0.01</c:v>
                </c:pt>
                <c:pt idx="1">
                  <c:v>0</c:v>
                </c:pt>
                <c:pt idx="2">
                  <c:v>0</c:v>
                </c:pt>
                <c:pt idx="3">
                  <c:v>0</c:v>
                </c:pt>
                <c:pt idx="4">
                  <c:v>0</c:v>
                </c:pt>
              </c:numCache>
            </c:numRef>
          </c:val>
          <c:extLst>
            <c:ext xmlns:c16="http://schemas.microsoft.com/office/drawing/2014/chart" uri="{C3380CC4-5D6E-409C-BE32-E72D297353CC}">
              <c16:uniqueId val="{0000001D-6791-4C37-B6AC-CBFFD1AE0522}"/>
            </c:ext>
          </c:extLst>
        </c:ser>
        <c:dLbls>
          <c:showLegendKey val="0"/>
          <c:showVal val="1"/>
          <c:showCatName val="0"/>
          <c:showSerName val="0"/>
          <c:showPercent val="0"/>
          <c:showBubbleSize val="0"/>
        </c:dLbls>
        <c:axId val="324119856"/>
        <c:axId val="324120416"/>
      </c:areaChart>
      <c:catAx>
        <c:axId val="32411985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high"/>
        <c:spPr>
          <a:noFill/>
          <a:ln w="9525" cap="flat" cmpd="sng" algn="ctr">
            <a:solidFill>
              <a:schemeClr val="tx1">
                <a:lumMod val="15000"/>
                <a:lumOff val="85000"/>
              </a:schemeClr>
            </a:solidFill>
            <a:prstDash val="solid"/>
            <a:round/>
          </a:ln>
          <a:effectLst/>
        </c:spPr>
        <c:txPr>
          <a:bodyPr rot="-60000000" spcFirstLastPara="1" vertOverflow="ellipsis" vert="horz" wrap="square" anchor="b" anchorCtr="1"/>
          <a:lstStyle/>
          <a:p>
            <a:pPr>
              <a:defRPr sz="800" b="1" i="0" u="none" strike="noStrike" kern="1200" cap="all" spc="0" normalizeH="0" baseline="0">
                <a:solidFill>
                  <a:schemeClr val="tx1">
                    <a:lumMod val="95000"/>
                    <a:lumOff val="5000"/>
                  </a:schemeClr>
                </a:solidFill>
                <a:latin typeface="Calibri" panose="020F0502020204030204" pitchFamily="34" charset="0"/>
                <a:ea typeface="+mn-ea"/>
                <a:cs typeface="+mn-cs"/>
              </a:defRPr>
            </a:pPr>
            <a:endParaRPr lang="en-US"/>
          </a:p>
        </c:txPr>
        <c:crossAx val="324120416"/>
        <c:crosses val="autoZero"/>
        <c:auto val="1"/>
        <c:lblAlgn val="ctr"/>
        <c:lblOffset val="100"/>
        <c:noMultiLvlLbl val="0"/>
      </c:catAx>
      <c:valAx>
        <c:axId val="324120416"/>
        <c:scaling>
          <c:orientation val="minMax"/>
        </c:scaling>
        <c:delete val="1"/>
        <c:axPos val="l"/>
        <c:numFmt formatCode="0%" sourceLinked="1"/>
        <c:majorTickMark val="out"/>
        <c:minorTickMark val="none"/>
        <c:tickLblPos val="nextTo"/>
        <c:crossAx val="324119856"/>
        <c:crosses val="autoZero"/>
        <c:crossBetween val="midCat"/>
      </c:valAx>
      <c:spPr>
        <a:noFill/>
        <a:ln>
          <a:noFill/>
        </a:ln>
        <a:effectLst/>
      </c:spPr>
    </c:plotArea>
    <c:plotVisOnly val="1"/>
    <c:dispBlanksAs val="gap"/>
    <c:showDLblsOverMax val="0"/>
  </c:chart>
  <c:spPr>
    <a:solidFill>
      <a:schemeClr val="lt1"/>
    </a:solidFill>
    <a:ln w="12700" cap="flat" cmpd="sng" algn="ctr">
      <a:noFill/>
      <a:prstDash val="solid"/>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5: Total Return (Net of Fees)</a:t>
            </a:r>
          </a:p>
        </c:rich>
      </c:tx>
      <c:overlay val="0"/>
      <c:spPr>
        <a:noFill/>
        <a:ln>
          <a:noFill/>
        </a:ln>
        <a:effectLst/>
      </c:spPr>
    </c:title>
    <c:autoTitleDeleted val="0"/>
    <c:plotArea>
      <c:layout/>
      <c:lineChart>
        <c:grouping val="standard"/>
        <c:varyColors val="0"/>
        <c:ser>
          <c:idx val="0"/>
          <c:order val="0"/>
          <c:spPr>
            <a:ln w="28575" cap="rnd">
              <a:solidFill>
                <a:srgbClr val="00688D"/>
              </a:solidFill>
              <a:round/>
            </a:ln>
            <a:effectLst/>
          </c:spPr>
          <c:marker>
            <c:symbol val="circle"/>
            <c:size val="5"/>
            <c:spPr>
              <a:solidFill>
                <a:srgbClr val="00688D"/>
              </a:solidFill>
              <a:ln w="9525">
                <a:solidFill>
                  <a:srgbClr val="00688D"/>
                </a:solidFill>
              </a:ln>
              <a:effectLst/>
              <a:scene3d>
                <a:camera prst="orthographicFront"/>
                <a:lightRig rig="threePt" dir="t"/>
              </a:scene3d>
              <a:sp3d>
                <a:bevelT h="50800"/>
              </a:sp3d>
            </c:spPr>
          </c:marker>
          <c:dLbls>
            <c:dLbl>
              <c:idx val="4"/>
              <c:layout>
                <c:manualLayout>
                  <c:x val="-1.4788932633420925E-2"/>
                  <c:y val="-4.9623278222297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EE-48EA-9662-614C3460F8D2}"/>
                </c:ext>
              </c:extLst>
            </c:dLbl>
            <c:numFmt formatCode="0.0%"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'Report Chart 6'!$B$5:$B$9</c:f>
              <c:numCache>
                <c:formatCode>General</c:formatCode>
                <c:ptCount val="5"/>
                <c:pt idx="0">
                  <c:v>2018</c:v>
                </c:pt>
                <c:pt idx="1">
                  <c:v>2019</c:v>
                </c:pt>
                <c:pt idx="2">
                  <c:v>2020</c:v>
                </c:pt>
                <c:pt idx="3">
                  <c:v>2021</c:v>
                </c:pt>
                <c:pt idx="4">
                  <c:v>2022</c:v>
                </c:pt>
              </c:numCache>
            </c:numRef>
          </c:cat>
          <c:val>
            <c:numRef>
              <c:f>'Report Chart 6'!$C$5:$C$9</c:f>
              <c:numCache>
                <c:formatCode>0.0%</c:formatCode>
                <c:ptCount val="5"/>
                <c:pt idx="0">
                  <c:v>6.9000000000000006E-2</c:v>
                </c:pt>
                <c:pt idx="1">
                  <c:v>2.7E-2</c:v>
                </c:pt>
                <c:pt idx="2">
                  <c:v>1.0999999999999999E-2</c:v>
                </c:pt>
                <c:pt idx="3">
                  <c:v>0.27100000000000002</c:v>
                </c:pt>
                <c:pt idx="4">
                  <c:v>-0.125</c:v>
                </c:pt>
              </c:numCache>
            </c:numRef>
          </c:val>
          <c:smooth val="0"/>
          <c:extLst>
            <c:ext xmlns:c16="http://schemas.microsoft.com/office/drawing/2014/chart" uri="{C3380CC4-5D6E-409C-BE32-E72D297353CC}">
              <c16:uniqueId val="{00000000-EA69-4FE3-B878-903C6BD16CEC}"/>
            </c:ext>
          </c:extLst>
        </c:ser>
        <c:dLbls>
          <c:dLblPos val="t"/>
          <c:showLegendKey val="0"/>
          <c:showVal val="1"/>
          <c:showCatName val="0"/>
          <c:showSerName val="0"/>
          <c:showPercent val="0"/>
          <c:showBubbleSize val="0"/>
        </c:dLbls>
        <c:marker val="1"/>
        <c:smooth val="0"/>
        <c:axId val="1284479472"/>
        <c:axId val="1284479888"/>
      </c:lineChart>
      <c:catAx>
        <c:axId val="1284479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84479888"/>
        <c:crosses val="autoZero"/>
        <c:auto val="1"/>
        <c:lblAlgn val="ctr"/>
        <c:lblOffset val="100"/>
        <c:noMultiLvlLbl val="0"/>
      </c:catAx>
      <c:valAx>
        <c:axId val="1284479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84479472"/>
        <c:crosses val="autoZero"/>
        <c:crossBetween val="between"/>
        <c:majorUnit val="5.000000000000001E-2"/>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Chart 6: Fair Values of UMS and Affiliates Pooled Endowments
</a:t>
            </a:r>
            <a:r>
              <a:rPr lang="en-US" sz="1100" b="1">
                <a:solidFill>
                  <a:schemeClr val="tx1">
                    <a:lumMod val="95000"/>
                    <a:lumOff val="5000"/>
                  </a:schemeClr>
                </a:solidFill>
              </a:rPr>
              <a:t>(In millions)</a:t>
            </a:r>
          </a:p>
        </c:rich>
      </c:tx>
      <c:overlay val="0"/>
      <c:spPr>
        <a:noFill/>
        <a:ln>
          <a:noFill/>
        </a:ln>
        <a:effectLst/>
      </c:spPr>
    </c:title>
    <c:autoTitleDeleted val="0"/>
    <c:plotArea>
      <c:layout>
        <c:manualLayout>
          <c:layoutTarget val="inner"/>
          <c:xMode val="edge"/>
          <c:yMode val="edge"/>
          <c:x val="9.4624936588808758E-2"/>
          <c:y val="0.256390423572744"/>
          <c:w val="0.8773638589293985"/>
          <c:h val="0.58127666362146724"/>
        </c:manualLayout>
      </c:layout>
      <c:barChart>
        <c:barDir val="col"/>
        <c:grouping val="clustered"/>
        <c:varyColors val="0"/>
        <c:ser>
          <c:idx val="0"/>
          <c:order val="0"/>
          <c:tx>
            <c:strRef>
              <c:f>'Chart 7 Market Value Endow Inv'!$B$4</c:f>
              <c:strCache>
                <c:ptCount val="1"/>
                <c:pt idx="0">
                  <c:v>UMS Endowments</c:v>
                </c:pt>
              </c:strCache>
            </c:strRef>
          </c:tx>
          <c:spPr>
            <a:solidFill>
              <a:srgbClr val="00688D"/>
            </a:solidFill>
            <a:ln w="28575" cap="rnd">
              <a:noFill/>
              <a:round/>
            </a:ln>
            <a:effectLst/>
            <a:scene3d>
              <a:camera prst="orthographicFront"/>
              <a:lightRig rig="threePt" dir="t"/>
            </a:scene3d>
            <a:sp3d>
              <a:bevelT h="50800"/>
              <a:bevelB/>
            </a:sp3d>
          </c:spPr>
          <c:invertIfNegative val="0"/>
          <c:dLbls>
            <c:numFmt formatCode="_(&quot;$&quot;* #,##0_);_(&quot;$&quot;* \(#,##0\);_(&quot;$&quot;* &quot;-&quot;_);_(@_)" sourceLinked="0"/>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'Chart 7 Market Value Endow Inv'!$A$6:$A$10</c:f>
              <c:numCache>
                <c:formatCode>General</c:formatCode>
                <c:ptCount val="5"/>
                <c:pt idx="0">
                  <c:v>2018</c:v>
                </c:pt>
                <c:pt idx="1">
                  <c:v>2019</c:v>
                </c:pt>
                <c:pt idx="2">
                  <c:v>2020</c:v>
                </c:pt>
                <c:pt idx="3">
                  <c:v>2021</c:v>
                </c:pt>
                <c:pt idx="4">
                  <c:v>2022</c:v>
                </c:pt>
              </c:numCache>
            </c:numRef>
          </c:cat>
          <c:val>
            <c:numRef>
              <c:f>'Chart 7 Market Value Endow Inv'!$B$6:$B$10</c:f>
              <c:numCache>
                <c:formatCode>_("$"* #,##0_);_("$"* \(#,##0\);_("$"* "-"_);_(@_)</c:formatCode>
                <c:ptCount val="5"/>
                <c:pt idx="0">
                  <c:v>131</c:v>
                </c:pt>
                <c:pt idx="1">
                  <c:v>135</c:v>
                </c:pt>
                <c:pt idx="2">
                  <c:v>135</c:v>
                </c:pt>
                <c:pt idx="3">
                  <c:v>161</c:v>
                </c:pt>
                <c:pt idx="4">
                  <c:v>138</c:v>
                </c:pt>
              </c:numCache>
            </c:numRef>
          </c:val>
          <c:extLst>
            <c:ext xmlns:c16="http://schemas.microsoft.com/office/drawing/2014/chart" uri="{C3380CC4-5D6E-409C-BE32-E72D297353CC}">
              <c16:uniqueId val="{00000000-E628-463F-998A-C90F32E0F777}"/>
            </c:ext>
          </c:extLst>
        </c:ser>
        <c:ser>
          <c:idx val="1"/>
          <c:order val="1"/>
          <c:tx>
            <c:strRef>
              <c:f>'Chart 7 Market Value Endow Inv'!$C$4</c:f>
              <c:strCache>
                <c:ptCount val="1"/>
                <c:pt idx="0">
                  <c:v>Affiliates Endowments</c:v>
                </c:pt>
              </c:strCache>
            </c:strRef>
          </c:tx>
          <c:spPr>
            <a:solidFill>
              <a:schemeClr val="accent6"/>
            </a:solidFill>
            <a:scene3d>
              <a:camera prst="orthographicFront"/>
              <a:lightRig rig="threePt" dir="t"/>
            </a:scene3d>
            <a:sp3d>
              <a:bevelT h="50800"/>
              <a:bevelB/>
            </a:sp3d>
          </c:spPr>
          <c:invertIfNegative val="0"/>
          <c:dLbls>
            <c:numFmt formatCode="_(&quot;$&quot;* #,##0_);_(&quot;$&quot;* \(#,##0\);_(&quot;$&quot;* &quot;-&quot;_);_(@_)" sourceLinked="0"/>
            <c:spPr>
              <a:noFill/>
              <a:ln>
                <a:noFill/>
              </a:ln>
              <a:effectLst/>
            </c:spPr>
            <c:txPr>
              <a:bodyPr wrap="square" lIns="0" tIns="0" rIns="0" bIns="0" anchor="ctr">
                <a:spAutoFit/>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'Chart 7 Market Value Endow Inv'!$A$6:$A$10</c:f>
              <c:numCache>
                <c:formatCode>General</c:formatCode>
                <c:ptCount val="5"/>
                <c:pt idx="0">
                  <c:v>2018</c:v>
                </c:pt>
                <c:pt idx="1">
                  <c:v>2019</c:v>
                </c:pt>
                <c:pt idx="2">
                  <c:v>2020</c:v>
                </c:pt>
                <c:pt idx="3">
                  <c:v>2021</c:v>
                </c:pt>
                <c:pt idx="4">
                  <c:v>2022</c:v>
                </c:pt>
              </c:numCache>
            </c:numRef>
          </c:cat>
          <c:val>
            <c:numRef>
              <c:f>'Chart 7 Market Value Endow Inv'!$C$6:$C$10</c:f>
              <c:numCache>
                <c:formatCode>_("$"* #,##0_);_("$"* \(#,##0\);_("$"* "-"_);_(@_)</c:formatCode>
                <c:ptCount val="5"/>
                <c:pt idx="0">
                  <c:v>19</c:v>
                </c:pt>
                <c:pt idx="1">
                  <c:v>25</c:v>
                </c:pt>
                <c:pt idx="2">
                  <c:v>26</c:v>
                </c:pt>
                <c:pt idx="3">
                  <c:v>35</c:v>
                </c:pt>
                <c:pt idx="4">
                  <c:v>30</c:v>
                </c:pt>
              </c:numCache>
            </c:numRef>
          </c:val>
          <c:extLst>
            <c:ext xmlns:c16="http://schemas.microsoft.com/office/drawing/2014/chart" uri="{C3380CC4-5D6E-409C-BE32-E72D297353CC}">
              <c16:uniqueId val="{00000001-E628-463F-998A-C90F32E0F777}"/>
            </c:ext>
          </c:extLst>
        </c:ser>
        <c:dLbls>
          <c:showLegendKey val="0"/>
          <c:showVal val="1"/>
          <c:showCatName val="0"/>
          <c:showSerName val="0"/>
          <c:showPercent val="0"/>
          <c:showBubbleSize val="0"/>
        </c:dLbls>
        <c:gapWidth val="160"/>
        <c:axId val="1214032784"/>
        <c:axId val="1214034032"/>
      </c:barChart>
      <c:barChart>
        <c:barDir val="col"/>
        <c:grouping val="clustered"/>
        <c:varyColors val="0"/>
        <c:ser>
          <c:idx val="2"/>
          <c:order val="2"/>
          <c:tx>
            <c:strRef>
              <c:f>'Chart 7 Market Value Endow Inv'!$D$4</c:f>
              <c:strCache>
                <c:ptCount val="1"/>
                <c:pt idx="0">
                  <c:v>Total</c:v>
                </c:pt>
              </c:strCache>
            </c:strRef>
          </c:tx>
          <c:spPr>
            <a:solidFill>
              <a:schemeClr val="accent1">
                <a:alpha val="25000"/>
              </a:schemeClr>
            </a:solidFill>
            <a:ln>
              <a:solidFill>
                <a:srgbClr val="8CB8DC"/>
              </a:solidFill>
            </a:ln>
            <a:effectLst/>
            <a:scene3d>
              <a:camera prst="orthographicFront"/>
              <a:lightRig rig="threePt" dir="t"/>
            </a:scene3d>
            <a:sp3d>
              <a:bevelT h="50800"/>
              <a:bevelB/>
            </a:sp3d>
          </c:spPr>
          <c:invertIfNegative val="0"/>
          <c:dLbls>
            <c:spPr>
              <a:noFill/>
              <a:ln>
                <a:noFill/>
              </a:ln>
              <a:effectLst/>
            </c:spPr>
            <c:txPr>
              <a:bodyPr wrap="square" lIns="0" tIns="0" rIns="0" bIns="0" anchor="ctr">
                <a:spAutoFit/>
              </a:bodyPr>
              <a:lstStyle/>
              <a:p>
                <a:pPr>
                  <a:defRPr sz="900" b="1" i="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'Chart 7 Market Value Endow Inv'!$A$6:$A$10</c:f>
              <c:numCache>
                <c:formatCode>General</c:formatCode>
                <c:ptCount val="5"/>
                <c:pt idx="0">
                  <c:v>2018</c:v>
                </c:pt>
                <c:pt idx="1">
                  <c:v>2019</c:v>
                </c:pt>
                <c:pt idx="2">
                  <c:v>2020</c:v>
                </c:pt>
                <c:pt idx="3">
                  <c:v>2021</c:v>
                </c:pt>
                <c:pt idx="4">
                  <c:v>2022</c:v>
                </c:pt>
              </c:numCache>
            </c:numRef>
          </c:cat>
          <c:val>
            <c:numRef>
              <c:f>'Chart 7 Market Value Endow Inv'!$D$6:$D$10</c:f>
              <c:numCache>
                <c:formatCode>_("$"* #,##0_);_("$"* \(#,##0\);_("$"* "-"_);_(@_)</c:formatCode>
                <c:ptCount val="5"/>
                <c:pt idx="0">
                  <c:v>150</c:v>
                </c:pt>
                <c:pt idx="1">
                  <c:v>160</c:v>
                </c:pt>
                <c:pt idx="2">
                  <c:v>161</c:v>
                </c:pt>
                <c:pt idx="3">
                  <c:v>196</c:v>
                </c:pt>
                <c:pt idx="4">
                  <c:v>168</c:v>
                </c:pt>
              </c:numCache>
            </c:numRef>
          </c:val>
          <c:extLst>
            <c:ext xmlns:c16="http://schemas.microsoft.com/office/drawing/2014/chart" uri="{C3380CC4-5D6E-409C-BE32-E72D297353CC}">
              <c16:uniqueId val="{00000002-E628-463F-998A-C90F32E0F777}"/>
            </c:ext>
          </c:extLst>
        </c:ser>
        <c:dLbls>
          <c:showLegendKey val="0"/>
          <c:showVal val="0"/>
          <c:showCatName val="0"/>
          <c:showSerName val="0"/>
          <c:showPercent val="0"/>
          <c:showBubbleSize val="0"/>
        </c:dLbls>
        <c:gapWidth val="79"/>
        <c:axId val="1762746463"/>
        <c:axId val="1763000959"/>
      </c:barChart>
      <c:catAx>
        <c:axId val="121403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14034032"/>
        <c:crosses val="autoZero"/>
        <c:auto val="1"/>
        <c:lblAlgn val="ctr"/>
        <c:lblOffset val="100"/>
        <c:noMultiLvlLbl val="0"/>
      </c:catAx>
      <c:valAx>
        <c:axId val="12140340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214032784"/>
        <c:crosses val="autoZero"/>
        <c:crossBetween val="between"/>
        <c:majorUnit val="50"/>
      </c:valAx>
      <c:valAx>
        <c:axId val="1763000959"/>
        <c:scaling>
          <c:orientation val="minMax"/>
          <c:max val="200"/>
        </c:scaling>
        <c:delete val="1"/>
        <c:axPos val="r"/>
        <c:numFmt formatCode="_(&quot;$&quot;* #,##0_);_(&quot;$&quot;* \(#,##0\);_(&quot;$&quot;* &quot;-&quot;_);_(@_)" sourceLinked="1"/>
        <c:majorTickMark val="out"/>
        <c:minorTickMark val="none"/>
        <c:tickLblPos val="nextTo"/>
        <c:crossAx val="1762746463"/>
        <c:crosses val="max"/>
        <c:crossBetween val="between"/>
        <c:majorUnit val="50"/>
      </c:valAx>
      <c:catAx>
        <c:axId val="1762746463"/>
        <c:scaling>
          <c:orientation val="minMax"/>
        </c:scaling>
        <c:delete val="1"/>
        <c:axPos val="b"/>
        <c:numFmt formatCode="General" sourceLinked="1"/>
        <c:majorTickMark val="out"/>
        <c:minorTickMark val="none"/>
        <c:tickLblPos val="nextTo"/>
        <c:crossAx val="1763000959"/>
        <c:crosses val="autoZero"/>
        <c:auto val="1"/>
        <c:lblAlgn val="ctr"/>
        <c:lblOffset val="100"/>
        <c:noMultiLvlLbl val="0"/>
      </c:catAx>
      <c:spPr>
        <a:noFill/>
        <a:ln>
          <a:noFill/>
        </a:ln>
        <a:effectLst/>
      </c:spPr>
    </c:plotArea>
    <c:legend>
      <c:legendPos val="b"/>
      <c:overlay val="0"/>
      <c:txPr>
        <a:bodyPr/>
        <a:lstStyle/>
        <a:p>
          <a:pPr>
            <a:defRPr sz="900"/>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solidFill>
                  <a:schemeClr val="tx1">
                    <a:lumMod val="95000"/>
                    <a:lumOff val="5000"/>
                  </a:schemeClr>
                </a:solidFill>
                <a:latin typeface="+mn-lt"/>
              </a:defRPr>
            </a:pPr>
            <a:r>
              <a:rPr lang="en-US" sz="1400" b="1">
                <a:solidFill>
                  <a:schemeClr val="tx1">
                    <a:lumMod val="95000"/>
                    <a:lumOff val="5000"/>
                  </a:schemeClr>
                </a:solidFill>
                <a:latin typeface="+mn-lt"/>
                <a:cs typeface="Arial" panose="020B0604020202020204" pitchFamily="34" charset="0"/>
              </a:rPr>
              <a:t>2022 - $801 million</a:t>
            </a:r>
          </a:p>
        </c:rich>
      </c:tx>
      <c:layout>
        <c:manualLayout>
          <c:xMode val="edge"/>
          <c:yMode val="edge"/>
          <c:x val="0.36336108910410836"/>
          <c:y val="4.3483715478961349E-2"/>
        </c:manualLayout>
      </c:layout>
      <c:overlay val="0"/>
    </c:title>
    <c:autoTitleDeleted val="0"/>
    <c:plotArea>
      <c:layout>
        <c:manualLayout>
          <c:layoutTarget val="inner"/>
          <c:xMode val="edge"/>
          <c:yMode val="edge"/>
          <c:x val="2.5462962962962962E-2"/>
          <c:y val="0.12258578790482798"/>
          <c:w val="0.84303580179138482"/>
          <c:h val="0.74429415840026902"/>
        </c:manualLayout>
      </c:layout>
      <c:ofPieChart>
        <c:ofPieType val="pie"/>
        <c:varyColors val="1"/>
        <c:ser>
          <c:idx val="1"/>
          <c:order val="0"/>
          <c:spPr>
            <a:scene3d>
              <a:camera prst="orthographicFront"/>
              <a:lightRig rig="threePt" dir="t"/>
            </a:scene3d>
            <a:sp3d>
              <a:bevelT h="50800"/>
            </a:sp3d>
          </c:spPr>
          <c:dPt>
            <c:idx val="0"/>
            <c:bubble3D val="0"/>
            <c:spPr>
              <a:solidFill>
                <a:srgbClr val="791134"/>
              </a:solidFill>
              <a:scene3d>
                <a:camera prst="orthographicFront"/>
                <a:lightRig rig="threePt" dir="t"/>
              </a:scene3d>
              <a:sp3d>
                <a:bevelT h="50800"/>
              </a:sp3d>
            </c:spPr>
            <c:extLst>
              <c:ext xmlns:c16="http://schemas.microsoft.com/office/drawing/2014/chart" uri="{C3380CC4-5D6E-409C-BE32-E72D297353CC}">
                <c16:uniqueId val="{00000001-2AA8-4C30-B082-05AD692FA8A1}"/>
              </c:ext>
            </c:extLst>
          </c:dPt>
          <c:dPt>
            <c:idx val="1"/>
            <c:bubble3D val="0"/>
            <c:spPr>
              <a:solidFill>
                <a:srgbClr val="E5D8AB"/>
              </a:solidFill>
              <a:scene3d>
                <a:camera prst="orthographicFront"/>
                <a:lightRig rig="threePt" dir="t"/>
              </a:scene3d>
              <a:sp3d>
                <a:bevelT h="50800"/>
              </a:sp3d>
            </c:spPr>
            <c:extLst>
              <c:ext xmlns:c16="http://schemas.microsoft.com/office/drawing/2014/chart" uri="{C3380CC4-5D6E-409C-BE32-E72D297353CC}">
                <c16:uniqueId val="{00000003-2AA8-4C30-B082-05AD692FA8A1}"/>
              </c:ext>
            </c:extLst>
          </c:dPt>
          <c:dPt>
            <c:idx val="2"/>
            <c:bubble3D val="0"/>
            <c:spPr>
              <a:solidFill>
                <a:srgbClr val="F6A800"/>
              </a:solidFill>
              <a:scene3d>
                <a:camera prst="orthographicFront"/>
                <a:lightRig rig="threePt" dir="t"/>
              </a:scene3d>
              <a:sp3d>
                <a:bevelT h="50800"/>
              </a:sp3d>
            </c:spPr>
            <c:extLst>
              <c:ext xmlns:c16="http://schemas.microsoft.com/office/drawing/2014/chart" uri="{C3380CC4-5D6E-409C-BE32-E72D297353CC}">
                <c16:uniqueId val="{00000005-2AA8-4C30-B082-05AD692FA8A1}"/>
              </c:ext>
            </c:extLst>
          </c:dPt>
          <c:dPt>
            <c:idx val="3"/>
            <c:bubble3D val="0"/>
            <c:spPr>
              <a:solidFill>
                <a:srgbClr val="1E304F"/>
              </a:solidFill>
              <a:scene3d>
                <a:camera prst="orthographicFront"/>
                <a:lightRig rig="threePt" dir="t"/>
              </a:scene3d>
              <a:sp3d>
                <a:bevelT h="50800"/>
              </a:sp3d>
            </c:spPr>
            <c:extLst>
              <c:ext xmlns:c16="http://schemas.microsoft.com/office/drawing/2014/chart" uri="{C3380CC4-5D6E-409C-BE32-E72D297353CC}">
                <c16:uniqueId val="{00000007-2AA8-4C30-B082-05AD692FA8A1}"/>
              </c:ext>
            </c:extLst>
          </c:dPt>
          <c:dPt>
            <c:idx val="4"/>
            <c:bubble3D val="0"/>
            <c:spPr>
              <a:solidFill>
                <a:srgbClr val="00688D"/>
              </a:solidFill>
              <a:scene3d>
                <a:camera prst="orthographicFront"/>
                <a:lightRig rig="threePt" dir="t"/>
              </a:scene3d>
              <a:sp3d>
                <a:bevelT h="50800"/>
              </a:sp3d>
            </c:spPr>
            <c:extLst>
              <c:ext xmlns:c16="http://schemas.microsoft.com/office/drawing/2014/chart" uri="{C3380CC4-5D6E-409C-BE32-E72D297353CC}">
                <c16:uniqueId val="{00000009-2AA8-4C30-B082-05AD692FA8A1}"/>
              </c:ext>
            </c:extLst>
          </c:dPt>
          <c:dPt>
            <c:idx val="5"/>
            <c:bubble3D val="0"/>
            <c:spPr>
              <a:solidFill>
                <a:srgbClr val="8CB8DC"/>
              </a:solidFill>
              <a:scene3d>
                <a:camera prst="orthographicFront"/>
                <a:lightRig rig="threePt" dir="t"/>
              </a:scene3d>
              <a:sp3d>
                <a:bevelT h="50800"/>
              </a:sp3d>
            </c:spPr>
            <c:extLst>
              <c:ext xmlns:c16="http://schemas.microsoft.com/office/drawing/2014/chart" uri="{C3380CC4-5D6E-409C-BE32-E72D297353CC}">
                <c16:uniqueId val="{0000000B-2AA8-4C30-B082-05AD692FA8A1}"/>
              </c:ext>
            </c:extLst>
          </c:dPt>
          <c:dPt>
            <c:idx val="6"/>
            <c:bubble3D val="0"/>
            <c:spPr>
              <a:solidFill>
                <a:srgbClr val="919494"/>
              </a:solidFill>
              <a:scene3d>
                <a:camera prst="orthographicFront"/>
                <a:lightRig rig="threePt" dir="t"/>
              </a:scene3d>
              <a:sp3d>
                <a:bevelT h="50800"/>
              </a:sp3d>
            </c:spPr>
            <c:extLst>
              <c:ext xmlns:c16="http://schemas.microsoft.com/office/drawing/2014/chart" uri="{C3380CC4-5D6E-409C-BE32-E72D297353CC}">
                <c16:uniqueId val="{0000000D-2AA8-4C30-B082-05AD692FA8A1}"/>
              </c:ext>
            </c:extLst>
          </c:dPt>
          <c:dLbls>
            <c:dLbl>
              <c:idx val="0"/>
              <c:spPr>
                <a:noFill/>
                <a:ln>
                  <a:noFill/>
                </a:ln>
                <a:effectLst/>
              </c:spPr>
              <c:txPr>
                <a:bodyPr wrap="square" lIns="0" tIns="0" rIns="0" bIns="0" anchor="ctr">
                  <a:spAutoFit/>
                </a:bodyPr>
                <a:lstStyle/>
                <a:p>
                  <a:pPr>
                    <a:defRPr sz="900" b="1">
                      <a:solidFill>
                        <a:schemeClr val="bg1"/>
                      </a:solidFill>
                    </a:defRPr>
                  </a:pPr>
                  <a:endParaRPr lang="en-US"/>
                </a:p>
              </c:tx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AA8-4C30-B082-05AD692FA8A1}"/>
                </c:ext>
              </c:extLst>
            </c:dLbl>
            <c:dLbl>
              <c:idx val="1"/>
              <c:layout>
                <c:manualLayout>
                  <c:x val="3.0440361621463984E-2"/>
                  <c:y val="4.44984825212787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A8-4C30-B082-05AD692FA8A1}"/>
                </c:ext>
              </c:extLst>
            </c:dLbl>
            <c:dLbl>
              <c:idx val="2"/>
              <c:layout>
                <c:manualLayout>
                  <c:x val="4.7579927219658334E-2"/>
                  <c:y val="-1.1405968786242431E-2"/>
                </c:manualLayout>
              </c:layout>
              <c:spPr>
                <a:noFill/>
                <a:ln>
                  <a:noFill/>
                </a:ln>
                <a:effectLst/>
              </c:spPr>
              <c:txPr>
                <a:bodyPr wrap="square" lIns="0" tIns="0" rIns="0" bIns="0" anchor="ctr">
                  <a:spAutoFit/>
                </a:bodyPr>
                <a:lstStyle/>
                <a:p>
                  <a:pPr>
                    <a:defRPr sz="900" b="1">
                      <a:solidFill>
                        <a:schemeClr val="tx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949764146614541"/>
                      <c:h val="0.13673014785353718"/>
                    </c:manualLayout>
                  </c15:layout>
                </c:ext>
                <c:ext xmlns:c16="http://schemas.microsoft.com/office/drawing/2014/chart" uri="{C3380CC4-5D6E-409C-BE32-E72D297353CC}">
                  <c16:uniqueId val="{00000005-2AA8-4C30-B082-05AD692FA8A1}"/>
                </c:ext>
              </c:extLst>
            </c:dLbl>
            <c:dLbl>
              <c:idx val="3"/>
              <c:layout>
                <c:manualLayout>
                  <c:x val="9.9193037608967624E-2"/>
                  <c:y val="-0.16076535585283813"/>
                </c:manualLayout>
              </c:layout>
              <c:spPr>
                <a:noFill/>
                <a:ln>
                  <a:noFill/>
                </a:ln>
                <a:effectLst/>
              </c:spPr>
              <c:txPr>
                <a:bodyPr wrap="square" lIns="0" tIns="0" rIns="0" bIns="0" anchor="ctr">
                  <a:noAutofit/>
                </a:bodyPr>
                <a:lstStyle/>
                <a:p>
                  <a:pPr>
                    <a:defRPr sz="900" b="1">
                      <a:solidFill>
                        <a:schemeClr val="bg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3005030155024702"/>
                      <c:h val="0.17029386778153957"/>
                    </c:manualLayout>
                  </c15:layout>
                </c:ext>
                <c:ext xmlns:c16="http://schemas.microsoft.com/office/drawing/2014/chart" uri="{C3380CC4-5D6E-409C-BE32-E72D297353CC}">
                  <c16:uniqueId val="{00000007-2AA8-4C30-B082-05AD692FA8A1}"/>
                </c:ext>
              </c:extLst>
            </c:dLbl>
            <c:dLbl>
              <c:idx val="4"/>
              <c:spPr>
                <a:noFill/>
                <a:ln>
                  <a:noFill/>
                </a:ln>
                <a:effectLst/>
              </c:spPr>
              <c:txPr>
                <a:bodyPr wrap="square" lIns="0" tIns="0" rIns="0" bIns="0" anchor="ctr">
                  <a:spAutoFit/>
                </a:bodyPr>
                <a:lstStyle/>
                <a:p>
                  <a:pPr>
                    <a:defRPr sz="900" b="1">
                      <a:solidFill>
                        <a:schemeClr val="bg1"/>
                      </a:solidFill>
                    </a:defRPr>
                  </a:pPr>
                  <a:endParaRPr lang="en-US"/>
                </a:p>
              </c:tx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2AA8-4C30-B082-05AD692FA8A1}"/>
                </c:ext>
              </c:extLst>
            </c:dLbl>
            <c:dLbl>
              <c:idx val="5"/>
              <c:layout>
                <c:manualLayout>
                  <c:x val="0.12625336984088006"/>
                  <c:y val="0.13094373806435947"/>
                </c:manualLayout>
              </c:layout>
              <c:spPr>
                <a:noFill/>
                <a:ln>
                  <a:noFill/>
                </a:ln>
                <a:effectLst/>
              </c:spPr>
              <c:txPr>
                <a:bodyPr wrap="square" lIns="0" tIns="0" rIns="0" bIns="0" anchor="ctr">
                  <a:noAutofit/>
                </a:bodyPr>
                <a:lstStyle/>
                <a:p>
                  <a:pPr>
                    <a:defRPr sz="900" b="1">
                      <a:solidFill>
                        <a:schemeClr val="tx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895833333333334"/>
                      <c:h val="0.21569095378651407"/>
                    </c:manualLayout>
                  </c15:layout>
                </c:ext>
                <c:ext xmlns:c16="http://schemas.microsoft.com/office/drawing/2014/chart" uri="{C3380CC4-5D6E-409C-BE32-E72D297353CC}">
                  <c16:uniqueId val="{0000000B-2AA8-4C30-B082-05AD692FA8A1}"/>
                </c:ext>
              </c:extLst>
            </c:dLbl>
            <c:dLbl>
              <c:idx val="6"/>
              <c:layout>
                <c:manualLayout>
                  <c:x val="-9.4365782722184571E-2"/>
                  <c:y val="0.17656013004916021"/>
                </c:manualLayout>
              </c:layout>
              <c:spPr>
                <a:noFill/>
                <a:ln>
                  <a:noFill/>
                </a:ln>
                <a:effectLst/>
              </c:spPr>
              <c:txPr>
                <a:bodyPr wrap="square" lIns="0" tIns="0" rIns="0" bIns="0" anchor="ctr">
                  <a:noAutofit/>
                </a:bodyPr>
                <a:lstStyle/>
                <a:p>
                  <a:pPr>
                    <a:defRPr sz="900" b="1">
                      <a:solidFill>
                        <a:schemeClr val="tx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1484848484848485"/>
                      <c:h val="0.1942830303720175"/>
                    </c:manualLayout>
                  </c15:layout>
                </c:ext>
                <c:ext xmlns:c16="http://schemas.microsoft.com/office/drawing/2014/chart" uri="{C3380CC4-5D6E-409C-BE32-E72D297353CC}">
                  <c16:uniqueId val="{0000000D-2AA8-4C30-B082-05AD692FA8A1}"/>
                </c:ext>
              </c:extLst>
            </c:dLbl>
            <c:dLbl>
              <c:idx val="7"/>
              <c:layout>
                <c:manualLayout>
                  <c:x val="-7.6855407746286714E-4"/>
                  <c:y val="-1.6264716654902232E-2"/>
                </c:manualLayout>
              </c:layout>
              <c:spPr>
                <a:noFill/>
                <a:ln>
                  <a:noFill/>
                </a:ln>
                <a:effectLst/>
              </c:spPr>
              <c:txPr>
                <a:bodyPr wrap="square" lIns="0" tIns="0" rIns="0" bIns="0" anchor="ctr">
                  <a:noAutofit/>
                </a:bodyPr>
                <a:lstStyle/>
                <a:p>
                  <a:pPr>
                    <a:defRPr sz="900" b="1">
                      <a:solidFill>
                        <a:schemeClr val="tx1"/>
                      </a:solidFill>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6179248572949359"/>
                      <c:h val="0.16559167899812577"/>
                    </c:manualLayout>
                  </c15:layout>
                </c:ext>
                <c:ext xmlns:c16="http://schemas.microsoft.com/office/drawing/2014/chart" uri="{C3380CC4-5D6E-409C-BE32-E72D297353CC}">
                  <c16:uniqueId val="{0000000E-2AA8-4C30-B082-05AD692FA8A1}"/>
                </c:ext>
              </c:extLst>
            </c:dLbl>
            <c:spPr>
              <a:noFill/>
              <a:ln>
                <a:noFill/>
              </a:ln>
              <a:effectLst/>
            </c:spPr>
            <c:txPr>
              <a:bodyPr wrap="square" lIns="0" tIns="0" rIns="0" bIns="0" anchor="ctr">
                <a:spAutoFit/>
              </a:bodyPr>
              <a:lstStyle/>
              <a:p>
                <a:pPr>
                  <a:defRPr sz="900" b="1">
                    <a:solidFill>
                      <a:schemeClr val="tx1"/>
                    </a:solidFill>
                  </a:defRPr>
                </a:pPr>
                <a:endParaRPr lang="en-US"/>
              </a:p>
            </c:txPr>
            <c:dLblPos val="ct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'2022'!$A$2:$A$9</c:f>
              <c:strCache>
                <c:ptCount val="8"/>
                <c:pt idx="0">
                  <c:v>Net Student Fees </c:v>
                </c:pt>
                <c:pt idx="1">
                  <c:v>Grants &amp; Contracts </c:v>
                </c:pt>
                <c:pt idx="2">
                  <c:v>Indirect Cost Recovery </c:v>
                </c:pt>
                <c:pt idx="3">
                  <c:v>Educ. Sales &amp; Services/Aux. Enterprises</c:v>
                </c:pt>
                <c:pt idx="4">
                  <c:v>Noncapital State Appropriation </c:v>
                </c:pt>
                <c:pt idx="5">
                  <c:v>Federal Pell Grants</c:v>
                </c:pt>
                <c:pt idx="6">
                  <c:v>Coronavirus Relief Funding</c:v>
                </c:pt>
                <c:pt idx="7">
                  <c:v>Other Nonoperating Revenues Net </c:v>
                </c:pt>
              </c:strCache>
            </c:strRef>
          </c:cat>
          <c:val>
            <c:numRef>
              <c:f>'2022'!$C$2:$C$9</c:f>
              <c:numCache>
                <c:formatCode>0%</c:formatCode>
                <c:ptCount val="8"/>
                <c:pt idx="0">
                  <c:v>0.33</c:v>
                </c:pt>
                <c:pt idx="1">
                  <c:v>0.17</c:v>
                </c:pt>
                <c:pt idx="2">
                  <c:v>0.03</c:v>
                </c:pt>
                <c:pt idx="3">
                  <c:v>0.05</c:v>
                </c:pt>
                <c:pt idx="4">
                  <c:v>0.28999999999999998</c:v>
                </c:pt>
                <c:pt idx="5">
                  <c:v>0.04</c:v>
                </c:pt>
                <c:pt idx="6">
                  <c:v>0.08</c:v>
                </c:pt>
                <c:pt idx="7">
                  <c:v>0.01</c:v>
                </c:pt>
              </c:numCache>
            </c:numRef>
          </c:val>
          <c:extLst>
            <c:ext xmlns:c16="http://schemas.microsoft.com/office/drawing/2014/chart" uri="{C3380CC4-5D6E-409C-BE32-E72D297353CC}">
              <c16:uniqueId val="{0000000F-2AA8-4C30-B082-05AD692FA8A1}"/>
            </c:ext>
          </c:extLst>
        </c:ser>
        <c:dLbls>
          <c:showLegendKey val="0"/>
          <c:showVal val="0"/>
          <c:showCatName val="1"/>
          <c:showSerName val="0"/>
          <c:showPercent val="1"/>
          <c:showBubbleSize val="0"/>
          <c:showLeaderLines val="1"/>
        </c:dLbls>
        <c:gapWidth val="100"/>
        <c:splitType val="percent"/>
        <c:splitPos val="10"/>
        <c:secondPieSize val="75"/>
        <c:serLines/>
      </c:ofPieChart>
    </c:plotArea>
    <c:plotVisOnly val="1"/>
    <c:dispBlanksAs val="gap"/>
    <c:showDLblsOverMax val="0"/>
  </c:chart>
  <c:spPr>
    <a:noFill/>
    <a:ln w="12700">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400" b="1">
                <a:solidFill>
                  <a:schemeClr val="tx1">
                    <a:lumMod val="95000"/>
                    <a:lumOff val="5000"/>
                  </a:schemeClr>
                </a:solidFill>
              </a:rPr>
              <a:t>Chart 8: Total Financial Aid</a:t>
            </a:r>
          </a:p>
          <a:p>
            <a:pPr>
              <a:defRPr sz="1400" b="1" i="0" u="none" strike="noStrike" kern="1200" spc="0" baseline="0">
                <a:solidFill>
                  <a:schemeClr val="tx1">
                    <a:lumMod val="95000"/>
                    <a:lumOff val="5000"/>
                  </a:schemeClr>
                </a:solidFill>
                <a:latin typeface="+mn-lt"/>
                <a:ea typeface="+mn-ea"/>
                <a:cs typeface="+mn-cs"/>
              </a:defRPr>
            </a:pPr>
            <a:r>
              <a:rPr lang="en-US" sz="1100" b="1">
                <a:solidFill>
                  <a:schemeClr val="tx1">
                    <a:lumMod val="95000"/>
                    <a:lumOff val="5000"/>
                  </a:schemeClr>
                </a:solidFill>
              </a:rPr>
              <a:t>(In</a:t>
            </a:r>
            <a:r>
              <a:rPr lang="en-US" sz="1100" b="1" baseline="0">
                <a:solidFill>
                  <a:schemeClr val="tx1">
                    <a:lumMod val="95000"/>
                    <a:lumOff val="5000"/>
                  </a:schemeClr>
                </a:solidFill>
              </a:rPr>
              <a:t> millions)</a:t>
            </a:r>
            <a:endParaRPr lang="en-US" sz="1100" b="1">
              <a:solidFill>
                <a:schemeClr val="tx1">
                  <a:lumMod val="95000"/>
                  <a:lumOff val="5000"/>
                </a:schemeClr>
              </a:solidFill>
            </a:endParaRPr>
          </a:p>
        </c:rich>
      </c:tx>
      <c:overlay val="0"/>
      <c:spPr>
        <a:noFill/>
        <a:ln>
          <a:noFill/>
        </a:ln>
        <a:effectLst/>
      </c:spPr>
    </c:title>
    <c:autoTitleDeleted val="0"/>
    <c:plotArea>
      <c:layout/>
      <c:lineChart>
        <c:grouping val="standard"/>
        <c:varyColors val="0"/>
        <c:ser>
          <c:idx val="0"/>
          <c:order val="0"/>
          <c:tx>
            <c:strRef>
              <c:f>'Student Financial Aid'!$B$1</c:f>
              <c:strCache>
                <c:ptCount val="1"/>
                <c:pt idx="0">
                  <c:v>Total Financial Aid</c:v>
                </c:pt>
              </c:strCache>
            </c:strRef>
          </c:tx>
          <c:spPr>
            <a:ln w="28575" cap="rnd">
              <a:solidFill>
                <a:srgbClr val="00688D"/>
              </a:solidFill>
              <a:round/>
            </a:ln>
            <a:effectLst/>
          </c:spPr>
          <c:marker>
            <c:symbol val="circle"/>
            <c:size val="5"/>
            <c:spPr>
              <a:solidFill>
                <a:schemeClr val="accent1"/>
              </a:solidFill>
              <a:ln w="9525">
                <a:solidFill>
                  <a:srgbClr val="00688D"/>
                </a:solidFill>
              </a:ln>
              <a:effectLst/>
              <a:scene3d>
                <a:camera prst="orthographicFront"/>
                <a:lightRig rig="threePt" dir="t"/>
              </a:scene3d>
              <a:sp3d>
                <a:bevelT h="50800"/>
              </a:sp3d>
            </c:spPr>
          </c:marker>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'Student Financial Aid'!$A$7:$A$11</c:f>
              <c:numCache>
                <c:formatCode>General</c:formatCode>
                <c:ptCount val="5"/>
                <c:pt idx="0">
                  <c:v>2018</c:v>
                </c:pt>
                <c:pt idx="1">
                  <c:v>2019</c:v>
                </c:pt>
                <c:pt idx="2">
                  <c:v>2020</c:v>
                </c:pt>
                <c:pt idx="3">
                  <c:v>2021</c:v>
                </c:pt>
                <c:pt idx="4">
                  <c:v>2022</c:v>
                </c:pt>
              </c:numCache>
            </c:numRef>
          </c:cat>
          <c:val>
            <c:numRef>
              <c:f>'Student Financial Aid'!$B$7:$B$11</c:f>
              <c:numCache>
                <c:formatCode>_("$"* #,##0_);_("$"* \(#,##0\);_("$"* "-"??_);_(@_)</c:formatCode>
                <c:ptCount val="5"/>
                <c:pt idx="0">
                  <c:v>141</c:v>
                </c:pt>
                <c:pt idx="1">
                  <c:v>150</c:v>
                </c:pt>
                <c:pt idx="2">
                  <c:v>163</c:v>
                </c:pt>
                <c:pt idx="3">
                  <c:v>162</c:v>
                </c:pt>
                <c:pt idx="4">
                  <c:v>188</c:v>
                </c:pt>
              </c:numCache>
            </c:numRef>
          </c:val>
          <c:smooth val="0"/>
          <c:extLst>
            <c:ext xmlns:c16="http://schemas.microsoft.com/office/drawing/2014/chart" uri="{C3380CC4-5D6E-409C-BE32-E72D297353CC}">
              <c16:uniqueId val="{00000000-42E2-48FD-A826-B71BA854DE72}"/>
            </c:ext>
          </c:extLst>
        </c:ser>
        <c:dLbls>
          <c:dLblPos val="t"/>
          <c:showLegendKey val="0"/>
          <c:showVal val="1"/>
          <c:showCatName val="0"/>
          <c:showSerName val="0"/>
          <c:showPercent val="0"/>
          <c:showBubbleSize val="0"/>
        </c:dLbls>
        <c:marker val="1"/>
        <c:smooth val="0"/>
        <c:axId val="184141888"/>
        <c:axId val="184142448"/>
      </c:lineChart>
      <c:catAx>
        <c:axId val="18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84142448"/>
        <c:crosses val="autoZero"/>
        <c:auto val="1"/>
        <c:lblAlgn val="ctr"/>
        <c:lblOffset val="100"/>
        <c:noMultiLvlLbl val="0"/>
      </c:catAx>
      <c:valAx>
        <c:axId val="184142448"/>
        <c:scaling>
          <c:orientation val="minMax"/>
          <c:max val="190"/>
          <c:min val="135"/>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184141888"/>
        <c:crosses val="autoZero"/>
        <c:crossBetween val="between"/>
        <c:majorUnit val="5"/>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200" b="1">
                <a:solidFill>
                  <a:schemeClr val="tx1">
                    <a:lumMod val="95000"/>
                    <a:lumOff val="5000"/>
                  </a:schemeClr>
                </a:solidFill>
              </a:rPr>
              <a:t>Chart 9: Grants, Contracts and Indirect Cost Recovery</a:t>
            </a:r>
            <a:r>
              <a:rPr lang="en-US" b="1">
                <a:solidFill>
                  <a:schemeClr val="tx1">
                    <a:lumMod val="95000"/>
                    <a:lumOff val="5000"/>
                  </a:schemeClr>
                </a:solidFill>
              </a:rPr>
              <a:t>
</a:t>
            </a:r>
            <a:r>
              <a:rPr lang="en-US" sz="1050" b="1">
                <a:solidFill>
                  <a:schemeClr val="tx1">
                    <a:lumMod val="95000"/>
                    <a:lumOff val="5000"/>
                  </a:schemeClr>
                </a:solidFill>
              </a:rPr>
              <a:t>(In millions)</a:t>
            </a:r>
          </a:p>
          <a:p>
            <a:pPr>
              <a:defRPr sz="1400" b="1" i="0" u="none" strike="noStrike" kern="1200" spc="0" baseline="0">
                <a:solidFill>
                  <a:schemeClr val="tx1">
                    <a:lumMod val="95000"/>
                    <a:lumOff val="5000"/>
                  </a:schemeClr>
                </a:solidFill>
                <a:latin typeface="+mn-lt"/>
                <a:ea typeface="+mn-ea"/>
                <a:cs typeface="+mn-cs"/>
              </a:defRPr>
            </a:pPr>
            <a:endParaRPr lang="en-US" sz="1050" b="1">
              <a:solidFill>
                <a:schemeClr val="tx1">
                  <a:lumMod val="95000"/>
                  <a:lumOff val="5000"/>
                </a:schemeClr>
              </a:solidFill>
            </a:endParaRPr>
          </a:p>
        </c:rich>
      </c:tx>
      <c:layout>
        <c:manualLayout>
          <c:xMode val="edge"/>
          <c:yMode val="edge"/>
          <c:x val="0.12342344706911636"/>
          <c:y val="1.290864683581219E-2"/>
        </c:manualLayout>
      </c:layout>
      <c:overlay val="0"/>
      <c:spPr>
        <a:noFill/>
        <a:ln>
          <a:noFill/>
        </a:ln>
        <a:effectLst/>
      </c:spPr>
    </c:title>
    <c:autoTitleDeleted val="0"/>
    <c:plotArea>
      <c:layout/>
      <c:lineChart>
        <c:grouping val="standard"/>
        <c:varyColors val="0"/>
        <c:ser>
          <c:idx val="0"/>
          <c:order val="0"/>
          <c:tx>
            <c:strRef>
              <c:f>'Grants&amp;Contracts'!$B$1</c:f>
              <c:strCache>
                <c:ptCount val="1"/>
                <c:pt idx="0">
                  <c:v>Federal, State, and Private Grants &amp; Contracts</c:v>
                </c:pt>
              </c:strCache>
            </c:strRef>
          </c:tx>
          <c:spPr>
            <a:ln w="28575" cap="rnd">
              <a:solidFill>
                <a:srgbClr val="00688D"/>
              </a:solidFill>
              <a:round/>
            </a:ln>
            <a:effectLst/>
          </c:spPr>
          <c:marker>
            <c:symbol val="circle"/>
            <c:size val="5"/>
            <c:spPr>
              <a:solidFill>
                <a:srgbClr val="00688D"/>
              </a:solidFill>
              <a:ln w="9525">
                <a:solidFill>
                  <a:srgbClr val="00688D"/>
                </a:solidFill>
              </a:ln>
              <a:effectLst/>
              <a:scene3d>
                <a:camera prst="orthographicFront"/>
                <a:lightRig rig="threePt" dir="t"/>
              </a:scene3d>
              <a:sp3d>
                <a:bevelT/>
              </a:sp3d>
            </c:spPr>
          </c:marker>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'Grants&amp;Contracts'!$A$5:$A$9</c:f>
              <c:strCache>
                <c:ptCount val="5"/>
                <c:pt idx="0">
                  <c:v>FY18</c:v>
                </c:pt>
                <c:pt idx="1">
                  <c:v>FY19</c:v>
                </c:pt>
                <c:pt idx="2">
                  <c:v>FY20</c:v>
                </c:pt>
                <c:pt idx="3">
                  <c:v>FY21</c:v>
                </c:pt>
                <c:pt idx="4">
                  <c:v>FY22</c:v>
                </c:pt>
              </c:strCache>
            </c:strRef>
          </c:cat>
          <c:val>
            <c:numRef>
              <c:f>'Grants&amp;Contracts'!$B$5:$B$9</c:f>
              <c:numCache>
                <c:formatCode>_("$"* #,##0_);_("$"* \(#,##0\);_("$"* "-"??_);_(@_)</c:formatCode>
                <c:ptCount val="5"/>
                <c:pt idx="0">
                  <c:v>98</c:v>
                </c:pt>
                <c:pt idx="1">
                  <c:v>99</c:v>
                </c:pt>
                <c:pt idx="2">
                  <c:v>106</c:v>
                </c:pt>
                <c:pt idx="3">
                  <c:v>119</c:v>
                </c:pt>
                <c:pt idx="4">
                  <c:v>140</c:v>
                </c:pt>
              </c:numCache>
            </c:numRef>
          </c:val>
          <c:smooth val="0"/>
          <c:extLst>
            <c:ext xmlns:c16="http://schemas.microsoft.com/office/drawing/2014/chart" uri="{C3380CC4-5D6E-409C-BE32-E72D297353CC}">
              <c16:uniqueId val="{00000000-0B7C-4197-8D2A-B9D950E70E6D}"/>
            </c:ext>
          </c:extLst>
        </c:ser>
        <c:ser>
          <c:idx val="1"/>
          <c:order val="1"/>
          <c:tx>
            <c:strRef>
              <c:f>'Grants&amp;Contracts'!$C$1</c:f>
              <c:strCache>
                <c:ptCount val="1"/>
                <c:pt idx="0">
                  <c:v>Indirect Cost Recovery</c:v>
                </c:pt>
              </c:strCache>
            </c:strRef>
          </c:tx>
          <c:spPr>
            <a:ln w="28575" cap="rnd">
              <a:solidFill>
                <a:schemeClr val="accent4"/>
              </a:solidFill>
              <a:round/>
            </a:ln>
            <a:effectLst/>
          </c:spPr>
          <c:marker>
            <c:symbol val="diamond"/>
            <c:size val="5"/>
            <c:spPr>
              <a:solidFill>
                <a:srgbClr val="5C8C7C"/>
              </a:solidFill>
              <a:ln w="9525">
                <a:solidFill>
                  <a:schemeClr val="accent4"/>
                </a:solidFill>
              </a:ln>
              <a:effectLst/>
              <a:scene3d>
                <a:camera prst="orthographicFront"/>
                <a:lightRig rig="threePt" dir="t"/>
              </a:scene3d>
              <a:sp3d>
                <a:bevelT/>
              </a:sp3d>
            </c:spPr>
          </c:marker>
          <c:dLbls>
            <c:spPr>
              <a:noFill/>
              <a:ln>
                <a:noFill/>
              </a:ln>
              <a:effectLst/>
            </c:spPr>
            <c:txPr>
              <a:bodyPr rot="0" spcFirstLastPara="1" vertOverflow="ellipsis" vert="horz" wrap="square" lIns="0" tIns="0" rIns="0" bIns="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'Grants&amp;Contracts'!$A$5:$A$9</c:f>
              <c:strCache>
                <c:ptCount val="5"/>
                <c:pt idx="0">
                  <c:v>FY18</c:v>
                </c:pt>
                <c:pt idx="1">
                  <c:v>FY19</c:v>
                </c:pt>
                <c:pt idx="2">
                  <c:v>FY20</c:v>
                </c:pt>
                <c:pt idx="3">
                  <c:v>FY21</c:v>
                </c:pt>
                <c:pt idx="4">
                  <c:v>FY22</c:v>
                </c:pt>
              </c:strCache>
            </c:strRef>
          </c:cat>
          <c:val>
            <c:numRef>
              <c:f>'Grants&amp;Contracts'!$C$5:$C$9</c:f>
              <c:numCache>
                <c:formatCode>_("$"* #,##0_);_("$"* \(#,##0\);_("$"* "-"??_);_(@_)</c:formatCode>
                <c:ptCount val="5"/>
                <c:pt idx="0">
                  <c:v>12</c:v>
                </c:pt>
                <c:pt idx="1">
                  <c:v>14</c:v>
                </c:pt>
                <c:pt idx="2">
                  <c:v>15</c:v>
                </c:pt>
                <c:pt idx="3">
                  <c:v>17</c:v>
                </c:pt>
                <c:pt idx="4">
                  <c:v>23</c:v>
                </c:pt>
              </c:numCache>
            </c:numRef>
          </c:val>
          <c:smooth val="0"/>
          <c:extLst>
            <c:ext xmlns:c16="http://schemas.microsoft.com/office/drawing/2014/chart" uri="{C3380CC4-5D6E-409C-BE32-E72D297353CC}">
              <c16:uniqueId val="{00000001-0B7C-4197-8D2A-B9D950E70E6D}"/>
            </c:ext>
          </c:extLst>
        </c:ser>
        <c:dLbls>
          <c:dLblPos val="t"/>
          <c:showLegendKey val="0"/>
          <c:showVal val="1"/>
          <c:showCatName val="0"/>
          <c:showSerName val="0"/>
          <c:showPercent val="0"/>
          <c:showBubbleSize val="0"/>
        </c:dLbls>
        <c:marker val="1"/>
        <c:smooth val="0"/>
        <c:axId val="999911920"/>
        <c:axId val="999912752"/>
      </c:lineChart>
      <c:catAx>
        <c:axId val="99991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999912752"/>
        <c:crosses val="autoZero"/>
        <c:auto val="1"/>
        <c:lblAlgn val="ctr"/>
        <c:lblOffset val="100"/>
        <c:noMultiLvlLbl val="0"/>
      </c:catAx>
      <c:valAx>
        <c:axId val="99991275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en-US"/>
          </a:p>
        </c:txPr>
        <c:crossAx val="999911920"/>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cdr:x>
      <cdr:y>0.36692</cdr:y>
    </cdr:from>
    <cdr:to>
      <cdr:x>0.10811</cdr:x>
      <cdr:y>0.44107</cdr:y>
    </cdr:to>
    <cdr:sp macro="" textlink="">
      <cdr:nvSpPr>
        <cdr:cNvPr id="3" name="TextBox 2"/>
        <cdr:cNvSpPr txBox="1"/>
      </cdr:nvSpPr>
      <cdr:spPr>
        <a:xfrm xmlns:a="http://schemas.openxmlformats.org/drawingml/2006/main">
          <a:off x="0" y="1392358"/>
          <a:ext cx="663970" cy="281382"/>
        </a:xfrm>
        <a:prstGeom xmlns:a="http://schemas.openxmlformats.org/drawingml/2006/main" prst="rect">
          <a:avLst/>
        </a:prstGeom>
      </cdr:spPr>
      <cdr:txBody>
        <a:bodyPr xmlns:a="http://schemas.openxmlformats.org/drawingml/2006/main" vertOverflow="clip" wrap="square" lIns="45720" tIns="0" rIns="0" bIns="0" rtlCol="0"/>
        <a:lstStyle xmlns:a="http://schemas.openxmlformats.org/drawingml/2006/main"/>
        <a:p xmlns:a="http://schemas.openxmlformats.org/drawingml/2006/main">
          <a:pPr algn="l"/>
          <a:r>
            <a:rPr lang="en-US" sz="800"/>
            <a:t>International Equities</a:t>
          </a:r>
          <a:endParaRPr lang="en-US" sz="1050"/>
        </a:p>
      </cdr:txBody>
    </cdr:sp>
  </cdr:relSizeAnchor>
  <cdr:relSizeAnchor xmlns:cdr="http://schemas.openxmlformats.org/drawingml/2006/chartDrawing">
    <cdr:from>
      <cdr:x>0</cdr:x>
      <cdr:y>0.52825</cdr:y>
    </cdr:from>
    <cdr:to>
      <cdr:x>0.10794</cdr:x>
      <cdr:y>0.60423</cdr:y>
    </cdr:to>
    <cdr:sp macro="" textlink="">
      <cdr:nvSpPr>
        <cdr:cNvPr id="5" name="TextBox 1"/>
        <cdr:cNvSpPr txBox="1"/>
      </cdr:nvSpPr>
      <cdr:spPr>
        <a:xfrm xmlns:a="http://schemas.openxmlformats.org/drawingml/2006/main">
          <a:off x="0" y="2004597"/>
          <a:ext cx="662940" cy="288326"/>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Global Asset Allocation</a:t>
          </a:r>
        </a:p>
      </cdr:txBody>
    </cdr:sp>
  </cdr:relSizeAnchor>
  <cdr:relSizeAnchor xmlns:cdr="http://schemas.openxmlformats.org/drawingml/2006/chartDrawing">
    <cdr:from>
      <cdr:x>0</cdr:x>
      <cdr:y>0.67307</cdr:y>
    </cdr:from>
    <cdr:to>
      <cdr:x>0.10553</cdr:x>
      <cdr:y>0.71382</cdr:y>
    </cdr:to>
    <cdr:sp macro="" textlink="">
      <cdr:nvSpPr>
        <cdr:cNvPr id="6" name="TextBox 1"/>
        <cdr:cNvSpPr txBox="1"/>
      </cdr:nvSpPr>
      <cdr:spPr>
        <a:xfrm xmlns:a="http://schemas.openxmlformats.org/drawingml/2006/main">
          <a:off x="0" y="2678502"/>
          <a:ext cx="640697" cy="162167"/>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Fixed Income</a:t>
          </a:r>
        </a:p>
      </cdr:txBody>
    </cdr:sp>
  </cdr:relSizeAnchor>
  <cdr:relSizeAnchor xmlns:cdr="http://schemas.openxmlformats.org/drawingml/2006/chartDrawing">
    <cdr:from>
      <cdr:x>0</cdr:x>
      <cdr:y>0.75472</cdr:y>
    </cdr:from>
    <cdr:to>
      <cdr:x>0.10811</cdr:x>
      <cdr:y>0.82554</cdr:y>
    </cdr:to>
    <cdr:sp macro="" textlink="">
      <cdr:nvSpPr>
        <cdr:cNvPr id="7" name="TextBox 1"/>
        <cdr:cNvSpPr txBox="1"/>
      </cdr:nvSpPr>
      <cdr:spPr>
        <a:xfrm xmlns:a="http://schemas.openxmlformats.org/drawingml/2006/main">
          <a:off x="0" y="2863973"/>
          <a:ext cx="663951" cy="268756"/>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Domestic</a:t>
          </a:r>
          <a:r>
            <a:rPr lang="en-US" sz="800" baseline="0"/>
            <a:t> Equities</a:t>
          </a:r>
          <a:endParaRPr lang="en-US" sz="800"/>
        </a:p>
      </cdr:txBody>
    </cdr:sp>
  </cdr:relSizeAnchor>
  <cdr:relSizeAnchor xmlns:cdr="http://schemas.openxmlformats.org/drawingml/2006/chartDrawing">
    <cdr:from>
      <cdr:x>0</cdr:x>
      <cdr:y>0.84612</cdr:y>
    </cdr:from>
    <cdr:to>
      <cdr:x>0.11197</cdr:x>
      <cdr:y>0.8851</cdr:y>
    </cdr:to>
    <cdr:sp macro="" textlink="">
      <cdr:nvSpPr>
        <cdr:cNvPr id="8" name="TextBox 1"/>
        <cdr:cNvSpPr txBox="1"/>
      </cdr:nvSpPr>
      <cdr:spPr>
        <a:xfrm xmlns:a="http://schemas.openxmlformats.org/drawingml/2006/main">
          <a:off x="0" y="3210841"/>
          <a:ext cx="687683" cy="147902"/>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Cash</a:t>
          </a:r>
          <a:endParaRPr lang="en-US" sz="900"/>
        </a:p>
      </cdr:txBody>
    </cdr:sp>
  </cdr:relSizeAnchor>
  <cdr:relSizeAnchor xmlns:cdr="http://schemas.openxmlformats.org/drawingml/2006/chartDrawing">
    <cdr:from>
      <cdr:x>0</cdr:x>
      <cdr:y>0.31219</cdr:y>
    </cdr:from>
    <cdr:to>
      <cdr:x>0.07851</cdr:x>
      <cdr:y>0.34664</cdr:y>
    </cdr:to>
    <cdr:sp macro="" textlink="">
      <cdr:nvSpPr>
        <cdr:cNvPr id="9" name="TextBox 1"/>
        <cdr:cNvSpPr txBox="1"/>
      </cdr:nvSpPr>
      <cdr:spPr>
        <a:xfrm xmlns:a="http://schemas.openxmlformats.org/drawingml/2006/main">
          <a:off x="0" y="1152941"/>
          <a:ext cx="464837" cy="127227"/>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Timber</a:t>
          </a:r>
        </a:p>
      </cdr:txBody>
    </cdr:sp>
  </cdr:relSizeAnchor>
  <cdr:relSizeAnchor xmlns:cdr="http://schemas.openxmlformats.org/drawingml/2006/chartDrawing">
    <cdr:from>
      <cdr:x>0</cdr:x>
      <cdr:y>0.47711</cdr:y>
    </cdr:from>
    <cdr:to>
      <cdr:x>0.1067</cdr:x>
      <cdr:y>0.52008</cdr:y>
    </cdr:to>
    <cdr:sp macro="" textlink="">
      <cdr:nvSpPr>
        <cdr:cNvPr id="10" name="TextBox 1"/>
        <cdr:cNvSpPr txBox="1"/>
      </cdr:nvSpPr>
      <cdr:spPr>
        <a:xfrm xmlns:a="http://schemas.openxmlformats.org/drawingml/2006/main">
          <a:off x="0" y="1810516"/>
          <a:ext cx="655320" cy="163064"/>
        </a:xfrm>
        <a:prstGeom xmlns:a="http://schemas.openxmlformats.org/drawingml/2006/main" prst="rect">
          <a:avLst/>
        </a:prstGeom>
      </cdr:spPr>
      <cdr:txBody>
        <a:bodyPr xmlns:a="http://schemas.openxmlformats.org/drawingml/2006/main" wrap="square" lIns="4572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800"/>
            <a:t>Hedge</a:t>
          </a:r>
          <a:r>
            <a:rPr lang="en-US" sz="800" baseline="0"/>
            <a:t> Funds</a:t>
          </a:r>
          <a:endParaRPr lang="en-US" sz="800"/>
        </a:p>
      </cdr:txBody>
    </cdr:sp>
  </cdr:relSizeAnchor>
  <cdr:relSizeAnchor xmlns:cdr="http://schemas.openxmlformats.org/drawingml/2006/chartDrawing">
    <cdr:from>
      <cdr:x>0</cdr:x>
      <cdr:y>0.71065</cdr:y>
    </cdr:from>
    <cdr:to>
      <cdr:x>0.10682</cdr:x>
      <cdr:y>0.74986</cdr:y>
    </cdr:to>
    <cdr:sp macro="" textlink="">
      <cdr:nvSpPr>
        <cdr:cNvPr id="2" name="TextBox 1"/>
        <cdr:cNvSpPr txBox="1"/>
      </cdr:nvSpPr>
      <cdr:spPr>
        <a:xfrm xmlns:a="http://schemas.openxmlformats.org/drawingml/2006/main">
          <a:off x="0" y="2828078"/>
          <a:ext cx="648529" cy="156038"/>
        </a:xfrm>
        <a:prstGeom xmlns:a="http://schemas.openxmlformats.org/drawingml/2006/main" prst="rect">
          <a:avLst/>
        </a:prstGeom>
      </cdr:spPr>
      <cdr:txBody>
        <a:bodyPr xmlns:a="http://schemas.openxmlformats.org/drawingml/2006/main" vertOverflow="clip" wrap="square" lIns="45720" tIns="0" rIns="0" bIns="0" rtlCol="0"/>
        <a:lstStyle xmlns:a="http://schemas.openxmlformats.org/drawingml/2006/main"/>
        <a:p xmlns:a="http://schemas.openxmlformats.org/drawingml/2006/main">
          <a:pPr algn="l"/>
          <a:r>
            <a:rPr lang="en-US" sz="800"/>
            <a:t>Private Equity</a:t>
          </a:r>
        </a:p>
      </cdr:txBody>
    </cdr:sp>
  </cdr:relSizeAnchor>
  <cdr:relSizeAnchor xmlns:cdr="http://schemas.openxmlformats.org/drawingml/2006/chartDrawing">
    <cdr:from>
      <cdr:x>0</cdr:x>
      <cdr:y>0.60347</cdr:y>
    </cdr:from>
    <cdr:to>
      <cdr:x>0.11026</cdr:x>
      <cdr:y>0.67954</cdr:y>
    </cdr:to>
    <cdr:sp macro="" textlink="">
      <cdr:nvSpPr>
        <cdr:cNvPr id="4" name="TextBox 3"/>
        <cdr:cNvSpPr txBox="1"/>
      </cdr:nvSpPr>
      <cdr:spPr>
        <a:xfrm xmlns:a="http://schemas.openxmlformats.org/drawingml/2006/main">
          <a:off x="0" y="2084244"/>
          <a:ext cx="655320" cy="262716"/>
        </a:xfrm>
        <a:prstGeom xmlns:a="http://schemas.openxmlformats.org/drawingml/2006/main" prst="rect">
          <a:avLst/>
        </a:prstGeom>
      </cdr:spPr>
      <cdr:txBody>
        <a:bodyPr xmlns:a="http://schemas.openxmlformats.org/drawingml/2006/main" vertOverflow="clip" wrap="square" lIns="45720" tIns="0" rIns="0" bIns="0" rtlCol="0"/>
        <a:lstStyle xmlns:a="http://schemas.openxmlformats.org/drawingml/2006/main"/>
        <a:p xmlns:a="http://schemas.openxmlformats.org/drawingml/2006/main">
          <a:pPr algn="l"/>
          <a:r>
            <a:rPr lang="en-US" sz="800"/>
            <a:t>Global</a:t>
          </a:r>
          <a:r>
            <a:rPr lang="en-US" sz="800" baseline="0"/>
            <a:t> Equities</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5D990-4EC4-4DD7-8F13-9C73022F4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117</Pages>
  <Words>28008</Words>
  <Characters>159650</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Bragg</dc:creator>
  <cp:keywords/>
  <dc:description/>
  <cp:lastModifiedBy>Emily Bragg</cp:lastModifiedBy>
  <cp:revision>20</cp:revision>
  <cp:lastPrinted>2022-10-26T22:09:00Z</cp:lastPrinted>
  <dcterms:created xsi:type="dcterms:W3CDTF">2022-11-01T15:43:00Z</dcterms:created>
  <dcterms:modified xsi:type="dcterms:W3CDTF">2022-11-01T19:26:00Z</dcterms:modified>
</cp:coreProperties>
</file>